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96D" w:rsidRDefault="0096296D" w:rsidP="0096296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4pt" o:ole="">
            <v:imagedata r:id="rId8" o:title=""/>
          </v:shape>
          <o:OLEObject Type="Embed" ProgID="Presentations.Drawing.13" ShapeID="_x0000_i1025" DrawAspect="Content" ObjectID="_1644735015" r:id="rId9"/>
        </w:object>
      </w:r>
      <w:r>
        <w:t xml:space="preserve"> </w:t>
      </w:r>
      <w:r>
        <w:ptab w:relativeTo="margin" w:alignment="right" w:leader="none"/>
      </w:r>
    </w:p>
    <w:p w:rsidR="0096296D" w:rsidRDefault="0096296D" w:rsidP="0096296D">
      <w:pPr>
        <w:pStyle w:val="Header"/>
      </w:pPr>
    </w:p>
    <w:p w:rsidR="0096296D" w:rsidRPr="001E12E2" w:rsidRDefault="0096296D" w:rsidP="0096296D">
      <w:pPr>
        <w:jc w:val="center"/>
        <w:rPr>
          <w:b/>
        </w:rPr>
      </w:pPr>
      <w:r w:rsidRPr="001E12E2">
        <w:rPr>
          <w:b/>
        </w:rPr>
        <w:t>COUR SUPRÊME DU CANADA</w:t>
      </w:r>
    </w:p>
    <w:p w:rsidR="0096296D" w:rsidRDefault="0096296D" w:rsidP="0096296D"/>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120"/>
        <w:gridCol w:w="4140"/>
      </w:tblGrid>
      <w:tr w:rsidR="0096296D" w:rsidRPr="001E12E2" w:rsidTr="00F43A2E">
        <w:trPr>
          <w:cantSplit/>
        </w:trPr>
        <w:tc>
          <w:tcPr>
            <w:tcW w:w="6120" w:type="dxa"/>
          </w:tcPr>
          <w:p w:rsidR="0096296D" w:rsidRPr="00810186" w:rsidRDefault="0096296D" w:rsidP="00F43A2E">
            <w:pPr>
              <w:rPr>
                <w:lang w:val="en-US"/>
              </w:rPr>
            </w:pPr>
            <w:r w:rsidRPr="00810186">
              <w:rPr>
                <w:b/>
                <w:smallCaps/>
                <w:lang w:val="en-US"/>
              </w:rPr>
              <w:t>Référence :</w:t>
            </w:r>
            <w:r w:rsidRPr="00810186">
              <w:rPr>
                <w:lang w:val="en-US"/>
              </w:rPr>
              <w:t xml:space="preserve"> Barer </w:t>
            </w:r>
            <w:r>
              <w:rPr>
                <w:i/>
                <w:lang w:val="en-US"/>
              </w:rPr>
              <w:t>c</w:t>
            </w:r>
            <w:r w:rsidRPr="00810186">
              <w:rPr>
                <w:i/>
                <w:lang w:val="en-US"/>
              </w:rPr>
              <w:t>.</w:t>
            </w:r>
            <w:r w:rsidRPr="00810186">
              <w:rPr>
                <w:lang w:val="en-US"/>
              </w:rPr>
              <w:t xml:space="preserve"> Knight Brothers LLC</w:t>
            </w:r>
            <w:r>
              <w:rPr>
                <w:lang w:val="en-US"/>
              </w:rPr>
              <w:t xml:space="preserve">, 2019 </w:t>
            </w:r>
            <w:r w:rsidRPr="00810186">
              <w:rPr>
                <w:lang w:val="en-US"/>
              </w:rPr>
              <w:t>C</w:t>
            </w:r>
            <w:r>
              <w:rPr>
                <w:lang w:val="en-US"/>
              </w:rPr>
              <w:t>S</w:t>
            </w:r>
            <w:r w:rsidRPr="00810186">
              <w:rPr>
                <w:lang w:val="en-US"/>
              </w:rPr>
              <w:t xml:space="preserve">C </w:t>
            </w:r>
            <w:r>
              <w:rPr>
                <w:lang w:val="en-US"/>
              </w:rPr>
              <w:t>13</w:t>
            </w:r>
            <w:r>
              <w:rPr>
                <w:lang w:val="en-US"/>
              </w:rPr>
              <w:t>,</w:t>
            </w:r>
            <w:r>
              <w:rPr>
                <w:lang w:val="en-US"/>
              </w:rPr>
              <w:t xml:space="preserve"> [2019] 1 R.C.S. 573</w:t>
            </w:r>
          </w:p>
        </w:tc>
        <w:tc>
          <w:tcPr>
            <w:tcW w:w="4140" w:type="dxa"/>
          </w:tcPr>
          <w:p w:rsidR="0096296D" w:rsidRPr="0096296D" w:rsidRDefault="0096296D" w:rsidP="00F43A2E">
            <w:pPr>
              <w:rPr>
                <w:lang w:val="fr-CA"/>
              </w:rPr>
            </w:pPr>
            <w:r w:rsidRPr="0096296D">
              <w:rPr>
                <w:b/>
                <w:smallCaps/>
                <w:lang w:val="fr-CA"/>
              </w:rPr>
              <w:t>Appel entendu :</w:t>
            </w:r>
            <w:r w:rsidRPr="0096296D">
              <w:rPr>
                <w:lang w:val="fr-CA"/>
              </w:rPr>
              <w:t xml:space="preserve"> 24 avril 2018</w:t>
            </w:r>
          </w:p>
          <w:p w:rsidR="0096296D" w:rsidRPr="0096296D" w:rsidRDefault="0096296D" w:rsidP="00F43A2E">
            <w:pPr>
              <w:rPr>
                <w:lang w:val="fr-CA"/>
              </w:rPr>
            </w:pPr>
            <w:r w:rsidRPr="0096296D">
              <w:rPr>
                <w:b/>
                <w:smallCaps/>
                <w:lang w:val="fr-CA"/>
              </w:rPr>
              <w:t xml:space="preserve">Jugement rendu : </w:t>
            </w:r>
            <w:r w:rsidRPr="0096296D">
              <w:rPr>
                <w:lang w:val="fr-CA"/>
              </w:rPr>
              <w:t>22 février 2019</w:t>
            </w:r>
          </w:p>
          <w:p w:rsidR="0096296D" w:rsidRPr="001E12E2" w:rsidRDefault="0096296D" w:rsidP="00F43A2E">
            <w:r w:rsidRPr="001E12E2">
              <w:rPr>
                <w:b/>
                <w:smallCaps/>
              </w:rPr>
              <w:t>Do</w:t>
            </w:r>
            <w:r>
              <w:rPr>
                <w:b/>
                <w:smallCaps/>
              </w:rPr>
              <w:t>ssier :</w:t>
            </w:r>
            <w:r w:rsidRPr="001E12E2">
              <w:t xml:space="preserve"> </w:t>
            </w:r>
            <w:r>
              <w:t>37594</w:t>
            </w:r>
          </w:p>
        </w:tc>
      </w:tr>
    </w:tbl>
    <w:p w:rsidR="0096296D" w:rsidRPr="001E12E2" w:rsidRDefault="0096296D" w:rsidP="0096296D"/>
    <w:p w:rsidR="0096296D" w:rsidRDefault="0096296D" w:rsidP="0096296D">
      <w:pPr>
        <w:pStyle w:val="SCCLsocPrefix"/>
      </w:pPr>
      <w:r>
        <w:t>Entre :</w:t>
      </w:r>
    </w:p>
    <w:p w:rsidR="0096296D" w:rsidRDefault="0096296D" w:rsidP="00EF461E">
      <w:pPr>
        <w:pStyle w:val="SCCLsocParty"/>
        <w:jc w:val="center"/>
      </w:pPr>
      <w:r>
        <w:t>David Barer</w:t>
      </w:r>
    </w:p>
    <w:p w:rsidR="0096296D" w:rsidRDefault="0096296D" w:rsidP="00EF461E">
      <w:pPr>
        <w:jc w:val="center"/>
      </w:pPr>
      <w:r>
        <w:t>Appelant</w:t>
      </w:r>
    </w:p>
    <w:p w:rsidR="0096296D" w:rsidRDefault="0096296D" w:rsidP="00EF461E">
      <w:pPr>
        <w:pStyle w:val="SCCLsocVersus"/>
        <w:spacing w:after="0"/>
        <w:jc w:val="center"/>
      </w:pPr>
    </w:p>
    <w:p w:rsidR="0096296D" w:rsidRDefault="0096296D" w:rsidP="00EF461E">
      <w:pPr>
        <w:jc w:val="center"/>
      </w:pPr>
      <w:r>
        <w:t>et</w:t>
      </w:r>
    </w:p>
    <w:p w:rsidR="0096296D" w:rsidRPr="00810186" w:rsidRDefault="0096296D" w:rsidP="00EF461E">
      <w:pPr>
        <w:jc w:val="center"/>
      </w:pPr>
    </w:p>
    <w:p w:rsidR="0096296D" w:rsidRDefault="0096296D" w:rsidP="00EF461E">
      <w:pPr>
        <w:pStyle w:val="SCCLsocParty"/>
        <w:jc w:val="center"/>
      </w:pPr>
      <w:r>
        <w:t>Knight Brothers LLC</w:t>
      </w:r>
      <w:bookmarkStart w:id="0" w:name="_GoBack"/>
      <w:bookmarkEnd w:id="0"/>
    </w:p>
    <w:p w:rsidR="0096296D" w:rsidRPr="0096296D" w:rsidRDefault="0096296D" w:rsidP="00EF461E">
      <w:pPr>
        <w:jc w:val="center"/>
        <w:rPr>
          <w:lang w:val="fr-CA"/>
        </w:rPr>
      </w:pPr>
      <w:r w:rsidRPr="0096296D">
        <w:rPr>
          <w:lang w:val="fr-CA"/>
        </w:rPr>
        <w:t>Intimée</w:t>
      </w:r>
    </w:p>
    <w:p w:rsidR="0096296D" w:rsidRPr="0096296D" w:rsidRDefault="0096296D" w:rsidP="00EF461E">
      <w:pPr>
        <w:jc w:val="center"/>
        <w:rPr>
          <w:lang w:val="fr-CA"/>
        </w:rPr>
      </w:pPr>
    </w:p>
    <w:p w:rsidR="0096296D" w:rsidRPr="0096296D" w:rsidRDefault="0096296D" w:rsidP="0096296D">
      <w:pPr>
        <w:rPr>
          <w:lang w:val="fr-CA"/>
        </w:rPr>
      </w:pPr>
    </w:p>
    <w:p w:rsidR="0096296D" w:rsidRPr="0096296D" w:rsidRDefault="0096296D" w:rsidP="0096296D">
      <w:pPr>
        <w:jc w:val="center"/>
        <w:rPr>
          <w:b/>
          <w:smallCaps/>
          <w:lang w:val="fr-CA"/>
        </w:rPr>
      </w:pPr>
      <w:r w:rsidRPr="0096296D">
        <w:rPr>
          <w:b/>
          <w:smallCaps/>
          <w:lang w:val="fr-CA"/>
        </w:rPr>
        <w:t>Traduction française officielle</w:t>
      </w:r>
    </w:p>
    <w:p w:rsidR="0096296D" w:rsidRPr="0096296D" w:rsidRDefault="0096296D" w:rsidP="0096296D">
      <w:pPr>
        <w:rPr>
          <w:lang w:val="fr-CA"/>
        </w:rPr>
      </w:pPr>
    </w:p>
    <w:p w:rsidR="0096296D" w:rsidRPr="0096296D" w:rsidRDefault="0096296D" w:rsidP="0096296D">
      <w:pPr>
        <w:rPr>
          <w:lang w:val="fr-CA"/>
        </w:rPr>
      </w:pPr>
      <w:r w:rsidRPr="0096296D">
        <w:rPr>
          <w:b/>
          <w:smallCaps/>
          <w:lang w:val="fr-CA"/>
        </w:rPr>
        <w:t>Coram :</w:t>
      </w:r>
      <w:r w:rsidRPr="0096296D">
        <w:rPr>
          <w:lang w:val="fr-CA"/>
        </w:rPr>
        <w:t xml:space="preserve"> Le juge en chef Wagner et les juges Abella, Moldaver, Karakatsanis, Gascon, Côté, Brown, Rowe et Martin</w:t>
      </w:r>
    </w:p>
    <w:p w:rsidR="0096296D" w:rsidRPr="0096296D" w:rsidRDefault="0096296D" w:rsidP="0096296D">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6296D" w:rsidRPr="0096296D" w:rsidTr="00F43A2E">
        <w:trPr>
          <w:cantSplit/>
        </w:trPr>
        <w:tc>
          <w:tcPr>
            <w:tcW w:w="3618" w:type="dxa"/>
          </w:tcPr>
          <w:p w:rsidR="0096296D" w:rsidRPr="0096296D" w:rsidRDefault="0096296D" w:rsidP="00F43A2E">
            <w:pPr>
              <w:rPr>
                <w:b/>
                <w:smallCaps/>
                <w:lang w:val="fr-CA"/>
              </w:rPr>
            </w:pPr>
            <w:r w:rsidRPr="0096296D">
              <w:rPr>
                <w:b/>
                <w:smallCaps/>
                <w:lang w:val="fr-CA"/>
              </w:rPr>
              <w:t>Motifs de jugement :</w:t>
            </w:r>
          </w:p>
          <w:p w:rsidR="0096296D" w:rsidRPr="0096296D" w:rsidRDefault="0096296D" w:rsidP="00F43A2E">
            <w:pPr>
              <w:rPr>
                <w:lang w:val="fr-CA"/>
              </w:rPr>
            </w:pPr>
            <w:r w:rsidRPr="0096296D">
              <w:rPr>
                <w:lang w:val="fr-CA"/>
              </w:rPr>
              <w:t>(par. 1 à 93)</w:t>
            </w:r>
          </w:p>
        </w:tc>
        <w:tc>
          <w:tcPr>
            <w:tcW w:w="5958" w:type="dxa"/>
          </w:tcPr>
          <w:p w:rsidR="0096296D" w:rsidRPr="0096296D" w:rsidRDefault="0096296D" w:rsidP="00F43A2E">
            <w:pPr>
              <w:rPr>
                <w:lang w:val="fr-CA"/>
              </w:rPr>
            </w:pPr>
            <w:r w:rsidRPr="0096296D">
              <w:rPr>
                <w:lang w:val="fr-CA"/>
              </w:rPr>
              <w:t xml:space="preserve">Le juge Gascon (avec l’accord du juge en chef Wagner et des juges Abella, Moldaver, Karakatsanis, Rowe et Martin) </w:t>
            </w:r>
          </w:p>
        </w:tc>
      </w:tr>
    </w:tbl>
    <w:p w:rsidR="0096296D" w:rsidRPr="0096296D" w:rsidRDefault="0096296D" w:rsidP="0096296D">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6296D" w:rsidRPr="00470A09" w:rsidTr="00F43A2E">
        <w:trPr>
          <w:cantSplit/>
        </w:trPr>
        <w:tc>
          <w:tcPr>
            <w:tcW w:w="3618" w:type="dxa"/>
          </w:tcPr>
          <w:p w:rsidR="0096296D" w:rsidRPr="00470A09" w:rsidRDefault="0096296D" w:rsidP="00F43A2E">
            <w:pPr>
              <w:rPr>
                <w:b/>
                <w:smallCaps/>
              </w:rPr>
            </w:pPr>
            <w:r w:rsidRPr="00470A09">
              <w:rPr>
                <w:b/>
                <w:smallCaps/>
              </w:rPr>
              <w:t>Motifs concordants :</w:t>
            </w:r>
          </w:p>
          <w:p w:rsidR="0096296D" w:rsidRPr="00470A09" w:rsidRDefault="0096296D" w:rsidP="00F43A2E">
            <w:r w:rsidRPr="00470A09">
              <w:t>(par. 94 à 174)</w:t>
            </w:r>
          </w:p>
        </w:tc>
        <w:tc>
          <w:tcPr>
            <w:tcW w:w="5958" w:type="dxa"/>
          </w:tcPr>
          <w:p w:rsidR="0096296D" w:rsidRPr="00470A09" w:rsidRDefault="0096296D" w:rsidP="00F43A2E">
            <w:r w:rsidRPr="00470A09">
              <w:t>Le juge Brown</w:t>
            </w:r>
          </w:p>
        </w:tc>
      </w:tr>
    </w:tbl>
    <w:p w:rsidR="0096296D" w:rsidRPr="00470A09" w:rsidRDefault="0096296D" w:rsidP="009629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6296D" w:rsidRPr="001E12E2" w:rsidTr="00F43A2E">
        <w:trPr>
          <w:cantSplit/>
        </w:trPr>
        <w:tc>
          <w:tcPr>
            <w:tcW w:w="3618" w:type="dxa"/>
          </w:tcPr>
          <w:p w:rsidR="0096296D" w:rsidRPr="00470A09" w:rsidRDefault="0096296D" w:rsidP="00F43A2E">
            <w:pPr>
              <w:rPr>
                <w:b/>
                <w:smallCaps/>
              </w:rPr>
            </w:pPr>
            <w:r w:rsidRPr="00470A09">
              <w:rPr>
                <w:b/>
                <w:smallCaps/>
              </w:rPr>
              <w:t>Motifs dissidents :</w:t>
            </w:r>
          </w:p>
          <w:p w:rsidR="0096296D" w:rsidRPr="00470A09" w:rsidRDefault="0096296D" w:rsidP="00F43A2E">
            <w:r w:rsidRPr="00470A09">
              <w:t>(par. 175 à 287)</w:t>
            </w:r>
          </w:p>
          <w:p w:rsidR="0096296D" w:rsidRPr="00470A09" w:rsidRDefault="0096296D" w:rsidP="00F43A2E"/>
        </w:tc>
        <w:tc>
          <w:tcPr>
            <w:tcW w:w="5958" w:type="dxa"/>
          </w:tcPr>
          <w:p w:rsidR="0096296D" w:rsidRPr="001E12E2" w:rsidRDefault="0096296D" w:rsidP="00F43A2E">
            <w:r w:rsidRPr="00470A09">
              <w:t>La juge Côté</w:t>
            </w:r>
          </w:p>
        </w:tc>
      </w:tr>
    </w:tbl>
    <w:p w:rsidR="0096296D" w:rsidRPr="0096296D" w:rsidRDefault="0096296D" w:rsidP="0096296D">
      <w:pPr>
        <w:rPr>
          <w:lang w:val="fr-CA"/>
        </w:rPr>
      </w:pPr>
    </w:p>
    <w:p w:rsidR="0096296D" w:rsidRPr="0096296D" w:rsidRDefault="0096296D" w:rsidP="0096296D">
      <w:pPr>
        <w:rPr>
          <w:lang w:val="fr-CA"/>
        </w:rPr>
      </w:pPr>
      <w:r>
        <w:rPr>
          <w:noProof/>
          <w:lang w:val="en-US"/>
        </w:rPr>
        <mc:AlternateContent>
          <mc:Choice Requires="wps">
            <w:drawing>
              <wp:anchor distT="0" distB="0" distL="114300" distR="114300" simplePos="0" relativeHeight="251659264" behindDoc="0" locked="0" layoutInCell="1" allowOverlap="1" wp14:anchorId="66856A1C" wp14:editId="27449CA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05FD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6296D" w:rsidRPr="0096296D" w:rsidRDefault="0096296D" w:rsidP="00AF6697">
      <w:pPr>
        <w:spacing w:after="720"/>
        <w:jc w:val="both"/>
        <w:rPr>
          <w:lang w:val="fr-CA"/>
        </w:rPr>
      </w:pPr>
    </w:p>
    <w:p w:rsidR="00AF6697" w:rsidRPr="004F74CA" w:rsidRDefault="006315C4" w:rsidP="00AF6697">
      <w:pPr>
        <w:spacing w:after="720"/>
        <w:jc w:val="both"/>
        <w:rPr>
          <w:lang w:val="en-US"/>
        </w:rPr>
      </w:pPr>
      <w:r>
        <w:t>B</w:t>
      </w:r>
      <w:r w:rsidR="00AF6697" w:rsidRPr="006315C4">
        <w:t>arer</w:t>
      </w:r>
      <w:r w:rsidR="00AF6697" w:rsidRPr="00012961">
        <w:t xml:space="preserve"> </w:t>
      </w:r>
      <w:r w:rsidR="00AF6697" w:rsidRPr="00DA0AA4">
        <w:rPr>
          <w:i/>
        </w:rPr>
        <w:t>c.</w:t>
      </w:r>
      <w:r w:rsidR="00AF6697" w:rsidRPr="00012961">
        <w:t xml:space="preserve"> </w:t>
      </w:r>
      <w:r>
        <w:t>Knight B</w:t>
      </w:r>
      <w:r w:rsidR="00AF6697" w:rsidRPr="006315C4">
        <w:t xml:space="preserve">rothers </w:t>
      </w:r>
      <w:r>
        <w:t>LLC</w:t>
      </w:r>
      <w:r w:rsidR="004F74CA">
        <w:t xml:space="preserve">, </w:t>
      </w:r>
      <w:r w:rsidR="004F74CA" w:rsidRPr="004F74CA">
        <w:rPr>
          <w:lang w:val="en-US"/>
        </w:rPr>
        <w:t>2019 CSC 13</w:t>
      </w:r>
      <w:r w:rsidR="004F74CA">
        <w:rPr>
          <w:lang w:val="en-US"/>
        </w:rPr>
        <w:t>, [2019] 1 R.C.S. 573</w:t>
      </w:r>
    </w:p>
    <w:p w:rsidR="00AF6697" w:rsidRPr="00012961" w:rsidRDefault="00AF6697" w:rsidP="00AF6697">
      <w:pPr>
        <w:pStyle w:val="SCCLsocLastPartyInRole"/>
      </w:pPr>
      <w:r w:rsidRPr="00012961">
        <w:t>David Barer</w:t>
      </w:r>
      <w:r w:rsidRPr="00012961">
        <w:tab/>
      </w:r>
      <w:r w:rsidRPr="005B09E1">
        <w:rPr>
          <w:b w:val="0"/>
          <w:i/>
        </w:rPr>
        <w:t>Appelant</w:t>
      </w:r>
    </w:p>
    <w:p w:rsidR="00AF6697" w:rsidRPr="00012961" w:rsidRDefault="00AF6697" w:rsidP="00AF6697">
      <w:pPr>
        <w:pStyle w:val="SCCLsocVersus"/>
      </w:pPr>
      <w:r w:rsidRPr="00012961">
        <w:lastRenderedPageBreak/>
        <w:t>c.</w:t>
      </w:r>
    </w:p>
    <w:p w:rsidR="00AF6697" w:rsidRPr="005B09E1" w:rsidRDefault="00AF6697" w:rsidP="00AF6697">
      <w:pPr>
        <w:pStyle w:val="SCCLsocLastPartyInRole"/>
        <w:rPr>
          <w:b w:val="0"/>
          <w:i/>
        </w:rPr>
      </w:pPr>
      <w:r w:rsidRPr="00012961">
        <w:t>Knight Brothers LLC</w:t>
      </w:r>
      <w:r w:rsidRPr="00012961">
        <w:tab/>
      </w:r>
      <w:r w:rsidRPr="005B09E1">
        <w:rPr>
          <w:b w:val="0"/>
          <w:i/>
        </w:rPr>
        <w:t>Intimée</w:t>
      </w:r>
    </w:p>
    <w:p w:rsidR="00AF6697" w:rsidRPr="005A30FF" w:rsidRDefault="00AF6697" w:rsidP="00AF6697">
      <w:pPr>
        <w:spacing w:after="720"/>
        <w:jc w:val="both"/>
        <w:rPr>
          <w:b/>
        </w:rPr>
      </w:pPr>
      <w:r w:rsidRPr="005A30FF">
        <w:rPr>
          <w:b/>
        </w:rPr>
        <w:t xml:space="preserve">Répertorié : Barer </w:t>
      </w:r>
      <w:r w:rsidRPr="005A30FF">
        <w:rPr>
          <w:b/>
          <w:i/>
        </w:rPr>
        <w:t>c</w:t>
      </w:r>
      <w:r w:rsidRPr="005A30FF">
        <w:rPr>
          <w:b/>
        </w:rPr>
        <w:t>. Knight Brothers LLC</w:t>
      </w:r>
    </w:p>
    <w:p w:rsidR="00AF6697" w:rsidRPr="00300AD8" w:rsidRDefault="00AF6697" w:rsidP="00AF6697">
      <w:pPr>
        <w:pStyle w:val="SCCSystemYear"/>
        <w:spacing w:after="720"/>
        <w:jc w:val="both"/>
        <w:rPr>
          <w:lang w:val="fr-CA"/>
        </w:rPr>
      </w:pPr>
      <w:r w:rsidRPr="00300AD8">
        <w:rPr>
          <w:lang w:val="fr-CA"/>
        </w:rPr>
        <w:t>2019 CSC 13</w:t>
      </w:r>
    </w:p>
    <w:p w:rsidR="00AF6697" w:rsidRPr="00342757" w:rsidRDefault="00AF6697" w:rsidP="00AF6697">
      <w:pPr>
        <w:spacing w:after="720"/>
        <w:jc w:val="both"/>
        <w:rPr>
          <w:lang w:val="fr-CA"/>
        </w:rPr>
      </w:pPr>
      <w:r w:rsidRPr="00342757">
        <w:rPr>
          <w:lang w:val="fr-CA"/>
        </w:rPr>
        <w:t>N</w:t>
      </w:r>
      <w:r w:rsidRPr="003075C6">
        <w:rPr>
          <w:vertAlign w:val="superscript"/>
          <w:lang w:val="fr-CA"/>
        </w:rPr>
        <w:t>o</w:t>
      </w:r>
      <w:r w:rsidRPr="00342757">
        <w:rPr>
          <w:lang w:val="fr-CA"/>
        </w:rPr>
        <w:t xml:space="preserve"> du greffe : 37594.</w:t>
      </w:r>
    </w:p>
    <w:p w:rsidR="00AF6697" w:rsidRPr="00342757" w:rsidRDefault="00AF6697" w:rsidP="00AF6697">
      <w:pPr>
        <w:spacing w:after="720"/>
        <w:jc w:val="both"/>
        <w:rPr>
          <w:lang w:val="fr-CA"/>
        </w:rPr>
      </w:pPr>
      <w:r w:rsidRPr="00342757">
        <w:rPr>
          <w:lang w:val="fr-CA"/>
        </w:rPr>
        <w:t>2018 :</w:t>
      </w:r>
      <w:r>
        <w:rPr>
          <w:lang w:val="fr-CA"/>
        </w:rPr>
        <w:t xml:space="preserve"> 24 </w:t>
      </w:r>
      <w:r w:rsidRPr="00342757">
        <w:rPr>
          <w:lang w:val="fr-CA"/>
        </w:rPr>
        <w:t>avril; 2019 :</w:t>
      </w:r>
      <w:r>
        <w:rPr>
          <w:lang w:val="fr-CA"/>
        </w:rPr>
        <w:t xml:space="preserve"> 22 </w:t>
      </w:r>
      <w:r w:rsidRPr="00342757">
        <w:rPr>
          <w:lang w:val="fr-CA"/>
        </w:rPr>
        <w:t>février.</w:t>
      </w:r>
    </w:p>
    <w:p w:rsidR="00AF6697" w:rsidRPr="00342757" w:rsidRDefault="00AF6697" w:rsidP="00AF6697">
      <w:pPr>
        <w:spacing w:after="720"/>
        <w:jc w:val="both"/>
        <w:rPr>
          <w:lang w:val="fr-CA"/>
        </w:rPr>
      </w:pPr>
      <w:r w:rsidRPr="00342757">
        <w:rPr>
          <w:lang w:val="fr-CA"/>
        </w:rPr>
        <w:t>Présents : Le juge en chef Wagner et les juges Abella, Moldaver, Karakatsanis, Gascon, Côté, Brown, Rowe et Martin.</w:t>
      </w:r>
    </w:p>
    <w:p w:rsidR="00AF6697" w:rsidRDefault="00AF6697" w:rsidP="00AF6697">
      <w:pPr>
        <w:spacing w:after="720"/>
        <w:jc w:val="both"/>
        <w:rPr>
          <w:smallCaps/>
          <w:lang w:val="fr-CA"/>
        </w:rPr>
      </w:pPr>
      <w:r w:rsidRPr="00012961">
        <w:rPr>
          <w:smallCaps/>
          <w:lang w:val="fr-CA"/>
        </w:rPr>
        <w:t>en appel de la cour d</w:t>
      </w:r>
      <w:r>
        <w:rPr>
          <w:smallCaps/>
          <w:lang w:val="fr-CA"/>
        </w:rPr>
        <w:t>’</w:t>
      </w:r>
      <w:r w:rsidRPr="00012961">
        <w:rPr>
          <w:smallCaps/>
          <w:lang w:val="fr-CA"/>
        </w:rPr>
        <w:t xml:space="preserve">appel du québec </w:t>
      </w:r>
    </w:p>
    <w:p w:rsidR="00AF6697" w:rsidRPr="000F3029" w:rsidRDefault="00AF6697" w:rsidP="00AF6697">
      <w:pPr>
        <w:pStyle w:val="SCCNormalDoubleSpacing"/>
        <w:spacing w:after="480"/>
        <w:rPr>
          <w:i/>
          <w:lang w:val="fr-CA"/>
        </w:rPr>
      </w:pPr>
      <w:r>
        <w:rPr>
          <w:i/>
          <w:lang w:val="fr-CA"/>
        </w:rPr>
        <w:tab/>
      </w:r>
      <w:r w:rsidRPr="000F3029">
        <w:rPr>
          <w:i/>
          <w:lang w:val="fr-CA"/>
        </w:rPr>
        <w:t>Droit international privé — Jugements étrangers — Reconnaissance — Actions personnelles à caractère patrimonial — Jugement par défaut rendu par un tribunal de l</w:t>
      </w:r>
      <w:r>
        <w:rPr>
          <w:i/>
          <w:lang w:val="fr-CA"/>
        </w:rPr>
        <w:t>’</w:t>
      </w:r>
      <w:r w:rsidRPr="000F3029">
        <w:rPr>
          <w:i/>
          <w:lang w:val="fr-CA"/>
        </w:rPr>
        <w:t>Utah contre un résidant du Québec poursuivi à titre personnel dans un litige contractue</w:t>
      </w:r>
      <w:r>
        <w:rPr>
          <w:i/>
          <w:lang w:val="fr-CA"/>
        </w:rPr>
        <w:t>l opposant des sociétés — Résida</w:t>
      </w:r>
      <w:r w:rsidRPr="000F3029">
        <w:rPr>
          <w:i/>
          <w:lang w:val="fr-CA"/>
        </w:rPr>
        <w:t>nt du Québec n</w:t>
      </w:r>
      <w:r>
        <w:rPr>
          <w:i/>
          <w:lang w:val="fr-CA"/>
        </w:rPr>
        <w:t>’</w:t>
      </w:r>
      <w:r w:rsidRPr="000F3029">
        <w:rPr>
          <w:i/>
          <w:lang w:val="fr-CA"/>
        </w:rPr>
        <w:t xml:space="preserve">étant pas partie au contrat, mais présentant un lien avec le litige en tant que dirigeant des sociétés défenderesses — Demanderesse cherchant à faire reconnaître le jugement au Québec et à le faire déclarer opposable </w:t>
      </w:r>
      <w:r>
        <w:rPr>
          <w:i/>
          <w:lang w:val="fr-CA"/>
        </w:rPr>
        <w:t>au résida</w:t>
      </w:r>
      <w:r w:rsidRPr="000F3029">
        <w:rPr>
          <w:i/>
          <w:lang w:val="fr-CA"/>
        </w:rPr>
        <w:t xml:space="preserve">nt </w:t>
      </w:r>
      <w:r>
        <w:rPr>
          <w:i/>
          <w:lang w:val="fr-CA"/>
        </w:rPr>
        <w:t xml:space="preserve">du Québec </w:t>
      </w:r>
      <w:r w:rsidRPr="000F3029">
        <w:rPr>
          <w:i/>
          <w:lang w:val="fr-CA"/>
        </w:rPr>
        <w:t>— Le tribunal de l</w:t>
      </w:r>
      <w:r>
        <w:rPr>
          <w:i/>
          <w:lang w:val="fr-CA"/>
        </w:rPr>
        <w:t>’</w:t>
      </w:r>
      <w:r w:rsidRPr="000F3029">
        <w:rPr>
          <w:i/>
          <w:lang w:val="fr-CA"/>
        </w:rPr>
        <w:t>Utah avait</w:t>
      </w:r>
      <w:r w:rsidRPr="000F3029">
        <w:rPr>
          <w:i/>
          <w:lang w:val="fr-CA"/>
        </w:rPr>
        <w:noBreakHyphen/>
        <w:t>il compétence à l</w:t>
      </w:r>
      <w:r>
        <w:rPr>
          <w:i/>
          <w:lang w:val="fr-CA"/>
        </w:rPr>
        <w:t>’</w:t>
      </w:r>
      <w:r w:rsidRPr="000F3029">
        <w:rPr>
          <w:i/>
          <w:lang w:val="fr-CA"/>
        </w:rPr>
        <w:t xml:space="preserve">égard </w:t>
      </w:r>
      <w:r>
        <w:rPr>
          <w:i/>
          <w:lang w:val="fr-CA"/>
        </w:rPr>
        <w:t xml:space="preserve">du résidant du Québec </w:t>
      </w:r>
      <w:r w:rsidRPr="000F3029">
        <w:rPr>
          <w:i/>
          <w:lang w:val="fr-CA"/>
        </w:rPr>
        <w:t>en vertu des règles québécoises sur la compétence internationale indirecte dans les actions personnelles à caractère patrimonial? — Le fardeau de la preuve pour établir la compétence incombe</w:t>
      </w:r>
      <w:r w:rsidRPr="000F3029">
        <w:rPr>
          <w:i/>
          <w:lang w:val="fr-CA"/>
        </w:rPr>
        <w:noBreakHyphen/>
        <w:t>t</w:t>
      </w:r>
      <w:r w:rsidRPr="000F3029">
        <w:rPr>
          <w:i/>
          <w:lang w:val="fr-CA"/>
        </w:rPr>
        <w:noBreakHyphen/>
        <w:t xml:space="preserve">il à la </w:t>
      </w:r>
      <w:r w:rsidRPr="000F3029">
        <w:rPr>
          <w:i/>
          <w:lang w:val="fr-CA"/>
        </w:rPr>
        <w:lastRenderedPageBreak/>
        <w:t>partie qui demande la reconnaissance d</w:t>
      </w:r>
      <w:r>
        <w:rPr>
          <w:i/>
          <w:lang w:val="fr-CA"/>
        </w:rPr>
        <w:t>’</w:t>
      </w:r>
      <w:r w:rsidRPr="000F3029">
        <w:rPr>
          <w:i/>
          <w:lang w:val="fr-CA"/>
        </w:rPr>
        <w:t>un jugement étranger? — Le résidant du Québec a</w:t>
      </w:r>
      <w:r w:rsidRPr="000F3029">
        <w:rPr>
          <w:i/>
          <w:lang w:val="fr-CA"/>
        </w:rPr>
        <w:noBreakHyphen/>
        <w:t>t</w:t>
      </w:r>
      <w:r w:rsidRPr="000F3029">
        <w:rPr>
          <w:i/>
          <w:lang w:val="fr-CA"/>
        </w:rPr>
        <w:noBreakHyphen/>
        <w:t>il reconnu la compétence du tribunal de l</w:t>
      </w:r>
      <w:r>
        <w:rPr>
          <w:i/>
          <w:lang w:val="fr-CA"/>
        </w:rPr>
        <w:t>’</w:t>
      </w:r>
      <w:r w:rsidRPr="000F3029">
        <w:rPr>
          <w:i/>
          <w:lang w:val="fr-CA"/>
        </w:rPr>
        <w:t>Utah? — Le litige se rattache</w:t>
      </w:r>
      <w:r w:rsidRPr="000F3029">
        <w:rPr>
          <w:i/>
          <w:lang w:val="fr-CA"/>
        </w:rPr>
        <w:noBreakHyphen/>
        <w:t>t</w:t>
      </w:r>
      <w:r w:rsidRPr="000F3029">
        <w:rPr>
          <w:i/>
          <w:lang w:val="fr-CA"/>
        </w:rPr>
        <w:noBreakHyphen/>
        <w:t>il d</w:t>
      </w:r>
      <w:r>
        <w:rPr>
          <w:i/>
          <w:lang w:val="fr-CA"/>
        </w:rPr>
        <w:t>’</w:t>
      </w:r>
      <w:r w:rsidRPr="000F3029">
        <w:rPr>
          <w:i/>
          <w:lang w:val="fr-CA"/>
        </w:rPr>
        <w:t>une façon importante à l</w:t>
      </w:r>
      <w:r>
        <w:rPr>
          <w:i/>
          <w:lang w:val="fr-CA"/>
        </w:rPr>
        <w:t>’</w:t>
      </w:r>
      <w:r w:rsidRPr="000F3029">
        <w:rPr>
          <w:i/>
          <w:lang w:val="fr-CA"/>
        </w:rPr>
        <w:t>Utah? — Code civil du Québec, art</w:t>
      </w:r>
      <w:r w:rsidR="00994D9E">
        <w:rPr>
          <w:i/>
          <w:lang w:val="fr-CA"/>
        </w:rPr>
        <w:t>. 3155(1), 3164, 3168(3), (4),</w:t>
      </w:r>
      <w:r w:rsidRPr="000F3029">
        <w:rPr>
          <w:i/>
          <w:lang w:val="fr-CA"/>
        </w:rPr>
        <w:t xml:space="preserve"> (6).</w:t>
      </w:r>
    </w:p>
    <w:p w:rsidR="00AF6697" w:rsidRPr="00342757" w:rsidRDefault="00AF6697" w:rsidP="00AF6697">
      <w:pPr>
        <w:pStyle w:val="SCCNormalDoubleSpacing"/>
        <w:spacing w:after="480"/>
        <w:rPr>
          <w:lang w:val="fr-CA"/>
        </w:rPr>
      </w:pPr>
      <w:r w:rsidRPr="00342757">
        <w:rPr>
          <w:lang w:val="fr-CA"/>
        </w:rPr>
        <w:tab/>
        <w:t xml:space="preserve">B, </w:t>
      </w:r>
      <w:r>
        <w:rPr>
          <w:lang w:val="fr-CA"/>
        </w:rPr>
        <w:t>un résidant du</w:t>
      </w:r>
      <w:r w:rsidRPr="00342757">
        <w:rPr>
          <w:lang w:val="fr-CA"/>
        </w:rPr>
        <w:t xml:space="preserve"> Québec, a été poursuivi à titre personnel dans l</w:t>
      </w:r>
      <w:r>
        <w:rPr>
          <w:lang w:val="fr-CA"/>
        </w:rPr>
        <w:t>’</w:t>
      </w:r>
      <w:r w:rsidRPr="00342757">
        <w:rPr>
          <w:lang w:val="fr-CA"/>
        </w:rPr>
        <w:t xml:space="preserve">État du Utah, </w:t>
      </w:r>
      <w:r w:rsidRPr="004854BB">
        <w:rPr>
          <w:lang w:val="fr-CA"/>
        </w:rPr>
        <w:t>conjointement</w:t>
      </w:r>
      <w:r w:rsidRPr="00342757">
        <w:rPr>
          <w:lang w:val="fr-CA"/>
        </w:rPr>
        <w:t xml:space="preserve"> avec deux sociétés dont il aurait eu le contrôle, CBC et BEC. Knight, une société dont le siège était situé </w:t>
      </w:r>
      <w:r w:rsidR="00994D9E">
        <w:rPr>
          <w:lang w:val="fr-CA"/>
        </w:rPr>
        <w:t>en</w:t>
      </w:r>
      <w:r w:rsidRPr="00342757">
        <w:rPr>
          <w:lang w:val="fr-CA"/>
        </w:rPr>
        <w:t xml:space="preserve"> Utah, avait intenté </w:t>
      </w:r>
      <w:r>
        <w:rPr>
          <w:lang w:val="fr-CA"/>
        </w:rPr>
        <w:t>la</w:t>
      </w:r>
      <w:r w:rsidRPr="00342757">
        <w:rPr>
          <w:lang w:val="fr-CA"/>
        </w:rPr>
        <w:t xml:space="preserve"> poursuite et affirmait que BEC avait un solde dû aux termes d</w:t>
      </w:r>
      <w:r>
        <w:rPr>
          <w:lang w:val="fr-CA"/>
        </w:rPr>
        <w:t>’</w:t>
      </w:r>
      <w:r w:rsidRPr="00342757">
        <w:rPr>
          <w:lang w:val="fr-CA"/>
        </w:rPr>
        <w:t>un contrat intervenu entre elles. Knight soutenait que B avait faussement déclaré que les défendeurs allaient payer une certaine somme, qu</w:t>
      </w:r>
      <w:r>
        <w:rPr>
          <w:lang w:val="fr-CA"/>
        </w:rPr>
        <w:t>’</w:t>
      </w:r>
      <w:r w:rsidRPr="00342757">
        <w:rPr>
          <w:lang w:val="fr-CA"/>
        </w:rPr>
        <w:t>il fallait lever le voile de la personnalité morale des deux sociétés et que les défendeurs s</w:t>
      </w:r>
      <w:r>
        <w:rPr>
          <w:lang w:val="fr-CA"/>
        </w:rPr>
        <w:t>’</w:t>
      </w:r>
      <w:r w:rsidRPr="00342757">
        <w:rPr>
          <w:lang w:val="fr-CA"/>
        </w:rPr>
        <w:t>étaient injustement enrichis. B a présenté une requête sollicitant le rejet de la demande présentée contre lui au stade préliminaire, faisant valoir que</w:t>
      </w:r>
      <w:r>
        <w:rPr>
          <w:lang w:val="fr-CA"/>
        </w:rPr>
        <w:t xml:space="preserve"> </w:t>
      </w:r>
      <w:r w:rsidR="00316520">
        <w:rPr>
          <w:lang w:val="fr-CA"/>
        </w:rPr>
        <w:t>(</w:t>
      </w:r>
      <w:r>
        <w:rPr>
          <w:lang w:val="fr-CA"/>
        </w:rPr>
        <w:t>1) </w:t>
      </w:r>
      <w:r w:rsidRPr="00342757">
        <w:rPr>
          <w:lang w:val="fr-CA"/>
        </w:rPr>
        <w:t>la demande de Knight fondée sur de fausses déclarations était irrecevable en droit</w:t>
      </w:r>
      <w:r>
        <w:rPr>
          <w:lang w:val="fr-CA"/>
        </w:rPr>
        <w:t>,</w:t>
      </w:r>
      <w:r w:rsidRPr="00342757">
        <w:rPr>
          <w:lang w:val="fr-CA"/>
        </w:rPr>
        <w:t xml:space="preserve"> </w:t>
      </w:r>
      <w:r w:rsidR="00316520">
        <w:rPr>
          <w:lang w:val="fr-CA"/>
        </w:rPr>
        <w:t>(</w:t>
      </w:r>
      <w:r w:rsidRPr="00342757">
        <w:rPr>
          <w:lang w:val="fr-CA"/>
        </w:rPr>
        <w:t>2)</w:t>
      </w:r>
      <w:r>
        <w:rPr>
          <w:lang w:val="fr-CA"/>
        </w:rPr>
        <w:t> </w:t>
      </w:r>
      <w:r w:rsidRPr="00342757">
        <w:rPr>
          <w:lang w:val="fr-CA"/>
        </w:rPr>
        <w:t>le tribunal de l</w:t>
      </w:r>
      <w:r>
        <w:rPr>
          <w:lang w:val="fr-CA"/>
        </w:rPr>
        <w:t>’</w:t>
      </w:r>
      <w:r w:rsidRPr="00342757">
        <w:rPr>
          <w:lang w:val="fr-CA"/>
        </w:rPr>
        <w:t>Utah n</w:t>
      </w:r>
      <w:r>
        <w:rPr>
          <w:lang w:val="fr-CA"/>
        </w:rPr>
        <w:t>’</w:t>
      </w:r>
      <w:r w:rsidRPr="00342757">
        <w:rPr>
          <w:lang w:val="fr-CA"/>
        </w:rPr>
        <w:t xml:space="preserve">avait pas compétence à son égard </w:t>
      </w:r>
      <w:r>
        <w:rPr>
          <w:lang w:val="fr-CA"/>
        </w:rPr>
        <w:t xml:space="preserve">à titre personnel, et </w:t>
      </w:r>
      <w:r w:rsidR="00316520">
        <w:rPr>
          <w:lang w:val="fr-CA"/>
        </w:rPr>
        <w:t>(</w:t>
      </w:r>
      <w:r>
        <w:rPr>
          <w:lang w:val="fr-CA"/>
        </w:rPr>
        <w:t>3) </w:t>
      </w:r>
      <w:r w:rsidRPr="00342757">
        <w:rPr>
          <w:lang w:val="fr-CA"/>
        </w:rPr>
        <w:t>Knight n</w:t>
      </w:r>
      <w:r>
        <w:rPr>
          <w:lang w:val="fr-CA"/>
        </w:rPr>
        <w:t>’</w:t>
      </w:r>
      <w:r w:rsidRPr="00342757">
        <w:rPr>
          <w:lang w:val="fr-CA"/>
        </w:rPr>
        <w:t>avait pas démontré qu</w:t>
      </w:r>
      <w:r>
        <w:rPr>
          <w:lang w:val="fr-CA"/>
        </w:rPr>
        <w:t>’</w:t>
      </w:r>
      <w:r w:rsidRPr="00342757">
        <w:rPr>
          <w:lang w:val="fr-CA"/>
        </w:rPr>
        <w:t>il y avait lieu de lever le voile de la personnalité morale. Le tribunal de l</w:t>
      </w:r>
      <w:r>
        <w:rPr>
          <w:lang w:val="fr-CA"/>
        </w:rPr>
        <w:t>’</w:t>
      </w:r>
      <w:r w:rsidRPr="00342757">
        <w:rPr>
          <w:lang w:val="fr-CA"/>
        </w:rPr>
        <w:t>Utah a rejeté la requête de B et a subséquemment rendu un jugement par défaut contre les trois défendeurs. Knight a alors demandé la reconnaissance de cette décision au Québec et une déclaration selon laquelle elle est opposable à B. La Cour supérieure a jugé que la compétence du tribunal de l</w:t>
      </w:r>
      <w:r>
        <w:rPr>
          <w:lang w:val="fr-CA"/>
        </w:rPr>
        <w:t>’</w:t>
      </w:r>
      <w:r w:rsidRPr="00342757">
        <w:rPr>
          <w:lang w:val="fr-CA"/>
        </w:rPr>
        <w:t>Utah pouvait être reconnue, et ce, pour trois motifs. Deux</w:t>
      </w:r>
      <w:r>
        <w:rPr>
          <w:lang w:val="fr-CA"/>
        </w:rPr>
        <w:t xml:space="preserve"> de ces motifs</w:t>
      </w:r>
      <w:r w:rsidRPr="00342757">
        <w:rPr>
          <w:lang w:val="fr-CA"/>
        </w:rPr>
        <w:t xml:space="preserve"> avaient trait au contrat intervenu entre Knight et BEC et à la promesse de payer qu</w:t>
      </w:r>
      <w:r>
        <w:rPr>
          <w:lang w:val="fr-CA"/>
        </w:rPr>
        <w:t>’</w:t>
      </w:r>
      <w:r w:rsidRPr="00342757">
        <w:rPr>
          <w:lang w:val="fr-CA"/>
        </w:rPr>
        <w:t>aurait faite B. Le principal motif pour reconnaître la décision de l</w:t>
      </w:r>
      <w:r>
        <w:rPr>
          <w:lang w:val="fr-CA"/>
        </w:rPr>
        <w:t>’</w:t>
      </w:r>
      <w:r w:rsidRPr="00342757">
        <w:rPr>
          <w:lang w:val="fr-CA"/>
        </w:rPr>
        <w:t>Utah tenait toutefois au fait que B avait reconnu la compétence du tribunal d</w:t>
      </w:r>
      <w:r>
        <w:rPr>
          <w:lang w:val="fr-CA"/>
        </w:rPr>
        <w:t>e cet État</w:t>
      </w:r>
      <w:r w:rsidRPr="00342757">
        <w:rPr>
          <w:lang w:val="fr-CA"/>
        </w:rPr>
        <w:t>. La Cour d</w:t>
      </w:r>
      <w:r>
        <w:rPr>
          <w:lang w:val="fr-CA"/>
        </w:rPr>
        <w:t>’</w:t>
      </w:r>
      <w:r w:rsidRPr="00342757">
        <w:rPr>
          <w:lang w:val="fr-CA"/>
        </w:rPr>
        <w:t xml:space="preserve">appel a débouté B de son appel. </w:t>
      </w:r>
    </w:p>
    <w:p w:rsidR="00AF6697" w:rsidRPr="00342757" w:rsidRDefault="00AF6697" w:rsidP="00AF6697">
      <w:pPr>
        <w:pStyle w:val="SCCNormalDoubleSpacing"/>
        <w:spacing w:after="480"/>
        <w:rPr>
          <w:lang w:val="fr-CA"/>
        </w:rPr>
      </w:pPr>
      <w:r w:rsidRPr="00342757">
        <w:rPr>
          <w:lang w:val="fr-CA"/>
        </w:rPr>
        <w:lastRenderedPageBreak/>
        <w:tab/>
      </w:r>
      <w:r w:rsidRPr="003B32F1">
        <w:rPr>
          <w:i/>
          <w:lang w:val="fr-CA"/>
        </w:rPr>
        <w:t xml:space="preserve">Arrêt </w:t>
      </w:r>
      <w:r w:rsidRPr="00342757">
        <w:rPr>
          <w:lang w:val="fr-CA"/>
        </w:rPr>
        <w:t xml:space="preserve">(la juge Côté est dissidente) : Le pourvoi est rejeté. </w:t>
      </w:r>
    </w:p>
    <w:p w:rsidR="00AF6697" w:rsidRPr="00342757" w:rsidRDefault="00AF6697" w:rsidP="00AF6697">
      <w:pPr>
        <w:pStyle w:val="SCCNormalDoubleSpacing"/>
        <w:spacing w:after="480"/>
        <w:rPr>
          <w:lang w:val="fr-CA"/>
        </w:rPr>
      </w:pPr>
      <w:r w:rsidRPr="00342757">
        <w:rPr>
          <w:lang w:val="fr-CA"/>
        </w:rPr>
        <w:tab/>
      </w:r>
      <w:r w:rsidRPr="003B32F1">
        <w:rPr>
          <w:i/>
          <w:lang w:val="fr-CA"/>
        </w:rPr>
        <w:t>Le</w:t>
      </w:r>
      <w:r w:rsidRPr="00342757">
        <w:rPr>
          <w:lang w:val="fr-CA"/>
        </w:rPr>
        <w:t xml:space="preserve"> juge en chef Wagner et les juges Abella, Moldaver, Karakatsanis, </w:t>
      </w:r>
      <w:r w:rsidRPr="00316520">
        <w:rPr>
          <w:lang w:val="fr-CA"/>
        </w:rPr>
        <w:t>Gascon,</w:t>
      </w:r>
      <w:r w:rsidRPr="00342757">
        <w:rPr>
          <w:lang w:val="fr-CA"/>
        </w:rPr>
        <w:t xml:space="preserve"> Rowe et Martin : La décision de l</w:t>
      </w:r>
      <w:r>
        <w:rPr>
          <w:lang w:val="fr-CA"/>
        </w:rPr>
        <w:t>’</w:t>
      </w:r>
      <w:r w:rsidRPr="00342757">
        <w:rPr>
          <w:lang w:val="fr-CA"/>
        </w:rPr>
        <w:t xml:space="preserve">Utah </w:t>
      </w:r>
      <w:r w:rsidRPr="004854BB">
        <w:rPr>
          <w:lang w:val="fr-CA"/>
        </w:rPr>
        <w:t>doit</w:t>
      </w:r>
      <w:r w:rsidRPr="00342757">
        <w:rPr>
          <w:lang w:val="fr-CA"/>
        </w:rPr>
        <w:t xml:space="preserve"> être reconnue au Québec et opposée à B dans cette province. B a reconnu la compétence du tribunal de l</w:t>
      </w:r>
      <w:r>
        <w:rPr>
          <w:lang w:val="fr-CA"/>
        </w:rPr>
        <w:t>’</w:t>
      </w:r>
      <w:r w:rsidRPr="00342757">
        <w:rPr>
          <w:lang w:val="fr-CA"/>
        </w:rPr>
        <w:t xml:space="preserve">Utah comme le prévoit </w:t>
      </w:r>
      <w:r w:rsidR="00A06012">
        <w:rPr>
          <w:lang w:val="fr-CA"/>
        </w:rPr>
        <w:t>le par.</w:t>
      </w:r>
      <w:r w:rsidRPr="00342757">
        <w:rPr>
          <w:lang w:val="fr-CA"/>
        </w:rPr>
        <w:t xml:space="preserve"> 3168(6) du </w:t>
      </w:r>
      <w:r w:rsidRPr="003B32F1">
        <w:rPr>
          <w:i/>
          <w:lang w:val="fr-CA"/>
        </w:rPr>
        <w:t>Code civil du Québec</w:t>
      </w:r>
      <w:r w:rsidRPr="00342757">
        <w:rPr>
          <w:lang w:val="fr-CA"/>
        </w:rPr>
        <w:t xml:space="preserve"> (« </w:t>
      </w:r>
      <w:r w:rsidR="00FB1872">
        <w:rPr>
          <w:i/>
          <w:lang w:val="fr-CA"/>
        </w:rPr>
        <w:t>C.c.Q. </w:t>
      </w:r>
      <w:r w:rsidRPr="00342757">
        <w:rPr>
          <w:lang w:val="fr-CA"/>
        </w:rPr>
        <w:t>») en présentant des arguments de fond dans sa requête en irrecevabilité, qui, s</w:t>
      </w:r>
      <w:r>
        <w:rPr>
          <w:lang w:val="fr-CA"/>
        </w:rPr>
        <w:t>’</w:t>
      </w:r>
      <w:r w:rsidRPr="00342757">
        <w:rPr>
          <w:lang w:val="fr-CA"/>
        </w:rPr>
        <w:t>ils avaient été retenus, auraient résolu le litige en tout ou en partie. Cette reconnaissance suffit à établir la compétence du tribunal de l</w:t>
      </w:r>
      <w:r>
        <w:rPr>
          <w:lang w:val="fr-CA"/>
        </w:rPr>
        <w:t>’</w:t>
      </w:r>
      <w:r w:rsidRPr="00342757">
        <w:rPr>
          <w:lang w:val="fr-CA"/>
        </w:rPr>
        <w:t>Utah selon les principes du droit québécois en matière de compétence internationale indirecte. Étant donné qu</w:t>
      </w:r>
      <w:r>
        <w:rPr>
          <w:lang w:val="fr-CA"/>
        </w:rPr>
        <w:t>’</w:t>
      </w:r>
      <w:r w:rsidRPr="00342757">
        <w:rPr>
          <w:lang w:val="fr-CA"/>
        </w:rPr>
        <w:t>il existe un rattachement important entre le litige et l</w:t>
      </w:r>
      <w:r>
        <w:rPr>
          <w:lang w:val="fr-CA"/>
        </w:rPr>
        <w:t>’</w:t>
      </w:r>
      <w:r w:rsidRPr="00342757">
        <w:rPr>
          <w:lang w:val="fr-CA"/>
        </w:rPr>
        <w:t>Utah compte tenu de la reconnaissance de la compétence du tribunal de cet État par B, l</w:t>
      </w:r>
      <w:r>
        <w:rPr>
          <w:lang w:val="fr-CA"/>
        </w:rPr>
        <w:t>’</w:t>
      </w:r>
      <w:r w:rsidRPr="00342757">
        <w:rPr>
          <w:lang w:val="fr-CA"/>
        </w:rPr>
        <w:t>art. 3164 </w:t>
      </w:r>
      <w:r w:rsidRPr="000C4A2D">
        <w:rPr>
          <w:i/>
          <w:lang w:val="fr-CA"/>
        </w:rPr>
        <w:t xml:space="preserve">C.c.Q. </w:t>
      </w:r>
      <w:r w:rsidRPr="00342757">
        <w:rPr>
          <w:lang w:val="fr-CA"/>
        </w:rPr>
        <w:t>n</w:t>
      </w:r>
      <w:r>
        <w:rPr>
          <w:lang w:val="fr-CA"/>
        </w:rPr>
        <w:t>’</w:t>
      </w:r>
      <w:r w:rsidRPr="00342757">
        <w:rPr>
          <w:lang w:val="fr-CA"/>
        </w:rPr>
        <w:t>empêche pas la reconnaissance du jugement rendu contre lui par ce tribunal.</w:t>
      </w:r>
    </w:p>
    <w:p w:rsidR="00AF6697" w:rsidRPr="00342757" w:rsidRDefault="00AF6697" w:rsidP="00AF6697">
      <w:pPr>
        <w:pStyle w:val="SCCNormalDoubleSpacing"/>
        <w:spacing w:after="480"/>
        <w:rPr>
          <w:lang w:val="fr-CA"/>
        </w:rPr>
      </w:pPr>
      <w:r w:rsidRPr="00342757">
        <w:rPr>
          <w:lang w:val="fr-CA"/>
        </w:rPr>
        <w:tab/>
        <w:t>Conformément à l</w:t>
      </w:r>
      <w:r>
        <w:rPr>
          <w:lang w:val="fr-CA"/>
        </w:rPr>
        <w:t>’</w:t>
      </w:r>
      <w:r w:rsidRPr="00342757">
        <w:rPr>
          <w:lang w:val="fr-CA"/>
        </w:rPr>
        <w:t>objectif de favoriser la fluidité des échanges i</w:t>
      </w:r>
      <w:r>
        <w:rPr>
          <w:lang w:val="fr-CA"/>
        </w:rPr>
        <w:t>nternationaux, l’art. </w:t>
      </w:r>
      <w:r w:rsidRPr="00342757">
        <w:rPr>
          <w:lang w:val="fr-CA"/>
        </w:rPr>
        <w:t xml:space="preserve">3155 </w:t>
      </w:r>
      <w:r w:rsidRPr="000C4A2D">
        <w:rPr>
          <w:i/>
          <w:lang w:val="fr-CA"/>
        </w:rPr>
        <w:t xml:space="preserve">C.c.Q. </w:t>
      </w:r>
      <w:r w:rsidRPr="00342757">
        <w:rPr>
          <w:lang w:val="fr-CA"/>
        </w:rPr>
        <w:t xml:space="preserve">établit le principe </w:t>
      </w:r>
      <w:r>
        <w:rPr>
          <w:lang w:val="fr-CA"/>
        </w:rPr>
        <w:t>selon lequel</w:t>
      </w:r>
      <w:r w:rsidRPr="00342757">
        <w:rPr>
          <w:lang w:val="fr-CA"/>
        </w:rPr>
        <w:t xml:space="preserve"> toute décision rendue hors du Québec </w:t>
      </w:r>
      <w:r w:rsidR="00316520">
        <w:rPr>
          <w:lang w:val="fr-CA"/>
        </w:rPr>
        <w:t>est généralement</w:t>
      </w:r>
      <w:r w:rsidRPr="00342757">
        <w:rPr>
          <w:lang w:val="fr-CA"/>
        </w:rPr>
        <w:t xml:space="preserve"> reconnue et déclarée exécutoire au Québec. Cette disposition énumère six exceptions qui permettent aux tribunaux québécois de déroger à ce principe général et de refuser de reconnaître une décision étrangère, la première de ces exceptions ayant trait aux jugements rendus par une autorité qui n</w:t>
      </w:r>
      <w:r>
        <w:rPr>
          <w:lang w:val="fr-CA"/>
        </w:rPr>
        <w:t>’</w:t>
      </w:r>
      <w:r w:rsidRPr="00342757">
        <w:rPr>
          <w:lang w:val="fr-CA"/>
        </w:rPr>
        <w:t xml:space="preserve">était pas compétente pour décider du différend selon les règles du </w:t>
      </w:r>
      <w:r w:rsidRPr="000C4A2D">
        <w:rPr>
          <w:i/>
          <w:lang w:val="fr-CA"/>
        </w:rPr>
        <w:t xml:space="preserve">C.c.Q. </w:t>
      </w:r>
    </w:p>
    <w:p w:rsidR="00AF6697" w:rsidRPr="00342757" w:rsidRDefault="00AF6697" w:rsidP="00AF6697">
      <w:pPr>
        <w:pStyle w:val="SCCNormalDoubleSpacing"/>
        <w:spacing w:after="480"/>
        <w:rPr>
          <w:lang w:val="fr-CA"/>
        </w:rPr>
      </w:pPr>
      <w:r w:rsidRPr="00342757">
        <w:rPr>
          <w:lang w:val="fr-CA"/>
        </w:rPr>
        <w:tab/>
        <w:t xml:space="preserve">En ce qui concerne </w:t>
      </w:r>
      <w:r>
        <w:rPr>
          <w:lang w:val="fr-CA"/>
        </w:rPr>
        <w:t xml:space="preserve">cette </w:t>
      </w:r>
      <w:r w:rsidRPr="00342757">
        <w:rPr>
          <w:lang w:val="fr-CA"/>
        </w:rPr>
        <w:t xml:space="preserve">première exception, le titre quatrième du livre dixième du </w:t>
      </w:r>
      <w:r w:rsidRPr="000C4A2D">
        <w:rPr>
          <w:i/>
          <w:lang w:val="fr-CA"/>
        </w:rPr>
        <w:t xml:space="preserve">C.c.Q. </w:t>
      </w:r>
      <w:r w:rsidRPr="00342757">
        <w:rPr>
          <w:lang w:val="fr-CA"/>
        </w:rPr>
        <w:t xml:space="preserve">précise les circonstances dans lesquelles les tribunaux québécois reconnaissent la compétence des autorités étrangères. Ces règles ont pour objectif de </w:t>
      </w:r>
      <w:r w:rsidRPr="00342757">
        <w:rPr>
          <w:lang w:val="fr-CA"/>
        </w:rPr>
        <w:lastRenderedPageBreak/>
        <w:t>déterminer s</w:t>
      </w:r>
      <w:r>
        <w:rPr>
          <w:lang w:val="fr-CA"/>
        </w:rPr>
        <w:t>’</w:t>
      </w:r>
      <w:r w:rsidRPr="00342757">
        <w:rPr>
          <w:lang w:val="fr-CA"/>
        </w:rPr>
        <w:t>il convient d</w:t>
      </w:r>
      <w:r>
        <w:rPr>
          <w:lang w:val="fr-CA"/>
        </w:rPr>
        <w:t>’</w:t>
      </w:r>
      <w:r w:rsidRPr="00342757">
        <w:rPr>
          <w:lang w:val="fr-CA"/>
        </w:rPr>
        <w:t>incorporer certaines décisions rendues hors Québec dans l</w:t>
      </w:r>
      <w:r>
        <w:rPr>
          <w:lang w:val="fr-CA"/>
        </w:rPr>
        <w:t>’</w:t>
      </w:r>
      <w:r w:rsidRPr="00342757">
        <w:rPr>
          <w:lang w:val="fr-CA"/>
        </w:rPr>
        <w:t>ordre juridique interne. La compétence de tribunaux étrangers ainsi reconnue par les tribunaux locaux en fonction des règles du droit interne est désignée sous le vocable compétence internationale indirecte des autorités étrangères. Dans le cas des actions personnelles à caractère patrimonial, l</w:t>
      </w:r>
      <w:r>
        <w:rPr>
          <w:lang w:val="fr-CA"/>
        </w:rPr>
        <w:t>’</w:t>
      </w:r>
      <w:r w:rsidRPr="00342757">
        <w:rPr>
          <w:lang w:val="fr-CA"/>
        </w:rPr>
        <w:t xml:space="preserve">art. 3168 </w:t>
      </w:r>
      <w:r w:rsidRPr="000C4A2D">
        <w:rPr>
          <w:i/>
          <w:lang w:val="fr-CA"/>
        </w:rPr>
        <w:t xml:space="preserve">C.c.Q. </w:t>
      </w:r>
      <w:r w:rsidRPr="00342757">
        <w:rPr>
          <w:lang w:val="fr-CA"/>
        </w:rPr>
        <w:t>énumère six situations dans lesquelles les tribunaux québécois peuvent conclure à la compétence internationale indirecte des autorités étrangères. L</w:t>
      </w:r>
      <w:r>
        <w:rPr>
          <w:lang w:val="fr-CA"/>
        </w:rPr>
        <w:t>’</w:t>
      </w:r>
      <w:r w:rsidRPr="00342757">
        <w:rPr>
          <w:lang w:val="fr-CA"/>
        </w:rPr>
        <w:t>emploi de la proposition « n</w:t>
      </w:r>
      <w:r>
        <w:rPr>
          <w:lang w:val="fr-CA"/>
        </w:rPr>
        <w:t>’</w:t>
      </w:r>
      <w:r w:rsidRPr="00342757">
        <w:rPr>
          <w:lang w:val="fr-CA"/>
        </w:rPr>
        <w:t>est reconnue que dans les cas suivants » dans la phrase liminaire de l</w:t>
      </w:r>
      <w:r>
        <w:rPr>
          <w:lang w:val="fr-CA"/>
        </w:rPr>
        <w:t>’art. </w:t>
      </w:r>
      <w:r w:rsidRPr="00342757">
        <w:rPr>
          <w:lang w:val="fr-CA"/>
        </w:rPr>
        <w:t xml:space="preserve">3168 </w:t>
      </w:r>
      <w:r w:rsidRPr="000C4A2D">
        <w:rPr>
          <w:i/>
          <w:lang w:val="fr-CA"/>
        </w:rPr>
        <w:t xml:space="preserve">C.c.Q. </w:t>
      </w:r>
      <w:r w:rsidRPr="00342757">
        <w:rPr>
          <w:lang w:val="fr-CA"/>
        </w:rPr>
        <w:t>indique que l</w:t>
      </w:r>
      <w:r>
        <w:rPr>
          <w:lang w:val="fr-CA"/>
        </w:rPr>
        <w:t>’</w:t>
      </w:r>
      <w:r w:rsidRPr="00342757">
        <w:rPr>
          <w:lang w:val="fr-CA"/>
        </w:rPr>
        <w:t>énumération est exhaustive et que l</w:t>
      </w:r>
      <w:r>
        <w:rPr>
          <w:lang w:val="fr-CA"/>
        </w:rPr>
        <w:t>’</w:t>
      </w:r>
      <w:r w:rsidRPr="00342757">
        <w:rPr>
          <w:lang w:val="fr-CA"/>
        </w:rPr>
        <w:t>existence d</w:t>
      </w:r>
      <w:r>
        <w:rPr>
          <w:lang w:val="fr-CA"/>
        </w:rPr>
        <w:t>’</w:t>
      </w:r>
      <w:r w:rsidRPr="00342757">
        <w:rPr>
          <w:lang w:val="fr-CA"/>
        </w:rPr>
        <w:t>un seul des critères suffit pour établir la compétence de l</w:t>
      </w:r>
      <w:r>
        <w:rPr>
          <w:lang w:val="fr-CA"/>
        </w:rPr>
        <w:t>’</w:t>
      </w:r>
      <w:r w:rsidRPr="00342757">
        <w:rPr>
          <w:lang w:val="fr-CA"/>
        </w:rPr>
        <w:t>autorité étrangère.</w:t>
      </w:r>
    </w:p>
    <w:p w:rsidR="00AF6697" w:rsidRPr="00342757" w:rsidRDefault="00AF6697" w:rsidP="00AF6697">
      <w:pPr>
        <w:pStyle w:val="SCCNormalDoubleSpacing"/>
        <w:spacing w:after="480"/>
        <w:rPr>
          <w:lang w:val="fr-CA"/>
        </w:rPr>
      </w:pPr>
      <w:r>
        <w:rPr>
          <w:lang w:val="fr-CA"/>
        </w:rPr>
        <w:tab/>
      </w:r>
      <w:r w:rsidRPr="00342757">
        <w:rPr>
          <w:lang w:val="fr-CA"/>
        </w:rPr>
        <w:t>Le tribunal du Québec doit s</w:t>
      </w:r>
      <w:r>
        <w:rPr>
          <w:lang w:val="fr-CA"/>
        </w:rPr>
        <w:t>’</w:t>
      </w:r>
      <w:r w:rsidRPr="00342757">
        <w:rPr>
          <w:lang w:val="fr-CA"/>
        </w:rPr>
        <w:t>assurer que l</w:t>
      </w:r>
      <w:r>
        <w:rPr>
          <w:lang w:val="fr-CA"/>
        </w:rPr>
        <w:t>’</w:t>
      </w:r>
      <w:r w:rsidRPr="00342757">
        <w:rPr>
          <w:lang w:val="fr-CA"/>
        </w:rPr>
        <w:t xml:space="preserve">autorité étrangère avait compétence suivant les règles du </w:t>
      </w:r>
      <w:r w:rsidRPr="000C4A2D">
        <w:rPr>
          <w:i/>
          <w:lang w:val="fr-CA"/>
        </w:rPr>
        <w:t xml:space="preserve">C.c.Q. </w:t>
      </w:r>
      <w:r w:rsidRPr="00342757">
        <w:rPr>
          <w:lang w:val="fr-CA"/>
        </w:rPr>
        <w:t>À cette fin, il doit s</w:t>
      </w:r>
      <w:r>
        <w:rPr>
          <w:lang w:val="fr-CA"/>
        </w:rPr>
        <w:t>’</w:t>
      </w:r>
      <w:r w:rsidRPr="00342757">
        <w:rPr>
          <w:lang w:val="fr-CA"/>
        </w:rPr>
        <w:t>assurer de la compétence du tribunal étranger; il ne peut pas se contenter de juger si la personne qui s</w:t>
      </w:r>
      <w:r>
        <w:rPr>
          <w:lang w:val="fr-CA"/>
        </w:rPr>
        <w:t>’</w:t>
      </w:r>
      <w:r w:rsidRPr="00342757">
        <w:rPr>
          <w:lang w:val="fr-CA"/>
        </w:rPr>
        <w:t>oppose à la reconnaissance a démontré de façon satisfaisante le défaut de compétence. Une requête en reconnaissance et en exécution d</w:t>
      </w:r>
      <w:r>
        <w:rPr>
          <w:lang w:val="fr-CA"/>
        </w:rPr>
        <w:t>’</w:t>
      </w:r>
      <w:r w:rsidRPr="00342757">
        <w:rPr>
          <w:lang w:val="fr-CA"/>
        </w:rPr>
        <w:t>un jugement étranger constitue une demande en justice qui donne ouverture à un débat contradictoire régi par les règles générales de la procédure civile. Dans ce contexte, les parties ne sont pas exemptées de l</w:t>
      </w:r>
      <w:r>
        <w:rPr>
          <w:lang w:val="fr-CA"/>
        </w:rPr>
        <w:t>’</w:t>
      </w:r>
      <w:r w:rsidRPr="00342757">
        <w:rPr>
          <w:lang w:val="fr-CA"/>
        </w:rPr>
        <w:t>obligation, énoncée à l</w:t>
      </w:r>
      <w:r>
        <w:rPr>
          <w:lang w:val="fr-CA"/>
        </w:rPr>
        <w:t>’</w:t>
      </w:r>
      <w:r w:rsidRPr="00342757">
        <w:rPr>
          <w:lang w:val="fr-CA"/>
        </w:rPr>
        <w:t xml:space="preserve">art. 2803 </w:t>
      </w:r>
      <w:r w:rsidRPr="00B52B4E">
        <w:rPr>
          <w:i/>
          <w:lang w:val="fr-CA"/>
        </w:rPr>
        <w:t>C.c.Q.</w:t>
      </w:r>
      <w:r w:rsidRPr="00342757">
        <w:rPr>
          <w:lang w:val="fr-CA"/>
        </w:rPr>
        <w:t xml:space="preserve">, de prouver les faits sur </w:t>
      </w:r>
      <w:r>
        <w:rPr>
          <w:lang w:val="fr-CA"/>
        </w:rPr>
        <w:t>lesquels se fonde le droit qu’elles</w:t>
      </w:r>
      <w:r w:rsidRPr="00342757">
        <w:rPr>
          <w:lang w:val="fr-CA"/>
        </w:rPr>
        <w:t xml:space="preserve"> invoque</w:t>
      </w:r>
      <w:r>
        <w:rPr>
          <w:lang w:val="fr-CA"/>
        </w:rPr>
        <w:t>nt</w:t>
      </w:r>
      <w:r w:rsidRPr="00342757">
        <w:rPr>
          <w:lang w:val="fr-CA"/>
        </w:rPr>
        <w:t xml:space="preserve"> à la reconnaissance et à l</w:t>
      </w:r>
      <w:r>
        <w:rPr>
          <w:lang w:val="fr-CA"/>
        </w:rPr>
        <w:t>’</w:t>
      </w:r>
      <w:r w:rsidRPr="00342757">
        <w:rPr>
          <w:lang w:val="fr-CA"/>
        </w:rPr>
        <w:t>exécution de la décision étrangère. La compétence de l</w:t>
      </w:r>
      <w:r>
        <w:rPr>
          <w:lang w:val="fr-CA"/>
        </w:rPr>
        <w:t>’</w:t>
      </w:r>
      <w:r w:rsidRPr="00342757">
        <w:rPr>
          <w:lang w:val="fr-CA"/>
        </w:rPr>
        <w:t>autorité étrangère constitue un tel fait, et il incombe à la partie sollicitant la reconnaissance d</w:t>
      </w:r>
      <w:r>
        <w:rPr>
          <w:lang w:val="fr-CA"/>
        </w:rPr>
        <w:t>’</w:t>
      </w:r>
      <w:r w:rsidRPr="00342757">
        <w:rPr>
          <w:lang w:val="fr-CA"/>
        </w:rPr>
        <w:t>en faire la preuve et, ainsi, d</w:t>
      </w:r>
      <w:r>
        <w:rPr>
          <w:lang w:val="fr-CA"/>
        </w:rPr>
        <w:t>’</w:t>
      </w:r>
      <w:r w:rsidRPr="00342757">
        <w:rPr>
          <w:lang w:val="fr-CA"/>
        </w:rPr>
        <w:t>établir les faits sur lesquels se fonde la compétence internationale indirecte de l</w:t>
      </w:r>
      <w:r>
        <w:rPr>
          <w:lang w:val="fr-CA"/>
        </w:rPr>
        <w:t>’</w:t>
      </w:r>
      <w:r w:rsidRPr="00342757">
        <w:rPr>
          <w:lang w:val="fr-CA"/>
        </w:rPr>
        <w:t xml:space="preserve">autorité étrangère. </w:t>
      </w:r>
    </w:p>
    <w:p w:rsidR="00AF6697" w:rsidRPr="00342757" w:rsidRDefault="00AF6697" w:rsidP="00AF6697">
      <w:pPr>
        <w:pStyle w:val="SCCNormalDoubleSpacing"/>
        <w:spacing w:after="480"/>
        <w:rPr>
          <w:lang w:val="fr-CA"/>
        </w:rPr>
      </w:pPr>
      <w:r>
        <w:rPr>
          <w:lang w:val="fr-CA"/>
        </w:rPr>
        <w:lastRenderedPageBreak/>
        <w:tab/>
      </w:r>
      <w:r w:rsidRPr="00342757">
        <w:rPr>
          <w:lang w:val="fr-CA"/>
        </w:rPr>
        <w:t>La compétence du tribunal de l</w:t>
      </w:r>
      <w:r>
        <w:rPr>
          <w:lang w:val="fr-CA"/>
        </w:rPr>
        <w:t>’</w:t>
      </w:r>
      <w:r w:rsidRPr="00342757">
        <w:rPr>
          <w:lang w:val="fr-CA"/>
        </w:rPr>
        <w:t xml:space="preserve">Utah dans la présente affaire ne peut </w:t>
      </w:r>
      <w:r>
        <w:rPr>
          <w:lang w:val="fr-CA"/>
        </w:rPr>
        <w:t xml:space="preserve">pas </w:t>
      </w:r>
      <w:r w:rsidRPr="00342757">
        <w:rPr>
          <w:lang w:val="fr-CA"/>
        </w:rPr>
        <w:t>être établie au titre de</w:t>
      </w:r>
      <w:r>
        <w:rPr>
          <w:lang w:val="fr-CA"/>
        </w:rPr>
        <w:t xml:space="preserve">s </w:t>
      </w:r>
      <w:r w:rsidR="00A06012">
        <w:rPr>
          <w:lang w:val="fr-CA"/>
        </w:rPr>
        <w:t>par</w:t>
      </w:r>
      <w:r>
        <w:rPr>
          <w:lang w:val="fr-CA"/>
        </w:rPr>
        <w:t>. </w:t>
      </w:r>
      <w:r w:rsidRPr="00342757">
        <w:rPr>
          <w:lang w:val="fr-CA"/>
        </w:rPr>
        <w:t xml:space="preserve">3168(3) ou (4) </w:t>
      </w:r>
      <w:r w:rsidRPr="000C4A2D">
        <w:rPr>
          <w:i/>
          <w:lang w:val="fr-CA"/>
        </w:rPr>
        <w:t xml:space="preserve">C.c.Q. </w:t>
      </w:r>
      <w:r w:rsidRPr="00342757">
        <w:rPr>
          <w:lang w:val="fr-CA"/>
        </w:rPr>
        <w:t>L</w:t>
      </w:r>
      <w:r w:rsidR="00A06012">
        <w:rPr>
          <w:lang w:val="fr-CA"/>
        </w:rPr>
        <w:t>e paragraphe</w:t>
      </w:r>
      <w:r w:rsidRPr="00342757">
        <w:rPr>
          <w:lang w:val="fr-CA"/>
        </w:rPr>
        <w:t> 3168(3) </w:t>
      </w:r>
      <w:r w:rsidRPr="000C4A2D">
        <w:rPr>
          <w:i/>
          <w:lang w:val="fr-CA"/>
        </w:rPr>
        <w:t xml:space="preserve">C.c.Q. </w:t>
      </w:r>
      <w:r w:rsidRPr="00342757">
        <w:rPr>
          <w:lang w:val="fr-CA"/>
        </w:rPr>
        <w:t>prévoit que la compétence des autorités étrangères est reconnue au Québec si à la fois le préjudice et la faute dont il résulte sont survenus dans l</w:t>
      </w:r>
      <w:r>
        <w:rPr>
          <w:lang w:val="fr-CA"/>
        </w:rPr>
        <w:t>’</w:t>
      </w:r>
      <w:r w:rsidRPr="00342757">
        <w:rPr>
          <w:lang w:val="fr-CA"/>
        </w:rPr>
        <w:t>État où la décision a été rendue</w:t>
      </w:r>
      <w:r>
        <w:rPr>
          <w:lang w:val="fr-CA"/>
        </w:rPr>
        <w:t xml:space="preserve">. </w:t>
      </w:r>
      <w:r w:rsidRPr="00342757">
        <w:rPr>
          <w:lang w:val="fr-CA"/>
        </w:rPr>
        <w:t xml:space="preserve">Pour sa part, </w:t>
      </w:r>
      <w:r w:rsidR="00A06012">
        <w:rPr>
          <w:lang w:val="fr-CA"/>
        </w:rPr>
        <w:t>le par.</w:t>
      </w:r>
      <w:r w:rsidRPr="00342757">
        <w:rPr>
          <w:lang w:val="fr-CA"/>
        </w:rPr>
        <w:t> 3168(4) </w:t>
      </w:r>
      <w:r w:rsidRPr="000C4A2D">
        <w:rPr>
          <w:i/>
          <w:lang w:val="fr-CA"/>
        </w:rPr>
        <w:t xml:space="preserve">C.c.Q. </w:t>
      </w:r>
      <w:r w:rsidRPr="00342757">
        <w:rPr>
          <w:lang w:val="fr-CA"/>
        </w:rPr>
        <w:t>dispose que la compétence d</w:t>
      </w:r>
      <w:r>
        <w:rPr>
          <w:lang w:val="fr-CA"/>
        </w:rPr>
        <w:t>’</w:t>
      </w:r>
      <w:r w:rsidRPr="00342757">
        <w:rPr>
          <w:lang w:val="fr-CA"/>
        </w:rPr>
        <w:t>une autorité étrangère est reconnue</w:t>
      </w:r>
      <w:r>
        <w:rPr>
          <w:lang w:val="fr-CA"/>
        </w:rPr>
        <w:t xml:space="preserve"> </w:t>
      </w:r>
      <w:r w:rsidRPr="00342757">
        <w:rPr>
          <w:lang w:val="fr-CA"/>
        </w:rPr>
        <w:t xml:space="preserve">lorsque sa décision concerne </w:t>
      </w:r>
      <w:r w:rsidRPr="004854BB">
        <w:rPr>
          <w:lang w:val="fr-CA"/>
        </w:rPr>
        <w:t>les obligations découlant d’un contrat qui devaient être exécutées dans cet État</w:t>
      </w:r>
      <w:r w:rsidRPr="00342757">
        <w:rPr>
          <w:lang w:val="fr-CA"/>
        </w:rPr>
        <w:t>. En l</w:t>
      </w:r>
      <w:r>
        <w:rPr>
          <w:lang w:val="fr-CA"/>
        </w:rPr>
        <w:t>’</w:t>
      </w:r>
      <w:r w:rsidRPr="00342757">
        <w:rPr>
          <w:lang w:val="fr-CA"/>
        </w:rPr>
        <w:t>espèce, les pièces que Knight a déposées devant la Cour supérieure consistaient essentiellement en des documents relatant le déroulement de l</w:t>
      </w:r>
      <w:r>
        <w:rPr>
          <w:lang w:val="fr-CA"/>
        </w:rPr>
        <w:t>’</w:t>
      </w:r>
      <w:r w:rsidRPr="00342757">
        <w:rPr>
          <w:lang w:val="fr-CA"/>
        </w:rPr>
        <w:t>instance dans l</w:t>
      </w:r>
      <w:r>
        <w:rPr>
          <w:lang w:val="fr-CA"/>
        </w:rPr>
        <w:t>’</w:t>
      </w:r>
      <w:r w:rsidRPr="00342757">
        <w:rPr>
          <w:lang w:val="fr-CA"/>
        </w:rPr>
        <w:t>Utah. Knight ne pouvait pas s</w:t>
      </w:r>
      <w:r>
        <w:rPr>
          <w:lang w:val="fr-CA"/>
        </w:rPr>
        <w:t>’</w:t>
      </w:r>
      <w:r w:rsidRPr="00342757">
        <w:rPr>
          <w:lang w:val="fr-CA"/>
        </w:rPr>
        <w:t>en remettre aux allégations formulées dans les actes de procédure qu</w:t>
      </w:r>
      <w:r>
        <w:rPr>
          <w:lang w:val="fr-CA"/>
        </w:rPr>
        <w:t>’</w:t>
      </w:r>
      <w:r w:rsidRPr="00342757">
        <w:rPr>
          <w:lang w:val="fr-CA"/>
        </w:rPr>
        <w:t>elle a elle-même déposés devant le tribunal de l</w:t>
      </w:r>
      <w:r>
        <w:rPr>
          <w:lang w:val="fr-CA"/>
        </w:rPr>
        <w:t>’</w:t>
      </w:r>
      <w:r w:rsidRPr="00342757">
        <w:rPr>
          <w:lang w:val="fr-CA"/>
        </w:rPr>
        <w:t>Utah pour établir la compétence de ce dernier à l</w:t>
      </w:r>
      <w:r>
        <w:rPr>
          <w:lang w:val="fr-CA"/>
        </w:rPr>
        <w:t>’</w:t>
      </w:r>
      <w:r w:rsidRPr="00342757">
        <w:rPr>
          <w:lang w:val="fr-CA"/>
        </w:rPr>
        <w:t xml:space="preserve">égard de B conformément aux règles du </w:t>
      </w:r>
      <w:r w:rsidRPr="000C4A2D">
        <w:rPr>
          <w:i/>
          <w:lang w:val="fr-CA"/>
        </w:rPr>
        <w:t xml:space="preserve">C.c.Q. </w:t>
      </w:r>
      <w:r w:rsidRPr="00342757">
        <w:rPr>
          <w:lang w:val="fr-CA"/>
        </w:rPr>
        <w:t>Elle devait soumettre des éléments de preuve au tribunal d</w:t>
      </w:r>
      <w:r>
        <w:rPr>
          <w:lang w:val="fr-CA"/>
        </w:rPr>
        <w:t>’</w:t>
      </w:r>
      <w:r w:rsidRPr="00342757">
        <w:rPr>
          <w:lang w:val="fr-CA"/>
        </w:rPr>
        <w:t>exécution québécois pour s</w:t>
      </w:r>
      <w:r>
        <w:rPr>
          <w:lang w:val="fr-CA"/>
        </w:rPr>
        <w:t>’</w:t>
      </w:r>
      <w:r w:rsidRPr="00342757">
        <w:rPr>
          <w:lang w:val="fr-CA"/>
        </w:rPr>
        <w:t>acquitter de son fardeau de démontrer l</w:t>
      </w:r>
      <w:r>
        <w:rPr>
          <w:lang w:val="fr-CA"/>
        </w:rPr>
        <w:t>’</w:t>
      </w:r>
      <w:r w:rsidRPr="00342757">
        <w:rPr>
          <w:lang w:val="fr-CA"/>
        </w:rPr>
        <w:t>existence des chefs de compétence sur lesquels elle se fondait. Knight n</w:t>
      </w:r>
      <w:r>
        <w:rPr>
          <w:lang w:val="fr-CA"/>
        </w:rPr>
        <w:t>’</w:t>
      </w:r>
      <w:r w:rsidRPr="00342757">
        <w:rPr>
          <w:lang w:val="fr-CA"/>
        </w:rPr>
        <w:t xml:space="preserve">a présenté aucun élément de preuve se rapportant </w:t>
      </w:r>
      <w:r>
        <w:rPr>
          <w:lang w:val="fr-CA"/>
        </w:rPr>
        <w:t xml:space="preserve">aux </w:t>
      </w:r>
      <w:r w:rsidR="00A06012">
        <w:rPr>
          <w:lang w:val="fr-CA"/>
        </w:rPr>
        <w:t>par</w:t>
      </w:r>
      <w:r w:rsidRPr="00342757">
        <w:rPr>
          <w:lang w:val="fr-CA"/>
        </w:rPr>
        <w:t>. 3168(3) ou (4) en ce qui a trait à B à titre personnel. Par conséquent, au vu du dossier, la Cour supérieure ne pouvait pas reconnaître la compétence du tribunal de l</w:t>
      </w:r>
      <w:r>
        <w:rPr>
          <w:lang w:val="fr-CA"/>
        </w:rPr>
        <w:t>’</w:t>
      </w:r>
      <w:r w:rsidRPr="00342757">
        <w:rPr>
          <w:lang w:val="fr-CA"/>
        </w:rPr>
        <w:t>Utah en se fondant sur l</w:t>
      </w:r>
      <w:r>
        <w:rPr>
          <w:lang w:val="fr-CA"/>
        </w:rPr>
        <w:t>’</w:t>
      </w:r>
      <w:r w:rsidRPr="00342757">
        <w:rPr>
          <w:lang w:val="fr-CA"/>
        </w:rPr>
        <w:t>un ou l</w:t>
      </w:r>
      <w:r>
        <w:rPr>
          <w:lang w:val="fr-CA"/>
        </w:rPr>
        <w:t>’</w:t>
      </w:r>
      <w:r w:rsidRPr="00342757">
        <w:rPr>
          <w:lang w:val="fr-CA"/>
        </w:rPr>
        <w:t xml:space="preserve">autre de ces deux paragraphes. </w:t>
      </w:r>
    </w:p>
    <w:p w:rsidR="00AF6697" w:rsidRPr="00342757" w:rsidRDefault="00AF6697" w:rsidP="00AF6697">
      <w:pPr>
        <w:pStyle w:val="SCCNormalDoubleSpacing"/>
        <w:spacing w:after="480"/>
        <w:rPr>
          <w:lang w:val="fr-CA"/>
        </w:rPr>
      </w:pPr>
      <w:r>
        <w:rPr>
          <w:lang w:val="fr-CA"/>
        </w:rPr>
        <w:tab/>
      </w:r>
      <w:r w:rsidRPr="00342757">
        <w:rPr>
          <w:lang w:val="fr-CA"/>
        </w:rPr>
        <w:t>Toutefois, les cours d</w:t>
      </w:r>
      <w:r>
        <w:rPr>
          <w:lang w:val="fr-CA"/>
        </w:rPr>
        <w:t>’</w:t>
      </w:r>
      <w:r w:rsidRPr="00342757">
        <w:rPr>
          <w:lang w:val="fr-CA"/>
        </w:rPr>
        <w:t xml:space="preserve">instances inférieures étaient justifiées de conclure que le motif de reconnaissance prévu </w:t>
      </w:r>
      <w:r w:rsidR="007A2AD5">
        <w:rPr>
          <w:lang w:val="fr-CA"/>
        </w:rPr>
        <w:t>au par.</w:t>
      </w:r>
      <w:r>
        <w:rPr>
          <w:lang w:val="fr-CA"/>
        </w:rPr>
        <w:t> </w:t>
      </w:r>
      <w:r w:rsidRPr="00342757">
        <w:rPr>
          <w:lang w:val="fr-CA"/>
        </w:rPr>
        <w:t xml:space="preserve">3168(6) </w:t>
      </w:r>
      <w:r>
        <w:rPr>
          <w:i/>
          <w:lang w:val="fr-CA"/>
        </w:rPr>
        <w:t>C.c.Q.</w:t>
      </w:r>
      <w:r w:rsidRPr="003B32F1">
        <w:rPr>
          <w:lang w:val="fr-CA"/>
        </w:rPr>
        <w:t xml:space="preserve">, </w:t>
      </w:r>
      <w:r w:rsidRPr="00342757">
        <w:rPr>
          <w:lang w:val="fr-CA"/>
        </w:rPr>
        <w:t>à savoir la reconnaissance de l</w:t>
      </w:r>
      <w:r>
        <w:rPr>
          <w:lang w:val="fr-CA"/>
        </w:rPr>
        <w:t>’</w:t>
      </w:r>
      <w:r w:rsidRPr="00342757">
        <w:rPr>
          <w:lang w:val="fr-CA"/>
        </w:rPr>
        <w:t>autorité étrangère, était respecté en l</w:t>
      </w:r>
      <w:r>
        <w:rPr>
          <w:lang w:val="fr-CA"/>
        </w:rPr>
        <w:t>’</w:t>
      </w:r>
      <w:r w:rsidRPr="00342757">
        <w:rPr>
          <w:lang w:val="fr-CA"/>
        </w:rPr>
        <w:t xml:space="preserve">espèce. Contrairement à ce qui était le cas pour les moyens prévus aux </w:t>
      </w:r>
      <w:r w:rsidR="007A2AD5">
        <w:rPr>
          <w:lang w:val="fr-CA"/>
        </w:rPr>
        <w:t>par.</w:t>
      </w:r>
      <w:r>
        <w:rPr>
          <w:lang w:val="fr-CA"/>
        </w:rPr>
        <w:t> </w:t>
      </w:r>
      <w:r w:rsidRPr="00342757">
        <w:rPr>
          <w:lang w:val="fr-CA"/>
        </w:rPr>
        <w:t xml:space="preserve">3168(3) et (4), les faits procéduraux qui sous-tendent cet argument </w:t>
      </w:r>
      <w:r>
        <w:rPr>
          <w:lang w:val="fr-CA"/>
        </w:rPr>
        <w:t xml:space="preserve">fondé sur </w:t>
      </w:r>
      <w:r w:rsidR="007A2AD5">
        <w:rPr>
          <w:lang w:val="fr-CA"/>
        </w:rPr>
        <w:t>le par.</w:t>
      </w:r>
      <w:r w:rsidRPr="00342757">
        <w:rPr>
          <w:lang w:val="fr-CA"/>
        </w:rPr>
        <w:t> 3168(6)</w:t>
      </w:r>
      <w:r w:rsidRPr="00B52B4E">
        <w:rPr>
          <w:i/>
          <w:lang w:val="fr-CA"/>
        </w:rPr>
        <w:t> </w:t>
      </w:r>
      <w:r w:rsidRPr="000C4A2D">
        <w:rPr>
          <w:i/>
          <w:lang w:val="fr-CA"/>
        </w:rPr>
        <w:t xml:space="preserve">C.c.Q. </w:t>
      </w:r>
      <w:r w:rsidRPr="00342757">
        <w:rPr>
          <w:lang w:val="fr-CA"/>
        </w:rPr>
        <w:t xml:space="preserve">sont tous étayés par les pièces qui ont été déposées. La jurisprudence québécoise admet depuis longtemps la reconnaissance de </w:t>
      </w:r>
      <w:r w:rsidRPr="00342757">
        <w:rPr>
          <w:lang w:val="fr-CA"/>
        </w:rPr>
        <w:lastRenderedPageBreak/>
        <w:t>la compétence d</w:t>
      </w:r>
      <w:r>
        <w:rPr>
          <w:lang w:val="fr-CA"/>
        </w:rPr>
        <w:t>’</w:t>
      </w:r>
      <w:r w:rsidRPr="00342757">
        <w:rPr>
          <w:lang w:val="fr-CA"/>
        </w:rPr>
        <w:t>un tribunal comme un motif permettant d</w:t>
      </w:r>
      <w:r>
        <w:rPr>
          <w:lang w:val="fr-CA"/>
        </w:rPr>
        <w:t>’</w:t>
      </w:r>
      <w:r w:rsidRPr="00342757">
        <w:rPr>
          <w:lang w:val="fr-CA"/>
        </w:rPr>
        <w:t xml:space="preserve">en asseoir la compétence, et ce motif est maintenant expressément prévu </w:t>
      </w:r>
      <w:r w:rsidR="007A2AD5">
        <w:rPr>
          <w:lang w:val="fr-CA"/>
        </w:rPr>
        <w:t>au par.</w:t>
      </w:r>
      <w:r>
        <w:rPr>
          <w:lang w:val="fr-CA"/>
        </w:rPr>
        <w:t> </w:t>
      </w:r>
      <w:r w:rsidRPr="00342757">
        <w:rPr>
          <w:lang w:val="fr-CA"/>
        </w:rPr>
        <w:t>3168(6). La question de savoir si le défendeur a reconnu la compétence de l</w:t>
      </w:r>
      <w:r>
        <w:rPr>
          <w:lang w:val="fr-CA"/>
        </w:rPr>
        <w:t>’</w:t>
      </w:r>
      <w:r w:rsidRPr="00342757">
        <w:rPr>
          <w:lang w:val="fr-CA"/>
        </w:rPr>
        <w:t xml:space="preserve">autorité étrangère est décidée au regard des règles de la compétence internationale indirecte énoncées dans le </w:t>
      </w:r>
      <w:r w:rsidRPr="000C4A2D">
        <w:rPr>
          <w:i/>
          <w:lang w:val="fr-CA"/>
        </w:rPr>
        <w:t xml:space="preserve">C.c.Q. </w:t>
      </w:r>
      <w:r w:rsidRPr="00342757">
        <w:rPr>
          <w:lang w:val="fr-CA"/>
        </w:rPr>
        <w:t>En droit québécois, la reconnaissance de la compétence peut être explicite ou implicite, mais elle doit être claire. Le défendeur qui a reconnu la compétence d</w:t>
      </w:r>
      <w:r>
        <w:rPr>
          <w:lang w:val="fr-CA"/>
        </w:rPr>
        <w:t>’</w:t>
      </w:r>
      <w:r w:rsidRPr="00342757">
        <w:rPr>
          <w:lang w:val="fr-CA"/>
        </w:rPr>
        <w:t>une autorité étrangère ne peut pas par la suite retirer son acquiescement. Pour la bonne administration de la justice, il est nécessaire que, dès lors que la compétence a été valablement établie, l</w:t>
      </w:r>
      <w:r>
        <w:rPr>
          <w:lang w:val="fr-CA"/>
        </w:rPr>
        <w:t>’</w:t>
      </w:r>
      <w:r w:rsidRPr="00342757">
        <w:rPr>
          <w:lang w:val="fr-CA"/>
        </w:rPr>
        <w:t>affaire soit instruite par le même for, indépendamment des caprices des parties. La question de la reconnaissance de la compétence est une question mixte de fait et de droit, car le décideur doit appliquer une norme de droit à une série de faits, soupeser ces faits et tirer des conclusions. La décision rendue à cet égard ne doit pas être infirmée, sauf erreur manifeste et déterminante, pourvu qu</w:t>
      </w:r>
      <w:r>
        <w:rPr>
          <w:lang w:val="fr-CA"/>
        </w:rPr>
        <w:t>’</w:t>
      </w:r>
      <w:r w:rsidRPr="00342757">
        <w:rPr>
          <w:lang w:val="fr-CA"/>
        </w:rPr>
        <w:t xml:space="preserve">aucune question juridique </w:t>
      </w:r>
      <w:r>
        <w:rPr>
          <w:lang w:val="fr-CA"/>
        </w:rPr>
        <w:t>isolable</w:t>
      </w:r>
      <w:r w:rsidRPr="00342757">
        <w:rPr>
          <w:lang w:val="fr-CA"/>
        </w:rPr>
        <w:t xml:space="preserve"> n</w:t>
      </w:r>
      <w:r>
        <w:rPr>
          <w:lang w:val="fr-CA"/>
        </w:rPr>
        <w:t>’</w:t>
      </w:r>
      <w:r w:rsidRPr="00342757">
        <w:rPr>
          <w:lang w:val="fr-CA"/>
        </w:rPr>
        <w:t>ait été identifiée.</w:t>
      </w:r>
    </w:p>
    <w:p w:rsidR="00AF6697" w:rsidRPr="00342757" w:rsidRDefault="00AF6697" w:rsidP="00AF6697">
      <w:pPr>
        <w:pStyle w:val="SCCNormalDoubleSpacing"/>
        <w:spacing w:after="480"/>
        <w:rPr>
          <w:lang w:val="fr-CA"/>
        </w:rPr>
      </w:pPr>
      <w:r>
        <w:rPr>
          <w:lang w:val="fr-CA"/>
        </w:rPr>
        <w:tab/>
      </w:r>
      <w:r w:rsidRPr="00342757">
        <w:rPr>
          <w:lang w:val="fr-CA"/>
        </w:rPr>
        <w:t>Un défendeur reconnaît la compétence du tribunal saisi lorsqu</w:t>
      </w:r>
      <w:r>
        <w:rPr>
          <w:lang w:val="fr-CA"/>
        </w:rPr>
        <w:t>’</w:t>
      </w:r>
      <w:r w:rsidRPr="00342757">
        <w:rPr>
          <w:lang w:val="fr-CA"/>
        </w:rPr>
        <w:t>il présente des arguments de fond qui, s</w:t>
      </w:r>
      <w:r>
        <w:rPr>
          <w:lang w:val="fr-CA"/>
        </w:rPr>
        <w:t>’</w:t>
      </w:r>
      <w:r w:rsidRPr="00342757">
        <w:rPr>
          <w:lang w:val="fr-CA"/>
        </w:rPr>
        <w:t>ils étaient retenus, permettraient de trancher le litige sur le fond, en tout ou en partie. Les parties qui choisissent de faire valoir des arguments de fond pour étayer leur thèse devant un tribunal acquiescent à la compétence de cette autorité. L</w:t>
      </w:r>
      <w:r>
        <w:rPr>
          <w:lang w:val="fr-CA"/>
        </w:rPr>
        <w:t>’</w:t>
      </w:r>
      <w:r w:rsidRPr="00342757">
        <w:rPr>
          <w:lang w:val="fr-CA"/>
        </w:rPr>
        <w:t>approche relative à la reconnaissance de la compétence qui consiste à « sauver les meubles », approche voulant qu</w:t>
      </w:r>
      <w:r>
        <w:rPr>
          <w:lang w:val="fr-CA"/>
        </w:rPr>
        <w:t>’</w:t>
      </w:r>
      <w:r w:rsidRPr="00342757">
        <w:rPr>
          <w:lang w:val="fr-CA"/>
        </w:rPr>
        <w:t>un défendeur qui présente une défense au fond en même temps que ses moyens déclinatoires ne soit pas considéré comme ayant reconnu la compétence, doit être rejetée. En l</w:t>
      </w:r>
      <w:r>
        <w:rPr>
          <w:lang w:val="fr-CA"/>
        </w:rPr>
        <w:t>’</w:t>
      </w:r>
      <w:r w:rsidRPr="00342757">
        <w:rPr>
          <w:lang w:val="fr-CA"/>
        </w:rPr>
        <w:t>espèce, B a invoqué dans sa requête en irrecevabilité au moins un argument qui avait trait au bien-fondé de l</w:t>
      </w:r>
      <w:r>
        <w:rPr>
          <w:lang w:val="fr-CA"/>
        </w:rPr>
        <w:t>’</w:t>
      </w:r>
      <w:r w:rsidRPr="00342757">
        <w:rPr>
          <w:lang w:val="fr-CA"/>
        </w:rPr>
        <w:t>action intentée contre lui et qui, s</w:t>
      </w:r>
      <w:r>
        <w:rPr>
          <w:lang w:val="fr-CA"/>
        </w:rPr>
        <w:t>’</w:t>
      </w:r>
      <w:r w:rsidRPr="00342757">
        <w:rPr>
          <w:lang w:val="fr-CA"/>
        </w:rPr>
        <w:t xml:space="preserve">il avait été retenu, se serait traduit par une conclusion définitive qui </w:t>
      </w:r>
      <w:r w:rsidRPr="00342757">
        <w:rPr>
          <w:lang w:val="fr-CA"/>
        </w:rPr>
        <w:lastRenderedPageBreak/>
        <w:t>lui aurait été favorable. L</w:t>
      </w:r>
      <w:r>
        <w:rPr>
          <w:lang w:val="fr-CA"/>
        </w:rPr>
        <w:t>’</w:t>
      </w:r>
      <w:r w:rsidRPr="00342757">
        <w:rPr>
          <w:lang w:val="fr-CA"/>
        </w:rPr>
        <w:t>argument selon lequel l</w:t>
      </w:r>
      <w:r>
        <w:rPr>
          <w:lang w:val="fr-CA"/>
        </w:rPr>
        <w:t>’</w:t>
      </w:r>
      <w:r w:rsidRPr="00342757">
        <w:rPr>
          <w:lang w:val="fr-CA"/>
        </w:rPr>
        <w:t>allégation de Knight relative aux fausses déclarations était irrecevable aurait pu conduire le tribunal de l</w:t>
      </w:r>
      <w:r>
        <w:rPr>
          <w:lang w:val="fr-CA"/>
        </w:rPr>
        <w:t>’</w:t>
      </w:r>
      <w:r w:rsidRPr="00342757">
        <w:rPr>
          <w:lang w:val="fr-CA"/>
        </w:rPr>
        <w:t>Utah à rejeter définitivement cette allégation. Une telle conclusion aurait acquis force de chose jugée et empêché Knight de faire valoir cette allégation devant un autre tribunal. L</w:t>
      </w:r>
      <w:r>
        <w:rPr>
          <w:lang w:val="fr-CA"/>
        </w:rPr>
        <w:t>’</w:t>
      </w:r>
      <w:r w:rsidRPr="00342757">
        <w:rPr>
          <w:lang w:val="fr-CA"/>
        </w:rPr>
        <w:t>argument de B s</w:t>
      </w:r>
      <w:r>
        <w:rPr>
          <w:lang w:val="fr-CA"/>
        </w:rPr>
        <w:t>’</w:t>
      </w:r>
      <w:r w:rsidRPr="00342757">
        <w:rPr>
          <w:lang w:val="fr-CA"/>
        </w:rPr>
        <w:t>apparentait donc à un moyen de défense sur le fond aux fins de la reconnaissance de la compétence du tribunal de l</w:t>
      </w:r>
      <w:r>
        <w:rPr>
          <w:lang w:val="fr-CA"/>
        </w:rPr>
        <w:t>’</w:t>
      </w:r>
      <w:r w:rsidRPr="00342757">
        <w:rPr>
          <w:lang w:val="fr-CA"/>
        </w:rPr>
        <w:t>Utah. B n</w:t>
      </w:r>
      <w:r>
        <w:rPr>
          <w:lang w:val="fr-CA"/>
        </w:rPr>
        <w:t>’</w:t>
      </w:r>
      <w:r w:rsidRPr="00342757">
        <w:rPr>
          <w:lang w:val="fr-CA"/>
        </w:rPr>
        <w:t>a en outre pas démontré que, en raison de l</w:t>
      </w:r>
      <w:r>
        <w:rPr>
          <w:lang w:val="fr-CA"/>
        </w:rPr>
        <w:t>’</w:t>
      </w:r>
      <w:r w:rsidRPr="00342757">
        <w:rPr>
          <w:lang w:val="fr-CA"/>
        </w:rPr>
        <w:t>application des règles de procédure de l</w:t>
      </w:r>
      <w:r>
        <w:rPr>
          <w:lang w:val="fr-CA"/>
        </w:rPr>
        <w:t>’</w:t>
      </w:r>
      <w:r w:rsidRPr="00342757">
        <w:rPr>
          <w:lang w:val="fr-CA"/>
        </w:rPr>
        <w:t>Utah, il n</w:t>
      </w:r>
      <w:r>
        <w:rPr>
          <w:lang w:val="fr-CA"/>
        </w:rPr>
        <w:t>’</w:t>
      </w:r>
      <w:r w:rsidRPr="00342757">
        <w:rPr>
          <w:lang w:val="fr-CA"/>
        </w:rPr>
        <w:t>avait d</w:t>
      </w:r>
      <w:r>
        <w:rPr>
          <w:lang w:val="fr-CA"/>
        </w:rPr>
        <w:t>’</w:t>
      </w:r>
      <w:r w:rsidRPr="00342757">
        <w:rPr>
          <w:lang w:val="fr-CA"/>
        </w:rPr>
        <w:t>autre choix que de procéder comme il l</w:t>
      </w:r>
      <w:r>
        <w:rPr>
          <w:lang w:val="fr-CA"/>
        </w:rPr>
        <w:t>’</w:t>
      </w:r>
      <w:r w:rsidRPr="00342757">
        <w:rPr>
          <w:lang w:val="fr-CA"/>
        </w:rPr>
        <w:t>a fait et il était tenu de présenter ensemble tous ses moyens préliminaires. Aucun des éléments de preuve qu</w:t>
      </w:r>
      <w:r>
        <w:rPr>
          <w:lang w:val="fr-CA"/>
        </w:rPr>
        <w:t>’</w:t>
      </w:r>
      <w:r w:rsidRPr="00342757">
        <w:rPr>
          <w:lang w:val="fr-CA"/>
        </w:rPr>
        <w:t>il a présentés devant la Cour supérieure n</w:t>
      </w:r>
      <w:r>
        <w:rPr>
          <w:lang w:val="fr-CA"/>
        </w:rPr>
        <w:t>’</w:t>
      </w:r>
      <w:r w:rsidRPr="00342757">
        <w:rPr>
          <w:lang w:val="fr-CA"/>
        </w:rPr>
        <w:t xml:space="preserve">appuie cette affirmation et, en conséquence, </w:t>
      </w:r>
      <w:r>
        <w:rPr>
          <w:lang w:val="fr-CA"/>
        </w:rPr>
        <w:t>cette cour</w:t>
      </w:r>
      <w:r w:rsidRPr="00342757">
        <w:rPr>
          <w:lang w:val="fr-CA"/>
        </w:rPr>
        <w:t xml:space="preserve"> n</w:t>
      </w:r>
      <w:r>
        <w:rPr>
          <w:lang w:val="fr-CA"/>
        </w:rPr>
        <w:t>’</w:t>
      </w:r>
      <w:r w:rsidRPr="00342757">
        <w:rPr>
          <w:lang w:val="fr-CA"/>
        </w:rPr>
        <w:t>a commis aucune erreur manifeste et déterminante en jugeant que, à la lumière de ce dossier, la reconnaissance de la compétence avait été établie.</w:t>
      </w:r>
    </w:p>
    <w:p w:rsidR="00AF6697" w:rsidRPr="00342757" w:rsidRDefault="00AF6697" w:rsidP="00AF6697">
      <w:pPr>
        <w:pStyle w:val="SCCNormalDoubleSpacing"/>
        <w:spacing w:after="480"/>
        <w:rPr>
          <w:highlight w:val="yellow"/>
          <w:lang w:val="fr-CA"/>
        </w:rPr>
      </w:pPr>
      <w:r>
        <w:rPr>
          <w:lang w:val="fr-CA"/>
        </w:rPr>
        <w:tab/>
      </w:r>
      <w:r w:rsidRPr="00342757">
        <w:rPr>
          <w:lang w:val="fr-CA"/>
        </w:rPr>
        <w:t xml:space="preserve">La reconnaissance par B, comme le prévoit </w:t>
      </w:r>
      <w:r w:rsidR="00233B68">
        <w:rPr>
          <w:lang w:val="fr-CA"/>
        </w:rPr>
        <w:t>le par.</w:t>
      </w:r>
      <w:r w:rsidRPr="00342757">
        <w:rPr>
          <w:lang w:val="fr-CA"/>
        </w:rPr>
        <w:t xml:space="preserve"> 3168(6) </w:t>
      </w:r>
      <w:r w:rsidRPr="00B52B4E">
        <w:rPr>
          <w:i/>
          <w:lang w:val="fr-CA"/>
        </w:rPr>
        <w:t>C.c.Q.</w:t>
      </w:r>
      <w:r w:rsidRPr="00342757">
        <w:rPr>
          <w:lang w:val="fr-CA"/>
        </w:rPr>
        <w:t>, de la compétence du tribunal de l</w:t>
      </w:r>
      <w:r>
        <w:rPr>
          <w:lang w:val="fr-CA"/>
        </w:rPr>
        <w:t>’</w:t>
      </w:r>
      <w:r w:rsidRPr="00342757">
        <w:rPr>
          <w:lang w:val="fr-CA"/>
        </w:rPr>
        <w:t xml:space="preserve">Utah établit clairement un rattachement important entre le litige et ce tribunal. Le facteur du rattachement important est </w:t>
      </w:r>
      <w:r>
        <w:rPr>
          <w:lang w:val="fr-CA"/>
        </w:rPr>
        <w:t>prévu</w:t>
      </w:r>
      <w:r w:rsidRPr="00342757">
        <w:rPr>
          <w:lang w:val="fr-CA"/>
        </w:rPr>
        <w:t xml:space="preserve"> à l</w:t>
      </w:r>
      <w:r>
        <w:rPr>
          <w:lang w:val="fr-CA"/>
        </w:rPr>
        <w:t>’</w:t>
      </w:r>
      <w:r w:rsidRPr="00342757">
        <w:rPr>
          <w:lang w:val="fr-CA"/>
        </w:rPr>
        <w:t xml:space="preserve">art. 3164 </w:t>
      </w:r>
      <w:r w:rsidRPr="000C4A2D">
        <w:rPr>
          <w:i/>
          <w:lang w:val="fr-CA"/>
        </w:rPr>
        <w:t xml:space="preserve">C.c.Q. </w:t>
      </w:r>
      <w:r w:rsidRPr="00342757">
        <w:rPr>
          <w:lang w:val="fr-CA"/>
        </w:rPr>
        <w:t xml:space="preserve">et </w:t>
      </w:r>
      <w:r>
        <w:rPr>
          <w:lang w:val="fr-CA"/>
        </w:rPr>
        <w:t xml:space="preserve">énonce </w:t>
      </w:r>
      <w:r w:rsidRPr="00342757">
        <w:rPr>
          <w:lang w:val="fr-CA"/>
        </w:rPr>
        <w:t>le principe général qui sous-tend la reconnaissance de la compétence des autorités étrangères. Il n</w:t>
      </w:r>
      <w:r>
        <w:rPr>
          <w:lang w:val="fr-CA"/>
        </w:rPr>
        <w:t>’</w:t>
      </w:r>
      <w:r w:rsidRPr="00342757">
        <w:rPr>
          <w:lang w:val="fr-CA"/>
        </w:rPr>
        <w:t>est pas nécessaire dans le présent arrêt de résoudre la question de savoir si l</w:t>
      </w:r>
      <w:r>
        <w:rPr>
          <w:lang w:val="fr-CA"/>
        </w:rPr>
        <w:t>’</w:t>
      </w:r>
      <w:r w:rsidRPr="00342757">
        <w:rPr>
          <w:lang w:val="fr-CA"/>
        </w:rPr>
        <w:t>établissement d</w:t>
      </w:r>
      <w:r>
        <w:rPr>
          <w:lang w:val="fr-CA"/>
        </w:rPr>
        <w:t>’</w:t>
      </w:r>
      <w:r w:rsidRPr="00342757">
        <w:rPr>
          <w:lang w:val="fr-CA"/>
        </w:rPr>
        <w:t>un des critères de la reconnaissance de la compétence du tribunal étranger énoncés à l</w:t>
      </w:r>
      <w:r>
        <w:rPr>
          <w:lang w:val="fr-CA"/>
        </w:rPr>
        <w:t>’</w:t>
      </w:r>
      <w:r w:rsidRPr="00342757">
        <w:rPr>
          <w:lang w:val="fr-CA"/>
        </w:rPr>
        <w:t>art. 3168 </w:t>
      </w:r>
      <w:r w:rsidRPr="000C4A2D">
        <w:rPr>
          <w:i/>
          <w:lang w:val="fr-CA"/>
        </w:rPr>
        <w:t xml:space="preserve">C.c.Q. </w:t>
      </w:r>
      <w:r w:rsidRPr="00342757">
        <w:rPr>
          <w:lang w:val="fr-CA"/>
        </w:rPr>
        <w:t>satisfait dans tous les cas à la condition de l</w:t>
      </w:r>
      <w:r>
        <w:rPr>
          <w:lang w:val="fr-CA"/>
        </w:rPr>
        <w:t>’</w:t>
      </w:r>
      <w:r w:rsidRPr="00342757">
        <w:rPr>
          <w:lang w:val="fr-CA"/>
        </w:rPr>
        <w:t>art. 3164 </w:t>
      </w:r>
      <w:r w:rsidRPr="000C4A2D">
        <w:rPr>
          <w:i/>
          <w:lang w:val="fr-CA"/>
        </w:rPr>
        <w:t xml:space="preserve">C.c.Q. </w:t>
      </w:r>
      <w:r w:rsidRPr="00342757">
        <w:rPr>
          <w:lang w:val="fr-CA"/>
        </w:rPr>
        <w:t>exigeant l</w:t>
      </w:r>
      <w:r>
        <w:rPr>
          <w:lang w:val="fr-CA"/>
        </w:rPr>
        <w:t>’</w:t>
      </w:r>
      <w:r w:rsidRPr="00342757">
        <w:rPr>
          <w:lang w:val="fr-CA"/>
        </w:rPr>
        <w:t>existence d</w:t>
      </w:r>
      <w:r>
        <w:rPr>
          <w:lang w:val="fr-CA"/>
        </w:rPr>
        <w:t>’</w:t>
      </w:r>
      <w:r w:rsidRPr="00342757">
        <w:rPr>
          <w:lang w:val="fr-CA"/>
        </w:rPr>
        <w:t>un rattachement important entre le litige et le for saisi. En l</w:t>
      </w:r>
      <w:r>
        <w:rPr>
          <w:lang w:val="fr-CA"/>
        </w:rPr>
        <w:t>’</w:t>
      </w:r>
      <w:r w:rsidRPr="00342757">
        <w:rPr>
          <w:lang w:val="fr-CA"/>
        </w:rPr>
        <w:t>espèce, le fait que B a participé à l</w:t>
      </w:r>
      <w:r>
        <w:rPr>
          <w:lang w:val="fr-CA"/>
        </w:rPr>
        <w:t>’</w:t>
      </w:r>
      <w:r w:rsidRPr="00342757">
        <w:rPr>
          <w:lang w:val="fr-CA"/>
        </w:rPr>
        <w:t>instance dans l</w:t>
      </w:r>
      <w:r>
        <w:rPr>
          <w:lang w:val="fr-CA"/>
        </w:rPr>
        <w:t>’</w:t>
      </w:r>
      <w:r w:rsidRPr="00342757">
        <w:rPr>
          <w:lang w:val="fr-CA"/>
        </w:rPr>
        <w:t xml:space="preserve">Utah au point où il a reconnu la compétence du tribunal de cet État suffit amplement et ne soulève aucune question quant au rattachement important du litige avec </w:t>
      </w:r>
      <w:r>
        <w:rPr>
          <w:lang w:val="fr-CA"/>
        </w:rPr>
        <w:t>cet État et avec ce tribunal</w:t>
      </w:r>
      <w:r w:rsidRPr="00342757">
        <w:rPr>
          <w:lang w:val="fr-CA"/>
        </w:rPr>
        <w:t xml:space="preserve">. </w:t>
      </w:r>
    </w:p>
    <w:p w:rsidR="00AF6697" w:rsidRPr="00342757" w:rsidRDefault="00AF6697" w:rsidP="00AF6697">
      <w:pPr>
        <w:pStyle w:val="SCCNormalDoubleSpacing"/>
        <w:spacing w:after="480"/>
        <w:rPr>
          <w:lang w:val="fr-CA"/>
        </w:rPr>
      </w:pPr>
      <w:r>
        <w:rPr>
          <w:lang w:val="fr-CA"/>
        </w:rPr>
        <w:lastRenderedPageBreak/>
        <w:tab/>
      </w:r>
      <w:r w:rsidRPr="00284365">
        <w:rPr>
          <w:i/>
          <w:lang w:val="fr-CA"/>
        </w:rPr>
        <w:t>Le</w:t>
      </w:r>
      <w:r w:rsidRPr="00342757">
        <w:rPr>
          <w:lang w:val="fr-CA"/>
        </w:rPr>
        <w:t xml:space="preserve"> juge </w:t>
      </w:r>
      <w:r w:rsidRPr="00316520">
        <w:rPr>
          <w:lang w:val="fr-CA"/>
        </w:rPr>
        <w:t>Brown :</w:t>
      </w:r>
      <w:r w:rsidRPr="00342757">
        <w:rPr>
          <w:lang w:val="fr-CA"/>
        </w:rPr>
        <w:t xml:space="preserve"> Il y a accord avec les juges majoritaires pour dire que le pourvoi devrait être rejeté, mais </w:t>
      </w:r>
      <w:r>
        <w:rPr>
          <w:lang w:val="fr-CA"/>
        </w:rPr>
        <w:t>pour des raisons différentes</w:t>
      </w:r>
      <w:r w:rsidRPr="00342757">
        <w:rPr>
          <w:lang w:val="fr-CA"/>
        </w:rPr>
        <w:t>. B n</w:t>
      </w:r>
      <w:r>
        <w:rPr>
          <w:lang w:val="fr-CA"/>
        </w:rPr>
        <w:t>’</w:t>
      </w:r>
      <w:r w:rsidRPr="00342757">
        <w:rPr>
          <w:lang w:val="fr-CA"/>
        </w:rPr>
        <w:t>a pas reconnu la compétence du tribunal de l</w:t>
      </w:r>
      <w:r>
        <w:rPr>
          <w:lang w:val="fr-CA"/>
        </w:rPr>
        <w:t>’</w:t>
      </w:r>
      <w:r w:rsidRPr="00342757">
        <w:rPr>
          <w:lang w:val="fr-CA"/>
        </w:rPr>
        <w:t>Utah au sens où il faut l</w:t>
      </w:r>
      <w:r>
        <w:rPr>
          <w:lang w:val="fr-CA"/>
        </w:rPr>
        <w:t>’</w:t>
      </w:r>
      <w:r w:rsidRPr="00342757">
        <w:rPr>
          <w:lang w:val="fr-CA"/>
        </w:rPr>
        <w:t>entendre pour l</w:t>
      </w:r>
      <w:r>
        <w:rPr>
          <w:lang w:val="fr-CA"/>
        </w:rPr>
        <w:t>’</w:t>
      </w:r>
      <w:r w:rsidR="00233B68">
        <w:rPr>
          <w:lang w:val="fr-CA"/>
        </w:rPr>
        <w:t>application du</w:t>
      </w:r>
      <w:r w:rsidRPr="00342757">
        <w:rPr>
          <w:lang w:val="fr-CA"/>
        </w:rPr>
        <w:t xml:space="preserve"> </w:t>
      </w:r>
      <w:r w:rsidR="00233B68">
        <w:rPr>
          <w:lang w:val="fr-CA"/>
        </w:rPr>
        <w:t>par.</w:t>
      </w:r>
      <w:r w:rsidRPr="00342757">
        <w:rPr>
          <w:lang w:val="fr-CA"/>
        </w:rPr>
        <w:t xml:space="preserve"> 3168(6) </w:t>
      </w:r>
      <w:r w:rsidRPr="00B52B4E">
        <w:rPr>
          <w:i/>
          <w:lang w:val="fr-CA"/>
        </w:rPr>
        <w:t>C.c.Q.</w:t>
      </w:r>
      <w:r w:rsidRPr="00342757">
        <w:rPr>
          <w:lang w:val="fr-CA"/>
        </w:rPr>
        <w:t>; la compétence de ce tribunal a plutôt été établie au titre d</w:t>
      </w:r>
      <w:r w:rsidR="00233B68">
        <w:rPr>
          <w:lang w:val="fr-CA"/>
        </w:rPr>
        <w:t>u</w:t>
      </w:r>
      <w:r w:rsidRPr="00342757">
        <w:rPr>
          <w:lang w:val="fr-CA"/>
        </w:rPr>
        <w:t xml:space="preserve"> </w:t>
      </w:r>
      <w:r w:rsidR="00233B68">
        <w:rPr>
          <w:lang w:val="fr-CA"/>
        </w:rPr>
        <w:t>par.</w:t>
      </w:r>
      <w:r w:rsidRPr="00342757">
        <w:rPr>
          <w:lang w:val="fr-CA"/>
        </w:rPr>
        <w:t xml:space="preserve"> 3168(4), </w:t>
      </w:r>
      <w:r w:rsidR="00233B68">
        <w:rPr>
          <w:lang w:val="fr-CA"/>
        </w:rPr>
        <w:t xml:space="preserve">et des art. </w:t>
      </w:r>
      <w:r w:rsidRPr="00342757">
        <w:rPr>
          <w:lang w:val="fr-CA"/>
        </w:rPr>
        <w:t xml:space="preserve">3164 et 3139 </w:t>
      </w:r>
      <w:r w:rsidRPr="00B52B4E">
        <w:rPr>
          <w:i/>
          <w:lang w:val="fr-CA"/>
        </w:rPr>
        <w:t>C.c.Q.</w:t>
      </w:r>
    </w:p>
    <w:p w:rsidR="00AF6697" w:rsidRPr="00B52B4E" w:rsidRDefault="00AF6697" w:rsidP="00AF6697">
      <w:pPr>
        <w:pStyle w:val="SCCNormalDoubleSpacing"/>
        <w:spacing w:after="480"/>
        <w:rPr>
          <w:i/>
          <w:lang w:val="fr-CA"/>
        </w:rPr>
      </w:pPr>
      <w:r>
        <w:rPr>
          <w:lang w:val="fr-CA"/>
        </w:rPr>
        <w:tab/>
      </w:r>
      <w:r w:rsidRPr="00342757">
        <w:rPr>
          <w:lang w:val="fr-CA"/>
        </w:rPr>
        <w:t>Lorsqu</w:t>
      </w:r>
      <w:r>
        <w:rPr>
          <w:lang w:val="fr-CA"/>
        </w:rPr>
        <w:t>’</w:t>
      </w:r>
      <w:r w:rsidRPr="00342757">
        <w:rPr>
          <w:lang w:val="fr-CA"/>
        </w:rPr>
        <w:t>il est appelé à décider s</w:t>
      </w:r>
      <w:r>
        <w:rPr>
          <w:lang w:val="fr-CA"/>
        </w:rPr>
        <w:t>’</w:t>
      </w:r>
      <w:r w:rsidRPr="00342757">
        <w:rPr>
          <w:lang w:val="fr-CA"/>
        </w:rPr>
        <w:t>il doit reconnaître ou non une décision rendue par une autorité étrangère, le tribunal québécois doit examiner la preuve soumise pour s</w:t>
      </w:r>
      <w:r>
        <w:rPr>
          <w:lang w:val="fr-CA"/>
        </w:rPr>
        <w:t>’</w:t>
      </w:r>
      <w:r w:rsidRPr="00342757">
        <w:rPr>
          <w:lang w:val="fr-CA"/>
        </w:rPr>
        <w:t>assurer que l</w:t>
      </w:r>
      <w:r>
        <w:rPr>
          <w:lang w:val="fr-CA"/>
        </w:rPr>
        <w:t>’</w:t>
      </w:r>
      <w:r w:rsidRPr="00342757">
        <w:rPr>
          <w:lang w:val="fr-CA"/>
        </w:rPr>
        <w:t xml:space="preserve">autorité en question avait compétence suivant les règles du </w:t>
      </w:r>
      <w:r w:rsidRPr="000C4A2D">
        <w:rPr>
          <w:i/>
          <w:lang w:val="fr-CA"/>
        </w:rPr>
        <w:t xml:space="preserve">C.c.Q. </w:t>
      </w:r>
      <w:r w:rsidRPr="00342757">
        <w:rPr>
          <w:lang w:val="fr-CA"/>
        </w:rPr>
        <w:t>Le dossier en l</w:t>
      </w:r>
      <w:r>
        <w:rPr>
          <w:lang w:val="fr-CA"/>
        </w:rPr>
        <w:t>’</w:t>
      </w:r>
      <w:r w:rsidRPr="00342757">
        <w:rPr>
          <w:lang w:val="fr-CA"/>
        </w:rPr>
        <w:t xml:space="preserve">espèce est suffisant pour pouvoir décider si </w:t>
      </w:r>
      <w:r w:rsidR="00D90246">
        <w:rPr>
          <w:lang w:val="fr-CA"/>
        </w:rPr>
        <w:t>le par.</w:t>
      </w:r>
      <w:r>
        <w:rPr>
          <w:lang w:val="fr-CA"/>
        </w:rPr>
        <w:t> </w:t>
      </w:r>
      <w:r w:rsidRPr="00342757">
        <w:rPr>
          <w:lang w:val="fr-CA"/>
        </w:rPr>
        <w:t xml:space="preserve">3168(4) </w:t>
      </w:r>
      <w:r w:rsidRPr="000C4A2D">
        <w:rPr>
          <w:i/>
          <w:lang w:val="fr-CA"/>
        </w:rPr>
        <w:t xml:space="preserve">C.c.Q. </w:t>
      </w:r>
      <w:r w:rsidRPr="00342757">
        <w:rPr>
          <w:lang w:val="fr-CA"/>
        </w:rPr>
        <w:t>peut permettre de conclure à la compétence du tribunal de l</w:t>
      </w:r>
      <w:r>
        <w:rPr>
          <w:lang w:val="fr-CA"/>
        </w:rPr>
        <w:t>’</w:t>
      </w:r>
      <w:r w:rsidRPr="00342757">
        <w:rPr>
          <w:lang w:val="fr-CA"/>
        </w:rPr>
        <w:t>Utah. Les causes d</w:t>
      </w:r>
      <w:r>
        <w:rPr>
          <w:lang w:val="fr-CA"/>
        </w:rPr>
        <w:t>’</w:t>
      </w:r>
      <w:r w:rsidRPr="00342757">
        <w:rPr>
          <w:lang w:val="fr-CA"/>
        </w:rPr>
        <w:t>action que Knight a fait valoir contre les trois défendeurs sont toutes si étroitement liées qu</w:t>
      </w:r>
      <w:r>
        <w:rPr>
          <w:lang w:val="fr-CA"/>
        </w:rPr>
        <w:t>’</w:t>
      </w:r>
      <w:r w:rsidRPr="00342757">
        <w:rPr>
          <w:lang w:val="fr-CA"/>
        </w:rPr>
        <w:t>elles consistent en différents aspects d</w:t>
      </w:r>
      <w:r>
        <w:rPr>
          <w:lang w:val="fr-CA"/>
        </w:rPr>
        <w:t xml:space="preserve">’un seul litige </w:t>
      </w:r>
      <w:r w:rsidRPr="00342757">
        <w:rPr>
          <w:lang w:val="fr-CA"/>
        </w:rPr>
        <w:t>contractuel, à l</w:t>
      </w:r>
      <w:r>
        <w:rPr>
          <w:lang w:val="fr-CA"/>
        </w:rPr>
        <w:t>’</w:t>
      </w:r>
      <w:r w:rsidRPr="00342757">
        <w:rPr>
          <w:lang w:val="fr-CA"/>
        </w:rPr>
        <w:t>égard duquel le tribunal de l</w:t>
      </w:r>
      <w:r>
        <w:rPr>
          <w:lang w:val="fr-CA"/>
        </w:rPr>
        <w:t>’</w:t>
      </w:r>
      <w:r w:rsidRPr="00342757">
        <w:rPr>
          <w:lang w:val="fr-CA"/>
        </w:rPr>
        <w:t xml:space="preserve">Utah avait compétence au titre </w:t>
      </w:r>
      <w:r w:rsidR="00D90246">
        <w:rPr>
          <w:lang w:val="fr-CA"/>
        </w:rPr>
        <w:t>du par.</w:t>
      </w:r>
      <w:r w:rsidRPr="00342757">
        <w:rPr>
          <w:lang w:val="fr-CA"/>
        </w:rPr>
        <w:t xml:space="preserve"> 3168(4) </w:t>
      </w:r>
      <w:r w:rsidRPr="000C4A2D">
        <w:rPr>
          <w:i/>
          <w:lang w:val="fr-CA"/>
        </w:rPr>
        <w:t xml:space="preserve">C.c.Q. </w:t>
      </w:r>
      <w:r w:rsidRPr="00342757">
        <w:rPr>
          <w:lang w:val="fr-CA"/>
        </w:rPr>
        <w:t>Cette disposition vise la compétence fondée sur des liens avec l</w:t>
      </w:r>
      <w:r>
        <w:rPr>
          <w:lang w:val="fr-CA"/>
        </w:rPr>
        <w:t>’</w:t>
      </w:r>
      <w:r w:rsidRPr="00342757">
        <w:rPr>
          <w:lang w:val="fr-CA"/>
        </w:rPr>
        <w:t>objet du litige, et non celle fondée sur des liens avec le défendeur. Tous les codéfendeurs sont liés à l</w:t>
      </w:r>
      <w:r>
        <w:rPr>
          <w:lang w:val="fr-CA"/>
        </w:rPr>
        <w:t>’</w:t>
      </w:r>
      <w:r w:rsidRPr="00342757">
        <w:rPr>
          <w:lang w:val="fr-CA"/>
        </w:rPr>
        <w:t>objet du litige, qui est de nature contractuelle, et qui relève carrément de la compétence du tribunal de l</w:t>
      </w:r>
      <w:r>
        <w:rPr>
          <w:lang w:val="fr-CA"/>
        </w:rPr>
        <w:t>’</w:t>
      </w:r>
      <w:r w:rsidRPr="00342757">
        <w:rPr>
          <w:lang w:val="fr-CA"/>
        </w:rPr>
        <w:t xml:space="preserve">Utah en application </w:t>
      </w:r>
      <w:r w:rsidR="00D90246">
        <w:rPr>
          <w:lang w:val="fr-CA"/>
        </w:rPr>
        <w:t>du par.</w:t>
      </w:r>
      <w:r w:rsidRPr="00342757">
        <w:rPr>
          <w:lang w:val="fr-CA"/>
        </w:rPr>
        <w:t xml:space="preserve"> 3168(4) </w:t>
      </w:r>
      <w:r w:rsidRPr="00B52B4E">
        <w:rPr>
          <w:i/>
          <w:lang w:val="fr-CA"/>
        </w:rPr>
        <w:t>C.c.Q.</w:t>
      </w:r>
    </w:p>
    <w:p w:rsidR="00AF6697" w:rsidRPr="00342757" w:rsidRDefault="00AF6697" w:rsidP="00AF6697">
      <w:pPr>
        <w:pStyle w:val="SCCNormalDoubleSpacing"/>
        <w:spacing w:after="480"/>
        <w:rPr>
          <w:lang w:val="fr-CA"/>
        </w:rPr>
      </w:pPr>
      <w:r>
        <w:rPr>
          <w:lang w:val="fr-CA"/>
        </w:rPr>
        <w:tab/>
      </w:r>
      <w:r w:rsidRPr="00342757">
        <w:rPr>
          <w:lang w:val="fr-CA"/>
        </w:rPr>
        <w:t>Le fait que B ne soit pas partie au contrat n</w:t>
      </w:r>
      <w:r>
        <w:rPr>
          <w:lang w:val="fr-CA"/>
        </w:rPr>
        <w:t>’</w:t>
      </w:r>
      <w:r w:rsidRPr="00342757">
        <w:rPr>
          <w:lang w:val="fr-CA"/>
        </w:rPr>
        <w:t>empêche pas l</w:t>
      </w:r>
      <w:r>
        <w:rPr>
          <w:lang w:val="fr-CA"/>
        </w:rPr>
        <w:t>’</w:t>
      </w:r>
      <w:r w:rsidR="00D90246">
        <w:rPr>
          <w:lang w:val="fr-CA"/>
        </w:rPr>
        <w:t>application du</w:t>
      </w:r>
      <w:r w:rsidRPr="00342757">
        <w:rPr>
          <w:lang w:val="fr-CA"/>
        </w:rPr>
        <w:t xml:space="preserve"> </w:t>
      </w:r>
      <w:r w:rsidR="00D90246">
        <w:rPr>
          <w:lang w:val="fr-CA"/>
        </w:rPr>
        <w:t>par.</w:t>
      </w:r>
      <w:r w:rsidRPr="00342757">
        <w:rPr>
          <w:lang w:val="fr-CA"/>
        </w:rPr>
        <w:t xml:space="preserve"> 3168(4) </w:t>
      </w:r>
      <w:r w:rsidRPr="00B52B4E">
        <w:rPr>
          <w:i/>
          <w:lang w:val="fr-CA"/>
        </w:rPr>
        <w:t>C.c.Q.</w:t>
      </w:r>
      <w:r w:rsidRPr="00342757">
        <w:rPr>
          <w:lang w:val="fr-CA"/>
        </w:rPr>
        <w:t>, dans la mesure où d</w:t>
      </w:r>
      <w:r>
        <w:rPr>
          <w:lang w:val="fr-CA"/>
        </w:rPr>
        <w:t>’</w:t>
      </w:r>
      <w:r w:rsidRPr="00342757">
        <w:rPr>
          <w:lang w:val="fr-CA"/>
        </w:rPr>
        <w:t xml:space="preserve">autres dispositions du </w:t>
      </w:r>
      <w:r w:rsidRPr="00B52B4E">
        <w:rPr>
          <w:i/>
          <w:lang w:val="fr-CA"/>
        </w:rPr>
        <w:t>C.c.Q.</w:t>
      </w:r>
      <w:r w:rsidRPr="00342757">
        <w:rPr>
          <w:lang w:val="fr-CA"/>
        </w:rPr>
        <w:t>, comme les art. 3164 et 3139, confirment que le tribunal de l</w:t>
      </w:r>
      <w:r>
        <w:rPr>
          <w:lang w:val="fr-CA"/>
        </w:rPr>
        <w:t>’</w:t>
      </w:r>
      <w:r w:rsidRPr="00342757">
        <w:rPr>
          <w:lang w:val="fr-CA"/>
        </w:rPr>
        <w:t>Utah avait compétence à l</w:t>
      </w:r>
      <w:r>
        <w:rPr>
          <w:lang w:val="fr-CA"/>
        </w:rPr>
        <w:t>’</w:t>
      </w:r>
      <w:r w:rsidRPr="00342757">
        <w:rPr>
          <w:lang w:val="fr-CA"/>
        </w:rPr>
        <w:t>égard de B personnellement. Restreindre ainsi l</w:t>
      </w:r>
      <w:r>
        <w:rPr>
          <w:lang w:val="fr-CA"/>
        </w:rPr>
        <w:t>’</w:t>
      </w:r>
      <w:r w:rsidRPr="00342757">
        <w:rPr>
          <w:lang w:val="fr-CA"/>
        </w:rPr>
        <w:t xml:space="preserve">application </w:t>
      </w:r>
      <w:r w:rsidR="00D90246">
        <w:rPr>
          <w:lang w:val="fr-CA"/>
        </w:rPr>
        <w:t>du par.</w:t>
      </w:r>
      <w:r w:rsidRPr="00342757">
        <w:rPr>
          <w:lang w:val="fr-CA"/>
        </w:rPr>
        <w:t xml:space="preserve"> 3168(4) </w:t>
      </w:r>
      <w:r w:rsidRPr="000C4A2D">
        <w:rPr>
          <w:i/>
          <w:lang w:val="fr-CA"/>
        </w:rPr>
        <w:t xml:space="preserve">C.c.Q. </w:t>
      </w:r>
      <w:r w:rsidRPr="00342757">
        <w:rPr>
          <w:lang w:val="fr-CA"/>
        </w:rPr>
        <w:t>pourrait avoir l</w:t>
      </w:r>
      <w:r>
        <w:rPr>
          <w:lang w:val="fr-CA"/>
        </w:rPr>
        <w:t>’</w:t>
      </w:r>
      <w:r w:rsidRPr="00342757">
        <w:rPr>
          <w:lang w:val="fr-CA"/>
        </w:rPr>
        <w:t>effet inacceptable d</w:t>
      </w:r>
      <w:r>
        <w:rPr>
          <w:lang w:val="fr-CA"/>
        </w:rPr>
        <w:t>’</w:t>
      </w:r>
      <w:r w:rsidRPr="00342757">
        <w:rPr>
          <w:lang w:val="fr-CA"/>
        </w:rPr>
        <w:t>obliger le demandeur à prouver devant le tribunal québécois ses allégations d</w:t>
      </w:r>
      <w:r>
        <w:rPr>
          <w:lang w:val="fr-CA"/>
        </w:rPr>
        <w:t>’</w:t>
      </w:r>
      <w:r w:rsidRPr="00342757">
        <w:rPr>
          <w:lang w:val="fr-CA"/>
        </w:rPr>
        <w:t xml:space="preserve">alter ego </w:t>
      </w:r>
      <w:r w:rsidR="00664A02">
        <w:rPr>
          <w:lang w:val="fr-CA"/>
        </w:rPr>
        <w:t>ou</w:t>
      </w:r>
      <w:r w:rsidRPr="00342757">
        <w:rPr>
          <w:lang w:val="fr-CA"/>
        </w:rPr>
        <w:t xml:space="preserve"> de fraude pour justifier la levée du voile de la personnalité </w:t>
      </w:r>
      <w:r w:rsidRPr="00342757">
        <w:rPr>
          <w:lang w:val="fr-CA"/>
        </w:rPr>
        <w:lastRenderedPageBreak/>
        <w:t>morale en application de l</w:t>
      </w:r>
      <w:r>
        <w:rPr>
          <w:lang w:val="fr-CA"/>
        </w:rPr>
        <w:t>’</w:t>
      </w:r>
      <w:r w:rsidRPr="00342757">
        <w:rPr>
          <w:lang w:val="fr-CA"/>
        </w:rPr>
        <w:t xml:space="preserve">art. 317 </w:t>
      </w:r>
      <w:r w:rsidRPr="000C4A2D">
        <w:rPr>
          <w:i/>
          <w:lang w:val="fr-CA"/>
        </w:rPr>
        <w:t xml:space="preserve">C.c.Q. </w:t>
      </w:r>
      <w:r w:rsidRPr="00342757">
        <w:rPr>
          <w:lang w:val="fr-CA"/>
        </w:rPr>
        <w:t>Il s</w:t>
      </w:r>
      <w:r>
        <w:rPr>
          <w:lang w:val="fr-CA"/>
        </w:rPr>
        <w:t>’</w:t>
      </w:r>
      <w:r w:rsidRPr="00342757">
        <w:rPr>
          <w:lang w:val="fr-CA"/>
        </w:rPr>
        <w:t>agit d</w:t>
      </w:r>
      <w:r>
        <w:rPr>
          <w:lang w:val="fr-CA"/>
        </w:rPr>
        <w:t>’</w:t>
      </w:r>
      <w:r w:rsidRPr="00342757">
        <w:rPr>
          <w:lang w:val="fr-CA"/>
        </w:rPr>
        <w:t>un effet inacceptable, parce que la question de savoir s</w:t>
      </w:r>
      <w:r>
        <w:rPr>
          <w:lang w:val="fr-CA"/>
        </w:rPr>
        <w:t>’</w:t>
      </w:r>
      <w:r w:rsidRPr="00342757">
        <w:rPr>
          <w:lang w:val="fr-CA"/>
        </w:rPr>
        <w:t>il y a lieu ou non de lever le voile de la personnalité morale est une question juridique de fond et non une question de compétence. Le tribunal québécois ne peut pas examiner le fond d</w:t>
      </w:r>
      <w:r>
        <w:rPr>
          <w:lang w:val="fr-CA"/>
        </w:rPr>
        <w:t>’</w:t>
      </w:r>
      <w:r w:rsidRPr="00342757">
        <w:rPr>
          <w:lang w:val="fr-CA"/>
        </w:rPr>
        <w:t>un litige ni le rejuger en partie sous le régime de la procédure de</w:t>
      </w:r>
      <w:r>
        <w:rPr>
          <w:lang w:val="fr-CA"/>
        </w:rPr>
        <w:t xml:space="preserve"> reconnaissance du Québec (art. </w:t>
      </w:r>
      <w:r w:rsidRPr="00342757">
        <w:rPr>
          <w:lang w:val="fr-CA"/>
        </w:rPr>
        <w:t xml:space="preserve">3158 </w:t>
      </w:r>
      <w:r w:rsidRPr="00B52B4E">
        <w:rPr>
          <w:i/>
          <w:lang w:val="fr-CA"/>
        </w:rPr>
        <w:t>C.c.Q.</w:t>
      </w:r>
      <w:r w:rsidRPr="00342757">
        <w:rPr>
          <w:lang w:val="fr-CA"/>
        </w:rPr>
        <w:t>). Par conséquent, le défendeur ne devrait pas pouvoir contester la reconnaissance et l</w:t>
      </w:r>
      <w:r>
        <w:rPr>
          <w:lang w:val="fr-CA"/>
        </w:rPr>
        <w:t>’</w:t>
      </w:r>
      <w:r w:rsidRPr="00342757">
        <w:rPr>
          <w:lang w:val="fr-CA"/>
        </w:rPr>
        <w:t>exécution du jugement étranger au motif que l</w:t>
      </w:r>
      <w:r>
        <w:rPr>
          <w:lang w:val="fr-CA"/>
        </w:rPr>
        <w:t>’</w:t>
      </w:r>
      <w:r w:rsidRPr="00342757">
        <w:rPr>
          <w:lang w:val="fr-CA"/>
        </w:rPr>
        <w:t>autorité étrangère n</w:t>
      </w:r>
      <w:r>
        <w:rPr>
          <w:lang w:val="fr-CA"/>
        </w:rPr>
        <w:t>’</w:t>
      </w:r>
      <w:r w:rsidRPr="00342757">
        <w:rPr>
          <w:lang w:val="fr-CA"/>
        </w:rPr>
        <w:t>aurait pas dû lever le voile</w:t>
      </w:r>
      <w:r>
        <w:rPr>
          <w:lang w:val="fr-CA"/>
        </w:rPr>
        <w:t xml:space="preserve"> de la personnalité morale</w:t>
      </w:r>
      <w:r w:rsidRPr="00342757">
        <w:rPr>
          <w:lang w:val="fr-CA"/>
        </w:rPr>
        <w:t xml:space="preserve">. De plus, une interprétation si étroite </w:t>
      </w:r>
      <w:r w:rsidR="00D90246">
        <w:rPr>
          <w:lang w:val="fr-CA"/>
        </w:rPr>
        <w:t>du par.</w:t>
      </w:r>
      <w:r>
        <w:rPr>
          <w:lang w:val="fr-CA"/>
        </w:rPr>
        <w:t> </w:t>
      </w:r>
      <w:r w:rsidRPr="00342757">
        <w:rPr>
          <w:lang w:val="fr-CA"/>
        </w:rPr>
        <w:t xml:space="preserve">3168(4) est incompatible avec la décision récente dans </w:t>
      </w:r>
      <w:r>
        <w:rPr>
          <w:lang w:val="fr-CA"/>
        </w:rPr>
        <w:t xml:space="preserve">l’affaire </w:t>
      </w:r>
      <w:r w:rsidRPr="003B32F1">
        <w:rPr>
          <w:i/>
          <w:lang w:val="fr-CA"/>
        </w:rPr>
        <w:t>Lapointe Rosenstein Marchand Melançon</w:t>
      </w:r>
      <w:r>
        <w:rPr>
          <w:i/>
          <w:lang w:val="fr-CA"/>
        </w:rPr>
        <w:t xml:space="preserve"> LLP</w:t>
      </w:r>
      <w:r w:rsidRPr="003B32F1">
        <w:rPr>
          <w:i/>
          <w:lang w:val="fr-CA"/>
        </w:rPr>
        <w:t xml:space="preserve"> c. Cassels Brock &amp; Blackwell </w:t>
      </w:r>
      <w:r w:rsidR="003075C6">
        <w:rPr>
          <w:i/>
          <w:lang w:val="fr-CA"/>
        </w:rPr>
        <w:t>S.E.N.C.R.L.</w:t>
      </w:r>
      <w:r w:rsidRPr="00342757">
        <w:rPr>
          <w:lang w:val="fr-CA"/>
        </w:rPr>
        <w:t>, 2016 CSC 30, [2016] 1 R.C.S. 851, dans laquelle la Cour a affirmé que l</w:t>
      </w:r>
      <w:r>
        <w:rPr>
          <w:lang w:val="fr-CA"/>
        </w:rPr>
        <w:t>’</w:t>
      </w:r>
      <w:r w:rsidRPr="00342757">
        <w:rPr>
          <w:lang w:val="fr-CA"/>
        </w:rPr>
        <w:t>existence d</w:t>
      </w:r>
      <w:r>
        <w:rPr>
          <w:lang w:val="fr-CA"/>
        </w:rPr>
        <w:t>’</w:t>
      </w:r>
      <w:r w:rsidRPr="00342757">
        <w:rPr>
          <w:lang w:val="fr-CA"/>
        </w:rPr>
        <w:t>un lien entre une demande et un contrat ne requiert pas nécessairement que le défendeur soit partie au contrat. Pour étayer cette conclusion, la Cour a établi une analogie avec l</w:t>
      </w:r>
      <w:r>
        <w:rPr>
          <w:lang w:val="fr-CA"/>
        </w:rPr>
        <w:t>’</w:t>
      </w:r>
      <w:r w:rsidRPr="00342757">
        <w:rPr>
          <w:lang w:val="fr-CA"/>
        </w:rPr>
        <w:t xml:space="preserve">art. 3139 </w:t>
      </w:r>
      <w:r w:rsidRPr="00BB2406">
        <w:rPr>
          <w:i/>
          <w:lang w:val="fr-CA"/>
        </w:rPr>
        <w:t>C.c.Q</w:t>
      </w:r>
      <w:r>
        <w:rPr>
          <w:i/>
          <w:lang w:val="fr-CA"/>
        </w:rPr>
        <w:t>.</w:t>
      </w:r>
      <w:r w:rsidRPr="00342757">
        <w:rPr>
          <w:lang w:val="fr-CA"/>
        </w:rPr>
        <w:t>, la disposition qui confère la compétence aux tribunaux québécois pour des raisons de commodité administrative. Suivant l</w:t>
      </w:r>
      <w:r>
        <w:rPr>
          <w:lang w:val="fr-CA"/>
        </w:rPr>
        <w:t>’</w:t>
      </w:r>
      <w:r w:rsidRPr="00342757">
        <w:rPr>
          <w:lang w:val="fr-CA"/>
        </w:rPr>
        <w:t xml:space="preserve">art. 3139 </w:t>
      </w:r>
      <w:r w:rsidRPr="00B52B4E">
        <w:rPr>
          <w:i/>
          <w:lang w:val="fr-CA"/>
        </w:rPr>
        <w:t>C.c.Q.</w:t>
      </w:r>
      <w:r w:rsidRPr="00342757">
        <w:rPr>
          <w:lang w:val="fr-CA"/>
        </w:rPr>
        <w:t>, l</w:t>
      </w:r>
      <w:r>
        <w:rPr>
          <w:lang w:val="fr-CA"/>
        </w:rPr>
        <w:t>’</w:t>
      </w:r>
      <w:r w:rsidRPr="00342757">
        <w:rPr>
          <w:lang w:val="fr-CA"/>
        </w:rPr>
        <w:t>autorité québécoise compétente pour la demande principale est aussi compétente pour la demande incidente.</w:t>
      </w:r>
    </w:p>
    <w:p w:rsidR="00AF6697" w:rsidRPr="00342757" w:rsidRDefault="00AF6697" w:rsidP="00AF6697">
      <w:pPr>
        <w:pStyle w:val="SCCNormalDoubleSpacing"/>
        <w:spacing w:after="480"/>
        <w:rPr>
          <w:lang w:val="fr-CA"/>
        </w:rPr>
      </w:pPr>
      <w:r>
        <w:rPr>
          <w:lang w:val="fr-CA"/>
        </w:rPr>
        <w:tab/>
      </w:r>
      <w:r w:rsidRPr="00342757">
        <w:rPr>
          <w:lang w:val="fr-CA"/>
        </w:rPr>
        <w:t>Les tribunaux doivent interpréter les règles de droit international privé québécois comme un tout cohérent à la lumière des principes généraux d</w:t>
      </w:r>
      <w:r>
        <w:rPr>
          <w:lang w:val="fr-CA"/>
        </w:rPr>
        <w:t>’</w:t>
      </w:r>
      <w:r w:rsidRPr="00342757">
        <w:rPr>
          <w:lang w:val="fr-CA"/>
        </w:rPr>
        <w:t xml:space="preserve">interprétation du </w:t>
      </w:r>
      <w:r w:rsidRPr="000C4A2D">
        <w:rPr>
          <w:i/>
          <w:lang w:val="fr-CA"/>
        </w:rPr>
        <w:t xml:space="preserve">C.c.Q. </w:t>
      </w:r>
      <w:r w:rsidRPr="00342757">
        <w:rPr>
          <w:lang w:val="fr-CA"/>
        </w:rPr>
        <w:t>et des principes de courtoisie, d</w:t>
      </w:r>
      <w:r>
        <w:rPr>
          <w:lang w:val="fr-CA"/>
        </w:rPr>
        <w:t>’</w:t>
      </w:r>
      <w:r w:rsidRPr="00342757">
        <w:rPr>
          <w:lang w:val="fr-CA"/>
        </w:rPr>
        <w:t>ordre et d</w:t>
      </w:r>
      <w:r>
        <w:rPr>
          <w:lang w:val="fr-CA"/>
        </w:rPr>
        <w:t>’</w:t>
      </w:r>
      <w:r w:rsidRPr="00342757">
        <w:rPr>
          <w:lang w:val="fr-CA"/>
        </w:rPr>
        <w:t>équité qui servent de guide à l</w:t>
      </w:r>
      <w:r>
        <w:rPr>
          <w:lang w:val="fr-CA"/>
        </w:rPr>
        <w:t>’</w:t>
      </w:r>
      <w:r w:rsidRPr="00342757">
        <w:rPr>
          <w:lang w:val="fr-CA"/>
        </w:rPr>
        <w:t>interprétation de ces règles. Pour répondre à la question de savoir si et à quelles conditions l</w:t>
      </w:r>
      <w:r>
        <w:rPr>
          <w:lang w:val="fr-CA"/>
        </w:rPr>
        <w:t>’</w:t>
      </w:r>
      <w:r w:rsidRPr="00342757">
        <w:rPr>
          <w:lang w:val="fr-CA"/>
        </w:rPr>
        <w:t xml:space="preserve">art. 3139 </w:t>
      </w:r>
      <w:r w:rsidRPr="000C4A2D">
        <w:rPr>
          <w:i/>
          <w:lang w:val="fr-CA"/>
        </w:rPr>
        <w:t xml:space="preserve">C.c.Q. </w:t>
      </w:r>
      <w:r w:rsidRPr="00342757">
        <w:rPr>
          <w:lang w:val="fr-CA"/>
        </w:rPr>
        <w:t>peut être invoqué pour opposer la compétence d</w:t>
      </w:r>
      <w:r>
        <w:rPr>
          <w:lang w:val="fr-CA"/>
        </w:rPr>
        <w:t>’</w:t>
      </w:r>
      <w:r w:rsidRPr="00342757">
        <w:rPr>
          <w:lang w:val="fr-CA"/>
        </w:rPr>
        <w:t>une autorité étrangère à un codéfendeur en particulier, il faut interpréter l</w:t>
      </w:r>
      <w:r>
        <w:rPr>
          <w:lang w:val="fr-CA"/>
        </w:rPr>
        <w:t>’</w:t>
      </w:r>
      <w:r w:rsidRPr="00342757">
        <w:rPr>
          <w:lang w:val="fr-CA"/>
        </w:rPr>
        <w:t xml:space="preserve">art. 3164 </w:t>
      </w:r>
      <w:r w:rsidRPr="000C4A2D">
        <w:rPr>
          <w:i/>
          <w:lang w:val="fr-CA"/>
        </w:rPr>
        <w:t xml:space="preserve">C.c.Q. </w:t>
      </w:r>
      <w:r w:rsidRPr="00342757">
        <w:rPr>
          <w:lang w:val="fr-CA"/>
        </w:rPr>
        <w:t xml:space="preserve">On ne peut pas circonscrire de façon isolée la portée de ces dispositions et leur </w:t>
      </w:r>
      <w:r w:rsidRPr="00342757">
        <w:rPr>
          <w:lang w:val="fr-CA"/>
        </w:rPr>
        <w:lastRenderedPageBreak/>
        <w:t xml:space="preserve">interaction avec </w:t>
      </w:r>
      <w:r w:rsidR="00D90246">
        <w:rPr>
          <w:lang w:val="fr-CA"/>
        </w:rPr>
        <w:t>le par.</w:t>
      </w:r>
      <w:r w:rsidRPr="00342757">
        <w:rPr>
          <w:lang w:val="fr-CA"/>
        </w:rPr>
        <w:t xml:space="preserve"> 3168(4). Aux termes de l</w:t>
      </w:r>
      <w:r>
        <w:rPr>
          <w:lang w:val="fr-CA"/>
        </w:rPr>
        <w:t>’</w:t>
      </w:r>
      <w:r w:rsidRPr="00342757">
        <w:rPr>
          <w:lang w:val="fr-CA"/>
        </w:rPr>
        <w:t xml:space="preserve">art. 3164 </w:t>
      </w:r>
      <w:r w:rsidRPr="00BB2406">
        <w:rPr>
          <w:i/>
          <w:lang w:val="fr-CA"/>
        </w:rPr>
        <w:t>C.c.Q</w:t>
      </w:r>
      <w:r w:rsidRPr="001A7776">
        <w:rPr>
          <w:i/>
          <w:lang w:val="fr-CA"/>
        </w:rPr>
        <w:t>.</w:t>
      </w:r>
      <w:r w:rsidRPr="001A7776">
        <w:rPr>
          <w:lang w:val="fr-CA"/>
        </w:rPr>
        <w:t>, les chefs pour reconnaître la compétence de l</w:t>
      </w:r>
      <w:r>
        <w:rPr>
          <w:lang w:val="fr-CA"/>
        </w:rPr>
        <w:t>’</w:t>
      </w:r>
      <w:r w:rsidRPr="001A7776">
        <w:rPr>
          <w:lang w:val="fr-CA"/>
        </w:rPr>
        <w:t>autorité étrangère sont essentiellement les mêmes que ceux, prévus au titre troisième, qui permettent de reconnaître la compétence du tribunal québécois. C</w:t>
      </w:r>
      <w:r>
        <w:rPr>
          <w:lang w:val="fr-CA"/>
        </w:rPr>
        <w:t>’</w:t>
      </w:r>
      <w:r w:rsidRPr="001A7776">
        <w:rPr>
          <w:lang w:val="fr-CA"/>
        </w:rPr>
        <w:t>est ce qu</w:t>
      </w:r>
      <w:r>
        <w:rPr>
          <w:lang w:val="fr-CA"/>
        </w:rPr>
        <w:t>’</w:t>
      </w:r>
      <w:r w:rsidRPr="001A7776">
        <w:rPr>
          <w:lang w:val="fr-CA"/>
        </w:rPr>
        <w:t>on appelle le principe de la réciprocité de la compétence ou principe du miroir. Le titre</w:t>
      </w:r>
      <w:r w:rsidRPr="00342757">
        <w:rPr>
          <w:lang w:val="fr-CA"/>
        </w:rPr>
        <w:t xml:space="preserve"> troisième se divise en deux chapitres : le chapitre premier (« Dispositions générales ») et le chapitre deuxième (« Dispositions particulières »). La compétence du tribunal étranger s</w:t>
      </w:r>
      <w:r>
        <w:rPr>
          <w:lang w:val="fr-CA"/>
        </w:rPr>
        <w:t>’</w:t>
      </w:r>
      <w:r w:rsidRPr="00342757">
        <w:rPr>
          <w:lang w:val="fr-CA"/>
        </w:rPr>
        <w:t>apprécie en tenant compte des deux chapitres.</w:t>
      </w:r>
    </w:p>
    <w:p w:rsidR="00AF6697" w:rsidRPr="00342757" w:rsidRDefault="00AF6697" w:rsidP="00AF6697">
      <w:pPr>
        <w:pStyle w:val="SCCNormalDoubleSpacing"/>
        <w:spacing w:after="480"/>
        <w:rPr>
          <w:lang w:val="fr-CA"/>
        </w:rPr>
      </w:pPr>
      <w:r>
        <w:rPr>
          <w:lang w:val="fr-CA"/>
        </w:rPr>
        <w:tab/>
      </w:r>
      <w:r w:rsidRPr="00342757">
        <w:rPr>
          <w:lang w:val="fr-CA"/>
        </w:rPr>
        <w:t>En mentionnant de façon générale le titre troisième, l</w:t>
      </w:r>
      <w:r>
        <w:rPr>
          <w:lang w:val="fr-CA"/>
        </w:rPr>
        <w:t>’</w:t>
      </w:r>
      <w:r w:rsidRPr="00342757">
        <w:rPr>
          <w:lang w:val="fr-CA"/>
        </w:rPr>
        <w:t xml:space="preserve">art. 3164 </w:t>
      </w:r>
      <w:r w:rsidRPr="000C4A2D">
        <w:rPr>
          <w:i/>
          <w:lang w:val="fr-CA"/>
        </w:rPr>
        <w:t xml:space="preserve">C.c.Q. </w:t>
      </w:r>
      <w:r w:rsidRPr="00342757">
        <w:rPr>
          <w:lang w:val="fr-CA"/>
        </w:rPr>
        <w:t>autorise un tribunal québécois à reconnaître la compétence d</w:t>
      </w:r>
      <w:r>
        <w:rPr>
          <w:lang w:val="fr-CA"/>
        </w:rPr>
        <w:t>’</w:t>
      </w:r>
      <w:r w:rsidRPr="00342757">
        <w:rPr>
          <w:lang w:val="fr-CA"/>
        </w:rPr>
        <w:t>une autorité étrangère en application d</w:t>
      </w:r>
      <w:r>
        <w:rPr>
          <w:lang w:val="fr-CA"/>
        </w:rPr>
        <w:t>’</w:t>
      </w:r>
      <w:r w:rsidRPr="00342757">
        <w:rPr>
          <w:lang w:val="fr-CA"/>
        </w:rPr>
        <w:t>une des « Dispositions générales » du chapitre premier du titre en question, telle que celle qui confère la compétence à l</w:t>
      </w:r>
      <w:r>
        <w:rPr>
          <w:lang w:val="fr-CA"/>
        </w:rPr>
        <w:t>’</w:t>
      </w:r>
      <w:r w:rsidRPr="00342757">
        <w:rPr>
          <w:lang w:val="fr-CA"/>
        </w:rPr>
        <w:t>autorité québécoise pour des raisons de</w:t>
      </w:r>
      <w:r>
        <w:rPr>
          <w:lang w:val="fr-CA"/>
        </w:rPr>
        <w:t xml:space="preserve"> commodité administrative (art. </w:t>
      </w:r>
      <w:r w:rsidRPr="00342757">
        <w:rPr>
          <w:lang w:val="fr-CA"/>
        </w:rPr>
        <w:t xml:space="preserve">3139 </w:t>
      </w:r>
      <w:r w:rsidRPr="00BB2406">
        <w:rPr>
          <w:i/>
          <w:lang w:val="fr-CA"/>
        </w:rPr>
        <w:t>C.c.Q.</w:t>
      </w:r>
      <w:r w:rsidRPr="00342757">
        <w:rPr>
          <w:lang w:val="fr-CA"/>
        </w:rPr>
        <w:t>). Par conséquent, dans les actions personnelles à caractère patrimonial, il pourrait ne pas être nécessaire dans tous les cas de satisfaire aux exigences en matière de compétence prévues à l</w:t>
      </w:r>
      <w:r>
        <w:rPr>
          <w:lang w:val="fr-CA"/>
        </w:rPr>
        <w:t>’</w:t>
      </w:r>
      <w:r w:rsidRPr="00342757">
        <w:rPr>
          <w:lang w:val="fr-CA"/>
        </w:rPr>
        <w:t>art</w:t>
      </w:r>
      <w:r>
        <w:rPr>
          <w:lang w:val="fr-CA"/>
        </w:rPr>
        <w:t>.</w:t>
      </w:r>
      <w:r w:rsidRPr="00342757">
        <w:rPr>
          <w:lang w:val="fr-CA"/>
        </w:rPr>
        <w:t> 3168</w:t>
      </w:r>
      <w:r w:rsidRPr="003B32F1">
        <w:rPr>
          <w:i/>
          <w:lang w:val="fr-CA"/>
        </w:rPr>
        <w:t xml:space="preserve"> </w:t>
      </w:r>
      <w:r>
        <w:rPr>
          <w:i/>
          <w:lang w:val="fr-CA"/>
        </w:rPr>
        <w:t>C.c.Q.</w:t>
      </w:r>
      <w:r w:rsidRPr="00342757">
        <w:rPr>
          <w:lang w:val="fr-CA"/>
        </w:rPr>
        <w:t xml:space="preserve"> pour des fins de reconnaissance en droit québécois. Bien que le caractère exclusif de la formulation de l</w:t>
      </w:r>
      <w:r>
        <w:rPr>
          <w:lang w:val="fr-CA"/>
        </w:rPr>
        <w:t>’</w:t>
      </w:r>
      <w:r w:rsidRPr="00342757">
        <w:rPr>
          <w:lang w:val="fr-CA"/>
        </w:rPr>
        <w:t xml:space="preserve">art. 3168 </w:t>
      </w:r>
      <w:r w:rsidRPr="000C4A2D">
        <w:rPr>
          <w:i/>
          <w:lang w:val="fr-CA"/>
        </w:rPr>
        <w:t xml:space="preserve">C.c.Q. </w:t>
      </w:r>
      <w:r w:rsidRPr="00342757">
        <w:rPr>
          <w:lang w:val="fr-CA"/>
        </w:rPr>
        <w:t>puisse donner à penser le contraire, on ne devrait pas y accorder une importance indue</w:t>
      </w:r>
      <w:r w:rsidRPr="001A7776">
        <w:rPr>
          <w:lang w:val="fr-CA"/>
        </w:rPr>
        <w:t>. Si ce n</w:t>
      </w:r>
      <w:r>
        <w:rPr>
          <w:lang w:val="fr-CA"/>
        </w:rPr>
        <w:t>’</w:t>
      </w:r>
      <w:r w:rsidRPr="001A7776">
        <w:rPr>
          <w:lang w:val="fr-CA"/>
        </w:rPr>
        <w:t>était des mots « n</w:t>
      </w:r>
      <w:r>
        <w:rPr>
          <w:lang w:val="fr-CA"/>
        </w:rPr>
        <w:t>’</w:t>
      </w:r>
      <w:r w:rsidRPr="001A7776">
        <w:rPr>
          <w:lang w:val="fr-CA"/>
        </w:rPr>
        <w:t>est reconnue que dans les cas suivants » à l</w:t>
      </w:r>
      <w:r>
        <w:rPr>
          <w:lang w:val="fr-CA"/>
        </w:rPr>
        <w:t>’</w:t>
      </w:r>
      <w:r w:rsidRPr="001A7776">
        <w:rPr>
          <w:lang w:val="fr-CA"/>
        </w:rPr>
        <w:t xml:space="preserve">art. 3168 </w:t>
      </w:r>
      <w:r w:rsidRPr="001A7776">
        <w:rPr>
          <w:i/>
          <w:lang w:val="fr-CA"/>
        </w:rPr>
        <w:t>C.c.Q.</w:t>
      </w:r>
      <w:r w:rsidRPr="001A7776">
        <w:rPr>
          <w:lang w:val="fr-CA"/>
        </w:rPr>
        <w:t>, l</w:t>
      </w:r>
      <w:r>
        <w:rPr>
          <w:lang w:val="fr-CA"/>
        </w:rPr>
        <w:t>’</w:t>
      </w:r>
      <w:r w:rsidRPr="001A7776">
        <w:rPr>
          <w:lang w:val="fr-CA"/>
        </w:rPr>
        <w:t>effet miroir</w:t>
      </w:r>
      <w:r w:rsidRPr="00342757">
        <w:rPr>
          <w:lang w:val="fr-CA"/>
        </w:rPr>
        <w:t xml:space="preserve"> de l</w:t>
      </w:r>
      <w:r>
        <w:rPr>
          <w:lang w:val="fr-CA"/>
        </w:rPr>
        <w:t>’art. </w:t>
      </w:r>
      <w:r w:rsidRPr="00342757">
        <w:rPr>
          <w:lang w:val="fr-CA"/>
        </w:rPr>
        <w:t xml:space="preserve">3164 </w:t>
      </w:r>
      <w:r w:rsidRPr="000C4A2D">
        <w:rPr>
          <w:i/>
          <w:lang w:val="fr-CA"/>
        </w:rPr>
        <w:t xml:space="preserve">C.c.Q. </w:t>
      </w:r>
      <w:r w:rsidRPr="00342757">
        <w:rPr>
          <w:lang w:val="fr-CA"/>
        </w:rPr>
        <w:t>obligerait le tribunal québécois à établir la compétence du tribunal étranger en appliquant un des paragraphes de l</w:t>
      </w:r>
      <w:r>
        <w:rPr>
          <w:lang w:val="fr-CA"/>
        </w:rPr>
        <w:t>’art. 3148 al. </w:t>
      </w:r>
      <w:r w:rsidRPr="00342757">
        <w:rPr>
          <w:lang w:val="fr-CA"/>
        </w:rPr>
        <w:t xml:space="preserve">1 </w:t>
      </w:r>
      <w:r w:rsidRPr="000C4A2D">
        <w:rPr>
          <w:i/>
          <w:lang w:val="fr-CA"/>
        </w:rPr>
        <w:t>C.c.Q</w:t>
      </w:r>
      <w:r>
        <w:rPr>
          <w:i/>
          <w:lang w:val="fr-CA"/>
        </w:rPr>
        <w:t xml:space="preserve">. </w:t>
      </w:r>
      <w:r w:rsidRPr="00342757">
        <w:rPr>
          <w:lang w:val="fr-CA"/>
        </w:rPr>
        <w:t>Le libellé exclusif de l</w:t>
      </w:r>
      <w:r>
        <w:rPr>
          <w:lang w:val="fr-CA"/>
        </w:rPr>
        <w:t>’</w:t>
      </w:r>
      <w:r w:rsidRPr="00342757">
        <w:rPr>
          <w:lang w:val="fr-CA"/>
        </w:rPr>
        <w:t xml:space="preserve">art. 3168 </w:t>
      </w:r>
      <w:r w:rsidRPr="000C4A2D">
        <w:rPr>
          <w:i/>
          <w:lang w:val="fr-CA"/>
        </w:rPr>
        <w:t xml:space="preserve">C.c.Q. </w:t>
      </w:r>
      <w:r w:rsidRPr="00342757">
        <w:rPr>
          <w:lang w:val="fr-CA"/>
        </w:rPr>
        <w:t>indique que, malgré le principe du miroir, on ne peut pas invoquer l</w:t>
      </w:r>
      <w:r>
        <w:rPr>
          <w:lang w:val="fr-CA"/>
        </w:rPr>
        <w:t>’</w:t>
      </w:r>
      <w:r w:rsidRPr="00342757">
        <w:rPr>
          <w:lang w:val="fr-CA"/>
        </w:rPr>
        <w:t>art. 3148 </w:t>
      </w:r>
      <w:r w:rsidRPr="000C4A2D">
        <w:rPr>
          <w:i/>
          <w:lang w:val="fr-CA"/>
        </w:rPr>
        <w:t xml:space="preserve">C.c.Q. </w:t>
      </w:r>
      <w:r w:rsidRPr="00342757">
        <w:rPr>
          <w:lang w:val="fr-CA"/>
        </w:rPr>
        <w:t>pour établir la compétence d</w:t>
      </w:r>
      <w:r>
        <w:rPr>
          <w:lang w:val="fr-CA"/>
        </w:rPr>
        <w:t>’</w:t>
      </w:r>
      <w:r w:rsidRPr="00342757">
        <w:rPr>
          <w:lang w:val="fr-CA"/>
        </w:rPr>
        <w:t>un tribunal étranger en pareil cas. Par conséquent, l</w:t>
      </w:r>
      <w:r>
        <w:rPr>
          <w:lang w:val="fr-CA"/>
        </w:rPr>
        <w:t>’</w:t>
      </w:r>
      <w:r w:rsidRPr="00342757">
        <w:rPr>
          <w:lang w:val="fr-CA"/>
        </w:rPr>
        <w:t xml:space="preserve">art. 3168 </w:t>
      </w:r>
      <w:r w:rsidRPr="000C4A2D">
        <w:rPr>
          <w:i/>
          <w:lang w:val="fr-CA"/>
        </w:rPr>
        <w:t xml:space="preserve">C.c.Q. </w:t>
      </w:r>
      <w:r w:rsidRPr="00342757">
        <w:rPr>
          <w:lang w:val="fr-CA"/>
        </w:rPr>
        <w:t>n</w:t>
      </w:r>
      <w:r>
        <w:rPr>
          <w:lang w:val="fr-CA"/>
        </w:rPr>
        <w:t>’</w:t>
      </w:r>
      <w:r w:rsidRPr="00342757">
        <w:rPr>
          <w:lang w:val="fr-CA"/>
        </w:rPr>
        <w:t xml:space="preserve">enlève pas au tribunal québécois la faculté de </w:t>
      </w:r>
      <w:r w:rsidRPr="00342757">
        <w:rPr>
          <w:lang w:val="fr-CA"/>
        </w:rPr>
        <w:lastRenderedPageBreak/>
        <w:t>reconnaître la compétence de l</w:t>
      </w:r>
      <w:r>
        <w:rPr>
          <w:lang w:val="fr-CA"/>
        </w:rPr>
        <w:t>’</w:t>
      </w:r>
      <w:r w:rsidRPr="00342757">
        <w:rPr>
          <w:lang w:val="fr-CA"/>
        </w:rPr>
        <w:t>autorité étrangère en application d</w:t>
      </w:r>
      <w:r>
        <w:rPr>
          <w:lang w:val="fr-CA"/>
        </w:rPr>
        <w:t>’</w:t>
      </w:r>
      <w:r w:rsidRPr="00342757">
        <w:rPr>
          <w:lang w:val="fr-CA"/>
        </w:rPr>
        <w:t>une des « Dispositions générales » qui figure au chapitre premier du titre troisième.</w:t>
      </w:r>
    </w:p>
    <w:p w:rsidR="00AF6697" w:rsidRPr="00342757" w:rsidRDefault="00AF6697" w:rsidP="00AF6697">
      <w:pPr>
        <w:pStyle w:val="SCCNormalDoubleSpacing"/>
        <w:spacing w:after="480"/>
        <w:rPr>
          <w:lang w:val="fr-CA"/>
        </w:rPr>
      </w:pPr>
      <w:r>
        <w:rPr>
          <w:lang w:val="fr-CA"/>
        </w:rPr>
        <w:tab/>
      </w:r>
      <w:r w:rsidRPr="00342757">
        <w:rPr>
          <w:lang w:val="fr-CA"/>
        </w:rPr>
        <w:t>Cependant, l</w:t>
      </w:r>
      <w:r>
        <w:rPr>
          <w:lang w:val="fr-CA"/>
        </w:rPr>
        <w:t>’art. </w:t>
      </w:r>
      <w:r w:rsidRPr="00342757">
        <w:rPr>
          <w:lang w:val="fr-CA"/>
        </w:rPr>
        <w:t xml:space="preserve">3164 </w:t>
      </w:r>
      <w:r w:rsidRPr="000C4A2D">
        <w:rPr>
          <w:i/>
          <w:lang w:val="fr-CA"/>
        </w:rPr>
        <w:t xml:space="preserve">C.c.Q. </w:t>
      </w:r>
      <w:r w:rsidRPr="00342757">
        <w:rPr>
          <w:lang w:val="fr-CA"/>
        </w:rPr>
        <w:t>n</w:t>
      </w:r>
      <w:r>
        <w:rPr>
          <w:lang w:val="fr-CA"/>
        </w:rPr>
        <w:t>’</w:t>
      </w:r>
      <w:r w:rsidRPr="00342757">
        <w:rPr>
          <w:lang w:val="fr-CA"/>
        </w:rPr>
        <w:t>autorise pas le tribunal québécois à appliquer le critère du rattachement important entre le litige et l</w:t>
      </w:r>
      <w:r>
        <w:rPr>
          <w:lang w:val="fr-CA"/>
        </w:rPr>
        <w:t>’</w:t>
      </w:r>
      <w:r w:rsidRPr="00342757">
        <w:rPr>
          <w:lang w:val="fr-CA"/>
        </w:rPr>
        <w:t>autorité étrangère de manière à refuser de reconnaître la compétence du tribunal étranger même lorsqu</w:t>
      </w:r>
      <w:r>
        <w:rPr>
          <w:lang w:val="fr-CA"/>
        </w:rPr>
        <w:t>’</w:t>
      </w:r>
      <w:r w:rsidRPr="00342757">
        <w:rPr>
          <w:lang w:val="fr-CA"/>
        </w:rPr>
        <w:t>il est satisfait à l</w:t>
      </w:r>
      <w:r>
        <w:rPr>
          <w:lang w:val="fr-CA"/>
        </w:rPr>
        <w:t>’</w:t>
      </w:r>
      <w:r w:rsidRPr="00342757">
        <w:rPr>
          <w:lang w:val="fr-CA"/>
        </w:rPr>
        <w:t>un des critères de compétence prévus à l</w:t>
      </w:r>
      <w:r>
        <w:rPr>
          <w:lang w:val="fr-CA"/>
        </w:rPr>
        <w:t>’</w:t>
      </w:r>
      <w:r w:rsidRPr="00342757">
        <w:rPr>
          <w:lang w:val="fr-CA"/>
        </w:rPr>
        <w:t xml:space="preserve">art. 3168. Le livre dixième du </w:t>
      </w:r>
      <w:r w:rsidRPr="00BB2406">
        <w:rPr>
          <w:i/>
          <w:lang w:val="fr-CA"/>
        </w:rPr>
        <w:t>C.c.Q.</w:t>
      </w:r>
      <w:r w:rsidRPr="00342757">
        <w:rPr>
          <w:lang w:val="fr-CA"/>
        </w:rPr>
        <w:t>, qui énonce les règles de droit international privé applicables au Québec, englobe l</w:t>
      </w:r>
      <w:r>
        <w:rPr>
          <w:lang w:val="fr-CA"/>
        </w:rPr>
        <w:t>’</w:t>
      </w:r>
      <w:r w:rsidRPr="00342757">
        <w:rPr>
          <w:lang w:val="fr-CA"/>
        </w:rPr>
        <w:t>exigence relative à l</w:t>
      </w:r>
      <w:r>
        <w:rPr>
          <w:lang w:val="fr-CA"/>
        </w:rPr>
        <w:t>’</w:t>
      </w:r>
      <w:r w:rsidRPr="00342757">
        <w:rPr>
          <w:lang w:val="fr-CA"/>
        </w:rPr>
        <w:t>existence d</w:t>
      </w:r>
      <w:r>
        <w:rPr>
          <w:lang w:val="fr-CA"/>
        </w:rPr>
        <w:t>’</w:t>
      </w:r>
      <w:r w:rsidRPr="00342757">
        <w:rPr>
          <w:lang w:val="fr-CA"/>
        </w:rPr>
        <w:t>un lien réel et substantiel. Ainsi, l</w:t>
      </w:r>
      <w:r>
        <w:rPr>
          <w:lang w:val="fr-CA"/>
        </w:rPr>
        <w:t>’</w:t>
      </w:r>
      <w:r w:rsidRPr="00342757">
        <w:rPr>
          <w:lang w:val="fr-CA"/>
        </w:rPr>
        <w:t>existence d</w:t>
      </w:r>
      <w:r>
        <w:rPr>
          <w:lang w:val="fr-CA"/>
        </w:rPr>
        <w:t>’</w:t>
      </w:r>
      <w:r w:rsidRPr="00342757">
        <w:rPr>
          <w:lang w:val="fr-CA"/>
        </w:rPr>
        <w:t>un tel lien ne constitue pas une condition supplémentaire par rapport à celles énoncées à l</w:t>
      </w:r>
      <w:r>
        <w:rPr>
          <w:lang w:val="fr-CA"/>
        </w:rPr>
        <w:t>’</w:t>
      </w:r>
      <w:r w:rsidRPr="00342757">
        <w:rPr>
          <w:lang w:val="fr-CA"/>
        </w:rPr>
        <w:t xml:space="preserve">art. 3168 </w:t>
      </w:r>
      <w:r w:rsidRPr="00BB2406">
        <w:rPr>
          <w:i/>
          <w:lang w:val="fr-CA"/>
        </w:rPr>
        <w:t>C.c.Q.</w:t>
      </w:r>
      <w:r w:rsidRPr="00342757">
        <w:rPr>
          <w:lang w:val="fr-CA"/>
        </w:rPr>
        <w:t>; elle se dégage plutôt de l</w:t>
      </w:r>
      <w:r>
        <w:rPr>
          <w:lang w:val="fr-CA"/>
        </w:rPr>
        <w:t>’</w:t>
      </w:r>
      <w:r w:rsidRPr="00342757">
        <w:rPr>
          <w:lang w:val="fr-CA"/>
        </w:rPr>
        <w:t>ensemble du régime décrit au livre dixième. L</w:t>
      </w:r>
      <w:r>
        <w:rPr>
          <w:lang w:val="fr-CA"/>
        </w:rPr>
        <w:t>’</w:t>
      </w:r>
      <w:r w:rsidRPr="00342757">
        <w:rPr>
          <w:lang w:val="fr-CA"/>
        </w:rPr>
        <w:t>affirmation selon laquelle l</w:t>
      </w:r>
      <w:r>
        <w:rPr>
          <w:lang w:val="fr-CA"/>
        </w:rPr>
        <w:t>’</w:t>
      </w:r>
      <w:r w:rsidRPr="00342757">
        <w:rPr>
          <w:lang w:val="fr-CA"/>
        </w:rPr>
        <w:t xml:space="preserve">art. 3164 </w:t>
      </w:r>
      <w:r w:rsidRPr="000C4A2D">
        <w:rPr>
          <w:i/>
          <w:lang w:val="fr-CA"/>
        </w:rPr>
        <w:t xml:space="preserve">C.c.Q. </w:t>
      </w:r>
      <w:r w:rsidRPr="00342757">
        <w:rPr>
          <w:lang w:val="fr-CA"/>
        </w:rPr>
        <w:t>exige un rattachement important entre le litige et le tribunal étranger, même lorsqu</w:t>
      </w:r>
      <w:r>
        <w:rPr>
          <w:lang w:val="fr-CA"/>
        </w:rPr>
        <w:t>’</w:t>
      </w:r>
      <w:r w:rsidRPr="00342757">
        <w:rPr>
          <w:lang w:val="fr-CA"/>
        </w:rPr>
        <w:t>un des critères de la reconnaissance de la compétence du tribunal étranger énoncé à l</w:t>
      </w:r>
      <w:r>
        <w:rPr>
          <w:lang w:val="fr-CA"/>
        </w:rPr>
        <w:t>’</w:t>
      </w:r>
      <w:r w:rsidRPr="00342757">
        <w:rPr>
          <w:lang w:val="fr-CA"/>
        </w:rPr>
        <w:t xml:space="preserve">art. 3168 </w:t>
      </w:r>
      <w:r w:rsidRPr="000C4A2D">
        <w:rPr>
          <w:i/>
          <w:lang w:val="fr-CA"/>
        </w:rPr>
        <w:t xml:space="preserve">C.c.Q. </w:t>
      </w:r>
      <w:r w:rsidRPr="00342757">
        <w:rPr>
          <w:lang w:val="fr-CA"/>
        </w:rPr>
        <w:t>est établi, n</w:t>
      </w:r>
      <w:r>
        <w:rPr>
          <w:lang w:val="fr-CA"/>
        </w:rPr>
        <w:t>’</w:t>
      </w:r>
      <w:r w:rsidRPr="00342757">
        <w:rPr>
          <w:lang w:val="fr-CA"/>
        </w:rPr>
        <w:t>est nullement appuyée par le texte de l</w:t>
      </w:r>
      <w:r>
        <w:rPr>
          <w:lang w:val="fr-CA"/>
        </w:rPr>
        <w:t>’</w:t>
      </w:r>
      <w:r w:rsidRPr="00342757">
        <w:rPr>
          <w:lang w:val="fr-CA"/>
        </w:rPr>
        <w:t xml:space="preserve">art. 3164 </w:t>
      </w:r>
      <w:r w:rsidRPr="00BB2406">
        <w:rPr>
          <w:i/>
          <w:lang w:val="fr-CA"/>
        </w:rPr>
        <w:t>C.c.Q.</w:t>
      </w:r>
      <w:r w:rsidRPr="00342757">
        <w:rPr>
          <w:lang w:val="fr-CA"/>
        </w:rPr>
        <w:t>; elle est même incompatible avec celui-ci. La question de l</w:t>
      </w:r>
      <w:r>
        <w:rPr>
          <w:lang w:val="fr-CA"/>
        </w:rPr>
        <w:t>’</w:t>
      </w:r>
      <w:r w:rsidRPr="00342757">
        <w:rPr>
          <w:lang w:val="fr-CA"/>
        </w:rPr>
        <w:t>existence d</w:t>
      </w:r>
      <w:r>
        <w:rPr>
          <w:lang w:val="fr-CA"/>
        </w:rPr>
        <w:t>’</w:t>
      </w:r>
      <w:r w:rsidRPr="00342757">
        <w:rPr>
          <w:lang w:val="fr-CA"/>
        </w:rPr>
        <w:t>un rattachement important, pour l</w:t>
      </w:r>
      <w:r>
        <w:rPr>
          <w:lang w:val="fr-CA"/>
        </w:rPr>
        <w:t>’</w:t>
      </w:r>
      <w:r w:rsidRPr="00342757">
        <w:rPr>
          <w:lang w:val="fr-CA"/>
        </w:rPr>
        <w:t>application de cet article, se pose uniquement lorsque la compétence d</w:t>
      </w:r>
      <w:r>
        <w:rPr>
          <w:lang w:val="fr-CA"/>
        </w:rPr>
        <w:t>’</w:t>
      </w:r>
      <w:r w:rsidRPr="00342757">
        <w:rPr>
          <w:lang w:val="fr-CA"/>
        </w:rPr>
        <w:t>une autorité étrangère est établie en application des dispositions du titre troisième. Qui plus est, l</w:t>
      </w:r>
      <w:r>
        <w:rPr>
          <w:lang w:val="fr-CA"/>
        </w:rPr>
        <w:t>’art. </w:t>
      </w:r>
      <w:r w:rsidRPr="00342757">
        <w:rPr>
          <w:lang w:val="fr-CA"/>
        </w:rPr>
        <w:t xml:space="preserve">3168 </w:t>
      </w:r>
      <w:r w:rsidRPr="000C4A2D">
        <w:rPr>
          <w:i/>
          <w:lang w:val="fr-CA"/>
        </w:rPr>
        <w:t xml:space="preserve">C.c.Q. </w:t>
      </w:r>
      <w:r w:rsidRPr="00342757">
        <w:rPr>
          <w:lang w:val="fr-CA"/>
        </w:rPr>
        <w:t xml:space="preserve">est plus </w:t>
      </w:r>
      <w:r w:rsidRPr="001A7776">
        <w:rPr>
          <w:lang w:val="fr-CA"/>
        </w:rPr>
        <w:t>restrictif que sa disposition miroir, l</w:t>
      </w:r>
      <w:r>
        <w:rPr>
          <w:lang w:val="fr-CA"/>
        </w:rPr>
        <w:t>’</w:t>
      </w:r>
      <w:r w:rsidRPr="001A7776">
        <w:rPr>
          <w:lang w:val="fr-CA"/>
        </w:rPr>
        <w:t>art</w:t>
      </w:r>
      <w:r w:rsidRPr="00342757">
        <w:rPr>
          <w:lang w:val="fr-CA"/>
        </w:rPr>
        <w:t xml:space="preserve">. 3148 </w:t>
      </w:r>
      <w:r w:rsidRPr="00BB2406">
        <w:rPr>
          <w:i/>
          <w:lang w:val="fr-CA"/>
        </w:rPr>
        <w:t>C.c.Q.</w:t>
      </w:r>
      <w:r w:rsidRPr="00342757">
        <w:rPr>
          <w:lang w:val="fr-CA"/>
        </w:rPr>
        <w:t>, précisément pour assurer l</w:t>
      </w:r>
      <w:r>
        <w:rPr>
          <w:lang w:val="fr-CA"/>
        </w:rPr>
        <w:t>’</w:t>
      </w:r>
      <w:r w:rsidRPr="00342757">
        <w:rPr>
          <w:lang w:val="fr-CA"/>
        </w:rPr>
        <w:t>existence d</w:t>
      </w:r>
      <w:r>
        <w:rPr>
          <w:lang w:val="fr-CA"/>
        </w:rPr>
        <w:t>’</w:t>
      </w:r>
      <w:r w:rsidRPr="00342757">
        <w:rPr>
          <w:lang w:val="fr-CA"/>
        </w:rPr>
        <w:t>un rattachement important. Toutefois, un tribunal québécois doit néanmoins mener une analyse indépendante relativement à l</w:t>
      </w:r>
      <w:r>
        <w:rPr>
          <w:lang w:val="fr-CA"/>
        </w:rPr>
        <w:t>’</w:t>
      </w:r>
      <w:r w:rsidRPr="00342757">
        <w:rPr>
          <w:lang w:val="fr-CA"/>
        </w:rPr>
        <w:t>existence d</w:t>
      </w:r>
      <w:r>
        <w:rPr>
          <w:lang w:val="fr-CA"/>
        </w:rPr>
        <w:t>’</w:t>
      </w:r>
      <w:r w:rsidRPr="00342757">
        <w:rPr>
          <w:lang w:val="fr-CA"/>
        </w:rPr>
        <w:t>un rattachement important entre le litige et l</w:t>
      </w:r>
      <w:r>
        <w:rPr>
          <w:lang w:val="fr-CA"/>
        </w:rPr>
        <w:t>’</w:t>
      </w:r>
      <w:r w:rsidRPr="00342757">
        <w:rPr>
          <w:lang w:val="fr-CA"/>
        </w:rPr>
        <w:t>autorité étrangère lorsque la conclusion du tribunal au sujet de la compétence repose sur une des « Dispositions générales » du chapitre premier du livre troisième.</w:t>
      </w:r>
    </w:p>
    <w:p w:rsidR="00AF6697" w:rsidRPr="00342757" w:rsidRDefault="00AF6697" w:rsidP="00AF6697">
      <w:pPr>
        <w:pStyle w:val="SCCNormalDoubleSpacing"/>
        <w:spacing w:after="480"/>
        <w:rPr>
          <w:lang w:val="fr-CA"/>
        </w:rPr>
      </w:pPr>
      <w:r>
        <w:rPr>
          <w:lang w:val="fr-CA"/>
        </w:rPr>
        <w:lastRenderedPageBreak/>
        <w:tab/>
      </w:r>
      <w:r w:rsidRPr="00342757">
        <w:rPr>
          <w:lang w:val="fr-CA"/>
        </w:rPr>
        <w:t>L</w:t>
      </w:r>
      <w:r>
        <w:rPr>
          <w:lang w:val="fr-CA"/>
        </w:rPr>
        <w:t>’</w:t>
      </w:r>
      <w:r w:rsidRPr="00342757">
        <w:rPr>
          <w:lang w:val="fr-CA"/>
        </w:rPr>
        <w:t xml:space="preserve">article 3139 </w:t>
      </w:r>
      <w:r w:rsidRPr="000C4A2D">
        <w:rPr>
          <w:i/>
          <w:lang w:val="fr-CA"/>
        </w:rPr>
        <w:t xml:space="preserve">C.c.Q. </w:t>
      </w:r>
      <w:r w:rsidRPr="00342757">
        <w:rPr>
          <w:lang w:val="fr-CA"/>
        </w:rPr>
        <w:t>est une disposition attributive de compétence qui vise l</w:t>
      </w:r>
      <w:r>
        <w:rPr>
          <w:lang w:val="fr-CA"/>
        </w:rPr>
        <w:t>’</w:t>
      </w:r>
      <w:r w:rsidRPr="00342757">
        <w:rPr>
          <w:lang w:val="fr-CA"/>
        </w:rPr>
        <w:t>économie des ressources judiciaires et l</w:t>
      </w:r>
      <w:r>
        <w:rPr>
          <w:lang w:val="fr-CA"/>
        </w:rPr>
        <w:t>’</w:t>
      </w:r>
      <w:r w:rsidRPr="00342757">
        <w:rPr>
          <w:lang w:val="fr-CA"/>
        </w:rPr>
        <w:t>efficacité de l</w:t>
      </w:r>
      <w:r>
        <w:rPr>
          <w:lang w:val="fr-CA"/>
        </w:rPr>
        <w:t>’</w:t>
      </w:r>
      <w:r w:rsidRPr="00342757">
        <w:rPr>
          <w:lang w:val="fr-CA"/>
        </w:rPr>
        <w:t>administration de la justice en favorisant la réunion d</w:t>
      </w:r>
      <w:r>
        <w:rPr>
          <w:lang w:val="fr-CA"/>
        </w:rPr>
        <w:t>’</w:t>
      </w:r>
      <w:r w:rsidRPr="00342757">
        <w:rPr>
          <w:lang w:val="fr-CA"/>
        </w:rPr>
        <w:t>instances. L</w:t>
      </w:r>
      <w:r>
        <w:rPr>
          <w:lang w:val="fr-CA"/>
        </w:rPr>
        <w:t>’</w:t>
      </w:r>
      <w:r w:rsidRPr="00342757">
        <w:rPr>
          <w:lang w:val="fr-CA"/>
        </w:rPr>
        <w:t>expression « demande incidente » qui figure à l</w:t>
      </w:r>
      <w:r>
        <w:rPr>
          <w:lang w:val="fr-CA"/>
        </w:rPr>
        <w:t>’</w:t>
      </w:r>
      <w:r w:rsidRPr="00342757">
        <w:rPr>
          <w:lang w:val="fr-CA"/>
        </w:rPr>
        <w:t xml:space="preserve">art. 3139 </w:t>
      </w:r>
      <w:r w:rsidRPr="000C4A2D">
        <w:rPr>
          <w:i/>
          <w:lang w:val="fr-CA"/>
        </w:rPr>
        <w:t xml:space="preserve">C.c.Q. </w:t>
      </w:r>
      <w:r w:rsidRPr="00342757">
        <w:rPr>
          <w:lang w:val="fr-CA"/>
        </w:rPr>
        <w:t xml:space="preserve">doit donc être interprétée comme incluant une demande connexe ou </w:t>
      </w:r>
      <w:r>
        <w:rPr>
          <w:lang w:val="fr-CA"/>
        </w:rPr>
        <w:t xml:space="preserve">liée. </w:t>
      </w:r>
      <w:r w:rsidRPr="001A7776">
        <w:rPr>
          <w:lang w:val="fr-CA"/>
        </w:rPr>
        <w:t>Par conséquent, dans les actions personnelles à caractère patrimonial, il est possible d</w:t>
      </w:r>
      <w:r>
        <w:rPr>
          <w:lang w:val="fr-CA"/>
        </w:rPr>
        <w:t>’</w:t>
      </w:r>
      <w:r w:rsidRPr="001A7776">
        <w:rPr>
          <w:lang w:val="fr-CA"/>
        </w:rPr>
        <w:t>établir la compétence d</w:t>
      </w:r>
      <w:r>
        <w:rPr>
          <w:lang w:val="fr-CA"/>
        </w:rPr>
        <w:t>’</w:t>
      </w:r>
      <w:r w:rsidRPr="001A7776">
        <w:rPr>
          <w:lang w:val="fr-CA"/>
        </w:rPr>
        <w:t>une autorité étrangère sur un codéfendeur spécifique en application de l</w:t>
      </w:r>
      <w:r>
        <w:rPr>
          <w:lang w:val="fr-CA"/>
        </w:rPr>
        <w:t>’</w:t>
      </w:r>
      <w:r w:rsidRPr="001A7776">
        <w:rPr>
          <w:lang w:val="fr-CA"/>
        </w:rPr>
        <w:t xml:space="preserve">art. 3139 </w:t>
      </w:r>
      <w:r w:rsidRPr="001A7776">
        <w:rPr>
          <w:i/>
          <w:lang w:val="fr-CA"/>
        </w:rPr>
        <w:t>C.c.Q.</w:t>
      </w:r>
      <w:r w:rsidRPr="001A7776">
        <w:rPr>
          <w:lang w:val="fr-CA"/>
        </w:rPr>
        <w:t>, même lorsque ce codéfendeur n</w:t>
      </w:r>
      <w:r>
        <w:rPr>
          <w:lang w:val="fr-CA"/>
        </w:rPr>
        <w:t>’</w:t>
      </w:r>
      <w:r w:rsidRPr="001A7776">
        <w:rPr>
          <w:lang w:val="fr-CA"/>
        </w:rPr>
        <w:t>est pas partie au contrat constituant le fondement de la compétence de l</w:t>
      </w:r>
      <w:r>
        <w:rPr>
          <w:lang w:val="fr-CA"/>
        </w:rPr>
        <w:t>’</w:t>
      </w:r>
      <w:r w:rsidRPr="001A7776">
        <w:rPr>
          <w:lang w:val="fr-CA"/>
        </w:rPr>
        <w:t>autorité en question, si a) cette autorité étrangère a compétence sur le litige contractuel principal en application d</w:t>
      </w:r>
      <w:r w:rsidR="00302BC6">
        <w:rPr>
          <w:lang w:val="fr-CA"/>
        </w:rPr>
        <w:t>u</w:t>
      </w:r>
      <w:r w:rsidRPr="001A7776">
        <w:rPr>
          <w:lang w:val="fr-CA"/>
        </w:rPr>
        <w:t xml:space="preserve"> </w:t>
      </w:r>
      <w:r w:rsidR="00302BC6">
        <w:rPr>
          <w:lang w:val="fr-CA"/>
        </w:rPr>
        <w:t>par.</w:t>
      </w:r>
      <w:r w:rsidRPr="001A7776">
        <w:rPr>
          <w:lang w:val="fr-CA"/>
        </w:rPr>
        <w:t xml:space="preserve"> 3168(4) </w:t>
      </w:r>
      <w:r w:rsidRPr="001A7776">
        <w:rPr>
          <w:i/>
          <w:lang w:val="fr-CA"/>
        </w:rPr>
        <w:t>C.c.Q.</w:t>
      </w:r>
      <w:r w:rsidRPr="001A7776">
        <w:rPr>
          <w:lang w:val="fr-CA"/>
        </w:rPr>
        <w:t>, b) la réclamation formulée contre le codéfendeur est liée</w:t>
      </w:r>
      <w:r w:rsidRPr="00342757">
        <w:rPr>
          <w:lang w:val="fr-CA"/>
        </w:rPr>
        <w:t xml:space="preserve"> au contrat, et c) le litige se rattache d</w:t>
      </w:r>
      <w:r>
        <w:rPr>
          <w:lang w:val="fr-CA"/>
        </w:rPr>
        <w:t xml:space="preserve">’une façon importante </w:t>
      </w:r>
      <w:r w:rsidRPr="00342757">
        <w:rPr>
          <w:lang w:val="fr-CA"/>
        </w:rPr>
        <w:t>à l</w:t>
      </w:r>
      <w:r>
        <w:rPr>
          <w:lang w:val="fr-CA"/>
        </w:rPr>
        <w:t>’</w:t>
      </w:r>
      <w:r w:rsidRPr="00342757">
        <w:rPr>
          <w:lang w:val="fr-CA"/>
        </w:rPr>
        <w:t>État dont l</w:t>
      </w:r>
      <w:r>
        <w:rPr>
          <w:lang w:val="fr-CA"/>
        </w:rPr>
        <w:t>’</w:t>
      </w:r>
      <w:r w:rsidRPr="00342757">
        <w:rPr>
          <w:lang w:val="fr-CA"/>
        </w:rPr>
        <w:t>autorité a été saisie aux termes de l</w:t>
      </w:r>
      <w:r>
        <w:rPr>
          <w:lang w:val="fr-CA"/>
        </w:rPr>
        <w:t>’</w:t>
      </w:r>
      <w:r w:rsidRPr="00342757">
        <w:rPr>
          <w:lang w:val="fr-CA"/>
        </w:rPr>
        <w:t xml:space="preserve">art. 3164 </w:t>
      </w:r>
      <w:r w:rsidRPr="000C4A2D">
        <w:rPr>
          <w:i/>
          <w:lang w:val="fr-CA"/>
        </w:rPr>
        <w:t xml:space="preserve">C.c.Q. </w:t>
      </w:r>
      <w:r w:rsidRPr="00342757">
        <w:rPr>
          <w:lang w:val="fr-CA"/>
        </w:rPr>
        <w:t>Dans la présente affaire, le tribunal de l</w:t>
      </w:r>
      <w:r>
        <w:rPr>
          <w:lang w:val="fr-CA"/>
        </w:rPr>
        <w:t>’</w:t>
      </w:r>
      <w:r w:rsidRPr="00342757">
        <w:rPr>
          <w:lang w:val="fr-CA"/>
        </w:rPr>
        <w:t xml:space="preserve">Utah avait compétence en application </w:t>
      </w:r>
      <w:r w:rsidR="00D90246">
        <w:rPr>
          <w:lang w:val="fr-CA"/>
        </w:rPr>
        <w:t>du par.</w:t>
      </w:r>
      <w:r w:rsidRPr="00342757">
        <w:rPr>
          <w:lang w:val="fr-CA"/>
        </w:rPr>
        <w:t xml:space="preserve"> 3168(4) </w:t>
      </w:r>
      <w:r w:rsidRPr="000C4A2D">
        <w:rPr>
          <w:i/>
          <w:lang w:val="fr-CA"/>
        </w:rPr>
        <w:t xml:space="preserve">C.c.Q. </w:t>
      </w:r>
      <w:r w:rsidRPr="00342757">
        <w:rPr>
          <w:lang w:val="fr-CA"/>
        </w:rPr>
        <w:t>sur le litige contractuel principal qui opposait Knight et BEC, et il existe un lien évident entre le contrat et les allégations d</w:t>
      </w:r>
      <w:r>
        <w:rPr>
          <w:lang w:val="fr-CA"/>
        </w:rPr>
        <w:t>’</w:t>
      </w:r>
      <w:r w:rsidRPr="00342757">
        <w:rPr>
          <w:lang w:val="fr-CA"/>
        </w:rPr>
        <w:t>alter ego et de fraude formulées contre B personnellement. Ce dernier a participé à l</w:t>
      </w:r>
      <w:r>
        <w:rPr>
          <w:lang w:val="fr-CA"/>
        </w:rPr>
        <w:t>’</w:t>
      </w:r>
      <w:r w:rsidRPr="00342757">
        <w:rPr>
          <w:lang w:val="fr-CA"/>
        </w:rPr>
        <w:t>instance dans l</w:t>
      </w:r>
      <w:r>
        <w:rPr>
          <w:lang w:val="fr-CA"/>
        </w:rPr>
        <w:t>’</w:t>
      </w:r>
      <w:r w:rsidRPr="00342757">
        <w:rPr>
          <w:lang w:val="fr-CA"/>
        </w:rPr>
        <w:t>Utah et a admis avoir joué un rôle clé auprès de Knight aux fins de l</w:t>
      </w:r>
      <w:r>
        <w:rPr>
          <w:lang w:val="fr-CA"/>
        </w:rPr>
        <w:t>’</w:t>
      </w:r>
      <w:r w:rsidRPr="00342757">
        <w:rPr>
          <w:lang w:val="fr-CA"/>
        </w:rPr>
        <w:t>exécution d</w:t>
      </w:r>
      <w:r>
        <w:rPr>
          <w:lang w:val="fr-CA"/>
        </w:rPr>
        <w:t>’</w:t>
      </w:r>
      <w:r w:rsidRPr="00342757">
        <w:rPr>
          <w:lang w:val="fr-CA"/>
        </w:rPr>
        <w:t>un contrat qui devait avoir lieu dans cet État. Par ailleurs, l</w:t>
      </w:r>
      <w:r>
        <w:rPr>
          <w:lang w:val="fr-CA"/>
        </w:rPr>
        <w:t>’</w:t>
      </w:r>
      <w:r w:rsidRPr="00342757">
        <w:rPr>
          <w:lang w:val="fr-CA"/>
        </w:rPr>
        <w:t>allégation d</w:t>
      </w:r>
      <w:r>
        <w:rPr>
          <w:lang w:val="fr-CA"/>
        </w:rPr>
        <w:t>’</w:t>
      </w:r>
      <w:r w:rsidRPr="00342757">
        <w:rPr>
          <w:lang w:val="fr-CA"/>
        </w:rPr>
        <w:t>alter ego formulée contre B personnellement est régie par la loi de l</w:t>
      </w:r>
      <w:r>
        <w:rPr>
          <w:lang w:val="fr-CA"/>
        </w:rPr>
        <w:t>’</w:t>
      </w:r>
      <w:r w:rsidRPr="00342757">
        <w:rPr>
          <w:lang w:val="fr-CA"/>
        </w:rPr>
        <w:t>Utah. Il existe donc un rattachement important entre l</w:t>
      </w:r>
      <w:r>
        <w:rPr>
          <w:lang w:val="fr-CA"/>
        </w:rPr>
        <w:t>’</w:t>
      </w:r>
      <w:r w:rsidRPr="00342757">
        <w:rPr>
          <w:lang w:val="fr-CA"/>
        </w:rPr>
        <w:t>Utah et à la fois l</w:t>
      </w:r>
      <w:r>
        <w:rPr>
          <w:lang w:val="fr-CA"/>
        </w:rPr>
        <w:t>’</w:t>
      </w:r>
      <w:r w:rsidRPr="00342757">
        <w:rPr>
          <w:lang w:val="fr-CA"/>
        </w:rPr>
        <w:t>objet du litige et les parties de sorte à pouvoir satisfaire aux exigences de l</w:t>
      </w:r>
      <w:r>
        <w:rPr>
          <w:lang w:val="fr-CA"/>
        </w:rPr>
        <w:t>’</w:t>
      </w:r>
      <w:r w:rsidRPr="00342757">
        <w:rPr>
          <w:lang w:val="fr-CA"/>
        </w:rPr>
        <w:t>art. 3164 </w:t>
      </w:r>
      <w:r w:rsidRPr="000C4A2D">
        <w:rPr>
          <w:i/>
          <w:lang w:val="fr-CA"/>
        </w:rPr>
        <w:t xml:space="preserve">C.c.Q. </w:t>
      </w:r>
      <w:r w:rsidRPr="00342757">
        <w:rPr>
          <w:lang w:val="fr-CA"/>
        </w:rPr>
        <w:t xml:space="preserve">Il est dans </w:t>
      </w:r>
      <w:r>
        <w:rPr>
          <w:lang w:val="fr-CA"/>
        </w:rPr>
        <w:t xml:space="preserve">l’intérêt de la justice </w:t>
      </w:r>
      <w:r w:rsidRPr="001A7776">
        <w:rPr>
          <w:lang w:val="fr-CA"/>
        </w:rPr>
        <w:t>que des demandes connexes soient tranchées ensemble par un seul tribunal. Le tribunal de l</w:t>
      </w:r>
      <w:r>
        <w:rPr>
          <w:lang w:val="fr-CA"/>
        </w:rPr>
        <w:t>’</w:t>
      </w:r>
      <w:r w:rsidRPr="001A7776">
        <w:rPr>
          <w:lang w:val="fr-CA"/>
        </w:rPr>
        <w:t>Utah a choisi de se déclarer compétent à l</w:t>
      </w:r>
      <w:r>
        <w:rPr>
          <w:lang w:val="fr-CA"/>
        </w:rPr>
        <w:t>’</w:t>
      </w:r>
      <w:r w:rsidRPr="001A7776">
        <w:rPr>
          <w:lang w:val="fr-CA"/>
        </w:rPr>
        <w:t>égard de tous les</w:t>
      </w:r>
      <w:r w:rsidRPr="00342757">
        <w:rPr>
          <w:lang w:val="fr-CA"/>
        </w:rPr>
        <w:t xml:space="preserve"> aspects de l</w:t>
      </w:r>
      <w:r>
        <w:rPr>
          <w:lang w:val="fr-CA"/>
        </w:rPr>
        <w:t>’</w:t>
      </w:r>
      <w:r w:rsidRPr="00342757">
        <w:rPr>
          <w:lang w:val="fr-CA"/>
        </w:rPr>
        <w:t>affaire. Il était autorisé à faire ce choix</w:t>
      </w:r>
      <w:r>
        <w:rPr>
          <w:lang w:val="fr-CA"/>
        </w:rPr>
        <w:t xml:space="preserve">, un choix qu’il convient de </w:t>
      </w:r>
      <w:r w:rsidRPr="00342757">
        <w:rPr>
          <w:lang w:val="fr-CA"/>
        </w:rPr>
        <w:t xml:space="preserve">respecter à la lumière du principe de la courtoisie internationale. </w:t>
      </w:r>
    </w:p>
    <w:p w:rsidR="00AF6697" w:rsidRPr="00342757" w:rsidRDefault="00AF6697" w:rsidP="00AF6697">
      <w:pPr>
        <w:pStyle w:val="SCCNormalDoubleSpacing"/>
        <w:spacing w:after="480"/>
        <w:rPr>
          <w:lang w:val="fr-CA"/>
        </w:rPr>
      </w:pPr>
      <w:r w:rsidRPr="00342757">
        <w:rPr>
          <w:lang w:val="fr-CA"/>
        </w:rPr>
        <w:lastRenderedPageBreak/>
        <w:tab/>
      </w:r>
      <w:r w:rsidRPr="000965D5">
        <w:rPr>
          <w:i/>
          <w:lang w:val="fr-CA"/>
        </w:rPr>
        <w:t>La</w:t>
      </w:r>
      <w:r w:rsidRPr="00342757">
        <w:rPr>
          <w:lang w:val="fr-CA"/>
        </w:rPr>
        <w:t xml:space="preserve"> juge </w:t>
      </w:r>
      <w:r w:rsidRPr="00316520">
        <w:rPr>
          <w:lang w:val="fr-CA"/>
        </w:rPr>
        <w:t>Côté</w:t>
      </w:r>
      <w:r w:rsidRPr="00342757">
        <w:rPr>
          <w:lang w:val="fr-CA"/>
        </w:rPr>
        <w:t xml:space="preserve"> (dissidente) : Le pourvoi devrait être accueilli. La compétence du tribunal de l</w:t>
      </w:r>
      <w:r>
        <w:rPr>
          <w:lang w:val="fr-CA"/>
        </w:rPr>
        <w:t>’</w:t>
      </w:r>
      <w:r w:rsidRPr="00342757">
        <w:rPr>
          <w:lang w:val="fr-CA"/>
        </w:rPr>
        <w:t>Utah ne peut être établie en vertu de l</w:t>
      </w:r>
      <w:r>
        <w:rPr>
          <w:lang w:val="fr-CA"/>
        </w:rPr>
        <w:t>’</w:t>
      </w:r>
      <w:r w:rsidRPr="00342757">
        <w:rPr>
          <w:lang w:val="fr-CA"/>
        </w:rPr>
        <w:t xml:space="preserve">art. 3168 </w:t>
      </w:r>
      <w:r w:rsidRPr="000C4A2D">
        <w:rPr>
          <w:i/>
          <w:lang w:val="fr-CA"/>
        </w:rPr>
        <w:t xml:space="preserve">C.c.Q. </w:t>
      </w:r>
      <w:r w:rsidRPr="00342757">
        <w:rPr>
          <w:lang w:val="fr-CA"/>
        </w:rPr>
        <w:t>et le litige ne présente pas de rattachement important avec l</w:t>
      </w:r>
      <w:r>
        <w:rPr>
          <w:lang w:val="fr-CA"/>
        </w:rPr>
        <w:t>’</w:t>
      </w:r>
      <w:r w:rsidRPr="00342757">
        <w:rPr>
          <w:lang w:val="fr-CA"/>
        </w:rPr>
        <w:t>Utah comme l</w:t>
      </w:r>
      <w:r>
        <w:rPr>
          <w:lang w:val="fr-CA"/>
        </w:rPr>
        <w:t>’</w:t>
      </w:r>
      <w:r w:rsidRPr="00342757">
        <w:rPr>
          <w:lang w:val="fr-CA"/>
        </w:rPr>
        <w:t>exige l</w:t>
      </w:r>
      <w:r>
        <w:rPr>
          <w:lang w:val="fr-CA"/>
        </w:rPr>
        <w:t>’</w:t>
      </w:r>
      <w:r w:rsidRPr="00342757">
        <w:rPr>
          <w:lang w:val="fr-CA"/>
        </w:rPr>
        <w:t xml:space="preserve">art. 3164 </w:t>
      </w:r>
      <w:r w:rsidRPr="000C4A2D">
        <w:rPr>
          <w:i/>
          <w:lang w:val="fr-CA"/>
        </w:rPr>
        <w:t xml:space="preserve">C.c.Q. </w:t>
      </w:r>
      <w:r w:rsidRPr="00342757">
        <w:rPr>
          <w:lang w:val="fr-CA"/>
        </w:rPr>
        <w:t>Par conséquent, la décision ne peut être reconnue contre B.</w:t>
      </w:r>
    </w:p>
    <w:p w:rsidR="00AF6697" w:rsidRPr="00342757" w:rsidRDefault="00AF6697" w:rsidP="00AF6697">
      <w:pPr>
        <w:pStyle w:val="SCCNormalDoubleSpacing"/>
        <w:spacing w:after="480"/>
        <w:rPr>
          <w:lang w:val="fr-CA"/>
        </w:rPr>
      </w:pPr>
      <w:r>
        <w:rPr>
          <w:lang w:val="fr-CA"/>
        </w:rPr>
        <w:tab/>
      </w:r>
      <w:r w:rsidRPr="00342757">
        <w:rPr>
          <w:lang w:val="fr-CA"/>
        </w:rPr>
        <w:t xml:space="preserve">En ce qui concerne les </w:t>
      </w:r>
      <w:r w:rsidR="00822E97">
        <w:rPr>
          <w:lang w:val="fr-CA"/>
        </w:rPr>
        <w:t>par.</w:t>
      </w:r>
      <w:r w:rsidR="00FB1872">
        <w:rPr>
          <w:lang w:val="fr-CA"/>
        </w:rPr>
        <w:t xml:space="preserve"> </w:t>
      </w:r>
      <w:r w:rsidRPr="00342757">
        <w:rPr>
          <w:lang w:val="fr-CA"/>
        </w:rPr>
        <w:t>3168(3) et (4), il y a accord avec la conclusion des juges majoritaires selon laquelle Knight ne s</w:t>
      </w:r>
      <w:r>
        <w:rPr>
          <w:lang w:val="fr-CA"/>
        </w:rPr>
        <w:t>’</w:t>
      </w:r>
      <w:r w:rsidRPr="00342757">
        <w:rPr>
          <w:lang w:val="fr-CA"/>
        </w:rPr>
        <w:t>est pas déchargée du fardeau qui lui incombait d</w:t>
      </w:r>
      <w:r>
        <w:rPr>
          <w:lang w:val="fr-CA"/>
        </w:rPr>
        <w:t>’</w:t>
      </w:r>
      <w:r w:rsidRPr="00342757">
        <w:rPr>
          <w:lang w:val="fr-CA"/>
        </w:rPr>
        <w:t>établir la compétence du tribunal de l</w:t>
      </w:r>
      <w:r>
        <w:rPr>
          <w:lang w:val="fr-CA"/>
        </w:rPr>
        <w:t>’</w:t>
      </w:r>
      <w:r w:rsidRPr="00342757">
        <w:rPr>
          <w:lang w:val="fr-CA"/>
        </w:rPr>
        <w:t>Utah à l</w:t>
      </w:r>
      <w:r>
        <w:rPr>
          <w:lang w:val="fr-CA"/>
        </w:rPr>
        <w:t>’</w:t>
      </w:r>
      <w:r w:rsidRPr="00342757">
        <w:rPr>
          <w:lang w:val="fr-CA"/>
        </w:rPr>
        <w:t>égard de B. Contrairement à ce qui se passe lorsqu</w:t>
      </w:r>
      <w:r>
        <w:rPr>
          <w:lang w:val="fr-CA"/>
        </w:rPr>
        <w:t>’</w:t>
      </w:r>
      <w:r w:rsidRPr="00342757">
        <w:rPr>
          <w:lang w:val="fr-CA"/>
        </w:rPr>
        <w:t>un tribunal québécois examine sa propre compétence, ce sont les règles générales de la preuve qui s</w:t>
      </w:r>
      <w:r>
        <w:rPr>
          <w:lang w:val="fr-CA"/>
        </w:rPr>
        <w:t>’</w:t>
      </w:r>
      <w:r w:rsidRPr="00342757">
        <w:rPr>
          <w:lang w:val="fr-CA"/>
        </w:rPr>
        <w:t>appliquent dans une demande de reconnaissance d</w:t>
      </w:r>
      <w:r>
        <w:rPr>
          <w:lang w:val="fr-CA"/>
        </w:rPr>
        <w:t>’</w:t>
      </w:r>
      <w:r w:rsidRPr="00342757">
        <w:rPr>
          <w:lang w:val="fr-CA"/>
        </w:rPr>
        <w:t>une décision étrangère, ce qui signifie que les allégations ne seront pas tenues pour avérées et qu</w:t>
      </w:r>
      <w:r>
        <w:rPr>
          <w:lang w:val="fr-CA"/>
        </w:rPr>
        <w:t>’</w:t>
      </w:r>
      <w:r w:rsidRPr="00342757">
        <w:rPr>
          <w:lang w:val="fr-CA"/>
        </w:rPr>
        <w:t xml:space="preserve">une preuve </w:t>
      </w:r>
      <w:r w:rsidRPr="003B32F1">
        <w:rPr>
          <w:i/>
          <w:lang w:val="fr-CA"/>
        </w:rPr>
        <w:t>prima facie</w:t>
      </w:r>
      <w:r w:rsidRPr="00342757">
        <w:rPr>
          <w:lang w:val="fr-CA"/>
        </w:rPr>
        <w:t xml:space="preserve"> ne suffira pas. Knight a joint à sa demande des éléments de preuve documentaire consistant essentiellement en des actes de procédure et des décisions tirées de l</w:t>
      </w:r>
      <w:r>
        <w:rPr>
          <w:lang w:val="fr-CA"/>
        </w:rPr>
        <w:t>’</w:t>
      </w:r>
      <w:r w:rsidRPr="00342757">
        <w:rPr>
          <w:lang w:val="fr-CA"/>
        </w:rPr>
        <w:t>instance en Utah. Aucun des documents présentés n</w:t>
      </w:r>
      <w:r>
        <w:rPr>
          <w:lang w:val="fr-CA"/>
        </w:rPr>
        <w:t>’</w:t>
      </w:r>
      <w:r w:rsidRPr="00342757">
        <w:rPr>
          <w:lang w:val="fr-CA"/>
        </w:rPr>
        <w:t>offrait le moindre élément de preuve tendant à démontrer l</w:t>
      </w:r>
      <w:r>
        <w:rPr>
          <w:lang w:val="fr-CA"/>
        </w:rPr>
        <w:t>’</w:t>
      </w:r>
      <w:r w:rsidRPr="00342757">
        <w:rPr>
          <w:lang w:val="fr-CA"/>
        </w:rPr>
        <w:t>existence d</w:t>
      </w:r>
      <w:r>
        <w:rPr>
          <w:lang w:val="fr-CA"/>
        </w:rPr>
        <w:t>’</w:t>
      </w:r>
      <w:r w:rsidRPr="00342757">
        <w:rPr>
          <w:lang w:val="fr-CA"/>
        </w:rPr>
        <w:t>une faute commise par B en Utah ou d</w:t>
      </w:r>
      <w:r>
        <w:rPr>
          <w:lang w:val="fr-CA"/>
        </w:rPr>
        <w:t>’</w:t>
      </w:r>
      <w:r w:rsidRPr="00342757">
        <w:rPr>
          <w:lang w:val="fr-CA"/>
        </w:rPr>
        <w:t>une obligation contractuelle que B devait exécuter dans cet État. Les allégations relatives à la promesse de payer et à l</w:t>
      </w:r>
      <w:r>
        <w:rPr>
          <w:lang w:val="fr-CA"/>
        </w:rPr>
        <w:t>’</w:t>
      </w:r>
      <w:r w:rsidRPr="00342757">
        <w:rPr>
          <w:lang w:val="fr-CA"/>
        </w:rPr>
        <w:t>existence d</w:t>
      </w:r>
      <w:r>
        <w:rPr>
          <w:lang w:val="fr-CA"/>
        </w:rPr>
        <w:t>’</w:t>
      </w:r>
      <w:r w:rsidRPr="00342757">
        <w:rPr>
          <w:lang w:val="fr-CA"/>
        </w:rPr>
        <w:t>un alter ego formulées contre B n</w:t>
      </w:r>
      <w:r>
        <w:rPr>
          <w:lang w:val="fr-CA"/>
        </w:rPr>
        <w:t>’</w:t>
      </w:r>
      <w:r w:rsidRPr="00342757">
        <w:rPr>
          <w:lang w:val="fr-CA"/>
        </w:rPr>
        <w:t>ont pas encore été prouvées devant un tribunal. B a expressément nié ces allégations et aucune preuve de la prétendue promesse de payer, de sa teneur ou de son acceptation n</w:t>
      </w:r>
      <w:r>
        <w:rPr>
          <w:lang w:val="fr-CA"/>
        </w:rPr>
        <w:t>’</w:t>
      </w:r>
      <w:r w:rsidRPr="00342757">
        <w:rPr>
          <w:lang w:val="fr-CA"/>
        </w:rPr>
        <w:t>a été présentée à quelque autre moment au cours de l</w:t>
      </w:r>
      <w:r>
        <w:rPr>
          <w:lang w:val="fr-CA"/>
        </w:rPr>
        <w:t>’</w:t>
      </w:r>
      <w:r w:rsidRPr="00342757">
        <w:rPr>
          <w:lang w:val="fr-CA"/>
        </w:rPr>
        <w:t>instance en Utah. Les décisions du tribunal de l</w:t>
      </w:r>
      <w:r>
        <w:rPr>
          <w:lang w:val="fr-CA"/>
        </w:rPr>
        <w:t>’</w:t>
      </w:r>
      <w:r w:rsidRPr="00342757">
        <w:rPr>
          <w:lang w:val="fr-CA"/>
        </w:rPr>
        <w:t>Utah produites en preuve constituent des jugements rendus par défaut qui ne contiennent aucune conclusion de fait sur laquelle se fonder, dans le cadre de l</w:t>
      </w:r>
      <w:r>
        <w:rPr>
          <w:lang w:val="fr-CA"/>
        </w:rPr>
        <w:t>’</w:t>
      </w:r>
      <w:r w:rsidRPr="00342757">
        <w:rPr>
          <w:lang w:val="fr-CA"/>
        </w:rPr>
        <w:t>instance québécoise, pour conclure que l</w:t>
      </w:r>
      <w:r>
        <w:rPr>
          <w:lang w:val="fr-CA"/>
        </w:rPr>
        <w:t>’</w:t>
      </w:r>
      <w:r w:rsidRPr="00342757">
        <w:rPr>
          <w:lang w:val="fr-CA"/>
        </w:rPr>
        <w:t>autorité étrangère avait compétence.</w:t>
      </w:r>
    </w:p>
    <w:p w:rsidR="00AF6697" w:rsidRPr="00342757" w:rsidRDefault="00AF6697" w:rsidP="00AF6697">
      <w:pPr>
        <w:pStyle w:val="SCCNormalDoubleSpacing"/>
        <w:spacing w:after="480"/>
        <w:rPr>
          <w:lang w:val="fr-CA"/>
        </w:rPr>
      </w:pPr>
      <w:r>
        <w:rPr>
          <w:lang w:val="fr-CA"/>
        </w:rPr>
        <w:lastRenderedPageBreak/>
        <w:tab/>
      </w:r>
      <w:r w:rsidRPr="00342757">
        <w:rPr>
          <w:lang w:val="fr-CA"/>
        </w:rPr>
        <w:t xml:space="preserve">Étant donné que </w:t>
      </w:r>
      <w:r>
        <w:rPr>
          <w:lang w:val="fr-CA"/>
        </w:rPr>
        <w:t>B</w:t>
      </w:r>
      <w:r w:rsidRPr="00342757">
        <w:rPr>
          <w:lang w:val="fr-CA"/>
        </w:rPr>
        <w:t xml:space="preserve"> n</w:t>
      </w:r>
      <w:r>
        <w:rPr>
          <w:lang w:val="fr-CA"/>
        </w:rPr>
        <w:t>’</w:t>
      </w:r>
      <w:r w:rsidRPr="00342757">
        <w:rPr>
          <w:lang w:val="fr-CA"/>
        </w:rPr>
        <w:t>est pas lui</w:t>
      </w:r>
      <w:r w:rsidRPr="00342757">
        <w:rPr>
          <w:lang w:val="fr-CA"/>
        </w:rPr>
        <w:noBreakHyphen/>
        <w:t xml:space="preserve">même partie au contrat en cause, Knight ne pouvait invoquer </w:t>
      </w:r>
      <w:r w:rsidR="00822E97">
        <w:rPr>
          <w:lang w:val="fr-CA"/>
        </w:rPr>
        <w:t>le par.</w:t>
      </w:r>
      <w:r w:rsidRPr="00342757">
        <w:rPr>
          <w:lang w:val="fr-CA"/>
        </w:rPr>
        <w:t xml:space="preserve"> 3168(4) </w:t>
      </w:r>
      <w:r w:rsidRPr="000C4A2D">
        <w:rPr>
          <w:i/>
          <w:lang w:val="fr-CA"/>
        </w:rPr>
        <w:t xml:space="preserve">C.c.Q. </w:t>
      </w:r>
      <w:r w:rsidRPr="00342757">
        <w:rPr>
          <w:lang w:val="fr-CA"/>
        </w:rPr>
        <w:t>en l</w:t>
      </w:r>
      <w:r>
        <w:rPr>
          <w:lang w:val="fr-CA"/>
        </w:rPr>
        <w:t>’</w:t>
      </w:r>
      <w:r w:rsidRPr="00342757">
        <w:rPr>
          <w:lang w:val="fr-CA"/>
        </w:rPr>
        <w:t>absence d</w:t>
      </w:r>
      <w:r>
        <w:rPr>
          <w:lang w:val="fr-CA"/>
        </w:rPr>
        <w:t>’</w:t>
      </w:r>
      <w:r w:rsidRPr="00342757">
        <w:rPr>
          <w:lang w:val="fr-CA"/>
        </w:rPr>
        <w:t>éléments de preuve qui auraient permis de percer le voile corporatif sous le régime du droit québécois. L</w:t>
      </w:r>
      <w:r w:rsidR="00822E97">
        <w:rPr>
          <w:lang w:val="fr-CA"/>
        </w:rPr>
        <w:t>e paragraphe</w:t>
      </w:r>
      <w:r w:rsidRPr="00342757">
        <w:rPr>
          <w:lang w:val="fr-CA"/>
        </w:rPr>
        <w:t xml:space="preserve"> 3168(4) </w:t>
      </w:r>
      <w:r w:rsidRPr="000C4A2D">
        <w:rPr>
          <w:i/>
          <w:lang w:val="fr-CA"/>
        </w:rPr>
        <w:t xml:space="preserve">C.c.Q. </w:t>
      </w:r>
      <w:r w:rsidRPr="00342757">
        <w:rPr>
          <w:lang w:val="fr-CA"/>
        </w:rPr>
        <w:t>ne peut être invoqué pour établir la compétence à l</w:t>
      </w:r>
      <w:r>
        <w:rPr>
          <w:lang w:val="fr-CA"/>
        </w:rPr>
        <w:t>’</w:t>
      </w:r>
      <w:r w:rsidRPr="00342757">
        <w:rPr>
          <w:lang w:val="fr-CA"/>
        </w:rPr>
        <w:t>égard de toute personne liée de près ou de loin à un contrat, indépendamment du fait qu</w:t>
      </w:r>
      <w:r>
        <w:rPr>
          <w:lang w:val="fr-CA"/>
        </w:rPr>
        <w:t>’</w:t>
      </w:r>
      <w:r w:rsidRPr="00342757">
        <w:rPr>
          <w:lang w:val="fr-CA"/>
        </w:rPr>
        <w:t>elle soit ou non partie à ce contrat. Cette disposition exige la présence d</w:t>
      </w:r>
      <w:r>
        <w:rPr>
          <w:lang w:val="fr-CA"/>
        </w:rPr>
        <w:t>’</w:t>
      </w:r>
      <w:r w:rsidRPr="00342757">
        <w:rPr>
          <w:lang w:val="fr-CA"/>
        </w:rPr>
        <w:t>un lien non seulement avec l</w:t>
      </w:r>
      <w:r>
        <w:rPr>
          <w:lang w:val="fr-CA"/>
        </w:rPr>
        <w:t>’</w:t>
      </w:r>
      <w:r w:rsidRPr="00342757">
        <w:rPr>
          <w:lang w:val="fr-CA"/>
        </w:rPr>
        <w:t>objet du litige (c.</w:t>
      </w:r>
      <w:r w:rsidRPr="00342757">
        <w:rPr>
          <w:lang w:val="fr-CA"/>
        </w:rPr>
        <w:noBreakHyphen/>
        <w:t>à</w:t>
      </w:r>
      <w:r w:rsidRPr="00342757">
        <w:rPr>
          <w:lang w:val="fr-CA"/>
        </w:rPr>
        <w:noBreakHyphen/>
        <w:t>d. le contrat), mais aussi avec le défendeur (c.</w:t>
      </w:r>
      <w:r w:rsidRPr="00342757">
        <w:rPr>
          <w:lang w:val="fr-CA"/>
        </w:rPr>
        <w:noBreakHyphen/>
        <w:t>à</w:t>
      </w:r>
      <w:r w:rsidRPr="00342757">
        <w:rPr>
          <w:lang w:val="fr-CA"/>
        </w:rPr>
        <w:noBreakHyphen/>
        <w:t>d. la personne responsable des obligations contractuelles). Conclure autrement rendrait ce facteur de rattachement indéterminé et vague, de sorte qu</w:t>
      </w:r>
      <w:r>
        <w:rPr>
          <w:lang w:val="fr-CA"/>
        </w:rPr>
        <w:t>’</w:t>
      </w:r>
      <w:r w:rsidRPr="00342757">
        <w:rPr>
          <w:lang w:val="fr-CA"/>
        </w:rPr>
        <w:t>il deviendrait difficile pour des parties au litige de prédire avec une certitude raisonnable si une décision étrangère rendue contre eux pourra être reconnue au Québec. En conséquence, lorsque le défendeur n</w:t>
      </w:r>
      <w:r>
        <w:rPr>
          <w:lang w:val="fr-CA"/>
        </w:rPr>
        <w:t>’</w:t>
      </w:r>
      <w:r w:rsidRPr="00342757">
        <w:rPr>
          <w:lang w:val="fr-CA"/>
        </w:rPr>
        <w:t xml:space="preserve">est pas partie au contrat en cause, le demandeur ne peut invoquer </w:t>
      </w:r>
      <w:r w:rsidR="00822E97">
        <w:rPr>
          <w:lang w:val="fr-CA"/>
        </w:rPr>
        <w:t>le par.</w:t>
      </w:r>
      <w:r w:rsidRPr="00342757">
        <w:rPr>
          <w:lang w:val="fr-CA"/>
        </w:rPr>
        <w:t xml:space="preserve"> 3168(4) </w:t>
      </w:r>
      <w:r w:rsidRPr="003B32F1">
        <w:rPr>
          <w:i/>
          <w:lang w:val="fr-CA"/>
        </w:rPr>
        <w:t>C.c.Q.</w:t>
      </w:r>
      <w:r w:rsidRPr="00342757">
        <w:rPr>
          <w:lang w:val="fr-CA"/>
        </w:rPr>
        <w:t>, à moins qu</w:t>
      </w:r>
      <w:r>
        <w:rPr>
          <w:lang w:val="fr-CA"/>
        </w:rPr>
        <w:t>’</w:t>
      </w:r>
      <w:r w:rsidRPr="00342757">
        <w:rPr>
          <w:lang w:val="fr-CA"/>
        </w:rPr>
        <w:t>il ne soit démontré que le défendeur est par ailleurs responsable personnellement des obligations contractuelles en vertu du droit québécois. En pratique, il ne suffirait pas de démontrer que BEC était l</w:t>
      </w:r>
      <w:r>
        <w:rPr>
          <w:lang w:val="fr-CA"/>
        </w:rPr>
        <w:t>’</w:t>
      </w:r>
      <w:r w:rsidRPr="00342757">
        <w:rPr>
          <w:lang w:val="fr-CA"/>
        </w:rPr>
        <w:t>alter ego de B. Knight devrait également présenter une preuve établissant que B a invoqué la personnalité juridique de BEC « pour masquer la fraude, l</w:t>
      </w:r>
      <w:r>
        <w:rPr>
          <w:lang w:val="fr-CA"/>
        </w:rPr>
        <w:t>’</w:t>
      </w:r>
      <w:r w:rsidRPr="00342757">
        <w:rPr>
          <w:lang w:val="fr-CA"/>
        </w:rPr>
        <w:t>abus de droit ou une contravention à une règle intéressant l</w:t>
      </w:r>
      <w:r>
        <w:rPr>
          <w:lang w:val="fr-CA"/>
        </w:rPr>
        <w:t>’</w:t>
      </w:r>
      <w:r w:rsidRPr="00342757">
        <w:rPr>
          <w:lang w:val="fr-CA"/>
        </w:rPr>
        <w:t>ordre public » au sens de l</w:t>
      </w:r>
      <w:r>
        <w:rPr>
          <w:lang w:val="fr-CA"/>
        </w:rPr>
        <w:t>’</w:t>
      </w:r>
      <w:r w:rsidRPr="00342757">
        <w:rPr>
          <w:lang w:val="fr-CA"/>
        </w:rPr>
        <w:t xml:space="preserve">art. 317 </w:t>
      </w:r>
      <w:r w:rsidRPr="000C4A2D">
        <w:rPr>
          <w:i/>
          <w:lang w:val="fr-CA"/>
        </w:rPr>
        <w:t xml:space="preserve">C.c.Q. </w:t>
      </w:r>
      <w:r w:rsidRPr="00342757">
        <w:rPr>
          <w:lang w:val="fr-CA"/>
        </w:rPr>
        <w:t>La nature et la portée d</w:t>
      </w:r>
      <w:r>
        <w:rPr>
          <w:lang w:val="fr-CA"/>
        </w:rPr>
        <w:t>’</w:t>
      </w:r>
      <w:r w:rsidRPr="00342757">
        <w:rPr>
          <w:lang w:val="fr-CA"/>
        </w:rPr>
        <w:t xml:space="preserve">un facteur de rattachement codifié dans le </w:t>
      </w:r>
      <w:r w:rsidRPr="00BB2406">
        <w:rPr>
          <w:i/>
          <w:lang w:val="fr-CA"/>
        </w:rPr>
        <w:t>C.c.Q.</w:t>
      </w:r>
      <w:r w:rsidRPr="00342757">
        <w:rPr>
          <w:lang w:val="fr-CA"/>
        </w:rPr>
        <w:t>, comme les obligations découlant d</w:t>
      </w:r>
      <w:r>
        <w:rPr>
          <w:lang w:val="fr-CA"/>
        </w:rPr>
        <w:t>’</w:t>
      </w:r>
      <w:r w:rsidRPr="00342757">
        <w:rPr>
          <w:lang w:val="fr-CA"/>
        </w:rPr>
        <w:t>un contrat, doivent être déterminées selon le droit québécois. En l</w:t>
      </w:r>
      <w:r>
        <w:rPr>
          <w:lang w:val="fr-CA"/>
        </w:rPr>
        <w:t>’</w:t>
      </w:r>
      <w:r w:rsidRPr="00342757">
        <w:rPr>
          <w:lang w:val="fr-CA"/>
        </w:rPr>
        <w:t>espèce, il n</w:t>
      </w:r>
      <w:r>
        <w:rPr>
          <w:lang w:val="fr-CA"/>
        </w:rPr>
        <w:t>’</w:t>
      </w:r>
      <w:r w:rsidRPr="00342757">
        <w:rPr>
          <w:lang w:val="fr-CA"/>
        </w:rPr>
        <w:t>y a aucun élément de preuve qui justifierait de percer le voile corporatif aux fins de la compétence. Exiger de tels éléments de preuve n</w:t>
      </w:r>
      <w:r>
        <w:rPr>
          <w:lang w:val="fr-CA"/>
        </w:rPr>
        <w:t>’</w:t>
      </w:r>
      <w:r w:rsidRPr="00342757">
        <w:rPr>
          <w:lang w:val="fr-CA"/>
        </w:rPr>
        <w:t>équivaut pas à réexaminer d</w:t>
      </w:r>
      <w:r>
        <w:rPr>
          <w:lang w:val="fr-CA"/>
        </w:rPr>
        <w:t>’</w:t>
      </w:r>
      <w:r w:rsidRPr="00342757">
        <w:rPr>
          <w:lang w:val="fr-CA"/>
        </w:rPr>
        <w:t>une manière inacceptable le fond de l</w:t>
      </w:r>
      <w:r>
        <w:rPr>
          <w:lang w:val="fr-CA"/>
        </w:rPr>
        <w:t>’</w:t>
      </w:r>
      <w:r w:rsidRPr="00342757">
        <w:rPr>
          <w:lang w:val="fr-CA"/>
        </w:rPr>
        <w:t>affaire, mais sert plutôt à vérifier si les conditions de la reconnaissance sont remplies.</w:t>
      </w:r>
    </w:p>
    <w:p w:rsidR="00AF6697" w:rsidRPr="00342757" w:rsidRDefault="00AF6697" w:rsidP="00AF6697">
      <w:pPr>
        <w:pStyle w:val="SCCNormalDoubleSpacing"/>
        <w:spacing w:after="480"/>
        <w:rPr>
          <w:lang w:val="fr-CA"/>
        </w:rPr>
      </w:pPr>
      <w:r w:rsidRPr="00342757">
        <w:rPr>
          <w:lang w:val="fr-CA"/>
        </w:rPr>
        <w:lastRenderedPageBreak/>
        <w:tab/>
        <w:t>La Cour supérieure a fait erreur en jugeant que B avait reconnu la compétence du tribunal de l</w:t>
      </w:r>
      <w:r>
        <w:rPr>
          <w:lang w:val="fr-CA"/>
        </w:rPr>
        <w:t>’</w:t>
      </w:r>
      <w:r w:rsidRPr="00342757">
        <w:rPr>
          <w:lang w:val="fr-CA"/>
        </w:rPr>
        <w:t xml:space="preserve">Utah conformément </w:t>
      </w:r>
      <w:r w:rsidR="00D8537E">
        <w:rPr>
          <w:lang w:val="fr-CA"/>
        </w:rPr>
        <w:t>au par.</w:t>
      </w:r>
      <w:r w:rsidRPr="00342757">
        <w:rPr>
          <w:lang w:val="fr-CA"/>
        </w:rPr>
        <w:t> 3168(6) du simple fait qu</w:t>
      </w:r>
      <w:r>
        <w:rPr>
          <w:lang w:val="fr-CA"/>
        </w:rPr>
        <w:t>’</w:t>
      </w:r>
      <w:r w:rsidRPr="00342757">
        <w:rPr>
          <w:lang w:val="fr-CA"/>
        </w:rPr>
        <w:t>il avait soulevé des arguments de fond dans sa requête en irrecevabilité. Le test énoncé par les juges majoritaires est trop strict. Il ne tient pas compte du fait que l</w:t>
      </w:r>
      <w:r>
        <w:rPr>
          <w:lang w:val="fr-CA"/>
        </w:rPr>
        <w:t>’</w:t>
      </w:r>
      <w:r w:rsidRPr="00342757">
        <w:rPr>
          <w:lang w:val="fr-CA"/>
        </w:rPr>
        <w:t>intention subjective du défendeur doit être prise en considération. Il convient d</w:t>
      </w:r>
      <w:r>
        <w:rPr>
          <w:lang w:val="fr-CA"/>
        </w:rPr>
        <w:t>’</w:t>
      </w:r>
      <w:r w:rsidRPr="00342757">
        <w:rPr>
          <w:lang w:val="fr-CA"/>
        </w:rPr>
        <w:t>adopter une approche plus souple, une approche permettant au défendeur qui souhaite contester la compétence d</w:t>
      </w:r>
      <w:r>
        <w:rPr>
          <w:lang w:val="fr-CA"/>
        </w:rPr>
        <w:t>’</w:t>
      </w:r>
      <w:r w:rsidRPr="00342757">
        <w:rPr>
          <w:lang w:val="fr-CA"/>
        </w:rPr>
        <w:t>une autorité étrangère d</w:t>
      </w:r>
      <w:r>
        <w:rPr>
          <w:lang w:val="fr-CA"/>
        </w:rPr>
        <w:t>’</w:t>
      </w:r>
      <w:r w:rsidRPr="00342757">
        <w:rPr>
          <w:lang w:val="fr-CA"/>
        </w:rPr>
        <w:t>expliquer pourquoi cette autorité n</w:t>
      </w:r>
      <w:r>
        <w:rPr>
          <w:lang w:val="fr-CA"/>
        </w:rPr>
        <w:t>’</w:t>
      </w:r>
      <w:r w:rsidRPr="00342757">
        <w:rPr>
          <w:lang w:val="fr-CA"/>
        </w:rPr>
        <w:t>est pas compétente sans courir le risque qu</w:t>
      </w:r>
      <w:r>
        <w:rPr>
          <w:lang w:val="fr-CA"/>
        </w:rPr>
        <w:t>’</w:t>
      </w:r>
      <w:r w:rsidRPr="00342757">
        <w:rPr>
          <w:lang w:val="fr-CA"/>
        </w:rPr>
        <w:t>un tribunal en arrive à la conclusion qu</w:t>
      </w:r>
      <w:r>
        <w:rPr>
          <w:lang w:val="fr-CA"/>
        </w:rPr>
        <w:t>’</w:t>
      </w:r>
      <w:r w:rsidRPr="00342757">
        <w:rPr>
          <w:lang w:val="fr-CA"/>
        </w:rPr>
        <w:t>il a reconnu cette compétence. Il faut permettre au défendeur de faire valoir des arguments et des considérations susceptibles de convaincre une autorité étrangère qu</w:t>
      </w:r>
      <w:r>
        <w:rPr>
          <w:lang w:val="fr-CA"/>
        </w:rPr>
        <w:t>’</w:t>
      </w:r>
      <w:r w:rsidRPr="00342757">
        <w:rPr>
          <w:lang w:val="fr-CA"/>
        </w:rPr>
        <w:t>elle ne devrait pas se déclarer compétente, et il est déraisonnable de soutenir que le défendeur qui le fait reconnaît nécessairement la compétence de l</w:t>
      </w:r>
      <w:r>
        <w:rPr>
          <w:lang w:val="fr-CA"/>
        </w:rPr>
        <w:t>’</w:t>
      </w:r>
      <w:r w:rsidRPr="00342757">
        <w:rPr>
          <w:lang w:val="fr-CA"/>
        </w:rPr>
        <w:t>autorité étrangère. Cela placerait celui</w:t>
      </w:r>
      <w:r w:rsidRPr="00342757">
        <w:rPr>
          <w:lang w:val="fr-CA"/>
        </w:rPr>
        <w:noBreakHyphen/>
        <w:t>ci dans une situation sans issue. S</w:t>
      </w:r>
      <w:r>
        <w:rPr>
          <w:lang w:val="fr-CA"/>
        </w:rPr>
        <w:t>’</w:t>
      </w:r>
      <w:r w:rsidRPr="00342757">
        <w:rPr>
          <w:lang w:val="fr-CA"/>
        </w:rPr>
        <w:t>il essaie de contester la compétence d</w:t>
      </w:r>
      <w:r>
        <w:rPr>
          <w:lang w:val="fr-CA"/>
        </w:rPr>
        <w:t>’</w:t>
      </w:r>
      <w:r w:rsidRPr="00342757">
        <w:rPr>
          <w:lang w:val="fr-CA"/>
        </w:rPr>
        <w:t>une autorité étrangère, il risque d</w:t>
      </w:r>
      <w:r>
        <w:rPr>
          <w:lang w:val="fr-CA"/>
        </w:rPr>
        <w:t>’</w:t>
      </w:r>
      <w:r w:rsidRPr="00342757">
        <w:rPr>
          <w:lang w:val="fr-CA"/>
        </w:rPr>
        <w:t>être considéré comme ayant reconnu la compétence de cette autorité aux yeux d</w:t>
      </w:r>
      <w:r>
        <w:rPr>
          <w:lang w:val="fr-CA"/>
        </w:rPr>
        <w:t>’</w:t>
      </w:r>
      <w:r w:rsidRPr="00342757">
        <w:rPr>
          <w:lang w:val="fr-CA"/>
        </w:rPr>
        <w:t>un tribunal québécois. S</w:t>
      </w:r>
      <w:r>
        <w:rPr>
          <w:lang w:val="fr-CA"/>
        </w:rPr>
        <w:t>’</w:t>
      </w:r>
      <w:r w:rsidRPr="00342757">
        <w:rPr>
          <w:lang w:val="fr-CA"/>
        </w:rPr>
        <w:t>il ne le fait pas, il se trouvera vraisemblablement aux prises avec un jugement par défaut étranger qui pourrait sérieusement restreindre sa capacité de faire des affaires (ou d</w:t>
      </w:r>
      <w:r>
        <w:rPr>
          <w:lang w:val="fr-CA"/>
        </w:rPr>
        <w:t>’</w:t>
      </w:r>
      <w:r w:rsidRPr="00342757">
        <w:rPr>
          <w:lang w:val="fr-CA"/>
        </w:rPr>
        <w:t>exercer toute autre activité) dans le ressort étranger. Les conséquences pratiques sont réelles et graves.</w:t>
      </w:r>
    </w:p>
    <w:p w:rsidR="00AF6697" w:rsidRPr="00342757" w:rsidRDefault="00AF6697" w:rsidP="00AF6697">
      <w:pPr>
        <w:pStyle w:val="SCCNormalDoubleSpacing"/>
        <w:spacing w:after="480"/>
        <w:rPr>
          <w:lang w:val="fr-CA"/>
        </w:rPr>
      </w:pPr>
      <w:r w:rsidRPr="00342757">
        <w:rPr>
          <w:lang w:val="fr-CA"/>
        </w:rPr>
        <w:tab/>
        <w:t>Les faits de la présente affaire donnent peu de raisons d</w:t>
      </w:r>
      <w:r>
        <w:rPr>
          <w:lang w:val="fr-CA"/>
        </w:rPr>
        <w:t>’</w:t>
      </w:r>
      <w:r w:rsidRPr="00342757">
        <w:rPr>
          <w:lang w:val="fr-CA"/>
        </w:rPr>
        <w:t>inférer que B a reconnu la compétence du tribunal de l</w:t>
      </w:r>
      <w:r>
        <w:rPr>
          <w:lang w:val="fr-CA"/>
        </w:rPr>
        <w:t>’</w:t>
      </w:r>
      <w:r w:rsidRPr="00342757">
        <w:rPr>
          <w:lang w:val="fr-CA"/>
        </w:rPr>
        <w:t>Utah. Bien que B ait effectivement présenté des arguments de fond, il les a présentés en même temps que ses arguments relatifs à la compétence. La reconnaissance de compétence peut être explicite ou implicite, mais elle doit être claire. En alléguant que le tribunal de l</w:t>
      </w:r>
      <w:r>
        <w:rPr>
          <w:lang w:val="fr-CA"/>
        </w:rPr>
        <w:t>’</w:t>
      </w:r>
      <w:r w:rsidRPr="00342757">
        <w:rPr>
          <w:lang w:val="fr-CA"/>
        </w:rPr>
        <w:t>Utah avait compétence à l</w:t>
      </w:r>
      <w:r>
        <w:rPr>
          <w:lang w:val="fr-CA"/>
        </w:rPr>
        <w:t>’</w:t>
      </w:r>
      <w:r w:rsidRPr="00342757">
        <w:rPr>
          <w:lang w:val="fr-CA"/>
        </w:rPr>
        <w:t xml:space="preserve">égard de B, Knight avait la charge de démontrer que B avait le choix, en vertu des règles de </w:t>
      </w:r>
      <w:r w:rsidRPr="00342757">
        <w:rPr>
          <w:lang w:val="fr-CA"/>
        </w:rPr>
        <w:lastRenderedPageBreak/>
        <w:t>procédure de l</w:t>
      </w:r>
      <w:r>
        <w:rPr>
          <w:lang w:val="fr-CA"/>
        </w:rPr>
        <w:t>’</w:t>
      </w:r>
      <w:r w:rsidRPr="00342757">
        <w:rPr>
          <w:lang w:val="fr-CA"/>
        </w:rPr>
        <w:t>Utah, de ne pas procéder comme il l</w:t>
      </w:r>
      <w:r>
        <w:rPr>
          <w:lang w:val="fr-CA"/>
        </w:rPr>
        <w:t>’</w:t>
      </w:r>
      <w:r w:rsidRPr="00342757">
        <w:rPr>
          <w:lang w:val="fr-CA"/>
        </w:rPr>
        <w:t>a fait lorsqu</w:t>
      </w:r>
      <w:r>
        <w:rPr>
          <w:lang w:val="fr-CA"/>
        </w:rPr>
        <w:t>’</w:t>
      </w:r>
      <w:r w:rsidRPr="00342757">
        <w:rPr>
          <w:lang w:val="fr-CA"/>
        </w:rPr>
        <w:t>il a présenté ses arguments de fond dans sa requête en irrecevabilité. Cette conclusion s</w:t>
      </w:r>
      <w:r>
        <w:rPr>
          <w:lang w:val="fr-CA"/>
        </w:rPr>
        <w:t>’</w:t>
      </w:r>
      <w:r w:rsidRPr="00342757">
        <w:rPr>
          <w:lang w:val="fr-CA"/>
        </w:rPr>
        <w:t>accorde avec le principe bien établi suivant lequel, au Québec, il incombe au demandeur de prouver les faits sur lesquels repose la compétence du tribunal. Knight ne s</w:t>
      </w:r>
      <w:r>
        <w:rPr>
          <w:lang w:val="fr-CA"/>
        </w:rPr>
        <w:t>’</w:t>
      </w:r>
      <w:r w:rsidRPr="00342757">
        <w:rPr>
          <w:lang w:val="fr-CA"/>
        </w:rPr>
        <w:t>est pas déchargée du fardeau qui lui incombait à cet égard. Le dossier ne renferme aucun élément de preuve indiquant que B avait la possibilité, sur le plan de la procédure, de ne pas soulever certains arguments de fond à l</w:t>
      </w:r>
      <w:r>
        <w:rPr>
          <w:lang w:val="fr-CA"/>
        </w:rPr>
        <w:t>’</w:t>
      </w:r>
      <w:r w:rsidRPr="00342757">
        <w:rPr>
          <w:lang w:val="fr-CA"/>
        </w:rPr>
        <w:t>étape des moyens déclinatoires.</w:t>
      </w:r>
    </w:p>
    <w:p w:rsidR="00AF6697" w:rsidRPr="00342757" w:rsidRDefault="00AF6697" w:rsidP="00AF6697">
      <w:pPr>
        <w:pStyle w:val="SCCNormalDoubleSpacing"/>
        <w:spacing w:after="480"/>
        <w:rPr>
          <w:lang w:val="fr-CA"/>
        </w:rPr>
      </w:pPr>
      <w:r>
        <w:rPr>
          <w:lang w:val="fr-CA"/>
        </w:rPr>
        <w:tab/>
      </w:r>
      <w:r w:rsidRPr="00342757">
        <w:rPr>
          <w:lang w:val="fr-CA"/>
        </w:rPr>
        <w:t>Étant donné qu</w:t>
      </w:r>
      <w:r>
        <w:rPr>
          <w:lang w:val="fr-CA"/>
        </w:rPr>
        <w:t>’</w:t>
      </w:r>
      <w:r w:rsidRPr="00342757">
        <w:rPr>
          <w:lang w:val="fr-CA"/>
        </w:rPr>
        <w:t>aucun des facteurs de rattachement énoncés à l</w:t>
      </w:r>
      <w:r>
        <w:rPr>
          <w:lang w:val="fr-CA"/>
        </w:rPr>
        <w:t>’</w:t>
      </w:r>
      <w:r w:rsidRPr="00342757">
        <w:rPr>
          <w:lang w:val="fr-CA"/>
        </w:rPr>
        <w:t xml:space="preserve">art. 3168 </w:t>
      </w:r>
      <w:r w:rsidRPr="000C4A2D">
        <w:rPr>
          <w:i/>
          <w:lang w:val="fr-CA"/>
        </w:rPr>
        <w:t xml:space="preserve">C.c.Q. </w:t>
      </w:r>
      <w:r w:rsidRPr="00342757">
        <w:rPr>
          <w:lang w:val="fr-CA"/>
        </w:rPr>
        <w:t>n</w:t>
      </w:r>
      <w:r>
        <w:rPr>
          <w:lang w:val="fr-CA"/>
        </w:rPr>
        <w:t>’</w:t>
      </w:r>
      <w:r w:rsidRPr="00342757">
        <w:rPr>
          <w:lang w:val="fr-CA"/>
        </w:rPr>
        <w:t>est présent, il n</w:t>
      </w:r>
      <w:r>
        <w:rPr>
          <w:lang w:val="fr-CA"/>
        </w:rPr>
        <w:t>’</w:t>
      </w:r>
      <w:r w:rsidRPr="00342757">
        <w:rPr>
          <w:lang w:val="fr-CA"/>
        </w:rPr>
        <w:t>est pas nécessaire de se demander si le litige se rattache d</w:t>
      </w:r>
      <w:r>
        <w:rPr>
          <w:lang w:val="fr-CA"/>
        </w:rPr>
        <w:t>’</w:t>
      </w:r>
      <w:r w:rsidRPr="00342757">
        <w:rPr>
          <w:lang w:val="fr-CA"/>
        </w:rPr>
        <w:t>une façon importante à l</w:t>
      </w:r>
      <w:r>
        <w:rPr>
          <w:lang w:val="fr-CA"/>
        </w:rPr>
        <w:t>’</w:t>
      </w:r>
      <w:r w:rsidRPr="00342757">
        <w:rPr>
          <w:lang w:val="fr-CA"/>
        </w:rPr>
        <w:t>État étranger au sens de l</w:t>
      </w:r>
      <w:r>
        <w:rPr>
          <w:lang w:val="fr-CA"/>
        </w:rPr>
        <w:t>’</w:t>
      </w:r>
      <w:r w:rsidRPr="00342757">
        <w:rPr>
          <w:lang w:val="fr-CA"/>
        </w:rPr>
        <w:t xml:space="preserve">art. 3164 </w:t>
      </w:r>
      <w:r w:rsidRPr="000C4A2D">
        <w:rPr>
          <w:i/>
          <w:lang w:val="fr-CA"/>
        </w:rPr>
        <w:t xml:space="preserve">C.c.Q. </w:t>
      </w:r>
      <w:r w:rsidRPr="00342757">
        <w:rPr>
          <w:lang w:val="fr-CA"/>
        </w:rPr>
        <w:t>Le libellé de l</w:t>
      </w:r>
      <w:r>
        <w:rPr>
          <w:lang w:val="fr-CA"/>
        </w:rPr>
        <w:t>’</w:t>
      </w:r>
      <w:r w:rsidRPr="00342757">
        <w:rPr>
          <w:lang w:val="fr-CA"/>
        </w:rPr>
        <w:t xml:space="preserve">art. 3168 </w:t>
      </w:r>
      <w:r w:rsidRPr="000C4A2D">
        <w:rPr>
          <w:i/>
          <w:lang w:val="fr-CA"/>
        </w:rPr>
        <w:t xml:space="preserve">C.c.Q. </w:t>
      </w:r>
      <w:r w:rsidRPr="00342757">
        <w:rPr>
          <w:lang w:val="fr-CA"/>
        </w:rPr>
        <w:t>indique clairement que, dans les actions personnelles à caractère patrimonial, la compétence des autorités étrangères n</w:t>
      </w:r>
      <w:r>
        <w:rPr>
          <w:lang w:val="fr-CA"/>
        </w:rPr>
        <w:t>’</w:t>
      </w:r>
      <w:r w:rsidRPr="00342757">
        <w:rPr>
          <w:lang w:val="fr-CA"/>
        </w:rPr>
        <w:t>est reconnue que lorsque l</w:t>
      </w:r>
      <w:r>
        <w:rPr>
          <w:lang w:val="fr-CA"/>
        </w:rPr>
        <w:t>’</w:t>
      </w:r>
      <w:r w:rsidRPr="00342757">
        <w:rPr>
          <w:lang w:val="fr-CA"/>
        </w:rPr>
        <w:t>un des facteurs énumérés est présent. Cependant, même s</w:t>
      </w:r>
      <w:r>
        <w:rPr>
          <w:lang w:val="fr-CA"/>
        </w:rPr>
        <w:t>’</w:t>
      </w:r>
      <w:r w:rsidRPr="00342757">
        <w:rPr>
          <w:lang w:val="fr-CA"/>
        </w:rPr>
        <w:t>il avait été conclu que B a reconnu la compétence du tribunal de l</w:t>
      </w:r>
      <w:r>
        <w:rPr>
          <w:lang w:val="fr-CA"/>
        </w:rPr>
        <w:t>’</w:t>
      </w:r>
      <w:r w:rsidRPr="00342757">
        <w:rPr>
          <w:lang w:val="fr-CA"/>
        </w:rPr>
        <w:t>Utah, il n</w:t>
      </w:r>
      <w:r>
        <w:rPr>
          <w:lang w:val="fr-CA"/>
        </w:rPr>
        <w:t>’</w:t>
      </w:r>
      <w:r w:rsidRPr="00342757">
        <w:rPr>
          <w:lang w:val="fr-CA"/>
        </w:rPr>
        <w:t>y aurait pas de lien de rattachement important entre le litige et l</w:t>
      </w:r>
      <w:r>
        <w:rPr>
          <w:lang w:val="fr-CA"/>
        </w:rPr>
        <w:t>’</w:t>
      </w:r>
      <w:r w:rsidRPr="00342757">
        <w:rPr>
          <w:lang w:val="fr-CA"/>
        </w:rPr>
        <w:t>Utah au sens de l</w:t>
      </w:r>
      <w:r>
        <w:rPr>
          <w:lang w:val="fr-CA"/>
        </w:rPr>
        <w:t>’</w:t>
      </w:r>
      <w:r w:rsidRPr="00342757">
        <w:rPr>
          <w:lang w:val="fr-CA"/>
        </w:rPr>
        <w:t xml:space="preserve">art. 3164 </w:t>
      </w:r>
      <w:r w:rsidRPr="003B32F1">
        <w:rPr>
          <w:i/>
          <w:lang w:val="fr-CA"/>
        </w:rPr>
        <w:t>C.c.Q.</w:t>
      </w:r>
    </w:p>
    <w:p w:rsidR="00AF6697" w:rsidRPr="00342757" w:rsidRDefault="00AF6697" w:rsidP="00AF6697">
      <w:pPr>
        <w:pStyle w:val="SCCNormalDoubleSpacing"/>
        <w:spacing w:after="480"/>
        <w:rPr>
          <w:lang w:val="fr-CA"/>
        </w:rPr>
      </w:pPr>
      <w:r>
        <w:rPr>
          <w:lang w:val="fr-CA"/>
        </w:rPr>
        <w:tab/>
      </w:r>
      <w:r w:rsidRPr="00342757">
        <w:rPr>
          <w:lang w:val="fr-CA"/>
        </w:rPr>
        <w:t>Il y aura des circonstances exceptionnelles où un rattachement important au sens de l</w:t>
      </w:r>
      <w:r>
        <w:rPr>
          <w:lang w:val="fr-CA"/>
        </w:rPr>
        <w:t>’</w:t>
      </w:r>
      <w:r w:rsidRPr="00342757">
        <w:rPr>
          <w:lang w:val="fr-CA"/>
        </w:rPr>
        <w:t xml:space="preserve">art. 3164 </w:t>
      </w:r>
      <w:r w:rsidRPr="000C4A2D">
        <w:rPr>
          <w:i/>
          <w:lang w:val="fr-CA"/>
        </w:rPr>
        <w:t xml:space="preserve">C.c.Q. </w:t>
      </w:r>
      <w:r w:rsidRPr="00342757">
        <w:rPr>
          <w:lang w:val="fr-CA"/>
        </w:rPr>
        <w:t>devra être démontré même dans les cas où l</w:t>
      </w:r>
      <w:r>
        <w:rPr>
          <w:lang w:val="fr-CA"/>
        </w:rPr>
        <w:t>’</w:t>
      </w:r>
      <w:r w:rsidRPr="00342757">
        <w:rPr>
          <w:lang w:val="fr-CA"/>
        </w:rPr>
        <w:t>un des facteurs de rattachement énoncés à l</w:t>
      </w:r>
      <w:r>
        <w:rPr>
          <w:lang w:val="fr-CA"/>
        </w:rPr>
        <w:t>’</w:t>
      </w:r>
      <w:r w:rsidRPr="00342757">
        <w:rPr>
          <w:lang w:val="fr-CA"/>
        </w:rPr>
        <w:t xml:space="preserve">art. 3168 </w:t>
      </w:r>
      <w:r w:rsidRPr="000C4A2D">
        <w:rPr>
          <w:i/>
          <w:lang w:val="fr-CA"/>
        </w:rPr>
        <w:t xml:space="preserve">C.c.Q. </w:t>
      </w:r>
      <w:r w:rsidRPr="00342757">
        <w:rPr>
          <w:lang w:val="fr-CA"/>
        </w:rPr>
        <w:t>existe. Il suffira généralement de prouver la présence de l</w:t>
      </w:r>
      <w:r>
        <w:rPr>
          <w:lang w:val="fr-CA"/>
        </w:rPr>
        <w:t>’</w:t>
      </w:r>
      <w:r w:rsidRPr="00342757">
        <w:rPr>
          <w:lang w:val="fr-CA"/>
        </w:rPr>
        <w:t>un des facteurs énoncés à l</w:t>
      </w:r>
      <w:r>
        <w:rPr>
          <w:lang w:val="fr-CA"/>
        </w:rPr>
        <w:t>’</w:t>
      </w:r>
      <w:r w:rsidRPr="00342757">
        <w:rPr>
          <w:lang w:val="fr-CA"/>
        </w:rPr>
        <w:t xml:space="preserve">art. 3168 </w:t>
      </w:r>
      <w:r w:rsidRPr="000C4A2D">
        <w:rPr>
          <w:i/>
          <w:lang w:val="fr-CA"/>
        </w:rPr>
        <w:t xml:space="preserve">C.c.Q. </w:t>
      </w:r>
      <w:r w:rsidRPr="00342757">
        <w:rPr>
          <w:lang w:val="fr-CA"/>
        </w:rPr>
        <w:t>pour démontrer l</w:t>
      </w:r>
      <w:r>
        <w:rPr>
          <w:lang w:val="fr-CA"/>
        </w:rPr>
        <w:t>’</w:t>
      </w:r>
      <w:r w:rsidRPr="00342757">
        <w:rPr>
          <w:lang w:val="fr-CA"/>
        </w:rPr>
        <w:t>existence d</w:t>
      </w:r>
      <w:r>
        <w:rPr>
          <w:lang w:val="fr-CA"/>
        </w:rPr>
        <w:t>’</w:t>
      </w:r>
      <w:r w:rsidRPr="00342757">
        <w:rPr>
          <w:lang w:val="fr-CA"/>
        </w:rPr>
        <w:t>un rattachement important et ainsi établir la compétence. Cependant, ce ne sera pas toujours le cas. Le fait d</w:t>
      </w:r>
      <w:r>
        <w:rPr>
          <w:lang w:val="fr-CA"/>
        </w:rPr>
        <w:t>’</w:t>
      </w:r>
      <w:r w:rsidRPr="00342757">
        <w:rPr>
          <w:lang w:val="fr-CA"/>
        </w:rPr>
        <w:t>exiger que l</w:t>
      </w:r>
      <w:r>
        <w:rPr>
          <w:lang w:val="fr-CA"/>
        </w:rPr>
        <w:t>’</w:t>
      </w:r>
      <w:r w:rsidRPr="00342757">
        <w:rPr>
          <w:lang w:val="fr-CA"/>
        </w:rPr>
        <w:t>existence d</w:t>
      </w:r>
      <w:r>
        <w:rPr>
          <w:lang w:val="fr-CA"/>
        </w:rPr>
        <w:t>’</w:t>
      </w:r>
      <w:r w:rsidRPr="00342757">
        <w:rPr>
          <w:lang w:val="fr-CA"/>
        </w:rPr>
        <w:t>un rattachement important entre le litige et l</w:t>
      </w:r>
      <w:r>
        <w:rPr>
          <w:lang w:val="fr-CA"/>
        </w:rPr>
        <w:t>’</w:t>
      </w:r>
      <w:r w:rsidRPr="00342757">
        <w:rPr>
          <w:lang w:val="fr-CA"/>
        </w:rPr>
        <w:t>État étranger soit démontrée même lorsque l</w:t>
      </w:r>
      <w:r>
        <w:rPr>
          <w:lang w:val="fr-CA"/>
        </w:rPr>
        <w:t>’</w:t>
      </w:r>
      <w:r w:rsidRPr="00342757">
        <w:rPr>
          <w:lang w:val="fr-CA"/>
        </w:rPr>
        <w:t xml:space="preserve">art. 3168 </w:t>
      </w:r>
      <w:r w:rsidRPr="000C4A2D">
        <w:rPr>
          <w:i/>
          <w:lang w:val="fr-CA"/>
        </w:rPr>
        <w:t xml:space="preserve">C.c.Q. </w:t>
      </w:r>
      <w:r w:rsidRPr="00342757">
        <w:rPr>
          <w:lang w:val="fr-CA"/>
        </w:rPr>
        <w:t>s</w:t>
      </w:r>
      <w:r>
        <w:rPr>
          <w:lang w:val="fr-CA"/>
        </w:rPr>
        <w:t>’</w:t>
      </w:r>
      <w:r w:rsidRPr="00342757">
        <w:rPr>
          <w:lang w:val="fr-CA"/>
        </w:rPr>
        <w:t>applique est compatible avec le libellé, le contexte et l</w:t>
      </w:r>
      <w:r>
        <w:rPr>
          <w:lang w:val="fr-CA"/>
        </w:rPr>
        <w:t>’</w:t>
      </w:r>
      <w:r w:rsidRPr="00342757">
        <w:rPr>
          <w:lang w:val="fr-CA"/>
        </w:rPr>
        <w:t>objet de l</w:t>
      </w:r>
      <w:r>
        <w:rPr>
          <w:lang w:val="fr-CA"/>
        </w:rPr>
        <w:t>’</w:t>
      </w:r>
      <w:r w:rsidRPr="00342757">
        <w:rPr>
          <w:lang w:val="fr-CA"/>
        </w:rPr>
        <w:t xml:space="preserve">art. 3164 </w:t>
      </w:r>
      <w:r w:rsidRPr="003B32F1">
        <w:rPr>
          <w:i/>
          <w:lang w:val="fr-CA"/>
        </w:rPr>
        <w:t>C.c.Q.</w:t>
      </w:r>
      <w:r w:rsidRPr="00342757">
        <w:rPr>
          <w:lang w:val="fr-CA"/>
        </w:rPr>
        <w:t>, ainsi qu</w:t>
      </w:r>
      <w:r>
        <w:rPr>
          <w:lang w:val="fr-CA"/>
        </w:rPr>
        <w:t>’</w:t>
      </w:r>
      <w:r w:rsidRPr="00342757">
        <w:rPr>
          <w:lang w:val="fr-CA"/>
        </w:rPr>
        <w:t xml:space="preserve">avec le </w:t>
      </w:r>
      <w:r w:rsidRPr="00342757">
        <w:rPr>
          <w:lang w:val="fr-CA"/>
        </w:rPr>
        <w:lastRenderedPageBreak/>
        <w:t>principe de courtoisie et les valeurs d</w:t>
      </w:r>
      <w:r>
        <w:rPr>
          <w:lang w:val="fr-CA"/>
        </w:rPr>
        <w:t>’</w:t>
      </w:r>
      <w:r w:rsidRPr="00342757">
        <w:rPr>
          <w:lang w:val="fr-CA"/>
        </w:rPr>
        <w:t>ordre et d</w:t>
      </w:r>
      <w:r>
        <w:rPr>
          <w:lang w:val="fr-CA"/>
        </w:rPr>
        <w:t>’</w:t>
      </w:r>
      <w:r w:rsidRPr="00342757">
        <w:rPr>
          <w:lang w:val="fr-CA"/>
        </w:rPr>
        <w:t>équité qui sous</w:t>
      </w:r>
      <w:r w:rsidRPr="00342757">
        <w:rPr>
          <w:lang w:val="fr-CA"/>
        </w:rPr>
        <w:noBreakHyphen/>
        <w:t>tendent les règles de droit international privé.</w:t>
      </w:r>
    </w:p>
    <w:p w:rsidR="00AF6697" w:rsidRPr="00342757" w:rsidRDefault="00AF6697" w:rsidP="00AF6697">
      <w:pPr>
        <w:pStyle w:val="SCCNormalDoubleSpacing"/>
        <w:spacing w:after="480"/>
        <w:rPr>
          <w:lang w:val="fr-CA"/>
        </w:rPr>
      </w:pPr>
      <w:r>
        <w:rPr>
          <w:lang w:val="fr-CA"/>
        </w:rPr>
        <w:tab/>
      </w:r>
      <w:r w:rsidRPr="00342757">
        <w:rPr>
          <w:lang w:val="fr-CA"/>
        </w:rPr>
        <w:t>L</w:t>
      </w:r>
      <w:r>
        <w:rPr>
          <w:lang w:val="fr-CA"/>
        </w:rPr>
        <w:t>’</w:t>
      </w:r>
      <w:r w:rsidRPr="00342757">
        <w:rPr>
          <w:lang w:val="fr-CA"/>
        </w:rPr>
        <w:t xml:space="preserve">article 3164 </w:t>
      </w:r>
      <w:r w:rsidRPr="000C4A2D">
        <w:rPr>
          <w:i/>
          <w:lang w:val="fr-CA"/>
        </w:rPr>
        <w:t xml:space="preserve">C.c.Q. </w:t>
      </w:r>
      <w:r w:rsidRPr="00342757">
        <w:rPr>
          <w:lang w:val="fr-CA"/>
        </w:rPr>
        <w:t xml:space="preserve">est le premier article et la disposition clé du chapitre du </w:t>
      </w:r>
      <w:r w:rsidRPr="000C4A2D">
        <w:rPr>
          <w:i/>
          <w:lang w:val="fr-CA"/>
        </w:rPr>
        <w:t xml:space="preserve">C.c.Q. </w:t>
      </w:r>
      <w:r w:rsidRPr="00342757">
        <w:rPr>
          <w:lang w:val="fr-CA"/>
        </w:rPr>
        <w:t>qui énonce les règles applicables à la compétence des autorités étrangères. Il établit le principe général de la réciprocité, ou du miroir, selon lequel la compétence des autorités étrangères est établie suivant les règles de compétence applicables aux autorités québécoises en vertu du titre troisième. À ce principe général de la réciprocité, l</w:t>
      </w:r>
      <w:r>
        <w:rPr>
          <w:lang w:val="fr-CA"/>
        </w:rPr>
        <w:t>’</w:t>
      </w:r>
      <w:r w:rsidRPr="00342757">
        <w:rPr>
          <w:lang w:val="fr-CA"/>
        </w:rPr>
        <w:t xml:space="preserve">art. 3164 </w:t>
      </w:r>
      <w:r w:rsidRPr="000C4A2D">
        <w:rPr>
          <w:i/>
          <w:lang w:val="fr-CA"/>
        </w:rPr>
        <w:t xml:space="preserve">C.c.Q. </w:t>
      </w:r>
      <w:r w:rsidRPr="00342757">
        <w:rPr>
          <w:lang w:val="fr-CA"/>
        </w:rPr>
        <w:t>ajoute l</w:t>
      </w:r>
      <w:r>
        <w:rPr>
          <w:lang w:val="fr-CA"/>
        </w:rPr>
        <w:t>’</w:t>
      </w:r>
      <w:r w:rsidRPr="00342757">
        <w:rPr>
          <w:lang w:val="fr-CA"/>
        </w:rPr>
        <w:t>exigence supplémentaire selon laquelle le litige doit se rattacher d</w:t>
      </w:r>
      <w:r>
        <w:rPr>
          <w:lang w:val="fr-CA"/>
        </w:rPr>
        <w:t>’</w:t>
      </w:r>
      <w:r w:rsidRPr="00342757">
        <w:rPr>
          <w:lang w:val="fr-CA"/>
        </w:rPr>
        <w:t>une façon importante à l</w:t>
      </w:r>
      <w:r>
        <w:rPr>
          <w:lang w:val="fr-CA"/>
        </w:rPr>
        <w:t>’</w:t>
      </w:r>
      <w:r w:rsidRPr="00342757">
        <w:rPr>
          <w:lang w:val="fr-CA"/>
        </w:rPr>
        <w:t>État étranger dont l</w:t>
      </w:r>
      <w:r>
        <w:rPr>
          <w:lang w:val="fr-CA"/>
        </w:rPr>
        <w:t>’</w:t>
      </w:r>
      <w:r w:rsidRPr="00342757">
        <w:rPr>
          <w:lang w:val="fr-CA"/>
        </w:rPr>
        <w:t>autorité a été saisie. La mention du titre troisième ne vise pas à limiter l</w:t>
      </w:r>
      <w:r>
        <w:rPr>
          <w:lang w:val="fr-CA"/>
        </w:rPr>
        <w:t>’</w:t>
      </w:r>
      <w:r w:rsidRPr="00342757">
        <w:rPr>
          <w:lang w:val="fr-CA"/>
        </w:rPr>
        <w:t>application de cette exigence fondamentale, mais simplement à exprimer le principe de la réciprocité qui sert de fondement au titre quatrième. Par conséquent, les dispositions subséquentes du titre quatrième, dont fait partie l</w:t>
      </w:r>
      <w:r>
        <w:rPr>
          <w:lang w:val="fr-CA"/>
        </w:rPr>
        <w:t>’</w:t>
      </w:r>
      <w:r w:rsidRPr="00342757">
        <w:rPr>
          <w:lang w:val="fr-CA"/>
        </w:rPr>
        <w:t xml:space="preserve">art. 3168 </w:t>
      </w:r>
      <w:r w:rsidRPr="003B32F1">
        <w:rPr>
          <w:i/>
          <w:lang w:val="fr-CA"/>
        </w:rPr>
        <w:t>C.c.Q.</w:t>
      </w:r>
      <w:r w:rsidRPr="00342757">
        <w:rPr>
          <w:lang w:val="fr-CA"/>
        </w:rPr>
        <w:t>, ne remplacent pas, ni n</w:t>
      </w:r>
      <w:r>
        <w:rPr>
          <w:lang w:val="fr-CA"/>
        </w:rPr>
        <w:t>’</w:t>
      </w:r>
      <w:r w:rsidRPr="00342757">
        <w:rPr>
          <w:lang w:val="fr-CA"/>
        </w:rPr>
        <w:t>englobent complètement, l</w:t>
      </w:r>
      <w:r>
        <w:rPr>
          <w:lang w:val="fr-CA"/>
        </w:rPr>
        <w:t>’</w:t>
      </w:r>
      <w:r w:rsidRPr="00342757">
        <w:rPr>
          <w:lang w:val="fr-CA"/>
        </w:rPr>
        <w:t xml:space="preserve">exigence du rattachement important. Cette dernière vise à empêcher les tribunaux québécois de reconnaître une décision étrangère lorsque le lien de rattachement est si ténu que la reconnaissance ne serait pas indiquée. </w:t>
      </w:r>
    </w:p>
    <w:p w:rsidR="00AF6697" w:rsidRPr="00342757" w:rsidRDefault="00AF6697" w:rsidP="00AF6697">
      <w:pPr>
        <w:pStyle w:val="SCCNormalDoubleSpacing"/>
        <w:spacing w:after="480"/>
        <w:rPr>
          <w:lang w:val="fr-CA"/>
        </w:rPr>
      </w:pPr>
      <w:r>
        <w:rPr>
          <w:lang w:val="fr-CA"/>
        </w:rPr>
        <w:tab/>
      </w:r>
      <w:r w:rsidRPr="00342757">
        <w:rPr>
          <w:lang w:val="fr-CA"/>
        </w:rPr>
        <w:t>Il s</w:t>
      </w:r>
      <w:r>
        <w:rPr>
          <w:lang w:val="fr-CA"/>
        </w:rPr>
        <w:t>’</w:t>
      </w:r>
      <w:r w:rsidRPr="00342757">
        <w:rPr>
          <w:lang w:val="fr-CA"/>
        </w:rPr>
        <w:t>agit en l</w:t>
      </w:r>
      <w:r>
        <w:rPr>
          <w:lang w:val="fr-CA"/>
        </w:rPr>
        <w:t>’</w:t>
      </w:r>
      <w:r w:rsidRPr="00342757">
        <w:rPr>
          <w:lang w:val="fr-CA"/>
        </w:rPr>
        <w:t>espèce de l</w:t>
      </w:r>
      <w:r>
        <w:rPr>
          <w:lang w:val="fr-CA"/>
        </w:rPr>
        <w:t>’</w:t>
      </w:r>
      <w:r w:rsidRPr="00342757">
        <w:rPr>
          <w:lang w:val="fr-CA"/>
        </w:rPr>
        <w:t>un des cas exceptionnels où une analyse distincte du rattachement important se serait imposée. Plus précisément, s</w:t>
      </w:r>
      <w:r>
        <w:rPr>
          <w:lang w:val="fr-CA"/>
        </w:rPr>
        <w:t>’</w:t>
      </w:r>
      <w:r w:rsidRPr="00342757">
        <w:rPr>
          <w:lang w:val="fr-CA"/>
        </w:rPr>
        <w:t>il est jugé que le défendeur a reconnu la compétence de l</w:t>
      </w:r>
      <w:r>
        <w:rPr>
          <w:lang w:val="fr-CA"/>
        </w:rPr>
        <w:t>’</w:t>
      </w:r>
      <w:r w:rsidRPr="00342757">
        <w:rPr>
          <w:lang w:val="fr-CA"/>
        </w:rPr>
        <w:t xml:space="preserve">autorité étrangère au sens </w:t>
      </w:r>
      <w:r w:rsidR="0052073D">
        <w:rPr>
          <w:lang w:val="fr-CA"/>
        </w:rPr>
        <w:t>du par.</w:t>
      </w:r>
      <w:r w:rsidRPr="00342757">
        <w:rPr>
          <w:lang w:val="fr-CA"/>
        </w:rPr>
        <w:t xml:space="preserve"> 3168(6) </w:t>
      </w:r>
      <w:r w:rsidRPr="00BB2406">
        <w:rPr>
          <w:i/>
          <w:lang w:val="fr-CA"/>
        </w:rPr>
        <w:t>C.c.Q.</w:t>
      </w:r>
      <w:r w:rsidRPr="00342757">
        <w:rPr>
          <w:lang w:val="fr-CA"/>
        </w:rPr>
        <w:t>, d</w:t>
      </w:r>
      <w:r>
        <w:rPr>
          <w:lang w:val="fr-CA"/>
        </w:rPr>
        <w:t>’</w:t>
      </w:r>
      <w:r w:rsidRPr="00342757">
        <w:rPr>
          <w:lang w:val="fr-CA"/>
        </w:rPr>
        <w:t>autres éléments de preuve peuvent être nécessaires pour établir l</w:t>
      </w:r>
      <w:r>
        <w:rPr>
          <w:lang w:val="fr-CA"/>
        </w:rPr>
        <w:t>’</w:t>
      </w:r>
      <w:r w:rsidRPr="00342757">
        <w:rPr>
          <w:lang w:val="fr-CA"/>
        </w:rPr>
        <w:t>existence d</w:t>
      </w:r>
      <w:r>
        <w:rPr>
          <w:lang w:val="fr-CA"/>
        </w:rPr>
        <w:t>’</w:t>
      </w:r>
      <w:r w:rsidRPr="00342757">
        <w:rPr>
          <w:lang w:val="fr-CA"/>
        </w:rPr>
        <w:t>un lien de rattachement important entre le litige et le for. Ce sera le cas lorsque la reconnaissance de compétence est faite avec réticence et en grande partie d</w:t>
      </w:r>
      <w:r>
        <w:rPr>
          <w:lang w:val="fr-CA"/>
        </w:rPr>
        <w:t>’</w:t>
      </w:r>
      <w:r w:rsidRPr="00342757">
        <w:rPr>
          <w:lang w:val="fr-CA"/>
        </w:rPr>
        <w:t>une manière involontaire, et que le défendeur n</w:t>
      </w:r>
      <w:r>
        <w:rPr>
          <w:lang w:val="fr-CA"/>
        </w:rPr>
        <w:t>’</w:t>
      </w:r>
      <w:r w:rsidRPr="00342757">
        <w:rPr>
          <w:lang w:val="fr-CA"/>
        </w:rPr>
        <w:t xml:space="preserve">a pas présenté de défense au fond, mais a </w:t>
      </w:r>
      <w:r w:rsidRPr="00342757">
        <w:rPr>
          <w:lang w:val="fr-CA"/>
        </w:rPr>
        <w:lastRenderedPageBreak/>
        <w:t>simplement contesté la compétence de l</w:t>
      </w:r>
      <w:r>
        <w:rPr>
          <w:lang w:val="fr-CA"/>
        </w:rPr>
        <w:t>’</w:t>
      </w:r>
      <w:r w:rsidRPr="00342757">
        <w:rPr>
          <w:lang w:val="fr-CA"/>
        </w:rPr>
        <w:t>autorité étrangère. La reconnaissance de compétence n</w:t>
      </w:r>
      <w:r>
        <w:rPr>
          <w:lang w:val="fr-CA"/>
        </w:rPr>
        <w:t>’</w:t>
      </w:r>
      <w:r w:rsidRPr="00342757">
        <w:rPr>
          <w:lang w:val="fr-CA"/>
        </w:rPr>
        <w:t>établit pas en soi un lien de rattachement réel entre le litige sous</w:t>
      </w:r>
      <w:r w:rsidRPr="00342757">
        <w:rPr>
          <w:lang w:val="fr-CA"/>
        </w:rPr>
        <w:noBreakHyphen/>
        <w:t>jacent et l</w:t>
      </w:r>
      <w:r>
        <w:rPr>
          <w:lang w:val="fr-CA"/>
        </w:rPr>
        <w:t>’</w:t>
      </w:r>
      <w:r w:rsidRPr="00342757">
        <w:rPr>
          <w:lang w:val="fr-CA"/>
        </w:rPr>
        <w:t>État étranger, car il est plus juste de la considérer comme un motif distinct d</w:t>
      </w:r>
      <w:r>
        <w:rPr>
          <w:lang w:val="fr-CA"/>
        </w:rPr>
        <w:t>’</w:t>
      </w:r>
      <w:r w:rsidRPr="00342757">
        <w:rPr>
          <w:lang w:val="fr-CA"/>
        </w:rPr>
        <w:t>attribution de compétence. À moins d</w:t>
      </w:r>
      <w:r>
        <w:rPr>
          <w:lang w:val="fr-CA"/>
        </w:rPr>
        <w:t>’</w:t>
      </w:r>
      <w:r w:rsidRPr="00342757">
        <w:rPr>
          <w:lang w:val="fr-CA"/>
        </w:rPr>
        <w:t>une participation importante à l</w:t>
      </w:r>
      <w:r>
        <w:rPr>
          <w:lang w:val="fr-CA"/>
        </w:rPr>
        <w:t>’</w:t>
      </w:r>
      <w:r w:rsidRPr="00342757">
        <w:rPr>
          <w:lang w:val="fr-CA"/>
        </w:rPr>
        <w:t>instance à l</w:t>
      </w:r>
      <w:r>
        <w:rPr>
          <w:lang w:val="fr-CA"/>
        </w:rPr>
        <w:t>’</w:t>
      </w:r>
      <w:r w:rsidRPr="00342757">
        <w:rPr>
          <w:lang w:val="fr-CA"/>
        </w:rPr>
        <w:t>étranger, d</w:t>
      </w:r>
      <w:r>
        <w:rPr>
          <w:lang w:val="fr-CA"/>
        </w:rPr>
        <w:t>’</w:t>
      </w:r>
      <w:r w:rsidRPr="00342757">
        <w:rPr>
          <w:lang w:val="fr-CA"/>
        </w:rPr>
        <w:t>autres facteurs devraient être examinés pour déterminer s</w:t>
      </w:r>
      <w:r>
        <w:rPr>
          <w:lang w:val="fr-CA"/>
        </w:rPr>
        <w:t>’</w:t>
      </w:r>
      <w:r w:rsidRPr="00342757">
        <w:rPr>
          <w:lang w:val="fr-CA"/>
        </w:rPr>
        <w:t>il existe un rattachement important. En l</w:t>
      </w:r>
      <w:r>
        <w:rPr>
          <w:lang w:val="fr-CA"/>
        </w:rPr>
        <w:t>’</w:t>
      </w:r>
      <w:r w:rsidRPr="00342757">
        <w:rPr>
          <w:lang w:val="fr-CA"/>
        </w:rPr>
        <w:t>espèce, le simple fait que B a présenté des arguments de fond dans sa requête en irrecevabilité n</w:t>
      </w:r>
      <w:r>
        <w:rPr>
          <w:lang w:val="fr-CA"/>
        </w:rPr>
        <w:t>’</w:t>
      </w:r>
      <w:r w:rsidRPr="00342757">
        <w:rPr>
          <w:lang w:val="fr-CA"/>
        </w:rPr>
        <w:t>établit pas l</w:t>
      </w:r>
      <w:r>
        <w:rPr>
          <w:lang w:val="fr-CA"/>
        </w:rPr>
        <w:t>’</w:t>
      </w:r>
      <w:r w:rsidRPr="00342757">
        <w:rPr>
          <w:lang w:val="fr-CA"/>
        </w:rPr>
        <w:t>existence d</w:t>
      </w:r>
      <w:r>
        <w:rPr>
          <w:lang w:val="fr-CA"/>
        </w:rPr>
        <w:t>’</w:t>
      </w:r>
      <w:r w:rsidRPr="00342757">
        <w:rPr>
          <w:lang w:val="fr-CA"/>
        </w:rPr>
        <w:t>un rattachement important suffisant entre le litige et l</w:t>
      </w:r>
      <w:r>
        <w:rPr>
          <w:lang w:val="fr-CA"/>
        </w:rPr>
        <w:t>’</w:t>
      </w:r>
      <w:r w:rsidRPr="00342757">
        <w:rPr>
          <w:lang w:val="fr-CA"/>
        </w:rPr>
        <w:t>Utah. Il en va de même pour la participation de B à titre de président de BEC ou le fait que le droit de l</w:t>
      </w:r>
      <w:r>
        <w:rPr>
          <w:lang w:val="fr-CA"/>
        </w:rPr>
        <w:t>’</w:t>
      </w:r>
      <w:r w:rsidRPr="00342757">
        <w:rPr>
          <w:lang w:val="fr-CA"/>
        </w:rPr>
        <w:t>Utah ait pu s</w:t>
      </w:r>
      <w:r>
        <w:rPr>
          <w:lang w:val="fr-CA"/>
        </w:rPr>
        <w:t>’</w:t>
      </w:r>
      <w:r w:rsidRPr="00342757">
        <w:rPr>
          <w:lang w:val="fr-CA"/>
        </w:rPr>
        <w:t>appliquer à certaines allégations formulées contre lui personnellement. De plus, l</w:t>
      </w:r>
      <w:r>
        <w:rPr>
          <w:lang w:val="fr-CA"/>
        </w:rPr>
        <w:t>’</w:t>
      </w:r>
      <w:r w:rsidRPr="00342757">
        <w:rPr>
          <w:lang w:val="fr-CA"/>
        </w:rPr>
        <w:t>existence d</w:t>
      </w:r>
      <w:r>
        <w:rPr>
          <w:lang w:val="fr-CA"/>
        </w:rPr>
        <w:t>’</w:t>
      </w:r>
      <w:r w:rsidRPr="00342757">
        <w:rPr>
          <w:lang w:val="fr-CA"/>
        </w:rPr>
        <w:t>un rattachement important ne saurait être présumée simplement parce qu</w:t>
      </w:r>
      <w:r>
        <w:rPr>
          <w:lang w:val="fr-CA"/>
        </w:rPr>
        <w:t>’</w:t>
      </w:r>
      <w:r w:rsidRPr="00342757">
        <w:rPr>
          <w:lang w:val="fr-CA"/>
        </w:rPr>
        <w:t>il semble plus commode de reconnaître la décision étrangère dans une situation donnée, par exemple en faisant en sorte qu</w:t>
      </w:r>
      <w:r>
        <w:rPr>
          <w:lang w:val="fr-CA"/>
        </w:rPr>
        <w:t>’</w:t>
      </w:r>
      <w:r w:rsidRPr="00342757">
        <w:rPr>
          <w:lang w:val="fr-CA"/>
        </w:rPr>
        <w:t>un seul tribunal se prononce sur des demandes connexes. La commodité ne constitue pas un motif en soi d</w:t>
      </w:r>
      <w:r>
        <w:rPr>
          <w:lang w:val="fr-CA"/>
        </w:rPr>
        <w:t>’</w:t>
      </w:r>
      <w:r w:rsidRPr="00342757">
        <w:rPr>
          <w:lang w:val="fr-CA"/>
        </w:rPr>
        <w:t>attribution de compétence.</w:t>
      </w:r>
    </w:p>
    <w:p w:rsidR="00AF6697" w:rsidRPr="00342757" w:rsidRDefault="00AF6697" w:rsidP="00AF6697">
      <w:pPr>
        <w:pStyle w:val="SCCNormalDoubleSpacing"/>
        <w:spacing w:after="480"/>
        <w:rPr>
          <w:lang w:val="fr-CA"/>
        </w:rPr>
      </w:pPr>
      <w:r>
        <w:rPr>
          <w:lang w:val="fr-CA"/>
        </w:rPr>
        <w:tab/>
      </w:r>
      <w:r w:rsidRPr="00342757">
        <w:rPr>
          <w:lang w:val="fr-CA"/>
        </w:rPr>
        <w:t>Enfin, et même en présumant que l</w:t>
      </w:r>
      <w:r>
        <w:rPr>
          <w:lang w:val="fr-CA"/>
        </w:rPr>
        <w:t>’</w:t>
      </w:r>
      <w:r w:rsidRPr="00342757">
        <w:rPr>
          <w:lang w:val="fr-CA"/>
        </w:rPr>
        <w:t xml:space="preserve">art. 3139 </w:t>
      </w:r>
      <w:r w:rsidRPr="000C4A2D">
        <w:rPr>
          <w:i/>
          <w:lang w:val="fr-CA"/>
        </w:rPr>
        <w:t xml:space="preserve">C.c.Q. </w:t>
      </w:r>
      <w:r w:rsidRPr="00342757">
        <w:rPr>
          <w:lang w:val="fr-CA"/>
        </w:rPr>
        <w:t>peut être invoqué pour reconnaître une décision étrangère par le biais de l</w:t>
      </w:r>
      <w:r>
        <w:rPr>
          <w:lang w:val="fr-CA"/>
        </w:rPr>
        <w:t>’</w:t>
      </w:r>
      <w:r w:rsidRPr="00342757">
        <w:rPr>
          <w:lang w:val="fr-CA"/>
        </w:rPr>
        <w:t>effet miroir de l</w:t>
      </w:r>
      <w:r>
        <w:rPr>
          <w:lang w:val="fr-CA"/>
        </w:rPr>
        <w:t>’</w:t>
      </w:r>
      <w:r w:rsidRPr="00342757">
        <w:rPr>
          <w:lang w:val="fr-CA"/>
        </w:rPr>
        <w:t xml:space="preserve">art. 3164 </w:t>
      </w:r>
      <w:r w:rsidRPr="00BB2406">
        <w:rPr>
          <w:i/>
          <w:lang w:val="fr-CA"/>
        </w:rPr>
        <w:t>C.c.Q.</w:t>
      </w:r>
      <w:r w:rsidRPr="00342757">
        <w:rPr>
          <w:lang w:val="fr-CA"/>
        </w:rPr>
        <w:t>, il ne pourrait pas s</w:t>
      </w:r>
      <w:r>
        <w:rPr>
          <w:lang w:val="fr-CA"/>
        </w:rPr>
        <w:t>’</w:t>
      </w:r>
      <w:r w:rsidRPr="00342757">
        <w:rPr>
          <w:lang w:val="fr-CA"/>
        </w:rPr>
        <w:t>appliquer en l</w:t>
      </w:r>
      <w:r>
        <w:rPr>
          <w:lang w:val="fr-CA"/>
        </w:rPr>
        <w:t>’</w:t>
      </w:r>
      <w:r w:rsidRPr="00342757">
        <w:rPr>
          <w:lang w:val="fr-CA"/>
        </w:rPr>
        <w:t>espèce. L</w:t>
      </w:r>
      <w:r>
        <w:rPr>
          <w:lang w:val="fr-CA"/>
        </w:rPr>
        <w:t>’</w:t>
      </w:r>
      <w:r w:rsidRPr="00342757">
        <w:rPr>
          <w:lang w:val="fr-CA"/>
        </w:rPr>
        <w:t>action contre B constitue une demande principale, et non une demande incidente. De plus, l</w:t>
      </w:r>
      <w:r>
        <w:rPr>
          <w:lang w:val="fr-CA"/>
        </w:rPr>
        <w:t>’</w:t>
      </w:r>
      <w:r w:rsidRPr="00342757">
        <w:rPr>
          <w:lang w:val="fr-CA"/>
        </w:rPr>
        <w:t xml:space="preserve">art. 3139 </w:t>
      </w:r>
      <w:r w:rsidRPr="000C4A2D">
        <w:rPr>
          <w:i/>
          <w:lang w:val="fr-CA"/>
        </w:rPr>
        <w:t xml:space="preserve">C.c.Q. </w:t>
      </w:r>
      <w:r w:rsidRPr="00342757">
        <w:rPr>
          <w:lang w:val="fr-CA"/>
        </w:rPr>
        <w:t>ne peut être invoqué pour conférer compétence sur toute demande connexe. Une interprétation aussi large serait incompatible avec le libellé de cette disposition. Qui plus est, elle permettrait à B de faire indirectement ce qu</w:t>
      </w:r>
      <w:r>
        <w:rPr>
          <w:lang w:val="fr-CA"/>
        </w:rPr>
        <w:t>’</w:t>
      </w:r>
      <w:r w:rsidRPr="00342757">
        <w:rPr>
          <w:lang w:val="fr-CA"/>
        </w:rPr>
        <w:t>il ne peut faire directement. B n</w:t>
      </w:r>
      <w:r>
        <w:rPr>
          <w:lang w:val="fr-CA"/>
        </w:rPr>
        <w:t>’</w:t>
      </w:r>
      <w:r w:rsidRPr="00342757">
        <w:rPr>
          <w:lang w:val="fr-CA"/>
        </w:rPr>
        <w:t xml:space="preserve">est pas visé par </w:t>
      </w:r>
      <w:r w:rsidR="006D1379">
        <w:rPr>
          <w:lang w:val="fr-CA"/>
        </w:rPr>
        <w:t>le par.</w:t>
      </w:r>
      <w:r w:rsidRPr="00342757">
        <w:rPr>
          <w:lang w:val="fr-CA"/>
        </w:rPr>
        <w:t xml:space="preserve"> 3168(4) </w:t>
      </w:r>
      <w:r w:rsidRPr="000C4A2D">
        <w:rPr>
          <w:i/>
          <w:lang w:val="fr-CA"/>
        </w:rPr>
        <w:t xml:space="preserve">C.c.Q. </w:t>
      </w:r>
      <w:r w:rsidRPr="00342757">
        <w:rPr>
          <w:lang w:val="fr-CA"/>
        </w:rPr>
        <w:t>parce qu</w:t>
      </w:r>
      <w:r>
        <w:rPr>
          <w:lang w:val="fr-CA"/>
        </w:rPr>
        <w:t>’</w:t>
      </w:r>
      <w:r w:rsidRPr="00342757">
        <w:rPr>
          <w:lang w:val="fr-CA"/>
        </w:rPr>
        <w:t>il n</w:t>
      </w:r>
      <w:r>
        <w:rPr>
          <w:lang w:val="fr-CA"/>
        </w:rPr>
        <w:t>’</w:t>
      </w:r>
      <w:r w:rsidRPr="00342757">
        <w:rPr>
          <w:lang w:val="fr-CA"/>
        </w:rPr>
        <w:t>est pas lui</w:t>
      </w:r>
      <w:r w:rsidRPr="00342757">
        <w:rPr>
          <w:lang w:val="fr-CA"/>
        </w:rPr>
        <w:noBreakHyphen/>
        <w:t>même partie au contrat. L</w:t>
      </w:r>
      <w:r>
        <w:rPr>
          <w:lang w:val="fr-CA"/>
        </w:rPr>
        <w:t>’</w:t>
      </w:r>
      <w:r w:rsidRPr="00342757">
        <w:rPr>
          <w:lang w:val="fr-CA"/>
        </w:rPr>
        <w:t xml:space="preserve">article 3139 </w:t>
      </w:r>
      <w:r w:rsidRPr="000C4A2D">
        <w:rPr>
          <w:i/>
          <w:lang w:val="fr-CA"/>
        </w:rPr>
        <w:t xml:space="preserve">C.c.Q. </w:t>
      </w:r>
      <w:r w:rsidRPr="00342757">
        <w:rPr>
          <w:lang w:val="fr-CA"/>
        </w:rPr>
        <w:t>ne peut être utilisé pour contourner l</w:t>
      </w:r>
      <w:r>
        <w:rPr>
          <w:lang w:val="fr-CA"/>
        </w:rPr>
        <w:t>’</w:t>
      </w:r>
      <w:r w:rsidRPr="00342757">
        <w:rPr>
          <w:lang w:val="fr-CA"/>
        </w:rPr>
        <w:t xml:space="preserve">obligation de présenter des </w:t>
      </w:r>
      <w:r w:rsidRPr="00342757">
        <w:rPr>
          <w:lang w:val="fr-CA"/>
        </w:rPr>
        <w:lastRenderedPageBreak/>
        <w:t>éléments de preuve permettant de percer le voile corporatif afin que s</w:t>
      </w:r>
      <w:r>
        <w:rPr>
          <w:lang w:val="fr-CA"/>
        </w:rPr>
        <w:t>’</w:t>
      </w:r>
      <w:r w:rsidRPr="00342757">
        <w:rPr>
          <w:lang w:val="fr-CA"/>
        </w:rPr>
        <w:t xml:space="preserve">applique </w:t>
      </w:r>
      <w:r w:rsidR="006D1379">
        <w:rPr>
          <w:lang w:val="fr-CA"/>
        </w:rPr>
        <w:t>le par.</w:t>
      </w:r>
      <w:r w:rsidRPr="00342757">
        <w:rPr>
          <w:lang w:val="fr-CA"/>
        </w:rPr>
        <w:t xml:space="preserve"> 3168(4) </w:t>
      </w:r>
      <w:r w:rsidRPr="000C4A2D">
        <w:rPr>
          <w:i/>
          <w:lang w:val="fr-CA"/>
        </w:rPr>
        <w:t xml:space="preserve">C.c.Q. </w:t>
      </w:r>
    </w:p>
    <w:p w:rsidR="00AF6697" w:rsidRPr="00012961" w:rsidRDefault="00AF6697" w:rsidP="00AF6697">
      <w:pPr>
        <w:pStyle w:val="SCCNormalDoubleSpacing"/>
        <w:spacing w:after="720" w:line="240" w:lineRule="auto"/>
        <w:rPr>
          <w:b/>
          <w:lang w:val="fr-CA"/>
        </w:rPr>
      </w:pPr>
      <w:r w:rsidRPr="00012961">
        <w:rPr>
          <w:b/>
          <w:lang w:val="fr-CA"/>
        </w:rPr>
        <w:t xml:space="preserve">Jurisprudence </w:t>
      </w:r>
    </w:p>
    <w:p w:rsidR="00AF6697" w:rsidRPr="00342757" w:rsidRDefault="00AF6697" w:rsidP="00AF6697">
      <w:pPr>
        <w:pStyle w:val="SCCNormalDoubleSpacing"/>
        <w:spacing w:after="480"/>
        <w:rPr>
          <w:lang w:val="fr-CA"/>
        </w:rPr>
      </w:pPr>
      <w:r w:rsidRPr="00342757">
        <w:rPr>
          <w:lang w:val="fr-CA"/>
        </w:rPr>
        <w:t xml:space="preserve">Citée par le juge Gascon </w:t>
      </w:r>
    </w:p>
    <w:p w:rsidR="00AF6697" w:rsidRPr="00342757" w:rsidRDefault="00AF6697" w:rsidP="00AF6697">
      <w:pPr>
        <w:pStyle w:val="SCCNormalDoubleSpacing"/>
        <w:spacing w:after="480"/>
        <w:rPr>
          <w:lang w:val="fr-CA"/>
        </w:rPr>
      </w:pPr>
      <w:r w:rsidRPr="00342757">
        <w:rPr>
          <w:lang w:val="fr-CA"/>
        </w:rPr>
        <w:tab/>
      </w:r>
      <w:r w:rsidRPr="0008586F">
        <w:rPr>
          <w:b/>
          <w:lang w:val="fr-CA"/>
        </w:rPr>
        <w:t>Arrêts examinés</w:t>
      </w:r>
      <w:r w:rsidR="005D2C55">
        <w:rPr>
          <w:b/>
          <w:lang w:val="fr-CA"/>
        </w:rPr>
        <w:t> </w:t>
      </w:r>
      <w:r w:rsidRPr="0008586F">
        <w:rPr>
          <w:b/>
          <w:lang w:val="fr-CA"/>
        </w:rPr>
        <w:t>:</w:t>
      </w:r>
      <w:r w:rsidRPr="0008586F">
        <w:rPr>
          <w:lang w:val="fr-CA"/>
        </w:rPr>
        <w:t xml:space="preserve"> </w:t>
      </w:r>
      <w:r w:rsidRPr="00012961">
        <w:rPr>
          <w:i/>
          <w:lang w:val="fr-CA"/>
        </w:rPr>
        <w:t>Société canadienne des postes c. Lépine</w:t>
      </w:r>
      <w:r w:rsidRPr="00342757">
        <w:rPr>
          <w:lang w:val="fr-CA"/>
        </w:rPr>
        <w:t>, 2009 CSC 16, [2009] 1 R.C.S. 549;</w:t>
      </w:r>
      <w:r>
        <w:rPr>
          <w:lang w:val="fr-CA"/>
        </w:rPr>
        <w:t xml:space="preserve"> </w:t>
      </w:r>
      <w:r w:rsidRPr="00012961">
        <w:rPr>
          <w:i/>
          <w:lang w:val="fr-CA"/>
        </w:rPr>
        <w:t>Spar Aerospace Ltée c. American Mobile Satellite Corp.</w:t>
      </w:r>
      <w:r w:rsidRPr="00342757">
        <w:rPr>
          <w:lang w:val="fr-CA"/>
        </w:rPr>
        <w:t>, 2002 CSC 78, [2002] 4 R.C.S. 205;</w:t>
      </w:r>
      <w:r>
        <w:rPr>
          <w:lang w:val="fr-CA"/>
        </w:rPr>
        <w:t xml:space="preserve"> </w:t>
      </w:r>
      <w:r>
        <w:rPr>
          <w:b/>
          <w:lang w:val="fr-CA"/>
        </w:rPr>
        <w:t>arrêts mentionnés :</w:t>
      </w:r>
      <w:r w:rsidR="004E4BAD">
        <w:rPr>
          <w:b/>
          <w:lang w:val="fr-CA"/>
        </w:rPr>
        <w:t xml:space="preserve"> </w:t>
      </w:r>
      <w:r w:rsidRPr="0008586F">
        <w:rPr>
          <w:i/>
          <w:lang w:val="fr-CA"/>
        </w:rPr>
        <w:t>Kuwait</w:t>
      </w:r>
      <w:r w:rsidRPr="00012961">
        <w:rPr>
          <w:i/>
          <w:lang w:val="fr-CA"/>
        </w:rPr>
        <w:t xml:space="preserve"> Airways Corp. c. Irak</w:t>
      </w:r>
      <w:r w:rsidRPr="00342757">
        <w:rPr>
          <w:lang w:val="fr-CA"/>
        </w:rPr>
        <w:t xml:space="preserve">, 2010 CSC 40, [2010] 2 R.C.S. 571; </w:t>
      </w:r>
      <w:r w:rsidRPr="00012961">
        <w:rPr>
          <w:i/>
          <w:lang w:val="fr-CA"/>
        </w:rPr>
        <w:t>Zimmermann inc. c. Barer</w:t>
      </w:r>
      <w:r w:rsidRPr="00342757">
        <w:rPr>
          <w:lang w:val="fr-CA"/>
        </w:rPr>
        <w:t xml:space="preserve">, 2016 QCCA 260; </w:t>
      </w:r>
      <w:r w:rsidRPr="00012961">
        <w:rPr>
          <w:i/>
          <w:lang w:val="fr-CA"/>
        </w:rPr>
        <w:t>Cortas Canning and Refrigerating Co. c. Suidan Bros. inc./Suidan Frères inc.</w:t>
      </w:r>
      <w:r w:rsidRPr="00342757">
        <w:rPr>
          <w:lang w:val="fr-CA"/>
        </w:rPr>
        <w:t xml:space="preserve">, [1999] R.J.Q. 1227; </w:t>
      </w:r>
      <w:r w:rsidRPr="00012961">
        <w:rPr>
          <w:i/>
          <w:lang w:val="fr-CA"/>
        </w:rPr>
        <w:t>Yousuf c. Jannesar</w:t>
      </w:r>
      <w:r w:rsidRPr="00342757">
        <w:rPr>
          <w:lang w:val="fr-CA"/>
        </w:rPr>
        <w:t xml:space="preserve">, 2014 QCCA 2096; </w:t>
      </w:r>
      <w:r w:rsidRPr="00012961">
        <w:rPr>
          <w:i/>
          <w:lang w:val="fr-CA"/>
        </w:rPr>
        <w:t>Mutual Trust Co. c. St</w:t>
      </w:r>
      <w:r w:rsidRPr="00012961">
        <w:rPr>
          <w:i/>
          <w:lang w:val="fr-CA"/>
        </w:rPr>
        <w:noBreakHyphen/>
        <w:t>Cyr</w:t>
      </w:r>
      <w:r w:rsidR="004C729F">
        <w:rPr>
          <w:lang w:val="fr-CA"/>
        </w:rPr>
        <w:t xml:space="preserve">, [1996] R.D.J. 623; </w:t>
      </w:r>
      <w:r w:rsidRPr="00012961">
        <w:rPr>
          <w:i/>
          <w:lang w:val="fr-CA"/>
        </w:rPr>
        <w:t>Goldberg c. Think Glass Le verre repensé inc.</w:t>
      </w:r>
      <w:r w:rsidRPr="00342757">
        <w:rPr>
          <w:lang w:val="fr-CA"/>
        </w:rPr>
        <w:t xml:space="preserve">, 2016 QCCS 6456; </w:t>
      </w:r>
      <w:r w:rsidRPr="00012961">
        <w:rPr>
          <w:i/>
          <w:lang w:val="fr-CA"/>
        </w:rPr>
        <w:t>Jules Jordan Video inc. c. 144942 Canada inc.</w:t>
      </w:r>
      <w:r w:rsidRPr="00342757">
        <w:rPr>
          <w:lang w:val="fr-CA"/>
        </w:rPr>
        <w:t xml:space="preserve">, 2014 QCCS 3343; </w:t>
      </w:r>
      <w:r w:rsidRPr="00012961">
        <w:rPr>
          <w:i/>
          <w:lang w:val="fr-CA"/>
        </w:rPr>
        <w:t>Abel Skiver Farm Corp. c. Ville de Sainte</w:t>
      </w:r>
      <w:r w:rsidRPr="00012961">
        <w:rPr>
          <w:i/>
          <w:lang w:val="fr-CA"/>
        </w:rPr>
        <w:noBreakHyphen/>
        <w:t>Foy</w:t>
      </w:r>
      <w:r w:rsidRPr="00342757">
        <w:rPr>
          <w:lang w:val="fr-CA"/>
        </w:rPr>
        <w:t>, [1983] 1 R.C.S. 403</w:t>
      </w:r>
      <w:r w:rsidRPr="00012961">
        <w:rPr>
          <w:i/>
          <w:lang w:val="fr-CA"/>
        </w:rPr>
        <w:t>; Lavallée c. Imhof</w:t>
      </w:r>
      <w:r w:rsidRPr="00342757">
        <w:rPr>
          <w:lang w:val="fr-CA"/>
        </w:rPr>
        <w:t xml:space="preserve">, 2018 QCCS 2031; </w:t>
      </w:r>
      <w:r w:rsidRPr="00012961">
        <w:rPr>
          <w:i/>
          <w:lang w:val="fr-CA"/>
        </w:rPr>
        <w:t>Worthington Corp. c. Atlas Turner inc.</w:t>
      </w:r>
      <w:r w:rsidRPr="00342757">
        <w:rPr>
          <w:lang w:val="fr-CA"/>
        </w:rPr>
        <w:t xml:space="preserve">, [2004] R.J.Q. 2376; </w:t>
      </w:r>
      <w:r w:rsidRPr="00012961">
        <w:rPr>
          <w:i/>
          <w:lang w:val="fr-CA"/>
        </w:rPr>
        <w:t>Iraq (State of) c. Heerema Zwijndrecht, b.v.</w:t>
      </w:r>
      <w:r w:rsidRPr="00342757">
        <w:rPr>
          <w:lang w:val="fr-CA"/>
        </w:rPr>
        <w:t xml:space="preserve">, 2013 QCCA 1112; </w:t>
      </w:r>
      <w:r w:rsidRPr="00012961">
        <w:rPr>
          <w:i/>
          <w:lang w:val="fr-CA"/>
        </w:rPr>
        <w:t>Hocking c. Haziza</w:t>
      </w:r>
      <w:r w:rsidRPr="00342757">
        <w:rPr>
          <w:lang w:val="fr-CA"/>
        </w:rPr>
        <w:t xml:space="preserve">, 2008 QCCA 800; </w:t>
      </w:r>
      <w:r w:rsidRPr="00012961">
        <w:rPr>
          <w:i/>
          <w:lang w:val="fr-CA"/>
        </w:rPr>
        <w:t>Transax Technologies inc. c. Red Baron Corp. Ltd.</w:t>
      </w:r>
      <w:r w:rsidRPr="00342757">
        <w:rPr>
          <w:lang w:val="fr-CA"/>
        </w:rPr>
        <w:t xml:space="preserve">, 2017 QCCA 626; </w:t>
      </w:r>
      <w:r w:rsidRPr="00012961">
        <w:rPr>
          <w:i/>
          <w:lang w:val="fr-CA"/>
        </w:rPr>
        <w:t>Shamji c. Tajdin</w:t>
      </w:r>
      <w:r w:rsidRPr="00342757">
        <w:rPr>
          <w:lang w:val="fr-CA"/>
        </w:rPr>
        <w:t xml:space="preserve">, 2006 QCCA 314; </w:t>
      </w:r>
      <w:r w:rsidRPr="00012961">
        <w:rPr>
          <w:i/>
          <w:lang w:val="fr-CA"/>
        </w:rPr>
        <w:t>Bank of Montreal c. Hydro Aluminum Wells Inc.</w:t>
      </w:r>
      <w:r w:rsidRPr="00342757">
        <w:rPr>
          <w:lang w:val="fr-CA"/>
        </w:rPr>
        <w:t xml:space="preserve">, 2002 CanLII 3111; </w:t>
      </w:r>
      <w:r w:rsidRPr="00012961">
        <w:rPr>
          <w:i/>
          <w:lang w:val="fr-CA"/>
        </w:rPr>
        <w:t>Baird c. Matol Botanical International Ltd.</w:t>
      </w:r>
      <w:r w:rsidRPr="00342757">
        <w:rPr>
          <w:lang w:val="fr-CA"/>
        </w:rPr>
        <w:t xml:space="preserve">, [1994] R.D.J. 282; </w:t>
      </w:r>
      <w:r w:rsidRPr="00012961">
        <w:rPr>
          <w:i/>
          <w:lang w:val="fr-CA"/>
        </w:rPr>
        <w:t>Beals c. Saldanha</w:t>
      </w:r>
      <w:r w:rsidRPr="00342757">
        <w:rPr>
          <w:lang w:val="fr-CA"/>
        </w:rPr>
        <w:t xml:space="preserve">, 2003 CSC 72, [2003] 3 R.C.S. 416; </w:t>
      </w:r>
      <w:r w:rsidRPr="00012961">
        <w:rPr>
          <w:i/>
          <w:lang w:val="fr-CA"/>
        </w:rPr>
        <w:t>Society of Lloyd</w:t>
      </w:r>
      <w:r>
        <w:rPr>
          <w:i/>
          <w:lang w:val="fr-CA"/>
        </w:rPr>
        <w:t>’</w:t>
      </w:r>
      <w:r w:rsidRPr="00012961">
        <w:rPr>
          <w:i/>
          <w:lang w:val="fr-CA"/>
        </w:rPr>
        <w:t>s c. Alper</w:t>
      </w:r>
      <w:r w:rsidRPr="00342757">
        <w:rPr>
          <w:lang w:val="fr-CA"/>
        </w:rPr>
        <w:t xml:space="preserve">, 2006 QCCS 1203; </w:t>
      </w:r>
      <w:r w:rsidRPr="00012961">
        <w:rPr>
          <w:i/>
          <w:lang w:val="fr-CA"/>
        </w:rPr>
        <w:t>Vaughan c. Campbell</w:t>
      </w:r>
      <w:r w:rsidRPr="00342757">
        <w:rPr>
          <w:lang w:val="fr-CA"/>
        </w:rPr>
        <w:t xml:space="preserve"> (1855), 5 L.C. Rep. 431; </w:t>
      </w:r>
      <w:r w:rsidRPr="00012961">
        <w:rPr>
          <w:i/>
          <w:lang w:val="fr-CA"/>
        </w:rPr>
        <w:t>Natha c. Cook</w:t>
      </w:r>
      <w:r w:rsidRPr="00342757">
        <w:rPr>
          <w:lang w:val="fr-CA"/>
        </w:rPr>
        <w:t xml:space="preserve">, 2016 ABCA 100, 616 A.R. 276; </w:t>
      </w:r>
      <w:r w:rsidRPr="00012961">
        <w:rPr>
          <w:i/>
          <w:lang w:val="fr-CA"/>
        </w:rPr>
        <w:t>Ward c. Nackawic Mechanical Ltd.</w:t>
      </w:r>
      <w:r w:rsidRPr="00342757">
        <w:rPr>
          <w:lang w:val="fr-CA"/>
        </w:rPr>
        <w:t>, 2015 NBCA 1, 429 R.N.</w:t>
      </w:r>
      <w:r w:rsidRPr="00342757">
        <w:rPr>
          <w:lang w:val="fr-CA"/>
        </w:rPr>
        <w:noBreakHyphen/>
        <w:t>B. (2</w:t>
      </w:r>
      <w:r w:rsidRPr="00A15730">
        <w:rPr>
          <w:vertAlign w:val="superscript"/>
          <w:lang w:val="fr-CA"/>
        </w:rPr>
        <w:t>e</w:t>
      </w:r>
      <w:r w:rsidRPr="00342757">
        <w:rPr>
          <w:lang w:val="fr-CA"/>
        </w:rPr>
        <w:t xml:space="preserve">) 228; </w:t>
      </w:r>
      <w:r w:rsidRPr="00012961">
        <w:rPr>
          <w:i/>
          <w:lang w:val="fr-CA"/>
        </w:rPr>
        <w:t>Fleckenstein c. Hutchison</w:t>
      </w:r>
      <w:r w:rsidRPr="00342757">
        <w:rPr>
          <w:lang w:val="fr-CA"/>
        </w:rPr>
        <w:t xml:space="preserve">, 2009 ABCA 320, 460 A.R. 386; </w:t>
      </w:r>
      <w:r w:rsidRPr="00012961">
        <w:rPr>
          <w:i/>
          <w:lang w:val="fr-CA"/>
        </w:rPr>
        <w:t>Housen c. Nikolaisen</w:t>
      </w:r>
      <w:r w:rsidRPr="00342757">
        <w:rPr>
          <w:lang w:val="fr-CA"/>
        </w:rPr>
        <w:t>, 2002 CSC 33, [2002] 2 R.C.S. 23</w:t>
      </w:r>
      <w:r w:rsidR="00316520">
        <w:rPr>
          <w:lang w:val="fr-CA"/>
        </w:rPr>
        <w:t>5</w:t>
      </w:r>
      <w:r w:rsidRPr="00342757">
        <w:rPr>
          <w:lang w:val="fr-CA"/>
        </w:rPr>
        <w:t xml:space="preserve">; </w:t>
      </w:r>
      <w:r w:rsidRPr="00012961">
        <w:rPr>
          <w:i/>
          <w:lang w:val="fr-CA"/>
        </w:rPr>
        <w:t>St</w:t>
      </w:r>
      <w:r w:rsidRPr="00012961">
        <w:rPr>
          <w:i/>
          <w:lang w:val="fr-CA"/>
        </w:rPr>
        <w:noBreakHyphen/>
        <w:t>Jean c. Mercier</w:t>
      </w:r>
      <w:r w:rsidRPr="00342757">
        <w:rPr>
          <w:lang w:val="fr-CA"/>
        </w:rPr>
        <w:t xml:space="preserve">, 2002 CSC 15, [2002] 1 R.C.S. 491; </w:t>
      </w:r>
      <w:r w:rsidRPr="00012961">
        <w:rPr>
          <w:i/>
          <w:lang w:val="fr-CA"/>
        </w:rPr>
        <w:t xml:space="preserve">Alimport </w:t>
      </w:r>
      <w:r w:rsidRPr="00012961">
        <w:rPr>
          <w:i/>
          <w:lang w:val="fr-CA"/>
        </w:rPr>
        <w:lastRenderedPageBreak/>
        <w:t>(Empresa Cubana Importadora de Alimentos) c. Victoria Transport Ltd.</w:t>
      </w:r>
      <w:r w:rsidRPr="00342757">
        <w:rPr>
          <w:lang w:val="fr-CA"/>
        </w:rPr>
        <w:t xml:space="preserve">, [1977] 2 R.C.S. 858; </w:t>
      </w:r>
      <w:r w:rsidRPr="00012961">
        <w:rPr>
          <w:i/>
          <w:lang w:val="fr-CA"/>
        </w:rPr>
        <w:t>Bombardier Transportation c. SMC Pneumatics (UK) Ltd.</w:t>
      </w:r>
      <w:r w:rsidRPr="00342757">
        <w:rPr>
          <w:lang w:val="fr-CA"/>
        </w:rPr>
        <w:t xml:space="preserve">, 2009 QCCA 861; </w:t>
      </w:r>
      <w:r w:rsidRPr="00012961">
        <w:rPr>
          <w:i/>
          <w:lang w:val="fr-CA"/>
        </w:rPr>
        <w:t>International Image Services Inc. c. Ellipse Fiction/Ellipse Programme</w:t>
      </w:r>
      <w:r w:rsidRPr="00342757">
        <w:rPr>
          <w:lang w:val="fr-CA"/>
        </w:rPr>
        <w:t xml:space="preserve">, 1995 CanLII 10253; </w:t>
      </w:r>
      <w:r w:rsidRPr="00012961">
        <w:rPr>
          <w:i/>
          <w:lang w:val="fr-CA"/>
        </w:rPr>
        <w:t>Forest Fibers Inc. c. CSAV Norasia Container Lines Ltd.</w:t>
      </w:r>
      <w:r w:rsidRPr="00342757">
        <w:rPr>
          <w:lang w:val="fr-CA"/>
        </w:rPr>
        <w:t xml:space="preserve">, 2007 QCCS 4794; </w:t>
      </w:r>
      <w:r w:rsidRPr="00012961">
        <w:rPr>
          <w:i/>
          <w:lang w:val="fr-CA"/>
        </w:rPr>
        <w:t>171486 Canada Inc. c. Rogers Cantel Inc.</w:t>
      </w:r>
      <w:r w:rsidRPr="00342757">
        <w:rPr>
          <w:lang w:val="fr-CA"/>
        </w:rPr>
        <w:t xml:space="preserve">, [1995] R.D.J. 91; </w:t>
      </w:r>
      <w:r w:rsidRPr="00012961">
        <w:rPr>
          <w:i/>
          <w:lang w:val="fr-CA"/>
        </w:rPr>
        <w:t>Conserviera S.p.A. c. Paesana Import</w:t>
      </w:r>
      <w:r w:rsidRPr="00012961">
        <w:rPr>
          <w:i/>
          <w:lang w:val="fr-CA"/>
        </w:rPr>
        <w:noBreakHyphen/>
        <w:t>Export Inc.</w:t>
      </w:r>
      <w:r w:rsidRPr="00342757">
        <w:rPr>
          <w:lang w:val="fr-CA"/>
        </w:rPr>
        <w:t xml:space="preserve">, 2001 CanLII 24802; </w:t>
      </w:r>
      <w:r w:rsidRPr="00012961">
        <w:rPr>
          <w:i/>
          <w:lang w:val="fr-CA"/>
        </w:rPr>
        <w:t>LVH Corporation (Las Vegas Hilton) c. Lalonde</w:t>
      </w:r>
      <w:r w:rsidRPr="00342757">
        <w:rPr>
          <w:lang w:val="fr-CA"/>
        </w:rPr>
        <w:t xml:space="preserve">, 2003 CanLII 27646; </w:t>
      </w:r>
      <w:r w:rsidRPr="00012961">
        <w:rPr>
          <w:i/>
          <w:lang w:val="fr-CA"/>
        </w:rPr>
        <w:t>Kadar c. Reichman (Succession)</w:t>
      </w:r>
      <w:r w:rsidRPr="00342757">
        <w:rPr>
          <w:lang w:val="fr-CA"/>
        </w:rPr>
        <w:t xml:space="preserve">, 2014 QCCA 1180, 1 E.T.R. (4th) 9; </w:t>
      </w:r>
      <w:r w:rsidRPr="00012961">
        <w:rPr>
          <w:i/>
          <w:lang w:val="fr-CA"/>
        </w:rPr>
        <w:t>Lagassé c. McElligott</w:t>
      </w:r>
      <w:r w:rsidRPr="00342757">
        <w:rPr>
          <w:lang w:val="fr-CA"/>
        </w:rPr>
        <w:t xml:space="preserve">, [1993] R.D.J. 323; </w:t>
      </w:r>
      <w:r w:rsidRPr="00012961">
        <w:rPr>
          <w:i/>
          <w:lang w:val="fr-CA"/>
        </w:rPr>
        <w:t>D</w:t>
      </w:r>
      <w:r>
        <w:rPr>
          <w:i/>
          <w:lang w:val="fr-CA"/>
        </w:rPr>
        <w:t>’</w:t>
      </w:r>
      <w:r w:rsidRPr="00012961">
        <w:rPr>
          <w:i/>
          <w:lang w:val="fr-CA"/>
        </w:rPr>
        <w:t>Alessandro c. Mastrocola</w:t>
      </w:r>
      <w:r w:rsidRPr="00342757">
        <w:rPr>
          <w:lang w:val="fr-CA"/>
        </w:rPr>
        <w:t xml:space="preserve">, 2007 QCCS 4164; </w:t>
      </w:r>
      <w:r w:rsidRPr="00012961">
        <w:rPr>
          <w:i/>
          <w:lang w:val="fr-CA"/>
        </w:rPr>
        <w:t>Canadian Logistics Systems Limited c. 129726 Canada inc.</w:t>
      </w:r>
      <w:r w:rsidRPr="00342757">
        <w:rPr>
          <w:lang w:val="fr-CA"/>
        </w:rPr>
        <w:t xml:space="preserve">, 1997 CanLII 6840; </w:t>
      </w:r>
      <w:r w:rsidRPr="00012961">
        <w:rPr>
          <w:i/>
          <w:lang w:val="fr-CA"/>
        </w:rPr>
        <w:t>Zimmermann inc. c. Barer</w:t>
      </w:r>
      <w:r w:rsidRPr="00342757">
        <w:rPr>
          <w:lang w:val="fr-CA"/>
        </w:rPr>
        <w:t xml:space="preserve">, 2014 QCCS 3404; </w:t>
      </w:r>
      <w:r w:rsidRPr="00012961">
        <w:rPr>
          <w:i/>
          <w:lang w:val="fr-CA"/>
        </w:rPr>
        <w:t>Labs of Virginia Inc. c. Clintrials Bioresearch Ltd.</w:t>
      </w:r>
      <w:r w:rsidRPr="00342757">
        <w:rPr>
          <w:lang w:val="fr-CA"/>
        </w:rPr>
        <w:t xml:space="preserve">, [2003] R.J.Q. 1876; </w:t>
      </w:r>
      <w:r w:rsidRPr="00012961">
        <w:rPr>
          <w:i/>
          <w:lang w:val="fr-CA"/>
        </w:rPr>
        <w:t>Richter et Associés c. Coopers et Lybrand</w:t>
      </w:r>
      <w:r w:rsidRPr="00342757">
        <w:rPr>
          <w:lang w:val="fr-CA"/>
        </w:rPr>
        <w:t xml:space="preserve">, 2013 QCCS 1945; </w:t>
      </w:r>
      <w:r w:rsidRPr="00012961">
        <w:rPr>
          <w:i/>
          <w:lang w:val="fr-CA"/>
        </w:rPr>
        <w:t>Education Resources Institute Inc. (Teri) c. Chitaroni</w:t>
      </w:r>
      <w:r w:rsidRPr="00342757">
        <w:rPr>
          <w:lang w:val="fr-CA"/>
        </w:rPr>
        <w:t xml:space="preserve">, 2003 CanLII 21712; </w:t>
      </w:r>
      <w:r w:rsidRPr="00012961">
        <w:rPr>
          <w:i/>
          <w:lang w:val="fr-CA"/>
        </w:rPr>
        <w:t>MFI Export Finance inc. c. Rother International S.A. de C.V. inc.</w:t>
      </w:r>
      <w:r w:rsidRPr="00342757">
        <w:rPr>
          <w:lang w:val="fr-CA"/>
        </w:rPr>
        <w:t xml:space="preserve">, 2004 CanLII 16200; </w:t>
      </w:r>
      <w:r w:rsidRPr="00012961">
        <w:rPr>
          <w:i/>
          <w:lang w:val="fr-CA"/>
        </w:rPr>
        <w:t>Canada (Procureur général) c. St</w:t>
      </w:r>
      <w:r w:rsidRPr="00012961">
        <w:rPr>
          <w:i/>
          <w:lang w:val="fr-CA"/>
        </w:rPr>
        <w:noBreakHyphen/>
        <w:t>Julien</w:t>
      </w:r>
      <w:r w:rsidRPr="00342757">
        <w:rPr>
          <w:lang w:val="fr-CA"/>
        </w:rPr>
        <w:t xml:space="preserve">, 2010 QCCS 2723; </w:t>
      </w:r>
      <w:r w:rsidRPr="00012961">
        <w:rPr>
          <w:i/>
          <w:lang w:val="fr-CA"/>
        </w:rPr>
        <w:t>Canfield Technologies inc. c. Servi</w:t>
      </w:r>
      <w:r w:rsidRPr="00012961">
        <w:rPr>
          <w:i/>
          <w:lang w:val="fr-CA"/>
        </w:rPr>
        <w:noBreakHyphen/>
        <w:t>Metals Canada inc.</w:t>
      </w:r>
      <w:r w:rsidRPr="00342757">
        <w:rPr>
          <w:lang w:val="fr-CA"/>
        </w:rPr>
        <w:t xml:space="preserve">, 1999 CanLII 10839; </w:t>
      </w:r>
      <w:r w:rsidRPr="00012961">
        <w:rPr>
          <w:i/>
          <w:lang w:val="fr-CA"/>
        </w:rPr>
        <w:t>G. Van Den Brink B.V. c. Heringer</w:t>
      </w:r>
      <w:r w:rsidRPr="00342757">
        <w:rPr>
          <w:lang w:val="fr-CA"/>
        </w:rPr>
        <w:t xml:space="preserve">, 1994 CarswellQue 2235; </w:t>
      </w:r>
      <w:r w:rsidRPr="00012961">
        <w:rPr>
          <w:i/>
          <w:lang w:val="fr-CA"/>
        </w:rPr>
        <w:t>Dorais c. Saudi Arabian General Investment Authority</w:t>
      </w:r>
      <w:r w:rsidRPr="00342757">
        <w:rPr>
          <w:lang w:val="fr-CA"/>
        </w:rPr>
        <w:t xml:space="preserve">, 2013 QCCS 4498; </w:t>
      </w:r>
      <w:r w:rsidRPr="00012961">
        <w:rPr>
          <w:i/>
          <w:lang w:val="fr-CA"/>
        </w:rPr>
        <w:t>Ortega Figueroa c. Jenckel</w:t>
      </w:r>
      <w:r w:rsidRPr="00342757">
        <w:rPr>
          <w:lang w:val="fr-CA"/>
        </w:rPr>
        <w:t xml:space="preserve">, 2015 QCCA 1393; </w:t>
      </w:r>
      <w:r w:rsidRPr="00012961">
        <w:rPr>
          <w:i/>
          <w:lang w:val="fr-CA"/>
        </w:rPr>
        <w:t>R. c. 1275729 Ontario Inc</w:t>
      </w:r>
      <w:r w:rsidRPr="00694F24">
        <w:rPr>
          <w:lang w:val="fr-CA"/>
        </w:rPr>
        <w:t>. (2005)</w:t>
      </w:r>
      <w:r w:rsidR="00A50BA1">
        <w:rPr>
          <w:lang w:val="fr-CA"/>
        </w:rPr>
        <w:t>, 203 C.C.C.</w:t>
      </w:r>
      <w:r w:rsidR="00316520">
        <w:rPr>
          <w:lang w:val="fr-CA"/>
        </w:rPr>
        <w:t xml:space="preserve"> (3d) </w:t>
      </w:r>
      <w:r w:rsidRPr="00342757">
        <w:rPr>
          <w:lang w:val="fr-CA"/>
        </w:rPr>
        <w:t xml:space="preserve">501; </w:t>
      </w:r>
      <w:r w:rsidRPr="00012961">
        <w:rPr>
          <w:i/>
          <w:lang w:val="fr-CA"/>
        </w:rPr>
        <w:t>Birch Hill Equity Partners Management Inc. c. Rogers Communications Inc.</w:t>
      </w:r>
      <w:r w:rsidRPr="00342757">
        <w:rPr>
          <w:lang w:val="fr-CA"/>
        </w:rPr>
        <w:t xml:space="preserve">, 2015 ONSC 7189, 128 O.R. (3d) 1; </w:t>
      </w:r>
      <w:r w:rsidRPr="00012961">
        <w:rPr>
          <w:i/>
          <w:lang w:val="fr-CA"/>
        </w:rPr>
        <w:t>Canada (Procureur général) c. Hôtels Fairmont Inc.</w:t>
      </w:r>
      <w:r w:rsidRPr="00342757">
        <w:rPr>
          <w:lang w:val="fr-CA"/>
        </w:rPr>
        <w:t xml:space="preserve">, 2016 CSC 56, [2016] 2 R.C.S. 720; </w:t>
      </w:r>
      <w:r w:rsidRPr="00012961">
        <w:rPr>
          <w:i/>
          <w:lang w:val="fr-CA"/>
        </w:rPr>
        <w:t>Armoyan c. Armoyan</w:t>
      </w:r>
      <w:r w:rsidRPr="00342757">
        <w:rPr>
          <w:lang w:val="fr-CA"/>
        </w:rPr>
        <w:t xml:space="preserve">, 2013 NSCA 99, 334 N.S.R. (2d) 204; </w:t>
      </w:r>
      <w:r w:rsidRPr="00012961">
        <w:rPr>
          <w:i/>
          <w:lang w:val="fr-CA"/>
        </w:rPr>
        <w:t>Canada (Canadian Environmental Assessment Agency) c. Taseko Mines Limited</w:t>
      </w:r>
      <w:r w:rsidRPr="00342757">
        <w:rPr>
          <w:lang w:val="fr-CA"/>
        </w:rPr>
        <w:t xml:space="preserve">, 2018 BCSC 1034; </w:t>
      </w:r>
      <w:r w:rsidRPr="00012961">
        <w:rPr>
          <w:i/>
          <w:lang w:val="fr-CA"/>
        </w:rPr>
        <w:t>Bégin c. Bilodeau</w:t>
      </w:r>
      <w:r w:rsidRPr="00342757">
        <w:rPr>
          <w:lang w:val="fr-CA"/>
        </w:rPr>
        <w:t xml:space="preserve">, [1951] R.C.S. 699; </w:t>
      </w:r>
      <w:r w:rsidRPr="00012961">
        <w:rPr>
          <w:i/>
          <w:lang w:val="fr-CA"/>
        </w:rPr>
        <w:t>Québecor World inc. c. Gravel</w:t>
      </w:r>
      <w:r w:rsidRPr="00342757">
        <w:rPr>
          <w:lang w:val="fr-CA"/>
        </w:rPr>
        <w:t xml:space="preserve">, 2003 CanLII 36991; </w:t>
      </w:r>
      <w:r w:rsidRPr="00012961">
        <w:rPr>
          <w:i/>
          <w:lang w:val="fr-CA"/>
        </w:rPr>
        <w:t>Marcoux c. Banque Laurentienne du Canada</w:t>
      </w:r>
      <w:r w:rsidRPr="00342757">
        <w:rPr>
          <w:lang w:val="fr-CA"/>
        </w:rPr>
        <w:t xml:space="preserve">, 2011 QCCA 2034; </w:t>
      </w:r>
      <w:r w:rsidRPr="00012961">
        <w:rPr>
          <w:i/>
          <w:lang w:val="fr-CA"/>
        </w:rPr>
        <w:t>Bil</w:t>
      </w:r>
      <w:r>
        <w:rPr>
          <w:i/>
          <w:lang w:val="fr-CA"/>
        </w:rPr>
        <w:t>’</w:t>
      </w:r>
      <w:r w:rsidRPr="00012961">
        <w:rPr>
          <w:i/>
          <w:lang w:val="fr-CA"/>
        </w:rPr>
        <w:t xml:space="preserve">In (Village Council) c. Green </w:t>
      </w:r>
      <w:r w:rsidRPr="00012961">
        <w:rPr>
          <w:i/>
          <w:lang w:val="fr-CA"/>
        </w:rPr>
        <w:lastRenderedPageBreak/>
        <w:t>Park International Inc.</w:t>
      </w:r>
      <w:r w:rsidRPr="00342757">
        <w:rPr>
          <w:lang w:val="fr-CA"/>
        </w:rPr>
        <w:t xml:space="preserve">, 2009 QCCS 4151, [2009] R.J.Q. 2579; </w:t>
      </w:r>
      <w:r w:rsidRPr="00012961">
        <w:rPr>
          <w:i/>
          <w:lang w:val="fr-CA"/>
        </w:rPr>
        <w:t>Transcore Linklogistics c. Mike</w:t>
      </w:r>
      <w:r>
        <w:rPr>
          <w:i/>
          <w:lang w:val="fr-CA"/>
        </w:rPr>
        <w:t>’</w:t>
      </w:r>
      <w:r w:rsidRPr="00012961">
        <w:rPr>
          <w:i/>
          <w:lang w:val="fr-CA"/>
        </w:rPr>
        <w:t>s Transport and Auto Haul Inc.</w:t>
      </w:r>
      <w:r w:rsidRPr="00342757">
        <w:rPr>
          <w:lang w:val="fr-CA"/>
        </w:rPr>
        <w:t xml:space="preserve">, 2014 QCCA 776; </w:t>
      </w:r>
      <w:r w:rsidRPr="00012961">
        <w:rPr>
          <w:i/>
          <w:lang w:val="fr-CA"/>
        </w:rPr>
        <w:t>GreCon Dimter inc. c. J.R. Normand inc.</w:t>
      </w:r>
      <w:r w:rsidRPr="00342757">
        <w:rPr>
          <w:lang w:val="fr-CA"/>
        </w:rPr>
        <w:t xml:space="preserve">, 2005 CSC 46, [2005] 2 R.C.S. 401; </w:t>
      </w:r>
      <w:r w:rsidRPr="00012961">
        <w:rPr>
          <w:i/>
          <w:lang w:val="fr-CA"/>
        </w:rPr>
        <w:t>Lapointe Rosenstein Marchand Melançon S.E.N.C.R.L. c. Cassels Brock &amp; Blackwell LLP</w:t>
      </w:r>
      <w:r w:rsidRPr="00342757">
        <w:rPr>
          <w:lang w:val="fr-CA"/>
        </w:rPr>
        <w:t xml:space="preserve">, 2016 CSC 30, [2016] 1 R.C.S. 851; </w:t>
      </w:r>
      <w:r w:rsidRPr="00012961">
        <w:rPr>
          <w:i/>
          <w:lang w:val="fr-CA"/>
        </w:rPr>
        <w:t>Insta Holding Limited c. 9247</w:t>
      </w:r>
      <w:r w:rsidRPr="00012961">
        <w:rPr>
          <w:i/>
          <w:lang w:val="fr-CA"/>
        </w:rPr>
        <w:noBreakHyphen/>
        <w:t>5334 Québec inc.</w:t>
      </w:r>
      <w:r w:rsidRPr="00342757">
        <w:rPr>
          <w:lang w:val="fr-CA"/>
        </w:rPr>
        <w:t>, 2017 QCCS 432.</w:t>
      </w:r>
    </w:p>
    <w:p w:rsidR="00AF6697" w:rsidRPr="00012961" w:rsidRDefault="00AF6697" w:rsidP="00AF6697">
      <w:pPr>
        <w:pStyle w:val="SCCNormalDoubleSpacing"/>
        <w:spacing w:after="720" w:line="240" w:lineRule="auto"/>
        <w:rPr>
          <w:lang w:val="fr-CA"/>
        </w:rPr>
      </w:pPr>
      <w:r w:rsidRPr="00012961">
        <w:rPr>
          <w:lang w:val="fr-CA"/>
        </w:rPr>
        <w:t>Citée par le juge Brown </w:t>
      </w:r>
    </w:p>
    <w:p w:rsidR="00AF6697" w:rsidRPr="00342757" w:rsidRDefault="00AF6697" w:rsidP="00AF6697">
      <w:pPr>
        <w:pStyle w:val="SCCNormalDoubleSpacing"/>
        <w:spacing w:after="480"/>
        <w:rPr>
          <w:lang w:val="fr-CA"/>
        </w:rPr>
      </w:pPr>
      <w:r w:rsidRPr="00342757">
        <w:rPr>
          <w:lang w:val="fr-CA"/>
        </w:rPr>
        <w:tab/>
      </w:r>
      <w:r>
        <w:rPr>
          <w:b/>
          <w:lang w:val="fr-CA"/>
        </w:rPr>
        <w:t xml:space="preserve">Arrêt appliqué : </w:t>
      </w:r>
      <w:r w:rsidRPr="00012961">
        <w:rPr>
          <w:i/>
          <w:lang w:val="fr-CA"/>
        </w:rPr>
        <w:t>Lapointe Rosenstein Marchand Melançon S.E.N.C.R.L. c. Cassels Brock &amp; Blackwell LLP</w:t>
      </w:r>
      <w:r w:rsidRPr="00342757">
        <w:rPr>
          <w:lang w:val="fr-CA"/>
        </w:rPr>
        <w:t>, 2016 CSC 30, [2016] 1 R.C.S. 851;</w:t>
      </w:r>
      <w:r>
        <w:rPr>
          <w:lang w:val="fr-CA"/>
        </w:rPr>
        <w:t xml:space="preserve"> </w:t>
      </w:r>
      <w:r>
        <w:rPr>
          <w:b/>
          <w:lang w:val="fr-CA"/>
        </w:rPr>
        <w:t>arrêts examinés :</w:t>
      </w:r>
      <w:r w:rsidRPr="00342757">
        <w:rPr>
          <w:lang w:val="fr-CA"/>
        </w:rPr>
        <w:t xml:space="preserve"> </w:t>
      </w:r>
      <w:r w:rsidRPr="00012961">
        <w:rPr>
          <w:i/>
          <w:lang w:val="fr-CA"/>
        </w:rPr>
        <w:t>Spar Aerospace Ltée c. American Mobile Satellite Corp.</w:t>
      </w:r>
      <w:r w:rsidRPr="00342757">
        <w:rPr>
          <w:lang w:val="fr-CA"/>
        </w:rPr>
        <w:t xml:space="preserve">, 2002 CSC 78, [2002] 4 R.C.S. 205; </w:t>
      </w:r>
      <w:r w:rsidRPr="00012961">
        <w:rPr>
          <w:i/>
          <w:lang w:val="fr-CA"/>
        </w:rPr>
        <w:t>Société canadienne des postes c. Lépine</w:t>
      </w:r>
      <w:r w:rsidRPr="00342757">
        <w:rPr>
          <w:lang w:val="fr-CA"/>
        </w:rPr>
        <w:t xml:space="preserve">, 2009 CSC 16, [2009] 1 R.C.S. 549; </w:t>
      </w:r>
      <w:r>
        <w:rPr>
          <w:b/>
          <w:lang w:val="fr-CA"/>
        </w:rPr>
        <w:t xml:space="preserve">arrêts mentionnés : </w:t>
      </w:r>
      <w:r w:rsidRPr="00012961">
        <w:rPr>
          <w:i/>
          <w:lang w:val="fr-CA"/>
        </w:rPr>
        <w:t>Iraq (State</w:t>
      </w:r>
      <w:r w:rsidR="00BE5261">
        <w:rPr>
          <w:i/>
          <w:lang w:val="fr-CA"/>
        </w:rPr>
        <w:t xml:space="preserve"> of) c. Heerema Zwijndrecht, b.</w:t>
      </w:r>
      <w:r w:rsidRPr="00012961">
        <w:rPr>
          <w:i/>
          <w:lang w:val="fr-CA"/>
        </w:rPr>
        <w:t>v.</w:t>
      </w:r>
      <w:r w:rsidRPr="00342757">
        <w:rPr>
          <w:lang w:val="fr-CA"/>
        </w:rPr>
        <w:t xml:space="preserve">, 2013 QCCA 1112; </w:t>
      </w:r>
      <w:r w:rsidRPr="00012961">
        <w:rPr>
          <w:i/>
          <w:lang w:val="fr-CA"/>
        </w:rPr>
        <w:t>Zimmermann inc. c. Barer</w:t>
      </w:r>
      <w:r w:rsidRPr="00342757">
        <w:rPr>
          <w:lang w:val="fr-CA"/>
        </w:rPr>
        <w:t xml:space="preserve">, 2016 QCCA 260; </w:t>
      </w:r>
      <w:r w:rsidRPr="00012961">
        <w:rPr>
          <w:i/>
          <w:lang w:val="fr-CA"/>
        </w:rPr>
        <w:t>Cortas Canning and Refrigerating Co. c. Suidan Bros. inc./Suidan Frères inc.</w:t>
      </w:r>
      <w:r w:rsidRPr="00342757">
        <w:rPr>
          <w:lang w:val="fr-CA"/>
        </w:rPr>
        <w:t xml:space="preserve">, [1999] R.J.Q. 1227; </w:t>
      </w:r>
      <w:r w:rsidRPr="00012961">
        <w:rPr>
          <w:i/>
          <w:lang w:val="fr-CA"/>
        </w:rPr>
        <w:t>Houle c. Banque Canadienne Nationale</w:t>
      </w:r>
      <w:r w:rsidRPr="00342757">
        <w:rPr>
          <w:lang w:val="fr-CA"/>
        </w:rPr>
        <w:t xml:space="preserve">, [1990] 3 R.C.S. 122; </w:t>
      </w:r>
      <w:r w:rsidRPr="00012961">
        <w:rPr>
          <w:i/>
          <w:lang w:val="fr-CA"/>
        </w:rPr>
        <w:t>Brunette c. Legault Joly Thiffault, s.e.n.c.r.l.</w:t>
      </w:r>
      <w:r w:rsidRPr="00342757">
        <w:rPr>
          <w:lang w:val="fr-CA"/>
        </w:rPr>
        <w:t>, 2018 CSC 55</w:t>
      </w:r>
      <w:r w:rsidR="00290EDC">
        <w:rPr>
          <w:lang w:val="fr-CA"/>
        </w:rPr>
        <w:t>, [2018] 3 R.C.S. 481</w:t>
      </w:r>
      <w:r w:rsidRPr="00342757">
        <w:rPr>
          <w:lang w:val="fr-CA"/>
        </w:rPr>
        <w:t xml:space="preserve">;  </w:t>
      </w:r>
      <w:r w:rsidRPr="00012961">
        <w:rPr>
          <w:i/>
          <w:lang w:val="fr-CA"/>
        </w:rPr>
        <w:t>Salomon c. Salomon &amp; Co.</w:t>
      </w:r>
      <w:r w:rsidRPr="00342757">
        <w:rPr>
          <w:lang w:val="fr-CA"/>
        </w:rPr>
        <w:t xml:space="preserve">, [1897] A.C. 22; </w:t>
      </w:r>
      <w:r w:rsidRPr="00012961">
        <w:rPr>
          <w:i/>
          <w:lang w:val="fr-CA"/>
        </w:rPr>
        <w:t>Marble Point Energy Ltd. c. Stonecroft Resources Inc.</w:t>
      </w:r>
      <w:r w:rsidRPr="00342757">
        <w:rPr>
          <w:lang w:val="fr-CA"/>
        </w:rPr>
        <w:t xml:space="preserve">, 2009 QCCS 3478, conf. par 2011 QCCA 141; </w:t>
      </w:r>
      <w:r w:rsidRPr="00012961">
        <w:rPr>
          <w:i/>
          <w:lang w:val="fr-CA"/>
        </w:rPr>
        <w:t>Club Resorts Ltd. c. Van Breda</w:t>
      </w:r>
      <w:r w:rsidRPr="00342757">
        <w:rPr>
          <w:lang w:val="fr-CA"/>
        </w:rPr>
        <w:t xml:space="preserve">, 2012 CSC 17, [2012] 1 R.C.S. 572; </w:t>
      </w:r>
      <w:r w:rsidRPr="00012961">
        <w:rPr>
          <w:i/>
          <w:lang w:val="fr-CA"/>
        </w:rPr>
        <w:t>GreCon Dimter inc. c. J.R. Normand inc.</w:t>
      </w:r>
      <w:r w:rsidRPr="00342757">
        <w:rPr>
          <w:lang w:val="fr-CA"/>
        </w:rPr>
        <w:t xml:space="preserve">, 2005 CSC 46, [2005] 2 R.C.S. 401; </w:t>
      </w:r>
      <w:r w:rsidRPr="00012961">
        <w:rPr>
          <w:i/>
          <w:lang w:val="fr-CA"/>
        </w:rPr>
        <w:t>Ortega Figueroa c. Jenckel</w:t>
      </w:r>
      <w:r w:rsidRPr="00342757">
        <w:rPr>
          <w:lang w:val="fr-CA"/>
        </w:rPr>
        <w:t xml:space="preserve">, 2015 QCCA 1393; </w:t>
      </w:r>
      <w:r w:rsidRPr="00012961">
        <w:rPr>
          <w:i/>
          <w:lang w:val="fr-CA"/>
        </w:rPr>
        <w:t>Société canadienne des auteurs, compositeurs et éditeurs de musique c. Assoc. canadienne des fournisseurs Internet</w:t>
      </w:r>
      <w:r w:rsidRPr="00342757">
        <w:rPr>
          <w:lang w:val="fr-CA"/>
        </w:rPr>
        <w:t xml:space="preserve">, 2004 CSC 45, [2004] 2 R.C.S. 427; </w:t>
      </w:r>
      <w:r w:rsidRPr="00012961">
        <w:rPr>
          <w:i/>
          <w:lang w:val="fr-CA"/>
        </w:rPr>
        <w:t>Tolofson c. Jensen</w:t>
      </w:r>
      <w:r w:rsidRPr="00342757">
        <w:rPr>
          <w:lang w:val="fr-CA"/>
        </w:rPr>
        <w:t xml:space="preserve">, [1994] 3 R.C.S. 1022; </w:t>
      </w:r>
      <w:r w:rsidRPr="00012961">
        <w:rPr>
          <w:i/>
          <w:lang w:val="fr-CA"/>
        </w:rPr>
        <w:t>Hunt c. T&amp;N plc</w:t>
      </w:r>
      <w:r w:rsidRPr="00342757">
        <w:rPr>
          <w:lang w:val="fr-CA"/>
        </w:rPr>
        <w:t xml:space="preserve">, [1993] 4 R.C.S. 289; </w:t>
      </w:r>
      <w:r w:rsidRPr="00012961">
        <w:rPr>
          <w:i/>
          <w:lang w:val="fr-CA"/>
        </w:rPr>
        <w:t>Morguard Investments Ltd. c. De Savoye</w:t>
      </w:r>
      <w:r w:rsidRPr="00342757">
        <w:rPr>
          <w:lang w:val="fr-CA"/>
        </w:rPr>
        <w:t xml:space="preserve">, [1990] 3 </w:t>
      </w:r>
      <w:r w:rsidRPr="00342757">
        <w:rPr>
          <w:lang w:val="fr-CA"/>
        </w:rPr>
        <w:lastRenderedPageBreak/>
        <w:t xml:space="preserve">R.C.S. 1077; </w:t>
      </w:r>
      <w:r w:rsidRPr="00012961">
        <w:rPr>
          <w:i/>
          <w:lang w:val="fr-CA"/>
        </w:rPr>
        <w:t>Muscutt c. Courcelles</w:t>
      </w:r>
      <w:r w:rsidRPr="00342757">
        <w:rPr>
          <w:lang w:val="fr-CA"/>
        </w:rPr>
        <w:t xml:space="preserve"> (2002), 60 O.R. (3d) 20; </w:t>
      </w:r>
      <w:r w:rsidRPr="00012961">
        <w:rPr>
          <w:i/>
          <w:lang w:val="fr-CA"/>
        </w:rPr>
        <w:t>Infineon Technologies AG c. Option consommateurs</w:t>
      </w:r>
      <w:r w:rsidRPr="00342757">
        <w:rPr>
          <w:lang w:val="fr-CA"/>
        </w:rPr>
        <w:t xml:space="preserve">, 2013 CSC 59, [2013] 3 R.C.S. 600; </w:t>
      </w:r>
      <w:r w:rsidRPr="00012961">
        <w:rPr>
          <w:i/>
          <w:lang w:val="fr-CA"/>
        </w:rPr>
        <w:t>Hocking c. Haziza</w:t>
      </w:r>
      <w:r w:rsidRPr="00342757">
        <w:rPr>
          <w:lang w:val="fr-CA"/>
        </w:rPr>
        <w:t xml:space="preserve">, 2008 QCCA 800; </w:t>
      </w:r>
      <w:r w:rsidRPr="00012961">
        <w:rPr>
          <w:i/>
          <w:lang w:val="fr-CA"/>
        </w:rPr>
        <w:t>Labs of Virginia Inc. c. Clintrials Bioresearch Ltd.</w:t>
      </w:r>
      <w:r w:rsidRPr="00342757">
        <w:rPr>
          <w:lang w:val="fr-CA"/>
        </w:rPr>
        <w:t xml:space="preserve">, [2003] R.J.Q. 1876; </w:t>
      </w:r>
      <w:r w:rsidRPr="00012961">
        <w:rPr>
          <w:i/>
          <w:lang w:val="fr-CA"/>
        </w:rPr>
        <w:t>McKinnon c. Polisuk</w:t>
      </w:r>
      <w:r w:rsidRPr="00342757">
        <w:rPr>
          <w:lang w:val="fr-CA"/>
        </w:rPr>
        <w:t xml:space="preserve">, 2009 QCCS 5778; </w:t>
      </w:r>
      <w:r w:rsidRPr="00012961">
        <w:rPr>
          <w:i/>
          <w:lang w:val="fr-CA"/>
        </w:rPr>
        <w:t>Beals c. Saldanha</w:t>
      </w:r>
      <w:r w:rsidRPr="00342757">
        <w:rPr>
          <w:lang w:val="fr-CA"/>
        </w:rPr>
        <w:t xml:space="preserve">, 2003 CSC 72, [2003] 3 R.C.S. 416; </w:t>
      </w:r>
      <w:r w:rsidRPr="00012961">
        <w:rPr>
          <w:i/>
          <w:lang w:val="fr-CA"/>
        </w:rPr>
        <w:t>Droit de la famille — 131294</w:t>
      </w:r>
      <w:r w:rsidRPr="00342757">
        <w:rPr>
          <w:lang w:val="fr-CA"/>
        </w:rPr>
        <w:t xml:space="preserve">, 2013 QCCA 883; </w:t>
      </w:r>
      <w:r w:rsidRPr="00012961">
        <w:rPr>
          <w:i/>
          <w:lang w:val="fr-CA"/>
        </w:rPr>
        <w:t>Bourdages c. Québec (Gouvernement du) (</w:t>
      </w:r>
      <w:r w:rsidR="00BE5261">
        <w:rPr>
          <w:i/>
          <w:lang w:val="fr-CA"/>
        </w:rPr>
        <w:t>M</w:t>
      </w:r>
      <w:r w:rsidRPr="00012961">
        <w:rPr>
          <w:i/>
          <w:lang w:val="fr-CA"/>
        </w:rPr>
        <w:t>inistère des Transports)</w:t>
      </w:r>
      <w:r w:rsidRPr="00342757">
        <w:rPr>
          <w:lang w:val="fr-CA"/>
        </w:rPr>
        <w:t xml:space="preserve">, 2016 QCCS 5066; </w:t>
      </w:r>
      <w:r w:rsidRPr="00012961">
        <w:rPr>
          <w:i/>
          <w:lang w:val="fr-CA"/>
        </w:rPr>
        <w:t>Fonds d</w:t>
      </w:r>
      <w:r>
        <w:rPr>
          <w:i/>
          <w:lang w:val="fr-CA"/>
        </w:rPr>
        <w:t>’</w:t>
      </w:r>
      <w:r w:rsidRPr="00012961">
        <w:rPr>
          <w:i/>
          <w:lang w:val="fr-CA"/>
        </w:rPr>
        <w:t>assurance responsabilité professionnelle du Barreau du Québec c. Gariépy</w:t>
      </w:r>
      <w:r w:rsidRPr="00342757">
        <w:rPr>
          <w:lang w:val="fr-CA"/>
        </w:rPr>
        <w:t xml:space="preserve">, 2005 QCCA 60; </w:t>
      </w:r>
      <w:r w:rsidRPr="00012961">
        <w:rPr>
          <w:i/>
          <w:lang w:val="fr-CA"/>
        </w:rPr>
        <w:t>Constructions Alcana ltée c. Cégep régional de Lanaudière</w:t>
      </w:r>
      <w:r w:rsidRPr="00342757">
        <w:rPr>
          <w:lang w:val="fr-CA"/>
        </w:rPr>
        <w:t xml:space="preserve">, 2006 QCCA 1494; </w:t>
      </w:r>
      <w:r w:rsidRPr="00012961">
        <w:rPr>
          <w:i/>
          <w:lang w:val="fr-CA"/>
        </w:rPr>
        <w:t>Allard c. Mozart ltée</w:t>
      </w:r>
      <w:r w:rsidRPr="00342757">
        <w:rPr>
          <w:lang w:val="fr-CA"/>
        </w:rPr>
        <w:t xml:space="preserve">, [1981] C.A. 612; </w:t>
      </w:r>
      <w:r w:rsidRPr="00012961">
        <w:rPr>
          <w:i/>
          <w:lang w:val="fr-CA"/>
        </w:rPr>
        <w:t xml:space="preserve">CGU c. </w:t>
      </w:r>
      <w:r w:rsidRPr="00F611A0">
        <w:rPr>
          <w:i/>
          <w:lang w:val="fr-CA"/>
        </w:rPr>
        <w:t>Wawanesa, compagnie mutuelle d’assurances</w:t>
      </w:r>
      <w:r w:rsidRPr="00F611A0">
        <w:rPr>
          <w:lang w:val="fr-CA"/>
        </w:rPr>
        <w:t xml:space="preserve">, 2005 QCCA 320, [2005] R.R.A. 312; </w:t>
      </w:r>
      <w:r w:rsidRPr="00F611A0">
        <w:rPr>
          <w:i/>
          <w:lang w:val="fr-CA"/>
        </w:rPr>
        <w:t>Kingsway General Insurance Co. c. Duvernay Plomberie et chauffage inc.</w:t>
      </w:r>
      <w:r w:rsidRPr="00F611A0">
        <w:rPr>
          <w:lang w:val="fr-CA"/>
        </w:rPr>
        <w:t xml:space="preserve">, 2009 QCCA 926, [2009] R.J.Q. 1237; </w:t>
      </w:r>
      <w:r w:rsidRPr="00F611A0">
        <w:rPr>
          <w:i/>
          <w:lang w:val="fr-CA"/>
        </w:rPr>
        <w:t>Insta Holding Limited c. 9247</w:t>
      </w:r>
      <w:r w:rsidRPr="00F611A0">
        <w:rPr>
          <w:i/>
          <w:lang w:val="fr-CA"/>
        </w:rPr>
        <w:noBreakHyphen/>
        <w:t>5334 Québec inc.</w:t>
      </w:r>
      <w:r w:rsidRPr="00F611A0">
        <w:rPr>
          <w:lang w:val="fr-CA"/>
        </w:rPr>
        <w:t xml:space="preserve">, 2017 QCCS 432; </w:t>
      </w:r>
      <w:r w:rsidRPr="00F611A0">
        <w:rPr>
          <w:i/>
          <w:lang w:val="fr-CA"/>
        </w:rPr>
        <w:t xml:space="preserve">Trower </w:t>
      </w:r>
      <w:r w:rsidR="00A15730">
        <w:rPr>
          <w:i/>
          <w:lang w:val="fr-CA"/>
        </w:rPr>
        <w:t>and</w:t>
      </w:r>
      <w:r w:rsidRPr="00F611A0">
        <w:rPr>
          <w:i/>
          <w:lang w:val="fr-CA"/>
        </w:rPr>
        <w:t xml:space="preserve"> Sons</w:t>
      </w:r>
      <w:r w:rsidR="00A15730">
        <w:rPr>
          <w:i/>
          <w:lang w:val="fr-CA"/>
        </w:rPr>
        <w:t>,</w:t>
      </w:r>
      <w:r w:rsidRPr="00F611A0">
        <w:rPr>
          <w:i/>
          <w:lang w:val="fr-CA"/>
        </w:rPr>
        <w:t xml:space="preserve"> </w:t>
      </w:r>
      <w:r w:rsidR="00A15730">
        <w:rPr>
          <w:i/>
          <w:lang w:val="fr-CA"/>
        </w:rPr>
        <w:t>L</w:t>
      </w:r>
      <w:r w:rsidRPr="00F611A0">
        <w:rPr>
          <w:i/>
          <w:lang w:val="fr-CA"/>
        </w:rPr>
        <w:t>td. c. Ripstein</w:t>
      </w:r>
      <w:r w:rsidRPr="00F611A0">
        <w:rPr>
          <w:lang w:val="fr-CA"/>
        </w:rPr>
        <w:t xml:space="preserve">, [1944] A.C. 254; </w:t>
      </w:r>
      <w:r w:rsidRPr="00F611A0">
        <w:rPr>
          <w:i/>
          <w:lang w:val="fr-CA"/>
        </w:rPr>
        <w:t>Cornwall Chrysler Plymouth Ltd. c. Lapolla</w:t>
      </w:r>
      <w:r w:rsidRPr="00F611A0">
        <w:rPr>
          <w:lang w:val="fr-CA"/>
        </w:rPr>
        <w:t xml:space="preserve">, [1974] C.A. 490; </w:t>
      </w:r>
      <w:r w:rsidRPr="00F611A0">
        <w:rPr>
          <w:i/>
          <w:lang w:val="fr-CA"/>
        </w:rPr>
        <w:t>Municipalité du village de St</w:t>
      </w:r>
      <w:r w:rsidRPr="00F611A0">
        <w:rPr>
          <w:i/>
          <w:lang w:val="fr-CA"/>
        </w:rPr>
        <w:noBreakHyphen/>
        <w:t>Victor c. Allianz du Canada</w:t>
      </w:r>
      <w:r w:rsidRPr="00F611A0">
        <w:rPr>
          <w:lang w:val="fr-CA"/>
        </w:rPr>
        <w:t xml:space="preserve">, [1996] R.D.J. 123; </w:t>
      </w:r>
      <w:r w:rsidRPr="00F611A0">
        <w:rPr>
          <w:i/>
          <w:lang w:val="fr-CA"/>
        </w:rPr>
        <w:t>A S G Industries Inc. c. Corporation Superseal</w:t>
      </w:r>
      <w:r w:rsidR="00316520" w:rsidRPr="00F611A0">
        <w:rPr>
          <w:lang w:val="fr-CA"/>
        </w:rPr>
        <w:t>, [1983] 1 R.C.S</w:t>
      </w:r>
      <w:r w:rsidRPr="00F611A0">
        <w:rPr>
          <w:lang w:val="fr-CA"/>
        </w:rPr>
        <w:t xml:space="preserve">. 781; </w:t>
      </w:r>
      <w:r w:rsidRPr="00F611A0">
        <w:rPr>
          <w:i/>
          <w:lang w:val="fr-CA"/>
        </w:rPr>
        <w:t>E. Hofmann Plastics Inc. c. Tribec Metals Ltd.</w:t>
      </w:r>
      <w:r w:rsidRPr="00F611A0">
        <w:rPr>
          <w:lang w:val="fr-CA"/>
        </w:rPr>
        <w:t xml:space="preserve">, 2013 QCCA 2112; </w:t>
      </w:r>
      <w:r w:rsidRPr="00F611A0">
        <w:rPr>
          <w:i/>
          <w:lang w:val="fr-CA"/>
        </w:rPr>
        <w:t>Poppy Industries Canada Inc. c. Diva Delights Ltd.</w:t>
      </w:r>
      <w:r w:rsidRPr="00F611A0">
        <w:rPr>
          <w:lang w:val="fr-CA"/>
        </w:rPr>
        <w:t xml:space="preserve">, 2018 QCCA 163; </w:t>
      </w:r>
      <w:r w:rsidRPr="00F611A0">
        <w:rPr>
          <w:i/>
          <w:lang w:val="fr-CA"/>
        </w:rPr>
        <w:t>Moran c. Pyle National (Canada) Ltd.</w:t>
      </w:r>
      <w:r w:rsidRPr="00F611A0">
        <w:rPr>
          <w:lang w:val="fr-CA"/>
        </w:rPr>
        <w:t xml:space="preserve">, [1975] 1 R.C.S. 393; </w:t>
      </w:r>
      <w:r w:rsidRPr="00F611A0">
        <w:rPr>
          <w:i/>
          <w:lang w:val="fr-CA"/>
        </w:rPr>
        <w:t>CIMA Plastics Corp. c. Sandid Enterprises Ltd.</w:t>
      </w:r>
      <w:r w:rsidRPr="00F611A0">
        <w:rPr>
          <w:lang w:val="fr-CA"/>
        </w:rPr>
        <w:t xml:space="preserve">, 2011 ONCA 589, 341 D.L.R. (4th) 442; </w:t>
      </w:r>
      <w:r w:rsidRPr="00F611A0">
        <w:rPr>
          <w:i/>
          <w:lang w:val="fr-CA"/>
        </w:rPr>
        <w:t>Oakley c. Barry</w:t>
      </w:r>
      <w:r w:rsidRPr="00F611A0">
        <w:rPr>
          <w:lang w:val="fr-CA"/>
        </w:rPr>
        <w:t xml:space="preserve"> (1998), 158 D.L.R. (4th) 679; </w:t>
      </w:r>
      <w:r w:rsidRPr="00F611A0">
        <w:rPr>
          <w:i/>
          <w:lang w:val="fr-CA"/>
        </w:rPr>
        <w:t>O’Brien c. Canada (Attorney General)</w:t>
      </w:r>
      <w:r w:rsidRPr="00F611A0">
        <w:rPr>
          <w:lang w:val="fr-CA"/>
        </w:rPr>
        <w:t xml:space="preserve">, </w:t>
      </w:r>
      <w:r w:rsidR="00BE5261">
        <w:rPr>
          <w:lang w:val="fr-CA"/>
        </w:rPr>
        <w:t>210 D.L.R. (4th) 668</w:t>
      </w:r>
      <w:r w:rsidRPr="00F611A0">
        <w:rPr>
          <w:lang w:val="fr-CA"/>
        </w:rPr>
        <w:t xml:space="preserve">; </w:t>
      </w:r>
      <w:r w:rsidRPr="00F611A0">
        <w:rPr>
          <w:i/>
          <w:lang w:val="fr-CA"/>
        </w:rPr>
        <w:t>Duncan (Litigation guardian of) c. Neptunia Corp.</w:t>
      </w:r>
      <w:r w:rsidRPr="00F611A0">
        <w:rPr>
          <w:lang w:val="fr-CA"/>
        </w:rPr>
        <w:t> </w:t>
      </w:r>
      <w:r w:rsidRPr="00342757">
        <w:rPr>
          <w:lang w:val="fr-CA"/>
        </w:rPr>
        <w:t xml:space="preserve">(2001), 53 O.R. (3d) 754; </w:t>
      </w:r>
      <w:r w:rsidRPr="00012961">
        <w:rPr>
          <w:i/>
          <w:lang w:val="fr-CA"/>
        </w:rPr>
        <w:t>Van Breda c. Village Resorts Limited</w:t>
      </w:r>
      <w:r w:rsidRPr="00342757">
        <w:rPr>
          <w:lang w:val="fr-CA"/>
        </w:rPr>
        <w:t xml:space="preserve">, 2010 ONCA 84, 98 O.R. (3d) 721; </w:t>
      </w:r>
      <w:r w:rsidRPr="00012961">
        <w:rPr>
          <w:i/>
          <w:lang w:val="fr-CA"/>
        </w:rPr>
        <w:t>Éditions Écosociété Inc. c. Banro Corp.</w:t>
      </w:r>
      <w:r w:rsidRPr="00342757">
        <w:rPr>
          <w:lang w:val="fr-CA"/>
        </w:rPr>
        <w:t xml:space="preserve">, 2012 CSC 18, [2012] 1 R.C.S. 636; </w:t>
      </w:r>
      <w:r w:rsidRPr="00012961">
        <w:rPr>
          <w:i/>
          <w:lang w:val="fr-CA"/>
        </w:rPr>
        <w:t>Breeden c. Black</w:t>
      </w:r>
      <w:r w:rsidRPr="00342757">
        <w:rPr>
          <w:lang w:val="fr-CA"/>
        </w:rPr>
        <w:t xml:space="preserve">, 2012 CSC 19, [2012] 1 R.C.S. 666; </w:t>
      </w:r>
      <w:r w:rsidR="00BE5261" w:rsidRPr="00012961">
        <w:rPr>
          <w:i/>
          <w:lang w:val="fr-CA"/>
        </w:rPr>
        <w:t xml:space="preserve">Oppenheim forfeit GMBH </w:t>
      </w:r>
      <w:r w:rsidR="00BE5261">
        <w:rPr>
          <w:i/>
          <w:lang w:val="fr-CA"/>
        </w:rPr>
        <w:t>c. Lexus maritime inc.</w:t>
      </w:r>
      <w:r w:rsidRPr="00342757">
        <w:rPr>
          <w:lang w:val="fr-CA"/>
        </w:rPr>
        <w:t xml:space="preserve">, 1998 CanLII 13001; </w:t>
      </w:r>
      <w:r w:rsidRPr="00012961">
        <w:rPr>
          <w:i/>
          <w:lang w:val="fr-CA"/>
        </w:rPr>
        <w:t>Haaretz.com c. Goldhar</w:t>
      </w:r>
      <w:r w:rsidRPr="00342757">
        <w:rPr>
          <w:lang w:val="fr-CA"/>
        </w:rPr>
        <w:t>, 2018 CSC 28</w:t>
      </w:r>
      <w:r w:rsidR="00C478BC">
        <w:rPr>
          <w:lang w:val="fr-CA"/>
        </w:rPr>
        <w:t>, [2018</w:t>
      </w:r>
      <w:r w:rsidR="00C478BC" w:rsidRPr="00342757">
        <w:rPr>
          <w:lang w:val="fr-CA"/>
        </w:rPr>
        <w:t>]</w:t>
      </w:r>
      <w:r w:rsidR="00C478BC">
        <w:rPr>
          <w:lang w:val="fr-CA"/>
        </w:rPr>
        <w:t xml:space="preserve"> 2 R.C.S</w:t>
      </w:r>
      <w:r w:rsidR="00FB1872">
        <w:rPr>
          <w:lang w:val="fr-CA"/>
        </w:rPr>
        <w:t>.</w:t>
      </w:r>
      <w:r w:rsidR="00C478BC">
        <w:rPr>
          <w:lang w:val="fr-CA"/>
        </w:rPr>
        <w:t xml:space="preserve"> 3</w:t>
      </w:r>
      <w:r w:rsidRPr="00342757">
        <w:rPr>
          <w:lang w:val="fr-CA"/>
        </w:rPr>
        <w:t>.</w:t>
      </w:r>
    </w:p>
    <w:p w:rsidR="00AF6697" w:rsidRPr="00342757" w:rsidRDefault="00AF6697" w:rsidP="00AF6697">
      <w:pPr>
        <w:pStyle w:val="SCCNormalDoubleSpacing"/>
        <w:spacing w:after="480"/>
        <w:rPr>
          <w:lang w:val="fr-CA"/>
        </w:rPr>
      </w:pPr>
      <w:r w:rsidRPr="00342757">
        <w:rPr>
          <w:lang w:val="fr-CA"/>
        </w:rPr>
        <w:lastRenderedPageBreak/>
        <w:t>Citée par la juge Côté (dissidente)</w:t>
      </w:r>
    </w:p>
    <w:p w:rsidR="00AF6697" w:rsidRPr="00342757" w:rsidRDefault="00AF6697" w:rsidP="00AF6697">
      <w:pPr>
        <w:pStyle w:val="SCCNormalDoubleSpacing"/>
        <w:spacing w:after="480"/>
        <w:rPr>
          <w:lang w:val="fr-CA"/>
        </w:rPr>
      </w:pPr>
      <w:r w:rsidRPr="00342757">
        <w:rPr>
          <w:lang w:val="fr-CA"/>
        </w:rPr>
        <w:tab/>
      </w:r>
      <w:r w:rsidRPr="00012961">
        <w:rPr>
          <w:i/>
          <w:lang w:val="fr-CA"/>
        </w:rPr>
        <w:t>Société canadienne des postes c. Lépine</w:t>
      </w:r>
      <w:r w:rsidRPr="00342757">
        <w:rPr>
          <w:lang w:val="fr-CA"/>
        </w:rPr>
        <w:t xml:space="preserve">, 2009 CSC 16, [2009] 1 R.C.S. 549; </w:t>
      </w:r>
      <w:r w:rsidRPr="00012961">
        <w:rPr>
          <w:i/>
          <w:lang w:val="fr-CA"/>
        </w:rPr>
        <w:t>Mutual Trust Co. c. St</w:t>
      </w:r>
      <w:r w:rsidRPr="00012961">
        <w:rPr>
          <w:i/>
          <w:lang w:val="fr-CA"/>
        </w:rPr>
        <w:noBreakHyphen/>
        <w:t>Cyr</w:t>
      </w:r>
      <w:r w:rsidRPr="00342757">
        <w:rPr>
          <w:lang w:val="fr-CA"/>
        </w:rPr>
        <w:t xml:space="preserve">, [1996] R.D.J. 623; </w:t>
      </w:r>
      <w:r w:rsidRPr="00012961">
        <w:rPr>
          <w:i/>
          <w:lang w:val="fr-CA"/>
        </w:rPr>
        <w:t>Iraq (State of) c. Heerema Zwijndrecht, b.v.</w:t>
      </w:r>
      <w:r w:rsidRPr="00342757">
        <w:rPr>
          <w:lang w:val="fr-CA"/>
        </w:rPr>
        <w:t xml:space="preserve">, 2013 QCCA 1112; </w:t>
      </w:r>
      <w:r w:rsidRPr="00012961">
        <w:rPr>
          <w:i/>
          <w:lang w:val="fr-CA"/>
        </w:rPr>
        <w:t>Spar Aerospace Ltée. c. American Mobile Satellite Corp.</w:t>
      </w:r>
      <w:r w:rsidRPr="00342757">
        <w:rPr>
          <w:lang w:val="fr-CA"/>
        </w:rPr>
        <w:t xml:space="preserve">, 2002 CSC 78, [2002] 4 R.C.S. 205; </w:t>
      </w:r>
      <w:r w:rsidRPr="00012961">
        <w:rPr>
          <w:i/>
          <w:lang w:val="fr-CA"/>
        </w:rPr>
        <w:t>Aboud c. Eplus Technology Inc.</w:t>
      </w:r>
      <w:r w:rsidRPr="00342757">
        <w:rPr>
          <w:lang w:val="fr-CA"/>
        </w:rPr>
        <w:t xml:space="preserve">, 2005 QCCA 2; </w:t>
      </w:r>
      <w:r w:rsidRPr="00012961">
        <w:rPr>
          <w:i/>
          <w:lang w:val="fr-CA"/>
        </w:rPr>
        <w:t>Eplus Technology Inc. c. Aboud</w:t>
      </w:r>
      <w:r w:rsidRPr="00342757">
        <w:rPr>
          <w:lang w:val="fr-CA"/>
        </w:rPr>
        <w:t>, [2003] AZ</w:t>
      </w:r>
      <w:r w:rsidRPr="00342757">
        <w:rPr>
          <w:lang w:val="fr-CA"/>
        </w:rPr>
        <w:noBreakHyphen/>
        <w:t xml:space="preserve">50402261; </w:t>
      </w:r>
      <w:r w:rsidRPr="00012961">
        <w:rPr>
          <w:i/>
          <w:lang w:val="fr-CA"/>
        </w:rPr>
        <w:t>Zimmermann inc. c. Barer</w:t>
      </w:r>
      <w:r w:rsidRPr="00342757">
        <w:rPr>
          <w:lang w:val="fr-CA"/>
        </w:rPr>
        <w:t xml:space="preserve">, 2016 QCCA 260; </w:t>
      </w:r>
      <w:r w:rsidRPr="00012961">
        <w:rPr>
          <w:i/>
          <w:lang w:val="fr-CA"/>
        </w:rPr>
        <w:t>Lapointe Rosenstein Marchand Melançon S.E.N.C.R.L. c. Cassels Brock &amp; Blackwell LLP</w:t>
      </w:r>
      <w:r w:rsidRPr="00342757">
        <w:rPr>
          <w:lang w:val="fr-CA"/>
        </w:rPr>
        <w:t xml:space="preserve">, 2016 CSC 30, [2016] 1 R.C.S. 851; </w:t>
      </w:r>
      <w:r w:rsidRPr="00012961">
        <w:rPr>
          <w:i/>
          <w:lang w:val="fr-CA"/>
        </w:rPr>
        <w:t>Domaine de l</w:t>
      </w:r>
      <w:r>
        <w:rPr>
          <w:i/>
          <w:lang w:val="fr-CA"/>
        </w:rPr>
        <w:t>’</w:t>
      </w:r>
      <w:r w:rsidRPr="00012961">
        <w:rPr>
          <w:i/>
          <w:lang w:val="fr-CA"/>
        </w:rPr>
        <w:t>Orée des bois La Plaine inc. c. Garon</w:t>
      </w:r>
      <w:r w:rsidRPr="00342757">
        <w:rPr>
          <w:lang w:val="fr-CA"/>
        </w:rPr>
        <w:t xml:space="preserve">, 2012 QCCA 269; </w:t>
      </w:r>
      <w:r w:rsidRPr="00012961">
        <w:rPr>
          <w:i/>
          <w:lang w:val="fr-CA"/>
        </w:rPr>
        <w:t>Lanoue c. Brasserie Labatt ltée</w:t>
      </w:r>
      <w:r w:rsidRPr="00342757">
        <w:rPr>
          <w:lang w:val="fr-CA"/>
        </w:rPr>
        <w:t xml:space="preserve">, 1999 CanLII 13784; </w:t>
      </w:r>
      <w:r w:rsidRPr="00012961">
        <w:rPr>
          <w:i/>
          <w:lang w:val="fr-CA"/>
        </w:rPr>
        <w:t>Coutu c. Québec (Commission des droits de la personne)</w:t>
      </w:r>
      <w:r w:rsidRPr="00342757">
        <w:rPr>
          <w:lang w:val="fr-CA"/>
        </w:rPr>
        <w:t xml:space="preserve">, 1998 CanLII 13100; </w:t>
      </w:r>
      <w:r w:rsidRPr="00012961">
        <w:rPr>
          <w:i/>
          <w:lang w:val="fr-CA"/>
        </w:rPr>
        <w:t>Cortas Canning and Refrigerating Co. c. Suidan Bros. inc./Suidan Frères inc.</w:t>
      </w:r>
      <w:r w:rsidRPr="00342757">
        <w:rPr>
          <w:lang w:val="fr-CA"/>
        </w:rPr>
        <w:t xml:space="preserve">, [1999] R.J.Q. 1227; </w:t>
      </w:r>
      <w:r w:rsidRPr="00012961">
        <w:rPr>
          <w:i/>
          <w:lang w:val="fr-CA"/>
        </w:rPr>
        <w:t>171486 Canada Inc. c. Rogers Cantel Inc.</w:t>
      </w:r>
      <w:r w:rsidRPr="00342757">
        <w:rPr>
          <w:lang w:val="fr-CA"/>
        </w:rPr>
        <w:t xml:space="preserve">, [1995] R.D.J. 91; </w:t>
      </w:r>
      <w:r w:rsidRPr="00012961">
        <w:rPr>
          <w:i/>
          <w:lang w:val="fr-CA"/>
        </w:rPr>
        <w:t>Forest Fibers Inc. c. CSAV Norasia Container Lines Ltd.</w:t>
      </w:r>
      <w:r w:rsidRPr="00342757">
        <w:rPr>
          <w:lang w:val="fr-CA"/>
        </w:rPr>
        <w:t xml:space="preserve">, 2007 QCCS 4794; </w:t>
      </w:r>
      <w:r w:rsidRPr="00012961">
        <w:rPr>
          <w:i/>
          <w:lang w:val="fr-CA"/>
        </w:rPr>
        <w:t>Conserviera S.p.A. c. Paesana Import</w:t>
      </w:r>
      <w:r w:rsidRPr="00012961">
        <w:rPr>
          <w:i/>
          <w:lang w:val="fr-CA"/>
        </w:rPr>
        <w:noBreakHyphen/>
        <w:t>Export Inc.</w:t>
      </w:r>
      <w:r w:rsidRPr="00342757">
        <w:rPr>
          <w:lang w:val="fr-CA"/>
        </w:rPr>
        <w:t xml:space="preserve">, 2001 CanLII 24802; </w:t>
      </w:r>
      <w:r w:rsidRPr="00012961">
        <w:rPr>
          <w:i/>
          <w:lang w:val="fr-CA"/>
        </w:rPr>
        <w:t>Transax Technologies inc. c. Red Baron Corp. Ltd.</w:t>
      </w:r>
      <w:r w:rsidRPr="00342757">
        <w:rPr>
          <w:lang w:val="fr-CA"/>
        </w:rPr>
        <w:t xml:space="preserve">, 2017 QCCA 626; </w:t>
      </w:r>
      <w:r w:rsidRPr="00012961">
        <w:rPr>
          <w:i/>
          <w:lang w:val="fr-CA"/>
        </w:rPr>
        <w:t>Shamji c. Tajdin</w:t>
      </w:r>
      <w:r w:rsidRPr="00342757">
        <w:rPr>
          <w:lang w:val="fr-CA"/>
        </w:rPr>
        <w:t xml:space="preserve">, 2006 QCCA 314; </w:t>
      </w:r>
      <w:r w:rsidRPr="00012961">
        <w:rPr>
          <w:i/>
          <w:lang w:val="fr-CA"/>
        </w:rPr>
        <w:t>Bank of Montreal c. Hydro Aluminum Wells Inc.</w:t>
      </w:r>
      <w:r w:rsidRPr="00342757">
        <w:rPr>
          <w:lang w:val="fr-CA"/>
        </w:rPr>
        <w:t xml:space="preserve">, 2002 CanLII 3111; </w:t>
      </w:r>
      <w:r w:rsidRPr="00012961">
        <w:rPr>
          <w:i/>
          <w:lang w:val="fr-CA"/>
        </w:rPr>
        <w:t>Club Resorts Ltd. c. Van Breda</w:t>
      </w:r>
      <w:r w:rsidRPr="00342757">
        <w:rPr>
          <w:lang w:val="fr-CA"/>
        </w:rPr>
        <w:t xml:space="preserve">, 2012 CSC 17, [2012] 1 R.C.S. 572; </w:t>
      </w:r>
      <w:r w:rsidRPr="00012961">
        <w:rPr>
          <w:i/>
          <w:lang w:val="fr-CA"/>
        </w:rPr>
        <w:t>Morguard Investments Ltd. c. De Savoye</w:t>
      </w:r>
      <w:r w:rsidRPr="00342757">
        <w:rPr>
          <w:lang w:val="fr-CA"/>
        </w:rPr>
        <w:t xml:space="preserve">, [1990] 3 R.C.S. 1077; </w:t>
      </w:r>
      <w:r w:rsidRPr="00012961">
        <w:rPr>
          <w:i/>
          <w:lang w:val="fr-CA"/>
        </w:rPr>
        <w:t>Hocking c. Haziza</w:t>
      </w:r>
      <w:r w:rsidRPr="00342757">
        <w:rPr>
          <w:lang w:val="fr-CA"/>
        </w:rPr>
        <w:t xml:space="preserve">, 2008 QCCA 800; </w:t>
      </w:r>
      <w:r w:rsidRPr="00012961">
        <w:rPr>
          <w:i/>
          <w:lang w:val="fr-CA"/>
        </w:rPr>
        <w:t>Jules Jordan Video inc. c. 144942 Canada inc.</w:t>
      </w:r>
      <w:r w:rsidRPr="00342757">
        <w:rPr>
          <w:lang w:val="fr-CA"/>
        </w:rPr>
        <w:t xml:space="preserve">, 2014 QCCS 3343; </w:t>
      </w:r>
      <w:r w:rsidRPr="00012961">
        <w:rPr>
          <w:i/>
          <w:lang w:val="fr-CA"/>
        </w:rPr>
        <w:t>GreCon Dimter inc. c. J.R. Normand inc.</w:t>
      </w:r>
      <w:r w:rsidRPr="00342757">
        <w:rPr>
          <w:lang w:val="fr-CA"/>
        </w:rPr>
        <w:t xml:space="preserve">, 2005 CSC 46, [2005] 2 R.C.S. 401; </w:t>
      </w:r>
      <w:r w:rsidRPr="00012961">
        <w:rPr>
          <w:i/>
          <w:lang w:val="fr-CA"/>
        </w:rPr>
        <w:t>Beals c. Saldanha</w:t>
      </w:r>
      <w:r w:rsidRPr="00342757">
        <w:rPr>
          <w:lang w:val="fr-CA"/>
        </w:rPr>
        <w:t xml:space="preserve">, 2003 CSC 72, [2003] 3 R.C.S. 416; </w:t>
      </w:r>
      <w:r w:rsidRPr="00012961">
        <w:rPr>
          <w:i/>
          <w:lang w:val="fr-CA"/>
        </w:rPr>
        <w:t>Lamborghini (Canada) inc. c. Automobili Lamborghini S.P.A.</w:t>
      </w:r>
      <w:r w:rsidRPr="00342757">
        <w:rPr>
          <w:lang w:val="fr-CA"/>
        </w:rPr>
        <w:t xml:space="preserve">, [1997] R.J.Q. 58; </w:t>
      </w:r>
      <w:r w:rsidRPr="00012961">
        <w:rPr>
          <w:i/>
          <w:lang w:val="fr-CA"/>
        </w:rPr>
        <w:t>Haaretz.com c. Goldhar</w:t>
      </w:r>
      <w:r w:rsidRPr="00342757">
        <w:rPr>
          <w:lang w:val="fr-CA"/>
        </w:rPr>
        <w:t>, 2018 CSC 28</w:t>
      </w:r>
      <w:r w:rsidR="00FB1872">
        <w:rPr>
          <w:lang w:val="fr-CA"/>
        </w:rPr>
        <w:t>,</w:t>
      </w:r>
      <w:r w:rsidR="006C0548">
        <w:rPr>
          <w:lang w:val="fr-CA"/>
        </w:rPr>
        <w:t xml:space="preserve"> [2018</w:t>
      </w:r>
      <w:r w:rsidR="006C0548" w:rsidRPr="00342757">
        <w:rPr>
          <w:lang w:val="fr-CA"/>
        </w:rPr>
        <w:t>]</w:t>
      </w:r>
      <w:r w:rsidR="006C0548">
        <w:rPr>
          <w:lang w:val="fr-CA"/>
        </w:rPr>
        <w:t xml:space="preserve"> 2 R.C.S. 3</w:t>
      </w:r>
      <w:r w:rsidRPr="00342757">
        <w:rPr>
          <w:lang w:val="fr-CA"/>
        </w:rPr>
        <w:t xml:space="preserve">; </w:t>
      </w:r>
      <w:r w:rsidRPr="00012961">
        <w:rPr>
          <w:i/>
          <w:lang w:val="fr-CA"/>
        </w:rPr>
        <w:t>Sorel Tracy Terminal Maritime c. FSL Limited</w:t>
      </w:r>
      <w:r w:rsidRPr="00342757">
        <w:rPr>
          <w:lang w:val="fr-CA"/>
        </w:rPr>
        <w:t>, 2001 CanLII 24746.</w:t>
      </w:r>
    </w:p>
    <w:p w:rsidR="00AF6697" w:rsidRPr="00012961" w:rsidRDefault="00AF6697" w:rsidP="00AF6697">
      <w:pPr>
        <w:pStyle w:val="SCCNormalDoubleSpacing"/>
        <w:spacing w:after="720" w:line="240" w:lineRule="auto"/>
        <w:rPr>
          <w:b/>
          <w:lang w:val="fr-CA"/>
        </w:rPr>
      </w:pPr>
      <w:r w:rsidRPr="00012961">
        <w:rPr>
          <w:b/>
          <w:lang w:val="fr-CA"/>
        </w:rPr>
        <w:lastRenderedPageBreak/>
        <w:t>Lois et règlements cités</w:t>
      </w:r>
    </w:p>
    <w:p w:rsidR="00AF6697" w:rsidRPr="00342757" w:rsidRDefault="00AF6697" w:rsidP="00AF6697">
      <w:pPr>
        <w:pStyle w:val="SCCNormalDoubleSpacing"/>
        <w:spacing w:after="240" w:line="240" w:lineRule="auto"/>
        <w:ind w:left="540" w:hanging="540"/>
        <w:rPr>
          <w:lang w:val="fr-CA"/>
        </w:rPr>
      </w:pPr>
      <w:r w:rsidRPr="00012961">
        <w:rPr>
          <w:i/>
          <w:lang w:val="fr-CA"/>
        </w:rPr>
        <w:t>Code civil du Bas-Canada</w:t>
      </w:r>
      <w:r w:rsidRPr="00342757">
        <w:rPr>
          <w:lang w:val="fr-CA"/>
        </w:rPr>
        <w:t>.</w:t>
      </w:r>
    </w:p>
    <w:p w:rsidR="00AF6697" w:rsidRPr="005F3129" w:rsidRDefault="00AF6697" w:rsidP="00AF6697">
      <w:pPr>
        <w:pStyle w:val="SCCNormalDoubleSpacing"/>
        <w:spacing w:after="240" w:line="240" w:lineRule="auto"/>
        <w:ind w:left="540" w:hanging="540"/>
        <w:rPr>
          <w:lang w:val="fr-CA"/>
        </w:rPr>
      </w:pPr>
      <w:r w:rsidRPr="00012961">
        <w:rPr>
          <w:i/>
          <w:lang w:val="fr-CA"/>
        </w:rPr>
        <w:t>Code civil du Québec</w:t>
      </w:r>
      <w:r w:rsidRPr="00342757">
        <w:rPr>
          <w:lang w:val="fr-CA"/>
        </w:rPr>
        <w:t>, art. 75, 307, 309, 31</w:t>
      </w:r>
      <w:r w:rsidR="00E641FE">
        <w:rPr>
          <w:lang w:val="fr-CA"/>
        </w:rPr>
        <w:t>7, 2803, 2809, 2822, 2850 et suiv</w:t>
      </w:r>
      <w:r w:rsidRPr="00342757">
        <w:rPr>
          <w:lang w:val="fr-CA"/>
        </w:rPr>
        <w:t>., 3080, 3083, 3132, 3134, 3135, 3136, 3137, 3138, 3139, 3140, 3144, 3148, 3153, 3155, 3156, 3157, 3158</w:t>
      </w:r>
      <w:r w:rsidRPr="005F3129">
        <w:rPr>
          <w:lang w:val="fr-CA"/>
        </w:rPr>
        <w:t>, 3164 à 3168.</w:t>
      </w:r>
    </w:p>
    <w:p w:rsidR="00AF6697" w:rsidRPr="005F3129" w:rsidRDefault="00AF6697" w:rsidP="00AF6697">
      <w:pPr>
        <w:pStyle w:val="SCCNormalDoubleSpacing"/>
        <w:spacing w:after="240" w:line="240" w:lineRule="auto"/>
        <w:ind w:left="540" w:hanging="540"/>
        <w:rPr>
          <w:lang w:val="fr-CA"/>
        </w:rPr>
      </w:pPr>
      <w:r w:rsidRPr="005F3129">
        <w:rPr>
          <w:i/>
          <w:lang w:val="fr-CA"/>
        </w:rPr>
        <w:t>Code de procédure civile</w:t>
      </w:r>
      <w:r w:rsidRPr="005F3129">
        <w:rPr>
          <w:lang w:val="fr-CA"/>
        </w:rPr>
        <w:t>, RLRQ, c. C</w:t>
      </w:r>
      <w:r w:rsidRPr="005F3129">
        <w:rPr>
          <w:lang w:val="fr-CA"/>
        </w:rPr>
        <w:noBreakHyphen/>
        <w:t>25, art. 71, 75, 151.5,</w:t>
      </w:r>
      <w:r>
        <w:rPr>
          <w:lang w:val="fr-CA"/>
        </w:rPr>
        <w:t xml:space="preserve"> 151.6</w:t>
      </w:r>
      <w:r w:rsidRPr="005F3129">
        <w:rPr>
          <w:lang w:val="fr-CA"/>
        </w:rPr>
        <w:t>(2)</w:t>
      </w:r>
      <w:r w:rsidR="006362C1">
        <w:rPr>
          <w:lang w:val="fr-CA"/>
        </w:rPr>
        <w:t>,</w:t>
      </w:r>
      <w:r w:rsidRPr="005F3129">
        <w:rPr>
          <w:lang w:val="fr-CA"/>
        </w:rPr>
        <w:t xml:space="preserve"> 159, 216, 270, 271, 786. </w:t>
      </w:r>
    </w:p>
    <w:p w:rsidR="00AF6697" w:rsidRPr="00342757" w:rsidRDefault="00AF6697" w:rsidP="00AF6697">
      <w:pPr>
        <w:pStyle w:val="SCCNormalDoubleSpacing"/>
        <w:spacing w:after="240" w:line="240" w:lineRule="auto"/>
        <w:ind w:left="540" w:hanging="540"/>
        <w:rPr>
          <w:lang w:val="fr-CA"/>
        </w:rPr>
      </w:pPr>
      <w:r w:rsidRPr="005F3129">
        <w:rPr>
          <w:i/>
          <w:lang w:val="fr-CA"/>
        </w:rPr>
        <w:t>Code de procédure civile</w:t>
      </w:r>
      <w:r w:rsidRPr="005F3129">
        <w:rPr>
          <w:lang w:val="fr-CA"/>
        </w:rPr>
        <w:t>, RLRQ, c. C</w:t>
      </w:r>
      <w:r w:rsidRPr="005F3129">
        <w:rPr>
          <w:lang w:val="fr-CA"/>
        </w:rPr>
        <w:noBreakHyphen/>
        <w:t>25.01, art. 167, 184 à 190, 210,</w:t>
      </w:r>
      <w:r w:rsidRPr="00342757">
        <w:rPr>
          <w:lang w:val="fr-CA"/>
        </w:rPr>
        <w:t xml:space="preserve"> 508 al. 1.</w:t>
      </w:r>
    </w:p>
    <w:p w:rsidR="00AF6697" w:rsidRPr="00012961" w:rsidRDefault="00AF6697" w:rsidP="00AF6697">
      <w:pPr>
        <w:pStyle w:val="SCCNormalDoubleSpacing"/>
        <w:spacing w:after="240" w:line="240" w:lineRule="auto"/>
        <w:ind w:left="540" w:hanging="540"/>
      </w:pPr>
      <w:r w:rsidRPr="00012961">
        <w:rPr>
          <w:i/>
        </w:rPr>
        <w:t>Court Jurisdiction and Proceedings Transfer Act</w:t>
      </w:r>
      <w:r w:rsidRPr="00012961">
        <w:t xml:space="preserve">, S.B.C. 2003, c. 28. </w:t>
      </w:r>
    </w:p>
    <w:p w:rsidR="00AF6697" w:rsidRPr="00012961" w:rsidRDefault="00AF6697" w:rsidP="00AF6697">
      <w:pPr>
        <w:pStyle w:val="SCCNormalDoubleSpacing"/>
        <w:spacing w:after="240" w:line="240" w:lineRule="auto"/>
        <w:ind w:left="540" w:hanging="540"/>
      </w:pPr>
      <w:r w:rsidRPr="00012961">
        <w:rPr>
          <w:i/>
        </w:rPr>
        <w:t>Court Jurisdiction and Proceedings Transfer Act</w:t>
      </w:r>
      <w:r w:rsidRPr="00012961">
        <w:t xml:space="preserve">, S.N.S. 2003 (2nd Sess.), c. 2. </w:t>
      </w:r>
    </w:p>
    <w:p w:rsidR="00AF6697" w:rsidRPr="00342757" w:rsidRDefault="00AF6697" w:rsidP="00AF6697">
      <w:pPr>
        <w:pStyle w:val="SCCNormalDoubleSpacing"/>
        <w:spacing w:after="240" w:line="240" w:lineRule="auto"/>
        <w:ind w:left="540" w:hanging="540"/>
        <w:rPr>
          <w:lang w:val="fr-CA"/>
        </w:rPr>
      </w:pPr>
      <w:r w:rsidRPr="00012961">
        <w:rPr>
          <w:i/>
          <w:lang w:val="fr-CA"/>
        </w:rPr>
        <w:t>Loi fédérale sur le droit international privé</w:t>
      </w:r>
      <w:r w:rsidRPr="00342757">
        <w:rPr>
          <w:lang w:val="fr-CA"/>
        </w:rPr>
        <w:t xml:space="preserve"> (Suisse), art. 8a.</w:t>
      </w:r>
    </w:p>
    <w:p w:rsidR="00AF6697" w:rsidRPr="00342757" w:rsidRDefault="00AF6697" w:rsidP="00AF6697">
      <w:pPr>
        <w:pStyle w:val="SCCNormalDoubleSpacing"/>
        <w:spacing w:after="240" w:line="240" w:lineRule="auto"/>
        <w:ind w:left="540" w:hanging="540"/>
        <w:rPr>
          <w:lang w:val="fr-CA"/>
        </w:rPr>
      </w:pPr>
      <w:r w:rsidRPr="00012961">
        <w:rPr>
          <w:i/>
          <w:lang w:val="fr-CA"/>
        </w:rPr>
        <w:t>Loi portant le Code de droit international privé</w:t>
      </w:r>
      <w:r w:rsidRPr="00342757">
        <w:rPr>
          <w:lang w:val="fr-CA"/>
        </w:rPr>
        <w:t xml:space="preserve"> (Belgique), art. 9.</w:t>
      </w:r>
    </w:p>
    <w:p w:rsidR="00AF6697" w:rsidRPr="00342757" w:rsidRDefault="00AF6697" w:rsidP="00AF6697">
      <w:pPr>
        <w:pStyle w:val="SCCNormalDoubleSpacing"/>
        <w:spacing w:after="240" w:line="240" w:lineRule="auto"/>
        <w:ind w:left="547" w:hanging="547"/>
        <w:rPr>
          <w:lang w:val="fr-CA"/>
        </w:rPr>
      </w:pPr>
      <w:r w:rsidRPr="00012961">
        <w:rPr>
          <w:i/>
          <w:lang w:val="fr-CA"/>
        </w:rPr>
        <w:t>Loi sur la compétence des tribunaux et le renvoi des instances</w:t>
      </w:r>
      <w:r w:rsidRPr="00342757">
        <w:rPr>
          <w:lang w:val="fr-CA"/>
        </w:rPr>
        <w:t>, L.S. 1997, c. C</w:t>
      </w:r>
      <w:r w:rsidRPr="00342757">
        <w:rPr>
          <w:lang w:val="fr-CA"/>
        </w:rPr>
        <w:noBreakHyphen/>
        <w:t>41.1.</w:t>
      </w:r>
    </w:p>
    <w:p w:rsidR="00AF6697" w:rsidRPr="00342757" w:rsidRDefault="00AF6697" w:rsidP="00AF6697">
      <w:pPr>
        <w:pStyle w:val="SCCNormalDoubleSpacing"/>
        <w:spacing w:after="240" w:line="240" w:lineRule="auto"/>
        <w:ind w:left="547" w:hanging="547"/>
        <w:rPr>
          <w:lang w:val="fr-CA"/>
        </w:rPr>
      </w:pPr>
      <w:r w:rsidRPr="00012961">
        <w:rPr>
          <w:i/>
          <w:lang w:val="fr-CA"/>
        </w:rPr>
        <w:t>Loi sur la compétence des tribunaux et le renvoi des instances</w:t>
      </w:r>
      <w:r w:rsidRPr="00342757">
        <w:rPr>
          <w:lang w:val="fr-CA"/>
        </w:rPr>
        <w:t>, L.Y. 2000, c. 7.</w:t>
      </w:r>
    </w:p>
    <w:p w:rsidR="00AF6697" w:rsidRPr="00342757" w:rsidRDefault="00AF6697" w:rsidP="00AF6697">
      <w:pPr>
        <w:pStyle w:val="SCCNormalDoubleSpacing"/>
        <w:spacing w:after="240" w:line="240" w:lineRule="auto"/>
        <w:ind w:left="540" w:hanging="540"/>
        <w:rPr>
          <w:lang w:val="fr-CA"/>
        </w:rPr>
      </w:pPr>
      <w:r w:rsidRPr="00012961">
        <w:rPr>
          <w:i/>
          <w:lang w:val="fr-CA"/>
        </w:rPr>
        <w:t>Loi sur le divorce</w:t>
      </w:r>
      <w:r w:rsidRPr="00342757">
        <w:rPr>
          <w:lang w:val="fr-CA"/>
        </w:rPr>
        <w:t>, L.R.C. 1985, c. 3 (2</w:t>
      </w:r>
      <w:r w:rsidRPr="00316520">
        <w:rPr>
          <w:vertAlign w:val="superscript"/>
          <w:lang w:val="fr-CA"/>
        </w:rPr>
        <w:t>e</w:t>
      </w:r>
      <w:r w:rsidRPr="00342757">
        <w:rPr>
          <w:lang w:val="fr-CA"/>
        </w:rPr>
        <w:t xml:space="preserve"> suppl.), art. 22.</w:t>
      </w:r>
    </w:p>
    <w:p w:rsidR="00AF6697" w:rsidRPr="00342757" w:rsidRDefault="00AF6697" w:rsidP="00AF6697">
      <w:pPr>
        <w:pStyle w:val="SCCNormalDoubleSpacing"/>
        <w:spacing w:after="720" w:line="240" w:lineRule="auto"/>
        <w:ind w:left="539" w:hanging="539"/>
        <w:rPr>
          <w:lang w:val="fr-CA"/>
        </w:rPr>
      </w:pPr>
      <w:r w:rsidRPr="00012961">
        <w:rPr>
          <w:i/>
          <w:lang w:val="fr-CA"/>
        </w:rPr>
        <w:t>Règles de procédure civile</w:t>
      </w:r>
      <w:r w:rsidRPr="00342757">
        <w:rPr>
          <w:lang w:val="fr-CA"/>
        </w:rPr>
        <w:t xml:space="preserve">, R.R.O. 1990, Règl. </w:t>
      </w:r>
      <w:r w:rsidR="0004711F">
        <w:rPr>
          <w:lang w:val="fr-CA"/>
        </w:rPr>
        <w:t>194, règle</w:t>
      </w:r>
      <w:r w:rsidRPr="00342757">
        <w:rPr>
          <w:lang w:val="fr-CA"/>
        </w:rPr>
        <w:t xml:space="preserve"> 17.02. </w:t>
      </w:r>
    </w:p>
    <w:p w:rsidR="00AF6697" w:rsidRPr="00012961" w:rsidRDefault="00AF6697" w:rsidP="00AF6697">
      <w:pPr>
        <w:pStyle w:val="SCCNormalDoubleSpacing"/>
        <w:spacing w:after="720" w:line="240" w:lineRule="auto"/>
        <w:rPr>
          <w:b/>
          <w:lang w:val="fr-CA"/>
        </w:rPr>
      </w:pPr>
      <w:r w:rsidRPr="00012961">
        <w:rPr>
          <w:b/>
          <w:lang w:val="fr-CA"/>
        </w:rPr>
        <w:t>Traités et autres instruments internationaux</w:t>
      </w:r>
    </w:p>
    <w:p w:rsidR="0004711F" w:rsidRPr="00342757" w:rsidRDefault="0004711F" w:rsidP="00A50BA1">
      <w:pPr>
        <w:pStyle w:val="SCCNormalDoubleSpacing"/>
        <w:spacing w:after="240" w:line="240" w:lineRule="auto"/>
        <w:ind w:left="547" w:hanging="547"/>
        <w:rPr>
          <w:lang w:val="fr-CA"/>
        </w:rPr>
      </w:pPr>
      <w:r w:rsidRPr="00012961">
        <w:rPr>
          <w:i/>
          <w:lang w:val="fr-CA"/>
        </w:rPr>
        <w:t>Convention concernant la compétence judiciaire, la reconnaissance et l</w:t>
      </w:r>
      <w:r>
        <w:rPr>
          <w:i/>
          <w:lang w:val="fr-CA"/>
        </w:rPr>
        <w:t>’</w:t>
      </w:r>
      <w:r w:rsidRPr="00012961">
        <w:rPr>
          <w:i/>
          <w:lang w:val="fr-CA"/>
        </w:rPr>
        <w:t>exécution des décision</w:t>
      </w:r>
      <w:r>
        <w:rPr>
          <w:i/>
          <w:lang w:val="fr-CA"/>
        </w:rPr>
        <w:t>s</w:t>
      </w:r>
      <w:r w:rsidRPr="00012961">
        <w:rPr>
          <w:i/>
          <w:lang w:val="fr-CA"/>
        </w:rPr>
        <w:t xml:space="preserve"> en matière civile et commerciale</w:t>
      </w:r>
      <w:r w:rsidRPr="00342757">
        <w:rPr>
          <w:lang w:val="fr-CA"/>
        </w:rPr>
        <w:t>, Journal officiel de l</w:t>
      </w:r>
      <w:r>
        <w:rPr>
          <w:lang w:val="fr-CA"/>
        </w:rPr>
        <w:t>’</w:t>
      </w:r>
      <w:r w:rsidRPr="00342757">
        <w:rPr>
          <w:lang w:val="fr-CA"/>
        </w:rPr>
        <w:t xml:space="preserve">Union européenne, </w:t>
      </w:r>
      <w:r w:rsidR="008A0C8C">
        <w:rPr>
          <w:lang w:val="fr-CA"/>
        </w:rPr>
        <w:t>2007</w:t>
      </w:r>
      <w:r w:rsidRPr="00342757">
        <w:rPr>
          <w:lang w:val="fr-CA"/>
        </w:rPr>
        <w:t>, L 339</w:t>
      </w:r>
      <w:r w:rsidR="008A0C8C">
        <w:rPr>
          <w:lang w:val="fr-CA"/>
        </w:rPr>
        <w:t>, art. 6(1)</w:t>
      </w:r>
      <w:r w:rsidRPr="00342757">
        <w:rPr>
          <w:lang w:val="fr-CA"/>
        </w:rPr>
        <w:t>.</w:t>
      </w:r>
    </w:p>
    <w:p w:rsidR="00AF6697" w:rsidRPr="00342757" w:rsidRDefault="00AF6697" w:rsidP="00AF6697">
      <w:pPr>
        <w:pStyle w:val="SCCNormalDoubleSpacing"/>
        <w:spacing w:after="720" w:line="240" w:lineRule="auto"/>
        <w:ind w:left="547" w:hanging="547"/>
        <w:rPr>
          <w:lang w:val="fr-CA"/>
        </w:rPr>
      </w:pPr>
      <w:r w:rsidRPr="009932FC">
        <w:rPr>
          <w:i/>
          <w:lang w:val="fr-CA"/>
        </w:rPr>
        <w:t>Convention sur les accords d</w:t>
      </w:r>
      <w:r>
        <w:rPr>
          <w:i/>
          <w:lang w:val="fr-CA"/>
        </w:rPr>
        <w:t>’</w:t>
      </w:r>
      <w:r w:rsidR="008A0C8C">
        <w:rPr>
          <w:i/>
          <w:lang w:val="fr-CA"/>
        </w:rPr>
        <w:t>élection</w:t>
      </w:r>
      <w:r w:rsidRPr="009932FC">
        <w:rPr>
          <w:i/>
          <w:lang w:val="fr-CA"/>
        </w:rPr>
        <w:t xml:space="preserve"> de for</w:t>
      </w:r>
      <w:r w:rsidRPr="00342757">
        <w:rPr>
          <w:lang w:val="fr-CA"/>
        </w:rPr>
        <w:t xml:space="preserve">, </w:t>
      </w:r>
      <w:r w:rsidR="008A0C8C">
        <w:rPr>
          <w:lang w:val="fr-CA"/>
        </w:rPr>
        <w:t xml:space="preserve">Convention de La Haye </w:t>
      </w:r>
      <w:r w:rsidRPr="00342757">
        <w:rPr>
          <w:lang w:val="fr-CA"/>
        </w:rPr>
        <w:t>conclue le 30</w:t>
      </w:r>
      <w:r>
        <w:rPr>
          <w:lang w:val="fr-CA"/>
        </w:rPr>
        <w:t> </w:t>
      </w:r>
      <w:r w:rsidRPr="00342757">
        <w:rPr>
          <w:lang w:val="fr-CA"/>
        </w:rPr>
        <w:t>juin 2005</w:t>
      </w:r>
      <w:r w:rsidR="008A0C8C">
        <w:rPr>
          <w:lang w:val="fr-CA"/>
        </w:rPr>
        <w:t>, art. 11</w:t>
      </w:r>
      <w:r w:rsidRPr="00342757">
        <w:rPr>
          <w:lang w:val="fr-CA"/>
        </w:rPr>
        <w:t xml:space="preserve">. </w:t>
      </w:r>
    </w:p>
    <w:p w:rsidR="00AF6697" w:rsidRPr="00012961" w:rsidRDefault="00AF6697" w:rsidP="00AF6697">
      <w:pPr>
        <w:pStyle w:val="SCCNormalDoubleSpacing"/>
        <w:spacing w:after="720" w:line="240" w:lineRule="auto"/>
        <w:rPr>
          <w:b/>
          <w:lang w:val="fr-CA"/>
        </w:rPr>
      </w:pPr>
      <w:r w:rsidRPr="00012961">
        <w:rPr>
          <w:b/>
          <w:lang w:val="fr-CA"/>
        </w:rPr>
        <w:t>Doctrine et autres documents cités</w:t>
      </w:r>
    </w:p>
    <w:p w:rsidR="00AF6697" w:rsidRDefault="00AF6697" w:rsidP="00AF6697">
      <w:pPr>
        <w:pStyle w:val="SCCNormalDoubleSpacing"/>
        <w:spacing w:after="240" w:line="240" w:lineRule="auto"/>
        <w:ind w:left="540" w:hanging="540"/>
        <w:rPr>
          <w:lang w:val="fr-CA"/>
        </w:rPr>
      </w:pPr>
      <w:r w:rsidRPr="00342757">
        <w:rPr>
          <w:lang w:val="fr-CA"/>
        </w:rPr>
        <w:t>Castel, Jean</w:t>
      </w:r>
      <w:r w:rsidRPr="00342757">
        <w:rPr>
          <w:lang w:val="fr-CA"/>
        </w:rPr>
        <w:noBreakHyphen/>
        <w:t xml:space="preserve">Gabriel. « La preuve de la loi étrangère et des actes publics étrangers au Québec » (1972), 32 </w:t>
      </w:r>
      <w:r w:rsidRPr="00AB4CDA">
        <w:rPr>
          <w:i/>
          <w:lang w:val="fr-CA"/>
        </w:rPr>
        <w:t>R. du B.</w:t>
      </w:r>
      <w:r w:rsidRPr="00342757">
        <w:rPr>
          <w:lang w:val="fr-CA"/>
        </w:rPr>
        <w:t xml:space="preserve"> 338.</w:t>
      </w:r>
    </w:p>
    <w:p w:rsidR="00D96F5D" w:rsidRPr="00342757" w:rsidRDefault="00D96F5D" w:rsidP="00D96F5D">
      <w:pPr>
        <w:pStyle w:val="SCCNormalDoubleSpacing"/>
        <w:spacing w:after="240" w:line="240" w:lineRule="auto"/>
        <w:ind w:left="540" w:hanging="540"/>
        <w:rPr>
          <w:lang w:val="fr-CA"/>
        </w:rPr>
      </w:pPr>
      <w:r w:rsidRPr="00342757">
        <w:rPr>
          <w:lang w:val="fr-CA"/>
        </w:rPr>
        <w:lastRenderedPageBreak/>
        <w:t xml:space="preserve">Chamberland, Luc, dir. </w:t>
      </w:r>
      <w:r w:rsidRPr="00316520">
        <w:rPr>
          <w:i/>
          <w:lang w:val="fr-CA"/>
        </w:rPr>
        <w:t>Le grand collectif</w:t>
      </w:r>
      <w:r w:rsidRPr="00342757">
        <w:rPr>
          <w:lang w:val="fr-CA"/>
        </w:rPr>
        <w:t> </w:t>
      </w:r>
      <w:r w:rsidRPr="006362C1">
        <w:rPr>
          <w:i/>
          <w:lang w:val="fr-CA"/>
        </w:rPr>
        <w:t xml:space="preserve">: </w:t>
      </w:r>
      <w:r w:rsidRPr="00AB4CDA">
        <w:rPr>
          <w:i/>
          <w:lang w:val="fr-CA"/>
        </w:rPr>
        <w:t>Code de procédure civile — Commentaires et annotations</w:t>
      </w:r>
      <w:r w:rsidRPr="00342757">
        <w:rPr>
          <w:lang w:val="fr-CA"/>
        </w:rPr>
        <w:t>, 2</w:t>
      </w:r>
      <w:r w:rsidRPr="003A194E">
        <w:rPr>
          <w:vertAlign w:val="superscript"/>
          <w:lang w:val="fr-CA"/>
        </w:rPr>
        <w:t>e</w:t>
      </w:r>
      <w:r w:rsidRPr="00342757">
        <w:rPr>
          <w:lang w:val="fr-CA"/>
        </w:rPr>
        <w:t xml:space="preserve"> éd., Montréal, Yvon Blais, 2017. </w:t>
      </w:r>
    </w:p>
    <w:p w:rsidR="005B2620" w:rsidRPr="005B2620" w:rsidRDefault="005B2620" w:rsidP="005B2620">
      <w:pPr>
        <w:pStyle w:val="SCCNormalDoubleSpacing"/>
        <w:spacing w:after="240" w:line="240" w:lineRule="auto"/>
        <w:ind w:left="547" w:hanging="547"/>
        <w:rPr>
          <w:lang w:val="fr-CA"/>
        </w:rPr>
      </w:pPr>
      <w:r w:rsidRPr="005B2620">
        <w:rPr>
          <w:color w:val="000000"/>
          <w:lang w:val="fr-CA"/>
        </w:rPr>
        <w:t xml:space="preserve">Conférence pour l’harmonisation des lois au Canada. </w:t>
      </w:r>
      <w:r w:rsidRPr="005B2620">
        <w:rPr>
          <w:i/>
          <w:iCs/>
          <w:color w:val="000000"/>
          <w:lang w:val="fr-CA"/>
        </w:rPr>
        <w:t>Loi uniforme sur la compétence des tribunaux et le renvoi des instances</w:t>
      </w:r>
      <w:r w:rsidRPr="005B2620">
        <w:rPr>
          <w:lang w:val="fr-CA"/>
        </w:rPr>
        <w:t xml:space="preserve"> </w:t>
      </w:r>
      <w:r w:rsidR="005D2C55">
        <w:rPr>
          <w:lang w:val="fr-CA"/>
        </w:rPr>
        <w:t>(en ligne</w:t>
      </w:r>
      <w:r w:rsidRPr="005B2620">
        <w:rPr>
          <w:lang w:val="fr-CA"/>
        </w:rPr>
        <w:t>; version archivée</w:t>
      </w:r>
      <w:r w:rsidR="005D2C55">
        <w:rPr>
          <w:lang w:val="fr-CA"/>
        </w:rPr>
        <w:t> </w:t>
      </w:r>
      <w:r w:rsidRPr="005B2620">
        <w:rPr>
          <w:lang w:val="fr-CA"/>
        </w:rPr>
        <w:t xml:space="preserve">: </w:t>
      </w:r>
      <w:hyperlink r:id="rId10" w:history="1">
        <w:r w:rsidRPr="005B2620">
          <w:rPr>
            <w:rStyle w:val="Hyperlink"/>
            <w:color w:val="auto"/>
            <w:u w:val="none"/>
            <w:lang w:val="fr-CA"/>
          </w:rPr>
          <w:t>https://www.scc-csc.ca/cso-dce/2019SCC-CSC13_1_fra.pdf</w:t>
        </w:r>
      </w:hyperlink>
      <w:r w:rsidRPr="005B2620">
        <w:rPr>
          <w:lang w:val="fr-CA"/>
        </w:rPr>
        <w:t>).</w:t>
      </w:r>
    </w:p>
    <w:p w:rsidR="00AF6697" w:rsidRPr="00342757" w:rsidRDefault="00AF6697" w:rsidP="00AF6697">
      <w:pPr>
        <w:pStyle w:val="SCCNormalDoubleSpacing"/>
        <w:spacing w:after="240" w:line="240" w:lineRule="auto"/>
        <w:ind w:left="540" w:hanging="540"/>
        <w:rPr>
          <w:lang w:val="fr-CA"/>
        </w:rPr>
      </w:pPr>
      <w:r w:rsidRPr="00342757">
        <w:rPr>
          <w:lang w:val="fr-CA"/>
        </w:rPr>
        <w:t xml:space="preserve">Ducharme, Léo. </w:t>
      </w:r>
      <w:r w:rsidRPr="00AB4CDA">
        <w:rPr>
          <w:i/>
          <w:lang w:val="fr-CA"/>
        </w:rPr>
        <w:t>Précis de la preuve</w:t>
      </w:r>
      <w:r w:rsidRPr="00342757">
        <w:rPr>
          <w:lang w:val="fr-CA"/>
        </w:rPr>
        <w:t>, 6</w:t>
      </w:r>
      <w:r w:rsidRPr="003A194E">
        <w:rPr>
          <w:vertAlign w:val="superscript"/>
          <w:lang w:val="fr-CA"/>
        </w:rPr>
        <w:t>e</w:t>
      </w:r>
      <w:r w:rsidRPr="00342757">
        <w:rPr>
          <w:lang w:val="fr-CA"/>
        </w:rPr>
        <w:t xml:space="preserve"> éd., Montréal, Wilson &amp; Lafleur, 2005. </w:t>
      </w:r>
    </w:p>
    <w:p w:rsidR="00AF6697" w:rsidRPr="00342757" w:rsidRDefault="00AF6697" w:rsidP="00AF6697">
      <w:pPr>
        <w:pStyle w:val="SCCNormalDoubleSpacing"/>
        <w:spacing w:after="240" w:line="240" w:lineRule="auto"/>
        <w:ind w:left="540" w:hanging="540"/>
        <w:rPr>
          <w:lang w:val="fr-CA"/>
        </w:rPr>
      </w:pPr>
      <w:r w:rsidRPr="00342757">
        <w:rPr>
          <w:lang w:val="fr-CA"/>
        </w:rPr>
        <w:t xml:space="preserve">Emanuelli, Claude. </w:t>
      </w:r>
      <w:r w:rsidRPr="00AB4CDA">
        <w:rPr>
          <w:i/>
          <w:lang w:val="fr-CA"/>
        </w:rPr>
        <w:t>Droit international privé québécois</w:t>
      </w:r>
      <w:r w:rsidR="00316520">
        <w:rPr>
          <w:lang w:val="fr-CA"/>
        </w:rPr>
        <w:t>, 1</w:t>
      </w:r>
      <w:r w:rsidRPr="00316520">
        <w:rPr>
          <w:vertAlign w:val="superscript"/>
          <w:lang w:val="fr-CA"/>
        </w:rPr>
        <w:t>re</w:t>
      </w:r>
      <w:r w:rsidRPr="00342757">
        <w:rPr>
          <w:lang w:val="fr-CA"/>
        </w:rPr>
        <w:t xml:space="preserve"> éd., Montréal, Wilson &amp; Lafleur, 2001.</w:t>
      </w:r>
    </w:p>
    <w:p w:rsidR="00AF6697" w:rsidRPr="00342757" w:rsidRDefault="00AF6697" w:rsidP="00AF6697">
      <w:pPr>
        <w:pStyle w:val="SCCNormalDoubleSpacing"/>
        <w:spacing w:after="240" w:line="240" w:lineRule="auto"/>
        <w:ind w:left="540" w:hanging="540"/>
        <w:rPr>
          <w:lang w:val="fr-CA"/>
        </w:rPr>
      </w:pPr>
      <w:r w:rsidRPr="00342757">
        <w:rPr>
          <w:lang w:val="fr-CA"/>
        </w:rPr>
        <w:t xml:space="preserve">Emanuelli, Claude. </w:t>
      </w:r>
      <w:r w:rsidRPr="00AB4CDA">
        <w:rPr>
          <w:i/>
          <w:lang w:val="fr-CA"/>
        </w:rPr>
        <w:t>Droit international privé québécois</w:t>
      </w:r>
      <w:r w:rsidRPr="00342757">
        <w:rPr>
          <w:lang w:val="fr-CA"/>
        </w:rPr>
        <w:t>, 3</w:t>
      </w:r>
      <w:r w:rsidRPr="00316520">
        <w:rPr>
          <w:vertAlign w:val="superscript"/>
          <w:lang w:val="fr-CA"/>
        </w:rPr>
        <w:t>e</w:t>
      </w:r>
      <w:r w:rsidRPr="00342757">
        <w:rPr>
          <w:lang w:val="fr-CA"/>
        </w:rPr>
        <w:t xml:space="preserve"> éd., Montréal, Wilson &amp; Lafleur, 2011.</w:t>
      </w:r>
    </w:p>
    <w:p w:rsidR="00AF6697" w:rsidRPr="00342757" w:rsidRDefault="00AF6697" w:rsidP="00AF6697">
      <w:pPr>
        <w:pStyle w:val="SCCNormalDoubleSpacing"/>
        <w:spacing w:after="240" w:line="240" w:lineRule="auto"/>
        <w:ind w:left="540" w:hanging="540"/>
        <w:rPr>
          <w:lang w:val="fr-CA"/>
        </w:rPr>
      </w:pPr>
      <w:r w:rsidRPr="00342757">
        <w:rPr>
          <w:lang w:val="fr-CA"/>
        </w:rPr>
        <w:t xml:space="preserve">Ferland, Denis, et Benoît Emery. </w:t>
      </w:r>
      <w:r w:rsidRPr="00AB4CDA">
        <w:rPr>
          <w:i/>
          <w:lang w:val="fr-CA"/>
        </w:rPr>
        <w:t>Précis de procédure civile du Québec</w:t>
      </w:r>
      <w:r w:rsidRPr="00342757">
        <w:rPr>
          <w:lang w:val="fr-CA"/>
        </w:rPr>
        <w:t>, vol. 1, 4</w:t>
      </w:r>
      <w:r w:rsidRPr="00316520">
        <w:rPr>
          <w:vertAlign w:val="superscript"/>
          <w:lang w:val="fr-CA"/>
        </w:rPr>
        <w:t>e</w:t>
      </w:r>
      <w:r w:rsidRPr="00342757">
        <w:rPr>
          <w:lang w:val="fr-CA"/>
        </w:rPr>
        <w:t xml:space="preserve"> éd., Cowansville (Qc), Yvon Blais, 2003.</w:t>
      </w:r>
    </w:p>
    <w:p w:rsidR="00AF6697" w:rsidRPr="00342757" w:rsidRDefault="00AF6697" w:rsidP="00AF6697">
      <w:pPr>
        <w:pStyle w:val="SCCNormalDoubleSpacing"/>
        <w:spacing w:after="240" w:line="240" w:lineRule="auto"/>
        <w:ind w:left="540" w:hanging="540"/>
        <w:rPr>
          <w:lang w:val="fr-CA"/>
        </w:rPr>
      </w:pPr>
      <w:r w:rsidRPr="00342757">
        <w:rPr>
          <w:lang w:val="fr-CA"/>
        </w:rPr>
        <w:t>Ferland, Patrick, et Guillaume Laganière. « Le droit international privé », dans Collection de droit de l</w:t>
      </w:r>
      <w:r>
        <w:rPr>
          <w:lang w:val="fr-CA"/>
        </w:rPr>
        <w:t>’</w:t>
      </w:r>
      <w:r w:rsidRPr="00342757">
        <w:rPr>
          <w:lang w:val="fr-CA"/>
        </w:rPr>
        <w:t>École du Barreau du Québec 2017</w:t>
      </w:r>
      <w:r w:rsidRPr="00342757">
        <w:rPr>
          <w:lang w:val="fr-CA"/>
        </w:rPr>
        <w:noBreakHyphen/>
        <w:t xml:space="preserve">2018, vol. 7, </w:t>
      </w:r>
      <w:r w:rsidRPr="00AB4CDA">
        <w:rPr>
          <w:i/>
          <w:lang w:val="fr-CA"/>
        </w:rPr>
        <w:t>Contrats, sûretés, publicité des droits et droit international privé</w:t>
      </w:r>
      <w:r w:rsidRPr="00342757">
        <w:rPr>
          <w:lang w:val="fr-CA"/>
        </w:rPr>
        <w:t xml:space="preserve">, </w:t>
      </w:r>
      <w:r w:rsidR="00316520">
        <w:rPr>
          <w:lang w:val="fr-CA"/>
        </w:rPr>
        <w:t xml:space="preserve">Québec, Yvon Blais, </w:t>
      </w:r>
      <w:r w:rsidR="00D96F5D">
        <w:rPr>
          <w:lang w:val="fr-CA"/>
        </w:rPr>
        <w:t xml:space="preserve">2017, </w:t>
      </w:r>
      <w:r w:rsidRPr="00342757">
        <w:rPr>
          <w:lang w:val="fr-CA"/>
        </w:rPr>
        <w:t>253.</w:t>
      </w:r>
    </w:p>
    <w:p w:rsidR="00AF6697" w:rsidRPr="00342757" w:rsidRDefault="00AF6697" w:rsidP="00AF6697">
      <w:pPr>
        <w:pStyle w:val="SCCNormalDoubleSpacing"/>
        <w:spacing w:after="240" w:line="240" w:lineRule="auto"/>
        <w:ind w:left="540" w:hanging="540"/>
        <w:rPr>
          <w:lang w:val="fr-CA"/>
        </w:rPr>
      </w:pPr>
      <w:r w:rsidRPr="00342757">
        <w:rPr>
          <w:lang w:val="fr-CA"/>
        </w:rPr>
        <w:t>Gaudet, Serge, et Patrick Ferland. « Le droit international privé », dans Collection de droit</w:t>
      </w:r>
      <w:r w:rsidR="006362C1">
        <w:rPr>
          <w:lang w:val="fr-CA"/>
        </w:rPr>
        <w:t xml:space="preserve"> de l’École du Barreau du Québec</w:t>
      </w:r>
      <w:r w:rsidRPr="00342757">
        <w:rPr>
          <w:lang w:val="fr-CA"/>
        </w:rPr>
        <w:t xml:space="preserve"> 2015</w:t>
      </w:r>
      <w:r w:rsidRPr="00342757">
        <w:rPr>
          <w:lang w:val="fr-CA"/>
        </w:rPr>
        <w:noBreakHyphen/>
        <w:t xml:space="preserve">2016, vol. 6, </w:t>
      </w:r>
      <w:r w:rsidRPr="00AB4CDA">
        <w:rPr>
          <w:i/>
          <w:lang w:val="fr-CA"/>
        </w:rPr>
        <w:t>Contrats, sûretés, publicité des droits et droit international privé</w:t>
      </w:r>
      <w:r w:rsidR="006F4B1A">
        <w:rPr>
          <w:lang w:val="fr-CA"/>
        </w:rPr>
        <w:t>,</w:t>
      </w:r>
      <w:r w:rsidRPr="00342757">
        <w:rPr>
          <w:lang w:val="fr-CA"/>
        </w:rPr>
        <w:t xml:space="preserve"> Cowansvil</w:t>
      </w:r>
      <w:r w:rsidR="006362C1">
        <w:rPr>
          <w:lang w:val="fr-CA"/>
        </w:rPr>
        <w:t>l</w:t>
      </w:r>
      <w:r w:rsidRPr="00342757">
        <w:rPr>
          <w:lang w:val="fr-CA"/>
        </w:rPr>
        <w:t>e (Qc), Yvon Blais, 2015.</w:t>
      </w:r>
    </w:p>
    <w:p w:rsidR="008A0C8C" w:rsidRDefault="008A0C8C" w:rsidP="008A0C8C">
      <w:pPr>
        <w:pStyle w:val="SCCNormalDoubleSpacing"/>
        <w:spacing w:after="240" w:line="240" w:lineRule="auto"/>
        <w:ind w:left="540" w:hanging="540"/>
        <w:rPr>
          <w:lang w:val="fr-CA"/>
        </w:rPr>
      </w:pPr>
      <w:r>
        <w:rPr>
          <w:lang w:val="fr-CA"/>
        </w:rPr>
        <w:t>Glenn, H. Patrick.</w:t>
      </w:r>
      <w:r w:rsidRPr="00342757">
        <w:rPr>
          <w:lang w:val="fr-CA"/>
        </w:rPr>
        <w:t xml:space="preserve"> « Droit international privé », dans </w:t>
      </w:r>
      <w:r>
        <w:rPr>
          <w:i/>
          <w:lang w:val="fr-CA"/>
        </w:rPr>
        <w:t>La réforme du Code c</w:t>
      </w:r>
      <w:r w:rsidRPr="00AB4CDA">
        <w:rPr>
          <w:i/>
          <w:lang w:val="fr-CA"/>
        </w:rPr>
        <w:t>ivil</w:t>
      </w:r>
      <w:r w:rsidRPr="00342757">
        <w:rPr>
          <w:lang w:val="fr-CA"/>
        </w:rPr>
        <w:t xml:space="preserve">, </w:t>
      </w:r>
      <w:r w:rsidR="006362C1">
        <w:rPr>
          <w:lang w:val="fr-CA"/>
        </w:rPr>
        <w:t>t</w:t>
      </w:r>
      <w:r w:rsidRPr="00342757">
        <w:rPr>
          <w:lang w:val="fr-CA"/>
        </w:rPr>
        <w:t xml:space="preserve">. 3, </w:t>
      </w:r>
      <w:r w:rsidRPr="00AB4CDA">
        <w:rPr>
          <w:i/>
          <w:lang w:val="fr-CA"/>
        </w:rPr>
        <w:t>Priorités et hypothèques, preuve et prescription, publicité des droits, droit international privé, dispositions transitoires</w:t>
      </w:r>
      <w:r>
        <w:rPr>
          <w:lang w:val="fr-CA"/>
        </w:rPr>
        <w:t>,</w:t>
      </w:r>
      <w:r w:rsidRPr="00342757">
        <w:rPr>
          <w:lang w:val="fr-CA"/>
        </w:rPr>
        <w:t xml:space="preserve"> Québec, Presse</w:t>
      </w:r>
      <w:r>
        <w:rPr>
          <w:lang w:val="fr-CA"/>
        </w:rPr>
        <w:t>s</w:t>
      </w:r>
      <w:r w:rsidRPr="00342757">
        <w:rPr>
          <w:lang w:val="fr-CA"/>
        </w:rPr>
        <w:t xml:space="preserve"> de l</w:t>
      </w:r>
      <w:r>
        <w:rPr>
          <w:lang w:val="fr-CA"/>
        </w:rPr>
        <w:t>’</w:t>
      </w:r>
      <w:r w:rsidRPr="00342757">
        <w:rPr>
          <w:lang w:val="fr-CA"/>
        </w:rPr>
        <w:t>Université Laval, 1993</w:t>
      </w:r>
      <w:r>
        <w:rPr>
          <w:lang w:val="fr-CA"/>
        </w:rPr>
        <w:t>, 669</w:t>
      </w:r>
      <w:r w:rsidRPr="00342757">
        <w:rPr>
          <w:lang w:val="fr-CA"/>
        </w:rPr>
        <w:t xml:space="preserve">. </w:t>
      </w:r>
    </w:p>
    <w:p w:rsidR="00AF6697" w:rsidRPr="00342757" w:rsidRDefault="00AF6697" w:rsidP="00AF6697">
      <w:pPr>
        <w:pStyle w:val="SCCNormalDoubleSpacing"/>
        <w:spacing w:after="240" w:line="240" w:lineRule="auto"/>
        <w:ind w:left="540" w:hanging="540"/>
        <w:rPr>
          <w:lang w:val="fr-CA"/>
        </w:rPr>
      </w:pPr>
      <w:r>
        <w:rPr>
          <w:lang w:val="fr-CA"/>
        </w:rPr>
        <w:t>Glenn, H. </w:t>
      </w:r>
      <w:r w:rsidRPr="00342757">
        <w:rPr>
          <w:lang w:val="fr-CA"/>
        </w:rPr>
        <w:t xml:space="preserve">Patrick. « La compétence internationale et le fabricant étranger » (1985), 45 </w:t>
      </w:r>
      <w:r w:rsidR="00396FAA">
        <w:rPr>
          <w:i/>
          <w:lang w:val="fr-CA"/>
        </w:rPr>
        <w:t>R. du B.</w:t>
      </w:r>
      <w:r w:rsidRPr="00342757">
        <w:rPr>
          <w:lang w:val="fr-CA"/>
        </w:rPr>
        <w:t xml:space="preserve"> 567.</w:t>
      </w:r>
    </w:p>
    <w:p w:rsidR="00AF6697" w:rsidRPr="00342757" w:rsidRDefault="00AF6697" w:rsidP="00AF6697">
      <w:pPr>
        <w:pStyle w:val="SCCNormalDoubleSpacing"/>
        <w:spacing w:after="240" w:line="240" w:lineRule="auto"/>
        <w:ind w:left="540" w:hanging="540"/>
        <w:rPr>
          <w:lang w:val="fr-CA"/>
        </w:rPr>
      </w:pPr>
      <w:r w:rsidRPr="00684FCF">
        <w:rPr>
          <w:lang w:val="en-US"/>
        </w:rPr>
        <w:t xml:space="preserve">Glenn, H. Patrick. </w:t>
      </w:r>
      <w:r w:rsidRPr="006F4B1A">
        <w:rPr>
          <w:lang w:val="en-US"/>
        </w:rPr>
        <w:t xml:space="preserve">« Recognition of Foreign Judgments in Quebec » (1997), 28 </w:t>
      </w:r>
      <w:r w:rsidR="006F4B1A" w:rsidRPr="006F4B1A">
        <w:rPr>
          <w:i/>
          <w:lang w:val="en-US"/>
        </w:rPr>
        <w:t>Rev. c</w:t>
      </w:r>
      <w:r w:rsidR="00396FAA" w:rsidRPr="006F4B1A">
        <w:rPr>
          <w:i/>
          <w:lang w:val="en-US"/>
        </w:rPr>
        <w:t xml:space="preserve">an. </w:t>
      </w:r>
      <w:r w:rsidR="006F4B1A" w:rsidRPr="006F4B1A">
        <w:rPr>
          <w:i/>
          <w:lang w:val="en-US"/>
        </w:rPr>
        <w:t>d</w:t>
      </w:r>
      <w:r w:rsidR="00396FAA" w:rsidRPr="006F4B1A">
        <w:rPr>
          <w:i/>
          <w:lang w:val="en-US"/>
        </w:rPr>
        <w:t xml:space="preserve">r. </w:t>
      </w:r>
      <w:r w:rsidR="006F4B1A" w:rsidRPr="006F4B1A">
        <w:rPr>
          <w:i/>
          <w:lang w:val="en-US"/>
        </w:rPr>
        <w:t>c</w:t>
      </w:r>
      <w:r w:rsidRPr="006F4B1A">
        <w:rPr>
          <w:i/>
          <w:lang w:val="en-US"/>
        </w:rPr>
        <w:t>omm.</w:t>
      </w:r>
      <w:r w:rsidRPr="006F4B1A">
        <w:rPr>
          <w:lang w:val="en-US"/>
        </w:rPr>
        <w:t xml:space="preserve"> </w:t>
      </w:r>
      <w:r w:rsidRPr="00342757">
        <w:rPr>
          <w:lang w:val="fr-CA"/>
        </w:rPr>
        <w:t xml:space="preserve">404. </w:t>
      </w:r>
    </w:p>
    <w:p w:rsidR="00F72B86" w:rsidRDefault="00F72B86" w:rsidP="00F72B86">
      <w:pPr>
        <w:pStyle w:val="SCCNormalDoubleSpacing"/>
        <w:spacing w:after="240" w:line="240" w:lineRule="auto"/>
        <w:ind w:left="540" w:hanging="540"/>
        <w:rPr>
          <w:lang w:val="fr-CA"/>
        </w:rPr>
      </w:pPr>
      <w:r w:rsidRPr="00342757">
        <w:rPr>
          <w:lang w:val="fr-CA"/>
        </w:rPr>
        <w:t xml:space="preserve">Goldstein, Gérald. « Compétence internationale indirecte du tribunal étranger », dans </w:t>
      </w:r>
      <w:r w:rsidRPr="00396FAA">
        <w:rPr>
          <w:i/>
          <w:lang w:val="fr-CA"/>
        </w:rPr>
        <w:t>JurisClasseur Québec — Droit international privé</w:t>
      </w:r>
      <w:r w:rsidRPr="00342757">
        <w:rPr>
          <w:lang w:val="fr-CA"/>
        </w:rPr>
        <w:t>, par Pierre</w:t>
      </w:r>
      <w:r w:rsidRPr="00342757">
        <w:rPr>
          <w:lang w:val="fr-CA"/>
        </w:rPr>
        <w:noBreakHyphen/>
        <w:t>Claude Lafond, dir.</w:t>
      </w:r>
      <w:r>
        <w:rPr>
          <w:lang w:val="fr-CA"/>
        </w:rPr>
        <w:t>,</w:t>
      </w:r>
      <w:r w:rsidRPr="00342757">
        <w:rPr>
          <w:lang w:val="fr-CA"/>
        </w:rPr>
        <w:t xml:space="preserve"> Montréal, LexisNexis, 2012, fascicule 11 (feuilles mobiles mises à jour juin 2018, envoi n</w:t>
      </w:r>
      <w:r w:rsidRPr="00396FAA">
        <w:rPr>
          <w:vertAlign w:val="superscript"/>
          <w:lang w:val="fr-CA"/>
        </w:rPr>
        <w:t>o</w:t>
      </w:r>
      <w:r>
        <w:rPr>
          <w:lang w:val="fr-CA"/>
        </w:rPr>
        <w:t xml:space="preserve"> 10).</w:t>
      </w:r>
    </w:p>
    <w:p w:rsidR="00AF6697" w:rsidRPr="00342757" w:rsidRDefault="00AF6697" w:rsidP="00AF6697">
      <w:pPr>
        <w:pStyle w:val="SCCNormalDoubleSpacing"/>
        <w:spacing w:after="240" w:line="240" w:lineRule="auto"/>
        <w:ind w:left="540" w:hanging="540"/>
        <w:rPr>
          <w:lang w:val="fr-CA"/>
        </w:rPr>
      </w:pPr>
      <w:r w:rsidRPr="00342757">
        <w:rPr>
          <w:lang w:val="fr-CA"/>
        </w:rPr>
        <w:t xml:space="preserve">Goldstein, Gérald. </w:t>
      </w:r>
      <w:r w:rsidRPr="008A0C8C">
        <w:rPr>
          <w:i/>
          <w:lang w:val="fr-CA"/>
        </w:rPr>
        <w:t>Droit international privé</w:t>
      </w:r>
      <w:r w:rsidRPr="00342757">
        <w:rPr>
          <w:lang w:val="fr-CA"/>
        </w:rPr>
        <w:t xml:space="preserve">, vol. 2, </w:t>
      </w:r>
      <w:r w:rsidRPr="00AB4CDA">
        <w:rPr>
          <w:i/>
          <w:lang w:val="fr-CA"/>
        </w:rPr>
        <w:t>Compétence internationale des autorités québécoises et effets des décisions étrangères (Art. 3134 à 3168 C.c.Q.)</w:t>
      </w:r>
      <w:r w:rsidRPr="00342757">
        <w:rPr>
          <w:lang w:val="fr-CA"/>
        </w:rPr>
        <w:t>, dans coll. Commentaires su</w:t>
      </w:r>
      <w:r w:rsidR="006F4B1A">
        <w:rPr>
          <w:lang w:val="fr-CA"/>
        </w:rPr>
        <w:t>r le Code civil du Québec (DCQ),</w:t>
      </w:r>
      <w:r w:rsidRPr="00342757">
        <w:rPr>
          <w:lang w:val="fr-CA"/>
        </w:rPr>
        <w:t xml:space="preserve"> Cowansville (Qc), Yvon Blais, 2012.</w:t>
      </w:r>
    </w:p>
    <w:p w:rsidR="00AF6697" w:rsidRPr="00342757" w:rsidRDefault="00AF6697" w:rsidP="00AF6697">
      <w:pPr>
        <w:pStyle w:val="SCCNormalDoubleSpacing"/>
        <w:spacing w:after="240" w:line="240" w:lineRule="auto"/>
        <w:ind w:left="540" w:hanging="540"/>
        <w:rPr>
          <w:lang w:val="fr-CA"/>
        </w:rPr>
      </w:pPr>
      <w:r w:rsidRPr="00342757">
        <w:rPr>
          <w:lang w:val="fr-CA"/>
        </w:rPr>
        <w:t>Goldstein, Gérald. « Principes généraux et conditions générales de reconnaissance et d</w:t>
      </w:r>
      <w:r>
        <w:rPr>
          <w:lang w:val="fr-CA"/>
        </w:rPr>
        <w:t>’</w:t>
      </w:r>
      <w:r w:rsidRPr="00342757">
        <w:rPr>
          <w:lang w:val="fr-CA"/>
        </w:rPr>
        <w:t xml:space="preserve">exécution », dans </w:t>
      </w:r>
      <w:r>
        <w:rPr>
          <w:i/>
          <w:lang w:val="fr-CA"/>
        </w:rPr>
        <w:t xml:space="preserve">JurisClasseur Québec — </w:t>
      </w:r>
      <w:r w:rsidRPr="00AB4CDA">
        <w:rPr>
          <w:i/>
          <w:lang w:val="fr-CA"/>
        </w:rPr>
        <w:t>Droit international privé</w:t>
      </w:r>
      <w:r w:rsidRPr="00342757">
        <w:rPr>
          <w:lang w:val="fr-CA"/>
        </w:rPr>
        <w:t xml:space="preserve">, par </w:t>
      </w:r>
      <w:r w:rsidRPr="00342757">
        <w:rPr>
          <w:lang w:val="fr-CA"/>
        </w:rPr>
        <w:lastRenderedPageBreak/>
        <w:t>Pierre</w:t>
      </w:r>
      <w:r w:rsidRPr="00342757">
        <w:rPr>
          <w:lang w:val="fr-CA"/>
        </w:rPr>
        <w:noBreakHyphen/>
        <w:t>Claude Lafond, dir.</w:t>
      </w:r>
      <w:r w:rsidR="006F4B1A">
        <w:rPr>
          <w:lang w:val="fr-CA"/>
        </w:rPr>
        <w:t>,</w:t>
      </w:r>
      <w:r w:rsidRPr="00342757">
        <w:rPr>
          <w:lang w:val="fr-CA"/>
        </w:rPr>
        <w:t xml:space="preserve"> Montréal, LexisNexis, 2012, fascicule 10 (feuilles mobiles mises à jour juin 2018, envoi n</w:t>
      </w:r>
      <w:r w:rsidRPr="008B1B34">
        <w:rPr>
          <w:vertAlign w:val="superscript"/>
          <w:lang w:val="fr-CA"/>
        </w:rPr>
        <w:t xml:space="preserve">o </w:t>
      </w:r>
      <w:r w:rsidRPr="00342757">
        <w:rPr>
          <w:lang w:val="fr-CA"/>
        </w:rPr>
        <w:t>10).</w:t>
      </w:r>
    </w:p>
    <w:p w:rsidR="00AF6697" w:rsidRPr="00342757" w:rsidRDefault="00AF6697" w:rsidP="00AF6697">
      <w:pPr>
        <w:pStyle w:val="SCCNormalDoubleSpacing"/>
        <w:spacing w:after="240" w:line="240" w:lineRule="auto"/>
        <w:ind w:left="540" w:hanging="540"/>
        <w:rPr>
          <w:lang w:val="fr-CA"/>
        </w:rPr>
      </w:pPr>
      <w:r w:rsidRPr="00342757">
        <w:rPr>
          <w:lang w:val="fr-CA"/>
        </w:rPr>
        <w:t xml:space="preserve">Goldstein, Gérald, et Ethel Groffier. </w:t>
      </w:r>
      <w:r w:rsidRPr="00AB4CDA">
        <w:rPr>
          <w:i/>
          <w:lang w:val="fr-CA"/>
        </w:rPr>
        <w:t>Droit international privé</w:t>
      </w:r>
      <w:r w:rsidRPr="00342757">
        <w:rPr>
          <w:lang w:val="fr-CA"/>
        </w:rPr>
        <w:t xml:space="preserve">, t. I, </w:t>
      </w:r>
      <w:r w:rsidRPr="00AB4CDA">
        <w:rPr>
          <w:i/>
          <w:lang w:val="fr-CA"/>
        </w:rPr>
        <w:t>Théorie générale</w:t>
      </w:r>
      <w:r w:rsidR="008A0C8C">
        <w:rPr>
          <w:lang w:val="fr-CA"/>
        </w:rPr>
        <w:t>,</w:t>
      </w:r>
      <w:r w:rsidRPr="00342757">
        <w:rPr>
          <w:lang w:val="fr-CA"/>
        </w:rPr>
        <w:t xml:space="preserve"> Cowansville (Qc), Yvon Blais, 1998. </w:t>
      </w:r>
    </w:p>
    <w:p w:rsidR="00AF6697" w:rsidRPr="00342757" w:rsidRDefault="00AF6697" w:rsidP="00AF6697">
      <w:pPr>
        <w:pStyle w:val="SCCNormalDoubleSpacing"/>
        <w:spacing w:after="240" w:line="240" w:lineRule="auto"/>
        <w:ind w:left="540" w:hanging="540"/>
        <w:rPr>
          <w:lang w:val="fr-CA"/>
        </w:rPr>
      </w:pPr>
      <w:r w:rsidRPr="00342757">
        <w:rPr>
          <w:lang w:val="fr-CA"/>
        </w:rPr>
        <w:t xml:space="preserve">Goldstein, Gérald, et Ethel Groffier. </w:t>
      </w:r>
      <w:r w:rsidRPr="00AB4CDA">
        <w:rPr>
          <w:i/>
          <w:lang w:val="fr-CA"/>
        </w:rPr>
        <w:t>Droit international privé</w:t>
      </w:r>
      <w:r w:rsidRPr="00342757">
        <w:rPr>
          <w:lang w:val="fr-CA"/>
        </w:rPr>
        <w:t xml:space="preserve">, t. II, </w:t>
      </w:r>
      <w:r w:rsidRPr="00AB4CDA">
        <w:rPr>
          <w:i/>
          <w:lang w:val="fr-CA"/>
        </w:rPr>
        <w:t>Règles spécifiques</w:t>
      </w:r>
      <w:r w:rsidR="003A3B54">
        <w:rPr>
          <w:lang w:val="fr-CA"/>
        </w:rPr>
        <w:t>,</w:t>
      </w:r>
      <w:r w:rsidRPr="00342757">
        <w:rPr>
          <w:lang w:val="fr-CA"/>
        </w:rPr>
        <w:t xml:space="preserve"> Cowansville (Qc), Yvon Blais, 2003. </w:t>
      </w:r>
    </w:p>
    <w:p w:rsidR="00AF6697" w:rsidRPr="00342757" w:rsidRDefault="00AF6697" w:rsidP="00AF6697">
      <w:pPr>
        <w:pStyle w:val="SCCNormalDoubleSpacing"/>
        <w:spacing w:after="240" w:line="240" w:lineRule="auto"/>
        <w:ind w:left="540" w:hanging="540"/>
        <w:rPr>
          <w:lang w:val="fr-CA"/>
        </w:rPr>
      </w:pPr>
      <w:r w:rsidRPr="00342757">
        <w:rPr>
          <w:lang w:val="fr-CA"/>
        </w:rPr>
        <w:t xml:space="preserve">Goldstein, Gérald, et Jeffrey A. Talpis. </w:t>
      </w:r>
      <w:r w:rsidRPr="00AB4CDA">
        <w:rPr>
          <w:i/>
          <w:lang w:val="fr-CA"/>
        </w:rPr>
        <w:t>L</w:t>
      </w:r>
      <w:r>
        <w:rPr>
          <w:i/>
          <w:lang w:val="fr-CA"/>
        </w:rPr>
        <w:t>’</w:t>
      </w:r>
      <w:r w:rsidRPr="00AB4CDA">
        <w:rPr>
          <w:i/>
          <w:lang w:val="fr-CA"/>
        </w:rPr>
        <w:t>effet au Québec des jugements étrangers</w:t>
      </w:r>
      <w:r w:rsidR="00B66FA5">
        <w:rPr>
          <w:i/>
          <w:lang w:val="fr-CA"/>
        </w:rPr>
        <w:t xml:space="preserve"> </w:t>
      </w:r>
      <w:r w:rsidR="00B66FA5" w:rsidRPr="00CA4523">
        <w:rPr>
          <w:i/>
          <w:lang w:val="fr-CA"/>
        </w:rPr>
        <w:t>en matière de droits patrimoniaux</w:t>
      </w:r>
      <w:r w:rsidR="006F4B1A">
        <w:rPr>
          <w:lang w:val="fr-CA"/>
        </w:rPr>
        <w:t>,</w:t>
      </w:r>
      <w:r w:rsidR="00396FAA">
        <w:rPr>
          <w:lang w:val="fr-CA"/>
        </w:rPr>
        <w:t xml:space="preserve"> Montréal, Thé</w:t>
      </w:r>
      <w:r w:rsidRPr="00342757">
        <w:rPr>
          <w:lang w:val="fr-CA"/>
        </w:rPr>
        <w:t>mis, 1991.</w:t>
      </w:r>
    </w:p>
    <w:p w:rsidR="00AF6697" w:rsidRPr="00342757" w:rsidRDefault="00AF6697" w:rsidP="00AF6697">
      <w:pPr>
        <w:pStyle w:val="SCCNormalDoubleSpacing"/>
        <w:spacing w:after="240" w:line="240" w:lineRule="auto"/>
        <w:ind w:left="540" w:hanging="540"/>
        <w:rPr>
          <w:lang w:val="fr-CA"/>
        </w:rPr>
      </w:pPr>
      <w:r w:rsidRPr="00342757">
        <w:rPr>
          <w:lang w:val="fr-CA"/>
        </w:rPr>
        <w:t xml:space="preserve">Kélada, Henri. </w:t>
      </w:r>
      <w:r w:rsidRPr="00AB4CDA">
        <w:rPr>
          <w:i/>
          <w:lang w:val="fr-CA"/>
        </w:rPr>
        <w:t>Les conflits de compétence</w:t>
      </w:r>
      <w:r w:rsidR="003B24B1">
        <w:rPr>
          <w:i/>
          <w:lang w:val="fr-CA"/>
        </w:rPr>
        <w:t>s</w:t>
      </w:r>
      <w:r w:rsidRPr="00AB4CDA">
        <w:rPr>
          <w:i/>
          <w:lang w:val="fr-CA"/>
        </w:rPr>
        <w:t xml:space="preserve"> et la reconnaissance des jugements étrangers en droit international privé québécois</w:t>
      </w:r>
      <w:r w:rsidR="008A0C8C">
        <w:rPr>
          <w:lang w:val="fr-CA"/>
        </w:rPr>
        <w:t>,</w:t>
      </w:r>
      <w:r w:rsidR="00396FAA">
        <w:rPr>
          <w:lang w:val="fr-CA"/>
        </w:rPr>
        <w:t xml:space="preserve"> Co</w:t>
      </w:r>
      <w:r w:rsidR="003B24B1">
        <w:rPr>
          <w:lang w:val="fr-CA"/>
        </w:rPr>
        <w:t>wansv</w:t>
      </w:r>
      <w:r w:rsidRPr="00342757">
        <w:rPr>
          <w:lang w:val="fr-CA"/>
        </w:rPr>
        <w:t xml:space="preserve">ille (Qc), Yvon Blais, 2001. </w:t>
      </w:r>
    </w:p>
    <w:p w:rsidR="00AF6697" w:rsidRPr="00342757" w:rsidRDefault="00AF6697" w:rsidP="00AF6697">
      <w:pPr>
        <w:pStyle w:val="SCCNormalDoubleSpacing"/>
        <w:spacing w:after="240" w:line="240" w:lineRule="auto"/>
        <w:ind w:left="540" w:hanging="540"/>
        <w:rPr>
          <w:lang w:val="fr-CA"/>
        </w:rPr>
      </w:pPr>
      <w:r w:rsidRPr="00342757">
        <w:rPr>
          <w:lang w:val="fr-CA"/>
        </w:rPr>
        <w:t xml:space="preserve">Kélada, Henri. </w:t>
      </w:r>
      <w:r w:rsidRPr="00AB4CDA">
        <w:rPr>
          <w:i/>
          <w:lang w:val="fr-CA"/>
        </w:rPr>
        <w:t>Les incidents</w:t>
      </w:r>
      <w:r w:rsidRPr="00342757">
        <w:rPr>
          <w:lang w:val="fr-CA"/>
        </w:rPr>
        <w:t>, 2</w:t>
      </w:r>
      <w:r w:rsidRPr="00396FAA">
        <w:rPr>
          <w:vertAlign w:val="superscript"/>
          <w:lang w:val="fr-CA"/>
        </w:rPr>
        <w:t>e</w:t>
      </w:r>
      <w:r w:rsidRPr="00342757">
        <w:rPr>
          <w:lang w:val="fr-CA"/>
        </w:rPr>
        <w:t xml:space="preserve"> éd., Cowansville (Qc), Yvon Blais, 2003.</w:t>
      </w:r>
    </w:p>
    <w:p w:rsidR="00AF6697" w:rsidRPr="006F4B1A" w:rsidRDefault="00AF6697" w:rsidP="00AF6697">
      <w:pPr>
        <w:pStyle w:val="SCCNormalDoubleSpacing"/>
        <w:spacing w:after="240" w:line="240" w:lineRule="auto"/>
        <w:ind w:left="540" w:hanging="540"/>
        <w:rPr>
          <w:lang w:val="fr-CA"/>
        </w:rPr>
      </w:pPr>
      <w:r w:rsidRPr="00342757">
        <w:rPr>
          <w:lang w:val="fr-CA"/>
        </w:rPr>
        <w:t xml:space="preserve">Kélada, Henri. </w:t>
      </w:r>
      <w:r w:rsidRPr="00AB4CDA">
        <w:rPr>
          <w:i/>
          <w:lang w:val="fr-CA"/>
        </w:rPr>
        <w:t>Reconnaissance et exécution des jugements étrangers</w:t>
      </w:r>
      <w:r w:rsidR="006F4B1A">
        <w:rPr>
          <w:lang w:val="fr-CA"/>
        </w:rPr>
        <w:t>,</w:t>
      </w:r>
      <w:r w:rsidRPr="00342757">
        <w:rPr>
          <w:lang w:val="fr-CA"/>
        </w:rPr>
        <w:t xml:space="preserve"> </w:t>
      </w:r>
      <w:r w:rsidRPr="006F4B1A">
        <w:rPr>
          <w:lang w:val="fr-CA"/>
        </w:rPr>
        <w:t>Cowansville (Qc), Yvon Blais, 2013.</w:t>
      </w:r>
    </w:p>
    <w:p w:rsidR="00AF6697" w:rsidRPr="00342757" w:rsidRDefault="00AF6697" w:rsidP="00AF6697">
      <w:pPr>
        <w:pStyle w:val="SCCNormalDoubleSpacing"/>
        <w:spacing w:after="240" w:line="240" w:lineRule="auto"/>
        <w:ind w:left="540" w:hanging="540"/>
        <w:rPr>
          <w:lang w:val="fr-CA"/>
        </w:rPr>
      </w:pPr>
      <w:r w:rsidRPr="003C4458">
        <w:rPr>
          <w:lang w:val="fr-CA"/>
        </w:rPr>
        <w:t xml:space="preserve">Martel, Paul. </w:t>
      </w:r>
      <w:r w:rsidRPr="003C4458">
        <w:rPr>
          <w:i/>
          <w:lang w:val="fr-CA"/>
        </w:rPr>
        <w:t xml:space="preserve">La </w:t>
      </w:r>
      <w:r w:rsidR="00396FAA">
        <w:rPr>
          <w:i/>
          <w:lang w:val="fr-CA"/>
        </w:rPr>
        <w:t>société par actions au Québec</w:t>
      </w:r>
      <w:r w:rsidR="00396FAA" w:rsidRPr="00396FAA">
        <w:rPr>
          <w:lang w:val="fr-CA"/>
        </w:rPr>
        <w:t xml:space="preserve">, vol. </w:t>
      </w:r>
      <w:r w:rsidR="00A929D2">
        <w:rPr>
          <w:lang w:val="fr-CA"/>
        </w:rPr>
        <w:t>I</w:t>
      </w:r>
      <w:r w:rsidR="00396FAA" w:rsidRPr="00396FAA">
        <w:rPr>
          <w:lang w:val="fr-CA"/>
        </w:rPr>
        <w:t>,</w:t>
      </w:r>
      <w:r w:rsidR="00396FAA">
        <w:rPr>
          <w:i/>
          <w:lang w:val="fr-CA"/>
        </w:rPr>
        <w:t xml:space="preserve"> </w:t>
      </w:r>
      <w:r w:rsidR="003B24B1" w:rsidRPr="003B24B1">
        <w:rPr>
          <w:i/>
          <w:lang w:val="fr-CA"/>
        </w:rPr>
        <w:t>Les aspects juridiques</w:t>
      </w:r>
      <w:r w:rsidR="003B24B1">
        <w:rPr>
          <w:lang w:val="fr-CA"/>
        </w:rPr>
        <w:t xml:space="preserve">, </w:t>
      </w:r>
      <w:r w:rsidRPr="003C4458">
        <w:rPr>
          <w:lang w:val="fr-CA"/>
        </w:rPr>
        <w:t xml:space="preserve">Montréal, Wilson &amp; Lafleur, 2011 (feuilles mobiles mises à jour </w:t>
      </w:r>
      <w:r w:rsidR="00396FAA">
        <w:rPr>
          <w:lang w:val="fr-CA"/>
        </w:rPr>
        <w:t xml:space="preserve">janvier </w:t>
      </w:r>
      <w:r w:rsidRPr="003C4458">
        <w:rPr>
          <w:lang w:val="fr-CA"/>
        </w:rPr>
        <w:t>2018, envoi n</w:t>
      </w:r>
      <w:r w:rsidRPr="00396FAA">
        <w:rPr>
          <w:vertAlign w:val="superscript"/>
          <w:lang w:val="fr-CA"/>
        </w:rPr>
        <w:t>o</w:t>
      </w:r>
      <w:r w:rsidR="00396FAA">
        <w:rPr>
          <w:lang w:val="fr-CA"/>
        </w:rPr>
        <w:t xml:space="preserve"> 100</w:t>
      </w:r>
      <w:r w:rsidRPr="003C4458">
        <w:rPr>
          <w:lang w:val="fr-CA"/>
        </w:rPr>
        <w:t>).</w:t>
      </w:r>
    </w:p>
    <w:p w:rsidR="00AF6697" w:rsidRPr="00342757" w:rsidRDefault="00AF6697" w:rsidP="00AF6697">
      <w:pPr>
        <w:pStyle w:val="SCCNormalDoubleSpacing"/>
        <w:spacing w:after="240" w:line="240" w:lineRule="auto"/>
        <w:ind w:left="540" w:hanging="540"/>
        <w:rPr>
          <w:lang w:val="fr-CA"/>
        </w:rPr>
      </w:pPr>
      <w:r w:rsidRPr="00342757">
        <w:rPr>
          <w:lang w:val="fr-CA"/>
        </w:rPr>
        <w:t xml:space="preserve">Mayer, Pierre, et Vincent Heuzé. </w:t>
      </w:r>
      <w:r w:rsidRPr="00AB4CDA">
        <w:rPr>
          <w:i/>
          <w:lang w:val="fr-CA"/>
        </w:rPr>
        <w:t>Droit international privé</w:t>
      </w:r>
      <w:r w:rsidRPr="00342757">
        <w:rPr>
          <w:lang w:val="fr-CA"/>
        </w:rPr>
        <w:t>, 11</w:t>
      </w:r>
      <w:r w:rsidRPr="00396FAA">
        <w:rPr>
          <w:vertAlign w:val="superscript"/>
          <w:lang w:val="fr-CA"/>
        </w:rPr>
        <w:t>e</w:t>
      </w:r>
      <w:r w:rsidRPr="00396FAA">
        <w:rPr>
          <w:lang w:val="fr-CA"/>
        </w:rPr>
        <w:t> </w:t>
      </w:r>
      <w:r w:rsidRPr="00342757">
        <w:rPr>
          <w:lang w:val="fr-CA"/>
        </w:rPr>
        <w:t>éd., Paris, LDGJ</w:t>
      </w:r>
      <w:r w:rsidRPr="00342757">
        <w:rPr>
          <w:lang w:val="fr-CA"/>
        </w:rPr>
        <w:noBreakHyphen/>
        <w:t>Lextenso, 2014.</w:t>
      </w:r>
    </w:p>
    <w:p w:rsidR="00AF6697" w:rsidRPr="00342757" w:rsidRDefault="00AF6697" w:rsidP="00AF6697">
      <w:pPr>
        <w:pStyle w:val="SCCNormalDoubleSpacing"/>
        <w:spacing w:after="240" w:line="240" w:lineRule="auto"/>
        <w:ind w:left="540" w:hanging="540"/>
        <w:rPr>
          <w:lang w:val="fr-CA"/>
        </w:rPr>
      </w:pPr>
      <w:r w:rsidRPr="00342757">
        <w:rPr>
          <w:lang w:val="fr-CA"/>
        </w:rPr>
        <w:t xml:space="preserve">Piché, Catherine. </w:t>
      </w:r>
      <w:r w:rsidRPr="00AB4CDA">
        <w:rPr>
          <w:i/>
          <w:lang w:val="fr-CA"/>
        </w:rPr>
        <w:t>La preuve civile</w:t>
      </w:r>
      <w:r w:rsidRPr="00342757">
        <w:rPr>
          <w:lang w:val="fr-CA"/>
        </w:rPr>
        <w:t>, 5</w:t>
      </w:r>
      <w:r w:rsidRPr="00396FAA">
        <w:rPr>
          <w:vertAlign w:val="superscript"/>
          <w:lang w:val="fr-CA"/>
        </w:rPr>
        <w:t>e</w:t>
      </w:r>
      <w:r w:rsidRPr="00342757">
        <w:rPr>
          <w:lang w:val="fr-CA"/>
        </w:rPr>
        <w:t xml:space="preserve"> éd., Cowansville (Qc), Yvon Blais, 2016. </w:t>
      </w:r>
    </w:p>
    <w:p w:rsidR="00AF6697" w:rsidRPr="006F4B1A" w:rsidRDefault="00AF6697" w:rsidP="00AF6697">
      <w:pPr>
        <w:pStyle w:val="SCCNormalDoubleSpacing"/>
        <w:spacing w:after="240" w:line="240" w:lineRule="auto"/>
        <w:ind w:left="540" w:hanging="540"/>
        <w:rPr>
          <w:lang w:val="en-US"/>
        </w:rPr>
      </w:pPr>
      <w:r>
        <w:t>Pitel, Stephen G. </w:t>
      </w:r>
      <w:r w:rsidR="006F4B1A">
        <w:t>A., and Nicholas S. Rafferty.</w:t>
      </w:r>
      <w:r w:rsidRPr="00012961">
        <w:t xml:space="preserve"> </w:t>
      </w:r>
      <w:r w:rsidRPr="006F4B1A">
        <w:rPr>
          <w:i/>
          <w:lang w:val="en-US"/>
        </w:rPr>
        <w:t>Conflict of Laws</w:t>
      </w:r>
      <w:r w:rsidR="006F4B1A" w:rsidRPr="006F4B1A">
        <w:rPr>
          <w:lang w:val="en-US"/>
        </w:rPr>
        <w:t>,</w:t>
      </w:r>
      <w:r w:rsidRPr="006F4B1A">
        <w:rPr>
          <w:lang w:val="en-US"/>
        </w:rPr>
        <w:t xml:space="preserve"> Toronto, Irwin Law, 2010.</w:t>
      </w:r>
    </w:p>
    <w:p w:rsidR="00AF6697" w:rsidRPr="00342757" w:rsidRDefault="00AF6697" w:rsidP="00AF6697">
      <w:pPr>
        <w:pStyle w:val="SCCNormalDoubleSpacing"/>
        <w:spacing w:after="240" w:line="240" w:lineRule="auto"/>
        <w:ind w:left="540" w:hanging="540"/>
        <w:rPr>
          <w:lang w:val="fr-CA"/>
        </w:rPr>
      </w:pPr>
      <w:r w:rsidRPr="00342757">
        <w:rPr>
          <w:lang w:val="fr-CA"/>
        </w:rPr>
        <w:t>Québec. Assemblée nationale. Sous</w:t>
      </w:r>
      <w:r w:rsidRPr="00342757">
        <w:rPr>
          <w:lang w:val="fr-CA"/>
        </w:rPr>
        <w:noBreakHyphen/>
        <w:t>commission des institutions. « Étude détaillée du projet de loi 125</w:t>
      </w:r>
      <w:r w:rsidR="008B1B34">
        <w:rPr>
          <w:lang w:val="fr-CA"/>
        </w:rPr>
        <w:t xml:space="preserve"> </w:t>
      </w:r>
      <w:r w:rsidR="00396FAA">
        <w:rPr>
          <w:lang w:val="fr-CA"/>
        </w:rPr>
        <w:t xml:space="preserve">— </w:t>
      </w:r>
      <w:r w:rsidR="00396FAA" w:rsidRPr="00342757">
        <w:rPr>
          <w:lang w:val="fr-CA"/>
        </w:rPr>
        <w:t>Code civil du Québec </w:t>
      </w:r>
      <w:r w:rsidRPr="00342757">
        <w:rPr>
          <w:lang w:val="fr-CA"/>
        </w:rPr>
        <w:t xml:space="preserve"> », </w:t>
      </w:r>
      <w:r w:rsidRPr="00AB4CDA">
        <w:rPr>
          <w:i/>
          <w:lang w:val="fr-CA"/>
        </w:rPr>
        <w:t>Journal des débats</w:t>
      </w:r>
      <w:r w:rsidRPr="00342757">
        <w:rPr>
          <w:lang w:val="fr-CA"/>
        </w:rPr>
        <w:t xml:space="preserve">, vol. 31, </w:t>
      </w:r>
      <w:r>
        <w:rPr>
          <w:lang w:val="fr-CA"/>
        </w:rPr>
        <w:t>n</w:t>
      </w:r>
      <w:r w:rsidRPr="00396FAA">
        <w:rPr>
          <w:vertAlign w:val="superscript"/>
          <w:lang w:val="fr-CA"/>
        </w:rPr>
        <w:t>o</w:t>
      </w:r>
      <w:r>
        <w:rPr>
          <w:lang w:val="fr-CA"/>
        </w:rPr>
        <w:t> 28, 1</w:t>
      </w:r>
      <w:r w:rsidRPr="00396FAA">
        <w:rPr>
          <w:vertAlign w:val="superscript"/>
          <w:lang w:val="fr-CA"/>
        </w:rPr>
        <w:t>re</w:t>
      </w:r>
      <w:r>
        <w:rPr>
          <w:lang w:val="fr-CA"/>
        </w:rPr>
        <w:t xml:space="preserve"> sess., 34</w:t>
      </w:r>
      <w:r w:rsidRPr="00396FAA">
        <w:rPr>
          <w:vertAlign w:val="superscript"/>
          <w:lang w:val="fr-CA"/>
        </w:rPr>
        <w:t>e</w:t>
      </w:r>
      <w:r>
        <w:rPr>
          <w:lang w:val="fr-CA"/>
        </w:rPr>
        <w:t xml:space="preserve"> lég., 3 </w:t>
      </w:r>
      <w:r w:rsidRPr="00342757">
        <w:rPr>
          <w:lang w:val="fr-CA"/>
        </w:rPr>
        <w:t>décembre 1991.</w:t>
      </w:r>
    </w:p>
    <w:p w:rsidR="00AF6697" w:rsidRPr="00342757" w:rsidRDefault="00AF6697" w:rsidP="00AF6697">
      <w:pPr>
        <w:pStyle w:val="SCCNormalDoubleSpacing"/>
        <w:spacing w:after="240" w:line="240" w:lineRule="auto"/>
        <w:ind w:left="540" w:hanging="540"/>
        <w:rPr>
          <w:lang w:val="fr-CA"/>
        </w:rPr>
      </w:pPr>
      <w:r w:rsidRPr="00342757">
        <w:rPr>
          <w:lang w:val="fr-CA"/>
        </w:rPr>
        <w:t>Québec. Assemblée nationale. Sous</w:t>
      </w:r>
      <w:r w:rsidRPr="00342757">
        <w:rPr>
          <w:lang w:val="fr-CA"/>
        </w:rPr>
        <w:noBreakHyphen/>
        <w:t>commission des institutions. « Étude dé</w:t>
      </w:r>
      <w:r>
        <w:rPr>
          <w:lang w:val="fr-CA"/>
        </w:rPr>
        <w:t xml:space="preserve">taillée du projet de loi 125 — </w:t>
      </w:r>
      <w:r w:rsidRPr="00342757">
        <w:rPr>
          <w:lang w:val="fr-CA"/>
        </w:rPr>
        <w:t xml:space="preserve">Code civil du Québec », </w:t>
      </w:r>
      <w:r w:rsidRPr="00AB4CDA">
        <w:rPr>
          <w:i/>
          <w:lang w:val="fr-CA"/>
        </w:rPr>
        <w:t>Journal des débats</w:t>
      </w:r>
      <w:r w:rsidR="008B1B34">
        <w:rPr>
          <w:lang w:val="fr-CA"/>
        </w:rPr>
        <w:t>, vol. 31, n</w:t>
      </w:r>
      <w:r w:rsidR="008B1B34" w:rsidRPr="008B1B34">
        <w:rPr>
          <w:vertAlign w:val="superscript"/>
          <w:lang w:val="fr-CA"/>
        </w:rPr>
        <w:t>o</w:t>
      </w:r>
      <w:r w:rsidR="008B1B34">
        <w:rPr>
          <w:lang w:val="fr-CA"/>
        </w:rPr>
        <w:t> 32, 1</w:t>
      </w:r>
      <w:r w:rsidRPr="008B1B34">
        <w:rPr>
          <w:vertAlign w:val="superscript"/>
          <w:lang w:val="fr-CA"/>
        </w:rPr>
        <w:t>re</w:t>
      </w:r>
      <w:r w:rsidRPr="00342757">
        <w:rPr>
          <w:lang w:val="fr-CA"/>
        </w:rPr>
        <w:t xml:space="preserve"> sess., 34</w:t>
      </w:r>
      <w:r w:rsidRPr="008B1B34">
        <w:rPr>
          <w:vertAlign w:val="superscript"/>
          <w:lang w:val="fr-CA"/>
        </w:rPr>
        <w:t>e</w:t>
      </w:r>
      <w:r w:rsidRPr="00342757">
        <w:rPr>
          <w:lang w:val="fr-CA"/>
        </w:rPr>
        <w:t xml:space="preserve"> lég.</w:t>
      </w:r>
      <w:r>
        <w:rPr>
          <w:lang w:val="fr-CA"/>
        </w:rPr>
        <w:t>, 9 </w:t>
      </w:r>
      <w:r w:rsidRPr="00342757">
        <w:rPr>
          <w:lang w:val="fr-CA"/>
        </w:rPr>
        <w:t>décembre 1991.</w:t>
      </w:r>
    </w:p>
    <w:p w:rsidR="003B24B1" w:rsidRDefault="003B24B1" w:rsidP="003B24B1">
      <w:pPr>
        <w:pStyle w:val="SCCNormalDoubleSpacing"/>
        <w:spacing w:after="240" w:line="240" w:lineRule="auto"/>
        <w:ind w:left="540" w:hanging="540"/>
        <w:rPr>
          <w:lang w:val="fr-CA"/>
        </w:rPr>
      </w:pPr>
      <w:r w:rsidRPr="00342757">
        <w:rPr>
          <w:lang w:val="fr-CA"/>
        </w:rPr>
        <w:t xml:space="preserve">Québec. Ministère de la Justice. </w:t>
      </w:r>
      <w:r w:rsidRPr="00AB4CDA">
        <w:rPr>
          <w:i/>
          <w:lang w:val="fr-CA"/>
        </w:rPr>
        <w:t>Commentaires du ministre de la Justice</w:t>
      </w:r>
      <w:r w:rsidRPr="00342757">
        <w:rPr>
          <w:lang w:val="fr-CA"/>
        </w:rPr>
        <w:t xml:space="preserve">, t. II, </w:t>
      </w:r>
      <w:r w:rsidRPr="00AB4CDA">
        <w:rPr>
          <w:i/>
          <w:lang w:val="fr-CA"/>
        </w:rPr>
        <w:t>Le Code civil du Québec — Un mouvement de société</w:t>
      </w:r>
      <w:r w:rsidR="003A3B54">
        <w:rPr>
          <w:lang w:val="fr-CA"/>
        </w:rPr>
        <w:t>,</w:t>
      </w:r>
      <w:r w:rsidRPr="00342757">
        <w:rPr>
          <w:lang w:val="fr-CA"/>
        </w:rPr>
        <w:t xml:space="preserve"> Québec,</w:t>
      </w:r>
      <w:r>
        <w:rPr>
          <w:lang w:val="fr-CA"/>
        </w:rPr>
        <w:t xml:space="preserve"> Publications du Québec, 1993. </w:t>
      </w:r>
    </w:p>
    <w:p w:rsidR="00396FAA" w:rsidRPr="00342757" w:rsidRDefault="00396FAA" w:rsidP="00396FAA">
      <w:pPr>
        <w:pStyle w:val="SCCNormalDoubleSpacing"/>
        <w:spacing w:after="240" w:line="240" w:lineRule="auto"/>
        <w:ind w:left="540" w:hanging="540"/>
        <w:rPr>
          <w:lang w:val="fr-CA"/>
        </w:rPr>
      </w:pPr>
      <w:r w:rsidRPr="00342757">
        <w:rPr>
          <w:lang w:val="fr-CA"/>
        </w:rPr>
        <w:t>Québec. Office de révision du Code civil</w:t>
      </w:r>
      <w:r w:rsidRPr="00AB4CDA">
        <w:rPr>
          <w:i/>
          <w:lang w:val="fr-CA"/>
        </w:rPr>
        <w:t>. Rapport sur le Code civil du Québec</w:t>
      </w:r>
      <w:r w:rsidRPr="00AB4CDA">
        <w:rPr>
          <w:lang w:val="fr-CA"/>
        </w:rPr>
        <w:t>,</w:t>
      </w:r>
      <w:r w:rsidRPr="00AB4CDA">
        <w:rPr>
          <w:i/>
          <w:lang w:val="fr-CA"/>
        </w:rPr>
        <w:t xml:space="preserve"> Commentaires</w:t>
      </w:r>
      <w:r w:rsidR="003A3B54">
        <w:rPr>
          <w:lang w:val="fr-CA"/>
        </w:rPr>
        <w:t>, vol. II,</w:t>
      </w:r>
      <w:r w:rsidRPr="00342757">
        <w:rPr>
          <w:lang w:val="fr-CA"/>
        </w:rPr>
        <w:t xml:space="preserve"> Québec, Éditeur officiel, 1978. </w:t>
      </w:r>
    </w:p>
    <w:p w:rsidR="00AF6697" w:rsidRPr="00342757" w:rsidRDefault="00AF6697" w:rsidP="00AF6697">
      <w:pPr>
        <w:pStyle w:val="SCCNormalDoubleSpacing"/>
        <w:spacing w:after="240" w:line="240" w:lineRule="auto"/>
        <w:ind w:left="540" w:hanging="540"/>
        <w:rPr>
          <w:lang w:val="fr-CA"/>
        </w:rPr>
      </w:pPr>
      <w:r w:rsidRPr="00342757">
        <w:rPr>
          <w:lang w:val="fr-CA"/>
        </w:rPr>
        <w:t xml:space="preserve">Québec. Office de révision du Code civil. </w:t>
      </w:r>
      <w:r w:rsidRPr="00AB4CDA">
        <w:rPr>
          <w:i/>
          <w:lang w:val="fr-CA"/>
        </w:rPr>
        <w:t>Rapport sur le droit international privé</w:t>
      </w:r>
      <w:r w:rsidR="00CC2424">
        <w:rPr>
          <w:lang w:val="fr-CA"/>
        </w:rPr>
        <w:t>,</w:t>
      </w:r>
      <w:r w:rsidRPr="00AB4CDA">
        <w:rPr>
          <w:lang w:val="fr-CA"/>
        </w:rPr>
        <w:t xml:space="preserve"> </w:t>
      </w:r>
      <w:r w:rsidRPr="00342757">
        <w:rPr>
          <w:lang w:val="fr-CA"/>
        </w:rPr>
        <w:t xml:space="preserve">Montréal, 1975. </w:t>
      </w:r>
    </w:p>
    <w:p w:rsidR="00AF6697" w:rsidRPr="00342757" w:rsidRDefault="00AF6697" w:rsidP="00AF6697">
      <w:pPr>
        <w:pStyle w:val="SCCNormalDoubleSpacing"/>
        <w:spacing w:after="240" w:line="240" w:lineRule="auto"/>
        <w:ind w:left="540" w:hanging="540"/>
        <w:rPr>
          <w:lang w:val="fr-CA"/>
        </w:rPr>
      </w:pPr>
      <w:r w:rsidRPr="00342757">
        <w:rPr>
          <w:lang w:val="fr-CA"/>
        </w:rPr>
        <w:t xml:space="preserve">Sabourin, Frédérique. « Compétence internationale relative aux actions personnelles à caractère patrimonial et effets des décisions étrangères », dans </w:t>
      </w:r>
      <w:r w:rsidRPr="00AB4CDA">
        <w:rPr>
          <w:i/>
          <w:lang w:val="fr-CA"/>
        </w:rPr>
        <w:t xml:space="preserve">JurisClasseur </w:t>
      </w:r>
      <w:r w:rsidRPr="00AB4CDA">
        <w:rPr>
          <w:i/>
          <w:lang w:val="fr-CA"/>
        </w:rPr>
        <w:lastRenderedPageBreak/>
        <w:t>Québec — Droit international privé</w:t>
      </w:r>
      <w:r w:rsidRPr="00342757">
        <w:rPr>
          <w:lang w:val="fr-CA"/>
        </w:rPr>
        <w:t>, par Pierre</w:t>
      </w:r>
      <w:r w:rsidRPr="00342757">
        <w:rPr>
          <w:lang w:val="fr-CA"/>
        </w:rPr>
        <w:noBreakHyphen/>
        <w:t>Claude Lafond, dir.</w:t>
      </w:r>
      <w:r w:rsidR="006F4B1A">
        <w:rPr>
          <w:lang w:val="fr-CA"/>
        </w:rPr>
        <w:t>,</w:t>
      </w:r>
      <w:r w:rsidRPr="00342757">
        <w:rPr>
          <w:lang w:val="fr-CA"/>
        </w:rPr>
        <w:t xml:space="preserve"> Montréal, LexisNexis, 2012, fascicule 25 (feuilles mobiles mises à jour juin 2018, envoi n</w:t>
      </w:r>
      <w:r w:rsidRPr="00396FAA">
        <w:rPr>
          <w:vertAlign w:val="superscript"/>
          <w:lang w:val="fr-CA"/>
        </w:rPr>
        <w:t>o</w:t>
      </w:r>
      <w:r w:rsidRPr="00342757">
        <w:rPr>
          <w:lang w:val="fr-CA"/>
        </w:rPr>
        <w:t xml:space="preserve"> 10).</w:t>
      </w:r>
    </w:p>
    <w:p w:rsidR="00AF6697" w:rsidRPr="00342757" w:rsidRDefault="00AF6697" w:rsidP="00AF6697">
      <w:pPr>
        <w:pStyle w:val="SCCNormalDoubleSpacing"/>
        <w:spacing w:after="240" w:line="240" w:lineRule="auto"/>
        <w:ind w:left="540" w:hanging="540"/>
        <w:rPr>
          <w:lang w:val="fr-CA"/>
        </w:rPr>
      </w:pPr>
      <w:r w:rsidRPr="00012961">
        <w:t>Saumier, Geneviève. « The Recognition of Foreign Judgments in Quebec — The Mirror Crack</w:t>
      </w:r>
      <w:r>
        <w:t>’</w:t>
      </w:r>
      <w:r w:rsidRPr="00012961">
        <w:t xml:space="preserve">d? » </w:t>
      </w:r>
      <w:r w:rsidRPr="00342757">
        <w:rPr>
          <w:lang w:val="fr-CA"/>
        </w:rPr>
        <w:t xml:space="preserve">(2002), 81 </w:t>
      </w:r>
      <w:r w:rsidRPr="00AB4CDA">
        <w:rPr>
          <w:i/>
          <w:lang w:val="fr-CA"/>
        </w:rPr>
        <w:t>R. du B. can.</w:t>
      </w:r>
      <w:r w:rsidRPr="00342757">
        <w:rPr>
          <w:lang w:val="fr-CA"/>
        </w:rPr>
        <w:t xml:space="preserve"> 677.</w:t>
      </w:r>
    </w:p>
    <w:p w:rsidR="003B24B1" w:rsidRDefault="003B24B1" w:rsidP="003B24B1">
      <w:pPr>
        <w:pStyle w:val="SCCNormalDoubleSpacing"/>
        <w:spacing w:after="240" w:line="240" w:lineRule="auto"/>
        <w:ind w:left="540" w:hanging="540"/>
        <w:rPr>
          <w:lang w:val="fr-CA"/>
        </w:rPr>
      </w:pPr>
      <w:r w:rsidRPr="00342757">
        <w:rPr>
          <w:lang w:val="fr-CA"/>
        </w:rPr>
        <w:t>Talpis, Jeffrey A., et Gérald Goldstein. « Analyse critique de l</w:t>
      </w:r>
      <w:r>
        <w:rPr>
          <w:lang w:val="fr-CA"/>
        </w:rPr>
        <w:t>’</w:t>
      </w:r>
      <w:r w:rsidRPr="00342757">
        <w:rPr>
          <w:lang w:val="fr-CA"/>
        </w:rPr>
        <w:t>avant</w:t>
      </w:r>
      <w:r w:rsidRPr="00342757">
        <w:rPr>
          <w:lang w:val="fr-CA"/>
        </w:rPr>
        <w:noBreakHyphen/>
        <w:t>projet de loi du Québec en dr</w:t>
      </w:r>
      <w:r>
        <w:rPr>
          <w:lang w:val="fr-CA"/>
        </w:rPr>
        <w:t>oit international privé » (1988</w:t>
      </w:r>
      <w:r w:rsidRPr="00342757">
        <w:rPr>
          <w:lang w:val="fr-CA"/>
        </w:rPr>
        <w:t xml:space="preserve">), 91 </w:t>
      </w:r>
      <w:r w:rsidRPr="00AB4CDA">
        <w:rPr>
          <w:i/>
          <w:lang w:val="fr-CA"/>
        </w:rPr>
        <w:t>R. du N.</w:t>
      </w:r>
      <w:r>
        <w:rPr>
          <w:lang w:val="fr-CA"/>
        </w:rPr>
        <w:t xml:space="preserve"> 606.</w:t>
      </w:r>
    </w:p>
    <w:p w:rsidR="00AF6697" w:rsidRPr="00342757" w:rsidRDefault="00AF6697" w:rsidP="00AF6697">
      <w:pPr>
        <w:pStyle w:val="SCCNormalDoubleSpacing"/>
        <w:spacing w:after="240" w:line="240" w:lineRule="auto"/>
        <w:ind w:left="540" w:hanging="540"/>
        <w:rPr>
          <w:lang w:val="fr-CA"/>
        </w:rPr>
      </w:pPr>
      <w:r w:rsidRPr="00342757">
        <w:rPr>
          <w:lang w:val="fr-CA"/>
        </w:rPr>
        <w:t>Talpis, Jeffrey A., et Jean</w:t>
      </w:r>
      <w:r w:rsidRPr="00342757">
        <w:rPr>
          <w:lang w:val="fr-CA"/>
        </w:rPr>
        <w:noBreakHyphen/>
        <w:t xml:space="preserve">Gabriel Castel. « Interprétation des règles du droit international privé », dans </w:t>
      </w:r>
      <w:r w:rsidR="00B66FA5">
        <w:rPr>
          <w:i/>
          <w:lang w:val="fr-CA"/>
        </w:rPr>
        <w:t>La réforme du C</w:t>
      </w:r>
      <w:r w:rsidRPr="00AB4CDA">
        <w:rPr>
          <w:i/>
          <w:lang w:val="fr-CA"/>
        </w:rPr>
        <w:t>ode civil</w:t>
      </w:r>
      <w:r w:rsidRPr="00342757">
        <w:rPr>
          <w:lang w:val="fr-CA"/>
        </w:rPr>
        <w:t xml:space="preserve">, t. 3, </w:t>
      </w:r>
      <w:r w:rsidRPr="00AB4CDA">
        <w:rPr>
          <w:i/>
          <w:lang w:val="fr-CA"/>
        </w:rPr>
        <w:t>Priorités et hypothèques, preuve et prescription, publicité des droits, droit international privé, dispositions transitoires</w:t>
      </w:r>
      <w:r w:rsidR="006F4B1A">
        <w:rPr>
          <w:lang w:val="fr-CA"/>
        </w:rPr>
        <w:t>,</w:t>
      </w:r>
      <w:r w:rsidRPr="00342757">
        <w:rPr>
          <w:lang w:val="fr-CA"/>
        </w:rPr>
        <w:t xml:space="preserve"> Textes réunis par le Barreau du Québec et la</w:t>
      </w:r>
      <w:r w:rsidR="006F4B1A">
        <w:rPr>
          <w:lang w:val="fr-CA"/>
        </w:rPr>
        <w:t xml:space="preserve"> Chambre des notaires du Québec,</w:t>
      </w:r>
      <w:r w:rsidRPr="00342757">
        <w:rPr>
          <w:lang w:val="fr-CA"/>
        </w:rPr>
        <w:t xml:space="preserve"> Sainte</w:t>
      </w:r>
      <w:r w:rsidRPr="00342757">
        <w:rPr>
          <w:lang w:val="fr-CA"/>
        </w:rPr>
        <w:noBreakHyphen/>
        <w:t>Foy (Qc), Presse</w:t>
      </w:r>
      <w:r w:rsidR="00290EDC">
        <w:rPr>
          <w:lang w:val="fr-CA"/>
        </w:rPr>
        <w:t>s</w:t>
      </w:r>
      <w:r w:rsidRPr="00342757">
        <w:rPr>
          <w:lang w:val="fr-CA"/>
        </w:rPr>
        <w:t xml:space="preserve"> de l</w:t>
      </w:r>
      <w:r>
        <w:rPr>
          <w:lang w:val="fr-CA"/>
        </w:rPr>
        <w:t>’</w:t>
      </w:r>
      <w:r w:rsidRPr="00342757">
        <w:rPr>
          <w:lang w:val="fr-CA"/>
        </w:rPr>
        <w:t>Université Laval, 1993, 801.</w:t>
      </w:r>
    </w:p>
    <w:p w:rsidR="00AF6697" w:rsidRPr="00012961" w:rsidRDefault="00AF6697" w:rsidP="00AF6697">
      <w:pPr>
        <w:pStyle w:val="SCCNormalDoubleSpacing"/>
        <w:spacing w:after="240" w:line="240" w:lineRule="auto"/>
        <w:ind w:left="540" w:hanging="540"/>
      </w:pPr>
      <w:r w:rsidRPr="00012961">
        <w:t xml:space="preserve">Talpis, Jeffrey A., with the collaboration of Shelley L. Kath. </w:t>
      </w:r>
      <w:r w:rsidRPr="00AB4CDA">
        <w:rPr>
          <w:i/>
        </w:rPr>
        <w:t>« If I am from Grand</w:t>
      </w:r>
      <w:r w:rsidRPr="00AB4CDA">
        <w:rPr>
          <w:i/>
        </w:rPr>
        <w:noBreakHyphen/>
        <w:t>Mère, W</w:t>
      </w:r>
      <w:r w:rsidR="006F4B1A">
        <w:rPr>
          <w:i/>
        </w:rPr>
        <w:t xml:space="preserve">hy Am I Being Sued in Texas? » </w:t>
      </w:r>
      <w:r w:rsidRPr="00AB4CDA">
        <w:rPr>
          <w:i/>
        </w:rPr>
        <w:t>Responding to Inappropriate F</w:t>
      </w:r>
      <w:r w:rsidR="00396FAA">
        <w:rPr>
          <w:i/>
        </w:rPr>
        <w:t>oreign Jurisdiction in Quebec-</w:t>
      </w:r>
      <w:r w:rsidRPr="00AB4CDA">
        <w:rPr>
          <w:i/>
        </w:rPr>
        <w:t>United States Crossborder Litigation</w:t>
      </w:r>
      <w:r w:rsidR="009E5129">
        <w:t>,</w:t>
      </w:r>
      <w:r w:rsidRPr="00012961">
        <w:t xml:space="preserve"> Montréal, Thémis, 2001.</w:t>
      </w:r>
    </w:p>
    <w:p w:rsidR="00AF6697" w:rsidRPr="00396EF2" w:rsidRDefault="00AF6697" w:rsidP="00AF6697">
      <w:pPr>
        <w:pStyle w:val="SCCNormalDoubleSpacing"/>
        <w:spacing w:after="240" w:line="240" w:lineRule="auto"/>
        <w:ind w:left="540" w:hanging="540"/>
      </w:pPr>
      <w:r w:rsidRPr="00012961">
        <w:t xml:space="preserve">Walker, Janet. </w:t>
      </w:r>
      <w:r w:rsidR="003B24B1" w:rsidRPr="003B24B1">
        <w:rPr>
          <w:i/>
        </w:rPr>
        <w:t>Castel &amp; Walker :</w:t>
      </w:r>
      <w:r w:rsidR="003B24B1">
        <w:rPr>
          <w:i/>
        </w:rPr>
        <w:t xml:space="preserve"> </w:t>
      </w:r>
      <w:r w:rsidRPr="00AB4CDA">
        <w:rPr>
          <w:i/>
        </w:rPr>
        <w:t>Canadian Conflict of Laws</w:t>
      </w:r>
      <w:r w:rsidRPr="00012961">
        <w:t>,</w:t>
      </w:r>
      <w:r w:rsidR="003B24B1">
        <w:t xml:space="preserve"> </w:t>
      </w:r>
      <w:r w:rsidRPr="00012961">
        <w:t>6th ed.</w:t>
      </w:r>
      <w:r w:rsidR="0096679F">
        <w:t>,</w:t>
      </w:r>
      <w:r w:rsidRPr="00012961">
        <w:t xml:space="preserve"> </w:t>
      </w:r>
      <w:r w:rsidRPr="00396EF2">
        <w:t>Markham (Ont</w:t>
      </w:r>
      <w:r w:rsidR="009E5129">
        <w:t>.</w:t>
      </w:r>
      <w:r w:rsidRPr="00396EF2">
        <w:t>), LexisNexis, 2005 (loose</w:t>
      </w:r>
      <w:r w:rsidRPr="00396EF2">
        <w:noBreakHyphen/>
        <w:t>leaf updated 2018, release 71).</w:t>
      </w:r>
    </w:p>
    <w:p w:rsidR="00AF6697" w:rsidRPr="00AB4CDA" w:rsidRDefault="00AF6697" w:rsidP="00AF6697">
      <w:pPr>
        <w:pStyle w:val="SCCNormalDoubleSpacing"/>
        <w:spacing w:after="240" w:line="240" w:lineRule="auto"/>
        <w:ind w:left="540" w:hanging="540"/>
      </w:pPr>
      <w:r w:rsidRPr="0068451B">
        <w:t>W</w:t>
      </w:r>
      <w:r>
        <w:t xml:space="preserve">atson, Garry D., and Frank Au. « </w:t>
      </w:r>
      <w:r w:rsidRPr="0068451B">
        <w:rPr>
          <w:iCs/>
        </w:rPr>
        <w:t xml:space="preserve">Constitutional Limits on Service </w:t>
      </w:r>
      <w:r w:rsidRPr="0068451B">
        <w:rPr>
          <w:i/>
          <w:iCs/>
        </w:rPr>
        <w:t>Ex Juris</w:t>
      </w:r>
      <w:r w:rsidR="00D44C85">
        <w:rPr>
          <w:i/>
          <w:iCs/>
        </w:rPr>
        <w:t xml:space="preserve"> </w:t>
      </w:r>
      <w:r w:rsidRPr="00CC2424">
        <w:rPr>
          <w:iCs/>
        </w:rPr>
        <w:t>:</w:t>
      </w:r>
      <w:r w:rsidRPr="0068451B">
        <w:rPr>
          <w:i/>
          <w:iCs/>
        </w:rPr>
        <w:t xml:space="preserve"> </w:t>
      </w:r>
      <w:r w:rsidRPr="00396FAA">
        <w:rPr>
          <w:iCs/>
        </w:rPr>
        <w:t>Unanswered Questions from</w:t>
      </w:r>
      <w:r w:rsidRPr="0068451B">
        <w:rPr>
          <w:i/>
          <w:iCs/>
        </w:rPr>
        <w:t xml:space="preserve"> Morguard</w:t>
      </w:r>
      <w:r>
        <w:t xml:space="preserve"> »</w:t>
      </w:r>
      <w:r w:rsidRPr="0068451B">
        <w:t xml:space="preserve"> (200</w:t>
      </w:r>
      <w:r>
        <w:t>0</w:t>
      </w:r>
      <w:r w:rsidRPr="0068451B">
        <w:t xml:space="preserve">), 23 </w:t>
      </w:r>
      <w:r w:rsidRPr="0068451B">
        <w:rPr>
          <w:i/>
          <w:iCs/>
        </w:rPr>
        <w:t>Adv</w:t>
      </w:r>
      <w:r w:rsidRPr="0068451B">
        <w:rPr>
          <w:i/>
        </w:rPr>
        <w:t>. Q.</w:t>
      </w:r>
      <w:r w:rsidRPr="0068451B">
        <w:t xml:space="preserve"> 167.</w:t>
      </w:r>
    </w:p>
    <w:p w:rsidR="00AF6697" w:rsidRPr="00342757" w:rsidRDefault="00AF6697" w:rsidP="00AF6697">
      <w:pPr>
        <w:pStyle w:val="SCCNormalDoubleSpacing"/>
        <w:spacing w:after="720" w:line="240" w:lineRule="auto"/>
        <w:ind w:left="539" w:hanging="539"/>
        <w:rPr>
          <w:lang w:val="fr-CA"/>
        </w:rPr>
      </w:pPr>
      <w:r w:rsidRPr="00342757">
        <w:rPr>
          <w:lang w:val="fr-CA"/>
        </w:rPr>
        <w:t>Zajtay, Imre. « L</w:t>
      </w:r>
      <w:r>
        <w:rPr>
          <w:lang w:val="fr-CA"/>
        </w:rPr>
        <w:t>’</w:t>
      </w:r>
      <w:r w:rsidRPr="00342757">
        <w:rPr>
          <w:lang w:val="fr-CA"/>
        </w:rPr>
        <w:t xml:space="preserve">application du droit étranger : science et fictions » (1971), 23 </w:t>
      </w:r>
      <w:r w:rsidRPr="00AB4CDA">
        <w:rPr>
          <w:i/>
          <w:lang w:val="fr-CA"/>
        </w:rPr>
        <w:t>R.I.D.C.</w:t>
      </w:r>
      <w:r w:rsidRPr="00342757">
        <w:rPr>
          <w:lang w:val="fr-CA"/>
        </w:rPr>
        <w:t xml:space="preserve"> 49.</w:t>
      </w:r>
    </w:p>
    <w:p w:rsidR="00AF6697" w:rsidRPr="00342757" w:rsidRDefault="00AF6697" w:rsidP="00AF6697">
      <w:pPr>
        <w:pStyle w:val="SCCNormalDoubleSpacing"/>
        <w:spacing w:after="480"/>
        <w:rPr>
          <w:lang w:val="fr-CA"/>
        </w:rPr>
      </w:pPr>
      <w:r w:rsidRPr="00342757">
        <w:rPr>
          <w:lang w:val="fr-CA"/>
        </w:rPr>
        <w:tab/>
        <w:t>POURVOI contre un arrêt de la Cour d</w:t>
      </w:r>
      <w:r>
        <w:rPr>
          <w:lang w:val="fr-CA"/>
        </w:rPr>
        <w:t>’</w:t>
      </w:r>
      <w:r w:rsidRPr="00342757">
        <w:rPr>
          <w:lang w:val="fr-CA"/>
        </w:rPr>
        <w:t>appel du Québec (les juges Vézina et Mainville et le juge Jacques (</w:t>
      </w:r>
      <w:r w:rsidRPr="0092611C">
        <w:rPr>
          <w:i/>
          <w:lang w:val="fr-CA"/>
        </w:rPr>
        <w:t>ad hoc</w:t>
      </w:r>
      <w:r w:rsidRPr="00342757">
        <w:rPr>
          <w:lang w:val="fr-CA"/>
        </w:rPr>
        <w:t xml:space="preserve">)), 2017 QCCA 597, [2017] Q.J. No. 3606 </w:t>
      </w:r>
      <w:r w:rsidR="009E5129">
        <w:rPr>
          <w:lang w:val="fr-CA"/>
        </w:rPr>
        <w:t>(QL), 2017 CarswellQue 2806 (WL</w:t>
      </w:r>
      <w:r w:rsidRPr="00342757">
        <w:rPr>
          <w:lang w:val="fr-CA"/>
        </w:rPr>
        <w:t xml:space="preserve"> Can.), </w:t>
      </w:r>
      <w:r w:rsidR="009E5129">
        <w:rPr>
          <w:lang w:val="fr-CA"/>
        </w:rPr>
        <w:t xml:space="preserve">[2017] </w:t>
      </w:r>
      <w:r w:rsidRPr="00342757">
        <w:rPr>
          <w:lang w:val="fr-CA"/>
        </w:rPr>
        <w:t>AZ</w:t>
      </w:r>
      <w:r w:rsidRPr="00342757">
        <w:rPr>
          <w:lang w:val="fr-CA"/>
        </w:rPr>
        <w:noBreakHyphen/>
        <w:t xml:space="preserve">51381819, qui a confirmé </w:t>
      </w:r>
      <w:r>
        <w:rPr>
          <w:lang w:val="fr-CA"/>
        </w:rPr>
        <w:t xml:space="preserve">une </w:t>
      </w:r>
      <w:r w:rsidRPr="00342757">
        <w:rPr>
          <w:lang w:val="fr-CA"/>
        </w:rPr>
        <w:t>décision du juge Blanchard, 2016 QCCS 3471, [2016] Q.J. No</w:t>
      </w:r>
      <w:r w:rsidR="00CC2424">
        <w:rPr>
          <w:lang w:val="fr-CA"/>
        </w:rPr>
        <w:t>.</w:t>
      </w:r>
      <w:r w:rsidRPr="00342757">
        <w:rPr>
          <w:lang w:val="fr-CA"/>
        </w:rPr>
        <w:t xml:space="preserve"> 8724 (QL), 2016 CarswellQue 6725 (WL Can.), </w:t>
      </w:r>
      <w:r w:rsidR="009E5129">
        <w:rPr>
          <w:lang w:val="fr-CA"/>
        </w:rPr>
        <w:t xml:space="preserve">[2016] </w:t>
      </w:r>
      <w:r w:rsidRPr="00342757">
        <w:rPr>
          <w:lang w:val="fr-CA"/>
        </w:rPr>
        <w:t>AZ</w:t>
      </w:r>
      <w:r w:rsidR="009E5129">
        <w:rPr>
          <w:lang w:val="fr-CA"/>
        </w:rPr>
        <w:t>-</w:t>
      </w:r>
      <w:r w:rsidRPr="00342757">
        <w:rPr>
          <w:lang w:val="fr-CA"/>
        </w:rPr>
        <w:t>51308250. Pourvoi rejeté, la juge Côté est dissidente.</w:t>
      </w:r>
    </w:p>
    <w:p w:rsidR="00AF6697" w:rsidRPr="00342757" w:rsidRDefault="00AF6697" w:rsidP="00AF6697">
      <w:pPr>
        <w:pStyle w:val="SCCNormalDoubleSpacing"/>
        <w:spacing w:after="480"/>
        <w:rPr>
          <w:lang w:val="fr-CA"/>
        </w:rPr>
      </w:pPr>
      <w:r w:rsidRPr="00342757">
        <w:rPr>
          <w:lang w:val="fr-CA"/>
        </w:rPr>
        <w:tab/>
      </w:r>
      <w:r>
        <w:rPr>
          <w:i/>
          <w:lang w:val="fr-CA"/>
        </w:rPr>
        <w:t>Leon </w:t>
      </w:r>
      <w:r w:rsidRPr="0092611C">
        <w:rPr>
          <w:i/>
          <w:lang w:val="fr-CA"/>
        </w:rPr>
        <w:t>J. Greenberg</w:t>
      </w:r>
      <w:r w:rsidRPr="00342757">
        <w:rPr>
          <w:lang w:val="fr-CA"/>
        </w:rPr>
        <w:t xml:space="preserve"> et </w:t>
      </w:r>
      <w:r w:rsidRPr="0092611C">
        <w:rPr>
          <w:i/>
          <w:lang w:val="fr-CA"/>
        </w:rPr>
        <w:t>Frédéric Vachon</w:t>
      </w:r>
      <w:r w:rsidRPr="00342757">
        <w:rPr>
          <w:lang w:val="fr-CA"/>
        </w:rPr>
        <w:t>, pour l</w:t>
      </w:r>
      <w:r>
        <w:rPr>
          <w:lang w:val="fr-CA"/>
        </w:rPr>
        <w:t>’</w:t>
      </w:r>
      <w:r w:rsidRPr="00342757">
        <w:rPr>
          <w:lang w:val="fr-CA"/>
        </w:rPr>
        <w:t>appelant.</w:t>
      </w:r>
    </w:p>
    <w:p w:rsidR="00AF6697" w:rsidRDefault="00AF6697" w:rsidP="00AF6697">
      <w:pPr>
        <w:pStyle w:val="SCCNormalDoubleSpacing"/>
        <w:spacing w:after="480"/>
        <w:rPr>
          <w:lang w:val="fr-CA"/>
        </w:rPr>
      </w:pPr>
      <w:r w:rsidRPr="00342757">
        <w:rPr>
          <w:lang w:val="fr-CA"/>
        </w:rPr>
        <w:tab/>
      </w:r>
      <w:r w:rsidRPr="0092611C">
        <w:rPr>
          <w:i/>
          <w:lang w:val="fr-CA"/>
        </w:rPr>
        <w:t>Jonathan Franklin</w:t>
      </w:r>
      <w:r w:rsidRPr="00342757">
        <w:rPr>
          <w:lang w:val="fr-CA"/>
        </w:rPr>
        <w:t xml:space="preserve"> et </w:t>
      </w:r>
      <w:r w:rsidRPr="0092611C">
        <w:rPr>
          <w:i/>
          <w:lang w:val="fr-CA"/>
        </w:rPr>
        <w:t>Lazar Sarna</w:t>
      </w:r>
      <w:r w:rsidRPr="00342757">
        <w:rPr>
          <w:lang w:val="fr-CA"/>
        </w:rPr>
        <w:t>, pour l</w:t>
      </w:r>
      <w:r>
        <w:rPr>
          <w:lang w:val="fr-CA"/>
        </w:rPr>
        <w:t>’</w:t>
      </w:r>
      <w:r w:rsidRPr="00342757">
        <w:rPr>
          <w:lang w:val="fr-CA"/>
        </w:rPr>
        <w:t>intimée.</w:t>
      </w:r>
    </w:p>
    <w:p w:rsidR="00AF6697" w:rsidRDefault="00AF6697" w:rsidP="00DE31BB">
      <w:pPr>
        <w:spacing w:after="480" w:line="480" w:lineRule="auto"/>
        <w:ind w:firstLine="1260"/>
        <w:jc w:val="both"/>
        <w:rPr>
          <w:lang w:val="fr-CA"/>
        </w:rPr>
      </w:pPr>
      <w:r>
        <w:rPr>
          <w:lang w:val="fr-CA"/>
        </w:rPr>
        <w:lastRenderedPageBreak/>
        <w:t>Version française du jugement</w:t>
      </w:r>
      <w:r w:rsidRPr="00624CEC">
        <w:rPr>
          <w:lang w:val="fr-CA"/>
        </w:rPr>
        <w:t xml:space="preserve"> du juge en chef Wagner et des juges Abella, Moldaver, Karakatsanis, Gascon, Rowe </w:t>
      </w:r>
      <w:r>
        <w:rPr>
          <w:lang w:val="fr-CA"/>
        </w:rPr>
        <w:t>et</w:t>
      </w:r>
      <w:r w:rsidRPr="00624CEC">
        <w:rPr>
          <w:lang w:val="fr-CA"/>
        </w:rPr>
        <w:t xml:space="preserve"> Martin</w:t>
      </w:r>
      <w:r>
        <w:rPr>
          <w:lang w:val="fr-CA"/>
        </w:rPr>
        <w:t xml:space="preserve"> rendu par</w:t>
      </w:r>
    </w:p>
    <w:p w:rsidR="00AF6697" w:rsidRPr="00CA4523" w:rsidRDefault="00AF6697" w:rsidP="00AF6697">
      <w:pPr>
        <w:pStyle w:val="JudgeJuge"/>
        <w:spacing w:before="480"/>
        <w:rPr>
          <w:lang w:val="fr-CA"/>
        </w:rPr>
      </w:pPr>
      <w:r w:rsidRPr="00CA4523">
        <w:rPr>
          <w:lang w:val="fr-CA"/>
        </w:rPr>
        <w:tab/>
        <w:t xml:space="preserve">Le juge Gascon — </w:t>
      </w:r>
    </w:p>
    <w:p w:rsidR="00AF6697" w:rsidRPr="00CA4523" w:rsidRDefault="00AF6697" w:rsidP="006F4B1A">
      <w:pPr>
        <w:pStyle w:val="Title1LevelTitre1Niveau-AltL"/>
        <w:numPr>
          <w:ilvl w:val="0"/>
          <w:numId w:val="14"/>
        </w:numPr>
        <w:ind w:left="720"/>
        <w:rPr>
          <w:rFonts w:cs="Times New Roman"/>
          <w:lang w:val="fr-CA"/>
        </w:rPr>
      </w:pPr>
      <w:r>
        <w:rPr>
          <w:rFonts w:cs="Times New Roman"/>
          <w:lang w:val="fr-CA"/>
        </w:rPr>
        <w:t>Aperçu</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 xml:space="preserve">Le présent pourvoi </w:t>
      </w:r>
      <w:r>
        <w:rPr>
          <w:rFonts w:cs="Times New Roman"/>
          <w:lang w:val="fr-CA"/>
        </w:rPr>
        <w:t>porte sur une demande</w:t>
      </w:r>
      <w:r w:rsidRPr="00CA4523">
        <w:rPr>
          <w:rFonts w:cs="Times New Roman"/>
          <w:lang w:val="fr-CA"/>
        </w:rPr>
        <w:t xml:space="preserve"> en reconnaissance et en exécution d</w:t>
      </w:r>
      <w:r>
        <w:rPr>
          <w:rFonts w:cs="Times New Roman"/>
          <w:lang w:val="fr-CA"/>
        </w:rPr>
        <w:t>’</w:t>
      </w:r>
      <w:r w:rsidRPr="00CA4523">
        <w:rPr>
          <w:rFonts w:cs="Times New Roman"/>
          <w:lang w:val="fr-CA"/>
        </w:rPr>
        <w:t xml:space="preserve">un jugement par défaut rendu </w:t>
      </w:r>
      <w:r>
        <w:rPr>
          <w:rFonts w:cs="Times New Roman"/>
          <w:lang w:val="fr-CA"/>
        </w:rPr>
        <w:t>hors</w:t>
      </w:r>
      <w:r w:rsidRPr="00CA4523">
        <w:rPr>
          <w:rFonts w:cs="Times New Roman"/>
          <w:lang w:val="fr-CA"/>
        </w:rPr>
        <w:t xml:space="preserve"> </w:t>
      </w:r>
      <w:r>
        <w:rPr>
          <w:rFonts w:cs="Times New Roman"/>
          <w:lang w:val="fr-CA"/>
        </w:rPr>
        <w:t xml:space="preserve">du </w:t>
      </w:r>
      <w:r w:rsidRPr="00CA4523">
        <w:rPr>
          <w:rFonts w:cs="Times New Roman"/>
          <w:lang w:val="fr-CA"/>
        </w:rPr>
        <w:t>Québec contre un résid</w:t>
      </w:r>
      <w:r>
        <w:rPr>
          <w:rFonts w:cs="Times New Roman"/>
          <w:lang w:val="fr-CA"/>
        </w:rPr>
        <w:t>a</w:t>
      </w:r>
      <w:r w:rsidRPr="00CA4523">
        <w:rPr>
          <w:rFonts w:cs="Times New Roman"/>
          <w:lang w:val="fr-CA"/>
        </w:rPr>
        <w:t xml:space="preserve">nt </w:t>
      </w:r>
      <w:r>
        <w:rPr>
          <w:rFonts w:cs="Times New Roman"/>
          <w:lang w:val="fr-CA"/>
        </w:rPr>
        <w:t xml:space="preserve">de cette province et </w:t>
      </w:r>
      <w:r w:rsidRPr="003657F3">
        <w:rPr>
          <w:rFonts w:cs="Times New Roman"/>
          <w:lang w:val="fr-CA"/>
        </w:rPr>
        <w:t>sur les circonstances</w:t>
      </w:r>
      <w:r w:rsidRPr="00CA4523">
        <w:rPr>
          <w:rFonts w:cs="Times New Roman"/>
          <w:lang w:val="fr-CA"/>
        </w:rPr>
        <w:t xml:space="preserve"> dans lesquelles il est possible de conclure que </w:t>
      </w:r>
      <w:r>
        <w:rPr>
          <w:rFonts w:cs="Times New Roman"/>
          <w:lang w:val="fr-CA"/>
        </w:rPr>
        <w:t>ce dernier</w:t>
      </w:r>
      <w:r w:rsidRPr="00CA4523">
        <w:rPr>
          <w:rFonts w:cs="Times New Roman"/>
          <w:lang w:val="fr-CA"/>
        </w:rPr>
        <w:t xml:space="preserve"> a reconnu la compétence du tribunal étranger.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 xml:space="preserve">Les faits de </w:t>
      </w:r>
      <w:r>
        <w:rPr>
          <w:rFonts w:cs="Times New Roman"/>
          <w:lang w:val="fr-CA"/>
        </w:rPr>
        <w:t>l’</w:t>
      </w:r>
      <w:r w:rsidRPr="00CA4523">
        <w:rPr>
          <w:rFonts w:cs="Times New Roman"/>
          <w:lang w:val="fr-CA"/>
        </w:rPr>
        <w:t>affaire illustrent le dilemme devant lequel se trouvent parfois les personnes qui font des affaires à l</w:t>
      </w:r>
      <w:r>
        <w:rPr>
          <w:rFonts w:cs="Times New Roman"/>
          <w:lang w:val="fr-CA"/>
        </w:rPr>
        <w:t>’</w:t>
      </w:r>
      <w:r w:rsidRPr="00CA4523">
        <w:rPr>
          <w:rFonts w:cs="Times New Roman"/>
          <w:lang w:val="fr-CA"/>
        </w:rPr>
        <w:t>extérieur de leur province lorsqu</w:t>
      </w:r>
      <w:r>
        <w:rPr>
          <w:rFonts w:cs="Times New Roman"/>
          <w:lang w:val="fr-CA"/>
        </w:rPr>
        <w:t>’</w:t>
      </w:r>
      <w:r w:rsidRPr="00CA4523">
        <w:rPr>
          <w:rFonts w:cs="Times New Roman"/>
          <w:lang w:val="fr-CA"/>
        </w:rPr>
        <w:t>elles sont poursuivies à l</w:t>
      </w:r>
      <w:r>
        <w:rPr>
          <w:rFonts w:cs="Times New Roman"/>
          <w:lang w:val="fr-CA"/>
        </w:rPr>
        <w:t>’</w:t>
      </w:r>
      <w:r w:rsidRPr="00CA4523">
        <w:rPr>
          <w:rFonts w:cs="Times New Roman"/>
          <w:lang w:val="fr-CA"/>
        </w:rPr>
        <w:t>étranger devant un tribunal qui, selon elles, n</w:t>
      </w:r>
      <w:r>
        <w:rPr>
          <w:rFonts w:cs="Times New Roman"/>
          <w:lang w:val="fr-CA"/>
        </w:rPr>
        <w:t>’</w:t>
      </w:r>
      <w:r w:rsidRPr="00CA4523">
        <w:rPr>
          <w:rFonts w:cs="Times New Roman"/>
          <w:lang w:val="fr-CA"/>
        </w:rPr>
        <w:t xml:space="preserve">a pas compétence sur le litige. Elles doivent </w:t>
      </w:r>
      <w:r>
        <w:rPr>
          <w:rFonts w:cs="Times New Roman"/>
          <w:lang w:val="fr-CA"/>
        </w:rPr>
        <w:t>choisir entre</w:t>
      </w:r>
      <w:r w:rsidRPr="00CA4523">
        <w:rPr>
          <w:rFonts w:cs="Times New Roman"/>
          <w:lang w:val="fr-CA"/>
        </w:rPr>
        <w:t xml:space="preserve"> se défendre contre la poursuite dont elles font l</w:t>
      </w:r>
      <w:r>
        <w:rPr>
          <w:rFonts w:cs="Times New Roman"/>
          <w:lang w:val="fr-CA"/>
        </w:rPr>
        <w:t>’</w:t>
      </w:r>
      <w:r w:rsidRPr="00CA4523">
        <w:rPr>
          <w:rFonts w:cs="Times New Roman"/>
          <w:lang w:val="fr-CA"/>
        </w:rPr>
        <w:t>objet à l</w:t>
      </w:r>
      <w:r>
        <w:rPr>
          <w:rFonts w:cs="Times New Roman"/>
          <w:lang w:val="fr-CA"/>
        </w:rPr>
        <w:t>’</w:t>
      </w:r>
      <w:r w:rsidRPr="00CA4523">
        <w:rPr>
          <w:rFonts w:cs="Times New Roman"/>
          <w:lang w:val="fr-CA"/>
        </w:rPr>
        <w:t xml:space="preserve">étranger en espérant obtenir une décision favorable, </w:t>
      </w:r>
      <w:r>
        <w:rPr>
          <w:rFonts w:cs="Times New Roman"/>
          <w:lang w:val="fr-CA"/>
        </w:rPr>
        <w:t>ou</w:t>
      </w:r>
      <w:r w:rsidRPr="00CA4523">
        <w:rPr>
          <w:rFonts w:cs="Times New Roman"/>
          <w:lang w:val="fr-CA"/>
        </w:rPr>
        <w:t xml:space="preserve"> </w:t>
      </w:r>
      <w:r w:rsidRPr="00025D88">
        <w:rPr>
          <w:rFonts w:cs="Times New Roman"/>
          <w:lang w:val="fr-CA"/>
        </w:rPr>
        <w:t>s</w:t>
      </w:r>
      <w:r>
        <w:rPr>
          <w:rFonts w:cs="Times New Roman"/>
          <w:lang w:val="fr-CA"/>
        </w:rPr>
        <w:t>’</w:t>
      </w:r>
      <w:r w:rsidRPr="00025D88">
        <w:rPr>
          <w:rFonts w:cs="Times New Roman"/>
          <w:lang w:val="fr-CA"/>
        </w:rPr>
        <w:t>en</w:t>
      </w:r>
      <w:r w:rsidRPr="00CA4523">
        <w:rPr>
          <w:rFonts w:cs="Times New Roman"/>
          <w:lang w:val="fr-CA"/>
        </w:rPr>
        <w:t xml:space="preserve"> abstenir. </w:t>
      </w:r>
      <w:r>
        <w:rPr>
          <w:rFonts w:cs="Times New Roman"/>
          <w:lang w:val="fr-CA"/>
        </w:rPr>
        <w:t xml:space="preserve">Elles peuvent être enclines à opter </w:t>
      </w:r>
      <w:r w:rsidRPr="00CA4523">
        <w:rPr>
          <w:rFonts w:cs="Times New Roman"/>
          <w:lang w:val="fr-CA"/>
        </w:rPr>
        <w:t xml:space="preserve">pour ce second choix </w:t>
      </w:r>
      <w:r>
        <w:rPr>
          <w:rFonts w:cs="Times New Roman"/>
          <w:lang w:val="fr-CA"/>
        </w:rPr>
        <w:t xml:space="preserve">pour </w:t>
      </w:r>
      <w:r w:rsidRPr="00CA4523">
        <w:rPr>
          <w:rFonts w:cs="Times New Roman"/>
          <w:lang w:val="fr-CA"/>
        </w:rPr>
        <w:t>éviter qu</w:t>
      </w:r>
      <w:r>
        <w:rPr>
          <w:rFonts w:cs="Times New Roman"/>
          <w:lang w:val="fr-CA"/>
        </w:rPr>
        <w:t>’</w:t>
      </w:r>
      <w:r w:rsidRPr="00CA4523">
        <w:rPr>
          <w:rFonts w:cs="Times New Roman"/>
          <w:lang w:val="fr-CA"/>
        </w:rPr>
        <w:t>un tribunal de leur province</w:t>
      </w:r>
      <w:r>
        <w:rPr>
          <w:rFonts w:cs="Times New Roman"/>
          <w:lang w:val="fr-CA"/>
        </w:rPr>
        <w:t>,</w:t>
      </w:r>
      <w:r w:rsidRPr="00CA4523">
        <w:rPr>
          <w:rFonts w:cs="Times New Roman"/>
          <w:lang w:val="fr-CA"/>
        </w:rPr>
        <w:t xml:space="preserve"> </w:t>
      </w:r>
      <w:r>
        <w:rPr>
          <w:rFonts w:cs="Times New Roman"/>
          <w:lang w:val="fr-CA"/>
        </w:rPr>
        <w:t>saisi d’une demande en</w:t>
      </w:r>
      <w:r w:rsidRPr="00CA4523">
        <w:rPr>
          <w:rFonts w:cs="Times New Roman"/>
          <w:lang w:val="fr-CA"/>
        </w:rPr>
        <w:t xml:space="preserve"> reconna</w:t>
      </w:r>
      <w:r>
        <w:rPr>
          <w:rFonts w:cs="Times New Roman"/>
          <w:lang w:val="fr-CA"/>
        </w:rPr>
        <w:t xml:space="preserve">issance et en </w:t>
      </w:r>
      <w:r w:rsidRPr="00CA4523">
        <w:rPr>
          <w:rFonts w:cs="Times New Roman"/>
          <w:lang w:val="fr-CA"/>
        </w:rPr>
        <w:t>exécut</w:t>
      </w:r>
      <w:r>
        <w:rPr>
          <w:rFonts w:cs="Times New Roman"/>
          <w:lang w:val="fr-CA"/>
        </w:rPr>
        <w:t>ion</w:t>
      </w:r>
      <w:r w:rsidRPr="00CA4523">
        <w:rPr>
          <w:rFonts w:cs="Times New Roman"/>
          <w:lang w:val="fr-CA"/>
        </w:rPr>
        <w:t xml:space="preserve"> </w:t>
      </w:r>
      <w:r>
        <w:rPr>
          <w:rFonts w:cs="Times New Roman"/>
          <w:lang w:val="fr-CA"/>
        </w:rPr>
        <w:t>d’</w:t>
      </w:r>
      <w:r w:rsidRPr="00CA4523">
        <w:rPr>
          <w:rFonts w:cs="Times New Roman"/>
          <w:lang w:val="fr-CA"/>
        </w:rPr>
        <w:t xml:space="preserve">une décision éventuellement défavorable rendue par </w:t>
      </w:r>
      <w:r>
        <w:rPr>
          <w:rFonts w:cs="Times New Roman"/>
          <w:lang w:val="fr-CA"/>
        </w:rPr>
        <w:t>le</w:t>
      </w:r>
      <w:r w:rsidRPr="00CA4523">
        <w:rPr>
          <w:rFonts w:cs="Times New Roman"/>
          <w:lang w:val="fr-CA"/>
        </w:rPr>
        <w:t xml:space="preserve"> tribunal étranger</w:t>
      </w:r>
      <w:r>
        <w:rPr>
          <w:rFonts w:cs="Times New Roman"/>
          <w:lang w:val="fr-CA"/>
        </w:rPr>
        <w:t xml:space="preserve">, </w:t>
      </w:r>
      <w:r w:rsidRPr="00CA4523">
        <w:rPr>
          <w:rFonts w:cs="Times New Roman"/>
          <w:lang w:val="fr-CA"/>
        </w:rPr>
        <w:t>conclue qu</w:t>
      </w:r>
      <w:r>
        <w:rPr>
          <w:rFonts w:cs="Times New Roman"/>
          <w:lang w:val="fr-CA"/>
        </w:rPr>
        <w:t>’</w:t>
      </w:r>
      <w:r w:rsidRPr="00CA4523">
        <w:rPr>
          <w:rFonts w:cs="Times New Roman"/>
          <w:lang w:val="fr-CA"/>
        </w:rPr>
        <w:t xml:space="preserve">elles ont reconnu la compétence de ce </w:t>
      </w:r>
      <w:r>
        <w:rPr>
          <w:rFonts w:cs="Times New Roman"/>
          <w:lang w:val="fr-CA"/>
        </w:rPr>
        <w:t>dernier</w:t>
      </w:r>
      <w:r w:rsidRPr="00CA4523">
        <w:rPr>
          <w:rFonts w:cs="Times New Roman"/>
          <w:lang w:val="fr-CA"/>
        </w:rPr>
        <w:t xml:space="preserve">. Cette décision </w:t>
      </w:r>
      <w:r>
        <w:rPr>
          <w:rFonts w:cs="Times New Roman"/>
          <w:lang w:val="fr-CA"/>
        </w:rPr>
        <w:t>suppose</w:t>
      </w:r>
      <w:r w:rsidRPr="00CA4523">
        <w:rPr>
          <w:rFonts w:cs="Times New Roman"/>
          <w:lang w:val="fr-CA"/>
        </w:rPr>
        <w:t xml:space="preserve"> nécessairement une comparaison des risques et des avantages que comporte la protection des biens que possède l</w:t>
      </w:r>
      <w:r>
        <w:rPr>
          <w:rFonts w:cs="Times New Roman"/>
          <w:lang w:val="fr-CA"/>
        </w:rPr>
        <w:t>’</w:t>
      </w:r>
      <w:r w:rsidRPr="00CA4523">
        <w:rPr>
          <w:rFonts w:cs="Times New Roman"/>
          <w:lang w:val="fr-CA"/>
        </w:rPr>
        <w:t xml:space="preserve">intéressé dans chaque ressort. </w:t>
      </w:r>
      <w:r>
        <w:rPr>
          <w:rFonts w:cs="Times New Roman"/>
          <w:lang w:val="fr-CA"/>
        </w:rPr>
        <w:t>En définitive</w:t>
      </w:r>
      <w:r w:rsidRPr="00CA4523">
        <w:rPr>
          <w:rFonts w:cs="Times New Roman"/>
          <w:lang w:val="fr-CA"/>
        </w:rPr>
        <w:t>, c</w:t>
      </w:r>
      <w:r>
        <w:rPr>
          <w:rFonts w:cs="Times New Roman"/>
          <w:lang w:val="fr-CA"/>
        </w:rPr>
        <w:t>’</w:t>
      </w:r>
      <w:r w:rsidRPr="00CA4523">
        <w:rPr>
          <w:rFonts w:cs="Times New Roman"/>
          <w:lang w:val="fr-CA"/>
        </w:rPr>
        <w:t>est à chaque défendeur qu</w:t>
      </w:r>
      <w:r>
        <w:rPr>
          <w:rFonts w:cs="Times New Roman"/>
          <w:lang w:val="fr-CA"/>
        </w:rPr>
        <w:t>’</w:t>
      </w:r>
      <w:r w:rsidRPr="00CA4523">
        <w:rPr>
          <w:rFonts w:cs="Times New Roman"/>
          <w:lang w:val="fr-CA"/>
        </w:rPr>
        <w:t>il appartient de trouver la meilleure façon d</w:t>
      </w:r>
      <w:r>
        <w:rPr>
          <w:rFonts w:cs="Times New Roman"/>
          <w:lang w:val="fr-CA"/>
        </w:rPr>
        <w:t>’</w:t>
      </w:r>
      <w:r w:rsidRPr="00CA4523">
        <w:rPr>
          <w:rFonts w:cs="Times New Roman"/>
          <w:lang w:val="fr-CA"/>
        </w:rPr>
        <w:t>aborder ce problème délicat et d</w:t>
      </w:r>
      <w:r>
        <w:rPr>
          <w:rFonts w:cs="Times New Roman"/>
          <w:lang w:val="fr-CA"/>
        </w:rPr>
        <w:t>’</w:t>
      </w:r>
      <w:r w:rsidRPr="00CA4523">
        <w:rPr>
          <w:rFonts w:cs="Times New Roman"/>
          <w:lang w:val="fr-CA"/>
        </w:rPr>
        <w:t>assumer les conséquences de la stratégie qu</w:t>
      </w:r>
      <w:r>
        <w:rPr>
          <w:rFonts w:cs="Times New Roman"/>
          <w:lang w:val="fr-CA"/>
        </w:rPr>
        <w:t>’</w:t>
      </w:r>
      <w:r w:rsidRPr="00CA4523">
        <w:rPr>
          <w:rFonts w:cs="Times New Roman"/>
          <w:lang w:val="fr-CA"/>
        </w:rPr>
        <w:t xml:space="preserve">il choisit. </w:t>
      </w:r>
    </w:p>
    <w:p w:rsidR="00AF6697" w:rsidRPr="003657F3" w:rsidRDefault="00AF6697" w:rsidP="00AF6697">
      <w:pPr>
        <w:pStyle w:val="ParaNoNdepar-AltN"/>
        <w:tabs>
          <w:tab w:val="clear" w:pos="1166"/>
          <w:tab w:val="num" w:pos="1152"/>
        </w:tabs>
        <w:rPr>
          <w:rFonts w:cs="Times New Roman"/>
          <w:lang w:val="fr-CA"/>
        </w:rPr>
      </w:pPr>
      <w:r w:rsidRPr="00CA4523">
        <w:rPr>
          <w:rFonts w:cs="Times New Roman"/>
          <w:lang w:val="fr-CA"/>
        </w:rPr>
        <w:lastRenderedPageBreak/>
        <w:t>L</w:t>
      </w:r>
      <w:r>
        <w:rPr>
          <w:rFonts w:cs="Times New Roman"/>
          <w:lang w:val="fr-CA"/>
        </w:rPr>
        <w:t>’</w:t>
      </w:r>
      <w:r w:rsidRPr="00CA4523">
        <w:rPr>
          <w:rFonts w:cs="Times New Roman"/>
          <w:lang w:val="fr-CA"/>
        </w:rPr>
        <w:t>appelant, M.</w:t>
      </w:r>
      <w:r>
        <w:rPr>
          <w:rFonts w:cs="Times New Roman"/>
          <w:lang w:val="fr-CA"/>
        </w:rPr>
        <w:t> </w:t>
      </w:r>
      <w:r w:rsidRPr="00CA4523">
        <w:rPr>
          <w:rFonts w:cs="Times New Roman"/>
          <w:lang w:val="fr-CA"/>
        </w:rPr>
        <w:t xml:space="preserve">Barer, qui </w:t>
      </w:r>
      <w:r>
        <w:rPr>
          <w:rFonts w:cs="Times New Roman"/>
          <w:lang w:val="fr-CA"/>
        </w:rPr>
        <w:t>réside</w:t>
      </w:r>
      <w:r w:rsidRPr="00CA4523">
        <w:rPr>
          <w:rFonts w:cs="Times New Roman"/>
          <w:lang w:val="fr-CA"/>
        </w:rPr>
        <w:t xml:space="preserve"> au Québec, a été poursuivi à titre personnel, conjointement avec deux sociétés dont il aurait eu </w:t>
      </w:r>
      <w:r>
        <w:rPr>
          <w:rFonts w:cs="Times New Roman"/>
          <w:lang w:val="fr-CA"/>
        </w:rPr>
        <w:t>le contrôle —</w:t>
      </w:r>
      <w:r w:rsidRPr="00CA4523">
        <w:rPr>
          <w:rFonts w:cs="Times New Roman"/>
          <w:lang w:val="fr-CA"/>
        </w:rPr>
        <w:t xml:space="preserve"> Central Bearing Corporation Ltd</w:t>
      </w:r>
      <w:r>
        <w:rPr>
          <w:rFonts w:cs="Times New Roman"/>
          <w:lang w:val="fr-CA"/>
        </w:rPr>
        <w:t>.</w:t>
      </w:r>
      <w:r w:rsidRPr="00CA4523">
        <w:rPr>
          <w:rFonts w:cs="Times New Roman"/>
          <w:lang w:val="fr-CA"/>
        </w:rPr>
        <w:t xml:space="preserve"> (</w:t>
      </w:r>
      <w:r>
        <w:rPr>
          <w:rFonts w:cs="Times New Roman"/>
          <w:lang w:val="fr-CA"/>
        </w:rPr>
        <w:t>« </w:t>
      </w:r>
      <w:r w:rsidRPr="00CA4523">
        <w:rPr>
          <w:rFonts w:cs="Times New Roman"/>
          <w:lang w:val="fr-CA"/>
        </w:rPr>
        <w:t>CBC</w:t>
      </w:r>
      <w:r>
        <w:rPr>
          <w:rFonts w:cs="Times New Roman"/>
          <w:lang w:val="fr-CA"/>
        </w:rPr>
        <w:t> »</w:t>
      </w:r>
      <w:r w:rsidRPr="00CA4523">
        <w:rPr>
          <w:rFonts w:cs="Times New Roman"/>
          <w:lang w:val="fr-CA"/>
        </w:rPr>
        <w:t>) et Barer Engineering Company of America (</w:t>
      </w:r>
      <w:r>
        <w:rPr>
          <w:rFonts w:cs="Times New Roman"/>
          <w:lang w:val="fr-CA"/>
        </w:rPr>
        <w:t>« </w:t>
      </w:r>
      <w:r w:rsidRPr="00CA4523">
        <w:rPr>
          <w:rFonts w:cs="Times New Roman"/>
          <w:lang w:val="fr-CA"/>
        </w:rPr>
        <w:t>BEC</w:t>
      </w:r>
      <w:r>
        <w:rPr>
          <w:rFonts w:cs="Times New Roman"/>
          <w:lang w:val="fr-CA"/>
        </w:rPr>
        <w:t> »</w:t>
      </w:r>
      <w:r w:rsidRPr="00CA4523">
        <w:rPr>
          <w:rFonts w:cs="Times New Roman"/>
          <w:lang w:val="fr-CA"/>
        </w:rPr>
        <w:t xml:space="preserve">) </w:t>
      </w:r>
      <w:r>
        <w:rPr>
          <w:rFonts w:cs="Times New Roman"/>
          <w:lang w:val="fr-CA"/>
        </w:rPr>
        <w:t>—,</w:t>
      </w:r>
      <w:r w:rsidRPr="00CA4523">
        <w:rPr>
          <w:rFonts w:cs="Times New Roman"/>
          <w:lang w:val="fr-CA"/>
        </w:rPr>
        <w:t xml:space="preserve"> devant </w:t>
      </w:r>
      <w:r>
        <w:rPr>
          <w:rFonts w:eastAsia="Times New Roman" w:cs="Times New Roman"/>
          <w:szCs w:val="24"/>
          <w:lang w:val="fr-CA" w:eastAsia="en-CA"/>
        </w:rPr>
        <w:t>la Cour</w:t>
      </w:r>
      <w:r w:rsidRPr="00CA4523">
        <w:rPr>
          <w:rFonts w:eastAsia="Times New Roman" w:cs="Times New Roman"/>
          <w:szCs w:val="24"/>
          <w:lang w:val="fr-CA" w:eastAsia="en-CA"/>
        </w:rPr>
        <w:t xml:space="preserve"> de district des États</w:t>
      </w:r>
      <w:r>
        <w:rPr>
          <w:rFonts w:eastAsia="Times New Roman" w:cs="Times New Roman"/>
          <w:szCs w:val="24"/>
          <w:lang w:val="fr-CA" w:eastAsia="en-CA"/>
        </w:rPr>
        <w:noBreakHyphen/>
      </w:r>
      <w:r w:rsidRPr="00CA4523">
        <w:rPr>
          <w:rFonts w:eastAsia="Times New Roman" w:cs="Times New Roman"/>
          <w:szCs w:val="24"/>
          <w:lang w:val="fr-CA" w:eastAsia="en-CA"/>
        </w:rPr>
        <w:t xml:space="preserve">Unis, division centrale du district </w:t>
      </w:r>
      <w:r w:rsidRPr="00025D88">
        <w:rPr>
          <w:rFonts w:eastAsia="Times New Roman" w:cs="Times New Roman"/>
          <w:szCs w:val="24"/>
          <w:lang w:val="fr-CA" w:eastAsia="en-CA"/>
        </w:rPr>
        <w:t>de l</w:t>
      </w:r>
      <w:r>
        <w:rPr>
          <w:rFonts w:eastAsia="Times New Roman" w:cs="Times New Roman"/>
          <w:szCs w:val="24"/>
          <w:lang w:val="fr-CA" w:eastAsia="en-CA"/>
        </w:rPr>
        <w:t>’</w:t>
      </w:r>
      <w:r w:rsidRPr="00025D88">
        <w:rPr>
          <w:rFonts w:eastAsia="Times New Roman" w:cs="Times New Roman"/>
          <w:szCs w:val="24"/>
          <w:lang w:val="fr-CA" w:eastAsia="en-CA"/>
        </w:rPr>
        <w:t>Utah (« </w:t>
      </w:r>
      <w:r w:rsidRPr="00025D88">
        <w:rPr>
          <w:rFonts w:cs="Times New Roman"/>
          <w:lang w:val="fr-CA"/>
        </w:rPr>
        <w:t>tribunal de l</w:t>
      </w:r>
      <w:r>
        <w:rPr>
          <w:rFonts w:cs="Times New Roman"/>
          <w:lang w:val="fr-CA"/>
        </w:rPr>
        <w:t>’</w:t>
      </w:r>
      <w:r w:rsidRPr="00025D88">
        <w:rPr>
          <w:rFonts w:cs="Times New Roman"/>
          <w:lang w:val="fr-CA"/>
        </w:rPr>
        <w:t xml:space="preserve">Utah »). </w:t>
      </w:r>
      <w:r>
        <w:rPr>
          <w:rFonts w:cs="Times New Roman"/>
          <w:lang w:val="fr-CA"/>
        </w:rPr>
        <w:t>L’</w:t>
      </w:r>
      <w:r w:rsidRPr="00025D88">
        <w:rPr>
          <w:rFonts w:cs="Times New Roman"/>
          <w:lang w:val="fr-CA"/>
        </w:rPr>
        <w:t>intimée</w:t>
      </w:r>
      <w:r w:rsidRPr="00CA4523">
        <w:rPr>
          <w:rFonts w:cs="Times New Roman"/>
          <w:lang w:val="fr-CA"/>
        </w:rPr>
        <w:t>, Knight </w:t>
      </w:r>
      <w:r w:rsidRPr="00D34B07">
        <w:rPr>
          <w:rFonts w:cs="Times New Roman"/>
          <w:lang w:val="fr-CA"/>
        </w:rPr>
        <w:t>Brothers LL</w:t>
      </w:r>
      <w:r>
        <w:rPr>
          <w:rFonts w:cs="Times New Roman"/>
          <w:lang w:val="fr-CA"/>
        </w:rPr>
        <w:t>C</w:t>
      </w:r>
      <w:r w:rsidRPr="00D34B07">
        <w:rPr>
          <w:rFonts w:cs="Times New Roman"/>
          <w:lang w:val="fr-CA"/>
        </w:rPr>
        <w:t xml:space="preserve"> (</w:t>
      </w:r>
      <w:r>
        <w:rPr>
          <w:rFonts w:cs="Times New Roman"/>
          <w:lang w:val="fr-CA"/>
        </w:rPr>
        <w:t>« </w:t>
      </w:r>
      <w:r w:rsidRPr="00CA4523">
        <w:rPr>
          <w:rFonts w:cs="Times New Roman"/>
          <w:lang w:val="fr-CA"/>
        </w:rPr>
        <w:t>Knight</w:t>
      </w:r>
      <w:r>
        <w:rPr>
          <w:rFonts w:cs="Times New Roman"/>
          <w:lang w:val="fr-CA"/>
        </w:rPr>
        <w:t> »</w:t>
      </w:r>
      <w:r w:rsidRPr="00CA4523">
        <w:rPr>
          <w:rFonts w:cs="Times New Roman"/>
          <w:lang w:val="fr-CA"/>
        </w:rPr>
        <w:t>),</w:t>
      </w:r>
      <w:r>
        <w:rPr>
          <w:rFonts w:cs="Times New Roman"/>
          <w:lang w:val="fr-CA"/>
        </w:rPr>
        <w:t xml:space="preserve"> </w:t>
      </w:r>
      <w:r w:rsidRPr="00025D88">
        <w:rPr>
          <w:rFonts w:cs="Times New Roman"/>
          <w:lang w:val="fr-CA"/>
        </w:rPr>
        <w:t>avait intenté</w:t>
      </w:r>
      <w:r>
        <w:rPr>
          <w:rFonts w:cs="Times New Roman"/>
          <w:lang w:val="fr-CA"/>
        </w:rPr>
        <w:t xml:space="preserve"> une poursuite et</w:t>
      </w:r>
      <w:r w:rsidRPr="00CA4523">
        <w:rPr>
          <w:rFonts w:cs="Times New Roman"/>
          <w:lang w:val="fr-CA"/>
        </w:rPr>
        <w:t xml:space="preserve"> affirmait que BEC avait un solde dû aux termes d</w:t>
      </w:r>
      <w:r>
        <w:rPr>
          <w:rFonts w:cs="Times New Roman"/>
          <w:lang w:val="fr-CA"/>
        </w:rPr>
        <w:t>’</w:t>
      </w:r>
      <w:r w:rsidRPr="00CA4523">
        <w:rPr>
          <w:rFonts w:cs="Times New Roman"/>
          <w:lang w:val="fr-CA"/>
        </w:rPr>
        <w:t xml:space="preserve">un contrat intervenu entre </w:t>
      </w:r>
      <w:r>
        <w:rPr>
          <w:rFonts w:cs="Times New Roman"/>
          <w:lang w:val="fr-CA"/>
        </w:rPr>
        <w:t>elles</w:t>
      </w:r>
      <w:r w:rsidRPr="00CA4523">
        <w:rPr>
          <w:rFonts w:cs="Times New Roman"/>
          <w:lang w:val="fr-CA"/>
        </w:rPr>
        <w:t>. Knight souten</w:t>
      </w:r>
      <w:r>
        <w:rPr>
          <w:rFonts w:cs="Times New Roman"/>
          <w:lang w:val="fr-CA"/>
        </w:rPr>
        <w:t>ait aussi</w:t>
      </w:r>
      <w:r w:rsidRPr="00CA4523">
        <w:rPr>
          <w:rFonts w:cs="Times New Roman"/>
          <w:lang w:val="fr-CA"/>
        </w:rPr>
        <w:t xml:space="preserve"> que M.</w:t>
      </w:r>
      <w:r>
        <w:rPr>
          <w:rFonts w:cs="Times New Roman"/>
          <w:lang w:val="fr-CA"/>
        </w:rPr>
        <w:t> </w:t>
      </w:r>
      <w:r w:rsidRPr="00CA4523">
        <w:rPr>
          <w:rFonts w:cs="Times New Roman"/>
          <w:lang w:val="fr-CA"/>
        </w:rPr>
        <w:t xml:space="preserve">Barer avait </w:t>
      </w:r>
      <w:r w:rsidRPr="003657F3">
        <w:rPr>
          <w:rFonts w:cs="Times New Roman"/>
          <w:lang w:val="fr-CA"/>
        </w:rPr>
        <w:t>faussement déclaré que les défendeurs allaient payer une certaine somme, qu</w:t>
      </w:r>
      <w:r>
        <w:rPr>
          <w:rFonts w:cs="Times New Roman"/>
          <w:lang w:val="fr-CA"/>
        </w:rPr>
        <w:t>’</w:t>
      </w:r>
      <w:r w:rsidRPr="003657F3">
        <w:rPr>
          <w:rFonts w:cs="Times New Roman"/>
          <w:lang w:val="fr-CA"/>
        </w:rPr>
        <w:t>il fallait lever le voile de la personnalité morale des deux sociétés et que les défendeurs s</w:t>
      </w:r>
      <w:r>
        <w:rPr>
          <w:rFonts w:cs="Times New Roman"/>
          <w:lang w:val="fr-CA"/>
        </w:rPr>
        <w:t>’</w:t>
      </w:r>
      <w:r w:rsidRPr="003657F3">
        <w:rPr>
          <w:rFonts w:cs="Times New Roman"/>
          <w:lang w:val="fr-CA"/>
        </w:rPr>
        <w:t>étaient tous injustement enrichis.</w:t>
      </w:r>
    </w:p>
    <w:p w:rsidR="00AF6697" w:rsidRPr="00CA4523" w:rsidRDefault="00AF6697" w:rsidP="00AF6697">
      <w:pPr>
        <w:pStyle w:val="ParaNoNdepar-AltN"/>
        <w:tabs>
          <w:tab w:val="clear" w:pos="1166"/>
          <w:tab w:val="num" w:pos="1152"/>
        </w:tabs>
        <w:rPr>
          <w:rFonts w:cs="Times New Roman"/>
          <w:lang w:val="fr-CA"/>
        </w:rPr>
      </w:pPr>
      <w:r w:rsidRPr="003657F3">
        <w:rPr>
          <w:rFonts w:cs="Times New Roman"/>
          <w:lang w:val="fr-CA"/>
        </w:rPr>
        <w:t>CBC n</w:t>
      </w:r>
      <w:r>
        <w:rPr>
          <w:rFonts w:cs="Times New Roman"/>
          <w:lang w:val="fr-CA"/>
        </w:rPr>
        <w:t>’</w:t>
      </w:r>
      <w:r w:rsidRPr="003657F3">
        <w:rPr>
          <w:rFonts w:cs="Times New Roman"/>
          <w:lang w:val="fr-CA"/>
        </w:rPr>
        <w:t>a pas présenté de défense, tandis que BEC s</w:t>
      </w:r>
      <w:r>
        <w:rPr>
          <w:rFonts w:cs="Times New Roman"/>
          <w:lang w:val="fr-CA"/>
        </w:rPr>
        <w:t>’</w:t>
      </w:r>
      <w:r w:rsidRPr="003657F3">
        <w:rPr>
          <w:rFonts w:cs="Times New Roman"/>
          <w:lang w:val="fr-CA"/>
        </w:rPr>
        <w:t>est défendue sur le fond et a présenté une demande reconventionnelle. M. Barer a préféré une troisième approche</w:t>
      </w:r>
      <w:r>
        <w:rPr>
          <w:rFonts w:cs="Times New Roman"/>
          <w:lang w:val="fr-CA"/>
        </w:rPr>
        <w:t> :</w:t>
      </w:r>
      <w:r w:rsidRPr="003657F3">
        <w:rPr>
          <w:rFonts w:cs="Times New Roman"/>
          <w:lang w:val="fr-CA"/>
        </w:rPr>
        <w:t xml:space="preserve"> il a soulevé des moyens préliminaires dans le cadre d</w:t>
      </w:r>
      <w:r>
        <w:rPr>
          <w:rFonts w:cs="Times New Roman"/>
          <w:lang w:val="fr-CA"/>
        </w:rPr>
        <w:t>’</w:t>
      </w:r>
      <w:r w:rsidRPr="003657F3">
        <w:rPr>
          <w:rFonts w:cs="Times New Roman"/>
          <w:lang w:val="fr-CA"/>
        </w:rPr>
        <w:t>une requête en irrecevabilité. Il a fait valoir que</w:t>
      </w:r>
      <w:r>
        <w:rPr>
          <w:rFonts w:cs="Times New Roman"/>
          <w:lang w:val="fr-CA"/>
        </w:rPr>
        <w:t xml:space="preserve"> : </w:t>
      </w:r>
      <w:r w:rsidR="00947109">
        <w:rPr>
          <w:rFonts w:cs="Times New Roman"/>
          <w:lang w:val="fr-CA"/>
        </w:rPr>
        <w:t>(</w:t>
      </w:r>
      <w:r>
        <w:rPr>
          <w:rFonts w:cs="Times New Roman"/>
          <w:lang w:val="fr-CA"/>
        </w:rPr>
        <w:t>1) </w:t>
      </w:r>
      <w:r w:rsidRPr="003657F3">
        <w:rPr>
          <w:rFonts w:cs="Times New Roman"/>
          <w:lang w:val="fr-CA"/>
        </w:rPr>
        <w:t>la demande de Knight fondée sur de fausses déclarations était irrecevable en droit;</w:t>
      </w:r>
      <w:r>
        <w:rPr>
          <w:rFonts w:cs="Times New Roman"/>
          <w:lang w:val="fr-CA"/>
        </w:rPr>
        <w:t xml:space="preserve"> </w:t>
      </w:r>
      <w:r w:rsidR="00947109">
        <w:rPr>
          <w:rFonts w:cs="Times New Roman"/>
          <w:lang w:val="fr-CA"/>
        </w:rPr>
        <w:t>(</w:t>
      </w:r>
      <w:r>
        <w:rPr>
          <w:rFonts w:cs="Times New Roman"/>
          <w:lang w:val="fr-CA"/>
        </w:rPr>
        <w:t>2) </w:t>
      </w:r>
      <w:r w:rsidRPr="003657F3">
        <w:rPr>
          <w:rFonts w:cs="Times New Roman"/>
          <w:lang w:val="fr-CA"/>
        </w:rPr>
        <w:t>le tribunal de l</w:t>
      </w:r>
      <w:r>
        <w:rPr>
          <w:rFonts w:cs="Times New Roman"/>
          <w:lang w:val="fr-CA"/>
        </w:rPr>
        <w:t>’</w:t>
      </w:r>
      <w:r w:rsidRPr="003657F3">
        <w:rPr>
          <w:rFonts w:cs="Times New Roman"/>
          <w:lang w:val="fr-CA"/>
        </w:rPr>
        <w:t>Utah n</w:t>
      </w:r>
      <w:r>
        <w:rPr>
          <w:rFonts w:cs="Times New Roman"/>
          <w:lang w:val="fr-CA"/>
        </w:rPr>
        <w:t>’</w:t>
      </w:r>
      <w:r w:rsidRPr="003657F3">
        <w:rPr>
          <w:rFonts w:cs="Times New Roman"/>
          <w:lang w:val="fr-CA"/>
        </w:rPr>
        <w:t xml:space="preserve">avait pas compétence à son égard à titre personnel; et </w:t>
      </w:r>
      <w:r w:rsidR="00947109">
        <w:rPr>
          <w:rFonts w:cs="Times New Roman"/>
          <w:lang w:val="fr-CA"/>
        </w:rPr>
        <w:t>(</w:t>
      </w:r>
      <w:r>
        <w:rPr>
          <w:rFonts w:cs="Times New Roman"/>
          <w:lang w:val="fr-CA"/>
        </w:rPr>
        <w:t>3) </w:t>
      </w:r>
      <w:r w:rsidRPr="003657F3">
        <w:rPr>
          <w:rFonts w:cs="Times New Roman"/>
          <w:lang w:val="fr-CA"/>
        </w:rPr>
        <w:t>Knight n</w:t>
      </w:r>
      <w:r>
        <w:rPr>
          <w:rFonts w:cs="Times New Roman"/>
          <w:lang w:val="fr-CA"/>
        </w:rPr>
        <w:t>’</w:t>
      </w:r>
      <w:r w:rsidRPr="003657F3">
        <w:rPr>
          <w:rFonts w:cs="Times New Roman"/>
          <w:lang w:val="fr-CA"/>
        </w:rPr>
        <w:t>avait pas démontré qu</w:t>
      </w:r>
      <w:r>
        <w:rPr>
          <w:rFonts w:cs="Times New Roman"/>
          <w:lang w:val="fr-CA"/>
        </w:rPr>
        <w:t>’</w:t>
      </w:r>
      <w:r w:rsidRPr="003657F3">
        <w:rPr>
          <w:rFonts w:cs="Times New Roman"/>
          <w:lang w:val="fr-CA"/>
        </w:rPr>
        <w:t>il y avait lieu de lever le voile de la personnalité morale. Un juge de l</w:t>
      </w:r>
      <w:r>
        <w:rPr>
          <w:rFonts w:cs="Times New Roman"/>
          <w:lang w:val="fr-CA"/>
        </w:rPr>
        <w:t>’</w:t>
      </w:r>
      <w:r w:rsidRPr="003657F3">
        <w:rPr>
          <w:rFonts w:cs="Times New Roman"/>
          <w:lang w:val="fr-CA"/>
        </w:rPr>
        <w:t>Utah a rejeté la requête</w:t>
      </w:r>
      <w:r w:rsidRPr="00CA4523">
        <w:rPr>
          <w:rFonts w:cs="Times New Roman"/>
          <w:lang w:val="fr-CA"/>
        </w:rPr>
        <w:t xml:space="preserve"> de M.</w:t>
      </w:r>
      <w:r>
        <w:rPr>
          <w:rFonts w:cs="Times New Roman"/>
          <w:lang w:val="fr-CA"/>
        </w:rPr>
        <w:t> </w:t>
      </w:r>
      <w:r w:rsidRPr="00CA4523">
        <w:rPr>
          <w:rFonts w:cs="Times New Roman"/>
          <w:lang w:val="fr-CA"/>
        </w:rPr>
        <w:t>Barer.</w:t>
      </w:r>
    </w:p>
    <w:p w:rsidR="00AF6697" w:rsidRDefault="00AF6697" w:rsidP="00AF6697">
      <w:pPr>
        <w:pStyle w:val="ParaNoNdepar-AltN"/>
        <w:tabs>
          <w:tab w:val="clear" w:pos="1166"/>
          <w:tab w:val="num" w:pos="1152"/>
        </w:tabs>
        <w:rPr>
          <w:rFonts w:cs="Times New Roman"/>
          <w:lang w:val="fr-CA"/>
        </w:rPr>
      </w:pPr>
      <w:r>
        <w:rPr>
          <w:rFonts w:cs="Times New Roman"/>
          <w:lang w:val="fr-CA"/>
        </w:rPr>
        <w:t>L</w:t>
      </w:r>
      <w:r w:rsidRPr="00CA4523">
        <w:rPr>
          <w:rFonts w:cs="Times New Roman"/>
          <w:lang w:val="fr-CA"/>
        </w:rPr>
        <w:t>e tribunal de l</w:t>
      </w:r>
      <w:r>
        <w:rPr>
          <w:rFonts w:cs="Times New Roman"/>
          <w:lang w:val="fr-CA"/>
        </w:rPr>
        <w:t>’</w:t>
      </w:r>
      <w:r w:rsidRPr="00CA4523">
        <w:rPr>
          <w:rFonts w:cs="Times New Roman"/>
          <w:lang w:val="fr-CA"/>
        </w:rPr>
        <w:t xml:space="preserve">Utah </w:t>
      </w:r>
      <w:r>
        <w:rPr>
          <w:rFonts w:cs="Times New Roman"/>
          <w:lang w:val="fr-CA"/>
        </w:rPr>
        <w:t xml:space="preserve">a subséquemment rendu un jugement par défaut </w:t>
      </w:r>
      <w:r w:rsidRPr="00CA4523">
        <w:rPr>
          <w:rFonts w:cs="Times New Roman"/>
          <w:lang w:val="fr-CA"/>
        </w:rPr>
        <w:t>contre les trois défendeurs (</w:t>
      </w:r>
      <w:r>
        <w:rPr>
          <w:rFonts w:cs="Times New Roman"/>
          <w:lang w:val="fr-CA"/>
        </w:rPr>
        <w:t>« </w:t>
      </w:r>
      <w:r w:rsidRPr="00CA4523">
        <w:rPr>
          <w:rFonts w:cs="Times New Roman"/>
          <w:lang w:val="fr-CA"/>
        </w:rPr>
        <w:t>décision de l</w:t>
      </w:r>
      <w:r>
        <w:rPr>
          <w:rFonts w:cs="Times New Roman"/>
          <w:lang w:val="fr-CA"/>
        </w:rPr>
        <w:t>’</w:t>
      </w:r>
      <w:r w:rsidRPr="00CA4523">
        <w:rPr>
          <w:rFonts w:cs="Times New Roman"/>
          <w:lang w:val="fr-CA"/>
        </w:rPr>
        <w:t>Utah</w:t>
      </w:r>
      <w:r>
        <w:rPr>
          <w:rFonts w:cs="Times New Roman"/>
          <w:lang w:val="fr-CA"/>
        </w:rPr>
        <w:t> »</w:t>
      </w:r>
      <w:r w:rsidRPr="00CA4523">
        <w:rPr>
          <w:rFonts w:cs="Times New Roman"/>
          <w:lang w:val="fr-CA"/>
        </w:rPr>
        <w:t xml:space="preserve">). </w:t>
      </w:r>
      <w:r w:rsidRPr="003657F3">
        <w:rPr>
          <w:rFonts w:cs="Times New Roman"/>
          <w:lang w:val="fr-CA"/>
        </w:rPr>
        <w:t>Knight a alors demandé la reconnaissance de cette décision au Québec et une déclaration selon laquelle elle est opposable à M. Barer. La Cour supérieure a jugé que la</w:t>
      </w:r>
      <w:r w:rsidRPr="00CA4523">
        <w:rPr>
          <w:rFonts w:cs="Times New Roman"/>
          <w:lang w:val="fr-CA"/>
        </w:rPr>
        <w:t xml:space="preserve"> compétence du tribunal de l</w:t>
      </w:r>
      <w:r>
        <w:rPr>
          <w:rFonts w:cs="Times New Roman"/>
          <w:lang w:val="fr-CA"/>
        </w:rPr>
        <w:t>’</w:t>
      </w:r>
      <w:r w:rsidRPr="00CA4523">
        <w:rPr>
          <w:rFonts w:cs="Times New Roman"/>
          <w:lang w:val="fr-CA"/>
        </w:rPr>
        <w:t xml:space="preserve">Utah </w:t>
      </w:r>
      <w:r>
        <w:rPr>
          <w:rFonts w:cs="Times New Roman"/>
          <w:lang w:val="fr-CA"/>
        </w:rPr>
        <w:t>pou</w:t>
      </w:r>
      <w:r w:rsidRPr="00CA4523">
        <w:rPr>
          <w:rFonts w:cs="Times New Roman"/>
          <w:lang w:val="fr-CA"/>
        </w:rPr>
        <w:t xml:space="preserve">vait être reconnue, et ce, pour trois motifs. </w:t>
      </w:r>
      <w:r>
        <w:rPr>
          <w:rFonts w:cs="Times New Roman"/>
          <w:lang w:val="fr-CA"/>
        </w:rPr>
        <w:t>D</w:t>
      </w:r>
      <w:r w:rsidRPr="00CA4523">
        <w:rPr>
          <w:rFonts w:cs="Times New Roman"/>
          <w:lang w:val="fr-CA"/>
        </w:rPr>
        <w:t xml:space="preserve">eux de ces motifs avaient trait </w:t>
      </w:r>
      <w:r w:rsidRPr="00CA4523">
        <w:rPr>
          <w:rFonts w:cs="Times New Roman"/>
          <w:lang w:val="fr-CA"/>
        </w:rPr>
        <w:lastRenderedPageBreak/>
        <w:t>au contrat intervenu entre Knight et BEC et à la promesse de payer qu</w:t>
      </w:r>
      <w:r>
        <w:rPr>
          <w:rFonts w:cs="Times New Roman"/>
          <w:lang w:val="fr-CA"/>
        </w:rPr>
        <w:t>’</w:t>
      </w:r>
      <w:r w:rsidRPr="00CA4523">
        <w:rPr>
          <w:rFonts w:cs="Times New Roman"/>
          <w:lang w:val="fr-CA"/>
        </w:rPr>
        <w:t xml:space="preserve">aurait faite M. Barer. </w:t>
      </w:r>
      <w:r>
        <w:rPr>
          <w:rFonts w:cs="Times New Roman"/>
          <w:lang w:val="fr-CA"/>
        </w:rPr>
        <w:t>Le</w:t>
      </w:r>
      <w:r w:rsidRPr="00CA4523">
        <w:rPr>
          <w:rFonts w:cs="Times New Roman"/>
          <w:lang w:val="fr-CA"/>
        </w:rPr>
        <w:t xml:space="preserve"> principal</w:t>
      </w:r>
      <w:r>
        <w:rPr>
          <w:rFonts w:cs="Times New Roman"/>
          <w:lang w:val="fr-CA"/>
        </w:rPr>
        <w:t xml:space="preserve"> motif pour</w:t>
      </w:r>
      <w:r w:rsidRPr="00CA4523">
        <w:rPr>
          <w:rFonts w:cs="Times New Roman"/>
          <w:lang w:val="fr-CA"/>
        </w:rPr>
        <w:t xml:space="preserve"> reconnaître la décision de l</w:t>
      </w:r>
      <w:r>
        <w:rPr>
          <w:rFonts w:cs="Times New Roman"/>
          <w:lang w:val="fr-CA"/>
        </w:rPr>
        <w:t>’</w:t>
      </w:r>
      <w:r w:rsidRPr="00CA4523">
        <w:rPr>
          <w:rFonts w:cs="Times New Roman"/>
          <w:lang w:val="fr-CA"/>
        </w:rPr>
        <w:t xml:space="preserve">Utah tenait </w:t>
      </w:r>
      <w:r>
        <w:rPr>
          <w:rFonts w:cs="Times New Roman"/>
          <w:lang w:val="fr-CA"/>
        </w:rPr>
        <w:t xml:space="preserve">toutefois </w:t>
      </w:r>
      <w:r w:rsidRPr="00CA4523">
        <w:rPr>
          <w:rFonts w:cs="Times New Roman"/>
          <w:lang w:val="fr-CA"/>
        </w:rPr>
        <w:t>au fait que M.</w:t>
      </w:r>
      <w:r>
        <w:rPr>
          <w:rFonts w:cs="Times New Roman"/>
          <w:lang w:val="fr-CA"/>
        </w:rPr>
        <w:t> </w:t>
      </w:r>
      <w:r w:rsidRPr="00CA4523">
        <w:rPr>
          <w:rFonts w:cs="Times New Roman"/>
          <w:lang w:val="fr-CA"/>
        </w:rPr>
        <w:t xml:space="preserve">Barer avait reconnu la compétence du tribunal </w:t>
      </w:r>
      <w:r>
        <w:rPr>
          <w:rFonts w:cs="Times New Roman"/>
          <w:lang w:val="fr-CA"/>
        </w:rPr>
        <w:t>qui l’avait rendue</w:t>
      </w:r>
      <w:r w:rsidRPr="00CA4523">
        <w:rPr>
          <w:rFonts w:cs="Times New Roman"/>
          <w:lang w:val="fr-CA"/>
        </w:rPr>
        <w:t xml:space="preserve">. La Cour </w:t>
      </w:r>
      <w:r w:rsidRPr="00025D88">
        <w:rPr>
          <w:rFonts w:cs="Times New Roman"/>
          <w:lang w:val="fr-CA"/>
        </w:rPr>
        <w:t>d</w:t>
      </w:r>
      <w:r>
        <w:rPr>
          <w:rFonts w:cs="Times New Roman"/>
          <w:lang w:val="fr-CA"/>
        </w:rPr>
        <w:t>’</w:t>
      </w:r>
      <w:r w:rsidRPr="00025D88">
        <w:rPr>
          <w:rFonts w:cs="Times New Roman"/>
          <w:lang w:val="fr-CA"/>
        </w:rPr>
        <w:t>appel a débouté M.</w:t>
      </w:r>
      <w:r>
        <w:rPr>
          <w:rFonts w:cs="Times New Roman"/>
          <w:lang w:val="fr-CA"/>
        </w:rPr>
        <w:t> </w:t>
      </w:r>
      <w:r w:rsidRPr="00025D88">
        <w:rPr>
          <w:rFonts w:cs="Times New Roman"/>
          <w:lang w:val="fr-CA"/>
        </w:rPr>
        <w:t xml:space="preserve">Barer de son appel. </w:t>
      </w:r>
      <w:bookmarkStart w:id="1" w:name="_Hlk525739064"/>
    </w:p>
    <w:p w:rsidR="00AF6697" w:rsidRPr="00025D88" w:rsidRDefault="00AF6697" w:rsidP="00AF6697">
      <w:pPr>
        <w:pStyle w:val="ParaNoNdepar-AltN"/>
        <w:tabs>
          <w:tab w:val="clear" w:pos="1166"/>
          <w:tab w:val="num" w:pos="1152"/>
        </w:tabs>
        <w:rPr>
          <w:rFonts w:cs="Times New Roman"/>
          <w:lang w:val="fr-CA"/>
        </w:rPr>
      </w:pPr>
      <w:r w:rsidRPr="00025D88">
        <w:rPr>
          <w:rFonts w:cs="Times New Roman"/>
          <w:lang w:val="fr-CA"/>
        </w:rPr>
        <w:t xml:space="preserve">Je conviens avec les </w:t>
      </w:r>
      <w:r>
        <w:rPr>
          <w:rFonts w:cs="Times New Roman"/>
          <w:lang w:val="fr-CA"/>
        </w:rPr>
        <w:t>cours</w:t>
      </w:r>
      <w:r w:rsidRPr="00025D88">
        <w:rPr>
          <w:rFonts w:cs="Times New Roman"/>
          <w:lang w:val="fr-CA"/>
        </w:rPr>
        <w:t xml:space="preserve"> d</w:t>
      </w:r>
      <w:r>
        <w:rPr>
          <w:rFonts w:cs="Times New Roman"/>
          <w:lang w:val="fr-CA"/>
        </w:rPr>
        <w:t>’</w:t>
      </w:r>
      <w:r w:rsidRPr="00025D88">
        <w:rPr>
          <w:rFonts w:cs="Times New Roman"/>
          <w:lang w:val="fr-CA"/>
        </w:rPr>
        <w:t>instances inférieures qu</w:t>
      </w:r>
      <w:r>
        <w:rPr>
          <w:rFonts w:cs="Times New Roman"/>
          <w:lang w:val="fr-CA"/>
        </w:rPr>
        <w:t>’</w:t>
      </w:r>
      <w:r w:rsidRPr="00025D88">
        <w:rPr>
          <w:rFonts w:cs="Times New Roman"/>
          <w:lang w:val="fr-CA"/>
        </w:rPr>
        <w:t>il y a lieu de reconnaître la compétence du tribunal de l</w:t>
      </w:r>
      <w:r>
        <w:rPr>
          <w:rFonts w:cs="Times New Roman"/>
          <w:lang w:val="fr-CA"/>
        </w:rPr>
        <w:t>’</w:t>
      </w:r>
      <w:r w:rsidRPr="00025D88">
        <w:rPr>
          <w:rFonts w:cs="Times New Roman"/>
          <w:lang w:val="fr-CA"/>
        </w:rPr>
        <w:t>Utah et je suis d</w:t>
      </w:r>
      <w:r>
        <w:rPr>
          <w:rFonts w:cs="Times New Roman"/>
          <w:lang w:val="fr-CA"/>
        </w:rPr>
        <w:t>’</w:t>
      </w:r>
      <w:r w:rsidRPr="00025D88">
        <w:rPr>
          <w:rFonts w:cs="Times New Roman"/>
          <w:lang w:val="fr-CA"/>
        </w:rPr>
        <w:t>avis de rejeter le pourvoi. En présentant des arguments sur le fond dans le contexte de sa requête en irrecevabilité, M.</w:t>
      </w:r>
      <w:r>
        <w:rPr>
          <w:rFonts w:cs="Times New Roman"/>
          <w:lang w:val="fr-CA"/>
        </w:rPr>
        <w:t> </w:t>
      </w:r>
      <w:r w:rsidRPr="00025D88">
        <w:rPr>
          <w:rFonts w:cs="Times New Roman"/>
          <w:lang w:val="fr-CA"/>
        </w:rPr>
        <w:t>Barer a bel et bien reconnu la compétence du tribunal de l</w:t>
      </w:r>
      <w:r>
        <w:rPr>
          <w:rFonts w:cs="Times New Roman"/>
          <w:lang w:val="fr-CA"/>
        </w:rPr>
        <w:t>’</w:t>
      </w:r>
      <w:r w:rsidRPr="00025D88">
        <w:rPr>
          <w:rFonts w:cs="Times New Roman"/>
          <w:lang w:val="fr-CA"/>
        </w:rPr>
        <w:t xml:space="preserve">Utah comme le prévoit </w:t>
      </w:r>
      <w:r w:rsidR="003A3B54">
        <w:rPr>
          <w:rFonts w:cs="Times New Roman"/>
          <w:lang w:val="fr-CA"/>
        </w:rPr>
        <w:t>le par.</w:t>
      </w:r>
      <w:r>
        <w:rPr>
          <w:rFonts w:cs="Times New Roman"/>
          <w:lang w:val="fr-CA"/>
        </w:rPr>
        <w:t> </w:t>
      </w:r>
      <w:r w:rsidRPr="00025D88">
        <w:rPr>
          <w:rFonts w:cs="Times New Roman"/>
          <w:lang w:val="fr-CA"/>
        </w:rPr>
        <w:t>3168</w:t>
      </w:r>
      <w:r>
        <w:rPr>
          <w:rFonts w:cs="Times New Roman"/>
          <w:lang w:val="fr-CA"/>
        </w:rPr>
        <w:t>(</w:t>
      </w:r>
      <w:r w:rsidRPr="00025D88">
        <w:rPr>
          <w:rFonts w:cs="Times New Roman"/>
          <w:lang w:val="fr-CA"/>
        </w:rPr>
        <w:t>6</w:t>
      </w:r>
      <w:r>
        <w:rPr>
          <w:rFonts w:cs="Times New Roman"/>
          <w:lang w:val="fr-CA"/>
        </w:rPr>
        <w:t xml:space="preserve">) </w:t>
      </w:r>
      <w:r w:rsidRPr="00025D88">
        <w:rPr>
          <w:rFonts w:cs="Times New Roman"/>
          <w:lang w:val="fr-CA"/>
        </w:rPr>
        <w:t xml:space="preserve">du </w:t>
      </w:r>
      <w:r w:rsidRPr="00025D88">
        <w:rPr>
          <w:rFonts w:cs="Times New Roman"/>
          <w:i/>
          <w:lang w:val="fr-CA"/>
        </w:rPr>
        <w:t xml:space="preserve">Code civil du Québec </w:t>
      </w:r>
      <w:r w:rsidRPr="00025D88">
        <w:rPr>
          <w:rFonts w:cs="Times New Roman"/>
          <w:lang w:val="fr-CA"/>
        </w:rPr>
        <w:t>(</w:t>
      </w:r>
      <w:r>
        <w:rPr>
          <w:rFonts w:cs="Times New Roman"/>
          <w:lang w:val="fr-CA"/>
        </w:rPr>
        <w:t>« </w:t>
      </w:r>
      <w:r w:rsidRPr="00025D88">
        <w:rPr>
          <w:rFonts w:cs="Times New Roman"/>
          <w:i/>
          <w:lang w:val="fr-CA"/>
        </w:rPr>
        <w:t>C.c.Q.</w:t>
      </w:r>
      <w:r>
        <w:rPr>
          <w:rFonts w:cs="Times New Roman"/>
          <w:lang w:val="fr-CA"/>
        </w:rPr>
        <w:t xml:space="preserve"> » </w:t>
      </w:r>
      <w:r w:rsidRPr="00025D88">
        <w:rPr>
          <w:rFonts w:cs="Times New Roman"/>
          <w:lang w:val="fr-CA"/>
        </w:rPr>
        <w:t xml:space="preserve">ou </w:t>
      </w:r>
      <w:r>
        <w:rPr>
          <w:rFonts w:cs="Times New Roman"/>
          <w:lang w:val="fr-CA"/>
        </w:rPr>
        <w:t>« </w:t>
      </w:r>
      <w:r w:rsidRPr="00025D88">
        <w:rPr>
          <w:rFonts w:cs="Times New Roman"/>
          <w:i/>
          <w:lang w:val="fr-CA"/>
        </w:rPr>
        <w:t>Code civil</w:t>
      </w:r>
      <w:r>
        <w:rPr>
          <w:rFonts w:cs="Times New Roman"/>
          <w:lang w:val="fr-CA"/>
        </w:rPr>
        <w:t> »</w:t>
      </w:r>
      <w:r w:rsidRPr="00025D88">
        <w:rPr>
          <w:rFonts w:cs="Times New Roman"/>
          <w:lang w:val="fr-CA"/>
        </w:rPr>
        <w:t>). Cela suffit en l</w:t>
      </w:r>
      <w:r>
        <w:rPr>
          <w:rFonts w:cs="Times New Roman"/>
          <w:lang w:val="fr-CA"/>
        </w:rPr>
        <w:t>’</w:t>
      </w:r>
      <w:r w:rsidRPr="00025D88">
        <w:rPr>
          <w:rFonts w:cs="Times New Roman"/>
          <w:lang w:val="fr-CA"/>
        </w:rPr>
        <w:t xml:space="preserve">espèce pour établir </w:t>
      </w:r>
      <w:r>
        <w:rPr>
          <w:rFonts w:cs="Times New Roman"/>
          <w:lang w:val="fr-CA"/>
        </w:rPr>
        <w:t>tout</w:t>
      </w:r>
      <w:r w:rsidRPr="00025D88">
        <w:rPr>
          <w:rFonts w:cs="Times New Roman"/>
          <w:lang w:val="fr-CA"/>
        </w:rPr>
        <w:t xml:space="preserve"> rattachement important qu</w:t>
      </w:r>
      <w:r>
        <w:rPr>
          <w:rFonts w:cs="Times New Roman"/>
          <w:lang w:val="fr-CA"/>
        </w:rPr>
        <w:t>e</w:t>
      </w:r>
      <w:r w:rsidRPr="00025D88">
        <w:rPr>
          <w:rFonts w:cs="Times New Roman"/>
          <w:lang w:val="fr-CA"/>
        </w:rPr>
        <w:t xml:space="preserve"> peut exig</w:t>
      </w:r>
      <w:r>
        <w:rPr>
          <w:rFonts w:cs="Times New Roman"/>
          <w:lang w:val="fr-CA"/>
        </w:rPr>
        <w:t>er</w:t>
      </w:r>
      <w:r w:rsidRPr="00025D88">
        <w:rPr>
          <w:rFonts w:cs="Times New Roman"/>
          <w:lang w:val="fr-CA"/>
        </w:rPr>
        <w:t xml:space="preserve"> l</w:t>
      </w:r>
      <w:r>
        <w:rPr>
          <w:rFonts w:cs="Times New Roman"/>
          <w:lang w:val="fr-CA"/>
        </w:rPr>
        <w:t>’art. </w:t>
      </w:r>
      <w:r w:rsidRPr="00025D88">
        <w:rPr>
          <w:rFonts w:cs="Times New Roman"/>
          <w:lang w:val="fr-CA"/>
        </w:rPr>
        <w:t>3164</w:t>
      </w:r>
      <w:r>
        <w:rPr>
          <w:rFonts w:cs="Times New Roman"/>
          <w:lang w:val="fr-CA"/>
        </w:rPr>
        <w:t> </w:t>
      </w:r>
      <w:r w:rsidRPr="00025D88">
        <w:rPr>
          <w:rFonts w:cs="Times New Roman"/>
          <w:i/>
          <w:lang w:val="fr-CA"/>
        </w:rPr>
        <w:t>C.c.Q.</w:t>
      </w:r>
    </w:p>
    <w:bookmarkEnd w:id="1"/>
    <w:p w:rsidR="00AF6697" w:rsidRPr="00CA4523" w:rsidRDefault="00AF6697" w:rsidP="002970A2">
      <w:pPr>
        <w:pStyle w:val="Title1LevelTitre1Niveau-AltL"/>
        <w:numPr>
          <w:ilvl w:val="0"/>
          <w:numId w:val="14"/>
        </w:numPr>
        <w:tabs>
          <w:tab w:val="left" w:pos="720"/>
        </w:tabs>
        <w:ind w:hanging="1080"/>
        <w:rPr>
          <w:rFonts w:cs="Times New Roman"/>
          <w:lang w:val="fr-CA"/>
        </w:rPr>
      </w:pPr>
      <w:r w:rsidRPr="00CA4523">
        <w:rPr>
          <w:rFonts w:cs="Times New Roman"/>
          <w:lang w:val="fr-CA"/>
        </w:rPr>
        <w:t>Contexte</w:t>
      </w:r>
    </w:p>
    <w:p w:rsidR="00AF6697" w:rsidRPr="00CA4523" w:rsidRDefault="00AF6697" w:rsidP="002970A2">
      <w:pPr>
        <w:pStyle w:val="Title2LevelTitre2Niveau"/>
        <w:numPr>
          <w:ilvl w:val="0"/>
          <w:numId w:val="15"/>
        </w:numPr>
        <w:ind w:hanging="720"/>
        <w:rPr>
          <w:rFonts w:cs="Times New Roman"/>
          <w:lang w:val="fr-CA"/>
        </w:rPr>
      </w:pPr>
      <w:r>
        <w:rPr>
          <w:rFonts w:cs="Times New Roman"/>
          <w:lang w:val="fr-CA"/>
        </w:rPr>
        <w:t>D</w:t>
      </w:r>
      <w:r w:rsidRPr="00CA4523">
        <w:rPr>
          <w:rFonts w:cs="Times New Roman"/>
          <w:lang w:val="fr-CA"/>
        </w:rPr>
        <w:t>ifférend</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M.</w:t>
      </w:r>
      <w:r>
        <w:rPr>
          <w:rFonts w:cs="Times New Roman"/>
          <w:lang w:val="fr-CA"/>
        </w:rPr>
        <w:t> </w:t>
      </w:r>
      <w:r w:rsidRPr="00CA4523">
        <w:rPr>
          <w:rFonts w:cs="Times New Roman"/>
          <w:lang w:val="fr-CA"/>
        </w:rPr>
        <w:t xml:space="preserve">Barer </w:t>
      </w:r>
      <w:r>
        <w:rPr>
          <w:rFonts w:cs="Times New Roman"/>
          <w:lang w:val="fr-CA"/>
        </w:rPr>
        <w:t>réside au</w:t>
      </w:r>
      <w:r w:rsidRPr="00CA4523">
        <w:rPr>
          <w:rFonts w:cs="Times New Roman"/>
          <w:lang w:val="fr-CA"/>
        </w:rPr>
        <w:t xml:space="preserve"> Québec. Il est président </w:t>
      </w:r>
      <w:r>
        <w:rPr>
          <w:rFonts w:cs="Times New Roman"/>
          <w:lang w:val="fr-CA"/>
        </w:rPr>
        <w:t xml:space="preserve">et secrétaire </w:t>
      </w:r>
      <w:r w:rsidRPr="00CA4523">
        <w:rPr>
          <w:rFonts w:cs="Times New Roman"/>
          <w:lang w:val="fr-CA"/>
        </w:rPr>
        <w:t>de CBC, une société dont le siège est situé à Montré</w:t>
      </w:r>
      <w:r>
        <w:rPr>
          <w:rFonts w:cs="Times New Roman"/>
          <w:lang w:val="fr-CA"/>
        </w:rPr>
        <w:t xml:space="preserve">al. Il est </w:t>
      </w:r>
      <w:r w:rsidRPr="003F5FE4">
        <w:rPr>
          <w:rFonts w:cs="Times New Roman"/>
          <w:lang w:val="fr-CA"/>
        </w:rPr>
        <w:t>président par intérim et secrétaire</w:t>
      </w:r>
      <w:r>
        <w:rPr>
          <w:rFonts w:cs="Times New Roman"/>
          <w:lang w:val="fr-CA"/>
        </w:rPr>
        <w:t xml:space="preserve"> de BEC, </w:t>
      </w:r>
      <w:r w:rsidRPr="00CA4523">
        <w:rPr>
          <w:rFonts w:cs="Times New Roman"/>
          <w:lang w:val="fr-CA"/>
        </w:rPr>
        <w:t>dont le siège se trouve au Vermont. En</w:t>
      </w:r>
      <w:r>
        <w:rPr>
          <w:rFonts w:cs="Times New Roman"/>
          <w:lang w:val="fr-CA"/>
        </w:rPr>
        <w:t xml:space="preserve"> </w:t>
      </w:r>
      <w:r w:rsidRPr="00CA4523">
        <w:rPr>
          <w:rFonts w:cs="Times New Roman"/>
          <w:lang w:val="fr-CA"/>
        </w:rPr>
        <w:t>2007, BEC a obtenu un contrat en vue de l</w:t>
      </w:r>
      <w:r>
        <w:rPr>
          <w:rFonts w:cs="Times New Roman"/>
          <w:lang w:val="fr-CA"/>
        </w:rPr>
        <w:t>’</w:t>
      </w:r>
      <w:r w:rsidR="009E5129">
        <w:rPr>
          <w:rFonts w:cs="Times New Roman"/>
          <w:lang w:val="fr-CA"/>
        </w:rPr>
        <w:t>installation de machinerie</w:t>
      </w:r>
      <w:r w:rsidRPr="00CA4523">
        <w:rPr>
          <w:rFonts w:cs="Times New Roman"/>
          <w:lang w:val="fr-CA"/>
        </w:rPr>
        <w:t xml:space="preserve"> </w:t>
      </w:r>
      <w:r w:rsidRPr="00E828CF">
        <w:rPr>
          <w:rFonts w:cs="Times New Roman"/>
          <w:lang w:val="fr-CA"/>
        </w:rPr>
        <w:t>sur une</w:t>
      </w:r>
      <w:r w:rsidRPr="00CA4523">
        <w:rPr>
          <w:rFonts w:cs="Times New Roman"/>
          <w:lang w:val="fr-CA"/>
        </w:rPr>
        <w:t xml:space="preserve"> base militaire </w:t>
      </w:r>
      <w:r>
        <w:rPr>
          <w:rFonts w:cs="Times New Roman"/>
          <w:lang w:val="fr-CA"/>
        </w:rPr>
        <w:t>dans l’Utah</w:t>
      </w:r>
      <w:r w:rsidRPr="00CA4523">
        <w:rPr>
          <w:rFonts w:cs="Times New Roman"/>
          <w:lang w:val="fr-CA"/>
        </w:rPr>
        <w:t>. E</w:t>
      </w:r>
      <w:r>
        <w:rPr>
          <w:rFonts w:cs="Times New Roman"/>
          <w:lang w:val="fr-CA"/>
        </w:rPr>
        <w:t xml:space="preserve">n </w:t>
      </w:r>
      <w:r w:rsidRPr="00CA4523">
        <w:rPr>
          <w:rFonts w:cs="Times New Roman"/>
          <w:lang w:val="fr-CA"/>
        </w:rPr>
        <w:t>2008, elle a sous</w:t>
      </w:r>
      <w:r>
        <w:rPr>
          <w:rFonts w:cs="Times New Roman"/>
          <w:lang w:val="fr-CA"/>
        </w:rPr>
        <w:noBreakHyphen/>
      </w:r>
      <w:r w:rsidRPr="00CA4523">
        <w:rPr>
          <w:rFonts w:cs="Times New Roman"/>
          <w:lang w:val="fr-CA"/>
        </w:rPr>
        <w:t xml:space="preserve">traité une partie des travaux à Knight, dont le siège est </w:t>
      </w:r>
      <w:r w:rsidRPr="003657F3">
        <w:rPr>
          <w:rFonts w:cs="Times New Roman"/>
          <w:lang w:val="fr-CA"/>
        </w:rPr>
        <w:t>situé dans l</w:t>
      </w:r>
      <w:r>
        <w:rPr>
          <w:rFonts w:cs="Times New Roman"/>
          <w:lang w:val="fr-CA"/>
        </w:rPr>
        <w:t>’</w:t>
      </w:r>
      <w:r w:rsidRPr="003657F3">
        <w:rPr>
          <w:rFonts w:cs="Times New Roman"/>
          <w:lang w:val="fr-CA"/>
        </w:rPr>
        <w:t>Utah. Cette dernière était notamment chargée de construire de nouvelles fondations.</w:t>
      </w:r>
      <w:r w:rsidRPr="00CA4523">
        <w:rPr>
          <w:rFonts w:cs="Times New Roman"/>
          <w:lang w:val="fr-CA"/>
        </w:rPr>
        <w:t xml:space="preserve"> Les travaux ont été exécutés </w:t>
      </w:r>
      <w:r>
        <w:rPr>
          <w:rFonts w:cs="Times New Roman"/>
          <w:lang w:val="fr-CA"/>
        </w:rPr>
        <w:t>sur</w:t>
      </w:r>
      <w:r w:rsidRPr="00CA4523">
        <w:rPr>
          <w:rFonts w:cs="Times New Roman"/>
          <w:lang w:val="fr-CA"/>
        </w:rPr>
        <w:t xml:space="preserve"> la base militaire en 2008 et en 2009.</w:t>
      </w:r>
    </w:p>
    <w:p w:rsidR="00AF6697" w:rsidRPr="007B409C" w:rsidRDefault="00AF6697" w:rsidP="00AF6697">
      <w:pPr>
        <w:pStyle w:val="ParaNoNdepar-AltN"/>
        <w:tabs>
          <w:tab w:val="clear" w:pos="1166"/>
          <w:tab w:val="num" w:pos="1152"/>
        </w:tabs>
        <w:rPr>
          <w:rFonts w:cs="Times New Roman"/>
          <w:lang w:val="fr-CA"/>
        </w:rPr>
      </w:pPr>
      <w:r w:rsidRPr="00CA4523">
        <w:rPr>
          <w:rFonts w:cs="Times New Roman"/>
          <w:lang w:val="fr-CA"/>
        </w:rPr>
        <w:t>En 2009, un différend a surgi au sujet du montant dû à Knight pour les travaux de fondations</w:t>
      </w:r>
      <w:r>
        <w:rPr>
          <w:rFonts w:cs="Times New Roman"/>
          <w:lang w:val="fr-CA"/>
        </w:rPr>
        <w:t> :</w:t>
      </w:r>
      <w:r w:rsidRPr="00CA4523">
        <w:rPr>
          <w:rFonts w:cs="Times New Roman"/>
          <w:lang w:val="fr-CA"/>
        </w:rPr>
        <w:t xml:space="preserve"> un premier montant avait été stipulé au contrat initial, mais </w:t>
      </w:r>
      <w:r w:rsidRPr="00CA4523">
        <w:rPr>
          <w:rFonts w:cs="Times New Roman"/>
          <w:lang w:val="fr-CA"/>
        </w:rPr>
        <w:lastRenderedPageBreak/>
        <w:t xml:space="preserve">Knight </w:t>
      </w:r>
      <w:r>
        <w:rPr>
          <w:rFonts w:cs="Times New Roman"/>
          <w:lang w:val="fr-CA"/>
        </w:rPr>
        <w:t>réclamait</w:t>
      </w:r>
      <w:r w:rsidRPr="00CA4523">
        <w:rPr>
          <w:rFonts w:cs="Times New Roman"/>
          <w:lang w:val="fr-CA"/>
        </w:rPr>
        <w:t xml:space="preserve"> une somme plus élevée en vertu d</w:t>
      </w:r>
      <w:r>
        <w:rPr>
          <w:rFonts w:cs="Times New Roman"/>
          <w:lang w:val="fr-CA"/>
        </w:rPr>
        <w:t>’</w:t>
      </w:r>
      <w:r w:rsidRPr="00CA4523">
        <w:rPr>
          <w:rFonts w:cs="Times New Roman"/>
          <w:lang w:val="fr-CA"/>
        </w:rPr>
        <w:t>un bon de commande ultérieur. BEC affirmait qu</w:t>
      </w:r>
      <w:r>
        <w:rPr>
          <w:rFonts w:cs="Times New Roman"/>
          <w:lang w:val="fr-CA"/>
        </w:rPr>
        <w:t>’</w:t>
      </w:r>
      <w:r w:rsidRPr="00CA4523">
        <w:rPr>
          <w:rFonts w:cs="Times New Roman"/>
          <w:lang w:val="fr-CA"/>
        </w:rPr>
        <w:t>elle n</w:t>
      </w:r>
      <w:r>
        <w:rPr>
          <w:rFonts w:cs="Times New Roman"/>
          <w:lang w:val="fr-CA"/>
        </w:rPr>
        <w:t>’</w:t>
      </w:r>
      <w:r w:rsidRPr="00CA4523">
        <w:rPr>
          <w:rFonts w:cs="Times New Roman"/>
          <w:lang w:val="fr-CA"/>
        </w:rPr>
        <w:t>était tenue de payer que le montant initial, mais Knight soutenait que BEC lui avait fourni des renseignements incomplets et qu</w:t>
      </w:r>
      <w:r>
        <w:rPr>
          <w:rFonts w:cs="Times New Roman"/>
          <w:lang w:val="fr-CA"/>
        </w:rPr>
        <w:t>’</w:t>
      </w:r>
      <w:r w:rsidRPr="00CA4523">
        <w:rPr>
          <w:rFonts w:cs="Times New Roman"/>
          <w:lang w:val="fr-CA"/>
        </w:rPr>
        <w:t xml:space="preserve">elle devait assumer les coûts excédentaires. Knight </w:t>
      </w:r>
      <w:r>
        <w:rPr>
          <w:rFonts w:cs="Times New Roman"/>
          <w:lang w:val="fr-CA"/>
        </w:rPr>
        <w:t xml:space="preserve">faisait aussi valoir que, </w:t>
      </w:r>
      <w:r w:rsidRPr="00CA4523">
        <w:rPr>
          <w:rFonts w:cs="Times New Roman"/>
          <w:lang w:val="fr-CA"/>
        </w:rPr>
        <w:t xml:space="preserve">à un certain moment, M. Barer avait promis verbalement de payer le prix majoré, </w:t>
      </w:r>
      <w:r>
        <w:rPr>
          <w:rFonts w:cs="Times New Roman"/>
          <w:lang w:val="fr-CA"/>
        </w:rPr>
        <w:t>et</w:t>
      </w:r>
      <w:r w:rsidRPr="00CA4523">
        <w:rPr>
          <w:rFonts w:cs="Times New Roman"/>
          <w:lang w:val="fr-CA"/>
        </w:rPr>
        <w:t xml:space="preserve"> qu</w:t>
      </w:r>
      <w:r>
        <w:rPr>
          <w:rFonts w:cs="Times New Roman"/>
          <w:lang w:val="fr-CA"/>
        </w:rPr>
        <w:t>’</w:t>
      </w:r>
      <w:r w:rsidRPr="00CA4523">
        <w:rPr>
          <w:rFonts w:cs="Times New Roman"/>
          <w:lang w:val="fr-CA"/>
        </w:rPr>
        <w:t xml:space="preserve">elle avait </w:t>
      </w:r>
      <w:r>
        <w:rPr>
          <w:rFonts w:cs="Times New Roman"/>
          <w:lang w:val="fr-CA"/>
        </w:rPr>
        <w:t xml:space="preserve">satisfait à </w:t>
      </w:r>
      <w:r w:rsidRPr="00CA4523">
        <w:rPr>
          <w:rFonts w:cs="Times New Roman"/>
          <w:lang w:val="fr-CA"/>
        </w:rPr>
        <w:t xml:space="preserve">ses obligations contractuelles sur la foi de </w:t>
      </w:r>
      <w:r>
        <w:rPr>
          <w:rFonts w:cs="Times New Roman"/>
          <w:lang w:val="fr-CA"/>
        </w:rPr>
        <w:t>cette</w:t>
      </w:r>
      <w:r w:rsidRPr="00CA4523">
        <w:rPr>
          <w:rFonts w:cs="Times New Roman"/>
          <w:lang w:val="fr-CA"/>
        </w:rPr>
        <w:t xml:space="preserve"> </w:t>
      </w:r>
      <w:r w:rsidRPr="007B409C">
        <w:rPr>
          <w:rFonts w:cs="Times New Roman"/>
          <w:lang w:val="fr-CA"/>
        </w:rPr>
        <w:t>promesse. Selon Knight, le prix total révisé pour les travaux effectués se chiffrait à 619</w:t>
      </w:r>
      <w:r>
        <w:rPr>
          <w:rFonts w:cs="Times New Roman"/>
          <w:lang w:val="fr-CA"/>
        </w:rPr>
        <w:t> </w:t>
      </w:r>
      <w:r w:rsidRPr="007B409C">
        <w:rPr>
          <w:rFonts w:cs="Times New Roman"/>
          <w:lang w:val="fr-CA"/>
        </w:rPr>
        <w:t>805</w:t>
      </w:r>
      <w:r>
        <w:rPr>
          <w:rFonts w:cs="Times New Roman"/>
          <w:lang w:val="fr-CA"/>
        </w:rPr>
        <w:t> $</w:t>
      </w:r>
      <w:r w:rsidRPr="007B409C">
        <w:rPr>
          <w:rFonts w:cs="Times New Roman"/>
          <w:lang w:val="fr-CA"/>
        </w:rPr>
        <w:t xml:space="preserve"> US.</w:t>
      </w:r>
    </w:p>
    <w:p w:rsidR="00AF6697" w:rsidRPr="003657F3" w:rsidRDefault="00AF6697" w:rsidP="002970A2">
      <w:pPr>
        <w:pStyle w:val="Title2LevelTitre2Niveau"/>
        <w:numPr>
          <w:ilvl w:val="0"/>
          <w:numId w:val="15"/>
        </w:numPr>
        <w:ind w:hanging="720"/>
        <w:rPr>
          <w:rFonts w:cs="Times New Roman"/>
          <w:lang w:val="fr-CA"/>
        </w:rPr>
      </w:pPr>
      <w:r>
        <w:rPr>
          <w:rFonts w:cs="Times New Roman"/>
          <w:lang w:val="fr-CA"/>
        </w:rPr>
        <w:t>A</w:t>
      </w:r>
      <w:r w:rsidRPr="007B409C">
        <w:rPr>
          <w:rFonts w:cs="Times New Roman"/>
          <w:lang w:val="fr-CA"/>
        </w:rPr>
        <w:t xml:space="preserve">ction </w:t>
      </w:r>
      <w:r w:rsidRPr="003657F3">
        <w:rPr>
          <w:rFonts w:cs="Times New Roman"/>
          <w:lang w:val="fr-CA"/>
        </w:rPr>
        <w:t>intentée dans l</w:t>
      </w:r>
      <w:r>
        <w:rPr>
          <w:rFonts w:cs="Times New Roman"/>
          <w:lang w:val="fr-CA"/>
        </w:rPr>
        <w:t>’</w:t>
      </w:r>
      <w:r w:rsidRPr="003657F3">
        <w:rPr>
          <w:rFonts w:cs="Times New Roman"/>
          <w:lang w:val="fr-CA"/>
        </w:rPr>
        <w:t xml:space="preserve">Utah </w:t>
      </w:r>
    </w:p>
    <w:p w:rsidR="00AF6697" w:rsidRPr="00CA4523" w:rsidRDefault="00AF6697" w:rsidP="00AF6697">
      <w:pPr>
        <w:pStyle w:val="ParaNoNdepar-AltN"/>
        <w:rPr>
          <w:rFonts w:cs="Times New Roman"/>
          <w:lang w:val="fr-CA"/>
        </w:rPr>
      </w:pPr>
      <w:r w:rsidRPr="007B409C">
        <w:rPr>
          <w:rFonts w:cs="Times New Roman"/>
          <w:lang w:val="fr-CA"/>
        </w:rPr>
        <w:t xml:space="preserve">Knight a </w:t>
      </w:r>
      <w:r>
        <w:rPr>
          <w:rFonts w:cs="Times New Roman"/>
          <w:lang w:val="fr-CA"/>
        </w:rPr>
        <w:t>intenté un recours</w:t>
      </w:r>
      <w:r w:rsidRPr="007B409C">
        <w:rPr>
          <w:rFonts w:cs="Times New Roman"/>
          <w:lang w:val="fr-CA"/>
        </w:rPr>
        <w:t xml:space="preserve"> devant le tribunal de l</w:t>
      </w:r>
      <w:r>
        <w:rPr>
          <w:rFonts w:cs="Times New Roman"/>
          <w:lang w:val="fr-CA"/>
        </w:rPr>
        <w:t>’</w:t>
      </w:r>
      <w:r w:rsidRPr="007B409C">
        <w:rPr>
          <w:rFonts w:cs="Times New Roman"/>
          <w:lang w:val="fr-CA"/>
        </w:rPr>
        <w:t>Utah contre BEC et CBC, ainsi que contre M.</w:t>
      </w:r>
      <w:r>
        <w:rPr>
          <w:rFonts w:cs="Times New Roman"/>
          <w:lang w:val="fr-CA"/>
        </w:rPr>
        <w:t> </w:t>
      </w:r>
      <w:r w:rsidRPr="007B409C">
        <w:rPr>
          <w:rFonts w:cs="Times New Roman"/>
          <w:lang w:val="fr-CA"/>
        </w:rPr>
        <w:t xml:space="preserve">Barer </w:t>
      </w:r>
      <w:r>
        <w:rPr>
          <w:rFonts w:cs="Times New Roman"/>
          <w:lang w:val="fr-CA"/>
        </w:rPr>
        <w:t>à titre personnel</w:t>
      </w:r>
      <w:r w:rsidRPr="007B409C">
        <w:rPr>
          <w:rFonts w:cs="Times New Roman"/>
          <w:lang w:val="fr-CA"/>
        </w:rPr>
        <w:t xml:space="preserve">, pour </w:t>
      </w:r>
      <w:r>
        <w:rPr>
          <w:rFonts w:cs="Times New Roman"/>
          <w:lang w:val="fr-CA"/>
        </w:rPr>
        <w:t>un</w:t>
      </w:r>
      <w:r w:rsidRPr="007B409C">
        <w:rPr>
          <w:rFonts w:cs="Times New Roman"/>
          <w:lang w:val="fr-CA"/>
        </w:rPr>
        <w:t xml:space="preserve"> solde impayé de 431</w:t>
      </w:r>
      <w:r>
        <w:rPr>
          <w:rFonts w:cs="Times New Roman"/>
          <w:lang w:val="fr-CA"/>
        </w:rPr>
        <w:t> </w:t>
      </w:r>
      <w:r w:rsidRPr="007B409C">
        <w:rPr>
          <w:rFonts w:cs="Times New Roman"/>
          <w:lang w:val="fr-CA"/>
        </w:rPr>
        <w:t>160</w:t>
      </w:r>
      <w:r>
        <w:rPr>
          <w:rFonts w:cs="Times New Roman"/>
          <w:lang w:val="fr-CA"/>
        </w:rPr>
        <w:t> $ </w:t>
      </w:r>
      <w:r w:rsidRPr="007B409C">
        <w:rPr>
          <w:rFonts w:cs="Times New Roman"/>
          <w:lang w:val="fr-CA"/>
        </w:rPr>
        <w:t xml:space="preserve">US </w:t>
      </w:r>
      <w:r>
        <w:rPr>
          <w:rFonts w:cs="Times New Roman"/>
          <w:lang w:val="fr-CA"/>
        </w:rPr>
        <w:t>qu’elle estimait lui être</w:t>
      </w:r>
      <w:r w:rsidRPr="007B409C">
        <w:rPr>
          <w:rFonts w:cs="Times New Roman"/>
          <w:lang w:val="fr-CA"/>
        </w:rPr>
        <w:t xml:space="preserve"> d</w:t>
      </w:r>
      <w:r>
        <w:rPr>
          <w:rFonts w:cs="Times New Roman"/>
          <w:lang w:val="fr-CA"/>
        </w:rPr>
        <w:t>û</w:t>
      </w:r>
      <w:r w:rsidRPr="007B409C">
        <w:rPr>
          <w:rFonts w:cs="Times New Roman"/>
          <w:lang w:val="fr-CA"/>
        </w:rPr>
        <w:t xml:space="preserve"> aux termes du contrat</w:t>
      </w:r>
      <w:r w:rsidRPr="00CA4523">
        <w:rPr>
          <w:rFonts w:cs="Times New Roman"/>
          <w:lang w:val="fr-CA"/>
        </w:rPr>
        <w:t xml:space="preserve"> conclu </w:t>
      </w:r>
      <w:r>
        <w:rPr>
          <w:rFonts w:cs="Times New Roman"/>
          <w:lang w:val="fr-CA"/>
        </w:rPr>
        <w:t>avec</w:t>
      </w:r>
      <w:r w:rsidRPr="00CA4523">
        <w:rPr>
          <w:rFonts w:cs="Times New Roman"/>
          <w:lang w:val="fr-CA"/>
        </w:rPr>
        <w:t xml:space="preserve"> BEC. Knight </w:t>
      </w:r>
      <w:r>
        <w:rPr>
          <w:rFonts w:cs="Times New Roman"/>
          <w:lang w:val="fr-CA"/>
        </w:rPr>
        <w:t xml:space="preserve">a </w:t>
      </w:r>
      <w:r w:rsidRPr="00CA4523">
        <w:rPr>
          <w:rFonts w:cs="Times New Roman"/>
          <w:lang w:val="fr-CA"/>
        </w:rPr>
        <w:t>invoqu</w:t>
      </w:r>
      <w:r>
        <w:rPr>
          <w:rFonts w:cs="Times New Roman"/>
          <w:lang w:val="fr-CA"/>
        </w:rPr>
        <w:t>é</w:t>
      </w:r>
      <w:r w:rsidRPr="00CA4523">
        <w:rPr>
          <w:rFonts w:cs="Times New Roman"/>
          <w:lang w:val="fr-CA"/>
        </w:rPr>
        <w:t xml:space="preserve"> cinq causes d</w:t>
      </w:r>
      <w:r>
        <w:rPr>
          <w:rFonts w:cs="Times New Roman"/>
          <w:lang w:val="fr-CA"/>
        </w:rPr>
        <w:t>’</w:t>
      </w:r>
      <w:r w:rsidRPr="00CA4523">
        <w:rPr>
          <w:rFonts w:cs="Times New Roman"/>
          <w:lang w:val="fr-CA"/>
        </w:rPr>
        <w:t>action</w:t>
      </w:r>
      <w:r>
        <w:rPr>
          <w:rFonts w:cs="Times New Roman"/>
          <w:lang w:val="fr-CA"/>
        </w:rPr>
        <w:t> :</w:t>
      </w:r>
      <w:r w:rsidRPr="00CA4523">
        <w:rPr>
          <w:rFonts w:cs="Times New Roman"/>
          <w:lang w:val="fr-CA"/>
        </w:rPr>
        <w:t xml:space="preserve"> </w:t>
      </w:r>
      <w:r w:rsidR="00396FAA">
        <w:rPr>
          <w:rFonts w:cs="Times New Roman"/>
          <w:lang w:val="fr-CA"/>
        </w:rPr>
        <w:t>(</w:t>
      </w:r>
      <w:r>
        <w:rPr>
          <w:rFonts w:cs="Times New Roman"/>
          <w:lang w:val="fr-CA"/>
        </w:rPr>
        <w:t>1) </w:t>
      </w:r>
      <w:r w:rsidRPr="00CA4523">
        <w:rPr>
          <w:rFonts w:cs="Times New Roman"/>
          <w:lang w:val="fr-CA"/>
        </w:rPr>
        <w:t>BEC et CBC n</w:t>
      </w:r>
      <w:r>
        <w:rPr>
          <w:rFonts w:cs="Times New Roman"/>
          <w:lang w:val="fr-CA"/>
        </w:rPr>
        <w:t>’</w:t>
      </w:r>
      <w:r w:rsidRPr="00CA4523">
        <w:rPr>
          <w:rFonts w:cs="Times New Roman"/>
          <w:lang w:val="fr-CA"/>
        </w:rPr>
        <w:t>avaient pas respecté le contrat</w:t>
      </w:r>
      <w:r>
        <w:rPr>
          <w:rFonts w:cs="Times New Roman"/>
          <w:lang w:val="fr-CA"/>
        </w:rPr>
        <w:t xml:space="preserve">; </w:t>
      </w:r>
      <w:r w:rsidR="00396FAA">
        <w:rPr>
          <w:rFonts w:cs="Times New Roman"/>
          <w:lang w:val="fr-CA"/>
        </w:rPr>
        <w:t>(</w:t>
      </w:r>
      <w:r>
        <w:rPr>
          <w:rFonts w:cs="Times New Roman"/>
          <w:lang w:val="fr-CA"/>
        </w:rPr>
        <w:t>2) </w:t>
      </w:r>
      <w:r w:rsidRPr="00CA4523">
        <w:rPr>
          <w:rFonts w:cs="Times New Roman"/>
          <w:lang w:val="fr-CA"/>
        </w:rPr>
        <w:t>les défendeurs s</w:t>
      </w:r>
      <w:r>
        <w:rPr>
          <w:rFonts w:cs="Times New Roman"/>
          <w:lang w:val="fr-CA"/>
        </w:rPr>
        <w:t>’</w:t>
      </w:r>
      <w:r w:rsidRPr="00CA4523">
        <w:rPr>
          <w:rFonts w:cs="Times New Roman"/>
          <w:lang w:val="fr-CA"/>
        </w:rPr>
        <w:t>étaient enrichis injustement</w:t>
      </w:r>
      <w:r>
        <w:rPr>
          <w:rFonts w:cs="Times New Roman"/>
          <w:lang w:val="fr-CA"/>
        </w:rPr>
        <w:t xml:space="preserve">; </w:t>
      </w:r>
      <w:r w:rsidR="00723F24">
        <w:rPr>
          <w:rFonts w:cs="Times New Roman"/>
          <w:lang w:val="fr-CA"/>
        </w:rPr>
        <w:t>(</w:t>
      </w:r>
      <w:r>
        <w:rPr>
          <w:rFonts w:cs="Times New Roman"/>
          <w:lang w:val="fr-CA"/>
        </w:rPr>
        <w:t>3) BE</w:t>
      </w:r>
      <w:r w:rsidRPr="00CA4523">
        <w:rPr>
          <w:rFonts w:cs="Times New Roman"/>
          <w:lang w:val="fr-CA"/>
        </w:rPr>
        <w:t xml:space="preserve">C était </w:t>
      </w:r>
      <w:r w:rsidRPr="007B409C">
        <w:rPr>
          <w:rFonts w:cs="Times New Roman"/>
          <w:lang w:val="fr-CA"/>
        </w:rPr>
        <w:t>l</w:t>
      </w:r>
      <w:r>
        <w:rPr>
          <w:rFonts w:cs="Times New Roman"/>
          <w:lang w:val="fr-CA"/>
        </w:rPr>
        <w:t>’</w:t>
      </w:r>
      <w:r w:rsidRPr="007B409C">
        <w:rPr>
          <w:rFonts w:cs="Times New Roman"/>
          <w:lang w:val="fr-CA"/>
        </w:rPr>
        <w:t>alter ego de</w:t>
      </w:r>
      <w:r w:rsidRPr="00CA4523">
        <w:rPr>
          <w:rFonts w:cs="Times New Roman"/>
          <w:i/>
          <w:lang w:val="fr-CA"/>
        </w:rPr>
        <w:t xml:space="preserve"> </w:t>
      </w:r>
      <w:r w:rsidRPr="00A673BA">
        <w:rPr>
          <w:rFonts w:cs="Times New Roman"/>
          <w:lang w:val="fr-CA"/>
        </w:rPr>
        <w:t>C</w:t>
      </w:r>
      <w:r>
        <w:rPr>
          <w:rFonts w:cs="Times New Roman"/>
          <w:lang w:val="fr-CA"/>
        </w:rPr>
        <w:t xml:space="preserve">BC; </w:t>
      </w:r>
      <w:r w:rsidR="00396FAA">
        <w:rPr>
          <w:rFonts w:cs="Times New Roman"/>
          <w:lang w:val="fr-CA"/>
        </w:rPr>
        <w:t>(</w:t>
      </w:r>
      <w:r>
        <w:rPr>
          <w:rFonts w:cs="Times New Roman"/>
          <w:lang w:val="fr-CA"/>
        </w:rPr>
        <w:t xml:space="preserve">4) BEC et CBC étaient les </w:t>
      </w:r>
      <w:r w:rsidRPr="00025D88">
        <w:rPr>
          <w:rFonts w:cs="Times New Roman"/>
          <w:lang w:val="fr-CA"/>
        </w:rPr>
        <w:t>alter ego</w:t>
      </w:r>
      <w:r w:rsidRPr="00CA4523">
        <w:rPr>
          <w:rFonts w:cs="Times New Roman"/>
          <w:i/>
          <w:lang w:val="fr-CA"/>
        </w:rPr>
        <w:t xml:space="preserve"> </w:t>
      </w:r>
      <w:r w:rsidRPr="00CA4523">
        <w:rPr>
          <w:rFonts w:cs="Times New Roman"/>
          <w:lang w:val="fr-CA"/>
        </w:rPr>
        <w:t xml:space="preserve">de </w:t>
      </w:r>
      <w:r>
        <w:rPr>
          <w:rFonts w:cs="Times New Roman"/>
          <w:lang w:val="fr-CA"/>
        </w:rPr>
        <w:t>M. Barer</w:t>
      </w:r>
      <w:r w:rsidRPr="00CA4523">
        <w:rPr>
          <w:rFonts w:cs="Times New Roman"/>
          <w:lang w:val="fr-CA"/>
        </w:rPr>
        <w:t xml:space="preserve">; </w:t>
      </w:r>
      <w:r>
        <w:rPr>
          <w:rFonts w:cs="Times New Roman"/>
          <w:lang w:val="fr-CA"/>
        </w:rPr>
        <w:t xml:space="preserve">et </w:t>
      </w:r>
      <w:r w:rsidR="00723F24">
        <w:rPr>
          <w:rFonts w:cs="Times New Roman"/>
          <w:lang w:val="fr-CA"/>
        </w:rPr>
        <w:t>(</w:t>
      </w:r>
      <w:r w:rsidRPr="00CA4523">
        <w:rPr>
          <w:rFonts w:cs="Times New Roman"/>
          <w:lang w:val="fr-CA"/>
        </w:rPr>
        <w:t xml:space="preserve">5) M. Barer avait </w:t>
      </w:r>
      <w:r>
        <w:rPr>
          <w:rFonts w:cs="Times New Roman"/>
          <w:lang w:val="fr-CA"/>
        </w:rPr>
        <w:t xml:space="preserve">faussement </w:t>
      </w:r>
      <w:r w:rsidRPr="00CA4523">
        <w:rPr>
          <w:rFonts w:cs="Times New Roman"/>
          <w:lang w:val="fr-CA"/>
        </w:rPr>
        <w:t xml:space="preserve">affirmé que les défendeurs paieraient le prix majoré pour les travaux de fondations. </w:t>
      </w:r>
    </w:p>
    <w:p w:rsidR="00AF6697" w:rsidRPr="00CA4523" w:rsidRDefault="00AF6697" w:rsidP="00AF6697">
      <w:pPr>
        <w:pStyle w:val="ParaNoNdepar-AltN"/>
        <w:rPr>
          <w:rFonts w:cs="Times New Roman"/>
          <w:lang w:val="fr-CA"/>
        </w:rPr>
      </w:pPr>
      <w:r w:rsidRPr="00CA4523">
        <w:rPr>
          <w:rFonts w:cs="Times New Roman"/>
          <w:lang w:val="fr-CA"/>
        </w:rPr>
        <w:t>Les trois défendeurs ont accepté la signification de la demande de Knight et ont déposé un avis de comparution devant le tribunal de l</w:t>
      </w:r>
      <w:r>
        <w:rPr>
          <w:rFonts w:cs="Times New Roman"/>
          <w:lang w:val="fr-CA"/>
        </w:rPr>
        <w:t>’</w:t>
      </w:r>
      <w:r w:rsidRPr="00CA4523">
        <w:rPr>
          <w:rFonts w:cs="Times New Roman"/>
          <w:lang w:val="fr-CA"/>
        </w:rPr>
        <w:t>Utah en avril 2010. Ils ont tous déposé un avis de non</w:t>
      </w:r>
      <w:r>
        <w:rPr>
          <w:rFonts w:cs="Times New Roman"/>
          <w:lang w:val="fr-CA"/>
        </w:rPr>
        <w:noBreakHyphen/>
      </w:r>
      <w:r w:rsidRPr="00CA4523">
        <w:rPr>
          <w:rFonts w:cs="Times New Roman"/>
          <w:lang w:val="fr-CA"/>
        </w:rPr>
        <w:t xml:space="preserve">opposition lorsque Knight a </w:t>
      </w:r>
      <w:r>
        <w:rPr>
          <w:rFonts w:cs="Times New Roman"/>
          <w:lang w:val="fr-CA"/>
        </w:rPr>
        <w:t>cherché à</w:t>
      </w:r>
      <w:r w:rsidRPr="00CA4523">
        <w:rPr>
          <w:rFonts w:cs="Times New Roman"/>
          <w:lang w:val="fr-CA"/>
        </w:rPr>
        <w:t xml:space="preserve"> modifier sa demande et ils devaient tous répondre </w:t>
      </w:r>
      <w:r>
        <w:rPr>
          <w:rFonts w:cs="Times New Roman"/>
          <w:lang w:val="fr-CA"/>
        </w:rPr>
        <w:t>à celle</w:t>
      </w:r>
      <w:r>
        <w:rPr>
          <w:rFonts w:cs="Times New Roman"/>
          <w:lang w:val="fr-CA"/>
        </w:rPr>
        <w:noBreakHyphen/>
        <w:t xml:space="preserve">ci </w:t>
      </w:r>
      <w:r w:rsidRPr="00CA4523">
        <w:rPr>
          <w:rFonts w:cs="Times New Roman"/>
          <w:lang w:val="fr-CA"/>
        </w:rPr>
        <w:t>au plus tard à la mi</w:t>
      </w:r>
      <w:r>
        <w:rPr>
          <w:rFonts w:cs="Times New Roman"/>
          <w:lang w:val="fr-CA"/>
        </w:rPr>
        <w:noBreakHyphen/>
      </w:r>
      <w:r w:rsidRPr="00CA4523">
        <w:rPr>
          <w:rFonts w:cs="Times New Roman"/>
          <w:lang w:val="fr-CA"/>
        </w:rPr>
        <w:t>juillet. À partir de ce moment</w:t>
      </w:r>
      <w:r>
        <w:rPr>
          <w:rFonts w:cs="Times New Roman"/>
          <w:lang w:val="fr-CA"/>
        </w:rPr>
        <w:noBreakHyphen/>
      </w:r>
      <w:r w:rsidRPr="00CA4523">
        <w:rPr>
          <w:rFonts w:cs="Times New Roman"/>
          <w:lang w:val="fr-CA"/>
        </w:rPr>
        <w:t xml:space="preserve">là, chacun des défendeurs a </w:t>
      </w:r>
      <w:r>
        <w:rPr>
          <w:rFonts w:cs="Times New Roman"/>
          <w:lang w:val="fr-CA"/>
        </w:rPr>
        <w:t>adopté sa propre stratégie</w:t>
      </w:r>
      <w:r w:rsidRPr="00CA4523">
        <w:rPr>
          <w:rFonts w:cs="Times New Roman"/>
          <w:lang w:val="fr-CA"/>
        </w:rPr>
        <w:t xml:space="preserve">. </w:t>
      </w:r>
    </w:p>
    <w:p w:rsidR="00AF6697" w:rsidRPr="00CA4523" w:rsidRDefault="00AF6697" w:rsidP="00AF6697">
      <w:pPr>
        <w:pStyle w:val="ParaNoNdepar-AltN"/>
        <w:rPr>
          <w:rFonts w:cs="Times New Roman"/>
          <w:lang w:val="fr-CA"/>
        </w:rPr>
      </w:pPr>
      <w:r w:rsidRPr="00CA4523">
        <w:rPr>
          <w:rFonts w:cs="Times New Roman"/>
          <w:lang w:val="fr-CA"/>
        </w:rPr>
        <w:lastRenderedPageBreak/>
        <w:t xml:space="preserve">BEC, qui avait signé </w:t>
      </w:r>
      <w:r>
        <w:rPr>
          <w:rFonts w:cs="Times New Roman"/>
          <w:lang w:val="fr-CA"/>
        </w:rPr>
        <w:t>le</w:t>
      </w:r>
      <w:r w:rsidRPr="00CA4523">
        <w:rPr>
          <w:rFonts w:cs="Times New Roman"/>
          <w:lang w:val="fr-CA"/>
        </w:rPr>
        <w:t xml:space="preserve"> contrat avec Knight, a déposé une réponse, une défense et une demande reconventionnelle. Dans sa réponse et sa défense écrite</w:t>
      </w:r>
      <w:r>
        <w:rPr>
          <w:rFonts w:cs="Times New Roman"/>
          <w:lang w:val="fr-CA"/>
        </w:rPr>
        <w:t>s</w:t>
      </w:r>
      <w:r w:rsidRPr="00CA4523">
        <w:rPr>
          <w:rFonts w:cs="Times New Roman"/>
          <w:lang w:val="fr-CA"/>
        </w:rPr>
        <w:t>, elle n</w:t>
      </w:r>
      <w:r>
        <w:rPr>
          <w:rFonts w:cs="Times New Roman"/>
          <w:lang w:val="fr-CA"/>
        </w:rPr>
        <w:t>’</w:t>
      </w:r>
      <w:r w:rsidRPr="00CA4523">
        <w:rPr>
          <w:rFonts w:cs="Times New Roman"/>
          <w:lang w:val="fr-CA"/>
        </w:rPr>
        <w:t xml:space="preserve">a pas </w:t>
      </w:r>
      <w:r>
        <w:rPr>
          <w:rFonts w:cs="Times New Roman"/>
          <w:lang w:val="fr-CA"/>
        </w:rPr>
        <w:t>soulevé la question de</w:t>
      </w:r>
      <w:r w:rsidRPr="00CA4523">
        <w:rPr>
          <w:rFonts w:cs="Times New Roman"/>
          <w:lang w:val="fr-CA"/>
        </w:rPr>
        <w:t xml:space="preserve"> la compétence, mais elle a nié les faits sur lesquels reposait la demande de Knight. Dans sa demande reconventionnelle, </w:t>
      </w:r>
      <w:r>
        <w:rPr>
          <w:rFonts w:cs="Times New Roman"/>
          <w:lang w:val="fr-CA"/>
        </w:rPr>
        <w:t>elle</w:t>
      </w:r>
      <w:r w:rsidRPr="00CA4523">
        <w:rPr>
          <w:rFonts w:cs="Times New Roman"/>
          <w:lang w:val="fr-CA"/>
        </w:rPr>
        <w:t> </w:t>
      </w:r>
      <w:r>
        <w:rPr>
          <w:rFonts w:cs="Times New Roman"/>
          <w:lang w:val="fr-CA"/>
        </w:rPr>
        <w:t xml:space="preserve">a </w:t>
      </w:r>
      <w:r w:rsidRPr="00CA4523">
        <w:rPr>
          <w:rFonts w:cs="Times New Roman"/>
          <w:lang w:val="fr-CA"/>
        </w:rPr>
        <w:t>souten</w:t>
      </w:r>
      <w:r>
        <w:rPr>
          <w:rFonts w:cs="Times New Roman"/>
          <w:lang w:val="fr-CA"/>
        </w:rPr>
        <w:t>u</w:t>
      </w:r>
      <w:r w:rsidRPr="00CA4523">
        <w:rPr>
          <w:rFonts w:cs="Times New Roman"/>
          <w:lang w:val="fr-CA"/>
        </w:rPr>
        <w:t xml:space="preserve"> que Knight avait </w:t>
      </w:r>
      <w:r>
        <w:rPr>
          <w:rFonts w:cs="Times New Roman"/>
          <w:lang w:val="fr-CA"/>
        </w:rPr>
        <w:t>illégalement porté</w:t>
      </w:r>
      <w:r w:rsidRPr="00CA4523">
        <w:rPr>
          <w:rFonts w:cs="Times New Roman"/>
          <w:lang w:val="fr-CA"/>
        </w:rPr>
        <w:t xml:space="preserve"> atteinte à ses biens. </w:t>
      </w:r>
      <w:bookmarkStart w:id="2" w:name="_Hlk525739140"/>
      <w:r w:rsidRPr="00CA4523">
        <w:rPr>
          <w:rFonts w:cs="Times New Roman"/>
          <w:lang w:val="fr-CA"/>
        </w:rPr>
        <w:t xml:space="preserve">Pour sa part, CBC a présenté une requête </w:t>
      </w:r>
      <w:r>
        <w:rPr>
          <w:rFonts w:cs="Times New Roman"/>
          <w:lang w:val="fr-CA"/>
        </w:rPr>
        <w:t>pour que</w:t>
      </w:r>
      <w:r w:rsidRPr="00CA4523">
        <w:rPr>
          <w:rFonts w:cs="Times New Roman"/>
          <w:lang w:val="fr-CA"/>
        </w:rPr>
        <w:t xml:space="preserve"> son avocat </w:t>
      </w:r>
      <w:r>
        <w:rPr>
          <w:rFonts w:cs="Times New Roman"/>
          <w:lang w:val="fr-CA"/>
        </w:rPr>
        <w:t xml:space="preserve">soit autorisé à </w:t>
      </w:r>
      <w:r w:rsidRPr="00CA4523">
        <w:rPr>
          <w:rFonts w:cs="Times New Roman"/>
          <w:lang w:val="fr-CA"/>
        </w:rPr>
        <w:t>cesser d</w:t>
      </w:r>
      <w:r>
        <w:rPr>
          <w:rFonts w:cs="Times New Roman"/>
          <w:lang w:val="fr-CA"/>
        </w:rPr>
        <w:t>’</w:t>
      </w:r>
      <w:r w:rsidRPr="00CA4523">
        <w:rPr>
          <w:rFonts w:cs="Times New Roman"/>
          <w:lang w:val="fr-CA"/>
        </w:rPr>
        <w:t>occuper, en expliquant qu</w:t>
      </w:r>
      <w:r>
        <w:rPr>
          <w:rFonts w:cs="Times New Roman"/>
          <w:lang w:val="fr-CA"/>
        </w:rPr>
        <w:t>’</w:t>
      </w:r>
      <w:r w:rsidRPr="00CA4523">
        <w:rPr>
          <w:rFonts w:cs="Times New Roman"/>
          <w:lang w:val="fr-CA"/>
        </w:rPr>
        <w:t>elle ne reconnaissait pas la compétence du tribunal de l</w:t>
      </w:r>
      <w:r>
        <w:rPr>
          <w:rFonts w:cs="Times New Roman"/>
          <w:lang w:val="fr-CA"/>
        </w:rPr>
        <w:t>’</w:t>
      </w:r>
      <w:r w:rsidRPr="00CA4523">
        <w:rPr>
          <w:rFonts w:cs="Times New Roman"/>
          <w:lang w:val="fr-CA"/>
        </w:rPr>
        <w:t>Utah et qu</w:t>
      </w:r>
      <w:r>
        <w:rPr>
          <w:rFonts w:cs="Times New Roman"/>
          <w:lang w:val="fr-CA"/>
        </w:rPr>
        <w:t>’</w:t>
      </w:r>
      <w:r w:rsidRPr="00CA4523">
        <w:rPr>
          <w:rFonts w:cs="Times New Roman"/>
          <w:lang w:val="fr-CA"/>
        </w:rPr>
        <w:t>elle ne participerait pas à l</w:t>
      </w:r>
      <w:r>
        <w:rPr>
          <w:rFonts w:cs="Times New Roman"/>
          <w:lang w:val="fr-CA"/>
        </w:rPr>
        <w:t>’</w:t>
      </w:r>
      <w:r w:rsidRPr="00CA4523">
        <w:rPr>
          <w:rFonts w:cs="Times New Roman"/>
          <w:lang w:val="fr-CA"/>
        </w:rPr>
        <w:t xml:space="preserve">instance. </w:t>
      </w:r>
      <w:bookmarkEnd w:id="2"/>
      <w:r w:rsidRPr="00CA4523">
        <w:rPr>
          <w:rFonts w:cs="Times New Roman"/>
          <w:lang w:val="fr-CA"/>
        </w:rPr>
        <w:t xml:space="preserve">Comme </w:t>
      </w:r>
      <w:r>
        <w:rPr>
          <w:rFonts w:cs="Times New Roman"/>
          <w:lang w:val="fr-CA"/>
        </w:rPr>
        <w:t>elle</w:t>
      </w:r>
      <w:r w:rsidRPr="00CA4523">
        <w:rPr>
          <w:rFonts w:cs="Times New Roman"/>
          <w:lang w:val="fr-CA"/>
        </w:rPr>
        <w:t xml:space="preserve"> n</w:t>
      </w:r>
      <w:r>
        <w:rPr>
          <w:rFonts w:cs="Times New Roman"/>
          <w:lang w:val="fr-CA"/>
        </w:rPr>
        <w:t>’</w:t>
      </w:r>
      <w:r w:rsidRPr="00CA4523">
        <w:rPr>
          <w:rFonts w:cs="Times New Roman"/>
          <w:lang w:val="fr-CA"/>
        </w:rPr>
        <w:t xml:space="preserve">a pas présenté de défense, son défaut a été constaté par </w:t>
      </w:r>
      <w:r w:rsidRPr="00D34B07">
        <w:rPr>
          <w:rFonts w:cs="Times New Roman"/>
          <w:lang w:val="fr-CA"/>
        </w:rPr>
        <w:t xml:space="preserve">un préposé du greffe </w:t>
      </w:r>
      <w:r>
        <w:rPr>
          <w:rFonts w:cs="Times New Roman"/>
          <w:lang w:val="fr-CA"/>
        </w:rPr>
        <w:t>du tribunal. </w:t>
      </w:r>
      <w:r w:rsidRPr="00D34B07">
        <w:rPr>
          <w:rFonts w:cs="Times New Roman"/>
          <w:lang w:val="fr-CA"/>
        </w:rPr>
        <w:t>Enfin,</w:t>
      </w:r>
      <w:r w:rsidRPr="00CA4523">
        <w:rPr>
          <w:rFonts w:cs="Times New Roman"/>
          <w:lang w:val="fr-CA"/>
        </w:rPr>
        <w:t xml:space="preserve"> M. Barer a présenté une requête </w:t>
      </w:r>
      <w:r>
        <w:rPr>
          <w:rFonts w:cs="Times New Roman"/>
          <w:lang w:val="fr-CA"/>
        </w:rPr>
        <w:t>sollicitant le rejet</w:t>
      </w:r>
      <w:r w:rsidRPr="00CA4523">
        <w:rPr>
          <w:rFonts w:cs="Times New Roman"/>
          <w:lang w:val="fr-CA"/>
        </w:rPr>
        <w:t xml:space="preserve"> </w:t>
      </w:r>
      <w:r>
        <w:rPr>
          <w:rFonts w:cs="Times New Roman"/>
          <w:lang w:val="fr-CA"/>
        </w:rPr>
        <w:t xml:space="preserve">de </w:t>
      </w:r>
      <w:r w:rsidRPr="00CA4523">
        <w:rPr>
          <w:rFonts w:cs="Times New Roman"/>
          <w:lang w:val="fr-CA"/>
        </w:rPr>
        <w:t>la demande présentée contre lui à titre personnel</w:t>
      </w:r>
      <w:r>
        <w:rPr>
          <w:rFonts w:cs="Times New Roman"/>
          <w:lang w:val="fr-CA"/>
        </w:rPr>
        <w:t xml:space="preserve"> </w:t>
      </w:r>
      <w:r w:rsidRPr="00CA4523">
        <w:rPr>
          <w:rFonts w:cs="Times New Roman"/>
          <w:lang w:val="fr-CA"/>
        </w:rPr>
        <w:t>au stade préliminaire</w:t>
      </w:r>
      <w:r>
        <w:rPr>
          <w:rFonts w:cs="Times New Roman"/>
          <w:lang w:val="fr-CA"/>
        </w:rPr>
        <w:t>,</w:t>
      </w:r>
      <w:r w:rsidRPr="00CA4523">
        <w:rPr>
          <w:rFonts w:cs="Times New Roman"/>
          <w:lang w:val="fr-CA"/>
        </w:rPr>
        <w:t xml:space="preserve"> </w:t>
      </w:r>
      <w:r>
        <w:rPr>
          <w:rFonts w:cs="Times New Roman"/>
          <w:lang w:val="fr-CA"/>
        </w:rPr>
        <w:t xml:space="preserve">soit </w:t>
      </w:r>
      <w:r w:rsidRPr="00CA4523">
        <w:rPr>
          <w:rFonts w:cs="Times New Roman"/>
          <w:lang w:val="fr-CA"/>
        </w:rPr>
        <w:t xml:space="preserve">avant son examen au fond.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M.</w:t>
      </w:r>
      <w:r>
        <w:rPr>
          <w:rFonts w:cs="Times New Roman"/>
          <w:lang w:val="fr-CA"/>
        </w:rPr>
        <w:t> </w:t>
      </w:r>
      <w:r w:rsidRPr="00CA4523">
        <w:rPr>
          <w:rFonts w:cs="Times New Roman"/>
          <w:lang w:val="fr-CA"/>
        </w:rPr>
        <w:t>Barer a invoqué trois arguments au soutien de sa requête</w:t>
      </w:r>
      <w:r>
        <w:rPr>
          <w:rFonts w:cs="Times New Roman"/>
          <w:lang w:val="fr-CA"/>
        </w:rPr>
        <w:t> :</w:t>
      </w:r>
      <w:r w:rsidRPr="00CA4523">
        <w:rPr>
          <w:rFonts w:cs="Times New Roman"/>
          <w:lang w:val="fr-CA"/>
        </w:rPr>
        <w:t xml:space="preserve"> </w:t>
      </w:r>
      <w:r w:rsidR="00723F24">
        <w:rPr>
          <w:rFonts w:cs="Times New Roman"/>
          <w:lang w:val="fr-CA"/>
        </w:rPr>
        <w:t>(</w:t>
      </w:r>
      <w:r w:rsidRPr="00CA4523">
        <w:rPr>
          <w:rFonts w:cs="Times New Roman"/>
          <w:lang w:val="fr-CA"/>
        </w:rPr>
        <w:t>1) Knight n</w:t>
      </w:r>
      <w:r>
        <w:rPr>
          <w:rFonts w:cs="Times New Roman"/>
          <w:lang w:val="fr-CA"/>
        </w:rPr>
        <w:t>’</w:t>
      </w:r>
      <w:r w:rsidRPr="00CA4523">
        <w:rPr>
          <w:rFonts w:cs="Times New Roman"/>
          <w:lang w:val="fr-CA"/>
        </w:rPr>
        <w:t xml:space="preserve">avait pas allégué suffisamment de faits pour démontrer </w:t>
      </w:r>
      <w:r>
        <w:rPr>
          <w:rFonts w:cs="Times New Roman"/>
          <w:lang w:val="fr-CA"/>
        </w:rPr>
        <w:t xml:space="preserve">que BEC et CBC étaient ses </w:t>
      </w:r>
      <w:r w:rsidRPr="00025D88">
        <w:rPr>
          <w:rFonts w:cs="Times New Roman"/>
          <w:lang w:val="fr-CA"/>
        </w:rPr>
        <w:t>alter ego</w:t>
      </w:r>
      <w:r w:rsidRPr="00CA4523">
        <w:rPr>
          <w:rFonts w:cs="Times New Roman"/>
          <w:lang w:val="fr-CA"/>
        </w:rPr>
        <w:t xml:space="preserve">; </w:t>
      </w:r>
      <w:r w:rsidR="00723F24">
        <w:rPr>
          <w:rFonts w:cs="Times New Roman"/>
          <w:lang w:val="fr-CA"/>
        </w:rPr>
        <w:t>(</w:t>
      </w:r>
      <w:r w:rsidRPr="00CA4523">
        <w:rPr>
          <w:rFonts w:cs="Times New Roman"/>
          <w:lang w:val="fr-CA"/>
        </w:rPr>
        <w:t xml:space="preserve">2) la demande </w:t>
      </w:r>
      <w:r>
        <w:rPr>
          <w:rFonts w:cs="Times New Roman"/>
          <w:lang w:val="fr-CA"/>
        </w:rPr>
        <w:t xml:space="preserve">fondée sur </w:t>
      </w:r>
      <w:r w:rsidRPr="000D0A70">
        <w:rPr>
          <w:rFonts w:cs="Times New Roman"/>
          <w:lang w:val="fr-CA"/>
        </w:rPr>
        <w:t xml:space="preserve">les </w:t>
      </w:r>
      <w:r>
        <w:rPr>
          <w:rFonts w:cs="Times New Roman"/>
          <w:lang w:val="fr-CA"/>
        </w:rPr>
        <w:t xml:space="preserve">fausses </w:t>
      </w:r>
      <w:r w:rsidRPr="000D0A70">
        <w:rPr>
          <w:rFonts w:cs="Times New Roman"/>
          <w:lang w:val="fr-CA"/>
        </w:rPr>
        <w:t xml:space="preserve">affirmations </w:t>
      </w:r>
      <w:r w:rsidRPr="00CA4523">
        <w:rPr>
          <w:rFonts w:cs="Times New Roman"/>
          <w:lang w:val="fr-CA"/>
        </w:rPr>
        <w:t xml:space="preserve">était irrecevable en raison de la </w:t>
      </w:r>
      <w:r w:rsidRPr="009A7021">
        <w:rPr>
          <w:rFonts w:cs="Times New Roman"/>
          <w:lang w:val="fr-CA"/>
        </w:rPr>
        <w:t xml:space="preserve">règle </w:t>
      </w:r>
      <w:r>
        <w:rPr>
          <w:rFonts w:cs="Times New Roman"/>
          <w:lang w:val="fr-CA"/>
        </w:rPr>
        <w:t>relative aux</w:t>
      </w:r>
      <w:r w:rsidRPr="009A7021">
        <w:rPr>
          <w:rFonts w:cs="Times New Roman"/>
          <w:lang w:val="fr-CA"/>
        </w:rPr>
        <w:t xml:space="preserve"> pertes purement financières; </w:t>
      </w:r>
      <w:r>
        <w:rPr>
          <w:rFonts w:cs="Times New Roman"/>
          <w:lang w:val="fr-CA"/>
        </w:rPr>
        <w:t xml:space="preserve">et </w:t>
      </w:r>
      <w:r w:rsidR="00723F24">
        <w:rPr>
          <w:rFonts w:cs="Times New Roman"/>
          <w:lang w:val="fr-CA"/>
        </w:rPr>
        <w:t>(</w:t>
      </w:r>
      <w:r w:rsidRPr="009A7021">
        <w:rPr>
          <w:rFonts w:cs="Times New Roman"/>
          <w:lang w:val="fr-CA"/>
        </w:rPr>
        <w:t>3) le</w:t>
      </w:r>
      <w:r w:rsidRPr="00CA4523">
        <w:rPr>
          <w:rFonts w:cs="Times New Roman"/>
          <w:lang w:val="fr-CA"/>
        </w:rPr>
        <w:t xml:space="preserve"> tribunal de l</w:t>
      </w:r>
      <w:r>
        <w:rPr>
          <w:rFonts w:cs="Times New Roman"/>
          <w:lang w:val="fr-CA"/>
        </w:rPr>
        <w:t>’</w:t>
      </w:r>
      <w:r w:rsidRPr="00CA4523">
        <w:rPr>
          <w:rFonts w:cs="Times New Roman"/>
          <w:lang w:val="fr-CA"/>
        </w:rPr>
        <w:t>Utah n</w:t>
      </w:r>
      <w:r>
        <w:rPr>
          <w:rFonts w:cs="Times New Roman"/>
          <w:lang w:val="fr-CA"/>
        </w:rPr>
        <w:t>’</w:t>
      </w:r>
      <w:r w:rsidRPr="00CA4523">
        <w:rPr>
          <w:rFonts w:cs="Times New Roman"/>
          <w:lang w:val="fr-CA"/>
        </w:rPr>
        <w:t xml:space="preserve">avait </w:t>
      </w:r>
      <w:r w:rsidRPr="007C5232">
        <w:rPr>
          <w:rFonts w:cs="Times New Roman"/>
          <w:lang w:val="fr-CA"/>
        </w:rPr>
        <w:t>pas compétence personnelle à</w:t>
      </w:r>
      <w:r w:rsidRPr="00E828CF">
        <w:rPr>
          <w:rFonts w:cs="Times New Roman"/>
          <w:lang w:val="fr-CA"/>
        </w:rPr>
        <w:t xml:space="preserve"> son égard. Le</w:t>
      </w:r>
      <w:r w:rsidRPr="00CA4523">
        <w:rPr>
          <w:rFonts w:cs="Times New Roman"/>
          <w:lang w:val="fr-CA"/>
        </w:rPr>
        <w:t xml:space="preserve"> tribunal de l</w:t>
      </w:r>
      <w:r>
        <w:rPr>
          <w:rFonts w:cs="Times New Roman"/>
          <w:lang w:val="fr-CA"/>
        </w:rPr>
        <w:t>’</w:t>
      </w:r>
      <w:r w:rsidRPr="00CA4523">
        <w:rPr>
          <w:rFonts w:cs="Times New Roman"/>
          <w:lang w:val="fr-CA"/>
        </w:rPr>
        <w:t>Utah a rejeté la requête et autorisé l</w:t>
      </w:r>
      <w:r>
        <w:rPr>
          <w:rFonts w:cs="Times New Roman"/>
          <w:lang w:val="fr-CA"/>
        </w:rPr>
        <w:t>’</w:t>
      </w:r>
      <w:r w:rsidRPr="00CA4523">
        <w:rPr>
          <w:rFonts w:cs="Times New Roman"/>
          <w:lang w:val="fr-CA"/>
        </w:rPr>
        <w:t xml:space="preserve">instruction de la cause. </w:t>
      </w:r>
    </w:p>
    <w:p w:rsidR="00AF6697" w:rsidRPr="009A7021" w:rsidRDefault="00AF6697" w:rsidP="00AF6697">
      <w:pPr>
        <w:pStyle w:val="ParaNoNdepar-AltN"/>
        <w:tabs>
          <w:tab w:val="clear" w:pos="1166"/>
          <w:tab w:val="num" w:pos="1152"/>
        </w:tabs>
        <w:rPr>
          <w:rFonts w:cs="Times New Roman"/>
          <w:lang w:val="fr-CA"/>
        </w:rPr>
      </w:pPr>
      <w:r w:rsidRPr="00CA4523">
        <w:rPr>
          <w:rFonts w:cs="Times New Roman"/>
          <w:lang w:val="fr-CA"/>
        </w:rPr>
        <w:t>Sur la question de la compétence, le tribunal de l</w:t>
      </w:r>
      <w:r>
        <w:rPr>
          <w:rFonts w:cs="Times New Roman"/>
          <w:lang w:val="fr-CA"/>
        </w:rPr>
        <w:t>’</w:t>
      </w:r>
      <w:r w:rsidRPr="00CA4523">
        <w:rPr>
          <w:rFonts w:cs="Times New Roman"/>
          <w:lang w:val="fr-CA"/>
        </w:rPr>
        <w:t>Utah a conclu que Knight avait étayé sa prétention tirée de l</w:t>
      </w:r>
      <w:r>
        <w:rPr>
          <w:rFonts w:cs="Times New Roman"/>
          <w:lang w:val="fr-CA"/>
        </w:rPr>
        <w:t>’</w:t>
      </w:r>
      <w:r w:rsidRPr="00CA4523">
        <w:rPr>
          <w:rFonts w:cs="Times New Roman"/>
          <w:lang w:val="fr-CA"/>
        </w:rPr>
        <w:t>existence d</w:t>
      </w:r>
      <w:r>
        <w:rPr>
          <w:rFonts w:cs="Times New Roman"/>
          <w:lang w:val="fr-CA"/>
        </w:rPr>
        <w:t>’</w:t>
      </w:r>
      <w:r w:rsidRPr="00CA4523">
        <w:rPr>
          <w:rFonts w:cs="Times New Roman"/>
          <w:lang w:val="fr-CA"/>
        </w:rPr>
        <w:t xml:space="preserve">un </w:t>
      </w:r>
      <w:r w:rsidRPr="00025D88">
        <w:rPr>
          <w:rFonts w:cs="Times New Roman"/>
          <w:lang w:val="fr-CA"/>
        </w:rPr>
        <w:t>alter ego en</w:t>
      </w:r>
      <w:r w:rsidRPr="00CA4523">
        <w:rPr>
          <w:rFonts w:cs="Times New Roman"/>
          <w:lang w:val="fr-CA"/>
        </w:rPr>
        <w:t xml:space="preserve"> soumettant [</w:t>
      </w:r>
      <w:r w:rsidRPr="00CA4523">
        <w:rPr>
          <w:rFonts w:cs="Times New Roman"/>
          <w:smallCaps/>
          <w:lang w:val="fr-CA"/>
        </w:rPr>
        <w:t>traduction</w:t>
      </w:r>
      <w:r w:rsidRPr="00CA4523">
        <w:rPr>
          <w:rFonts w:cs="Times New Roman"/>
          <w:lang w:val="fr-CA"/>
        </w:rPr>
        <w:t>] « plusieurs pièces à l</w:t>
      </w:r>
      <w:r>
        <w:rPr>
          <w:rFonts w:cs="Times New Roman"/>
          <w:lang w:val="fr-CA"/>
        </w:rPr>
        <w:t>’</w:t>
      </w:r>
      <w:r w:rsidRPr="00CA4523">
        <w:rPr>
          <w:rFonts w:cs="Times New Roman"/>
          <w:lang w:val="fr-CA"/>
        </w:rPr>
        <w:t>appui », à savoir</w:t>
      </w:r>
      <w:r>
        <w:rPr>
          <w:rFonts w:cs="Times New Roman"/>
          <w:lang w:val="fr-CA"/>
        </w:rPr>
        <w:t> :</w:t>
      </w:r>
      <w:r w:rsidRPr="00CA4523">
        <w:rPr>
          <w:rFonts w:cs="Times New Roman"/>
          <w:lang w:val="fr-CA"/>
        </w:rPr>
        <w:t xml:space="preserve"> </w:t>
      </w:r>
      <w:r w:rsidR="00723F24">
        <w:rPr>
          <w:rFonts w:cs="Times New Roman"/>
          <w:lang w:val="fr-CA"/>
        </w:rPr>
        <w:t>(</w:t>
      </w:r>
      <w:r w:rsidRPr="00CA4523">
        <w:rPr>
          <w:rFonts w:cs="Times New Roman"/>
          <w:lang w:val="fr-CA"/>
        </w:rPr>
        <w:t>1)</w:t>
      </w:r>
      <w:r>
        <w:rPr>
          <w:rFonts w:cs="Times New Roman"/>
          <w:lang w:val="fr-CA"/>
        </w:rPr>
        <w:t> </w:t>
      </w:r>
      <w:r w:rsidRPr="00CA4523">
        <w:rPr>
          <w:rFonts w:cs="Times New Roman"/>
          <w:lang w:val="fr-CA"/>
        </w:rPr>
        <w:t>« des copies des versements effectués à [Knight] sur le compte conjoint au nom de [CBC]</w:t>
      </w:r>
      <w:r>
        <w:rPr>
          <w:rFonts w:cs="Times New Roman"/>
          <w:lang w:val="fr-CA"/>
        </w:rPr>
        <w:t> »</w:t>
      </w:r>
      <w:r w:rsidRPr="00CA4523">
        <w:rPr>
          <w:rFonts w:cs="Times New Roman"/>
          <w:lang w:val="fr-CA"/>
        </w:rPr>
        <w:t xml:space="preserve">; </w:t>
      </w:r>
      <w:r w:rsidR="00723F24">
        <w:rPr>
          <w:rFonts w:cs="Times New Roman"/>
          <w:lang w:val="fr-CA"/>
        </w:rPr>
        <w:t>(</w:t>
      </w:r>
      <w:r w:rsidRPr="00CA4523">
        <w:rPr>
          <w:rFonts w:cs="Times New Roman"/>
          <w:lang w:val="fr-CA"/>
        </w:rPr>
        <w:t>2)</w:t>
      </w:r>
      <w:r>
        <w:rPr>
          <w:rFonts w:cs="Times New Roman"/>
          <w:lang w:val="fr-CA"/>
        </w:rPr>
        <w:t> </w:t>
      </w:r>
      <w:r w:rsidRPr="00CA4523">
        <w:rPr>
          <w:rFonts w:cs="Times New Roman"/>
          <w:lang w:val="fr-CA"/>
        </w:rPr>
        <w:t xml:space="preserve">« une copie certifiée conforme provenant du </w:t>
      </w:r>
      <w:r w:rsidRPr="009A7021">
        <w:rPr>
          <w:rFonts w:cs="Times New Roman"/>
          <w:lang w:val="fr-CA"/>
        </w:rPr>
        <w:t>Registraire des entreprises de Montréal, Canada, indiquant que [CBC] y est inscrite c</w:t>
      </w:r>
      <w:r w:rsidRPr="00CA4523">
        <w:rPr>
          <w:rFonts w:cs="Times New Roman"/>
          <w:lang w:val="fr-CA"/>
        </w:rPr>
        <w:t xml:space="preserve">omme exerçant ses activités sous les dénominations sociales de [BEC] et </w:t>
      </w:r>
      <w:r w:rsidRPr="00CA4523">
        <w:rPr>
          <w:rFonts w:cs="Times New Roman"/>
          <w:lang w:val="fr-CA"/>
        </w:rPr>
        <w:lastRenderedPageBreak/>
        <w:t>d</w:t>
      </w:r>
      <w:r>
        <w:rPr>
          <w:rFonts w:cs="Times New Roman"/>
          <w:lang w:val="fr-CA"/>
        </w:rPr>
        <w:t>’</w:t>
      </w:r>
      <w:r w:rsidRPr="00CA4523">
        <w:rPr>
          <w:rFonts w:cs="Times New Roman"/>
          <w:lang w:val="fr-CA"/>
        </w:rPr>
        <w:t>[</w:t>
      </w:r>
      <w:r>
        <w:rPr>
          <w:rFonts w:cs="Times New Roman"/>
          <w:lang w:val="fr-CA"/>
        </w:rPr>
        <w:t>une autre entité</w:t>
      </w:r>
      <w:r w:rsidRPr="00CA4523">
        <w:rPr>
          <w:rFonts w:cs="Times New Roman"/>
          <w:lang w:val="fr-CA"/>
        </w:rPr>
        <w:t xml:space="preserve">] »; et </w:t>
      </w:r>
      <w:r w:rsidR="00723F24">
        <w:rPr>
          <w:rFonts w:cs="Times New Roman"/>
          <w:lang w:val="fr-CA"/>
        </w:rPr>
        <w:t>(</w:t>
      </w:r>
      <w:r w:rsidRPr="00CA4523">
        <w:rPr>
          <w:rFonts w:cs="Times New Roman"/>
          <w:lang w:val="fr-CA"/>
        </w:rPr>
        <w:t>3)</w:t>
      </w:r>
      <w:r>
        <w:rPr>
          <w:rFonts w:cs="Times New Roman"/>
          <w:lang w:val="fr-CA"/>
        </w:rPr>
        <w:t> </w:t>
      </w:r>
      <w:r w:rsidRPr="00CA4523">
        <w:rPr>
          <w:rFonts w:cs="Times New Roman"/>
          <w:lang w:val="fr-CA"/>
        </w:rPr>
        <w:t>« un affidavit attestant que les renseignements fournis par [Knight] à l</w:t>
      </w:r>
      <w:r>
        <w:rPr>
          <w:rFonts w:cs="Times New Roman"/>
          <w:lang w:val="fr-CA"/>
        </w:rPr>
        <w:t>’</w:t>
      </w:r>
      <w:r w:rsidRPr="00CA4523">
        <w:rPr>
          <w:rFonts w:cs="Times New Roman"/>
          <w:lang w:val="fr-CA"/>
        </w:rPr>
        <w:t xml:space="preserve">appui de ses prétentions </w:t>
      </w:r>
      <w:r>
        <w:rPr>
          <w:rFonts w:cs="Times New Roman"/>
          <w:lang w:val="fr-CA"/>
        </w:rPr>
        <w:t>sur</w:t>
      </w:r>
      <w:r w:rsidRPr="00CA4523">
        <w:rPr>
          <w:rFonts w:cs="Times New Roman"/>
          <w:lang w:val="fr-CA"/>
        </w:rPr>
        <w:t xml:space="preserve"> l</w:t>
      </w:r>
      <w:r>
        <w:rPr>
          <w:rFonts w:cs="Times New Roman"/>
          <w:lang w:val="fr-CA"/>
        </w:rPr>
        <w:t>’</w:t>
      </w:r>
      <w:r w:rsidRPr="00CA4523">
        <w:rPr>
          <w:rFonts w:cs="Times New Roman"/>
          <w:lang w:val="fr-CA"/>
        </w:rPr>
        <w:t>existence d</w:t>
      </w:r>
      <w:r>
        <w:rPr>
          <w:rFonts w:cs="Times New Roman"/>
          <w:lang w:val="fr-CA"/>
        </w:rPr>
        <w:t>’</w:t>
      </w:r>
      <w:r w:rsidRPr="00CA4523">
        <w:rPr>
          <w:rFonts w:cs="Times New Roman"/>
          <w:lang w:val="fr-CA"/>
        </w:rPr>
        <w:t xml:space="preserve">un </w:t>
      </w:r>
      <w:r w:rsidRPr="009A7021">
        <w:rPr>
          <w:rFonts w:cs="Times New Roman"/>
          <w:lang w:val="fr-CA"/>
        </w:rPr>
        <w:t>alter ego</w:t>
      </w:r>
      <w:r w:rsidRPr="00CA4523">
        <w:rPr>
          <w:rFonts w:cs="Times New Roman"/>
          <w:lang w:val="fr-CA"/>
        </w:rPr>
        <w:t xml:space="preserve"> </w:t>
      </w:r>
      <w:r w:rsidRPr="000D1CF4">
        <w:rPr>
          <w:rFonts w:cs="Times New Roman"/>
          <w:lang w:val="fr-CA"/>
        </w:rPr>
        <w:t>et d</w:t>
      </w:r>
      <w:r>
        <w:rPr>
          <w:rFonts w:cs="Times New Roman"/>
          <w:lang w:val="fr-CA"/>
        </w:rPr>
        <w:t>’</w:t>
      </w:r>
      <w:r w:rsidRPr="000D1CF4">
        <w:rPr>
          <w:rFonts w:cs="Times New Roman"/>
          <w:lang w:val="fr-CA"/>
        </w:rPr>
        <w:t>un intermédiaire lui avait été</w:t>
      </w:r>
      <w:r w:rsidRPr="00CA4523">
        <w:rPr>
          <w:rFonts w:cs="Times New Roman"/>
          <w:lang w:val="fr-CA"/>
        </w:rPr>
        <w:t xml:space="preserve"> fourni</w:t>
      </w:r>
      <w:r>
        <w:rPr>
          <w:rFonts w:cs="Times New Roman"/>
          <w:lang w:val="fr-CA"/>
        </w:rPr>
        <w:t>s</w:t>
      </w:r>
      <w:r w:rsidRPr="00CA4523">
        <w:rPr>
          <w:rFonts w:cs="Times New Roman"/>
          <w:lang w:val="fr-CA"/>
        </w:rPr>
        <w:t xml:space="preserve"> à l</w:t>
      </w:r>
      <w:r>
        <w:rPr>
          <w:rFonts w:cs="Times New Roman"/>
          <w:lang w:val="fr-CA"/>
        </w:rPr>
        <w:t>’</w:t>
      </w:r>
      <w:r w:rsidRPr="00CA4523">
        <w:rPr>
          <w:rFonts w:cs="Times New Roman"/>
          <w:lang w:val="fr-CA"/>
        </w:rPr>
        <w:t>origine par une source confidentielle non identifiée, en l</w:t>
      </w:r>
      <w:r>
        <w:rPr>
          <w:rFonts w:cs="Times New Roman"/>
          <w:lang w:val="fr-CA"/>
        </w:rPr>
        <w:t>’</w:t>
      </w:r>
      <w:r w:rsidRPr="00CA4523">
        <w:rPr>
          <w:rFonts w:cs="Times New Roman"/>
          <w:lang w:val="fr-CA"/>
        </w:rPr>
        <w:t>occurrence un ex</w:t>
      </w:r>
      <w:r>
        <w:rPr>
          <w:rFonts w:cs="Times New Roman"/>
          <w:lang w:val="fr-CA"/>
        </w:rPr>
        <w:noBreakHyphen/>
      </w:r>
      <w:r w:rsidRPr="00CA4523">
        <w:rPr>
          <w:rFonts w:cs="Times New Roman"/>
          <w:lang w:val="fr-CA"/>
        </w:rPr>
        <w:t>employé du groupe Barer »</w:t>
      </w:r>
      <w:r>
        <w:rPr>
          <w:rFonts w:cs="Times New Roman"/>
          <w:lang w:val="fr-CA"/>
        </w:rPr>
        <w:t xml:space="preserve"> (d.a., vol. II, p. 100</w:t>
      </w:r>
      <w:r>
        <w:rPr>
          <w:rFonts w:cs="Times New Roman"/>
          <w:lang w:val="fr-CA"/>
        </w:rPr>
        <w:noBreakHyphen/>
        <w:t>101)</w:t>
      </w:r>
      <w:r w:rsidRPr="00CA4523">
        <w:rPr>
          <w:rFonts w:cs="Times New Roman"/>
          <w:lang w:val="fr-CA"/>
        </w:rPr>
        <w:t>. Le tribunal de l</w:t>
      </w:r>
      <w:r>
        <w:rPr>
          <w:rFonts w:cs="Times New Roman"/>
          <w:lang w:val="fr-CA"/>
        </w:rPr>
        <w:t>’</w:t>
      </w:r>
      <w:r w:rsidRPr="00CA4523">
        <w:rPr>
          <w:rFonts w:cs="Times New Roman"/>
          <w:lang w:val="fr-CA"/>
        </w:rPr>
        <w:t>Utah a souligné que les allégations attribuées à cet employé et reprises dans la demande de Knight « doivent être tenues pour avérées aux fins de la présente requête »</w:t>
      </w:r>
      <w:r>
        <w:rPr>
          <w:rFonts w:cs="Times New Roman"/>
          <w:lang w:val="fr-CA"/>
        </w:rPr>
        <w:t xml:space="preserve"> (d.a., vol. II, p. 102)</w:t>
      </w:r>
      <w:r w:rsidRPr="00CA4523">
        <w:rPr>
          <w:rFonts w:cs="Times New Roman"/>
          <w:lang w:val="fr-CA"/>
        </w:rPr>
        <w:t xml:space="preserve">. </w:t>
      </w:r>
      <w:r>
        <w:rPr>
          <w:rFonts w:cs="Times New Roman"/>
          <w:lang w:val="fr-CA"/>
        </w:rPr>
        <w:t>Il en</w:t>
      </w:r>
      <w:r w:rsidRPr="00CA4523">
        <w:rPr>
          <w:rFonts w:cs="Times New Roman"/>
          <w:lang w:val="fr-CA"/>
        </w:rPr>
        <w:t xml:space="preserve"> a conclu qu</w:t>
      </w:r>
      <w:r>
        <w:rPr>
          <w:rFonts w:cs="Times New Roman"/>
          <w:lang w:val="fr-CA"/>
        </w:rPr>
        <w:t>’</w:t>
      </w:r>
      <w:r w:rsidRPr="00CA4523">
        <w:rPr>
          <w:rFonts w:cs="Times New Roman"/>
          <w:lang w:val="fr-CA"/>
        </w:rPr>
        <w:t>il avait été démontré à première vue qu</w:t>
      </w:r>
      <w:r>
        <w:rPr>
          <w:rFonts w:cs="Times New Roman"/>
          <w:lang w:val="fr-CA"/>
        </w:rPr>
        <w:t>’</w:t>
      </w:r>
      <w:r w:rsidRPr="00CA4523">
        <w:rPr>
          <w:rFonts w:cs="Times New Roman"/>
          <w:lang w:val="fr-CA"/>
        </w:rPr>
        <w:t xml:space="preserve">il avait compétence. </w:t>
      </w:r>
      <w:r>
        <w:rPr>
          <w:rFonts w:cs="Times New Roman"/>
          <w:lang w:val="fr-CA"/>
        </w:rPr>
        <w:t>Puis</w:t>
      </w:r>
      <w:r w:rsidRPr="00CA4523">
        <w:rPr>
          <w:rFonts w:cs="Times New Roman"/>
          <w:lang w:val="fr-CA"/>
        </w:rPr>
        <w:t>que M. Barer n</w:t>
      </w:r>
      <w:r>
        <w:rPr>
          <w:rFonts w:cs="Times New Roman"/>
          <w:lang w:val="fr-CA"/>
        </w:rPr>
        <w:t>’</w:t>
      </w:r>
      <w:r w:rsidRPr="00CA4523">
        <w:rPr>
          <w:rFonts w:cs="Times New Roman"/>
          <w:lang w:val="fr-CA"/>
        </w:rPr>
        <w:t>avait pas établi l</w:t>
      </w:r>
      <w:r>
        <w:rPr>
          <w:rFonts w:cs="Times New Roman"/>
          <w:lang w:val="fr-CA"/>
        </w:rPr>
        <w:t>’</w:t>
      </w:r>
      <w:r w:rsidRPr="00CA4523">
        <w:rPr>
          <w:rFonts w:cs="Times New Roman"/>
          <w:lang w:val="fr-CA"/>
        </w:rPr>
        <w:t>existence de facteurs qui « rendraient l</w:t>
      </w:r>
      <w:r>
        <w:rPr>
          <w:rFonts w:cs="Times New Roman"/>
          <w:lang w:val="fr-CA"/>
        </w:rPr>
        <w:t>’</w:t>
      </w:r>
      <w:r w:rsidRPr="00CA4523">
        <w:rPr>
          <w:rFonts w:cs="Times New Roman"/>
          <w:lang w:val="fr-CA"/>
        </w:rPr>
        <w:t>exercice de cette compétence déraisonnable »</w:t>
      </w:r>
      <w:r>
        <w:rPr>
          <w:rFonts w:cs="Times New Roman"/>
          <w:lang w:val="fr-CA"/>
        </w:rPr>
        <w:t xml:space="preserve"> (d.a., vol. II, p. 101)</w:t>
      </w:r>
      <w:r w:rsidRPr="00CA4523">
        <w:rPr>
          <w:rFonts w:cs="Times New Roman"/>
          <w:lang w:val="fr-CA"/>
        </w:rPr>
        <w:t>, son premier moyen a été rejeté. Pour le tribunal de l</w:t>
      </w:r>
      <w:r>
        <w:rPr>
          <w:rFonts w:cs="Times New Roman"/>
          <w:lang w:val="fr-CA"/>
        </w:rPr>
        <w:t>’</w:t>
      </w:r>
      <w:r w:rsidRPr="00CA4523">
        <w:rPr>
          <w:rFonts w:cs="Times New Roman"/>
          <w:lang w:val="fr-CA"/>
        </w:rPr>
        <w:t>Utah, il était dans l</w:t>
      </w:r>
      <w:r>
        <w:rPr>
          <w:rFonts w:cs="Times New Roman"/>
          <w:lang w:val="fr-CA"/>
        </w:rPr>
        <w:t>’</w:t>
      </w:r>
      <w:r w:rsidRPr="00CA4523">
        <w:rPr>
          <w:rFonts w:cs="Times New Roman"/>
          <w:lang w:val="fr-CA"/>
        </w:rPr>
        <w:t>intérêt du système de justice international</w:t>
      </w:r>
      <w:r>
        <w:rPr>
          <w:rFonts w:cs="Times New Roman"/>
          <w:lang w:val="fr-CA"/>
        </w:rPr>
        <w:t>e</w:t>
      </w:r>
      <w:r w:rsidRPr="00CA4523">
        <w:rPr>
          <w:rFonts w:cs="Times New Roman"/>
          <w:lang w:val="fr-CA"/>
        </w:rPr>
        <w:t xml:space="preserve"> </w:t>
      </w:r>
      <w:r>
        <w:rPr>
          <w:rFonts w:cs="Times New Roman"/>
          <w:lang w:val="fr-CA"/>
        </w:rPr>
        <w:t xml:space="preserve">que </w:t>
      </w:r>
      <w:r w:rsidRPr="00CA4523">
        <w:rPr>
          <w:rFonts w:cs="Times New Roman"/>
          <w:lang w:val="fr-CA"/>
        </w:rPr>
        <w:t xml:space="preserve">la totalité du différend, y compris les prétentions connexes ayant trait à </w:t>
      </w:r>
      <w:r w:rsidRPr="009A7021">
        <w:rPr>
          <w:rFonts w:cs="Times New Roman"/>
          <w:lang w:val="fr-CA"/>
        </w:rPr>
        <w:t>l</w:t>
      </w:r>
      <w:r>
        <w:rPr>
          <w:rFonts w:cs="Times New Roman"/>
          <w:lang w:val="fr-CA"/>
        </w:rPr>
        <w:t>’</w:t>
      </w:r>
      <w:r w:rsidRPr="009A7021">
        <w:rPr>
          <w:rFonts w:cs="Times New Roman"/>
          <w:lang w:val="fr-CA"/>
        </w:rPr>
        <w:t>alter ego</w:t>
      </w:r>
      <w:r>
        <w:rPr>
          <w:rFonts w:cs="Times New Roman"/>
          <w:lang w:val="fr-CA"/>
        </w:rPr>
        <w:t>, fasse l’objet d’</w:t>
      </w:r>
      <w:r w:rsidRPr="00CA4523">
        <w:rPr>
          <w:rFonts w:cs="Times New Roman"/>
          <w:lang w:val="fr-CA"/>
        </w:rPr>
        <w:t>une seule et même action</w:t>
      </w:r>
      <w:r w:rsidRPr="009A7021">
        <w:rPr>
          <w:rFonts w:cs="Times New Roman"/>
          <w:lang w:val="fr-CA"/>
        </w:rPr>
        <w:t>.</w:t>
      </w:r>
    </w:p>
    <w:p w:rsidR="00AF6697" w:rsidRPr="00CA4523" w:rsidRDefault="00AF6697" w:rsidP="00AF6697">
      <w:pPr>
        <w:pStyle w:val="ParaNoNdepar-AltN"/>
        <w:tabs>
          <w:tab w:val="clear" w:pos="1166"/>
          <w:tab w:val="num" w:pos="1152"/>
        </w:tabs>
        <w:rPr>
          <w:rFonts w:cs="Times New Roman"/>
          <w:lang w:val="fr-CA"/>
        </w:rPr>
      </w:pPr>
      <w:r>
        <w:rPr>
          <w:rFonts w:cs="Times New Roman"/>
          <w:lang w:val="fr-CA"/>
        </w:rPr>
        <w:t>S’</w:t>
      </w:r>
      <w:r w:rsidRPr="00CA4523">
        <w:rPr>
          <w:rFonts w:cs="Times New Roman"/>
          <w:lang w:val="fr-CA"/>
        </w:rPr>
        <w:t>appuyant sur ses conclusions concernant sa compétence, le tribunal de l</w:t>
      </w:r>
      <w:r>
        <w:rPr>
          <w:rFonts w:cs="Times New Roman"/>
          <w:lang w:val="fr-CA"/>
        </w:rPr>
        <w:t>’</w:t>
      </w:r>
      <w:r w:rsidRPr="00CA4523">
        <w:rPr>
          <w:rFonts w:cs="Times New Roman"/>
          <w:lang w:val="fr-CA"/>
        </w:rPr>
        <w:t xml:space="preserve">Utah a </w:t>
      </w:r>
      <w:r>
        <w:rPr>
          <w:rFonts w:cs="Times New Roman"/>
          <w:lang w:val="fr-CA"/>
        </w:rPr>
        <w:t>par ailleurs jugé</w:t>
      </w:r>
      <w:r w:rsidRPr="00CA4523">
        <w:rPr>
          <w:rFonts w:cs="Times New Roman"/>
          <w:lang w:val="fr-CA"/>
        </w:rPr>
        <w:t xml:space="preserve"> que les allégations de Knight — qui doivent être tenues pour avérées dans le </w:t>
      </w:r>
      <w:r>
        <w:rPr>
          <w:rFonts w:cs="Times New Roman"/>
          <w:lang w:val="fr-CA"/>
        </w:rPr>
        <w:t>contexte</w:t>
      </w:r>
      <w:r w:rsidRPr="00CA4523">
        <w:rPr>
          <w:rFonts w:cs="Times New Roman"/>
          <w:lang w:val="fr-CA"/>
        </w:rPr>
        <w:t xml:space="preserve"> d</w:t>
      </w:r>
      <w:r>
        <w:rPr>
          <w:rFonts w:cs="Times New Roman"/>
          <w:lang w:val="fr-CA"/>
        </w:rPr>
        <w:t>’</w:t>
      </w:r>
      <w:r w:rsidRPr="00CA4523">
        <w:rPr>
          <w:rFonts w:cs="Times New Roman"/>
          <w:lang w:val="fr-CA"/>
        </w:rPr>
        <w:t>une requête en irrecevabilité</w:t>
      </w:r>
      <w:r>
        <w:rPr>
          <w:rFonts w:cs="Times New Roman"/>
          <w:lang w:val="fr-CA"/>
        </w:rPr>
        <w:t xml:space="preserve"> </w:t>
      </w:r>
      <w:r w:rsidRPr="00CA4523">
        <w:rPr>
          <w:rFonts w:cs="Times New Roman"/>
          <w:lang w:val="fr-CA"/>
        </w:rPr>
        <w:t>— [</w:t>
      </w:r>
      <w:r w:rsidRPr="00CA4523">
        <w:rPr>
          <w:rFonts w:cs="Times New Roman"/>
          <w:smallCaps/>
          <w:lang w:val="fr-CA"/>
        </w:rPr>
        <w:t>traduction</w:t>
      </w:r>
      <w:r w:rsidRPr="00CA4523">
        <w:rPr>
          <w:rFonts w:cs="Times New Roman"/>
          <w:lang w:val="fr-CA"/>
        </w:rPr>
        <w:t>] « </w:t>
      </w:r>
      <w:r>
        <w:rPr>
          <w:rFonts w:cs="Times New Roman"/>
          <w:lang w:val="fr-CA"/>
        </w:rPr>
        <w:t>démontrent le bien</w:t>
      </w:r>
      <w:r>
        <w:rPr>
          <w:rFonts w:cs="Times New Roman"/>
          <w:lang w:val="fr-CA"/>
        </w:rPr>
        <w:noBreakHyphen/>
      </w:r>
      <w:r w:rsidRPr="00F40EC1">
        <w:rPr>
          <w:rFonts w:cs="Times New Roman"/>
          <w:lang w:val="fr-CA"/>
        </w:rPr>
        <w:t>fondé de</w:t>
      </w:r>
      <w:r>
        <w:rPr>
          <w:rFonts w:cs="Times New Roman"/>
          <w:lang w:val="fr-CA"/>
        </w:rPr>
        <w:t xml:space="preserve"> la</w:t>
      </w:r>
      <w:r w:rsidRPr="00CA4523">
        <w:rPr>
          <w:rFonts w:cs="Times New Roman"/>
          <w:lang w:val="fr-CA"/>
        </w:rPr>
        <w:t xml:space="preserve"> demande </w:t>
      </w:r>
      <w:r>
        <w:rPr>
          <w:rFonts w:cs="Times New Roman"/>
          <w:lang w:val="fr-CA"/>
        </w:rPr>
        <w:t>qui repose</w:t>
      </w:r>
      <w:r w:rsidRPr="00CA4523">
        <w:rPr>
          <w:rFonts w:cs="Times New Roman"/>
          <w:lang w:val="fr-CA"/>
        </w:rPr>
        <w:t xml:space="preserve"> sur l</w:t>
      </w:r>
      <w:r>
        <w:rPr>
          <w:rFonts w:cs="Times New Roman"/>
          <w:lang w:val="fr-CA"/>
        </w:rPr>
        <w:t>’</w:t>
      </w:r>
      <w:r w:rsidRPr="00CA4523">
        <w:rPr>
          <w:rFonts w:cs="Times New Roman"/>
          <w:lang w:val="fr-CA"/>
        </w:rPr>
        <w:t>existence d</w:t>
      </w:r>
      <w:r>
        <w:rPr>
          <w:rFonts w:cs="Times New Roman"/>
          <w:lang w:val="fr-CA"/>
        </w:rPr>
        <w:t>’</w:t>
      </w:r>
      <w:r w:rsidRPr="00CA4523">
        <w:rPr>
          <w:rFonts w:cs="Times New Roman"/>
          <w:lang w:val="fr-CA"/>
        </w:rPr>
        <w:t xml:space="preserve">un </w:t>
      </w:r>
      <w:r w:rsidRPr="009A7021">
        <w:rPr>
          <w:rFonts w:cs="Times New Roman"/>
          <w:lang w:val="fr-CA"/>
        </w:rPr>
        <w:t>alter ego</w:t>
      </w:r>
      <w:r w:rsidRPr="00CA4523">
        <w:rPr>
          <w:rFonts w:cs="Times New Roman"/>
          <w:lang w:val="fr-CA"/>
        </w:rPr>
        <w:t> »</w:t>
      </w:r>
      <w:r>
        <w:rPr>
          <w:rFonts w:cs="Times New Roman"/>
          <w:lang w:val="fr-CA"/>
        </w:rPr>
        <w:t xml:space="preserve"> (d.a., vol. II, p. 103</w:t>
      </w:r>
      <w:r>
        <w:rPr>
          <w:rFonts w:cs="Times New Roman"/>
          <w:lang w:val="fr-CA"/>
        </w:rPr>
        <w:noBreakHyphen/>
        <w:t>105)</w:t>
      </w:r>
      <w:r w:rsidRPr="00CA4523">
        <w:rPr>
          <w:rFonts w:cs="Times New Roman"/>
          <w:lang w:val="fr-CA"/>
        </w:rPr>
        <w:t>. Enfin, le tribunal de l</w:t>
      </w:r>
      <w:r>
        <w:rPr>
          <w:rFonts w:cs="Times New Roman"/>
          <w:lang w:val="fr-CA"/>
        </w:rPr>
        <w:t>’</w:t>
      </w:r>
      <w:r w:rsidRPr="00CA4523">
        <w:rPr>
          <w:rFonts w:cs="Times New Roman"/>
          <w:lang w:val="fr-CA"/>
        </w:rPr>
        <w:t>Utah a rejeté le troisième moyen invoqué par M. Barer, à savoir que Knight n</w:t>
      </w:r>
      <w:r>
        <w:rPr>
          <w:rFonts w:cs="Times New Roman"/>
          <w:lang w:val="fr-CA"/>
        </w:rPr>
        <w:t>’</w:t>
      </w:r>
      <w:r w:rsidRPr="00CA4523">
        <w:rPr>
          <w:rFonts w:cs="Times New Roman"/>
          <w:lang w:val="fr-CA"/>
        </w:rPr>
        <w:t>avait aucune cause d</w:t>
      </w:r>
      <w:r>
        <w:rPr>
          <w:rFonts w:cs="Times New Roman"/>
          <w:lang w:val="fr-CA"/>
        </w:rPr>
        <w:t>’</w:t>
      </w:r>
      <w:r w:rsidRPr="00CA4523">
        <w:rPr>
          <w:rFonts w:cs="Times New Roman"/>
          <w:lang w:val="fr-CA"/>
        </w:rPr>
        <w:t>action parce que sa réclamation fondée sur l</w:t>
      </w:r>
      <w:r>
        <w:rPr>
          <w:rFonts w:cs="Times New Roman"/>
          <w:lang w:val="fr-CA"/>
        </w:rPr>
        <w:t>’</w:t>
      </w:r>
      <w:r w:rsidRPr="00CA4523">
        <w:rPr>
          <w:rFonts w:cs="Times New Roman"/>
          <w:lang w:val="fr-CA"/>
        </w:rPr>
        <w:t xml:space="preserve">existence </w:t>
      </w:r>
      <w:r>
        <w:rPr>
          <w:rFonts w:cs="Times New Roman"/>
          <w:lang w:val="fr-CA"/>
        </w:rPr>
        <w:t>de fausses déclarations</w:t>
      </w:r>
      <w:r w:rsidRPr="00CA4523">
        <w:rPr>
          <w:rFonts w:cs="Times New Roman"/>
          <w:lang w:val="fr-CA"/>
        </w:rPr>
        <w:t xml:space="preserve"> était irrecevable en raison de la règle relative aux pertes </w:t>
      </w:r>
      <w:r>
        <w:rPr>
          <w:rFonts w:cs="Times New Roman"/>
          <w:lang w:val="fr-CA"/>
        </w:rPr>
        <w:t>pur</w:t>
      </w:r>
      <w:r w:rsidRPr="00CA4523">
        <w:rPr>
          <w:rFonts w:cs="Times New Roman"/>
          <w:lang w:val="fr-CA"/>
        </w:rPr>
        <w:t xml:space="preserve">ement financières. Le tribunal a expliqué que, même si ce moyen pouvait être invoqué pour faire déclarer irrecevable une demande </w:t>
      </w:r>
      <w:r>
        <w:rPr>
          <w:rFonts w:cs="Times New Roman"/>
          <w:lang w:val="fr-CA"/>
        </w:rPr>
        <w:t xml:space="preserve">de nature </w:t>
      </w:r>
      <w:r w:rsidRPr="00CA4523">
        <w:rPr>
          <w:rFonts w:cs="Times New Roman"/>
          <w:lang w:val="fr-CA"/>
        </w:rPr>
        <w:t>purement contractuelle, la réclamation de Knight était également fondée sur les règles du droit des quasi</w:t>
      </w:r>
      <w:r>
        <w:rPr>
          <w:rFonts w:cs="Times New Roman"/>
          <w:lang w:val="fr-CA"/>
        </w:rPr>
        <w:noBreakHyphen/>
      </w:r>
      <w:r w:rsidRPr="00CA4523">
        <w:rPr>
          <w:rFonts w:cs="Times New Roman"/>
          <w:lang w:val="fr-CA"/>
        </w:rPr>
        <w:t>contrats et de l</w:t>
      </w:r>
      <w:r>
        <w:rPr>
          <w:rFonts w:cs="Times New Roman"/>
          <w:lang w:val="fr-CA"/>
        </w:rPr>
        <w:t>’enrichissement sans cause</w:t>
      </w:r>
      <w:r w:rsidRPr="00CA4523">
        <w:rPr>
          <w:rFonts w:cs="Times New Roman"/>
          <w:lang w:val="fr-CA"/>
        </w:rPr>
        <w:t xml:space="preserve"> qui</w:t>
      </w:r>
      <w:r>
        <w:rPr>
          <w:rFonts w:cs="Times New Roman"/>
          <w:lang w:val="fr-CA"/>
        </w:rPr>
        <w:t>, elles,</w:t>
      </w:r>
      <w:r w:rsidRPr="00CA4523">
        <w:rPr>
          <w:rFonts w:cs="Times New Roman"/>
          <w:lang w:val="fr-CA"/>
        </w:rPr>
        <w:t xml:space="preserve"> ne sont pas assujetties au principe interdisant l</w:t>
      </w:r>
      <w:r>
        <w:rPr>
          <w:rFonts w:cs="Times New Roman"/>
          <w:lang w:val="fr-CA"/>
        </w:rPr>
        <w:t>’</w:t>
      </w:r>
      <w:r w:rsidRPr="00CA4523">
        <w:rPr>
          <w:rFonts w:cs="Times New Roman"/>
          <w:lang w:val="fr-CA"/>
        </w:rPr>
        <w:t xml:space="preserve">indemnisation des pertes </w:t>
      </w:r>
      <w:r>
        <w:rPr>
          <w:rFonts w:cs="Times New Roman"/>
          <w:lang w:val="fr-CA"/>
        </w:rPr>
        <w:t>purement financières</w:t>
      </w:r>
      <w:r w:rsidRPr="00CA4523">
        <w:rPr>
          <w:rFonts w:cs="Times New Roman"/>
          <w:lang w:val="fr-CA"/>
        </w:rPr>
        <w:t>.</w:t>
      </w:r>
    </w:p>
    <w:p w:rsidR="00AF6697" w:rsidRPr="00CA4523" w:rsidRDefault="00AF6697" w:rsidP="00AF6697">
      <w:pPr>
        <w:pStyle w:val="ParaNoNdepar-AltN"/>
        <w:rPr>
          <w:rFonts w:cs="Times New Roman"/>
          <w:lang w:val="fr-CA"/>
        </w:rPr>
      </w:pPr>
      <w:r w:rsidRPr="00CA4523">
        <w:rPr>
          <w:rFonts w:cs="Times New Roman"/>
          <w:lang w:val="fr-CA"/>
        </w:rPr>
        <w:lastRenderedPageBreak/>
        <w:t xml:space="preserve">Après le rejet de la requête de M. Barer en janvier 2011, les trois défendeurs ont </w:t>
      </w:r>
      <w:r>
        <w:rPr>
          <w:rFonts w:cs="Times New Roman"/>
          <w:lang w:val="fr-CA"/>
        </w:rPr>
        <w:t>été tenus</w:t>
      </w:r>
      <w:r w:rsidRPr="00CA4523">
        <w:rPr>
          <w:rFonts w:cs="Times New Roman"/>
          <w:lang w:val="fr-CA"/>
        </w:rPr>
        <w:t xml:space="preserve"> de participer à une conférence </w:t>
      </w:r>
      <w:r>
        <w:rPr>
          <w:rFonts w:cs="Times New Roman"/>
          <w:lang w:val="fr-CA"/>
        </w:rPr>
        <w:t>de</w:t>
      </w:r>
      <w:r w:rsidRPr="00CA4523">
        <w:rPr>
          <w:rFonts w:cs="Times New Roman"/>
          <w:lang w:val="fr-CA"/>
        </w:rPr>
        <w:t xml:space="preserve"> règlement </w:t>
      </w:r>
      <w:r>
        <w:rPr>
          <w:rFonts w:cs="Times New Roman"/>
          <w:lang w:val="fr-CA"/>
        </w:rPr>
        <w:t xml:space="preserve">à l’amiable. En février </w:t>
      </w:r>
      <w:r w:rsidRPr="00CA4523">
        <w:rPr>
          <w:rFonts w:cs="Times New Roman"/>
          <w:lang w:val="fr-CA"/>
        </w:rPr>
        <w:t>2011, M.</w:t>
      </w:r>
      <w:r>
        <w:rPr>
          <w:rFonts w:cs="Times New Roman"/>
          <w:lang w:val="fr-CA"/>
        </w:rPr>
        <w:t> </w:t>
      </w:r>
      <w:r w:rsidRPr="00CA4523">
        <w:rPr>
          <w:rFonts w:cs="Times New Roman"/>
          <w:lang w:val="fr-CA"/>
        </w:rPr>
        <w:t>Barer a également obtenu une prorogation du délai qui lui avait été imparti pour déposer une réponse et une défense</w:t>
      </w:r>
      <w:r>
        <w:rPr>
          <w:rFonts w:cs="Times New Roman"/>
          <w:lang w:val="fr-CA"/>
        </w:rPr>
        <w:t xml:space="preserve">. En fin de compte, il n’en a </w:t>
      </w:r>
      <w:r w:rsidRPr="00CA4523">
        <w:rPr>
          <w:rFonts w:cs="Times New Roman"/>
          <w:lang w:val="fr-CA"/>
        </w:rPr>
        <w:t xml:space="preserve">jamais </w:t>
      </w:r>
      <w:r>
        <w:rPr>
          <w:rFonts w:cs="Times New Roman"/>
          <w:lang w:val="fr-CA"/>
        </w:rPr>
        <w:t>dépos</w:t>
      </w:r>
      <w:r w:rsidRPr="00CA4523">
        <w:rPr>
          <w:rFonts w:cs="Times New Roman"/>
          <w:lang w:val="fr-CA"/>
        </w:rPr>
        <w:t xml:space="preserve">é. Son défaut de déposer une réponse a été constaté par un </w:t>
      </w:r>
      <w:r w:rsidRPr="00D34B07">
        <w:rPr>
          <w:rFonts w:cs="Times New Roman"/>
          <w:lang w:val="fr-CA"/>
        </w:rPr>
        <w:t xml:space="preserve">préposé du greffe. La conférence </w:t>
      </w:r>
      <w:r>
        <w:rPr>
          <w:rFonts w:cs="Times New Roman"/>
          <w:lang w:val="fr-CA"/>
        </w:rPr>
        <w:t>de</w:t>
      </w:r>
      <w:r w:rsidRPr="00D34B07">
        <w:rPr>
          <w:rFonts w:cs="Times New Roman"/>
          <w:lang w:val="fr-CA"/>
        </w:rPr>
        <w:t xml:space="preserve"> règlement à l</w:t>
      </w:r>
      <w:r>
        <w:rPr>
          <w:rFonts w:cs="Times New Roman"/>
          <w:lang w:val="fr-CA"/>
        </w:rPr>
        <w:t>’</w:t>
      </w:r>
      <w:r w:rsidRPr="00D34B07">
        <w:rPr>
          <w:rFonts w:cs="Times New Roman"/>
          <w:lang w:val="fr-CA"/>
        </w:rPr>
        <w:t>amiable a eu lieu en novembre 2011. M. Barer y a participé; son avocat a toutefois expliqué qu</w:t>
      </w:r>
      <w:r>
        <w:rPr>
          <w:rFonts w:cs="Times New Roman"/>
          <w:lang w:val="fr-CA"/>
        </w:rPr>
        <w:t>’</w:t>
      </w:r>
      <w:r w:rsidRPr="00D34B07">
        <w:rPr>
          <w:rFonts w:cs="Times New Roman"/>
          <w:lang w:val="fr-CA"/>
        </w:rPr>
        <w:t>il n</w:t>
      </w:r>
      <w:r>
        <w:rPr>
          <w:rFonts w:cs="Times New Roman"/>
          <w:lang w:val="fr-CA"/>
        </w:rPr>
        <w:t>’</w:t>
      </w:r>
      <w:r w:rsidRPr="00D34B07">
        <w:rPr>
          <w:rFonts w:cs="Times New Roman"/>
          <w:lang w:val="fr-CA"/>
        </w:rPr>
        <w:t>était présent que pour respecter l</w:t>
      </w:r>
      <w:r>
        <w:rPr>
          <w:rFonts w:cs="Times New Roman"/>
          <w:lang w:val="fr-CA"/>
        </w:rPr>
        <w:t>’</w:t>
      </w:r>
      <w:r w:rsidRPr="00D34B07">
        <w:rPr>
          <w:rFonts w:cs="Times New Roman"/>
          <w:lang w:val="fr-CA"/>
        </w:rPr>
        <w:t>ordonnance du tribunal et que sa présence n</w:t>
      </w:r>
      <w:r>
        <w:rPr>
          <w:rFonts w:cs="Times New Roman"/>
          <w:lang w:val="fr-CA"/>
        </w:rPr>
        <w:t>’</w:t>
      </w:r>
      <w:r w:rsidRPr="00D34B07">
        <w:rPr>
          <w:rFonts w:cs="Times New Roman"/>
          <w:lang w:val="fr-CA"/>
        </w:rPr>
        <w:t xml:space="preserve">emportait pas renonciation à contester la compétence </w:t>
      </w:r>
      <w:r>
        <w:rPr>
          <w:rFonts w:cs="Times New Roman"/>
          <w:lang w:val="fr-CA"/>
        </w:rPr>
        <w:t>de celui</w:t>
      </w:r>
      <w:r>
        <w:rPr>
          <w:rFonts w:cs="Times New Roman"/>
          <w:lang w:val="fr-CA"/>
        </w:rPr>
        <w:noBreakHyphen/>
        <w:t>ci</w:t>
      </w:r>
      <w:r w:rsidRPr="00D34B07">
        <w:rPr>
          <w:rFonts w:cs="Times New Roman"/>
          <w:lang w:val="fr-CA"/>
        </w:rPr>
        <w:t>. Quant à BEC, elle a participé à certaines procédures jusqu</w:t>
      </w:r>
      <w:r>
        <w:rPr>
          <w:rFonts w:cs="Times New Roman"/>
          <w:lang w:val="fr-CA"/>
        </w:rPr>
        <w:t>’</w:t>
      </w:r>
      <w:r w:rsidRPr="00D34B07">
        <w:rPr>
          <w:rFonts w:cs="Times New Roman"/>
          <w:lang w:val="fr-CA"/>
        </w:rPr>
        <w:t>à ce que, à l</w:t>
      </w:r>
      <w:r>
        <w:rPr>
          <w:rFonts w:cs="Times New Roman"/>
          <w:lang w:val="fr-CA"/>
        </w:rPr>
        <w:t>’</w:t>
      </w:r>
      <w:r w:rsidRPr="00D34B07">
        <w:rPr>
          <w:rFonts w:cs="Times New Roman"/>
          <w:lang w:val="fr-CA"/>
        </w:rPr>
        <w:t>été de 2012, le tribunal de l</w:t>
      </w:r>
      <w:r>
        <w:rPr>
          <w:rFonts w:cs="Times New Roman"/>
          <w:lang w:val="fr-CA"/>
        </w:rPr>
        <w:t>’</w:t>
      </w:r>
      <w:r w:rsidRPr="00D34B07">
        <w:rPr>
          <w:rFonts w:cs="Times New Roman"/>
          <w:lang w:val="fr-CA"/>
        </w:rPr>
        <w:t>Utah fasse droit à la demande de jugement par défaut de Knight, qu</w:t>
      </w:r>
      <w:r>
        <w:rPr>
          <w:rFonts w:cs="Times New Roman"/>
          <w:lang w:val="fr-CA"/>
        </w:rPr>
        <w:t>’</w:t>
      </w:r>
      <w:r w:rsidRPr="00D34B07">
        <w:rPr>
          <w:rFonts w:cs="Times New Roman"/>
          <w:lang w:val="fr-CA"/>
        </w:rPr>
        <w:t xml:space="preserve">un préposé du greffe </w:t>
      </w:r>
      <w:r w:rsidRPr="00CA4523">
        <w:rPr>
          <w:rFonts w:cs="Times New Roman"/>
          <w:lang w:val="fr-CA"/>
        </w:rPr>
        <w:t>a enregistré contre les trois défendeurs pour un montant de 431</w:t>
      </w:r>
      <w:r>
        <w:rPr>
          <w:rFonts w:cs="Times New Roman"/>
          <w:lang w:val="fr-CA"/>
        </w:rPr>
        <w:t> </w:t>
      </w:r>
      <w:r w:rsidRPr="00CA4523">
        <w:rPr>
          <w:rFonts w:cs="Times New Roman"/>
          <w:lang w:val="fr-CA"/>
        </w:rPr>
        <w:t>160</w:t>
      </w:r>
      <w:r>
        <w:rPr>
          <w:rFonts w:cs="Times New Roman"/>
          <w:lang w:val="fr-CA"/>
        </w:rPr>
        <w:t> $</w:t>
      </w:r>
      <w:r w:rsidRPr="009A7021">
        <w:rPr>
          <w:rFonts w:cs="Times New Roman"/>
          <w:lang w:val="fr-CA"/>
        </w:rPr>
        <w:t xml:space="preserve"> US,</w:t>
      </w:r>
      <w:r w:rsidRPr="00CA4523">
        <w:rPr>
          <w:rFonts w:cs="Times New Roman"/>
          <w:lang w:val="fr-CA"/>
        </w:rPr>
        <w:t xml:space="preserve"> intérêts en sus. Ce jugement n</w:t>
      </w:r>
      <w:r>
        <w:rPr>
          <w:rFonts w:cs="Times New Roman"/>
          <w:lang w:val="fr-CA"/>
        </w:rPr>
        <w:t>’</w:t>
      </w:r>
      <w:r w:rsidRPr="00CA4523">
        <w:rPr>
          <w:rFonts w:cs="Times New Roman"/>
          <w:lang w:val="fr-CA"/>
        </w:rPr>
        <w:t>était pas motivé. Il a par la suite été modifié pour déclarer les défendeurs solidairement responsables.</w:t>
      </w:r>
    </w:p>
    <w:p w:rsidR="00AF6697" w:rsidRPr="00CA4523" w:rsidRDefault="00AF6697" w:rsidP="002970A2">
      <w:pPr>
        <w:pStyle w:val="Title1LevelTitre1Niveau-AltL"/>
        <w:numPr>
          <w:ilvl w:val="0"/>
          <w:numId w:val="14"/>
        </w:numPr>
        <w:tabs>
          <w:tab w:val="left" w:pos="720"/>
        </w:tabs>
        <w:ind w:hanging="1080"/>
        <w:rPr>
          <w:rFonts w:cs="Times New Roman"/>
          <w:lang w:val="fr-CA"/>
        </w:rPr>
      </w:pPr>
      <w:r>
        <w:rPr>
          <w:rFonts w:cs="Times New Roman"/>
          <w:lang w:val="fr-CA"/>
        </w:rPr>
        <w:t>Historique judiciaire</w:t>
      </w:r>
    </w:p>
    <w:p w:rsidR="00AF6697" w:rsidRPr="00CA4523" w:rsidRDefault="00AF6697" w:rsidP="00AF6697">
      <w:pPr>
        <w:pStyle w:val="ParaNoNdepar-AltN"/>
        <w:rPr>
          <w:rFonts w:cs="Times New Roman"/>
          <w:lang w:val="fr-CA"/>
        </w:rPr>
      </w:pPr>
      <w:r w:rsidRPr="00CA4523">
        <w:rPr>
          <w:rFonts w:cs="Times New Roman"/>
          <w:lang w:val="fr-CA"/>
        </w:rPr>
        <w:t>Knight a déposé une demande introductive d</w:t>
      </w:r>
      <w:r>
        <w:rPr>
          <w:rFonts w:cs="Times New Roman"/>
          <w:lang w:val="fr-CA"/>
        </w:rPr>
        <w:t>’</w:t>
      </w:r>
      <w:r w:rsidRPr="00CA4523">
        <w:rPr>
          <w:rFonts w:cs="Times New Roman"/>
          <w:lang w:val="fr-CA"/>
        </w:rPr>
        <w:t xml:space="preserve">instance devant la Cour supérieure </w:t>
      </w:r>
      <w:r>
        <w:rPr>
          <w:rFonts w:cs="Times New Roman"/>
          <w:lang w:val="fr-CA"/>
        </w:rPr>
        <w:t>afin</w:t>
      </w:r>
      <w:r w:rsidRPr="00CA4523">
        <w:rPr>
          <w:rFonts w:cs="Times New Roman"/>
          <w:lang w:val="fr-CA"/>
        </w:rPr>
        <w:t xml:space="preserve"> de faire reconnaître la décision de l</w:t>
      </w:r>
      <w:r>
        <w:rPr>
          <w:rFonts w:cs="Times New Roman"/>
          <w:lang w:val="fr-CA"/>
        </w:rPr>
        <w:t>’</w:t>
      </w:r>
      <w:r w:rsidRPr="00CA4523">
        <w:rPr>
          <w:rFonts w:cs="Times New Roman"/>
          <w:lang w:val="fr-CA"/>
        </w:rPr>
        <w:t>Utah au Québec et de la faire déclarer opposable à M. Barer et à CBC</w:t>
      </w:r>
      <w:r>
        <w:rPr>
          <w:rFonts w:cs="Times New Roman"/>
          <w:lang w:val="fr-CA"/>
        </w:rPr>
        <w:t>. Ces derniers</w:t>
      </w:r>
      <w:r w:rsidRPr="00CA4523">
        <w:rPr>
          <w:rFonts w:cs="Times New Roman"/>
          <w:lang w:val="fr-CA"/>
        </w:rPr>
        <w:t xml:space="preserve"> ont déposé une défense</w:t>
      </w:r>
      <w:r>
        <w:rPr>
          <w:rFonts w:cs="Times New Roman"/>
          <w:lang w:val="fr-CA"/>
        </w:rPr>
        <w:t xml:space="preserve"> conjointe</w:t>
      </w:r>
      <w:r w:rsidRPr="00CA4523">
        <w:rPr>
          <w:rFonts w:cs="Times New Roman"/>
          <w:lang w:val="fr-CA"/>
        </w:rPr>
        <w:t xml:space="preserve">, qui a été suivie par la réponse de Knight et, finalement, par une défense </w:t>
      </w:r>
      <w:r w:rsidRPr="00F40EC1">
        <w:rPr>
          <w:rFonts w:cs="Times New Roman"/>
          <w:lang w:val="fr-CA"/>
        </w:rPr>
        <w:t>modifiée. Knight a déposé dix</w:t>
      </w:r>
      <w:r>
        <w:rPr>
          <w:rFonts w:cs="Times New Roman"/>
          <w:lang w:val="fr-CA"/>
        </w:rPr>
        <w:noBreakHyphen/>
      </w:r>
      <w:r w:rsidRPr="00F40EC1">
        <w:rPr>
          <w:rFonts w:cs="Times New Roman"/>
          <w:lang w:val="fr-CA"/>
        </w:rPr>
        <w:t>huit pièces tandis que M. Barer et CBC en o</w:t>
      </w:r>
      <w:r>
        <w:rPr>
          <w:rFonts w:cs="Times New Roman"/>
          <w:lang w:val="fr-CA"/>
        </w:rPr>
        <w:t xml:space="preserve">nt déposé </w:t>
      </w:r>
      <w:r w:rsidRPr="00CA4523">
        <w:rPr>
          <w:rFonts w:cs="Times New Roman"/>
          <w:lang w:val="fr-CA"/>
        </w:rPr>
        <w:t xml:space="preserve">quatre. </w:t>
      </w:r>
      <w:r>
        <w:rPr>
          <w:rFonts w:cs="Times New Roman"/>
          <w:lang w:val="fr-CA"/>
        </w:rPr>
        <w:t>Parmi c</w:t>
      </w:r>
      <w:r w:rsidRPr="00CA4523">
        <w:rPr>
          <w:rFonts w:cs="Times New Roman"/>
          <w:lang w:val="fr-CA"/>
        </w:rPr>
        <w:t>es pièces, il n</w:t>
      </w:r>
      <w:r>
        <w:rPr>
          <w:rFonts w:cs="Times New Roman"/>
          <w:lang w:val="fr-CA"/>
        </w:rPr>
        <w:t>’</w:t>
      </w:r>
      <w:r w:rsidRPr="00CA4523">
        <w:rPr>
          <w:rFonts w:cs="Times New Roman"/>
          <w:lang w:val="fr-CA"/>
        </w:rPr>
        <w:t>y avait qu</w:t>
      </w:r>
      <w:r>
        <w:rPr>
          <w:rFonts w:cs="Times New Roman"/>
          <w:lang w:val="fr-CA"/>
        </w:rPr>
        <w:t>’</w:t>
      </w:r>
      <w:r w:rsidRPr="00CA4523">
        <w:rPr>
          <w:rFonts w:cs="Times New Roman"/>
          <w:lang w:val="fr-CA"/>
        </w:rPr>
        <w:t>un affidavit</w:t>
      </w:r>
      <w:r>
        <w:rPr>
          <w:rFonts w:cs="Times New Roman"/>
          <w:lang w:val="fr-CA"/>
        </w:rPr>
        <w:t xml:space="preserve"> —</w:t>
      </w:r>
      <w:r w:rsidRPr="00CA4523">
        <w:rPr>
          <w:rFonts w:cs="Times New Roman"/>
          <w:lang w:val="fr-CA"/>
        </w:rPr>
        <w:t xml:space="preserve"> </w:t>
      </w:r>
      <w:r>
        <w:rPr>
          <w:rFonts w:cs="Times New Roman"/>
          <w:lang w:val="fr-CA"/>
        </w:rPr>
        <w:t xml:space="preserve">soit </w:t>
      </w:r>
      <w:r w:rsidRPr="00CA4523">
        <w:rPr>
          <w:rFonts w:cs="Times New Roman"/>
          <w:lang w:val="fr-CA"/>
        </w:rPr>
        <w:t>celui de l</w:t>
      </w:r>
      <w:r>
        <w:rPr>
          <w:rFonts w:cs="Times New Roman"/>
          <w:lang w:val="fr-CA"/>
        </w:rPr>
        <w:t>’</w:t>
      </w:r>
      <w:r w:rsidRPr="00CA4523">
        <w:rPr>
          <w:rFonts w:cs="Times New Roman"/>
          <w:lang w:val="fr-CA"/>
        </w:rPr>
        <w:t xml:space="preserve">avocat qui représentait les </w:t>
      </w:r>
      <w:r w:rsidRPr="003657F3">
        <w:rPr>
          <w:rFonts w:cs="Times New Roman"/>
          <w:lang w:val="fr-CA"/>
        </w:rPr>
        <w:t>défendeurs dans l</w:t>
      </w:r>
      <w:r>
        <w:rPr>
          <w:rFonts w:cs="Times New Roman"/>
          <w:lang w:val="fr-CA"/>
        </w:rPr>
        <w:t>’</w:t>
      </w:r>
      <w:r w:rsidRPr="003657F3">
        <w:rPr>
          <w:rFonts w:cs="Times New Roman"/>
          <w:lang w:val="fr-CA"/>
        </w:rPr>
        <w:t>Utah. Comme ces</w:t>
      </w:r>
      <w:r w:rsidRPr="00CA4523">
        <w:rPr>
          <w:rFonts w:cs="Times New Roman"/>
          <w:lang w:val="fr-CA"/>
        </w:rPr>
        <w:t xml:space="preserve"> diverses mesures l</w:t>
      </w:r>
      <w:r>
        <w:rPr>
          <w:rFonts w:cs="Times New Roman"/>
          <w:lang w:val="fr-CA"/>
        </w:rPr>
        <w:t>’</w:t>
      </w:r>
      <w:r w:rsidRPr="00CA4523">
        <w:rPr>
          <w:rFonts w:cs="Times New Roman"/>
          <w:lang w:val="fr-CA"/>
        </w:rPr>
        <w:t xml:space="preserve">illustrent, une demande </w:t>
      </w:r>
      <w:r>
        <w:rPr>
          <w:rFonts w:cs="Times New Roman"/>
          <w:lang w:val="fr-CA"/>
        </w:rPr>
        <w:t>en</w:t>
      </w:r>
      <w:r w:rsidRPr="00CA4523">
        <w:rPr>
          <w:rFonts w:cs="Times New Roman"/>
          <w:lang w:val="fr-CA"/>
        </w:rPr>
        <w:t xml:space="preserve"> reconnaissance et </w:t>
      </w:r>
      <w:r>
        <w:rPr>
          <w:rFonts w:cs="Times New Roman"/>
          <w:lang w:val="fr-CA"/>
        </w:rPr>
        <w:t xml:space="preserve">en </w:t>
      </w:r>
      <w:r w:rsidRPr="00CA4523">
        <w:rPr>
          <w:rFonts w:cs="Times New Roman"/>
          <w:lang w:val="fr-CA"/>
        </w:rPr>
        <w:t xml:space="preserve">exécution donne ouverture à un débat contradictoire régi par les règles générales de la procédure civile, même </w:t>
      </w:r>
      <w:r>
        <w:rPr>
          <w:rFonts w:cs="Times New Roman"/>
          <w:lang w:val="fr-CA"/>
        </w:rPr>
        <w:t>si le</w:t>
      </w:r>
      <w:r w:rsidRPr="00CA4523">
        <w:rPr>
          <w:rFonts w:cs="Times New Roman"/>
          <w:lang w:val="fr-CA"/>
        </w:rPr>
        <w:t xml:space="preserve"> juge saisi de cette demande </w:t>
      </w:r>
      <w:r>
        <w:rPr>
          <w:rFonts w:cs="Times New Roman"/>
          <w:lang w:val="fr-CA"/>
        </w:rPr>
        <w:t xml:space="preserve">ne doit </w:t>
      </w:r>
      <w:r>
        <w:rPr>
          <w:rFonts w:cs="Times New Roman"/>
          <w:lang w:val="fr-CA"/>
        </w:rPr>
        <w:lastRenderedPageBreak/>
        <w:t xml:space="preserve">pas </w:t>
      </w:r>
      <w:r w:rsidRPr="00CA4523">
        <w:rPr>
          <w:rFonts w:cs="Times New Roman"/>
          <w:lang w:val="fr-CA"/>
        </w:rPr>
        <w:t>examiner le fond de l</w:t>
      </w:r>
      <w:r>
        <w:rPr>
          <w:rFonts w:cs="Times New Roman"/>
          <w:lang w:val="fr-CA"/>
        </w:rPr>
        <w:t>’</w:t>
      </w:r>
      <w:r w:rsidRPr="00CA4523">
        <w:rPr>
          <w:rFonts w:cs="Times New Roman"/>
          <w:lang w:val="fr-CA"/>
        </w:rPr>
        <w:t>affaire (</w:t>
      </w:r>
      <w:r w:rsidRPr="00CA4523">
        <w:rPr>
          <w:rFonts w:cs="Times New Roman"/>
          <w:i/>
          <w:lang w:val="fr-CA"/>
        </w:rPr>
        <w:t>Kuwait Airways Cor</w:t>
      </w:r>
      <w:r>
        <w:rPr>
          <w:rFonts w:cs="Times New Roman"/>
          <w:i/>
          <w:lang w:val="fr-CA"/>
        </w:rPr>
        <w:t>p. </w:t>
      </w:r>
      <w:r w:rsidRPr="00CA4523">
        <w:rPr>
          <w:rFonts w:cs="Times New Roman"/>
          <w:i/>
          <w:lang w:val="fr-CA"/>
        </w:rPr>
        <w:t>c. Ira</w:t>
      </w:r>
      <w:r w:rsidR="00723F24">
        <w:rPr>
          <w:rFonts w:cs="Times New Roman"/>
          <w:i/>
          <w:lang w:val="fr-CA"/>
        </w:rPr>
        <w:t>k</w:t>
      </w:r>
      <w:r w:rsidRPr="00CA4523">
        <w:rPr>
          <w:rFonts w:cs="Times New Roman"/>
          <w:lang w:val="fr-CA"/>
        </w:rPr>
        <w:t>, 2010 CSC 40, [2010] 2 R.C.S.</w:t>
      </w:r>
      <w:r>
        <w:rPr>
          <w:rFonts w:cs="Times New Roman"/>
          <w:lang w:val="fr-CA"/>
        </w:rPr>
        <w:t> </w:t>
      </w:r>
      <w:r w:rsidRPr="00CA4523">
        <w:rPr>
          <w:rFonts w:cs="Times New Roman"/>
          <w:lang w:val="fr-CA"/>
        </w:rPr>
        <w:t xml:space="preserve">571, </w:t>
      </w:r>
      <w:r>
        <w:rPr>
          <w:rFonts w:cs="Times New Roman"/>
          <w:lang w:val="fr-CA"/>
        </w:rPr>
        <w:t>par. </w:t>
      </w:r>
      <w:r w:rsidRPr="00CA4523">
        <w:rPr>
          <w:rFonts w:cs="Times New Roman"/>
          <w:lang w:val="fr-CA"/>
        </w:rPr>
        <w:t xml:space="preserve">20). </w:t>
      </w:r>
    </w:p>
    <w:p w:rsidR="00AF6697" w:rsidRPr="0038682B" w:rsidRDefault="00AF6697" w:rsidP="002970A2">
      <w:pPr>
        <w:pStyle w:val="Title2LevelTitre2Niveau"/>
        <w:numPr>
          <w:ilvl w:val="0"/>
          <w:numId w:val="16"/>
        </w:numPr>
        <w:ind w:left="540" w:hanging="540"/>
        <w:rPr>
          <w:rFonts w:cs="Times New Roman"/>
          <w:i w:val="0"/>
          <w:lang w:val="fr-CA"/>
        </w:rPr>
      </w:pPr>
      <w:r w:rsidRPr="00CA4523">
        <w:rPr>
          <w:rFonts w:cs="Times New Roman"/>
          <w:lang w:val="fr-CA"/>
        </w:rPr>
        <w:t>Cour supérieure du Québec</w:t>
      </w:r>
    </w:p>
    <w:p w:rsidR="00AF6697" w:rsidRPr="009A7021" w:rsidRDefault="00AF6697" w:rsidP="00AF6697">
      <w:pPr>
        <w:pStyle w:val="ParaNoNdepar-AltN"/>
        <w:tabs>
          <w:tab w:val="clear" w:pos="1166"/>
          <w:tab w:val="num" w:pos="1152"/>
        </w:tabs>
        <w:rPr>
          <w:rFonts w:cs="Times New Roman"/>
          <w:lang w:val="fr-CA"/>
        </w:rPr>
      </w:pPr>
      <w:r w:rsidRPr="00CA4523">
        <w:rPr>
          <w:rFonts w:eastAsiaTheme="minorHAnsi" w:cs="Times New Roman"/>
          <w:lang w:val="fr-CA"/>
        </w:rPr>
        <w:t>Dans de brefs motifs prononcés à l</w:t>
      </w:r>
      <w:r>
        <w:rPr>
          <w:rFonts w:eastAsiaTheme="minorHAnsi" w:cs="Times New Roman"/>
          <w:lang w:val="fr-CA"/>
        </w:rPr>
        <w:t>’</w:t>
      </w:r>
      <w:r w:rsidRPr="00CA4523">
        <w:rPr>
          <w:rFonts w:eastAsiaTheme="minorHAnsi" w:cs="Times New Roman"/>
          <w:lang w:val="fr-CA"/>
        </w:rPr>
        <w:t xml:space="preserve">audience, la </w:t>
      </w:r>
      <w:r w:rsidRPr="00CA4523">
        <w:rPr>
          <w:rFonts w:cs="Times New Roman"/>
          <w:lang w:val="fr-CA"/>
        </w:rPr>
        <w:t xml:space="preserve">Cour supérieure a fait droit à la </w:t>
      </w:r>
      <w:r>
        <w:rPr>
          <w:rFonts w:cs="Times New Roman"/>
          <w:lang w:val="fr-CA"/>
        </w:rPr>
        <w:t>demande</w:t>
      </w:r>
      <w:r w:rsidRPr="00CA4523">
        <w:rPr>
          <w:rFonts w:cs="Times New Roman"/>
          <w:lang w:val="fr-CA"/>
        </w:rPr>
        <w:t xml:space="preserve"> </w:t>
      </w:r>
      <w:r>
        <w:rPr>
          <w:rFonts w:cs="Times New Roman"/>
          <w:lang w:val="fr-CA"/>
        </w:rPr>
        <w:t xml:space="preserve">de Knight </w:t>
      </w:r>
      <w:r w:rsidRPr="00CA4523">
        <w:rPr>
          <w:rFonts w:cs="Times New Roman"/>
          <w:lang w:val="fr-CA"/>
        </w:rPr>
        <w:t xml:space="preserve">en reconnaissance et en exécution du jugement rendu </w:t>
      </w:r>
      <w:r w:rsidRPr="001E3336">
        <w:rPr>
          <w:rFonts w:cs="Times New Roman"/>
          <w:lang w:val="fr-CA"/>
        </w:rPr>
        <w:t>hors du Québec</w:t>
      </w:r>
      <w:r w:rsidRPr="00CA4523">
        <w:rPr>
          <w:rFonts w:cs="Times New Roman"/>
          <w:lang w:val="fr-CA"/>
        </w:rPr>
        <w:t xml:space="preserve">. Comme </w:t>
      </w:r>
      <w:r>
        <w:rPr>
          <w:rFonts w:cs="Times New Roman"/>
          <w:lang w:val="fr-CA"/>
        </w:rPr>
        <w:t>Knight</w:t>
      </w:r>
      <w:r w:rsidRPr="00CA4523">
        <w:rPr>
          <w:rFonts w:cs="Times New Roman"/>
          <w:lang w:val="fr-CA"/>
        </w:rPr>
        <w:t xml:space="preserve"> avait renoncé à demander que la décision de l</w:t>
      </w:r>
      <w:r>
        <w:rPr>
          <w:rFonts w:cs="Times New Roman"/>
          <w:lang w:val="fr-CA"/>
        </w:rPr>
        <w:t>’</w:t>
      </w:r>
      <w:r w:rsidRPr="00CA4523">
        <w:rPr>
          <w:rFonts w:cs="Times New Roman"/>
          <w:lang w:val="fr-CA"/>
        </w:rPr>
        <w:t xml:space="preserve">Utah soit déclarée opposable à CBC, </w:t>
      </w:r>
      <w:r w:rsidRPr="009A7021">
        <w:rPr>
          <w:rFonts w:cs="Times New Roman"/>
          <w:lang w:val="fr-CA"/>
        </w:rPr>
        <w:t>le juge de</w:t>
      </w:r>
      <w:r w:rsidRPr="00CA4523">
        <w:rPr>
          <w:rFonts w:cs="Times New Roman"/>
          <w:lang w:val="fr-CA"/>
        </w:rPr>
        <w:t xml:space="preserve"> première instance </w:t>
      </w:r>
      <w:r>
        <w:rPr>
          <w:rFonts w:cs="Times New Roman"/>
          <w:lang w:val="fr-CA"/>
        </w:rPr>
        <w:t>n’avait à se prononcer que relativement</w:t>
      </w:r>
      <w:r w:rsidRPr="00CA4523">
        <w:rPr>
          <w:rFonts w:cs="Times New Roman"/>
          <w:lang w:val="fr-CA"/>
        </w:rPr>
        <w:t xml:space="preserve"> à M. Barer. Le juge a reconnu la décision de l</w:t>
      </w:r>
      <w:r>
        <w:rPr>
          <w:rFonts w:cs="Times New Roman"/>
          <w:lang w:val="fr-CA"/>
        </w:rPr>
        <w:t>’</w:t>
      </w:r>
      <w:r w:rsidRPr="00CA4523">
        <w:rPr>
          <w:rFonts w:cs="Times New Roman"/>
          <w:lang w:val="fr-CA"/>
        </w:rPr>
        <w:t>Utah, l</w:t>
      </w:r>
      <w:r>
        <w:rPr>
          <w:rFonts w:cs="Times New Roman"/>
          <w:lang w:val="fr-CA"/>
        </w:rPr>
        <w:t>’</w:t>
      </w:r>
      <w:r w:rsidRPr="00CA4523">
        <w:rPr>
          <w:rFonts w:cs="Times New Roman"/>
          <w:lang w:val="fr-CA"/>
        </w:rPr>
        <w:t>a déclarée exécutoire au Québec, et a condamné M. Barer à verser à Knight la somme totale de 1</w:t>
      </w:r>
      <w:r>
        <w:rPr>
          <w:rFonts w:cs="Times New Roman"/>
          <w:lang w:val="fr-CA"/>
        </w:rPr>
        <w:t> 238 283 $</w:t>
      </w:r>
      <w:r w:rsidRPr="009A7021">
        <w:rPr>
          <w:rFonts w:cs="Times New Roman"/>
          <w:lang w:val="fr-CA"/>
        </w:rPr>
        <w:t> CA.</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Le juge a conclu que M.</w:t>
      </w:r>
      <w:r>
        <w:rPr>
          <w:rFonts w:cs="Times New Roman"/>
          <w:lang w:val="fr-CA"/>
        </w:rPr>
        <w:t> </w:t>
      </w:r>
      <w:r w:rsidRPr="00CA4523">
        <w:rPr>
          <w:rFonts w:cs="Times New Roman"/>
          <w:lang w:val="fr-CA"/>
        </w:rPr>
        <w:t>Barer avait reconnu la compétence du tribunal de l</w:t>
      </w:r>
      <w:r>
        <w:rPr>
          <w:rFonts w:cs="Times New Roman"/>
          <w:lang w:val="fr-CA"/>
        </w:rPr>
        <w:t>’</w:t>
      </w:r>
      <w:r w:rsidRPr="00CA4523">
        <w:rPr>
          <w:rFonts w:cs="Times New Roman"/>
          <w:lang w:val="fr-CA"/>
        </w:rPr>
        <w:t xml:space="preserve">Utah comme le prévoit </w:t>
      </w:r>
      <w:r w:rsidR="00971C77">
        <w:rPr>
          <w:rFonts w:cs="Times New Roman"/>
          <w:lang w:val="fr-CA"/>
        </w:rPr>
        <w:t>le par.</w:t>
      </w:r>
      <w:r>
        <w:rPr>
          <w:rFonts w:cs="Times New Roman"/>
          <w:lang w:val="fr-CA"/>
        </w:rPr>
        <w:t> </w:t>
      </w:r>
      <w:r w:rsidRPr="00CA4523">
        <w:rPr>
          <w:rFonts w:cs="Times New Roman"/>
          <w:lang w:val="fr-CA"/>
        </w:rPr>
        <w:t>3168</w:t>
      </w:r>
      <w:r>
        <w:rPr>
          <w:rFonts w:cs="Times New Roman"/>
          <w:lang w:val="fr-CA"/>
        </w:rPr>
        <w:t>(</w:t>
      </w:r>
      <w:r w:rsidRPr="00CA4523">
        <w:rPr>
          <w:rFonts w:cs="Times New Roman"/>
          <w:lang w:val="fr-CA"/>
        </w:rPr>
        <w:t>6</w:t>
      </w:r>
      <w:r>
        <w:rPr>
          <w:rFonts w:cs="Times New Roman"/>
          <w:lang w:val="fr-CA"/>
        </w:rPr>
        <w:t>)</w:t>
      </w:r>
      <w:r w:rsidRPr="00CA4523">
        <w:rPr>
          <w:rFonts w:cs="Times New Roman"/>
          <w:lang w:val="fr-CA"/>
        </w:rPr>
        <w:t> </w:t>
      </w:r>
      <w:r w:rsidRPr="00CA4523">
        <w:rPr>
          <w:rFonts w:cs="Times New Roman"/>
          <w:i/>
          <w:lang w:val="fr-CA"/>
        </w:rPr>
        <w:t>C.c.Q.</w:t>
      </w:r>
      <w:r w:rsidRPr="00CA4523">
        <w:rPr>
          <w:rFonts w:cs="Times New Roman"/>
          <w:lang w:val="fr-CA"/>
        </w:rPr>
        <w:t xml:space="preserve"> </w:t>
      </w:r>
      <w:r>
        <w:rPr>
          <w:rFonts w:cs="Times New Roman"/>
          <w:lang w:val="fr-CA"/>
        </w:rPr>
        <w:t>en</w:t>
      </w:r>
      <w:r w:rsidRPr="00CA4523">
        <w:rPr>
          <w:rFonts w:cs="Times New Roman"/>
          <w:lang w:val="fr-CA"/>
        </w:rPr>
        <w:t xml:space="preserve"> invoqu</w:t>
      </w:r>
      <w:r>
        <w:rPr>
          <w:rFonts w:cs="Times New Roman"/>
          <w:lang w:val="fr-CA"/>
        </w:rPr>
        <w:t>ant</w:t>
      </w:r>
      <w:r w:rsidRPr="00CA4523">
        <w:rPr>
          <w:rFonts w:cs="Times New Roman"/>
          <w:lang w:val="fr-CA"/>
        </w:rPr>
        <w:t xml:space="preserve"> des moyens de fond dans sa requête en irrecevabilité</w:t>
      </w:r>
      <w:r>
        <w:rPr>
          <w:rFonts w:cs="Times New Roman"/>
          <w:lang w:val="fr-CA"/>
        </w:rPr>
        <w:t xml:space="preserve">. </w:t>
      </w:r>
      <w:r w:rsidRPr="00CA4523">
        <w:rPr>
          <w:rFonts w:cs="Times New Roman"/>
          <w:lang w:val="fr-CA"/>
        </w:rPr>
        <w:t xml:space="preserve">Il a estimé que les éléments de preuve présentés par Knight dans sa contestation de la requête en irrecevabilité </w:t>
      </w:r>
      <w:r>
        <w:rPr>
          <w:rFonts w:cs="Times New Roman"/>
          <w:lang w:val="fr-CA"/>
        </w:rPr>
        <w:t xml:space="preserve">de M. Barer </w:t>
      </w:r>
      <w:r w:rsidRPr="00CA4523">
        <w:rPr>
          <w:rFonts w:cs="Times New Roman"/>
          <w:lang w:val="fr-CA"/>
        </w:rPr>
        <w:t>appuyaient également cette conclusion et qu</w:t>
      </w:r>
      <w:r>
        <w:rPr>
          <w:rFonts w:cs="Times New Roman"/>
          <w:lang w:val="fr-CA"/>
        </w:rPr>
        <w:t>’</w:t>
      </w:r>
      <w:r w:rsidRPr="00CA4523">
        <w:rPr>
          <w:rFonts w:cs="Times New Roman"/>
          <w:lang w:val="fr-CA"/>
        </w:rPr>
        <w:t>ils constituaient [</w:t>
      </w:r>
      <w:r w:rsidRPr="00CA4523">
        <w:rPr>
          <w:rFonts w:cs="Times New Roman"/>
          <w:smallCaps/>
          <w:lang w:val="fr-CA"/>
        </w:rPr>
        <w:t>traduction</w:t>
      </w:r>
      <w:r w:rsidRPr="00CA4523">
        <w:rPr>
          <w:rFonts w:cs="Times New Roman"/>
          <w:lang w:val="fr-CA"/>
        </w:rPr>
        <w:t>] « une preuve suffisante en droit québécois</w:t>
      </w:r>
      <w:r>
        <w:rPr>
          <w:rFonts w:cs="Times New Roman"/>
          <w:lang w:val="fr-CA"/>
        </w:rPr>
        <w:t xml:space="preserve"> que les</w:t>
      </w:r>
      <w:r w:rsidRPr="00CA4523">
        <w:rPr>
          <w:rFonts w:cs="Times New Roman"/>
          <w:lang w:val="fr-CA"/>
        </w:rPr>
        <w:t xml:space="preserve"> conditions d</w:t>
      </w:r>
      <w:r>
        <w:rPr>
          <w:rFonts w:cs="Times New Roman"/>
          <w:lang w:val="fr-CA"/>
        </w:rPr>
        <w:t>’</w:t>
      </w:r>
      <w:r w:rsidRPr="00CA4523">
        <w:rPr>
          <w:rFonts w:cs="Times New Roman"/>
          <w:lang w:val="fr-CA"/>
        </w:rPr>
        <w:t xml:space="preserve">attribution de la compétence </w:t>
      </w:r>
      <w:r>
        <w:rPr>
          <w:rFonts w:cs="Times New Roman"/>
          <w:lang w:val="fr-CA"/>
        </w:rPr>
        <w:t>du</w:t>
      </w:r>
      <w:r w:rsidRPr="00CA4523">
        <w:rPr>
          <w:rFonts w:cs="Times New Roman"/>
          <w:lang w:val="fr-CA"/>
        </w:rPr>
        <w:t xml:space="preserve"> tribunal de l</w:t>
      </w:r>
      <w:r>
        <w:rPr>
          <w:rFonts w:cs="Times New Roman"/>
          <w:lang w:val="fr-CA"/>
        </w:rPr>
        <w:t>’</w:t>
      </w:r>
      <w:r w:rsidRPr="00CA4523">
        <w:rPr>
          <w:rFonts w:cs="Times New Roman"/>
          <w:lang w:val="fr-CA"/>
        </w:rPr>
        <w:t>Utah à l</w:t>
      </w:r>
      <w:r>
        <w:rPr>
          <w:rFonts w:cs="Times New Roman"/>
          <w:lang w:val="fr-CA"/>
        </w:rPr>
        <w:t>’</w:t>
      </w:r>
      <w:r w:rsidRPr="00CA4523">
        <w:rPr>
          <w:rFonts w:cs="Times New Roman"/>
          <w:lang w:val="fr-CA"/>
        </w:rPr>
        <w:t xml:space="preserve">égard de </w:t>
      </w:r>
      <w:r w:rsidR="00057419">
        <w:rPr>
          <w:rFonts w:cs="Times New Roman"/>
          <w:lang w:val="fr-CA"/>
        </w:rPr>
        <w:t>[</w:t>
      </w:r>
      <w:r w:rsidRPr="00CA4523">
        <w:rPr>
          <w:rFonts w:cs="Times New Roman"/>
          <w:lang w:val="fr-CA"/>
        </w:rPr>
        <w:t>M.</w:t>
      </w:r>
      <w:r w:rsidR="00057419">
        <w:rPr>
          <w:rFonts w:cs="Times New Roman"/>
          <w:lang w:val="fr-CA"/>
        </w:rPr>
        <w:t>]</w:t>
      </w:r>
      <w:r w:rsidRPr="00CA4523">
        <w:rPr>
          <w:rFonts w:cs="Times New Roman"/>
          <w:lang w:val="fr-CA"/>
        </w:rPr>
        <w:t> Barer</w:t>
      </w:r>
      <w:r w:rsidR="009E5129" w:rsidRPr="00CA4523">
        <w:rPr>
          <w:rFonts w:cs="Times New Roman"/>
          <w:lang w:val="fr-CA"/>
        </w:rPr>
        <w:t> »</w:t>
      </w:r>
      <w:r w:rsidR="009E5129">
        <w:rPr>
          <w:rFonts w:cs="Times New Roman"/>
          <w:lang w:val="fr-CA"/>
        </w:rPr>
        <w:t xml:space="preserve"> </w:t>
      </w:r>
      <w:r>
        <w:rPr>
          <w:rFonts w:cs="Times New Roman"/>
          <w:lang w:val="fr-CA"/>
        </w:rPr>
        <w:t>étaient remplies (2016 QCCS 3471, par. 17 (CanLII) (« motifs de la C.S. »))</w:t>
      </w:r>
      <w:r w:rsidRPr="00CA4523">
        <w:rPr>
          <w:rFonts w:cs="Times New Roman"/>
          <w:lang w:val="fr-CA"/>
        </w:rPr>
        <w:t xml:space="preserve">. Le juge de première instance a </w:t>
      </w:r>
      <w:r>
        <w:rPr>
          <w:rFonts w:cs="Times New Roman"/>
          <w:lang w:val="fr-CA"/>
        </w:rPr>
        <w:t>souligné l’absence d’éléments</w:t>
      </w:r>
      <w:r w:rsidRPr="00CA4523">
        <w:rPr>
          <w:rFonts w:cs="Times New Roman"/>
          <w:lang w:val="fr-CA"/>
        </w:rPr>
        <w:t xml:space="preserve"> de preuve semblables devant les tribunaux québécois ou les tribunaux étrangers dans les autres affaires citées par M. Barer </w:t>
      </w:r>
      <w:r>
        <w:rPr>
          <w:rFonts w:cs="Times New Roman"/>
          <w:lang w:val="fr-CA"/>
        </w:rPr>
        <w:t>à l’appui de ses prétentions</w:t>
      </w:r>
      <w:r w:rsidRPr="00CA4523">
        <w:rPr>
          <w:rFonts w:cs="Times New Roman"/>
          <w:lang w:val="fr-CA"/>
        </w:rPr>
        <w:t xml:space="preserve">, à savoir </w:t>
      </w:r>
      <w:r w:rsidRPr="00CA4523">
        <w:rPr>
          <w:rFonts w:cs="Times New Roman"/>
          <w:i/>
          <w:lang w:val="fr-CA"/>
        </w:rPr>
        <w:t>Zimmermann inc. c. Barer</w:t>
      </w:r>
      <w:r w:rsidRPr="00CA4523">
        <w:rPr>
          <w:rFonts w:cs="Times New Roman"/>
          <w:lang w:val="fr-CA"/>
        </w:rPr>
        <w:t>, 2016 QCCA 26</w:t>
      </w:r>
      <w:r>
        <w:rPr>
          <w:rFonts w:cs="Times New Roman"/>
          <w:lang w:val="fr-CA"/>
        </w:rPr>
        <w:t xml:space="preserve">0, </w:t>
      </w:r>
      <w:r w:rsidRPr="00CA4523">
        <w:rPr>
          <w:rFonts w:cs="Times New Roman"/>
          <w:lang w:val="fr-CA"/>
        </w:rPr>
        <w:t xml:space="preserve">et </w:t>
      </w:r>
      <w:r>
        <w:rPr>
          <w:rFonts w:cs="Times New Roman"/>
          <w:i/>
          <w:lang w:val="fr-CA"/>
        </w:rPr>
        <w:t>Cortas Canning and Refrigerating Co.</w:t>
      </w:r>
      <w:r w:rsidRPr="00CA4523">
        <w:rPr>
          <w:rFonts w:cs="Times New Roman"/>
          <w:i/>
          <w:lang w:val="fr-CA"/>
        </w:rPr>
        <w:t xml:space="preserve"> c. Suidan Bros. </w:t>
      </w:r>
      <w:r>
        <w:rPr>
          <w:rFonts w:cs="Times New Roman"/>
          <w:i/>
          <w:lang w:val="fr-CA"/>
        </w:rPr>
        <w:t>i</w:t>
      </w:r>
      <w:r w:rsidRPr="00CA4523">
        <w:rPr>
          <w:rFonts w:cs="Times New Roman"/>
          <w:i/>
          <w:lang w:val="fr-CA"/>
        </w:rPr>
        <w:t>nc</w:t>
      </w:r>
      <w:r>
        <w:rPr>
          <w:rFonts w:cs="Times New Roman"/>
          <w:i/>
          <w:lang w:val="fr-CA"/>
        </w:rPr>
        <w:t>./Suidan Frères inc.</w:t>
      </w:r>
      <w:r>
        <w:rPr>
          <w:rFonts w:cs="Times New Roman"/>
          <w:lang w:val="fr-CA"/>
        </w:rPr>
        <w:t>, [1999] R.J.Q. 1227 (C.S.). I</w:t>
      </w:r>
      <w:r w:rsidRPr="00CA4523">
        <w:rPr>
          <w:rFonts w:cs="Times New Roman"/>
          <w:lang w:val="fr-CA"/>
        </w:rPr>
        <w:t xml:space="preserve">l a </w:t>
      </w:r>
      <w:r>
        <w:rPr>
          <w:rFonts w:cs="Times New Roman"/>
          <w:lang w:val="fr-CA"/>
        </w:rPr>
        <w:t>donc estimé que ces décisions n’</w:t>
      </w:r>
      <w:r w:rsidRPr="00CA4523">
        <w:rPr>
          <w:rFonts w:cs="Times New Roman"/>
          <w:lang w:val="fr-CA"/>
        </w:rPr>
        <w:t>étaient d</w:t>
      </w:r>
      <w:r>
        <w:rPr>
          <w:rFonts w:cs="Times New Roman"/>
          <w:lang w:val="fr-CA"/>
        </w:rPr>
        <w:t>’</w:t>
      </w:r>
      <w:r w:rsidRPr="00CA4523">
        <w:rPr>
          <w:rFonts w:cs="Times New Roman"/>
          <w:lang w:val="fr-CA"/>
        </w:rPr>
        <w:t>aucun secours</w:t>
      </w:r>
      <w:r>
        <w:rPr>
          <w:rFonts w:cs="Times New Roman"/>
          <w:lang w:val="fr-CA"/>
        </w:rPr>
        <w:t xml:space="preserve"> pour M. Barer</w:t>
      </w:r>
      <w:r w:rsidRPr="00CA4523">
        <w:rPr>
          <w:rFonts w:cs="Times New Roman"/>
          <w:lang w:val="fr-CA"/>
        </w:rPr>
        <w:t>.</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lastRenderedPageBreak/>
        <w:t xml:space="preserve">Le juge de première instance a clos ses observations en déclarant que les </w:t>
      </w:r>
      <w:r w:rsidR="00971C77">
        <w:rPr>
          <w:rFonts w:cs="Times New Roman"/>
          <w:lang w:val="fr-CA"/>
        </w:rPr>
        <w:t>par</w:t>
      </w:r>
      <w:r>
        <w:rPr>
          <w:rFonts w:cs="Times New Roman"/>
          <w:lang w:val="fr-CA"/>
        </w:rPr>
        <w:t>. </w:t>
      </w:r>
      <w:r w:rsidRPr="00CA4523">
        <w:rPr>
          <w:rFonts w:cs="Times New Roman"/>
          <w:lang w:val="fr-CA"/>
        </w:rPr>
        <w:t>3168</w:t>
      </w:r>
      <w:r>
        <w:rPr>
          <w:rFonts w:cs="Times New Roman"/>
          <w:lang w:val="fr-CA"/>
        </w:rPr>
        <w:t>(</w:t>
      </w:r>
      <w:r w:rsidRPr="00CA4523">
        <w:rPr>
          <w:rFonts w:cs="Times New Roman"/>
          <w:lang w:val="fr-CA"/>
        </w:rPr>
        <w:t>3</w:t>
      </w:r>
      <w:r>
        <w:rPr>
          <w:rFonts w:cs="Times New Roman"/>
          <w:lang w:val="fr-CA"/>
        </w:rPr>
        <w:t>)</w:t>
      </w:r>
      <w:r w:rsidRPr="00CA4523">
        <w:rPr>
          <w:rFonts w:cs="Times New Roman"/>
          <w:lang w:val="fr-CA"/>
        </w:rPr>
        <w:t xml:space="preserve"> et </w:t>
      </w:r>
      <w:r>
        <w:rPr>
          <w:rFonts w:cs="Times New Roman"/>
          <w:lang w:val="fr-CA"/>
        </w:rPr>
        <w:t>(</w:t>
      </w:r>
      <w:r w:rsidRPr="00CA4523">
        <w:rPr>
          <w:rFonts w:cs="Times New Roman"/>
          <w:lang w:val="fr-CA"/>
        </w:rPr>
        <w:t>4</w:t>
      </w:r>
      <w:r>
        <w:rPr>
          <w:rFonts w:cs="Times New Roman"/>
          <w:lang w:val="fr-CA"/>
        </w:rPr>
        <w:t>)</w:t>
      </w:r>
      <w:r w:rsidRPr="00CA4523">
        <w:rPr>
          <w:rFonts w:cs="Times New Roman"/>
          <w:lang w:val="fr-CA"/>
        </w:rPr>
        <w:t xml:space="preserve"> </w:t>
      </w:r>
      <w:r w:rsidRPr="0006580E">
        <w:rPr>
          <w:rFonts w:cs="Times New Roman"/>
          <w:i/>
          <w:lang w:val="fr-CA"/>
        </w:rPr>
        <w:t>C.c.Q.</w:t>
      </w:r>
      <w:r>
        <w:rPr>
          <w:rFonts w:cs="Times New Roman"/>
          <w:lang w:val="fr-CA"/>
        </w:rPr>
        <w:t xml:space="preserve"> </w:t>
      </w:r>
      <w:r w:rsidRPr="00CA4523">
        <w:rPr>
          <w:rFonts w:cs="Times New Roman"/>
          <w:i/>
          <w:lang w:val="fr-CA"/>
        </w:rPr>
        <w:t xml:space="preserve">auraient </w:t>
      </w:r>
      <w:r w:rsidRPr="00CA4523">
        <w:rPr>
          <w:rFonts w:cs="Times New Roman"/>
          <w:lang w:val="fr-CA"/>
        </w:rPr>
        <w:t xml:space="preserve">également </w:t>
      </w:r>
      <w:r w:rsidRPr="00CA4523">
        <w:rPr>
          <w:rFonts w:cs="Times New Roman"/>
          <w:i/>
          <w:lang w:val="fr-CA"/>
        </w:rPr>
        <w:t>pu</w:t>
      </w:r>
      <w:r w:rsidRPr="00CA4523">
        <w:rPr>
          <w:rFonts w:cs="Times New Roman"/>
          <w:lang w:val="fr-CA"/>
        </w:rPr>
        <w:t xml:space="preserve"> fonder la compétence du tribunal de l</w:t>
      </w:r>
      <w:r>
        <w:rPr>
          <w:rFonts w:cs="Times New Roman"/>
          <w:lang w:val="fr-CA"/>
        </w:rPr>
        <w:t>’</w:t>
      </w:r>
      <w:r w:rsidRPr="00CA4523">
        <w:rPr>
          <w:rFonts w:cs="Times New Roman"/>
          <w:lang w:val="fr-CA"/>
        </w:rPr>
        <w:t xml:space="preserve">Utah, </w:t>
      </w:r>
      <w:r>
        <w:rPr>
          <w:rFonts w:cs="Times New Roman"/>
          <w:lang w:val="fr-CA"/>
        </w:rPr>
        <w:t>[</w:t>
      </w:r>
      <w:r w:rsidRPr="00624ACE">
        <w:rPr>
          <w:rFonts w:cs="Times New Roman"/>
          <w:smallCaps/>
          <w:lang w:val="fr-CA"/>
        </w:rPr>
        <w:t>traduction</w:t>
      </w:r>
      <w:r>
        <w:rPr>
          <w:rFonts w:cs="Times New Roman"/>
          <w:lang w:val="fr-CA"/>
        </w:rPr>
        <w:t>] « puisque</w:t>
      </w:r>
      <w:r w:rsidRPr="00CA4523">
        <w:rPr>
          <w:rFonts w:cs="Times New Roman"/>
          <w:lang w:val="fr-CA"/>
        </w:rPr>
        <w:t xml:space="preserve"> l</w:t>
      </w:r>
      <w:r>
        <w:rPr>
          <w:rFonts w:cs="Times New Roman"/>
          <w:lang w:val="fr-CA"/>
        </w:rPr>
        <w:t>’</w:t>
      </w:r>
      <w:r w:rsidRPr="00CA4523">
        <w:rPr>
          <w:rFonts w:cs="Times New Roman"/>
          <w:lang w:val="fr-CA"/>
        </w:rPr>
        <w:t xml:space="preserve">acceptation de la </w:t>
      </w:r>
      <w:r w:rsidRPr="00CA4523">
        <w:rPr>
          <w:rFonts w:cs="Times New Roman"/>
          <w:i/>
          <w:lang w:val="fr-CA"/>
        </w:rPr>
        <w:t>présumée</w:t>
      </w:r>
      <w:r w:rsidRPr="00CA4523">
        <w:rPr>
          <w:rFonts w:cs="Times New Roman"/>
          <w:lang w:val="fr-CA"/>
        </w:rPr>
        <w:t xml:space="preserve"> promesse de </w:t>
      </w:r>
      <w:r>
        <w:rPr>
          <w:rFonts w:cs="Times New Roman"/>
          <w:lang w:val="fr-CA"/>
        </w:rPr>
        <w:t>[M.] </w:t>
      </w:r>
      <w:r w:rsidRPr="00CA4523">
        <w:rPr>
          <w:rFonts w:cs="Times New Roman"/>
          <w:lang w:val="fr-CA"/>
        </w:rPr>
        <w:t xml:space="preserve">Barer de payer avait été </w:t>
      </w:r>
      <w:r w:rsidRPr="003657F3">
        <w:rPr>
          <w:rFonts w:cs="Times New Roman"/>
          <w:lang w:val="fr-CA"/>
        </w:rPr>
        <w:t>reçue dans l</w:t>
      </w:r>
      <w:r>
        <w:rPr>
          <w:rFonts w:cs="Times New Roman"/>
          <w:lang w:val="fr-CA"/>
        </w:rPr>
        <w:t>’</w:t>
      </w:r>
      <w:r w:rsidRPr="003657F3">
        <w:rPr>
          <w:rFonts w:cs="Times New Roman"/>
          <w:lang w:val="fr-CA"/>
        </w:rPr>
        <w:t>Utah et devait</w:t>
      </w:r>
      <w:r w:rsidRPr="00CA4523">
        <w:rPr>
          <w:rFonts w:cs="Times New Roman"/>
          <w:lang w:val="fr-CA"/>
        </w:rPr>
        <w:t xml:space="preserve"> être exécutée dans cet État » </w:t>
      </w:r>
      <w:r>
        <w:rPr>
          <w:rFonts w:cs="Times New Roman"/>
          <w:lang w:val="fr-CA"/>
        </w:rPr>
        <w:t>(par. </w:t>
      </w:r>
      <w:r w:rsidRPr="00CA4523">
        <w:rPr>
          <w:rFonts w:cs="Times New Roman"/>
          <w:lang w:val="fr-CA"/>
        </w:rPr>
        <w:t xml:space="preserve">20 </w:t>
      </w:r>
      <w:r>
        <w:rPr>
          <w:rFonts w:cs="Times New Roman"/>
          <w:lang w:val="fr-CA"/>
        </w:rPr>
        <w:t>(</w:t>
      </w:r>
      <w:r w:rsidR="00FF5193">
        <w:rPr>
          <w:rFonts w:cs="Times New Roman"/>
          <w:lang w:val="fr-CA"/>
        </w:rPr>
        <w:t>italiques ajoutés</w:t>
      </w:r>
      <w:r>
        <w:rPr>
          <w:rFonts w:cs="Times New Roman"/>
          <w:lang w:val="fr-CA"/>
        </w:rPr>
        <w:t>))</w:t>
      </w:r>
      <w:r w:rsidRPr="00CA4523">
        <w:rPr>
          <w:rFonts w:cs="Times New Roman"/>
          <w:lang w:val="fr-CA"/>
        </w:rPr>
        <w:t xml:space="preserve">. </w:t>
      </w:r>
    </w:p>
    <w:p w:rsidR="00AF6697" w:rsidRPr="00CA4523" w:rsidRDefault="00AF6697" w:rsidP="002970A2">
      <w:pPr>
        <w:pStyle w:val="Title2LevelTitre2Niveau"/>
        <w:numPr>
          <w:ilvl w:val="0"/>
          <w:numId w:val="16"/>
        </w:numPr>
        <w:ind w:left="540" w:hanging="540"/>
        <w:rPr>
          <w:rFonts w:cs="Times New Roman"/>
          <w:lang w:val="fr-CA"/>
        </w:rPr>
      </w:pPr>
      <w:r w:rsidRPr="00CA4523">
        <w:rPr>
          <w:rFonts w:cs="Times New Roman"/>
          <w:lang w:val="fr-CA"/>
        </w:rPr>
        <w:t>Cour d</w:t>
      </w:r>
      <w:r>
        <w:rPr>
          <w:rFonts w:cs="Times New Roman"/>
          <w:lang w:val="fr-CA"/>
        </w:rPr>
        <w:t>’</w:t>
      </w:r>
      <w:r w:rsidRPr="00CA4523">
        <w:rPr>
          <w:rFonts w:cs="Times New Roman"/>
          <w:lang w:val="fr-CA"/>
        </w:rPr>
        <w:t>appel du Québec</w:t>
      </w:r>
      <w:r w:rsidRPr="00CA4523">
        <w:rPr>
          <w:rFonts w:cs="Times New Roman"/>
          <w:i w:val="0"/>
          <w:lang w:val="fr-CA"/>
        </w:rPr>
        <w:t xml:space="preserve">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M.</w:t>
      </w:r>
      <w:r>
        <w:rPr>
          <w:rFonts w:cs="Times New Roman"/>
          <w:lang w:val="fr-CA"/>
        </w:rPr>
        <w:t> </w:t>
      </w:r>
      <w:r w:rsidRPr="00CA4523">
        <w:rPr>
          <w:rFonts w:cs="Times New Roman"/>
          <w:lang w:val="fr-CA"/>
        </w:rPr>
        <w:t>Barer a interjeté appel du jugement de la Cour supérieure à la Cour d</w:t>
      </w:r>
      <w:r>
        <w:rPr>
          <w:rFonts w:cs="Times New Roman"/>
          <w:lang w:val="fr-CA"/>
        </w:rPr>
        <w:t>’</w:t>
      </w:r>
      <w:r w:rsidRPr="00CA4523">
        <w:rPr>
          <w:rFonts w:cs="Times New Roman"/>
          <w:lang w:val="fr-CA"/>
        </w:rPr>
        <w:t xml:space="preserve">appel. Knight a répliqué par une </w:t>
      </w:r>
      <w:r>
        <w:rPr>
          <w:rFonts w:cs="Times New Roman"/>
          <w:lang w:val="fr-CA"/>
        </w:rPr>
        <w:t>demande en</w:t>
      </w:r>
      <w:r w:rsidRPr="00CA4523">
        <w:rPr>
          <w:rFonts w:cs="Times New Roman"/>
          <w:lang w:val="fr-CA"/>
        </w:rPr>
        <w:t xml:space="preserve"> rejet sommaire de l</w:t>
      </w:r>
      <w:r>
        <w:rPr>
          <w:rFonts w:cs="Times New Roman"/>
          <w:lang w:val="fr-CA"/>
        </w:rPr>
        <w:t>’</w:t>
      </w:r>
      <w:r w:rsidRPr="00CA4523">
        <w:rPr>
          <w:rFonts w:cs="Times New Roman"/>
          <w:lang w:val="fr-CA"/>
        </w:rPr>
        <w:t>appel ou</w:t>
      </w:r>
      <w:r>
        <w:rPr>
          <w:rFonts w:cs="Times New Roman"/>
          <w:lang w:val="fr-CA"/>
        </w:rPr>
        <w:t>,</w:t>
      </w:r>
      <w:r w:rsidRPr="00CA4523">
        <w:rPr>
          <w:rFonts w:cs="Times New Roman"/>
          <w:lang w:val="fr-CA"/>
        </w:rPr>
        <w:t xml:space="preserve"> à titre subsidiaire, </w:t>
      </w:r>
      <w:r>
        <w:rPr>
          <w:rFonts w:cs="Times New Roman"/>
          <w:lang w:val="fr-CA"/>
        </w:rPr>
        <w:t>en</w:t>
      </w:r>
      <w:r w:rsidRPr="00CA4523">
        <w:rPr>
          <w:rFonts w:cs="Times New Roman"/>
          <w:lang w:val="fr-CA"/>
        </w:rPr>
        <w:t xml:space="preserve"> cautionnement. Une première formation a rejeté la </w:t>
      </w:r>
      <w:r>
        <w:rPr>
          <w:rFonts w:cs="Times New Roman"/>
          <w:lang w:val="fr-CA"/>
        </w:rPr>
        <w:t>demande</w:t>
      </w:r>
      <w:r w:rsidRPr="00CA4523">
        <w:rPr>
          <w:rFonts w:cs="Times New Roman"/>
          <w:lang w:val="fr-CA"/>
        </w:rPr>
        <w:t xml:space="preserve"> de Knight</w:t>
      </w:r>
      <w:r>
        <w:rPr>
          <w:rFonts w:cs="Times New Roman"/>
          <w:lang w:val="fr-CA"/>
        </w:rPr>
        <w:t xml:space="preserve"> </w:t>
      </w:r>
      <w:r w:rsidRPr="00CA4523">
        <w:rPr>
          <w:rFonts w:cs="Times New Roman"/>
          <w:lang w:val="fr-CA"/>
        </w:rPr>
        <w:t>à l</w:t>
      </w:r>
      <w:r>
        <w:rPr>
          <w:rFonts w:cs="Times New Roman"/>
          <w:lang w:val="fr-CA"/>
        </w:rPr>
        <w:t>’</w:t>
      </w:r>
      <w:r w:rsidRPr="00CA4523">
        <w:rPr>
          <w:rFonts w:cs="Times New Roman"/>
          <w:lang w:val="fr-CA"/>
        </w:rPr>
        <w:t>unanimité, se contentant de déclarer que [</w:t>
      </w:r>
      <w:r w:rsidRPr="00CA4523">
        <w:rPr>
          <w:rFonts w:cs="Times New Roman"/>
          <w:smallCaps/>
          <w:lang w:val="fr-CA"/>
        </w:rPr>
        <w:t>traduction</w:t>
      </w:r>
      <w:r w:rsidRPr="00CA4523">
        <w:rPr>
          <w:rFonts w:cs="Times New Roman"/>
          <w:lang w:val="fr-CA"/>
        </w:rPr>
        <w:t>] « [l</w:t>
      </w:r>
      <w:r>
        <w:rPr>
          <w:rFonts w:cs="Times New Roman"/>
          <w:lang w:val="fr-CA"/>
        </w:rPr>
        <w:t>’</w:t>
      </w:r>
      <w:r w:rsidRPr="00CA4523">
        <w:rPr>
          <w:rFonts w:cs="Times New Roman"/>
          <w:lang w:val="fr-CA"/>
        </w:rPr>
        <w:t>]</w:t>
      </w:r>
      <w:r>
        <w:rPr>
          <w:rFonts w:cs="Times New Roman"/>
          <w:lang w:val="fr-CA"/>
        </w:rPr>
        <w:t>a</w:t>
      </w:r>
      <w:r w:rsidRPr="00CA4523">
        <w:rPr>
          <w:rFonts w:cs="Times New Roman"/>
          <w:lang w:val="fr-CA"/>
        </w:rPr>
        <w:t>ppelant a peut</w:t>
      </w:r>
      <w:r>
        <w:rPr>
          <w:rFonts w:cs="Times New Roman"/>
          <w:lang w:val="fr-CA"/>
        </w:rPr>
        <w:noBreakHyphen/>
      </w:r>
      <w:r w:rsidRPr="00CA4523">
        <w:rPr>
          <w:rFonts w:cs="Times New Roman"/>
          <w:lang w:val="fr-CA"/>
        </w:rPr>
        <w:t xml:space="preserve">être un appel </w:t>
      </w:r>
      <w:r>
        <w:rPr>
          <w:rFonts w:cs="Times New Roman"/>
          <w:lang w:val="fr-CA"/>
        </w:rPr>
        <w:t>via</w:t>
      </w:r>
      <w:r w:rsidRPr="00CA4523">
        <w:rPr>
          <w:rFonts w:cs="Times New Roman"/>
          <w:lang w:val="fr-CA"/>
        </w:rPr>
        <w:t>ble »</w:t>
      </w:r>
      <w:r>
        <w:rPr>
          <w:rFonts w:cs="Times New Roman"/>
          <w:lang w:val="fr-CA"/>
        </w:rPr>
        <w:t xml:space="preserve"> (2016 QCCA 1400, par. 2 (CanLII) (« motifs de la C.A. (2016) »))</w:t>
      </w:r>
      <w:r w:rsidRPr="00CA4523">
        <w:rPr>
          <w:rFonts w:cs="Times New Roman"/>
          <w:lang w:val="fr-CA"/>
        </w:rPr>
        <w:t xml:space="preserve">. </w:t>
      </w:r>
      <w:r>
        <w:rPr>
          <w:rFonts w:cs="Times New Roman"/>
          <w:lang w:val="fr-CA"/>
        </w:rPr>
        <w:t>Elle</w:t>
      </w:r>
      <w:r w:rsidRPr="00CA4523">
        <w:rPr>
          <w:rFonts w:cs="Times New Roman"/>
          <w:lang w:val="fr-CA"/>
        </w:rPr>
        <w:t xml:space="preserve"> a néanmoins souligné qu</w:t>
      </w:r>
      <w:r>
        <w:rPr>
          <w:rFonts w:cs="Times New Roman"/>
          <w:lang w:val="fr-CA"/>
        </w:rPr>
        <w:t>’</w:t>
      </w:r>
      <w:r w:rsidRPr="00CA4523">
        <w:rPr>
          <w:rFonts w:cs="Times New Roman"/>
          <w:lang w:val="fr-CA"/>
        </w:rPr>
        <w:t xml:space="preserve">elle rejetait </w:t>
      </w:r>
      <w:r>
        <w:rPr>
          <w:rFonts w:cs="Times New Roman"/>
          <w:lang w:val="fr-CA"/>
        </w:rPr>
        <w:t>cette demande</w:t>
      </w:r>
      <w:r w:rsidRPr="00CA4523">
        <w:rPr>
          <w:rFonts w:cs="Times New Roman"/>
          <w:lang w:val="fr-CA"/>
        </w:rPr>
        <w:t xml:space="preserve"> « non sans </w:t>
      </w:r>
      <w:r w:rsidRPr="00823C4D">
        <w:rPr>
          <w:rFonts w:cs="Times New Roman"/>
          <w:lang w:val="fr-CA"/>
        </w:rPr>
        <w:t xml:space="preserve">certaines </w:t>
      </w:r>
      <w:r w:rsidRPr="00192EFB">
        <w:rPr>
          <w:rFonts w:cs="Times New Roman"/>
          <w:i/>
          <w:lang w:val="fr-CA"/>
        </w:rPr>
        <w:t>hésitations</w:t>
      </w:r>
      <w:r w:rsidRPr="00823C4D">
        <w:rPr>
          <w:rFonts w:cs="Times New Roman"/>
          <w:lang w:val="fr-CA"/>
        </w:rPr>
        <w:t> », signalant</w:t>
      </w:r>
      <w:r w:rsidRPr="00CA4523">
        <w:rPr>
          <w:rFonts w:cs="Times New Roman"/>
          <w:lang w:val="fr-CA"/>
        </w:rPr>
        <w:t xml:space="preserve"> que « comme le juge de première instance l</w:t>
      </w:r>
      <w:r>
        <w:rPr>
          <w:rFonts w:cs="Times New Roman"/>
          <w:lang w:val="fr-CA"/>
        </w:rPr>
        <w:t>’</w:t>
      </w:r>
      <w:r w:rsidRPr="00CA4523">
        <w:rPr>
          <w:rFonts w:cs="Times New Roman"/>
          <w:lang w:val="fr-CA"/>
        </w:rPr>
        <w:t xml:space="preserve">a </w:t>
      </w:r>
      <w:r>
        <w:rPr>
          <w:rFonts w:cs="Times New Roman"/>
          <w:lang w:val="fr-CA"/>
        </w:rPr>
        <w:t>noté</w:t>
      </w:r>
      <w:r w:rsidRPr="00CA4523">
        <w:rPr>
          <w:rFonts w:cs="Times New Roman"/>
          <w:lang w:val="fr-CA"/>
        </w:rPr>
        <w:t>, l</w:t>
      </w:r>
      <w:r>
        <w:rPr>
          <w:rFonts w:cs="Times New Roman"/>
          <w:lang w:val="fr-CA"/>
        </w:rPr>
        <w:t>’</w:t>
      </w:r>
      <w:r w:rsidRPr="00CA4523">
        <w:rPr>
          <w:rFonts w:cs="Times New Roman"/>
          <w:lang w:val="fr-CA"/>
        </w:rPr>
        <w:t xml:space="preserve">appelant semble effectivement avoir </w:t>
      </w:r>
      <w:r>
        <w:rPr>
          <w:rFonts w:cs="Times New Roman"/>
          <w:lang w:val="fr-CA"/>
        </w:rPr>
        <w:t>reconnu la compétence</w:t>
      </w:r>
      <w:r w:rsidRPr="00CA4523">
        <w:rPr>
          <w:rFonts w:cs="Times New Roman"/>
          <w:lang w:val="fr-CA"/>
        </w:rPr>
        <w:t xml:space="preserve"> </w:t>
      </w:r>
      <w:r>
        <w:rPr>
          <w:rFonts w:cs="Times New Roman"/>
          <w:lang w:val="fr-CA"/>
        </w:rPr>
        <w:t>de la Cour</w:t>
      </w:r>
      <w:r w:rsidRPr="00CA4523">
        <w:rPr>
          <w:rFonts w:eastAsia="Times New Roman" w:cs="Times New Roman"/>
          <w:szCs w:val="24"/>
          <w:lang w:val="fr-CA" w:eastAsia="en-CA"/>
        </w:rPr>
        <w:t xml:space="preserve"> de district des États</w:t>
      </w:r>
      <w:r>
        <w:rPr>
          <w:rFonts w:eastAsia="Times New Roman" w:cs="Times New Roman"/>
          <w:szCs w:val="24"/>
          <w:lang w:val="fr-CA" w:eastAsia="en-CA"/>
        </w:rPr>
        <w:noBreakHyphen/>
      </w:r>
      <w:r w:rsidRPr="00CA4523">
        <w:rPr>
          <w:rFonts w:eastAsia="Times New Roman" w:cs="Times New Roman"/>
          <w:szCs w:val="24"/>
          <w:lang w:val="fr-CA" w:eastAsia="en-CA"/>
        </w:rPr>
        <w:t xml:space="preserve">Unis </w:t>
      </w:r>
      <w:r>
        <w:rPr>
          <w:rFonts w:eastAsia="Times New Roman" w:cs="Times New Roman"/>
          <w:szCs w:val="24"/>
          <w:lang w:val="fr-CA" w:eastAsia="en-CA"/>
        </w:rPr>
        <w:t xml:space="preserve">pour le district </w:t>
      </w:r>
      <w:r w:rsidRPr="00CA4523">
        <w:rPr>
          <w:rFonts w:eastAsia="Times New Roman" w:cs="Times New Roman"/>
          <w:szCs w:val="24"/>
          <w:lang w:val="fr-CA" w:eastAsia="en-CA"/>
        </w:rPr>
        <w:t>de l</w:t>
      </w:r>
      <w:r>
        <w:rPr>
          <w:rFonts w:eastAsia="Times New Roman" w:cs="Times New Roman"/>
          <w:szCs w:val="24"/>
          <w:lang w:val="fr-CA" w:eastAsia="en-CA"/>
        </w:rPr>
        <w:t>’</w:t>
      </w:r>
      <w:r w:rsidRPr="00CA4523">
        <w:rPr>
          <w:rFonts w:eastAsia="Times New Roman" w:cs="Times New Roman"/>
          <w:szCs w:val="24"/>
          <w:lang w:val="fr-CA" w:eastAsia="en-CA"/>
        </w:rPr>
        <w:t xml:space="preserve">Utah, </w:t>
      </w:r>
      <w:r>
        <w:rPr>
          <w:rFonts w:eastAsia="Times New Roman" w:cs="Times New Roman"/>
          <w:szCs w:val="24"/>
          <w:lang w:val="fr-CA" w:eastAsia="en-CA"/>
        </w:rPr>
        <w:t>puis</w:t>
      </w:r>
      <w:r w:rsidRPr="00CA4523">
        <w:rPr>
          <w:rFonts w:eastAsia="Times New Roman" w:cs="Times New Roman"/>
          <w:szCs w:val="24"/>
          <w:lang w:val="fr-CA" w:eastAsia="en-CA"/>
        </w:rPr>
        <w:t xml:space="preserve">que sa </w:t>
      </w:r>
      <w:r w:rsidRPr="00CA4523">
        <w:rPr>
          <w:rFonts w:cs="Times New Roman"/>
          <w:lang w:val="fr-CA"/>
        </w:rPr>
        <w:t xml:space="preserve">requête en irrecevabilité soulevait non seulement des moyens déclinatoires, mais aussi des moyens </w:t>
      </w:r>
      <w:r>
        <w:rPr>
          <w:rFonts w:cs="Times New Roman"/>
          <w:lang w:val="fr-CA"/>
        </w:rPr>
        <w:t>distincts</w:t>
      </w:r>
      <w:r w:rsidRPr="00CA4523">
        <w:rPr>
          <w:rFonts w:cs="Times New Roman"/>
          <w:lang w:val="fr-CA"/>
        </w:rPr>
        <w:t xml:space="preserve"> des questions de </w:t>
      </w:r>
      <w:r>
        <w:rPr>
          <w:rFonts w:cs="Times New Roman"/>
          <w:lang w:val="fr-CA"/>
        </w:rPr>
        <w:t>compétence</w:t>
      </w:r>
      <w:r w:rsidRPr="00CA4523">
        <w:rPr>
          <w:rFonts w:cs="Times New Roman"/>
          <w:lang w:val="fr-CA"/>
        </w:rPr>
        <w:t> </w:t>
      </w:r>
      <w:r>
        <w:rPr>
          <w:rFonts w:cs="Times New Roman"/>
          <w:lang w:val="fr-CA"/>
        </w:rPr>
        <w:t xml:space="preserve">» </w:t>
      </w:r>
      <w:r w:rsidRPr="00CA4523">
        <w:rPr>
          <w:rFonts w:cs="Times New Roman"/>
          <w:lang w:val="fr-CA"/>
        </w:rPr>
        <w:t>(</w:t>
      </w:r>
      <w:r>
        <w:rPr>
          <w:rFonts w:cs="Times New Roman"/>
          <w:lang w:val="fr-CA"/>
        </w:rPr>
        <w:t>par. </w:t>
      </w:r>
      <w:r w:rsidRPr="00CA4523">
        <w:rPr>
          <w:rFonts w:cs="Times New Roman"/>
          <w:lang w:val="fr-CA"/>
        </w:rPr>
        <w:t>2</w:t>
      </w:r>
      <w:r>
        <w:rPr>
          <w:rFonts w:cs="Times New Roman"/>
          <w:lang w:val="fr-CA"/>
        </w:rPr>
        <w:noBreakHyphen/>
      </w:r>
      <w:r w:rsidRPr="00CA4523">
        <w:rPr>
          <w:rFonts w:cs="Times New Roman"/>
          <w:lang w:val="fr-CA"/>
        </w:rPr>
        <w:t xml:space="preserve">3). </w:t>
      </w:r>
      <w:r>
        <w:rPr>
          <w:rFonts w:cs="Times New Roman"/>
          <w:lang w:val="fr-CA"/>
        </w:rPr>
        <w:t>Ainsi, cette formation</w:t>
      </w:r>
      <w:r w:rsidRPr="00CA4523">
        <w:rPr>
          <w:rFonts w:cs="Times New Roman"/>
          <w:lang w:val="fr-CA"/>
        </w:rPr>
        <w:t xml:space="preserve"> a condamné M. Barer à fournir 25</w:t>
      </w:r>
      <w:r>
        <w:rPr>
          <w:rFonts w:cs="Times New Roman"/>
          <w:lang w:val="fr-CA"/>
        </w:rPr>
        <w:t> </w:t>
      </w:r>
      <w:r w:rsidRPr="00CA4523">
        <w:rPr>
          <w:rFonts w:cs="Times New Roman"/>
          <w:lang w:val="fr-CA"/>
        </w:rPr>
        <w:t>000</w:t>
      </w:r>
      <w:r>
        <w:rPr>
          <w:rFonts w:cs="Times New Roman"/>
          <w:lang w:val="fr-CA"/>
        </w:rPr>
        <w:t> $</w:t>
      </w:r>
      <w:r w:rsidRPr="00CA4523">
        <w:rPr>
          <w:rFonts w:cs="Times New Roman"/>
          <w:lang w:val="fr-CA"/>
        </w:rPr>
        <w:t xml:space="preserve"> CA pour garantir le paiement des </w:t>
      </w:r>
      <w:r>
        <w:rPr>
          <w:rFonts w:cs="Times New Roman"/>
          <w:lang w:val="fr-CA"/>
        </w:rPr>
        <w:t>frai</w:t>
      </w:r>
      <w:r w:rsidRPr="00CA4523">
        <w:rPr>
          <w:rFonts w:cs="Times New Roman"/>
          <w:lang w:val="fr-CA"/>
        </w:rPr>
        <w:t>s de l</w:t>
      </w:r>
      <w:r>
        <w:rPr>
          <w:rFonts w:cs="Times New Roman"/>
          <w:lang w:val="fr-CA"/>
        </w:rPr>
        <w:t>’</w:t>
      </w:r>
      <w:r w:rsidRPr="00CA4523">
        <w:rPr>
          <w:rFonts w:cs="Times New Roman"/>
          <w:lang w:val="fr-CA"/>
        </w:rPr>
        <w:t xml:space="preserve">appel et </w:t>
      </w:r>
      <w:r>
        <w:rPr>
          <w:rFonts w:cs="Times New Roman"/>
          <w:lang w:val="fr-CA"/>
        </w:rPr>
        <w:t xml:space="preserve">du montant </w:t>
      </w:r>
      <w:r w:rsidRPr="00CA4523">
        <w:rPr>
          <w:rFonts w:cs="Times New Roman"/>
          <w:lang w:val="fr-CA"/>
        </w:rPr>
        <w:t>du jugement s</w:t>
      </w:r>
      <w:r>
        <w:rPr>
          <w:rFonts w:cs="Times New Roman"/>
          <w:lang w:val="fr-CA"/>
        </w:rPr>
        <w:t>’</w:t>
      </w:r>
      <w:r w:rsidRPr="00CA4523">
        <w:rPr>
          <w:rFonts w:cs="Times New Roman"/>
          <w:lang w:val="fr-CA"/>
        </w:rPr>
        <w:t>il n</w:t>
      </w:r>
      <w:r>
        <w:rPr>
          <w:rFonts w:cs="Times New Roman"/>
          <w:lang w:val="fr-CA"/>
        </w:rPr>
        <w:t>’</w:t>
      </w:r>
      <w:r w:rsidRPr="00CA4523">
        <w:rPr>
          <w:rFonts w:cs="Times New Roman"/>
          <w:lang w:val="fr-CA"/>
        </w:rPr>
        <w:t xml:space="preserve">obtenait pas gain de cause en appel.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 xml:space="preserve">Sur le fond, une seconde formation </w:t>
      </w:r>
      <w:r>
        <w:rPr>
          <w:rFonts w:cs="Times New Roman"/>
          <w:lang w:val="fr-CA"/>
        </w:rPr>
        <w:t>d</w:t>
      </w:r>
      <w:r w:rsidRPr="00CA4523">
        <w:rPr>
          <w:rFonts w:cs="Times New Roman"/>
          <w:lang w:val="fr-CA"/>
        </w:rPr>
        <w:t>e la Cour d</w:t>
      </w:r>
      <w:r>
        <w:rPr>
          <w:rFonts w:cs="Times New Roman"/>
          <w:lang w:val="fr-CA"/>
        </w:rPr>
        <w:t>’</w:t>
      </w:r>
      <w:r w:rsidRPr="00CA4523">
        <w:rPr>
          <w:rFonts w:cs="Times New Roman"/>
          <w:lang w:val="fr-CA"/>
        </w:rPr>
        <w:t>appel a rejeté l</w:t>
      </w:r>
      <w:r>
        <w:rPr>
          <w:rFonts w:cs="Times New Roman"/>
          <w:lang w:val="fr-CA"/>
        </w:rPr>
        <w:t>’</w:t>
      </w:r>
      <w:r w:rsidRPr="00CA4523">
        <w:rPr>
          <w:rFonts w:cs="Times New Roman"/>
          <w:lang w:val="fr-CA"/>
        </w:rPr>
        <w:t xml:space="preserve">appel de M. Barer dans </w:t>
      </w:r>
      <w:r>
        <w:rPr>
          <w:rFonts w:cs="Times New Roman"/>
          <w:lang w:val="fr-CA"/>
        </w:rPr>
        <w:t>une</w:t>
      </w:r>
      <w:r w:rsidRPr="00CA4523">
        <w:rPr>
          <w:rFonts w:cs="Times New Roman"/>
          <w:lang w:val="fr-CA"/>
        </w:rPr>
        <w:t xml:space="preserve"> décision de deux phrases prononcée à l</w:t>
      </w:r>
      <w:r>
        <w:rPr>
          <w:rFonts w:cs="Times New Roman"/>
          <w:lang w:val="fr-CA"/>
        </w:rPr>
        <w:t>’</w:t>
      </w:r>
      <w:r w:rsidRPr="00CA4523">
        <w:rPr>
          <w:rFonts w:cs="Times New Roman"/>
          <w:lang w:val="fr-CA"/>
        </w:rPr>
        <w:t xml:space="preserve">audience </w:t>
      </w:r>
      <w:r>
        <w:rPr>
          <w:rFonts w:cs="Times New Roman"/>
          <w:lang w:val="fr-CA"/>
        </w:rPr>
        <w:t>et formulée ainsi :</w:t>
      </w:r>
      <w:r w:rsidRPr="00CA4523">
        <w:rPr>
          <w:rFonts w:cs="Times New Roman"/>
          <w:lang w:val="fr-CA"/>
        </w:rPr>
        <w:t xml:space="preserve"> [</w:t>
      </w:r>
      <w:r w:rsidRPr="00CA4523">
        <w:rPr>
          <w:rFonts w:cs="Times New Roman"/>
          <w:smallCaps/>
          <w:lang w:val="fr-CA"/>
        </w:rPr>
        <w:t>traduction</w:t>
      </w:r>
      <w:r w:rsidRPr="00CA4523">
        <w:rPr>
          <w:rFonts w:cs="Times New Roman"/>
          <w:lang w:val="fr-CA"/>
        </w:rPr>
        <w:t>] « Sans souscrire à tous les motifs du juge de première instance, nous sommes néanmoins tous d</w:t>
      </w:r>
      <w:r>
        <w:rPr>
          <w:rFonts w:cs="Times New Roman"/>
          <w:lang w:val="fr-CA"/>
        </w:rPr>
        <w:t>’</w:t>
      </w:r>
      <w:r w:rsidRPr="00CA4523">
        <w:rPr>
          <w:rFonts w:cs="Times New Roman"/>
          <w:lang w:val="fr-CA"/>
        </w:rPr>
        <w:t>avis qu</w:t>
      </w:r>
      <w:r>
        <w:rPr>
          <w:rFonts w:cs="Times New Roman"/>
          <w:lang w:val="fr-CA"/>
        </w:rPr>
        <w:t>’</w:t>
      </w:r>
      <w:r w:rsidRPr="00CA4523">
        <w:rPr>
          <w:rFonts w:cs="Times New Roman"/>
          <w:lang w:val="fr-CA"/>
        </w:rPr>
        <w:t>il y avait suffisamment d</w:t>
      </w:r>
      <w:r>
        <w:rPr>
          <w:rFonts w:cs="Times New Roman"/>
          <w:lang w:val="fr-CA"/>
        </w:rPr>
        <w:t>’</w:t>
      </w:r>
      <w:r w:rsidRPr="00CA4523">
        <w:rPr>
          <w:rFonts w:cs="Times New Roman"/>
          <w:lang w:val="fr-CA"/>
        </w:rPr>
        <w:t xml:space="preserve">éléments pour lui </w:t>
      </w:r>
      <w:r w:rsidRPr="00CA4523">
        <w:rPr>
          <w:rFonts w:cs="Times New Roman"/>
          <w:lang w:val="fr-CA"/>
        </w:rPr>
        <w:lastRenderedPageBreak/>
        <w:t>permettre d</w:t>
      </w:r>
      <w:r>
        <w:rPr>
          <w:rFonts w:cs="Times New Roman"/>
          <w:lang w:val="fr-CA"/>
        </w:rPr>
        <w:t>’</w:t>
      </w:r>
      <w:r w:rsidRPr="00CA4523">
        <w:rPr>
          <w:rFonts w:cs="Times New Roman"/>
          <w:lang w:val="fr-CA"/>
        </w:rPr>
        <w:t>en arriver à la conclusion qu</w:t>
      </w:r>
      <w:r>
        <w:rPr>
          <w:rFonts w:cs="Times New Roman"/>
          <w:lang w:val="fr-CA"/>
        </w:rPr>
        <w:t>’</w:t>
      </w:r>
      <w:r w:rsidRPr="00CA4523">
        <w:rPr>
          <w:rFonts w:cs="Times New Roman"/>
          <w:lang w:val="fr-CA"/>
        </w:rPr>
        <w:t>il a tirée. P</w:t>
      </w:r>
      <w:r>
        <w:rPr>
          <w:rFonts w:cs="Times New Roman"/>
          <w:lang w:val="fr-CA"/>
        </w:rPr>
        <w:t>ou</w:t>
      </w:r>
      <w:r w:rsidRPr="00CA4523">
        <w:rPr>
          <w:rFonts w:cs="Times New Roman"/>
          <w:lang w:val="fr-CA"/>
        </w:rPr>
        <w:t>r ces motifs, l</w:t>
      </w:r>
      <w:r>
        <w:rPr>
          <w:rFonts w:cs="Times New Roman"/>
          <w:lang w:val="fr-CA"/>
        </w:rPr>
        <w:t>’</w:t>
      </w:r>
      <w:r w:rsidRPr="00CA4523">
        <w:rPr>
          <w:rFonts w:cs="Times New Roman"/>
          <w:lang w:val="fr-CA"/>
        </w:rPr>
        <w:t xml:space="preserve">appel est rejeté avec dépens » </w:t>
      </w:r>
      <w:r>
        <w:rPr>
          <w:rFonts w:cs="Times New Roman"/>
          <w:lang w:val="fr-CA"/>
        </w:rPr>
        <w:t>(2017 QCCA 597, par. </w:t>
      </w:r>
      <w:r w:rsidRPr="00CA4523">
        <w:rPr>
          <w:rFonts w:cs="Times New Roman"/>
          <w:lang w:val="fr-CA"/>
        </w:rPr>
        <w:t>1</w:t>
      </w:r>
      <w:r>
        <w:rPr>
          <w:rFonts w:cs="Times New Roman"/>
          <w:lang w:val="fr-CA"/>
        </w:rPr>
        <w:noBreakHyphen/>
        <w:t>2 (CanLII))</w:t>
      </w:r>
      <w:r w:rsidRPr="00CA4523">
        <w:rPr>
          <w:rFonts w:cs="Times New Roman"/>
          <w:lang w:val="fr-CA"/>
        </w:rPr>
        <w:t xml:space="preserve">. Les motifs ne précisent pas quelles parties du jugement </w:t>
      </w:r>
      <w:r>
        <w:rPr>
          <w:rFonts w:cs="Times New Roman"/>
          <w:lang w:val="fr-CA"/>
        </w:rPr>
        <w:t>de l’instance inférieure</w:t>
      </w:r>
      <w:r w:rsidRPr="00CA4523">
        <w:rPr>
          <w:rFonts w:cs="Times New Roman"/>
          <w:lang w:val="fr-CA"/>
        </w:rPr>
        <w:t xml:space="preserve"> </w:t>
      </w:r>
      <w:r>
        <w:rPr>
          <w:rFonts w:cs="Times New Roman"/>
          <w:lang w:val="fr-CA"/>
        </w:rPr>
        <w:t>so</w:t>
      </w:r>
      <w:r w:rsidRPr="00CA4523">
        <w:rPr>
          <w:rFonts w:cs="Times New Roman"/>
          <w:lang w:val="fr-CA"/>
        </w:rPr>
        <w:t xml:space="preserve">nt entérinées et quelles ne </w:t>
      </w:r>
      <w:r>
        <w:rPr>
          <w:rFonts w:cs="Times New Roman"/>
          <w:lang w:val="fr-CA"/>
        </w:rPr>
        <w:t>le sont</w:t>
      </w:r>
      <w:r w:rsidRPr="00CA4523">
        <w:rPr>
          <w:rFonts w:cs="Times New Roman"/>
          <w:lang w:val="fr-CA"/>
        </w:rPr>
        <w:t xml:space="preserve"> pas. </w:t>
      </w:r>
    </w:p>
    <w:p w:rsidR="00AF6697" w:rsidRPr="00CA4523" w:rsidRDefault="00AF6697" w:rsidP="002970A2">
      <w:pPr>
        <w:pStyle w:val="Title1LevelTitre1Niveau-AltL"/>
        <w:numPr>
          <w:ilvl w:val="0"/>
          <w:numId w:val="14"/>
        </w:numPr>
        <w:ind w:left="720"/>
        <w:rPr>
          <w:rFonts w:cs="Times New Roman"/>
          <w:lang w:val="fr-CA"/>
        </w:rPr>
      </w:pPr>
      <w:r w:rsidRPr="00CA4523">
        <w:rPr>
          <w:rFonts w:cs="Times New Roman"/>
          <w:lang w:val="fr-CA"/>
        </w:rPr>
        <w:t>Question en litige</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La question à résoudre dans le présent pourvoi est celle de savoir si c</w:t>
      </w:r>
      <w:r>
        <w:rPr>
          <w:rFonts w:cs="Times New Roman"/>
          <w:lang w:val="fr-CA"/>
        </w:rPr>
        <w:t>’</w:t>
      </w:r>
      <w:r w:rsidRPr="00CA4523">
        <w:rPr>
          <w:rFonts w:cs="Times New Roman"/>
          <w:lang w:val="fr-CA"/>
        </w:rPr>
        <w:t xml:space="preserve">est à bon droit que les </w:t>
      </w:r>
      <w:r>
        <w:rPr>
          <w:rFonts w:cs="Times New Roman"/>
          <w:lang w:val="fr-CA"/>
        </w:rPr>
        <w:t xml:space="preserve">cours d’instances inférieures </w:t>
      </w:r>
      <w:r w:rsidRPr="00CA4523">
        <w:rPr>
          <w:rFonts w:cs="Times New Roman"/>
          <w:lang w:val="fr-CA"/>
        </w:rPr>
        <w:t xml:space="preserve">ont reconnu la compétence du tribunal de </w:t>
      </w:r>
      <w:r w:rsidRPr="002870FA">
        <w:rPr>
          <w:rFonts w:cs="Times New Roman"/>
          <w:lang w:val="fr-CA"/>
        </w:rPr>
        <w:t>l</w:t>
      </w:r>
      <w:r>
        <w:rPr>
          <w:rFonts w:cs="Times New Roman"/>
          <w:lang w:val="fr-CA"/>
        </w:rPr>
        <w:t>’</w:t>
      </w:r>
      <w:r w:rsidRPr="002870FA">
        <w:rPr>
          <w:rFonts w:cs="Times New Roman"/>
          <w:lang w:val="fr-CA"/>
        </w:rPr>
        <w:t>Utah sur le</w:t>
      </w:r>
      <w:r w:rsidRPr="00CA4523">
        <w:rPr>
          <w:rFonts w:cs="Times New Roman"/>
          <w:lang w:val="fr-CA"/>
        </w:rPr>
        <w:t xml:space="preserve"> litige opposant Knight à M. Barer </w:t>
      </w:r>
      <w:r>
        <w:rPr>
          <w:rFonts w:cs="Times New Roman"/>
          <w:lang w:val="fr-CA"/>
        </w:rPr>
        <w:t>à titre</w:t>
      </w:r>
      <w:r w:rsidRPr="00CA4523">
        <w:rPr>
          <w:rFonts w:cs="Times New Roman"/>
          <w:lang w:val="fr-CA"/>
        </w:rPr>
        <w:t xml:space="preserve"> personnel. Pour répondre à cette question, </w:t>
      </w:r>
      <w:r>
        <w:rPr>
          <w:rFonts w:cs="Times New Roman"/>
          <w:lang w:val="fr-CA"/>
        </w:rPr>
        <w:t>je vais examiner les</w:t>
      </w:r>
      <w:r w:rsidRPr="00CA4523">
        <w:rPr>
          <w:rFonts w:cs="Times New Roman"/>
          <w:lang w:val="fr-CA"/>
        </w:rPr>
        <w:t xml:space="preserve"> principes généraux prévus au </w:t>
      </w:r>
      <w:r w:rsidRPr="00CA4523">
        <w:rPr>
          <w:rFonts w:cs="Times New Roman"/>
          <w:i/>
          <w:lang w:val="fr-CA"/>
        </w:rPr>
        <w:t>C</w:t>
      </w:r>
      <w:r>
        <w:rPr>
          <w:rFonts w:cs="Times New Roman"/>
          <w:i/>
          <w:lang w:val="fr-CA"/>
        </w:rPr>
        <w:t>ode civil</w:t>
      </w:r>
      <w:r w:rsidRPr="00CA4523">
        <w:rPr>
          <w:rFonts w:cs="Times New Roman"/>
          <w:lang w:val="fr-CA"/>
        </w:rPr>
        <w:t xml:space="preserve"> régissant la reconnaissance des décisions étrangères</w:t>
      </w:r>
      <w:r>
        <w:rPr>
          <w:rFonts w:cs="Times New Roman"/>
          <w:lang w:val="fr-CA"/>
        </w:rPr>
        <w:t xml:space="preserve"> —</w:t>
      </w:r>
      <w:r w:rsidRPr="00CA4523">
        <w:rPr>
          <w:rFonts w:cs="Times New Roman"/>
          <w:lang w:val="fr-CA"/>
        </w:rPr>
        <w:t xml:space="preserve"> notamment ceux relatifs au fardeau de preuve applicable</w:t>
      </w:r>
      <w:r>
        <w:rPr>
          <w:rFonts w:cs="Times New Roman"/>
          <w:lang w:val="fr-CA"/>
        </w:rPr>
        <w:t xml:space="preserve"> —</w:t>
      </w:r>
      <w:r w:rsidRPr="00CA4523">
        <w:rPr>
          <w:rFonts w:cs="Times New Roman"/>
          <w:lang w:val="fr-CA"/>
        </w:rPr>
        <w:t>, avant de passer à l</w:t>
      </w:r>
      <w:r>
        <w:rPr>
          <w:rFonts w:cs="Times New Roman"/>
          <w:lang w:val="fr-CA"/>
        </w:rPr>
        <w:t>’</w:t>
      </w:r>
      <w:r w:rsidRPr="00CA4523">
        <w:rPr>
          <w:rFonts w:cs="Times New Roman"/>
          <w:lang w:val="fr-CA"/>
        </w:rPr>
        <w:t xml:space="preserve">application des </w:t>
      </w:r>
      <w:r w:rsidR="00971C77">
        <w:rPr>
          <w:rFonts w:cs="Times New Roman"/>
          <w:lang w:val="fr-CA"/>
        </w:rPr>
        <w:t>par</w:t>
      </w:r>
      <w:r>
        <w:rPr>
          <w:rFonts w:cs="Times New Roman"/>
          <w:lang w:val="fr-CA"/>
        </w:rPr>
        <w:t>. </w:t>
      </w:r>
      <w:r w:rsidRPr="00CA4523">
        <w:rPr>
          <w:rFonts w:cs="Times New Roman"/>
          <w:lang w:val="fr-CA"/>
        </w:rPr>
        <w:t>3168</w:t>
      </w:r>
      <w:r>
        <w:rPr>
          <w:rFonts w:cs="Times New Roman"/>
          <w:lang w:val="fr-CA"/>
        </w:rPr>
        <w:t>(</w:t>
      </w:r>
      <w:r w:rsidRPr="00CA4523">
        <w:rPr>
          <w:rFonts w:cs="Times New Roman"/>
          <w:lang w:val="fr-CA"/>
        </w:rPr>
        <w:t>3</w:t>
      </w:r>
      <w:r>
        <w:rPr>
          <w:rFonts w:cs="Times New Roman"/>
          <w:lang w:val="fr-CA"/>
        </w:rPr>
        <w:t>)</w:t>
      </w:r>
      <w:r w:rsidRPr="00CA4523">
        <w:rPr>
          <w:rFonts w:cs="Times New Roman"/>
          <w:lang w:val="fr-CA"/>
        </w:rPr>
        <w:t xml:space="preserve">, </w:t>
      </w:r>
      <w:r>
        <w:rPr>
          <w:rFonts w:cs="Times New Roman"/>
          <w:lang w:val="fr-CA"/>
        </w:rPr>
        <w:t>(</w:t>
      </w:r>
      <w:r w:rsidRPr="00CA4523">
        <w:rPr>
          <w:rFonts w:cs="Times New Roman"/>
          <w:lang w:val="fr-CA"/>
        </w:rPr>
        <w:t>4</w:t>
      </w:r>
      <w:r>
        <w:rPr>
          <w:rFonts w:cs="Times New Roman"/>
          <w:lang w:val="fr-CA"/>
        </w:rPr>
        <w:t>) et</w:t>
      </w:r>
      <w:r w:rsidRPr="00CA4523">
        <w:rPr>
          <w:rFonts w:cs="Times New Roman"/>
          <w:lang w:val="fr-CA"/>
        </w:rPr>
        <w:t> </w:t>
      </w:r>
      <w:r>
        <w:rPr>
          <w:rFonts w:cs="Times New Roman"/>
          <w:lang w:val="fr-CA"/>
        </w:rPr>
        <w:t>(</w:t>
      </w:r>
      <w:r w:rsidRPr="00CA4523">
        <w:rPr>
          <w:rFonts w:cs="Times New Roman"/>
          <w:lang w:val="fr-CA"/>
        </w:rPr>
        <w:t>6</w:t>
      </w:r>
      <w:r>
        <w:rPr>
          <w:rFonts w:cs="Times New Roman"/>
          <w:lang w:val="fr-CA"/>
        </w:rPr>
        <w:t>)</w:t>
      </w:r>
      <w:r w:rsidRPr="00CA4523">
        <w:rPr>
          <w:rFonts w:cs="Times New Roman"/>
          <w:lang w:val="fr-CA"/>
        </w:rPr>
        <w:t xml:space="preserve"> et </w:t>
      </w:r>
      <w:r w:rsidR="00887235">
        <w:rPr>
          <w:rFonts w:cs="Times New Roman"/>
          <w:lang w:val="fr-CA"/>
        </w:rPr>
        <w:t xml:space="preserve">de l’art. </w:t>
      </w:r>
      <w:r w:rsidRPr="00CA4523">
        <w:rPr>
          <w:rFonts w:cs="Times New Roman"/>
          <w:lang w:val="fr-CA"/>
        </w:rPr>
        <w:t>3164 </w:t>
      </w:r>
      <w:r w:rsidRPr="00CA4523">
        <w:rPr>
          <w:rFonts w:cs="Times New Roman"/>
          <w:i/>
          <w:lang w:val="fr-CA"/>
        </w:rPr>
        <w:t>C.c.Q.</w:t>
      </w:r>
      <w:r w:rsidRPr="00CA4523">
        <w:rPr>
          <w:rFonts w:cs="Times New Roman"/>
          <w:lang w:val="fr-CA"/>
        </w:rPr>
        <w:t xml:space="preserve"> qui sont invoqués en tant que dispositions pouvant donner compétence au tribunal de l</w:t>
      </w:r>
      <w:r>
        <w:rPr>
          <w:rFonts w:cs="Times New Roman"/>
          <w:lang w:val="fr-CA"/>
        </w:rPr>
        <w:t>’</w:t>
      </w:r>
      <w:r w:rsidRPr="00CA4523">
        <w:rPr>
          <w:rFonts w:cs="Times New Roman"/>
          <w:lang w:val="fr-CA"/>
        </w:rPr>
        <w:t>Utah.</w:t>
      </w:r>
    </w:p>
    <w:p w:rsidR="00AF6697" w:rsidRPr="00CA4523" w:rsidRDefault="00AF6697" w:rsidP="002970A2">
      <w:pPr>
        <w:pStyle w:val="Title1LevelTitre1Niveau-AltL"/>
        <w:numPr>
          <w:ilvl w:val="0"/>
          <w:numId w:val="14"/>
        </w:numPr>
        <w:ind w:left="540" w:hanging="540"/>
        <w:rPr>
          <w:rFonts w:cs="Times New Roman"/>
          <w:lang w:val="fr-CA"/>
        </w:rPr>
      </w:pPr>
      <w:r w:rsidRPr="00CA4523">
        <w:rPr>
          <w:rFonts w:cs="Times New Roman"/>
          <w:lang w:val="fr-CA"/>
        </w:rPr>
        <w:t>Analyse</w:t>
      </w:r>
    </w:p>
    <w:p w:rsidR="00AF6697" w:rsidRPr="00CA4523" w:rsidRDefault="00AF6697" w:rsidP="002970A2">
      <w:pPr>
        <w:pStyle w:val="Title2LevelTitre2Niveau"/>
        <w:numPr>
          <w:ilvl w:val="0"/>
          <w:numId w:val="17"/>
        </w:numPr>
        <w:tabs>
          <w:tab w:val="left" w:pos="540"/>
        </w:tabs>
        <w:ind w:left="540" w:hanging="540"/>
        <w:jc w:val="both"/>
        <w:rPr>
          <w:rFonts w:cs="Times New Roman"/>
          <w:lang w:val="fr-CA"/>
        </w:rPr>
      </w:pPr>
      <w:r w:rsidRPr="00CA4523">
        <w:rPr>
          <w:rFonts w:cs="Times New Roman"/>
          <w:lang w:val="fr-CA"/>
        </w:rPr>
        <w:t xml:space="preserve">Principes généraux </w:t>
      </w:r>
      <w:r>
        <w:rPr>
          <w:rFonts w:cs="Times New Roman"/>
          <w:lang w:val="fr-CA"/>
        </w:rPr>
        <w:t>prévus au Code civil</w:t>
      </w:r>
      <w:r w:rsidRPr="00CA4523">
        <w:rPr>
          <w:rFonts w:cs="Times New Roman"/>
          <w:lang w:val="fr-CA"/>
        </w:rPr>
        <w:t xml:space="preserve"> régissa</w:t>
      </w:r>
      <w:r w:rsidR="002970A2">
        <w:rPr>
          <w:rFonts w:cs="Times New Roman"/>
          <w:lang w:val="fr-CA"/>
        </w:rPr>
        <w:t>nt la reconnaissance des décisio</w:t>
      </w:r>
      <w:r w:rsidRPr="00CA4523">
        <w:rPr>
          <w:rFonts w:cs="Times New Roman"/>
          <w:lang w:val="fr-CA"/>
        </w:rPr>
        <w:t>ns étrangères</w:t>
      </w:r>
      <w:r>
        <w:rPr>
          <w:rFonts w:cs="Times New Roman"/>
          <w:lang w:val="fr-CA"/>
        </w:rPr>
        <w:t xml:space="preserve"> et le fardeau de preuve applicable</w:t>
      </w:r>
    </w:p>
    <w:p w:rsidR="00AF6697" w:rsidRPr="00624ACE" w:rsidRDefault="00AF6697" w:rsidP="00AF6697">
      <w:pPr>
        <w:pStyle w:val="ParaNoNdepar-AltN"/>
        <w:tabs>
          <w:tab w:val="clear" w:pos="1166"/>
          <w:tab w:val="num" w:pos="1152"/>
        </w:tabs>
        <w:rPr>
          <w:lang w:val="fr-CA"/>
        </w:rPr>
      </w:pPr>
      <w:r>
        <w:rPr>
          <w:lang w:val="fr-CA"/>
        </w:rPr>
        <w:t>C</w:t>
      </w:r>
      <w:r w:rsidRPr="00CA4523">
        <w:rPr>
          <w:lang w:val="fr-CA"/>
        </w:rPr>
        <w:t>onformément à l</w:t>
      </w:r>
      <w:r>
        <w:rPr>
          <w:lang w:val="fr-CA"/>
        </w:rPr>
        <w:t>’</w:t>
      </w:r>
      <w:r w:rsidRPr="00CA4523">
        <w:rPr>
          <w:lang w:val="fr-CA"/>
        </w:rPr>
        <w:t>objectif de favoriser la fluidité des échanges internationaux, l</w:t>
      </w:r>
      <w:r>
        <w:rPr>
          <w:lang w:val="fr-CA"/>
        </w:rPr>
        <w:t>’art. </w:t>
      </w:r>
      <w:r w:rsidRPr="00CA4523">
        <w:rPr>
          <w:lang w:val="fr-CA"/>
        </w:rPr>
        <w:t xml:space="preserve">3155 </w:t>
      </w:r>
      <w:r w:rsidRPr="00CA4523">
        <w:rPr>
          <w:i/>
          <w:lang w:val="fr-CA"/>
        </w:rPr>
        <w:t>C.c.Q</w:t>
      </w:r>
      <w:r w:rsidRPr="0006580E">
        <w:rPr>
          <w:i/>
          <w:lang w:val="fr-CA"/>
        </w:rPr>
        <w:t>.</w:t>
      </w:r>
      <w:r w:rsidRPr="0006580E">
        <w:rPr>
          <w:lang w:val="fr-CA"/>
        </w:rPr>
        <w:t xml:space="preserve"> établit le principe </w:t>
      </w:r>
      <w:r>
        <w:rPr>
          <w:lang w:val="fr-CA"/>
        </w:rPr>
        <w:t>selon lequel</w:t>
      </w:r>
      <w:r w:rsidRPr="0006580E">
        <w:rPr>
          <w:lang w:val="fr-CA"/>
        </w:rPr>
        <w:t xml:space="preserve"> toute </w:t>
      </w:r>
      <w:r w:rsidRPr="0006580E">
        <w:rPr>
          <w:lang w:val="fr-FR"/>
        </w:rPr>
        <w:t xml:space="preserve">décision rendue hors du Québec doit être reconnue et déclarée exécutoire au Québec, sauf exception </w:t>
      </w:r>
      <w:r w:rsidRPr="0006580E">
        <w:rPr>
          <w:lang w:val="fr-CA"/>
        </w:rPr>
        <w:t xml:space="preserve">(G. Goldstein, </w:t>
      </w:r>
      <w:r w:rsidR="00693C58" w:rsidRPr="001D6161">
        <w:rPr>
          <w:i/>
          <w:lang w:val="fr-CA"/>
        </w:rPr>
        <w:t>Droit international privé</w:t>
      </w:r>
      <w:r w:rsidR="00723F24">
        <w:rPr>
          <w:lang w:val="fr-CA"/>
        </w:rPr>
        <w:t xml:space="preserve">, vol. 2, </w:t>
      </w:r>
      <w:r w:rsidRPr="0006580E">
        <w:rPr>
          <w:i/>
          <w:lang w:val="fr-CA"/>
        </w:rPr>
        <w:t>Compétence internationale des autorités québécoises et effets des décisions étrangères (</w:t>
      </w:r>
      <w:r>
        <w:rPr>
          <w:i/>
          <w:lang w:val="fr-CA"/>
        </w:rPr>
        <w:t>Art. </w:t>
      </w:r>
      <w:r w:rsidRPr="0006580E">
        <w:rPr>
          <w:i/>
          <w:lang w:val="fr-CA"/>
        </w:rPr>
        <w:t>3134 à 3168 C.c.Q.)</w:t>
      </w:r>
      <w:r w:rsidRPr="0006580E">
        <w:rPr>
          <w:lang w:val="fr-CA"/>
        </w:rPr>
        <w:t xml:space="preserve"> (2012), </w:t>
      </w:r>
      <w:r>
        <w:rPr>
          <w:lang w:val="fr-CA"/>
        </w:rPr>
        <w:t>par. </w:t>
      </w:r>
      <w:r w:rsidRPr="0006580E">
        <w:rPr>
          <w:lang w:val="fr-CA"/>
        </w:rPr>
        <w:t>3</w:t>
      </w:r>
      <w:r>
        <w:rPr>
          <w:lang w:val="fr-CA"/>
        </w:rPr>
        <w:t>155 550; H. </w:t>
      </w:r>
      <w:r w:rsidRPr="0006580E">
        <w:rPr>
          <w:lang w:val="fr-CA"/>
        </w:rPr>
        <w:t>Kélada,</w:t>
      </w:r>
      <w:r w:rsidRPr="00CA4523">
        <w:rPr>
          <w:lang w:val="fr-CA"/>
        </w:rPr>
        <w:t xml:space="preserve"> </w:t>
      </w:r>
      <w:r w:rsidRPr="00CA4523">
        <w:rPr>
          <w:i/>
          <w:lang w:val="fr-CA"/>
        </w:rPr>
        <w:t xml:space="preserve">Reconnaissance et exécution des jugements </w:t>
      </w:r>
      <w:r w:rsidRPr="00CA4523">
        <w:rPr>
          <w:i/>
          <w:lang w:val="fr-CA"/>
        </w:rPr>
        <w:lastRenderedPageBreak/>
        <w:t>étrangers</w:t>
      </w:r>
      <w:r w:rsidRPr="00CA4523">
        <w:rPr>
          <w:lang w:val="fr-CA"/>
        </w:rPr>
        <w:t xml:space="preserve"> (2013), </w:t>
      </w:r>
      <w:r>
        <w:rPr>
          <w:lang w:val="fr-CA"/>
        </w:rPr>
        <w:t>p. </w:t>
      </w:r>
      <w:r w:rsidRPr="00CA4523">
        <w:rPr>
          <w:lang w:val="fr-CA"/>
        </w:rPr>
        <w:t xml:space="preserve">41; </w:t>
      </w:r>
      <w:r w:rsidRPr="00CA4523">
        <w:rPr>
          <w:i/>
          <w:lang w:val="fr-CA"/>
        </w:rPr>
        <w:t>Société canadienne des postes c. Lépine</w:t>
      </w:r>
      <w:r w:rsidRPr="00CA4523">
        <w:rPr>
          <w:lang w:val="fr-CA"/>
        </w:rPr>
        <w:t>, 2009 CSC 16, [2009] 1 R.C.S.</w:t>
      </w:r>
      <w:r>
        <w:rPr>
          <w:lang w:val="fr-CA"/>
        </w:rPr>
        <w:t> </w:t>
      </w:r>
      <w:r w:rsidRPr="00CA4523">
        <w:rPr>
          <w:lang w:val="fr-CA"/>
        </w:rPr>
        <w:t xml:space="preserve">549, </w:t>
      </w:r>
      <w:r>
        <w:rPr>
          <w:lang w:val="fr-CA"/>
        </w:rPr>
        <w:t>par. 22</w:t>
      </w:r>
      <w:r w:rsidRPr="00CA4523">
        <w:rPr>
          <w:lang w:val="fr-CA"/>
        </w:rPr>
        <w:t xml:space="preserve">). </w:t>
      </w:r>
      <w:r w:rsidRPr="00624ACE">
        <w:rPr>
          <w:lang w:val="fr-CA"/>
        </w:rPr>
        <w:t>L</w:t>
      </w:r>
      <w:r>
        <w:rPr>
          <w:lang w:val="fr-CA"/>
        </w:rPr>
        <w:t>’</w:t>
      </w:r>
      <w:r w:rsidRPr="00624ACE">
        <w:rPr>
          <w:lang w:val="fr-CA"/>
        </w:rPr>
        <w:t>article</w:t>
      </w:r>
      <w:r>
        <w:rPr>
          <w:lang w:val="fr-CA"/>
        </w:rPr>
        <w:t> </w:t>
      </w:r>
      <w:r w:rsidRPr="00624ACE">
        <w:rPr>
          <w:lang w:val="fr-CA"/>
        </w:rPr>
        <w:t xml:space="preserve">3155 </w:t>
      </w:r>
      <w:r w:rsidRPr="00624ACE">
        <w:rPr>
          <w:i/>
          <w:lang w:val="fr-CA"/>
        </w:rPr>
        <w:t>C.c.Q.</w:t>
      </w:r>
      <w:r w:rsidRPr="00624ACE">
        <w:rPr>
          <w:lang w:val="fr-CA"/>
        </w:rPr>
        <w:t xml:space="preserve"> énumère ensuite six exceptions qui permettent aux tribunaux québécois de déroger à ce principe général et de refuser de reconnaître une décision étrangère. La première de ces exceptions a trait aux décisions rendues par une autorité qui n</w:t>
      </w:r>
      <w:r>
        <w:rPr>
          <w:lang w:val="fr-CA"/>
        </w:rPr>
        <w:t>’</w:t>
      </w:r>
      <w:r w:rsidRPr="00624ACE">
        <w:rPr>
          <w:lang w:val="fr-CA"/>
        </w:rPr>
        <w:t xml:space="preserve">était pas compétente </w:t>
      </w:r>
      <w:r>
        <w:rPr>
          <w:lang w:val="fr-CA"/>
        </w:rPr>
        <w:t>pour décider du</w:t>
      </w:r>
      <w:r w:rsidRPr="00624ACE">
        <w:rPr>
          <w:lang w:val="fr-CA"/>
        </w:rPr>
        <w:t xml:space="preserve"> différend selon les règles du </w:t>
      </w:r>
      <w:r w:rsidRPr="00624ACE">
        <w:rPr>
          <w:i/>
          <w:lang w:val="fr-CA"/>
        </w:rPr>
        <w:t>Code civil</w:t>
      </w:r>
      <w:r>
        <w:rPr>
          <w:lang w:val="fr-CA"/>
        </w:rPr>
        <w:t> :</w:t>
      </w:r>
      <w:r w:rsidRPr="00624ACE">
        <w:rPr>
          <w:lang w:val="fr-CA"/>
        </w:rPr>
        <w:t xml:space="preserve"> </w:t>
      </w:r>
    </w:p>
    <w:p w:rsidR="00AF6697" w:rsidRPr="005B60A1" w:rsidRDefault="00AF6697" w:rsidP="00AF6697">
      <w:pPr>
        <w:pStyle w:val="Citation-AltC"/>
        <w:spacing w:after="240"/>
        <w:ind w:left="1168" w:hanging="1168"/>
        <w:contextualSpacing w:val="0"/>
        <w:rPr>
          <w:lang w:val="fr-CA"/>
        </w:rPr>
      </w:pPr>
      <w:r>
        <w:rPr>
          <w:b/>
          <w:lang w:val="fr-CA"/>
        </w:rPr>
        <w:tab/>
      </w:r>
      <w:r w:rsidRPr="0006580E">
        <w:rPr>
          <w:b/>
          <w:lang w:val="fr-CA"/>
        </w:rPr>
        <w:t>3155</w:t>
      </w:r>
      <w:r w:rsidRPr="00192EFB">
        <w:rPr>
          <w:b/>
          <w:lang w:val="fr-CA"/>
        </w:rPr>
        <w:t>.</w:t>
      </w:r>
      <w:r>
        <w:rPr>
          <w:lang w:val="fr-CA"/>
        </w:rPr>
        <w:t> </w:t>
      </w:r>
      <w:r w:rsidRPr="005B60A1">
        <w:rPr>
          <w:lang w:val="fr-CA"/>
        </w:rPr>
        <w:t xml:space="preserve">Toute décision rendue hors du Québec est reconnue et, le cas échéant, déclarée exécutoire par l’autorité du Québec, sauf dans les cas suivants : </w:t>
      </w:r>
    </w:p>
    <w:p w:rsidR="00AF6697" w:rsidRPr="005B60A1" w:rsidRDefault="00AF6697" w:rsidP="00AF6697">
      <w:pPr>
        <w:pStyle w:val="Citation-AltC"/>
        <w:spacing w:after="240"/>
        <w:ind w:left="1843" w:hanging="1843"/>
        <w:contextualSpacing w:val="0"/>
        <w:rPr>
          <w:lang w:val="fr-CA"/>
        </w:rPr>
      </w:pPr>
      <w:r>
        <w:rPr>
          <w:lang w:val="fr-CA"/>
        </w:rPr>
        <w:tab/>
      </w:r>
      <w:r w:rsidRPr="005B60A1">
        <w:rPr>
          <w:lang w:val="fr-CA"/>
        </w:rPr>
        <w:t>1°</w:t>
      </w:r>
      <w:r w:rsidRPr="005B60A1">
        <w:rPr>
          <w:lang w:val="fr-CA"/>
        </w:rPr>
        <w:tab/>
        <w:t xml:space="preserve">L’autorité de l’État dans lequel la décision a été rendue n’était pas compétente suivant les dispositions du présent titre; </w:t>
      </w:r>
    </w:p>
    <w:p w:rsidR="00AF6697" w:rsidRPr="0006580E" w:rsidRDefault="00AF6697" w:rsidP="00AF6697">
      <w:pPr>
        <w:pStyle w:val="Citation-AltC"/>
        <w:spacing w:after="240"/>
        <w:ind w:left="1843" w:hanging="1843"/>
        <w:contextualSpacing w:val="0"/>
        <w:rPr>
          <w:szCs w:val="24"/>
          <w:lang w:val="fr-FR" w:eastAsia="fr-CA"/>
        </w:rPr>
      </w:pPr>
      <w:r>
        <w:rPr>
          <w:szCs w:val="24"/>
          <w:lang w:val="fr-FR" w:eastAsia="fr-CA"/>
        </w:rPr>
        <w:tab/>
        <w:t>2°</w:t>
      </w:r>
      <w:r>
        <w:rPr>
          <w:szCs w:val="24"/>
          <w:lang w:val="fr-FR" w:eastAsia="fr-CA"/>
        </w:rPr>
        <w:tab/>
      </w:r>
      <w:r w:rsidRPr="0006580E">
        <w:rPr>
          <w:szCs w:val="24"/>
          <w:lang w:val="fr-FR" w:eastAsia="fr-CA"/>
        </w:rPr>
        <w:t>La décision, au lieu où elle a été rendue, est susceptible d</w:t>
      </w:r>
      <w:r>
        <w:rPr>
          <w:szCs w:val="24"/>
          <w:lang w:val="fr-FR" w:eastAsia="fr-CA"/>
        </w:rPr>
        <w:t>’</w:t>
      </w:r>
      <w:r w:rsidRPr="0006580E">
        <w:rPr>
          <w:szCs w:val="24"/>
          <w:lang w:val="fr-FR" w:eastAsia="fr-CA"/>
        </w:rPr>
        <w:t xml:space="preserve">un recours </w:t>
      </w:r>
      <w:r w:rsidRPr="005B60A1">
        <w:rPr>
          <w:lang w:val="fr-CA"/>
        </w:rPr>
        <w:t>ordinaire</w:t>
      </w:r>
      <w:r w:rsidRPr="0006580E">
        <w:rPr>
          <w:szCs w:val="24"/>
          <w:lang w:val="fr-FR" w:eastAsia="fr-CA"/>
        </w:rPr>
        <w:t>, ou n</w:t>
      </w:r>
      <w:r>
        <w:rPr>
          <w:szCs w:val="24"/>
          <w:lang w:val="fr-FR" w:eastAsia="fr-CA"/>
        </w:rPr>
        <w:t>’</w:t>
      </w:r>
      <w:r w:rsidRPr="0006580E">
        <w:rPr>
          <w:szCs w:val="24"/>
          <w:lang w:val="fr-FR" w:eastAsia="fr-CA"/>
        </w:rPr>
        <w:t xml:space="preserve">est pas définitive ou exécutoire; </w:t>
      </w:r>
    </w:p>
    <w:p w:rsidR="00AF6697" w:rsidRPr="0006580E" w:rsidRDefault="00AF6697" w:rsidP="00AF6697">
      <w:pPr>
        <w:pStyle w:val="Citation-AltC"/>
        <w:spacing w:after="240"/>
        <w:ind w:left="1843" w:hanging="1843"/>
        <w:contextualSpacing w:val="0"/>
        <w:rPr>
          <w:szCs w:val="24"/>
          <w:lang w:val="fr-FR" w:eastAsia="fr-CA"/>
        </w:rPr>
      </w:pPr>
      <w:r>
        <w:rPr>
          <w:szCs w:val="24"/>
          <w:lang w:val="fr-FR" w:eastAsia="fr-CA"/>
        </w:rPr>
        <w:tab/>
        <w:t>3°</w:t>
      </w:r>
      <w:r>
        <w:rPr>
          <w:szCs w:val="24"/>
          <w:lang w:val="fr-FR" w:eastAsia="fr-CA"/>
        </w:rPr>
        <w:tab/>
      </w:r>
      <w:r w:rsidRPr="0006580E">
        <w:rPr>
          <w:szCs w:val="24"/>
          <w:lang w:val="fr-FR" w:eastAsia="fr-CA"/>
        </w:rPr>
        <w:t xml:space="preserve">La décision a été rendue en violation des principes essentiels de la </w:t>
      </w:r>
      <w:r w:rsidRPr="005B60A1">
        <w:rPr>
          <w:lang w:val="fr-CA"/>
        </w:rPr>
        <w:t>procédure</w:t>
      </w:r>
      <w:r w:rsidRPr="0006580E">
        <w:rPr>
          <w:szCs w:val="24"/>
          <w:lang w:val="fr-FR" w:eastAsia="fr-CA"/>
        </w:rPr>
        <w:t xml:space="preserve">; </w:t>
      </w:r>
    </w:p>
    <w:p w:rsidR="00AF6697" w:rsidRPr="0006580E" w:rsidRDefault="00AF6697" w:rsidP="00AF6697">
      <w:pPr>
        <w:pStyle w:val="Citation-AltC"/>
        <w:spacing w:after="240"/>
        <w:ind w:left="1843" w:hanging="1843"/>
        <w:contextualSpacing w:val="0"/>
        <w:rPr>
          <w:szCs w:val="24"/>
          <w:lang w:val="fr-FR" w:eastAsia="fr-CA"/>
        </w:rPr>
      </w:pPr>
      <w:r>
        <w:rPr>
          <w:szCs w:val="24"/>
          <w:lang w:val="fr-FR" w:eastAsia="fr-CA"/>
        </w:rPr>
        <w:tab/>
        <w:t>4°</w:t>
      </w:r>
      <w:r>
        <w:rPr>
          <w:szCs w:val="24"/>
          <w:lang w:val="fr-FR" w:eastAsia="fr-CA"/>
        </w:rPr>
        <w:tab/>
      </w:r>
      <w:r w:rsidRPr="0006580E">
        <w:rPr>
          <w:szCs w:val="24"/>
          <w:lang w:val="fr-FR" w:eastAsia="fr-CA"/>
        </w:rPr>
        <w:t xml:space="preserve">Un litige entre les mêmes parties, fondé sur les mêmes faits et ayant le même objet, a donné lieu au Québec à une décision passée ou non en force de chose jugée, ou est pendant devant une autorité québécoise, première saisie, ou a été jugé dans un État tiers et la décision remplit </w:t>
      </w:r>
      <w:r w:rsidRPr="005B60A1">
        <w:rPr>
          <w:lang w:val="fr-CA"/>
        </w:rPr>
        <w:t>les</w:t>
      </w:r>
      <w:r w:rsidRPr="0006580E">
        <w:rPr>
          <w:szCs w:val="24"/>
          <w:lang w:val="fr-FR" w:eastAsia="fr-CA"/>
        </w:rPr>
        <w:t xml:space="preserve"> conditions nécessaires pour sa reconnaissance au Québec; </w:t>
      </w:r>
    </w:p>
    <w:p w:rsidR="00AF6697" w:rsidRPr="0006580E" w:rsidRDefault="00AF6697" w:rsidP="00AF6697">
      <w:pPr>
        <w:pStyle w:val="Citation-AltC"/>
        <w:spacing w:after="240"/>
        <w:ind w:left="1843" w:hanging="1843"/>
        <w:contextualSpacing w:val="0"/>
        <w:rPr>
          <w:szCs w:val="24"/>
          <w:lang w:val="fr-FR" w:eastAsia="fr-CA"/>
        </w:rPr>
      </w:pPr>
      <w:r>
        <w:rPr>
          <w:szCs w:val="24"/>
          <w:lang w:val="fr-FR" w:eastAsia="fr-CA"/>
        </w:rPr>
        <w:tab/>
        <w:t>5°</w:t>
      </w:r>
      <w:r>
        <w:rPr>
          <w:szCs w:val="24"/>
          <w:lang w:val="fr-FR" w:eastAsia="fr-CA"/>
        </w:rPr>
        <w:tab/>
      </w:r>
      <w:r w:rsidRPr="0006580E">
        <w:rPr>
          <w:szCs w:val="24"/>
          <w:lang w:val="fr-FR" w:eastAsia="fr-CA"/>
        </w:rPr>
        <w:t>Le résultat de la décision étrangère est manifestement incompatible avec l</w:t>
      </w:r>
      <w:r>
        <w:rPr>
          <w:szCs w:val="24"/>
          <w:lang w:val="fr-FR" w:eastAsia="fr-CA"/>
        </w:rPr>
        <w:t>’</w:t>
      </w:r>
      <w:r w:rsidRPr="0006580E">
        <w:rPr>
          <w:szCs w:val="24"/>
          <w:lang w:val="fr-FR" w:eastAsia="fr-CA"/>
        </w:rPr>
        <w:t>ordre public tel qu</w:t>
      </w:r>
      <w:r>
        <w:rPr>
          <w:szCs w:val="24"/>
          <w:lang w:val="fr-FR" w:eastAsia="fr-CA"/>
        </w:rPr>
        <w:t>’</w:t>
      </w:r>
      <w:r w:rsidRPr="0006580E">
        <w:rPr>
          <w:szCs w:val="24"/>
          <w:lang w:val="fr-FR" w:eastAsia="fr-CA"/>
        </w:rPr>
        <w:t xml:space="preserve">il est entendu dans les relations </w:t>
      </w:r>
      <w:r w:rsidRPr="005B60A1">
        <w:rPr>
          <w:lang w:val="fr-CA"/>
        </w:rPr>
        <w:t>internationales</w:t>
      </w:r>
      <w:r w:rsidRPr="0006580E">
        <w:rPr>
          <w:szCs w:val="24"/>
          <w:lang w:val="fr-FR" w:eastAsia="fr-CA"/>
        </w:rPr>
        <w:t xml:space="preserve">; </w:t>
      </w:r>
    </w:p>
    <w:p w:rsidR="00AF6697" w:rsidRPr="00CA4523" w:rsidRDefault="00AF6697" w:rsidP="00AF6697">
      <w:pPr>
        <w:pStyle w:val="Citation-AltC"/>
        <w:ind w:left="1843" w:hanging="1843"/>
        <w:rPr>
          <w:szCs w:val="24"/>
          <w:lang w:val="fr-FR" w:eastAsia="fr-CA"/>
        </w:rPr>
      </w:pPr>
      <w:r>
        <w:rPr>
          <w:szCs w:val="24"/>
          <w:lang w:val="fr-FR" w:eastAsia="fr-CA"/>
        </w:rPr>
        <w:tab/>
        <w:t>6°</w:t>
      </w:r>
      <w:r>
        <w:rPr>
          <w:szCs w:val="24"/>
          <w:lang w:val="fr-FR" w:eastAsia="fr-CA"/>
        </w:rPr>
        <w:tab/>
      </w:r>
      <w:r w:rsidRPr="0006580E">
        <w:rPr>
          <w:szCs w:val="24"/>
          <w:lang w:val="fr-FR" w:eastAsia="fr-CA"/>
        </w:rPr>
        <w:t>La décision sanctionne des obligations découlant des lois fiscales d</w:t>
      </w:r>
      <w:r>
        <w:rPr>
          <w:szCs w:val="24"/>
          <w:lang w:val="fr-FR" w:eastAsia="fr-CA"/>
        </w:rPr>
        <w:t>’</w:t>
      </w:r>
      <w:r w:rsidRPr="0006580E">
        <w:rPr>
          <w:szCs w:val="24"/>
          <w:lang w:val="fr-FR" w:eastAsia="fr-CA"/>
        </w:rPr>
        <w:t xml:space="preserve">un État </w:t>
      </w:r>
      <w:r w:rsidRPr="005B60A1">
        <w:rPr>
          <w:lang w:val="fr-CA"/>
        </w:rPr>
        <w:t>étranger</w:t>
      </w:r>
      <w:r w:rsidRPr="0006580E">
        <w:rPr>
          <w:szCs w:val="24"/>
          <w:lang w:val="fr-FR" w:eastAsia="fr-CA"/>
        </w:rPr>
        <w:t>.</w:t>
      </w:r>
      <w:r w:rsidRPr="00CA4523">
        <w:rPr>
          <w:szCs w:val="24"/>
          <w:lang w:val="fr-FR" w:eastAsia="fr-CA"/>
        </w:rPr>
        <w:t xml:space="preserve"> </w:t>
      </w:r>
    </w:p>
    <w:p w:rsidR="00AF6697" w:rsidRPr="00CA4523" w:rsidRDefault="00AF6697" w:rsidP="00AF6697">
      <w:pPr>
        <w:pStyle w:val="ParaNoNdepar-AltN"/>
        <w:tabs>
          <w:tab w:val="clear" w:pos="1166"/>
          <w:tab w:val="num" w:pos="1152"/>
        </w:tabs>
        <w:rPr>
          <w:rFonts w:eastAsia="Times New Roman" w:cs="Times New Roman"/>
          <w:szCs w:val="24"/>
          <w:lang w:val="fr-FR" w:eastAsia="fr-CA"/>
        </w:rPr>
      </w:pPr>
      <w:r w:rsidRPr="00CA4523">
        <w:rPr>
          <w:lang w:val="fr-CA"/>
        </w:rPr>
        <w:t>On a dit a</w:t>
      </w:r>
      <w:r>
        <w:rPr>
          <w:lang w:val="fr-CA"/>
        </w:rPr>
        <w:t>u</w:t>
      </w:r>
      <w:r w:rsidRPr="00CA4523">
        <w:rPr>
          <w:lang w:val="fr-CA"/>
        </w:rPr>
        <w:t xml:space="preserve"> sujet du régime établi par l</w:t>
      </w:r>
      <w:r>
        <w:rPr>
          <w:lang w:val="fr-CA"/>
        </w:rPr>
        <w:t>’art. </w:t>
      </w:r>
      <w:r w:rsidRPr="00CA4523">
        <w:rPr>
          <w:lang w:val="fr-CA"/>
        </w:rPr>
        <w:t xml:space="preserve">3155 </w:t>
      </w:r>
      <w:r w:rsidRPr="00CA4523">
        <w:rPr>
          <w:i/>
          <w:lang w:val="fr-CA"/>
        </w:rPr>
        <w:t>C.c.Q.</w:t>
      </w:r>
      <w:r w:rsidRPr="00CA4523">
        <w:rPr>
          <w:lang w:val="fr-CA"/>
        </w:rPr>
        <w:t xml:space="preserve"> qu</w:t>
      </w:r>
      <w:r>
        <w:rPr>
          <w:lang w:val="fr-CA"/>
        </w:rPr>
        <w:t>’</w:t>
      </w:r>
      <w:r w:rsidRPr="00CA4523">
        <w:rPr>
          <w:lang w:val="fr-CA"/>
        </w:rPr>
        <w:t>il crée une présomption de validité de la décision étrangère et que cette présomption est réfutée lorsqu</w:t>
      </w:r>
      <w:r>
        <w:rPr>
          <w:lang w:val="fr-CA"/>
        </w:rPr>
        <w:t>’</w:t>
      </w:r>
      <w:r w:rsidRPr="00CA4523">
        <w:rPr>
          <w:lang w:val="fr-CA"/>
        </w:rPr>
        <w:t>un tribunal québécois juge qu</w:t>
      </w:r>
      <w:r>
        <w:rPr>
          <w:lang w:val="fr-CA"/>
        </w:rPr>
        <w:t>’</w:t>
      </w:r>
      <w:r w:rsidRPr="00CA4523">
        <w:rPr>
          <w:lang w:val="fr-CA"/>
        </w:rPr>
        <w:t>une des exceptions énumérées s</w:t>
      </w:r>
      <w:r>
        <w:rPr>
          <w:lang w:val="fr-CA"/>
        </w:rPr>
        <w:t>’</w:t>
      </w:r>
      <w:r w:rsidR="00844FF7">
        <w:rPr>
          <w:lang w:val="fr-CA"/>
        </w:rPr>
        <w:t>applique (m</w:t>
      </w:r>
      <w:r w:rsidRPr="00CA4523">
        <w:rPr>
          <w:lang w:val="fr-CA"/>
        </w:rPr>
        <w:t xml:space="preserve">inistère de la Justice, </w:t>
      </w:r>
      <w:r w:rsidRPr="00CA4523">
        <w:rPr>
          <w:i/>
          <w:lang w:val="fr-CA"/>
        </w:rPr>
        <w:t>Commentaires du ministre de la Justice</w:t>
      </w:r>
      <w:r w:rsidRPr="0079304D">
        <w:rPr>
          <w:lang w:val="fr-CA"/>
        </w:rPr>
        <w:t xml:space="preserve">, </w:t>
      </w:r>
      <w:r w:rsidR="00693C58">
        <w:rPr>
          <w:lang w:val="fr-CA"/>
        </w:rPr>
        <w:t>t</w:t>
      </w:r>
      <w:r>
        <w:rPr>
          <w:lang w:val="fr-CA"/>
        </w:rPr>
        <w:t>. </w:t>
      </w:r>
      <w:r w:rsidRPr="00192EFB">
        <w:rPr>
          <w:lang w:val="fr-CA"/>
        </w:rPr>
        <w:t>II</w:t>
      </w:r>
      <w:r>
        <w:rPr>
          <w:lang w:val="fr-CA"/>
        </w:rPr>
        <w:t xml:space="preserve">, </w:t>
      </w:r>
      <w:r w:rsidRPr="00CA4523">
        <w:rPr>
          <w:i/>
          <w:lang w:val="fr-CA"/>
        </w:rPr>
        <w:t xml:space="preserve">Le Code civil du </w:t>
      </w:r>
      <w:r w:rsidRPr="00CA4523">
        <w:rPr>
          <w:i/>
          <w:lang w:val="fr-CA"/>
        </w:rPr>
        <w:lastRenderedPageBreak/>
        <w:t>Québec</w:t>
      </w:r>
      <w:r>
        <w:rPr>
          <w:i/>
          <w:lang w:val="fr-CA"/>
        </w:rPr>
        <w:t xml:space="preserve"> </w:t>
      </w:r>
      <w:r>
        <w:rPr>
          <w:rFonts w:cs="Times New Roman"/>
          <w:i/>
          <w:lang w:val="fr-CA"/>
        </w:rPr>
        <w:t>—</w:t>
      </w:r>
      <w:r>
        <w:rPr>
          <w:i/>
          <w:lang w:val="fr-CA"/>
        </w:rPr>
        <w:t xml:space="preserve"> Un mouvement de société</w:t>
      </w:r>
      <w:r w:rsidRPr="00CA4523">
        <w:rPr>
          <w:lang w:val="fr-CA"/>
        </w:rPr>
        <w:t xml:space="preserve"> </w:t>
      </w:r>
      <w:r>
        <w:rPr>
          <w:lang w:val="fr-CA"/>
        </w:rPr>
        <w:t>(</w:t>
      </w:r>
      <w:r w:rsidRPr="00CA4523">
        <w:rPr>
          <w:lang w:val="fr-CA"/>
        </w:rPr>
        <w:t>1993</w:t>
      </w:r>
      <w:r>
        <w:rPr>
          <w:lang w:val="fr-CA"/>
        </w:rPr>
        <w:t>)</w:t>
      </w:r>
      <w:r w:rsidRPr="00CA4523">
        <w:rPr>
          <w:lang w:val="fr-CA"/>
        </w:rPr>
        <w:t xml:space="preserve">, </w:t>
      </w:r>
      <w:r>
        <w:rPr>
          <w:lang w:val="fr-CA"/>
        </w:rPr>
        <w:t>p. </w:t>
      </w:r>
      <w:r w:rsidRPr="00CA4523">
        <w:rPr>
          <w:lang w:val="fr-CA"/>
        </w:rPr>
        <w:t xml:space="preserve">2015; H. </w:t>
      </w:r>
      <w:r>
        <w:rPr>
          <w:lang w:val="fr-CA"/>
        </w:rPr>
        <w:t>P. </w:t>
      </w:r>
      <w:r w:rsidRPr="00CA4523">
        <w:rPr>
          <w:lang w:val="fr-CA"/>
        </w:rPr>
        <w:t xml:space="preserve">Glenn, </w:t>
      </w:r>
      <w:r>
        <w:rPr>
          <w:lang w:val="fr-CA"/>
        </w:rPr>
        <w:t>« </w:t>
      </w:r>
      <w:r w:rsidRPr="00192EFB">
        <w:rPr>
          <w:lang w:val="fr-CA"/>
        </w:rPr>
        <w:t>Recogni</w:t>
      </w:r>
      <w:r w:rsidR="000E6BBD">
        <w:rPr>
          <w:lang w:val="fr-CA"/>
        </w:rPr>
        <w:t>tion of Foreign Judgments in Que</w:t>
      </w:r>
      <w:r w:rsidRPr="00192EFB">
        <w:rPr>
          <w:lang w:val="fr-CA"/>
        </w:rPr>
        <w:t>bec</w:t>
      </w:r>
      <w:r>
        <w:rPr>
          <w:lang w:val="fr-CA"/>
        </w:rPr>
        <w:t xml:space="preserve"> » </w:t>
      </w:r>
      <w:r w:rsidRPr="00CA4523">
        <w:rPr>
          <w:lang w:val="fr-CA"/>
        </w:rPr>
        <w:t>(1997)</w:t>
      </w:r>
      <w:r>
        <w:rPr>
          <w:lang w:val="fr-CA"/>
        </w:rPr>
        <w:t>,</w:t>
      </w:r>
      <w:r w:rsidRPr="00CA4523">
        <w:rPr>
          <w:lang w:val="fr-CA"/>
        </w:rPr>
        <w:t xml:space="preserve"> 28 </w:t>
      </w:r>
      <w:r w:rsidR="00844FF7">
        <w:rPr>
          <w:i/>
          <w:lang w:val="fr-CA"/>
        </w:rPr>
        <w:t>Rev. c</w:t>
      </w:r>
      <w:r>
        <w:rPr>
          <w:i/>
          <w:lang w:val="fr-CA"/>
        </w:rPr>
        <w:t>an. </w:t>
      </w:r>
      <w:r w:rsidR="00844FF7" w:rsidRPr="00844FF7">
        <w:rPr>
          <w:i/>
          <w:lang w:val="fr-CA"/>
        </w:rPr>
        <w:t>d</w:t>
      </w:r>
      <w:r w:rsidRPr="00844FF7">
        <w:rPr>
          <w:i/>
          <w:lang w:val="fr-CA"/>
        </w:rPr>
        <w:t>r. comm. </w:t>
      </w:r>
      <w:r w:rsidRPr="00F611A0">
        <w:rPr>
          <w:lang w:val="en-US"/>
        </w:rPr>
        <w:t xml:space="preserve">404, p. 406; </w:t>
      </w:r>
      <w:r w:rsidRPr="00F611A0">
        <w:rPr>
          <w:i/>
          <w:lang w:val="en-US"/>
        </w:rPr>
        <w:t>Yousuf c. Jannesar</w:t>
      </w:r>
      <w:r w:rsidRPr="00F611A0">
        <w:rPr>
          <w:lang w:val="en-US"/>
        </w:rPr>
        <w:t>, 2014 QCCA 2096, par. 18</w:t>
      </w:r>
      <w:r w:rsidRPr="00F611A0">
        <w:rPr>
          <w:lang w:val="en-US"/>
        </w:rPr>
        <w:noBreakHyphen/>
        <w:t xml:space="preserve">20 (CanLII); </w:t>
      </w:r>
      <w:r w:rsidRPr="00F611A0">
        <w:rPr>
          <w:i/>
          <w:lang w:val="en-US"/>
        </w:rPr>
        <w:t>Mutual Trust Co. c. St</w:t>
      </w:r>
      <w:r w:rsidRPr="00F611A0">
        <w:rPr>
          <w:i/>
          <w:lang w:val="en-US"/>
        </w:rPr>
        <w:noBreakHyphen/>
        <w:t>Cyr</w:t>
      </w:r>
      <w:r w:rsidR="00F611A0" w:rsidRPr="00F611A0">
        <w:rPr>
          <w:lang w:val="en-US"/>
        </w:rPr>
        <w:t>, [1996] R.D.J. 623</w:t>
      </w:r>
      <w:r w:rsidRPr="00F611A0">
        <w:rPr>
          <w:lang w:val="en-US"/>
        </w:rPr>
        <w:t xml:space="preserve"> </w:t>
      </w:r>
      <w:r w:rsidR="00723F24" w:rsidRPr="00F611A0">
        <w:rPr>
          <w:lang w:val="en-US"/>
        </w:rPr>
        <w:t>(C.A.)</w:t>
      </w:r>
      <w:r w:rsidR="00F611A0" w:rsidRPr="00F611A0">
        <w:rPr>
          <w:lang w:val="en-US"/>
        </w:rPr>
        <w:t>,</w:t>
      </w:r>
      <w:r w:rsidR="00723F24" w:rsidRPr="00F611A0">
        <w:rPr>
          <w:lang w:val="en-US"/>
        </w:rPr>
        <w:t xml:space="preserve"> </w:t>
      </w:r>
      <w:r w:rsidRPr="00F611A0">
        <w:rPr>
          <w:lang w:val="en-US"/>
        </w:rPr>
        <w:t>p. 632</w:t>
      </w:r>
      <w:r w:rsidRPr="00F611A0">
        <w:rPr>
          <w:lang w:val="en-US"/>
        </w:rPr>
        <w:noBreakHyphen/>
        <w:t xml:space="preserve">633). </w:t>
      </w:r>
      <w:r w:rsidRPr="00CA4523">
        <w:rPr>
          <w:lang w:val="fr-CA"/>
        </w:rPr>
        <w:t>On s</w:t>
      </w:r>
      <w:r>
        <w:rPr>
          <w:lang w:val="fr-CA"/>
        </w:rPr>
        <w:t>’</w:t>
      </w:r>
      <w:r w:rsidRPr="00CA4523">
        <w:rPr>
          <w:lang w:val="fr-CA"/>
        </w:rPr>
        <w:t xml:space="preserve">attendrait </w:t>
      </w:r>
      <w:r>
        <w:rPr>
          <w:lang w:val="fr-CA"/>
        </w:rPr>
        <w:t xml:space="preserve">ainsi </w:t>
      </w:r>
      <w:r w:rsidRPr="00CA4523">
        <w:rPr>
          <w:lang w:val="fr-CA"/>
        </w:rPr>
        <w:t>à ce qu</w:t>
      </w:r>
      <w:r>
        <w:rPr>
          <w:lang w:val="fr-CA"/>
        </w:rPr>
        <w:t>’</w:t>
      </w:r>
      <w:r w:rsidRPr="00CA4523">
        <w:rPr>
          <w:lang w:val="fr-CA"/>
        </w:rPr>
        <w:t xml:space="preserve">il incombe à la partie </w:t>
      </w:r>
      <w:r>
        <w:rPr>
          <w:lang w:val="fr-CA"/>
        </w:rPr>
        <w:t>qui s’oppose à la reconnaissance de la décision étrangère</w:t>
      </w:r>
      <w:r w:rsidRPr="00CA4523">
        <w:rPr>
          <w:lang w:val="fr-CA"/>
        </w:rPr>
        <w:t xml:space="preserve"> de repousser la présomption de validité dont </w:t>
      </w:r>
      <w:r>
        <w:rPr>
          <w:lang w:val="fr-CA"/>
        </w:rPr>
        <w:t>celle</w:t>
      </w:r>
      <w:r>
        <w:rPr>
          <w:lang w:val="fr-CA"/>
        </w:rPr>
        <w:noBreakHyphen/>
        <w:t xml:space="preserve">ci </w:t>
      </w:r>
      <w:r w:rsidRPr="00CA4523">
        <w:rPr>
          <w:lang w:val="fr-CA"/>
        </w:rPr>
        <w:t xml:space="preserve">bénéficie et </w:t>
      </w:r>
      <w:r>
        <w:rPr>
          <w:lang w:val="fr-CA"/>
        </w:rPr>
        <w:t xml:space="preserve">d’établir </w:t>
      </w:r>
      <w:r w:rsidRPr="00CA4523">
        <w:rPr>
          <w:lang w:val="fr-CA"/>
        </w:rPr>
        <w:t>un des motifs permettant de refuser de la reconnaître ou de l</w:t>
      </w:r>
      <w:r>
        <w:rPr>
          <w:lang w:val="fr-CA"/>
        </w:rPr>
        <w:t>’</w:t>
      </w:r>
      <w:r w:rsidRPr="00CA4523">
        <w:rPr>
          <w:lang w:val="fr-CA"/>
        </w:rPr>
        <w:t>exécuter (J.</w:t>
      </w:r>
      <w:r>
        <w:rPr>
          <w:lang w:val="fr-CA"/>
        </w:rPr>
        <w:t> </w:t>
      </w:r>
      <w:r w:rsidRPr="00CA4523">
        <w:rPr>
          <w:lang w:val="fr-CA"/>
        </w:rPr>
        <w:t>A.</w:t>
      </w:r>
      <w:r>
        <w:rPr>
          <w:lang w:val="fr-CA"/>
        </w:rPr>
        <w:t> </w:t>
      </w:r>
      <w:r w:rsidRPr="00CA4523">
        <w:rPr>
          <w:lang w:val="fr-CA"/>
        </w:rPr>
        <w:t>Talpis</w:t>
      </w:r>
      <w:r w:rsidR="00693C58">
        <w:rPr>
          <w:lang w:val="fr-CA"/>
        </w:rPr>
        <w:t>,</w:t>
      </w:r>
      <w:r>
        <w:rPr>
          <w:lang w:val="fr-CA"/>
        </w:rPr>
        <w:t xml:space="preserve"> avec la collaboration de S. L. Kath</w:t>
      </w:r>
      <w:r w:rsidRPr="00CA4523">
        <w:rPr>
          <w:lang w:val="fr-CA"/>
        </w:rPr>
        <w:t xml:space="preserve">, </w:t>
      </w:r>
      <w:r w:rsidRPr="00693C58">
        <w:rPr>
          <w:i/>
          <w:lang w:val="fr-CA"/>
        </w:rPr>
        <w:t>«</w:t>
      </w:r>
      <w:r>
        <w:rPr>
          <w:lang w:val="fr-CA"/>
        </w:rPr>
        <w:t> </w:t>
      </w:r>
      <w:r w:rsidRPr="00CA4523">
        <w:rPr>
          <w:i/>
          <w:lang w:val="fr-CA"/>
        </w:rPr>
        <w:t>If I am from Grand</w:t>
      </w:r>
      <w:r>
        <w:rPr>
          <w:i/>
          <w:lang w:val="fr-CA"/>
        </w:rPr>
        <w:noBreakHyphen/>
      </w:r>
      <w:r w:rsidRPr="00CA4523">
        <w:rPr>
          <w:i/>
          <w:lang w:val="fr-CA"/>
        </w:rPr>
        <w:t>Mère, Why Am I Being Sued in Texas?</w:t>
      </w:r>
      <w:r>
        <w:rPr>
          <w:i/>
          <w:lang w:val="fr-CA"/>
        </w:rPr>
        <w:t> »</w:t>
      </w:r>
      <w:r w:rsidRPr="00CA4523">
        <w:rPr>
          <w:lang w:val="fr-CA"/>
        </w:rPr>
        <w:t xml:space="preserve"> </w:t>
      </w:r>
      <w:r w:rsidRPr="00CA4523">
        <w:rPr>
          <w:i/>
          <w:lang w:val="fr-CA"/>
        </w:rPr>
        <w:t>Responding to Inappropriate Foreign Jurisdiction in Quebec</w:t>
      </w:r>
      <w:r>
        <w:rPr>
          <w:i/>
          <w:lang w:val="fr-CA"/>
        </w:rPr>
        <w:noBreakHyphen/>
      </w:r>
      <w:r w:rsidRPr="00CA4523">
        <w:rPr>
          <w:i/>
          <w:lang w:val="fr-CA"/>
        </w:rPr>
        <w:t>United States Crossborder Litigation</w:t>
      </w:r>
      <w:r w:rsidRPr="00CA4523">
        <w:rPr>
          <w:lang w:val="fr-CA"/>
        </w:rPr>
        <w:t xml:space="preserve"> (2001), </w:t>
      </w:r>
      <w:r>
        <w:rPr>
          <w:lang w:val="fr-CA"/>
        </w:rPr>
        <w:t>p. </w:t>
      </w:r>
      <w:r w:rsidRPr="00CA4523">
        <w:rPr>
          <w:lang w:val="fr-CA"/>
        </w:rPr>
        <w:t xml:space="preserve">161; </w:t>
      </w:r>
      <w:r w:rsidRPr="00CA4523">
        <w:rPr>
          <w:i/>
          <w:lang w:val="fr-CA"/>
        </w:rPr>
        <w:t>Goldberg c. Think Glass Le verre repensé inc.</w:t>
      </w:r>
      <w:r w:rsidRPr="00CA4523">
        <w:rPr>
          <w:lang w:val="fr-CA"/>
        </w:rPr>
        <w:t xml:space="preserve">, 2016 QCCS 6456, </w:t>
      </w:r>
      <w:r>
        <w:rPr>
          <w:lang w:val="fr-CA"/>
        </w:rPr>
        <w:t>par. </w:t>
      </w:r>
      <w:r w:rsidRPr="00CA4523">
        <w:rPr>
          <w:lang w:val="fr-CA"/>
        </w:rPr>
        <w:t>23</w:t>
      </w:r>
      <w:r>
        <w:rPr>
          <w:lang w:val="fr-CA"/>
        </w:rPr>
        <w:t xml:space="preserve"> (CanLII)</w:t>
      </w:r>
      <w:r w:rsidRPr="00CA4523">
        <w:rPr>
          <w:lang w:val="fr-CA"/>
        </w:rPr>
        <w:t xml:space="preserve">; </w:t>
      </w:r>
      <w:r w:rsidRPr="00CA4523">
        <w:rPr>
          <w:i/>
          <w:lang w:val="fr-CA"/>
        </w:rPr>
        <w:t>Jules Jordan Video inc. c. 144</w:t>
      </w:r>
      <w:r>
        <w:rPr>
          <w:i/>
          <w:lang w:val="fr-CA"/>
        </w:rPr>
        <w:t>9</w:t>
      </w:r>
      <w:r w:rsidRPr="00CA4523">
        <w:rPr>
          <w:i/>
          <w:lang w:val="fr-CA"/>
        </w:rPr>
        <w:t>42 Canada inc</w:t>
      </w:r>
      <w:r w:rsidRPr="00E76E83">
        <w:rPr>
          <w:i/>
          <w:lang w:val="fr-CA"/>
        </w:rPr>
        <w:t>.</w:t>
      </w:r>
      <w:r w:rsidRPr="00E76E83">
        <w:rPr>
          <w:lang w:val="fr-CA"/>
        </w:rPr>
        <w:t xml:space="preserve">, </w:t>
      </w:r>
      <w:r w:rsidRPr="00CA4523">
        <w:rPr>
          <w:lang w:val="fr-CA"/>
        </w:rPr>
        <w:t xml:space="preserve">2014 QCCS 3343, </w:t>
      </w:r>
      <w:r>
        <w:rPr>
          <w:lang w:val="fr-CA"/>
        </w:rPr>
        <w:t>par. </w:t>
      </w:r>
      <w:r w:rsidRPr="00CA4523">
        <w:rPr>
          <w:lang w:val="fr-CA"/>
        </w:rPr>
        <w:t>51</w:t>
      </w:r>
      <w:r>
        <w:rPr>
          <w:lang w:val="fr-CA"/>
        </w:rPr>
        <w:t xml:space="preserve"> (CanLII)</w:t>
      </w:r>
      <w:r w:rsidRPr="00CA4523">
        <w:rPr>
          <w:lang w:val="fr-CA"/>
        </w:rPr>
        <w:t xml:space="preserve">). </w:t>
      </w:r>
      <w:r>
        <w:rPr>
          <w:lang w:val="fr-CA"/>
        </w:rPr>
        <w:t>En effet, s</w:t>
      </w:r>
      <w:r w:rsidRPr="00CA4523">
        <w:rPr>
          <w:lang w:val="fr-CA"/>
        </w:rPr>
        <w:t>elon la règle générale énoncée à l</w:t>
      </w:r>
      <w:r>
        <w:rPr>
          <w:lang w:val="fr-CA"/>
        </w:rPr>
        <w:t>’art. </w:t>
      </w:r>
      <w:r w:rsidRPr="00CA4523">
        <w:rPr>
          <w:lang w:val="fr-CA"/>
        </w:rPr>
        <w:t xml:space="preserve">2803 </w:t>
      </w:r>
      <w:r w:rsidRPr="00CA4523">
        <w:rPr>
          <w:i/>
          <w:lang w:val="fr-CA"/>
        </w:rPr>
        <w:t>C.c.Q.</w:t>
      </w:r>
      <w:r>
        <w:rPr>
          <w:i/>
          <w:lang w:val="fr-CA"/>
        </w:rPr>
        <w:t xml:space="preserve"> </w:t>
      </w:r>
      <w:r>
        <w:rPr>
          <w:lang w:val="fr-CA"/>
        </w:rPr>
        <w:t>qui régi</w:t>
      </w:r>
      <w:r w:rsidRPr="00CA4523">
        <w:rPr>
          <w:lang w:val="fr-CA"/>
        </w:rPr>
        <w:t xml:space="preserve">t la répartition </w:t>
      </w:r>
      <w:r>
        <w:rPr>
          <w:lang w:val="fr-CA"/>
        </w:rPr>
        <w:t>du fardeau</w:t>
      </w:r>
      <w:r w:rsidRPr="00CA4523">
        <w:rPr>
          <w:lang w:val="fr-CA"/>
        </w:rPr>
        <w:t xml:space="preserve"> de la preuve entre les parties, </w:t>
      </w:r>
      <w:r>
        <w:rPr>
          <w:lang w:val="fr-CA"/>
        </w:rPr>
        <w:t>« </w:t>
      </w:r>
      <w:r w:rsidRPr="00CA4523">
        <w:rPr>
          <w:rFonts w:eastAsia="Times New Roman" w:cs="Times New Roman"/>
          <w:szCs w:val="24"/>
          <w:lang w:val="fr-FR" w:eastAsia="fr-CA"/>
        </w:rPr>
        <w:t>celui qui veut faire valoir un droit doit prouver les fait</w:t>
      </w:r>
      <w:r>
        <w:rPr>
          <w:rFonts w:eastAsia="Times New Roman" w:cs="Times New Roman"/>
          <w:szCs w:val="24"/>
          <w:lang w:val="fr-FR" w:eastAsia="fr-CA"/>
        </w:rPr>
        <w:t>s qui soutiennent sa prétention », tandis que</w:t>
      </w:r>
      <w:r w:rsidRPr="00CA4523">
        <w:rPr>
          <w:rFonts w:eastAsia="Times New Roman" w:cs="Times New Roman"/>
          <w:szCs w:val="24"/>
          <w:lang w:val="fr-FR" w:eastAsia="fr-CA"/>
        </w:rPr>
        <w:t xml:space="preserve"> celui qui </w:t>
      </w:r>
      <w:r>
        <w:rPr>
          <w:rFonts w:eastAsia="Times New Roman" w:cs="Times New Roman"/>
          <w:szCs w:val="24"/>
          <w:lang w:val="fr-FR" w:eastAsia="fr-CA"/>
        </w:rPr>
        <w:t xml:space="preserve">soutient </w:t>
      </w:r>
      <w:r w:rsidRPr="00CA4523">
        <w:rPr>
          <w:rFonts w:eastAsia="Times New Roman" w:cs="Times New Roman"/>
          <w:szCs w:val="24"/>
          <w:lang w:val="fr-FR" w:eastAsia="fr-CA"/>
        </w:rPr>
        <w:t>qu</w:t>
      </w:r>
      <w:r>
        <w:rPr>
          <w:rFonts w:eastAsia="Times New Roman" w:cs="Times New Roman"/>
          <w:szCs w:val="24"/>
          <w:lang w:val="fr-FR" w:eastAsia="fr-CA"/>
        </w:rPr>
        <w:t>’</w:t>
      </w:r>
      <w:r w:rsidRPr="00CA4523">
        <w:rPr>
          <w:rFonts w:eastAsia="Times New Roman" w:cs="Times New Roman"/>
          <w:szCs w:val="24"/>
          <w:lang w:val="fr-FR" w:eastAsia="fr-CA"/>
        </w:rPr>
        <w:t>un droit est nul, a été modifié ou est éteint doit prouver les faits sur lesquels est fondée sa prétention. Le fardeau de prouver qu</w:t>
      </w:r>
      <w:r>
        <w:rPr>
          <w:rFonts w:eastAsia="Times New Roman" w:cs="Times New Roman"/>
          <w:szCs w:val="24"/>
          <w:lang w:val="fr-FR" w:eastAsia="fr-CA"/>
        </w:rPr>
        <w:t>’</w:t>
      </w:r>
      <w:r w:rsidRPr="00CA4523">
        <w:rPr>
          <w:lang w:val="fr-CA"/>
        </w:rPr>
        <w:t>une exception s</w:t>
      </w:r>
      <w:r>
        <w:rPr>
          <w:lang w:val="fr-CA"/>
        </w:rPr>
        <w:t>’</w:t>
      </w:r>
      <w:r w:rsidRPr="00CA4523">
        <w:rPr>
          <w:lang w:val="fr-CA"/>
        </w:rPr>
        <w:t xml:space="preserve">applique incombe donc normalement à la </w:t>
      </w:r>
      <w:r>
        <w:rPr>
          <w:lang w:val="fr-CA"/>
        </w:rPr>
        <w:t>partie</w:t>
      </w:r>
      <w:r w:rsidRPr="00CA4523">
        <w:rPr>
          <w:lang w:val="fr-CA"/>
        </w:rPr>
        <w:t xml:space="preserve"> qui ten</w:t>
      </w:r>
      <w:r>
        <w:rPr>
          <w:lang w:val="fr-CA"/>
        </w:rPr>
        <w:t>te de s’en</w:t>
      </w:r>
      <w:r w:rsidRPr="00CA4523">
        <w:rPr>
          <w:lang w:val="fr-CA"/>
        </w:rPr>
        <w:t xml:space="preserve"> prévaloir (L. Ducharme, </w:t>
      </w:r>
      <w:r w:rsidRPr="00CA4523">
        <w:rPr>
          <w:i/>
          <w:lang w:val="fr-CA"/>
        </w:rPr>
        <w:t>Précis de la preuve</w:t>
      </w:r>
      <w:r w:rsidRPr="00CA4523">
        <w:rPr>
          <w:lang w:val="fr-CA"/>
        </w:rPr>
        <w:t xml:space="preserve"> (6</w:t>
      </w:r>
      <w:r w:rsidRPr="00CA4523">
        <w:rPr>
          <w:vertAlign w:val="superscript"/>
          <w:lang w:val="fr-CA"/>
        </w:rPr>
        <w:t>e</w:t>
      </w:r>
      <w:r w:rsidRPr="00CA4523">
        <w:rPr>
          <w:lang w:val="fr-CA"/>
        </w:rPr>
        <w:t xml:space="preserve"> éd. 2005), </w:t>
      </w:r>
      <w:r>
        <w:rPr>
          <w:lang w:val="fr-CA"/>
        </w:rPr>
        <w:t>n</w:t>
      </w:r>
      <w:r w:rsidRPr="00E76E83">
        <w:rPr>
          <w:vertAlign w:val="superscript"/>
          <w:lang w:val="fr-CA"/>
        </w:rPr>
        <w:t>os</w:t>
      </w:r>
      <w:r w:rsidRPr="00CA4523">
        <w:rPr>
          <w:lang w:val="fr-CA"/>
        </w:rPr>
        <w:t xml:space="preserve"> 122</w:t>
      </w:r>
      <w:r>
        <w:rPr>
          <w:lang w:val="fr-CA"/>
        </w:rPr>
        <w:noBreakHyphen/>
        <w:t>1</w:t>
      </w:r>
      <w:r w:rsidRPr="00CA4523">
        <w:rPr>
          <w:lang w:val="fr-CA"/>
        </w:rPr>
        <w:t xml:space="preserve">23; </w:t>
      </w:r>
      <w:r w:rsidRPr="00CA4523">
        <w:rPr>
          <w:i/>
          <w:lang w:val="fr-CA"/>
        </w:rPr>
        <w:t>Abel Skiver Farm Cor</w:t>
      </w:r>
      <w:r>
        <w:rPr>
          <w:i/>
          <w:lang w:val="fr-CA"/>
        </w:rPr>
        <w:t>p. </w:t>
      </w:r>
      <w:r w:rsidRPr="00CA4523">
        <w:rPr>
          <w:i/>
          <w:lang w:val="fr-CA"/>
        </w:rPr>
        <w:t>c. Ville de Sainte</w:t>
      </w:r>
      <w:r>
        <w:rPr>
          <w:i/>
          <w:lang w:val="fr-CA"/>
        </w:rPr>
        <w:noBreakHyphen/>
      </w:r>
      <w:r w:rsidRPr="00CA4523">
        <w:rPr>
          <w:i/>
          <w:lang w:val="fr-CA"/>
        </w:rPr>
        <w:t>Foy</w:t>
      </w:r>
      <w:r>
        <w:rPr>
          <w:lang w:val="fr-CA"/>
        </w:rPr>
        <w:t>,</w:t>
      </w:r>
      <w:r w:rsidRPr="00CA4523">
        <w:rPr>
          <w:lang w:val="fr-CA"/>
        </w:rPr>
        <w:t xml:space="preserve"> [1983] 1 R.C.S.</w:t>
      </w:r>
      <w:r>
        <w:rPr>
          <w:lang w:val="fr-CA"/>
        </w:rPr>
        <w:t> </w:t>
      </w:r>
      <w:r w:rsidRPr="00CA4523">
        <w:rPr>
          <w:lang w:val="fr-CA"/>
        </w:rPr>
        <w:t xml:space="preserve">403, </w:t>
      </w:r>
      <w:r>
        <w:rPr>
          <w:lang w:val="fr-CA"/>
        </w:rPr>
        <w:t>p. </w:t>
      </w:r>
      <w:r w:rsidRPr="00CA4523">
        <w:rPr>
          <w:lang w:val="fr-CA"/>
        </w:rPr>
        <w:t xml:space="preserve">421; </w:t>
      </w:r>
      <w:r w:rsidRPr="00CA4523">
        <w:rPr>
          <w:i/>
          <w:lang w:val="fr-CA"/>
        </w:rPr>
        <w:t>Lavallée c. Imho</w:t>
      </w:r>
      <w:r w:rsidRPr="00E76E83">
        <w:rPr>
          <w:i/>
          <w:lang w:val="fr-CA"/>
        </w:rPr>
        <w:t>f</w:t>
      </w:r>
      <w:r w:rsidRPr="00E76E83">
        <w:rPr>
          <w:lang w:val="fr-CA"/>
        </w:rPr>
        <w:t>,</w:t>
      </w:r>
      <w:r w:rsidRPr="00CA4523">
        <w:rPr>
          <w:lang w:val="fr-CA"/>
        </w:rPr>
        <w:t xml:space="preserve"> 2018 QCCS 2031, </w:t>
      </w:r>
      <w:r>
        <w:rPr>
          <w:lang w:val="fr-CA"/>
        </w:rPr>
        <w:t>par. </w:t>
      </w:r>
      <w:r w:rsidRPr="00CA4523">
        <w:rPr>
          <w:lang w:val="fr-CA"/>
        </w:rPr>
        <w:t>32</w:t>
      </w:r>
      <w:r>
        <w:rPr>
          <w:lang w:val="fr-CA"/>
        </w:rPr>
        <w:t xml:space="preserve"> (CanLII)</w:t>
      </w:r>
      <w:r w:rsidRPr="00CA4523">
        <w:rPr>
          <w:lang w:val="fr-CA"/>
        </w:rPr>
        <w:t xml:space="preserve">). </w:t>
      </w:r>
    </w:p>
    <w:p w:rsidR="00AF6697" w:rsidRPr="00CA4523" w:rsidRDefault="00AF6697" w:rsidP="00AF6697">
      <w:pPr>
        <w:pStyle w:val="ParaNoNdepar-AltN"/>
        <w:tabs>
          <w:tab w:val="clear" w:pos="1166"/>
          <w:tab w:val="num" w:pos="1152"/>
        </w:tabs>
        <w:rPr>
          <w:rFonts w:cs="Times New Roman"/>
          <w:lang w:val="fr-CA"/>
        </w:rPr>
      </w:pPr>
      <w:r>
        <w:rPr>
          <w:rFonts w:cs="Times New Roman"/>
          <w:lang w:val="fr-CA"/>
        </w:rPr>
        <w:t>C</w:t>
      </w:r>
      <w:r w:rsidRPr="00CA4523">
        <w:rPr>
          <w:rFonts w:cs="Times New Roman"/>
          <w:lang w:val="fr-CA"/>
        </w:rPr>
        <w:t xml:space="preserve">ertaines dispositions législatives font </w:t>
      </w:r>
      <w:r>
        <w:rPr>
          <w:rFonts w:cs="Times New Roman"/>
          <w:lang w:val="fr-CA"/>
        </w:rPr>
        <w:t xml:space="preserve">toutefois </w:t>
      </w:r>
      <w:r w:rsidRPr="00CA4523">
        <w:rPr>
          <w:rFonts w:cs="Times New Roman"/>
          <w:lang w:val="fr-CA"/>
        </w:rPr>
        <w:t>reposer le fardeau de cette preuve sur les épaules de la personne qui cherche à faire reconnaître la décision étrangère. On en trouve un exemple à l</w:t>
      </w:r>
      <w:r>
        <w:rPr>
          <w:rFonts w:cs="Times New Roman"/>
          <w:lang w:val="fr-CA"/>
        </w:rPr>
        <w:t>’art. </w:t>
      </w:r>
      <w:r w:rsidRPr="00CA4523">
        <w:rPr>
          <w:rFonts w:cs="Times New Roman"/>
          <w:lang w:val="fr-CA"/>
        </w:rPr>
        <w:t xml:space="preserve">786 </w:t>
      </w:r>
      <w:r>
        <w:rPr>
          <w:rFonts w:cs="Times New Roman"/>
          <w:lang w:val="fr-CA"/>
        </w:rPr>
        <w:t>al. </w:t>
      </w:r>
      <w:r w:rsidRPr="00CA4523">
        <w:rPr>
          <w:rFonts w:cs="Times New Roman"/>
          <w:lang w:val="fr-CA"/>
        </w:rPr>
        <w:t>1 de l</w:t>
      </w:r>
      <w:r>
        <w:rPr>
          <w:rFonts w:cs="Times New Roman"/>
          <w:lang w:val="fr-CA"/>
        </w:rPr>
        <w:t>’</w:t>
      </w:r>
      <w:r w:rsidRPr="00CA4523">
        <w:rPr>
          <w:rFonts w:cs="Times New Roman"/>
          <w:lang w:val="fr-CA"/>
        </w:rPr>
        <w:t xml:space="preserve">ancien </w:t>
      </w:r>
      <w:r w:rsidRPr="00CA4523">
        <w:rPr>
          <w:rFonts w:cs="Times New Roman"/>
          <w:i/>
          <w:lang w:val="fr-CA"/>
        </w:rPr>
        <w:t>Code de procédure civile</w:t>
      </w:r>
      <w:r w:rsidRPr="00CA4523">
        <w:rPr>
          <w:rFonts w:cs="Times New Roman"/>
          <w:lang w:val="fr-CA"/>
        </w:rPr>
        <w:t>, RLRQ</w:t>
      </w:r>
      <w:r>
        <w:rPr>
          <w:rFonts w:cs="Times New Roman"/>
          <w:lang w:val="fr-CA"/>
        </w:rPr>
        <w:t>, c. </w:t>
      </w:r>
      <w:r w:rsidRPr="00CA4523">
        <w:rPr>
          <w:rFonts w:cs="Times New Roman"/>
          <w:lang w:val="fr-CA"/>
        </w:rPr>
        <w:t>C</w:t>
      </w:r>
      <w:r>
        <w:rPr>
          <w:rFonts w:cs="Times New Roman"/>
          <w:lang w:val="fr-CA"/>
        </w:rPr>
        <w:noBreakHyphen/>
      </w:r>
      <w:r w:rsidRPr="00CA4523">
        <w:rPr>
          <w:rFonts w:cs="Times New Roman"/>
          <w:lang w:val="fr-CA"/>
        </w:rPr>
        <w:t>25 (</w:t>
      </w:r>
      <w:r w:rsidR="00723F24">
        <w:rPr>
          <w:rFonts w:cs="Times New Roman"/>
          <w:lang w:val="fr-CA"/>
        </w:rPr>
        <w:t xml:space="preserve">« ancien </w:t>
      </w:r>
      <w:r w:rsidRPr="00CA4523">
        <w:rPr>
          <w:rFonts w:cs="Times New Roman"/>
          <w:i/>
          <w:lang w:val="fr-CA"/>
        </w:rPr>
        <w:t>C.p.c.</w:t>
      </w:r>
      <w:r>
        <w:rPr>
          <w:rFonts w:cs="Times New Roman"/>
          <w:lang w:val="fr-CA"/>
        </w:rPr>
        <w:t> »</w:t>
      </w:r>
      <w:r w:rsidRPr="00CA4523">
        <w:rPr>
          <w:rFonts w:cs="Times New Roman"/>
          <w:lang w:val="fr-CA"/>
        </w:rPr>
        <w:t>) (maintenant l</w:t>
      </w:r>
      <w:r>
        <w:rPr>
          <w:rFonts w:cs="Times New Roman"/>
          <w:lang w:val="fr-CA"/>
        </w:rPr>
        <w:t>’art. </w:t>
      </w:r>
      <w:r w:rsidRPr="00CA4523">
        <w:rPr>
          <w:rFonts w:cs="Times New Roman"/>
          <w:lang w:val="fr-CA"/>
        </w:rPr>
        <w:t xml:space="preserve">508 </w:t>
      </w:r>
      <w:r>
        <w:rPr>
          <w:rFonts w:cs="Times New Roman"/>
          <w:lang w:val="fr-CA"/>
        </w:rPr>
        <w:t>al. </w:t>
      </w:r>
      <w:r w:rsidRPr="00CA4523">
        <w:rPr>
          <w:rFonts w:cs="Times New Roman"/>
          <w:lang w:val="fr-CA"/>
        </w:rPr>
        <w:t xml:space="preserve">1 du nouveau </w:t>
      </w:r>
      <w:r w:rsidRPr="00CA4523">
        <w:rPr>
          <w:rFonts w:cs="Times New Roman"/>
          <w:i/>
          <w:lang w:val="fr-CA"/>
        </w:rPr>
        <w:t>Code de procédure civile</w:t>
      </w:r>
      <w:r w:rsidRPr="00CA4523">
        <w:rPr>
          <w:rFonts w:cs="Times New Roman"/>
          <w:lang w:val="fr-CA"/>
        </w:rPr>
        <w:t>, RLRQ, c. C</w:t>
      </w:r>
      <w:r>
        <w:rPr>
          <w:rFonts w:cs="Times New Roman"/>
          <w:lang w:val="fr-CA"/>
        </w:rPr>
        <w:noBreakHyphen/>
      </w:r>
      <w:r w:rsidRPr="00CA4523">
        <w:rPr>
          <w:rFonts w:cs="Times New Roman"/>
          <w:lang w:val="fr-CA"/>
        </w:rPr>
        <w:t>25.01 (</w:t>
      </w:r>
      <w:r w:rsidR="00723F24">
        <w:rPr>
          <w:rFonts w:cs="Times New Roman"/>
          <w:lang w:val="fr-CA"/>
        </w:rPr>
        <w:t xml:space="preserve">« nouveau </w:t>
      </w:r>
      <w:r w:rsidRPr="00CA4523">
        <w:rPr>
          <w:rFonts w:cs="Times New Roman"/>
          <w:i/>
          <w:lang w:val="fr-CA"/>
        </w:rPr>
        <w:t>C.p.c.</w:t>
      </w:r>
      <w:r>
        <w:rPr>
          <w:rFonts w:cs="Times New Roman"/>
          <w:lang w:val="fr-CA"/>
        </w:rPr>
        <w:t> »</w:t>
      </w:r>
      <w:r w:rsidRPr="00CA4523">
        <w:rPr>
          <w:rFonts w:cs="Times New Roman"/>
          <w:lang w:val="fr-CA"/>
        </w:rPr>
        <w:t xml:space="preserve">)), qui oblige celui </w:t>
      </w:r>
      <w:r w:rsidRPr="00CA4523">
        <w:rPr>
          <w:lang w:val="fr-FR"/>
        </w:rPr>
        <w:t xml:space="preserve">qui </w:t>
      </w:r>
      <w:r w:rsidRPr="00CA4523">
        <w:rPr>
          <w:lang w:val="fr-FR"/>
        </w:rPr>
        <w:lastRenderedPageBreak/>
        <w:t>demande la reconnaissance d</w:t>
      </w:r>
      <w:r>
        <w:rPr>
          <w:lang w:val="fr-FR"/>
        </w:rPr>
        <w:t>’</w:t>
      </w:r>
      <w:r w:rsidRPr="00CA4523">
        <w:rPr>
          <w:lang w:val="fr-FR"/>
        </w:rPr>
        <w:t xml:space="preserve">une décision étrangère à joindre à sa </w:t>
      </w:r>
      <w:r w:rsidRPr="004B5164">
        <w:rPr>
          <w:lang w:val="fr-FR"/>
        </w:rPr>
        <w:t>demande « l</w:t>
      </w:r>
      <w:r>
        <w:rPr>
          <w:lang w:val="fr-FR"/>
        </w:rPr>
        <w:t>’</w:t>
      </w:r>
      <w:r w:rsidRPr="004B5164">
        <w:rPr>
          <w:lang w:val="fr-FR"/>
        </w:rPr>
        <w:t>attestation d</w:t>
      </w:r>
      <w:r>
        <w:rPr>
          <w:lang w:val="fr-FR"/>
        </w:rPr>
        <w:t>’</w:t>
      </w:r>
      <w:r w:rsidRPr="004B5164">
        <w:rPr>
          <w:lang w:val="fr-FR"/>
        </w:rPr>
        <w:t>un officier public étranger compétent affirmant que la décision n</w:t>
      </w:r>
      <w:r>
        <w:rPr>
          <w:lang w:val="fr-FR"/>
        </w:rPr>
        <w:t>’</w:t>
      </w:r>
      <w:r w:rsidRPr="004B5164">
        <w:rPr>
          <w:lang w:val="fr-FR"/>
        </w:rPr>
        <w:t>est plus, dans l</w:t>
      </w:r>
      <w:r>
        <w:rPr>
          <w:lang w:val="fr-FR"/>
        </w:rPr>
        <w:t>’</w:t>
      </w:r>
      <w:r w:rsidRPr="004B5164">
        <w:rPr>
          <w:lang w:val="fr-FR"/>
        </w:rPr>
        <w:t>État où elle a été rendue, susceptible d</w:t>
      </w:r>
      <w:r>
        <w:rPr>
          <w:lang w:val="fr-FR"/>
        </w:rPr>
        <w:t>’</w:t>
      </w:r>
      <w:r w:rsidRPr="004B5164">
        <w:rPr>
          <w:lang w:val="fr-FR"/>
        </w:rPr>
        <w:t>appel ou qu</w:t>
      </w:r>
      <w:r>
        <w:rPr>
          <w:lang w:val="fr-FR"/>
        </w:rPr>
        <w:t>’</w:t>
      </w:r>
      <w:r w:rsidRPr="004B5164">
        <w:rPr>
          <w:lang w:val="fr-FR"/>
        </w:rPr>
        <w:t>elle est définitive ou exécutoire ».</w:t>
      </w:r>
      <w:r w:rsidRPr="004B5164">
        <w:rPr>
          <w:rFonts w:cs="Times New Roman"/>
          <w:lang w:val="fr-CA"/>
        </w:rPr>
        <w:t xml:space="preserve"> Il</w:t>
      </w:r>
      <w:r w:rsidRPr="00CA4523">
        <w:rPr>
          <w:rFonts w:cs="Times New Roman"/>
          <w:lang w:val="fr-CA"/>
        </w:rPr>
        <w:t xml:space="preserve"> incombe donc à celui qui demande la reconnaissance d</w:t>
      </w:r>
      <w:r>
        <w:rPr>
          <w:rFonts w:cs="Times New Roman"/>
          <w:lang w:val="fr-CA"/>
        </w:rPr>
        <w:t>’</w:t>
      </w:r>
      <w:r w:rsidRPr="00CA4523">
        <w:rPr>
          <w:rFonts w:cs="Times New Roman"/>
          <w:lang w:val="fr-CA"/>
        </w:rPr>
        <w:t xml:space="preserve">établir </w:t>
      </w:r>
      <w:r>
        <w:rPr>
          <w:rFonts w:cs="Times New Roman"/>
          <w:lang w:val="fr-CA"/>
        </w:rPr>
        <w:t>—</w:t>
      </w:r>
      <w:r w:rsidRPr="00CA4523">
        <w:rPr>
          <w:rFonts w:cs="Times New Roman"/>
          <w:lang w:val="fr-CA"/>
        </w:rPr>
        <w:t xml:space="preserve"> selon les modalités prescrites</w:t>
      </w:r>
      <w:r>
        <w:rPr>
          <w:rFonts w:cs="Times New Roman"/>
          <w:lang w:val="fr-CA"/>
        </w:rPr>
        <w:t xml:space="preserve"> —</w:t>
      </w:r>
      <w:r w:rsidRPr="00CA4523">
        <w:rPr>
          <w:rFonts w:cs="Times New Roman"/>
          <w:lang w:val="fr-CA"/>
        </w:rPr>
        <w:t xml:space="preserve"> que la décision étrangère est définitive ou exécutoire et, partant, que la deuxième exception prévue à l</w:t>
      </w:r>
      <w:r>
        <w:rPr>
          <w:rFonts w:cs="Times New Roman"/>
          <w:lang w:val="fr-CA"/>
        </w:rPr>
        <w:t>’art. </w:t>
      </w:r>
      <w:r w:rsidRPr="00CA4523">
        <w:rPr>
          <w:rFonts w:cs="Times New Roman"/>
          <w:lang w:val="fr-CA"/>
        </w:rPr>
        <w:t xml:space="preserve">3155 </w:t>
      </w:r>
      <w:r w:rsidRPr="004B5164">
        <w:rPr>
          <w:rFonts w:cs="Times New Roman"/>
          <w:i/>
          <w:lang w:val="fr-CA"/>
        </w:rPr>
        <w:t>C.c.Q.</w:t>
      </w:r>
      <w:r w:rsidRPr="00CA4523">
        <w:rPr>
          <w:rFonts w:cs="Times New Roman"/>
          <w:lang w:val="fr-CA"/>
        </w:rPr>
        <w:t xml:space="preserve"> ne s</w:t>
      </w:r>
      <w:r>
        <w:rPr>
          <w:rFonts w:cs="Times New Roman"/>
          <w:lang w:val="fr-CA"/>
        </w:rPr>
        <w:t>’</w:t>
      </w:r>
      <w:r w:rsidRPr="00CA4523">
        <w:rPr>
          <w:rFonts w:cs="Times New Roman"/>
          <w:lang w:val="fr-CA"/>
        </w:rPr>
        <w:t>applique pas. Compte tenu de l</w:t>
      </w:r>
      <w:r>
        <w:rPr>
          <w:rFonts w:cs="Times New Roman"/>
          <w:lang w:val="fr-CA"/>
        </w:rPr>
        <w:t>’art. </w:t>
      </w:r>
      <w:r w:rsidRPr="00CA4523">
        <w:rPr>
          <w:rFonts w:cs="Times New Roman"/>
          <w:lang w:val="fr-CA"/>
        </w:rPr>
        <w:t xml:space="preserve">3156 </w:t>
      </w:r>
      <w:r w:rsidRPr="00CA4523">
        <w:rPr>
          <w:rFonts w:cs="Times New Roman"/>
          <w:i/>
          <w:lang w:val="fr-CA"/>
        </w:rPr>
        <w:t>C.c.Q.</w:t>
      </w:r>
      <w:r w:rsidRPr="00CA4523">
        <w:rPr>
          <w:rFonts w:cs="Times New Roman"/>
          <w:lang w:val="fr-CA"/>
        </w:rPr>
        <w:t xml:space="preserve">, </w:t>
      </w:r>
      <w:r w:rsidR="00F33D54">
        <w:rPr>
          <w:rFonts w:cs="Times New Roman"/>
          <w:lang w:val="fr-CA"/>
        </w:rPr>
        <w:t xml:space="preserve">celui qui demande la reconnaissance doit établir que la troisième exception prévue à l’art. 3155 </w:t>
      </w:r>
      <w:r w:rsidR="00F33D54" w:rsidRPr="00F33D54">
        <w:rPr>
          <w:rFonts w:cs="Times New Roman"/>
          <w:i/>
          <w:lang w:val="fr-CA"/>
        </w:rPr>
        <w:t>C.c.Q.</w:t>
      </w:r>
      <w:r w:rsidR="00F33D54">
        <w:rPr>
          <w:rFonts w:cs="Times New Roman"/>
          <w:lang w:val="fr-CA"/>
        </w:rPr>
        <w:t xml:space="preserve"> ne s’applique pas </w:t>
      </w:r>
      <w:r w:rsidRPr="00CA4523">
        <w:rPr>
          <w:rFonts w:cs="Times New Roman"/>
          <w:lang w:val="fr-CA"/>
        </w:rPr>
        <w:t>lorsqu</w:t>
      </w:r>
      <w:r>
        <w:rPr>
          <w:rFonts w:cs="Times New Roman"/>
          <w:lang w:val="fr-CA"/>
        </w:rPr>
        <w:t>’</w:t>
      </w:r>
      <w:r w:rsidRPr="00CA4523">
        <w:rPr>
          <w:rFonts w:cs="Times New Roman"/>
          <w:lang w:val="fr-CA"/>
        </w:rPr>
        <w:t xml:space="preserve">une décision étrangère est rendue par défaut (voir </w:t>
      </w:r>
      <w:r w:rsidRPr="00CA4523">
        <w:rPr>
          <w:rFonts w:cs="Times New Roman"/>
          <w:i/>
          <w:lang w:val="fr-CA"/>
        </w:rPr>
        <w:t>Yousuf</w:t>
      </w:r>
      <w:r w:rsidRPr="00E76E83">
        <w:rPr>
          <w:rFonts w:cs="Times New Roman"/>
          <w:lang w:val="fr-CA"/>
        </w:rPr>
        <w:t xml:space="preserve">, </w:t>
      </w:r>
      <w:r>
        <w:rPr>
          <w:rFonts w:cs="Times New Roman"/>
          <w:lang w:val="fr-CA"/>
        </w:rPr>
        <w:t>par. </w:t>
      </w:r>
      <w:r w:rsidRPr="00CA4523">
        <w:rPr>
          <w:rFonts w:cs="Times New Roman"/>
          <w:lang w:val="fr-CA"/>
        </w:rPr>
        <w:t>20</w:t>
      </w:r>
      <w:r>
        <w:rPr>
          <w:rFonts w:cs="Times New Roman"/>
          <w:lang w:val="fr-CA"/>
        </w:rPr>
        <w:noBreakHyphen/>
      </w:r>
      <w:r w:rsidRPr="00CA4523">
        <w:rPr>
          <w:rFonts w:cs="Times New Roman"/>
          <w:lang w:val="fr-CA"/>
        </w:rPr>
        <w:t>23, et l</w:t>
      </w:r>
      <w:r>
        <w:rPr>
          <w:rFonts w:cs="Times New Roman"/>
          <w:lang w:val="fr-CA"/>
        </w:rPr>
        <w:t>’art. </w:t>
      </w:r>
      <w:r w:rsidRPr="00CA4523">
        <w:rPr>
          <w:rFonts w:cs="Times New Roman"/>
          <w:lang w:val="fr-CA"/>
        </w:rPr>
        <w:t>786</w:t>
      </w:r>
      <w:r>
        <w:rPr>
          <w:rFonts w:cs="Times New Roman"/>
          <w:lang w:val="fr-CA"/>
        </w:rPr>
        <w:t xml:space="preserve"> al. </w:t>
      </w:r>
      <w:r w:rsidRPr="00CA4523">
        <w:rPr>
          <w:rFonts w:cs="Times New Roman"/>
          <w:lang w:val="fr-CA"/>
        </w:rPr>
        <w:t>2</w:t>
      </w:r>
      <w:r w:rsidRPr="00CA4523">
        <w:rPr>
          <w:rFonts w:cs="Times New Roman"/>
          <w:i/>
          <w:lang w:val="fr-CA"/>
        </w:rPr>
        <w:t xml:space="preserve"> </w:t>
      </w:r>
      <w:r w:rsidR="00467E2F" w:rsidRPr="00467E2F">
        <w:rPr>
          <w:rFonts w:cs="Times New Roman"/>
          <w:lang w:val="fr-CA"/>
        </w:rPr>
        <w:t>de l’</w:t>
      </w:r>
      <w:r w:rsidR="00723F24">
        <w:rPr>
          <w:rFonts w:cs="Times New Roman"/>
          <w:lang w:val="fr-CA"/>
        </w:rPr>
        <w:t xml:space="preserve">ancien </w:t>
      </w:r>
      <w:r w:rsidRPr="00CA4523">
        <w:rPr>
          <w:rFonts w:cs="Times New Roman"/>
          <w:i/>
          <w:lang w:val="fr-CA"/>
        </w:rPr>
        <w:t>C.p.c.</w:t>
      </w:r>
      <w:r w:rsidRPr="00CA4523">
        <w:rPr>
          <w:rFonts w:cs="Times New Roman"/>
          <w:lang w:val="fr-CA"/>
        </w:rPr>
        <w:t xml:space="preserve"> (maintenant </w:t>
      </w:r>
      <w:r>
        <w:rPr>
          <w:rFonts w:cs="Times New Roman"/>
          <w:lang w:val="fr-CA"/>
        </w:rPr>
        <w:t>l’art. </w:t>
      </w:r>
      <w:r w:rsidRPr="00CA4523">
        <w:rPr>
          <w:rFonts w:cs="Times New Roman"/>
          <w:lang w:val="fr-CA"/>
        </w:rPr>
        <w:t xml:space="preserve">508 </w:t>
      </w:r>
      <w:r>
        <w:rPr>
          <w:rFonts w:cs="Times New Roman"/>
          <w:lang w:val="fr-CA"/>
        </w:rPr>
        <w:t>al. </w:t>
      </w:r>
      <w:r w:rsidRPr="00CA4523">
        <w:rPr>
          <w:rFonts w:cs="Times New Roman"/>
          <w:lang w:val="fr-CA"/>
        </w:rPr>
        <w:t xml:space="preserve">2 </w:t>
      </w:r>
      <w:r w:rsidR="00467E2F">
        <w:rPr>
          <w:rFonts w:cs="Times New Roman"/>
          <w:lang w:val="fr-CA"/>
        </w:rPr>
        <w:t xml:space="preserve">du </w:t>
      </w:r>
      <w:r w:rsidR="00723F24">
        <w:rPr>
          <w:rFonts w:cs="Times New Roman"/>
          <w:lang w:val="fr-CA"/>
        </w:rPr>
        <w:t xml:space="preserve">nouveau </w:t>
      </w:r>
      <w:r w:rsidRPr="00CA4523">
        <w:rPr>
          <w:rFonts w:cs="Times New Roman"/>
          <w:i/>
          <w:lang w:val="fr-CA"/>
        </w:rPr>
        <w:t>C.p.c.</w:t>
      </w:r>
      <w:r w:rsidRPr="00CA4523">
        <w:rPr>
          <w:rFonts w:cs="Times New Roman"/>
          <w:lang w:val="fr-CA"/>
        </w:rPr>
        <w:t>)).</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En ce qui concerne la première exception prévue à l</w:t>
      </w:r>
      <w:r>
        <w:rPr>
          <w:rFonts w:cs="Times New Roman"/>
          <w:lang w:val="fr-CA"/>
        </w:rPr>
        <w:t>’art. </w:t>
      </w:r>
      <w:r w:rsidRPr="00CA4523">
        <w:rPr>
          <w:rFonts w:cs="Times New Roman"/>
          <w:lang w:val="fr-CA"/>
        </w:rPr>
        <w:t xml:space="preserve">3155 </w:t>
      </w:r>
      <w:r w:rsidRPr="00CA4523">
        <w:rPr>
          <w:rFonts w:cs="Times New Roman"/>
          <w:i/>
          <w:lang w:val="fr-CA"/>
        </w:rPr>
        <w:t>C.c.Q.</w:t>
      </w:r>
      <w:r w:rsidRPr="00CA4523">
        <w:rPr>
          <w:rFonts w:cs="Times New Roman"/>
          <w:lang w:val="fr-CA"/>
        </w:rPr>
        <w:t xml:space="preserve">, le titre quatrième du livre dixième du </w:t>
      </w:r>
      <w:r w:rsidRPr="00CA4523">
        <w:rPr>
          <w:rFonts w:cs="Times New Roman"/>
          <w:i/>
          <w:lang w:val="fr-CA"/>
        </w:rPr>
        <w:t>Code civil</w:t>
      </w:r>
      <w:r w:rsidRPr="00CA4523">
        <w:rPr>
          <w:rFonts w:cs="Times New Roman"/>
          <w:lang w:val="fr-CA"/>
        </w:rPr>
        <w:t xml:space="preserve"> précise les circonstances dans lesquelles les tribunaux québécois reconnaissent la compétence des autorités étrangères. L</w:t>
      </w:r>
      <w:r>
        <w:rPr>
          <w:rFonts w:cs="Times New Roman"/>
          <w:lang w:val="fr-CA"/>
        </w:rPr>
        <w:t>’</w:t>
      </w:r>
      <w:r w:rsidRPr="00CA4523">
        <w:rPr>
          <w:rFonts w:cs="Times New Roman"/>
          <w:lang w:val="fr-CA"/>
        </w:rPr>
        <w:t>objectif de ces règles n</w:t>
      </w:r>
      <w:r>
        <w:rPr>
          <w:rFonts w:cs="Times New Roman"/>
          <w:lang w:val="fr-CA"/>
        </w:rPr>
        <w:t>’</w:t>
      </w:r>
      <w:r w:rsidRPr="00CA4523">
        <w:rPr>
          <w:rFonts w:cs="Times New Roman"/>
          <w:lang w:val="fr-CA"/>
        </w:rPr>
        <w:t>est pas de donner des leçons aux autorités étrangères quant aux limites de leur propre compétence, mais plutôt de déterminer s</w:t>
      </w:r>
      <w:r>
        <w:rPr>
          <w:rFonts w:cs="Times New Roman"/>
          <w:lang w:val="fr-CA"/>
        </w:rPr>
        <w:t>’</w:t>
      </w:r>
      <w:r w:rsidRPr="00CA4523">
        <w:rPr>
          <w:rFonts w:cs="Times New Roman"/>
          <w:lang w:val="fr-CA"/>
        </w:rPr>
        <w:t>il convient d</w:t>
      </w:r>
      <w:r>
        <w:rPr>
          <w:rFonts w:cs="Times New Roman"/>
          <w:lang w:val="fr-CA"/>
        </w:rPr>
        <w:t>’</w:t>
      </w:r>
      <w:r w:rsidRPr="00CA4523">
        <w:rPr>
          <w:rFonts w:cs="Times New Roman"/>
          <w:lang w:val="fr-CA"/>
        </w:rPr>
        <w:t xml:space="preserve">incorporer certaines décisions rendues hors </w:t>
      </w:r>
      <w:r>
        <w:rPr>
          <w:rFonts w:cs="Times New Roman"/>
          <w:lang w:val="fr-CA"/>
        </w:rPr>
        <w:t xml:space="preserve">du </w:t>
      </w:r>
      <w:r w:rsidRPr="00CA4523">
        <w:rPr>
          <w:rFonts w:cs="Times New Roman"/>
          <w:lang w:val="fr-CA"/>
        </w:rPr>
        <w:t>Québec dans l</w:t>
      </w:r>
      <w:r>
        <w:rPr>
          <w:rFonts w:cs="Times New Roman"/>
          <w:lang w:val="fr-CA"/>
        </w:rPr>
        <w:t>’</w:t>
      </w:r>
      <w:r w:rsidRPr="00CA4523">
        <w:rPr>
          <w:rFonts w:cs="Times New Roman"/>
          <w:lang w:val="fr-CA"/>
        </w:rPr>
        <w:t>ordre juridique interne</w:t>
      </w:r>
      <w:r>
        <w:rPr>
          <w:rFonts w:cs="Times New Roman"/>
          <w:lang w:val="fr-CA"/>
        </w:rPr>
        <w:t>. L</w:t>
      </w:r>
      <w:r w:rsidRPr="00CA4523">
        <w:rPr>
          <w:rFonts w:cs="Times New Roman"/>
          <w:lang w:val="fr-CA"/>
        </w:rPr>
        <w:t xml:space="preserve">a compétence de tribunaux étrangers </w:t>
      </w:r>
      <w:r>
        <w:rPr>
          <w:rFonts w:cs="Times New Roman"/>
          <w:lang w:val="fr-CA"/>
        </w:rPr>
        <w:t xml:space="preserve">ainsi reconnue </w:t>
      </w:r>
      <w:r w:rsidRPr="00CA4523">
        <w:rPr>
          <w:rFonts w:cs="Times New Roman"/>
          <w:lang w:val="fr-CA"/>
        </w:rPr>
        <w:t xml:space="preserve">par les tribunaux locaux en fonction des règles du droit interne est désignée par de nombreux auteurs sous le vocable « compétence internationale indirecte » </w:t>
      </w:r>
      <w:r>
        <w:rPr>
          <w:rFonts w:cs="Times New Roman"/>
          <w:lang w:val="fr-CA"/>
        </w:rPr>
        <w:t>(« </w:t>
      </w:r>
      <w:r w:rsidRPr="003154B6">
        <w:rPr>
          <w:rFonts w:cs="Times New Roman"/>
          <w:i/>
          <w:lang w:val="fr-CA"/>
        </w:rPr>
        <w:t>indirect internati</w:t>
      </w:r>
      <w:r>
        <w:rPr>
          <w:rFonts w:cs="Times New Roman"/>
          <w:i/>
          <w:lang w:val="fr-CA"/>
        </w:rPr>
        <w:t>o</w:t>
      </w:r>
      <w:r w:rsidRPr="003154B6">
        <w:rPr>
          <w:rFonts w:cs="Times New Roman"/>
          <w:i/>
          <w:lang w:val="fr-CA"/>
        </w:rPr>
        <w:t>nal jurisdiction</w:t>
      </w:r>
      <w:r>
        <w:rPr>
          <w:rFonts w:cs="Times New Roman"/>
          <w:lang w:val="fr-CA"/>
        </w:rPr>
        <w:t> ») ou</w:t>
      </w:r>
      <w:r w:rsidRPr="00CA4523">
        <w:rPr>
          <w:rFonts w:cs="Times New Roman"/>
          <w:lang w:val="fr-CA"/>
        </w:rPr>
        <w:t xml:space="preserve"> « compétence indirecte »</w:t>
      </w:r>
      <w:r>
        <w:rPr>
          <w:rFonts w:cs="Times New Roman"/>
          <w:lang w:val="fr-CA"/>
        </w:rPr>
        <w:t xml:space="preserve"> (« </w:t>
      </w:r>
      <w:r w:rsidRPr="003154B6">
        <w:rPr>
          <w:rFonts w:cs="Times New Roman"/>
          <w:i/>
          <w:lang w:val="fr-CA"/>
        </w:rPr>
        <w:t>indirect jurisdiction</w:t>
      </w:r>
      <w:r>
        <w:rPr>
          <w:rFonts w:cs="Times New Roman"/>
          <w:lang w:val="fr-CA"/>
        </w:rPr>
        <w:t xml:space="preserve"> ») </w:t>
      </w:r>
      <w:r w:rsidRPr="00CA4523">
        <w:rPr>
          <w:rFonts w:cs="Times New Roman"/>
          <w:lang w:val="fr-CA"/>
        </w:rPr>
        <w:t xml:space="preserve">(G. Goldstein, </w:t>
      </w:r>
      <w:r>
        <w:rPr>
          <w:rFonts w:cs="Times New Roman"/>
          <w:lang w:val="fr-CA"/>
        </w:rPr>
        <w:t xml:space="preserve">« Compétence internationale indirecte du tribunal étranger », dans </w:t>
      </w:r>
      <w:r w:rsidRPr="00CA4523">
        <w:rPr>
          <w:rFonts w:cs="Times New Roman"/>
          <w:i/>
          <w:lang w:val="fr-CA"/>
        </w:rPr>
        <w:t xml:space="preserve">JurisClasseur Québec — Droit international privé </w:t>
      </w:r>
      <w:r w:rsidRPr="00CA4523">
        <w:rPr>
          <w:rFonts w:cs="Times New Roman"/>
          <w:lang w:val="fr-CA"/>
        </w:rPr>
        <w:t xml:space="preserve">(feuilles mobiles), </w:t>
      </w:r>
      <w:r w:rsidR="00723F24">
        <w:rPr>
          <w:rFonts w:cs="Times New Roman"/>
          <w:lang w:val="fr-CA"/>
        </w:rPr>
        <w:t>par P.</w:t>
      </w:r>
      <w:r w:rsidR="00723F24">
        <w:rPr>
          <w:rFonts w:cs="Times New Roman"/>
          <w:lang w:val="fr-CA"/>
        </w:rPr>
        <w:noBreakHyphen/>
        <w:t>C. Lafond, dir</w:t>
      </w:r>
      <w:r>
        <w:rPr>
          <w:rFonts w:cs="Times New Roman"/>
          <w:lang w:val="fr-CA"/>
        </w:rPr>
        <w:t>., fasc. 11, par. </w:t>
      </w:r>
      <w:r w:rsidRPr="00CA4523">
        <w:rPr>
          <w:rFonts w:cs="Times New Roman"/>
          <w:lang w:val="fr-CA"/>
        </w:rPr>
        <w:t>2; H.</w:t>
      </w:r>
      <w:r>
        <w:rPr>
          <w:rFonts w:cs="Times New Roman"/>
          <w:lang w:val="fr-CA"/>
        </w:rPr>
        <w:t> P. </w:t>
      </w:r>
      <w:r w:rsidRPr="00CA4523">
        <w:rPr>
          <w:rFonts w:cs="Times New Roman"/>
          <w:lang w:val="fr-CA"/>
        </w:rPr>
        <w:t xml:space="preserve">Glenn, « Droit international privé », </w:t>
      </w:r>
      <w:r>
        <w:rPr>
          <w:rFonts w:cs="Times New Roman"/>
          <w:lang w:val="fr-CA"/>
        </w:rPr>
        <w:t>dans</w:t>
      </w:r>
      <w:r w:rsidRPr="00CA4523">
        <w:rPr>
          <w:rFonts w:cs="Times New Roman"/>
          <w:lang w:val="fr-CA"/>
        </w:rPr>
        <w:t xml:space="preserve"> </w:t>
      </w:r>
      <w:r w:rsidR="00693C58">
        <w:rPr>
          <w:rFonts w:cs="Times New Roman"/>
          <w:i/>
          <w:lang w:val="fr-CA"/>
        </w:rPr>
        <w:t>La r</w:t>
      </w:r>
      <w:r w:rsidRPr="00CA4523">
        <w:rPr>
          <w:rFonts w:cs="Times New Roman"/>
          <w:i/>
          <w:lang w:val="fr-CA"/>
        </w:rPr>
        <w:t xml:space="preserve">éforme du Code civil </w:t>
      </w:r>
      <w:r w:rsidRPr="00CA4523">
        <w:rPr>
          <w:rFonts w:cs="Times New Roman"/>
          <w:lang w:val="fr-CA"/>
        </w:rPr>
        <w:t>(1993)</w:t>
      </w:r>
      <w:r w:rsidR="0026735D">
        <w:rPr>
          <w:rFonts w:cs="Times New Roman"/>
          <w:lang w:val="fr-CA"/>
        </w:rPr>
        <w:t>,</w:t>
      </w:r>
      <w:r>
        <w:rPr>
          <w:rFonts w:cs="Times New Roman"/>
          <w:lang w:val="fr-CA"/>
        </w:rPr>
        <w:t xml:space="preserve"> </w:t>
      </w:r>
      <w:r w:rsidR="00467E2F">
        <w:rPr>
          <w:rFonts w:cs="Times New Roman"/>
          <w:lang w:val="fr-CA"/>
        </w:rPr>
        <w:t>t</w:t>
      </w:r>
      <w:r>
        <w:rPr>
          <w:rFonts w:cs="Times New Roman"/>
          <w:lang w:val="fr-CA"/>
        </w:rPr>
        <w:t>. 3</w:t>
      </w:r>
      <w:r w:rsidRPr="00CA4523">
        <w:rPr>
          <w:rFonts w:cs="Times New Roman"/>
          <w:lang w:val="fr-CA"/>
        </w:rPr>
        <w:t xml:space="preserve">, </w:t>
      </w:r>
      <w:r w:rsidR="00F33D54">
        <w:rPr>
          <w:rFonts w:cs="Times New Roman"/>
          <w:lang w:val="fr-CA"/>
        </w:rPr>
        <w:t xml:space="preserve">669, </w:t>
      </w:r>
      <w:r>
        <w:rPr>
          <w:rFonts w:cs="Times New Roman"/>
          <w:lang w:val="fr-CA"/>
        </w:rPr>
        <w:t>par. </w:t>
      </w:r>
      <w:r w:rsidRPr="00CA4523">
        <w:rPr>
          <w:rFonts w:cs="Times New Roman"/>
          <w:lang w:val="fr-CA"/>
        </w:rPr>
        <w:t xml:space="preserve">125; </w:t>
      </w:r>
      <w:r w:rsidR="00723F24">
        <w:rPr>
          <w:rFonts w:cs="Times New Roman"/>
          <w:lang w:val="fr-CA"/>
        </w:rPr>
        <w:t>J.</w:t>
      </w:r>
      <w:r w:rsidR="00844FF7">
        <w:rPr>
          <w:rFonts w:cs="Times New Roman"/>
          <w:lang w:val="fr-CA"/>
        </w:rPr>
        <w:t xml:space="preserve"> </w:t>
      </w:r>
      <w:r w:rsidR="00723F24">
        <w:rPr>
          <w:rFonts w:cs="Times New Roman"/>
          <w:lang w:val="fr-CA"/>
        </w:rPr>
        <w:t xml:space="preserve">A. </w:t>
      </w:r>
      <w:r w:rsidRPr="00CA4523">
        <w:rPr>
          <w:rFonts w:cs="Times New Roman"/>
          <w:lang w:val="fr-CA"/>
        </w:rPr>
        <w:t xml:space="preserve">Talpis </w:t>
      </w:r>
      <w:r>
        <w:rPr>
          <w:rFonts w:cs="Times New Roman"/>
          <w:lang w:val="fr-CA"/>
        </w:rPr>
        <w:t>et</w:t>
      </w:r>
      <w:r w:rsidRPr="00CA4523">
        <w:rPr>
          <w:rFonts w:cs="Times New Roman"/>
          <w:lang w:val="fr-CA"/>
        </w:rPr>
        <w:t xml:space="preserve"> </w:t>
      </w:r>
      <w:r w:rsidR="00723F24">
        <w:rPr>
          <w:rFonts w:cs="Times New Roman"/>
          <w:lang w:val="fr-CA"/>
        </w:rPr>
        <w:t xml:space="preserve">J.-G. </w:t>
      </w:r>
      <w:r w:rsidRPr="00CA4523">
        <w:rPr>
          <w:rFonts w:cs="Times New Roman"/>
          <w:lang w:val="fr-CA"/>
        </w:rPr>
        <w:t>Castel, « Interprétation des règles d</w:t>
      </w:r>
      <w:r w:rsidR="00467E2F">
        <w:rPr>
          <w:rFonts w:cs="Times New Roman"/>
          <w:lang w:val="fr-CA"/>
        </w:rPr>
        <w:t>u</w:t>
      </w:r>
      <w:r w:rsidRPr="00CA4523">
        <w:rPr>
          <w:rFonts w:cs="Times New Roman"/>
          <w:lang w:val="fr-CA"/>
        </w:rPr>
        <w:t xml:space="preserve"> droit </w:t>
      </w:r>
      <w:r w:rsidRPr="00CA4523">
        <w:rPr>
          <w:rFonts w:cs="Times New Roman"/>
          <w:lang w:val="fr-CA"/>
        </w:rPr>
        <w:lastRenderedPageBreak/>
        <w:t xml:space="preserve">international privé », </w:t>
      </w:r>
      <w:r>
        <w:rPr>
          <w:rFonts w:cs="Times New Roman"/>
          <w:lang w:val="fr-CA"/>
        </w:rPr>
        <w:t>dans</w:t>
      </w:r>
      <w:r w:rsidRPr="00CA4523">
        <w:rPr>
          <w:rFonts w:cs="Times New Roman"/>
          <w:lang w:val="fr-CA"/>
        </w:rPr>
        <w:t xml:space="preserve"> </w:t>
      </w:r>
      <w:r w:rsidRPr="00CA4523">
        <w:rPr>
          <w:rFonts w:cs="Times New Roman"/>
          <w:i/>
          <w:lang w:val="fr-CA"/>
        </w:rPr>
        <w:t>La réforme du Code civil</w:t>
      </w:r>
      <w:r w:rsidRPr="00CA4523">
        <w:rPr>
          <w:rFonts w:cs="Times New Roman"/>
          <w:lang w:val="fr-CA"/>
        </w:rPr>
        <w:t xml:space="preserve"> </w:t>
      </w:r>
      <w:r>
        <w:rPr>
          <w:rFonts w:cs="Times New Roman"/>
          <w:lang w:val="fr-CA"/>
        </w:rPr>
        <w:t>(1993)</w:t>
      </w:r>
      <w:r w:rsidR="00723F24">
        <w:rPr>
          <w:rFonts w:cs="Times New Roman"/>
          <w:lang w:val="fr-CA"/>
        </w:rPr>
        <w:t xml:space="preserve">, t. 3 </w:t>
      </w:r>
      <w:r>
        <w:rPr>
          <w:rFonts w:cs="Times New Roman"/>
          <w:lang w:val="fr-CA"/>
        </w:rPr>
        <w:t>, n</w:t>
      </w:r>
      <w:r w:rsidRPr="00192EFB">
        <w:rPr>
          <w:rFonts w:cs="Times New Roman"/>
          <w:vertAlign w:val="superscript"/>
          <w:lang w:val="fr-CA"/>
        </w:rPr>
        <w:t>o</w:t>
      </w:r>
      <w:r>
        <w:rPr>
          <w:rFonts w:cs="Times New Roman"/>
          <w:lang w:val="fr-CA"/>
        </w:rPr>
        <w:t> </w:t>
      </w:r>
      <w:r w:rsidRPr="00CA4523">
        <w:rPr>
          <w:rFonts w:cs="Times New Roman"/>
          <w:lang w:val="fr-CA"/>
        </w:rPr>
        <w:t xml:space="preserve">485; voir également </w:t>
      </w:r>
      <w:r w:rsidRPr="00CA4523">
        <w:rPr>
          <w:rFonts w:cs="Times New Roman"/>
          <w:i/>
          <w:lang w:val="fr-CA"/>
        </w:rPr>
        <w:t>Mutual Trust</w:t>
      </w:r>
      <w:r w:rsidRPr="00CA4523">
        <w:rPr>
          <w:rFonts w:cs="Times New Roman"/>
          <w:lang w:val="fr-CA"/>
        </w:rPr>
        <w:t xml:space="preserve">, </w:t>
      </w:r>
      <w:r>
        <w:rPr>
          <w:rFonts w:cs="Times New Roman"/>
          <w:lang w:val="fr-CA"/>
        </w:rPr>
        <w:t>p. 633</w:t>
      </w:r>
      <w:r w:rsidRPr="00CA4523">
        <w:rPr>
          <w:rFonts w:cs="Times New Roman"/>
          <w:lang w:val="fr-CA"/>
        </w:rPr>
        <w:t>).</w:t>
      </w:r>
    </w:p>
    <w:p w:rsidR="00AF6697" w:rsidRPr="00CA4523" w:rsidRDefault="00AF6697" w:rsidP="00AF6697">
      <w:pPr>
        <w:pStyle w:val="ParaNoNdepar-AltN"/>
        <w:tabs>
          <w:tab w:val="clear" w:pos="1166"/>
          <w:tab w:val="num" w:pos="1152"/>
        </w:tabs>
        <w:rPr>
          <w:rFonts w:cs="Times New Roman"/>
          <w:lang w:val="fr-CA"/>
        </w:rPr>
      </w:pPr>
      <w:r w:rsidRPr="00CA4523">
        <w:rPr>
          <w:rFonts w:eastAsia="Times New Roman" w:cs="Times New Roman"/>
          <w:szCs w:val="24"/>
          <w:lang w:val="fr-FR" w:eastAsia="fr-CA"/>
        </w:rPr>
        <w:t>Dans le cas des actions personnelles à caractère patrimonial</w:t>
      </w:r>
      <w:r>
        <w:rPr>
          <w:rFonts w:eastAsia="Times New Roman" w:cs="Times New Roman"/>
          <w:szCs w:val="24"/>
          <w:lang w:val="fr-FR" w:eastAsia="fr-CA"/>
        </w:rPr>
        <w:t>,</w:t>
      </w:r>
      <w:r w:rsidRPr="00CA4523">
        <w:rPr>
          <w:rFonts w:cs="Times New Roman"/>
          <w:lang w:val="fr-CA"/>
        </w:rPr>
        <w:t xml:space="preserve"> comme celle dont il s</w:t>
      </w:r>
      <w:r>
        <w:rPr>
          <w:rFonts w:cs="Times New Roman"/>
          <w:lang w:val="fr-CA"/>
        </w:rPr>
        <w:t>’</w:t>
      </w:r>
      <w:r w:rsidRPr="00CA4523">
        <w:rPr>
          <w:rFonts w:cs="Times New Roman"/>
          <w:lang w:val="fr-CA"/>
        </w:rPr>
        <w:t>agit en l</w:t>
      </w:r>
      <w:r>
        <w:rPr>
          <w:rFonts w:cs="Times New Roman"/>
          <w:lang w:val="fr-CA"/>
        </w:rPr>
        <w:t>’</w:t>
      </w:r>
      <w:r w:rsidRPr="00CA4523">
        <w:rPr>
          <w:rFonts w:cs="Times New Roman"/>
          <w:lang w:val="fr-CA"/>
        </w:rPr>
        <w:t>espèce, l</w:t>
      </w:r>
      <w:r>
        <w:rPr>
          <w:rFonts w:cs="Times New Roman"/>
          <w:lang w:val="fr-CA"/>
        </w:rPr>
        <w:t>’art. </w:t>
      </w:r>
      <w:r w:rsidRPr="00CA4523">
        <w:rPr>
          <w:rFonts w:cs="Times New Roman"/>
          <w:lang w:val="fr-CA"/>
        </w:rPr>
        <w:t xml:space="preserve">3168 </w:t>
      </w:r>
      <w:r w:rsidRPr="00CA4523">
        <w:rPr>
          <w:rFonts w:cs="Times New Roman"/>
          <w:i/>
          <w:lang w:val="fr-CA"/>
        </w:rPr>
        <w:t>C.c.Q.</w:t>
      </w:r>
      <w:r w:rsidRPr="00CA4523">
        <w:rPr>
          <w:rFonts w:cs="Times New Roman"/>
          <w:lang w:val="fr-CA"/>
        </w:rPr>
        <w:t xml:space="preserve"> énumère six situations dans lesquelles les tribunaux québécois </w:t>
      </w:r>
      <w:r>
        <w:rPr>
          <w:rFonts w:cs="Times New Roman"/>
          <w:lang w:val="fr-CA"/>
        </w:rPr>
        <w:t xml:space="preserve">doivent </w:t>
      </w:r>
      <w:r w:rsidRPr="00CA4523">
        <w:rPr>
          <w:rFonts w:cs="Times New Roman"/>
          <w:lang w:val="fr-CA"/>
        </w:rPr>
        <w:t>conclu</w:t>
      </w:r>
      <w:r>
        <w:rPr>
          <w:rFonts w:cs="Times New Roman"/>
          <w:lang w:val="fr-CA"/>
        </w:rPr>
        <w:t>r</w:t>
      </w:r>
      <w:r w:rsidRPr="00CA4523">
        <w:rPr>
          <w:rFonts w:cs="Times New Roman"/>
          <w:lang w:val="fr-CA"/>
        </w:rPr>
        <w:t xml:space="preserve">e </w:t>
      </w:r>
      <w:r>
        <w:rPr>
          <w:rFonts w:cs="Times New Roman"/>
          <w:lang w:val="fr-CA"/>
        </w:rPr>
        <w:t>à la</w:t>
      </w:r>
      <w:r w:rsidRPr="00CA4523">
        <w:rPr>
          <w:rFonts w:cs="Times New Roman"/>
          <w:lang w:val="fr-CA"/>
        </w:rPr>
        <w:t xml:space="preserve"> compétence internationale indirecte</w:t>
      </w:r>
      <w:r>
        <w:rPr>
          <w:rFonts w:cs="Times New Roman"/>
          <w:lang w:val="fr-CA"/>
        </w:rPr>
        <w:t xml:space="preserve"> d</w:t>
      </w:r>
      <w:r w:rsidRPr="00CA4523">
        <w:rPr>
          <w:rFonts w:cs="Times New Roman"/>
          <w:lang w:val="fr-CA"/>
        </w:rPr>
        <w:t>es autorités étrangères</w:t>
      </w:r>
      <w:r>
        <w:rPr>
          <w:rFonts w:cs="Times New Roman"/>
          <w:lang w:val="fr-CA"/>
        </w:rPr>
        <w:t> :</w:t>
      </w:r>
    </w:p>
    <w:p w:rsidR="00AF6697" w:rsidRPr="004B5164" w:rsidRDefault="00AF6697" w:rsidP="00AF6697">
      <w:pPr>
        <w:pStyle w:val="Citation-AltC"/>
        <w:spacing w:after="240"/>
        <w:ind w:left="1168" w:hanging="1168"/>
        <w:contextualSpacing w:val="0"/>
        <w:rPr>
          <w:szCs w:val="24"/>
          <w:lang w:val="fr-FR" w:eastAsia="fr-CA"/>
        </w:rPr>
      </w:pPr>
      <w:r>
        <w:rPr>
          <w:b/>
          <w:lang w:val="fr-CA"/>
        </w:rPr>
        <w:tab/>
      </w:r>
      <w:r w:rsidRPr="004B5164">
        <w:rPr>
          <w:b/>
          <w:lang w:val="fr-CA"/>
        </w:rPr>
        <w:t>3168.</w:t>
      </w:r>
      <w:r>
        <w:rPr>
          <w:lang w:val="fr-CA"/>
        </w:rPr>
        <w:t> </w:t>
      </w:r>
      <w:r w:rsidRPr="005B60A1">
        <w:rPr>
          <w:lang w:val="fr-CA"/>
        </w:rPr>
        <w:t>Dans</w:t>
      </w:r>
      <w:r w:rsidRPr="004B5164">
        <w:rPr>
          <w:szCs w:val="24"/>
          <w:lang w:val="fr-FR" w:eastAsia="fr-CA"/>
        </w:rPr>
        <w:t xml:space="preserve"> les actions personnelles à caractère patrimonial, la compétence des autorités étrangères n</w:t>
      </w:r>
      <w:r>
        <w:rPr>
          <w:szCs w:val="24"/>
          <w:lang w:val="fr-FR" w:eastAsia="fr-CA"/>
        </w:rPr>
        <w:t>’</w:t>
      </w:r>
      <w:r w:rsidRPr="004B5164">
        <w:rPr>
          <w:szCs w:val="24"/>
          <w:lang w:val="fr-FR" w:eastAsia="fr-CA"/>
        </w:rPr>
        <w:t>est reconnue que dans les cas suivants</w:t>
      </w:r>
      <w:r>
        <w:rPr>
          <w:szCs w:val="24"/>
          <w:lang w:val="fr-FR" w:eastAsia="fr-CA"/>
        </w:rPr>
        <w:t> :</w:t>
      </w:r>
      <w:r w:rsidRPr="004B5164">
        <w:rPr>
          <w:szCs w:val="24"/>
          <w:lang w:val="fr-FR" w:eastAsia="fr-CA"/>
        </w:rPr>
        <w:t xml:space="preserve"> </w:t>
      </w:r>
    </w:p>
    <w:p w:rsidR="00AF6697" w:rsidRPr="004B5164" w:rsidRDefault="00AF6697" w:rsidP="00AF6697">
      <w:pPr>
        <w:pStyle w:val="Citation-AltC"/>
        <w:spacing w:after="240"/>
        <w:ind w:left="1843" w:hanging="1843"/>
        <w:contextualSpacing w:val="0"/>
        <w:rPr>
          <w:szCs w:val="24"/>
          <w:lang w:val="fr-FR" w:eastAsia="fr-CA"/>
        </w:rPr>
      </w:pPr>
      <w:r>
        <w:rPr>
          <w:szCs w:val="24"/>
          <w:lang w:val="fr-FR" w:eastAsia="fr-CA"/>
        </w:rPr>
        <w:tab/>
        <w:t>1°</w:t>
      </w:r>
      <w:r>
        <w:rPr>
          <w:szCs w:val="24"/>
          <w:lang w:val="fr-FR" w:eastAsia="fr-CA"/>
        </w:rPr>
        <w:tab/>
      </w:r>
      <w:r w:rsidRPr="004B5164">
        <w:rPr>
          <w:szCs w:val="24"/>
          <w:lang w:val="fr-FR" w:eastAsia="fr-CA"/>
        </w:rPr>
        <w:t xml:space="preserve">Le </w:t>
      </w:r>
      <w:r w:rsidRPr="005B60A1">
        <w:rPr>
          <w:lang w:val="fr-CA"/>
        </w:rPr>
        <w:t>défendeur</w:t>
      </w:r>
      <w:r w:rsidRPr="004B5164">
        <w:rPr>
          <w:szCs w:val="24"/>
          <w:lang w:val="fr-FR" w:eastAsia="fr-CA"/>
        </w:rPr>
        <w:t xml:space="preserve"> était domicilié dans l</w:t>
      </w:r>
      <w:r>
        <w:rPr>
          <w:szCs w:val="24"/>
          <w:lang w:val="fr-FR" w:eastAsia="fr-CA"/>
        </w:rPr>
        <w:t>’</w:t>
      </w:r>
      <w:r w:rsidRPr="004B5164">
        <w:rPr>
          <w:szCs w:val="24"/>
          <w:lang w:val="fr-FR" w:eastAsia="fr-CA"/>
        </w:rPr>
        <w:t xml:space="preserve">État où la décision a été rendue; </w:t>
      </w:r>
    </w:p>
    <w:p w:rsidR="00AF6697" w:rsidRPr="004B5164" w:rsidRDefault="00AF6697" w:rsidP="00AF6697">
      <w:pPr>
        <w:pStyle w:val="Citation-AltC"/>
        <w:spacing w:after="240"/>
        <w:ind w:left="1843" w:hanging="1843"/>
        <w:contextualSpacing w:val="0"/>
        <w:rPr>
          <w:szCs w:val="24"/>
          <w:lang w:val="fr-FR" w:eastAsia="fr-CA"/>
        </w:rPr>
      </w:pPr>
      <w:r>
        <w:rPr>
          <w:szCs w:val="24"/>
          <w:lang w:val="fr-FR" w:eastAsia="fr-CA"/>
        </w:rPr>
        <w:tab/>
        <w:t>2°</w:t>
      </w:r>
      <w:r>
        <w:rPr>
          <w:szCs w:val="24"/>
          <w:lang w:val="fr-FR" w:eastAsia="fr-CA"/>
        </w:rPr>
        <w:tab/>
      </w:r>
      <w:r w:rsidRPr="004B5164">
        <w:rPr>
          <w:szCs w:val="24"/>
          <w:lang w:val="fr-FR" w:eastAsia="fr-CA"/>
        </w:rPr>
        <w:t xml:space="preserve">Le </w:t>
      </w:r>
      <w:r w:rsidRPr="005B60A1">
        <w:rPr>
          <w:lang w:val="fr-CA"/>
        </w:rPr>
        <w:t>défendeur</w:t>
      </w:r>
      <w:r w:rsidRPr="004B5164">
        <w:rPr>
          <w:szCs w:val="24"/>
          <w:lang w:val="fr-FR" w:eastAsia="fr-CA"/>
        </w:rPr>
        <w:t xml:space="preserve"> avait un établissement dans l</w:t>
      </w:r>
      <w:r>
        <w:rPr>
          <w:szCs w:val="24"/>
          <w:lang w:val="fr-FR" w:eastAsia="fr-CA"/>
        </w:rPr>
        <w:t>’</w:t>
      </w:r>
      <w:r w:rsidRPr="004B5164">
        <w:rPr>
          <w:szCs w:val="24"/>
          <w:lang w:val="fr-FR" w:eastAsia="fr-CA"/>
        </w:rPr>
        <w:t xml:space="preserve">État où la décision a été rendue et la contestation est relative à son activité dans cet État; </w:t>
      </w:r>
    </w:p>
    <w:p w:rsidR="00AF6697" w:rsidRPr="004B5164" w:rsidRDefault="00AF6697" w:rsidP="00AF6697">
      <w:pPr>
        <w:pStyle w:val="Citation-AltC"/>
        <w:spacing w:after="240"/>
        <w:ind w:left="1843" w:hanging="1843"/>
        <w:contextualSpacing w:val="0"/>
        <w:rPr>
          <w:szCs w:val="24"/>
          <w:lang w:val="fr-FR" w:eastAsia="fr-CA"/>
        </w:rPr>
      </w:pPr>
      <w:r>
        <w:rPr>
          <w:szCs w:val="24"/>
          <w:lang w:val="fr-FR" w:eastAsia="fr-CA"/>
        </w:rPr>
        <w:tab/>
        <w:t>3°</w:t>
      </w:r>
      <w:r>
        <w:rPr>
          <w:szCs w:val="24"/>
          <w:lang w:val="fr-FR" w:eastAsia="fr-CA"/>
        </w:rPr>
        <w:tab/>
      </w:r>
      <w:r w:rsidRPr="004B5164">
        <w:rPr>
          <w:szCs w:val="24"/>
          <w:lang w:val="fr-FR" w:eastAsia="fr-CA"/>
        </w:rPr>
        <w:t xml:space="preserve">Un </w:t>
      </w:r>
      <w:r w:rsidRPr="005B60A1">
        <w:rPr>
          <w:lang w:val="fr-CA"/>
        </w:rPr>
        <w:t>préjudice</w:t>
      </w:r>
      <w:r w:rsidRPr="004B5164">
        <w:rPr>
          <w:szCs w:val="24"/>
          <w:lang w:val="fr-FR" w:eastAsia="fr-CA"/>
        </w:rPr>
        <w:t xml:space="preserve"> a été subi dans l</w:t>
      </w:r>
      <w:r>
        <w:rPr>
          <w:szCs w:val="24"/>
          <w:lang w:val="fr-FR" w:eastAsia="fr-CA"/>
        </w:rPr>
        <w:t>’</w:t>
      </w:r>
      <w:r w:rsidRPr="004B5164">
        <w:rPr>
          <w:szCs w:val="24"/>
          <w:lang w:val="fr-FR" w:eastAsia="fr-CA"/>
        </w:rPr>
        <w:t>État où la décision a été rendue et il résulte d</w:t>
      </w:r>
      <w:r>
        <w:rPr>
          <w:szCs w:val="24"/>
          <w:lang w:val="fr-FR" w:eastAsia="fr-CA"/>
        </w:rPr>
        <w:t>’</w:t>
      </w:r>
      <w:r w:rsidRPr="004B5164">
        <w:rPr>
          <w:szCs w:val="24"/>
          <w:lang w:val="fr-FR" w:eastAsia="fr-CA"/>
        </w:rPr>
        <w:t>une faute qui y a été commise ou d</w:t>
      </w:r>
      <w:r>
        <w:rPr>
          <w:szCs w:val="24"/>
          <w:lang w:val="fr-FR" w:eastAsia="fr-CA"/>
        </w:rPr>
        <w:t>’</w:t>
      </w:r>
      <w:r w:rsidRPr="004B5164">
        <w:rPr>
          <w:szCs w:val="24"/>
          <w:lang w:val="fr-FR" w:eastAsia="fr-CA"/>
        </w:rPr>
        <w:t>un fait dommageable qui s</w:t>
      </w:r>
      <w:r>
        <w:rPr>
          <w:szCs w:val="24"/>
          <w:lang w:val="fr-FR" w:eastAsia="fr-CA"/>
        </w:rPr>
        <w:t>’</w:t>
      </w:r>
      <w:r w:rsidRPr="004B5164">
        <w:rPr>
          <w:szCs w:val="24"/>
          <w:lang w:val="fr-FR" w:eastAsia="fr-CA"/>
        </w:rPr>
        <w:t xml:space="preserve">y est produit; </w:t>
      </w:r>
    </w:p>
    <w:p w:rsidR="00AF6697" w:rsidRPr="004B5164" w:rsidRDefault="00AF6697" w:rsidP="00AF6697">
      <w:pPr>
        <w:pStyle w:val="Citation-AltC"/>
        <w:spacing w:after="240"/>
        <w:ind w:left="1843" w:hanging="1843"/>
        <w:contextualSpacing w:val="0"/>
        <w:rPr>
          <w:szCs w:val="24"/>
          <w:lang w:val="fr-FR" w:eastAsia="fr-CA"/>
        </w:rPr>
      </w:pPr>
      <w:r>
        <w:rPr>
          <w:szCs w:val="24"/>
          <w:lang w:val="fr-FR" w:eastAsia="fr-CA"/>
        </w:rPr>
        <w:tab/>
        <w:t>4°</w:t>
      </w:r>
      <w:r>
        <w:rPr>
          <w:szCs w:val="24"/>
          <w:lang w:val="fr-FR" w:eastAsia="fr-CA"/>
        </w:rPr>
        <w:tab/>
      </w:r>
      <w:r w:rsidRPr="004B5164">
        <w:rPr>
          <w:szCs w:val="24"/>
          <w:lang w:val="fr-FR" w:eastAsia="fr-CA"/>
        </w:rPr>
        <w:t xml:space="preserve">Les </w:t>
      </w:r>
      <w:r w:rsidRPr="005B60A1">
        <w:rPr>
          <w:lang w:val="fr-CA"/>
        </w:rPr>
        <w:t>obligations</w:t>
      </w:r>
      <w:r w:rsidRPr="004B5164">
        <w:rPr>
          <w:szCs w:val="24"/>
          <w:lang w:val="fr-FR" w:eastAsia="fr-CA"/>
        </w:rPr>
        <w:t xml:space="preserve"> découlant d</w:t>
      </w:r>
      <w:r>
        <w:rPr>
          <w:szCs w:val="24"/>
          <w:lang w:val="fr-FR" w:eastAsia="fr-CA"/>
        </w:rPr>
        <w:t>’</w:t>
      </w:r>
      <w:r w:rsidRPr="004B5164">
        <w:rPr>
          <w:szCs w:val="24"/>
          <w:lang w:val="fr-FR" w:eastAsia="fr-CA"/>
        </w:rPr>
        <w:t xml:space="preserve">un contrat devaient y être exécutées; </w:t>
      </w:r>
    </w:p>
    <w:p w:rsidR="00AF6697" w:rsidRPr="004B5164" w:rsidRDefault="00AF6697" w:rsidP="00AF6697">
      <w:pPr>
        <w:pStyle w:val="Citation-AltC"/>
        <w:spacing w:after="240"/>
        <w:ind w:left="1843" w:hanging="1843"/>
        <w:contextualSpacing w:val="0"/>
        <w:rPr>
          <w:szCs w:val="24"/>
          <w:lang w:val="fr-FR" w:eastAsia="fr-CA"/>
        </w:rPr>
      </w:pPr>
      <w:r>
        <w:rPr>
          <w:szCs w:val="24"/>
          <w:lang w:val="fr-FR" w:eastAsia="fr-CA"/>
        </w:rPr>
        <w:tab/>
        <w:t>5°</w:t>
      </w:r>
      <w:r>
        <w:rPr>
          <w:szCs w:val="24"/>
          <w:lang w:val="fr-FR" w:eastAsia="fr-CA"/>
        </w:rPr>
        <w:tab/>
      </w:r>
      <w:r w:rsidRPr="004B5164">
        <w:rPr>
          <w:szCs w:val="24"/>
          <w:lang w:val="fr-FR" w:eastAsia="fr-CA"/>
        </w:rPr>
        <w:t xml:space="preserve">Les </w:t>
      </w:r>
      <w:r w:rsidRPr="005B60A1">
        <w:rPr>
          <w:lang w:val="fr-CA"/>
        </w:rPr>
        <w:t>parties</w:t>
      </w:r>
      <w:r w:rsidRPr="004B5164">
        <w:rPr>
          <w:szCs w:val="24"/>
          <w:lang w:val="fr-FR" w:eastAsia="fr-CA"/>
        </w:rPr>
        <w:t xml:space="preserve"> leur ont soumis les litiges nés ou à naître entre elles à l</w:t>
      </w:r>
      <w:r>
        <w:rPr>
          <w:szCs w:val="24"/>
          <w:lang w:val="fr-FR" w:eastAsia="fr-CA"/>
        </w:rPr>
        <w:t>’</w:t>
      </w:r>
      <w:r w:rsidRPr="004B5164">
        <w:rPr>
          <w:szCs w:val="24"/>
          <w:lang w:val="fr-FR" w:eastAsia="fr-CA"/>
        </w:rPr>
        <w:t>occasion d</w:t>
      </w:r>
      <w:r>
        <w:rPr>
          <w:szCs w:val="24"/>
          <w:lang w:val="fr-FR" w:eastAsia="fr-CA"/>
        </w:rPr>
        <w:t>’</w:t>
      </w:r>
      <w:r w:rsidRPr="004B5164">
        <w:rPr>
          <w:szCs w:val="24"/>
          <w:lang w:val="fr-FR" w:eastAsia="fr-CA"/>
        </w:rPr>
        <w:t>un rapport de droit déterminé; cependant, la renonciation du consommateur ou du travailleur à la compétence de l</w:t>
      </w:r>
      <w:r>
        <w:rPr>
          <w:szCs w:val="24"/>
          <w:lang w:val="fr-FR" w:eastAsia="fr-CA"/>
        </w:rPr>
        <w:t>’</w:t>
      </w:r>
      <w:r w:rsidRPr="004B5164">
        <w:rPr>
          <w:szCs w:val="24"/>
          <w:lang w:val="fr-FR" w:eastAsia="fr-CA"/>
        </w:rPr>
        <w:t xml:space="preserve">autorité de son domicile ne peut lui être opposée; </w:t>
      </w:r>
    </w:p>
    <w:p w:rsidR="00AF6697" w:rsidRPr="00CA4523" w:rsidRDefault="00AF6697" w:rsidP="00AF6697">
      <w:pPr>
        <w:pStyle w:val="Citation-AltC"/>
        <w:ind w:left="1843" w:hanging="1843"/>
        <w:contextualSpacing w:val="0"/>
        <w:rPr>
          <w:szCs w:val="24"/>
          <w:lang w:val="fr-FR" w:eastAsia="fr-CA"/>
        </w:rPr>
      </w:pPr>
      <w:r>
        <w:rPr>
          <w:szCs w:val="24"/>
          <w:lang w:val="fr-FR" w:eastAsia="fr-CA"/>
        </w:rPr>
        <w:tab/>
        <w:t>6°</w:t>
      </w:r>
      <w:r>
        <w:rPr>
          <w:szCs w:val="24"/>
          <w:lang w:val="fr-FR" w:eastAsia="fr-CA"/>
        </w:rPr>
        <w:tab/>
      </w:r>
      <w:r w:rsidRPr="004B5164">
        <w:rPr>
          <w:szCs w:val="24"/>
          <w:lang w:val="fr-FR" w:eastAsia="fr-CA"/>
        </w:rPr>
        <w:t xml:space="preserve">Le </w:t>
      </w:r>
      <w:r w:rsidRPr="005B60A1">
        <w:rPr>
          <w:lang w:val="fr-CA"/>
        </w:rPr>
        <w:t>défendeur</w:t>
      </w:r>
      <w:r w:rsidRPr="004B5164">
        <w:rPr>
          <w:szCs w:val="24"/>
          <w:lang w:val="fr-FR" w:eastAsia="fr-CA"/>
        </w:rPr>
        <w:t xml:space="preserve"> a reconnu leur compétence.</w:t>
      </w:r>
    </w:p>
    <w:p w:rsidR="00AF6697" w:rsidRPr="008F2665" w:rsidRDefault="00AF6697" w:rsidP="00AF6697">
      <w:pPr>
        <w:pStyle w:val="ContinueParaSuitedupar-AltP"/>
        <w:rPr>
          <w:lang w:val="fr-CA"/>
        </w:rPr>
      </w:pPr>
      <w:r w:rsidRPr="008F2665">
        <w:rPr>
          <w:lang w:val="fr-CA"/>
        </w:rPr>
        <w:t>Cette énumération exhaustive, de même que l’emploi de la proposition « n’est reconnue que dans les cas suivants », indique que celui qui demande la reconnaissance doit démontrer l’existence d’un des cas énumérés à cet article pour que la compétence internationale indirecte de l’autorité étrangère puisse être reconnue.</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lastRenderedPageBreak/>
        <w:t xml:space="preserve">En raison de leur formulation respective, </w:t>
      </w:r>
      <w:r w:rsidR="002C6910">
        <w:rPr>
          <w:rFonts w:cs="Times New Roman"/>
          <w:lang w:val="fr-CA"/>
        </w:rPr>
        <w:t>le par.</w:t>
      </w:r>
      <w:r>
        <w:rPr>
          <w:rFonts w:cs="Times New Roman"/>
          <w:lang w:val="fr-CA"/>
        </w:rPr>
        <w:t> </w:t>
      </w:r>
      <w:r w:rsidRPr="00CA4523">
        <w:rPr>
          <w:rFonts w:cs="Times New Roman"/>
          <w:lang w:val="fr-CA"/>
        </w:rPr>
        <w:t>3155</w:t>
      </w:r>
      <w:r>
        <w:rPr>
          <w:rFonts w:cs="Times New Roman"/>
          <w:lang w:val="fr-CA"/>
        </w:rPr>
        <w:t>(</w:t>
      </w:r>
      <w:r w:rsidRPr="00CA4523">
        <w:rPr>
          <w:rFonts w:cs="Times New Roman"/>
          <w:lang w:val="fr-CA"/>
        </w:rPr>
        <w:t>1</w:t>
      </w:r>
      <w:r>
        <w:rPr>
          <w:rFonts w:cs="Times New Roman"/>
          <w:lang w:val="fr-CA"/>
        </w:rPr>
        <w:t>)</w:t>
      </w:r>
      <w:r w:rsidRPr="00CA4523">
        <w:rPr>
          <w:rFonts w:cs="Times New Roman"/>
          <w:lang w:val="fr-CA"/>
        </w:rPr>
        <w:t xml:space="preserve"> et</w:t>
      </w:r>
      <w:r w:rsidR="002C6910">
        <w:rPr>
          <w:rFonts w:cs="Times New Roman"/>
          <w:lang w:val="fr-CA"/>
        </w:rPr>
        <w:t xml:space="preserve"> l’art.</w:t>
      </w:r>
      <w:r w:rsidRPr="00CA4523">
        <w:rPr>
          <w:rFonts w:cs="Times New Roman"/>
          <w:lang w:val="fr-CA"/>
        </w:rPr>
        <w:t xml:space="preserve"> 3168</w:t>
      </w:r>
      <w:r>
        <w:rPr>
          <w:rFonts w:cs="Times New Roman"/>
          <w:lang w:val="fr-CA"/>
        </w:rPr>
        <w:t> </w:t>
      </w:r>
      <w:r w:rsidRPr="00CA4523">
        <w:rPr>
          <w:rFonts w:cs="Times New Roman"/>
          <w:i/>
          <w:lang w:val="fr-CA"/>
        </w:rPr>
        <w:t>C.c.Q.</w:t>
      </w:r>
      <w:r w:rsidRPr="00CA4523">
        <w:rPr>
          <w:rFonts w:cs="Times New Roman"/>
          <w:lang w:val="fr-CA"/>
        </w:rPr>
        <w:t xml:space="preserve"> peuvent sembler donner des indications contradictoires quant à la personne </w:t>
      </w:r>
      <w:r>
        <w:rPr>
          <w:rFonts w:cs="Times New Roman"/>
          <w:lang w:val="fr-CA"/>
        </w:rPr>
        <w:t>à qui il incombe</w:t>
      </w:r>
      <w:r w:rsidRPr="00CA4523">
        <w:rPr>
          <w:rFonts w:cs="Times New Roman"/>
          <w:lang w:val="fr-CA"/>
        </w:rPr>
        <w:t xml:space="preserve"> d</w:t>
      </w:r>
      <w:r>
        <w:rPr>
          <w:rFonts w:cs="Times New Roman"/>
          <w:lang w:val="fr-CA"/>
        </w:rPr>
        <w:t>’</w:t>
      </w:r>
      <w:r w:rsidRPr="00CA4523">
        <w:rPr>
          <w:rFonts w:cs="Times New Roman"/>
          <w:lang w:val="fr-CA"/>
        </w:rPr>
        <w:t>établir l</w:t>
      </w:r>
      <w:r>
        <w:rPr>
          <w:rFonts w:cs="Times New Roman"/>
          <w:lang w:val="fr-CA"/>
        </w:rPr>
        <w:t>’</w:t>
      </w:r>
      <w:r w:rsidRPr="00CA4523">
        <w:rPr>
          <w:rFonts w:cs="Times New Roman"/>
          <w:lang w:val="fr-CA"/>
        </w:rPr>
        <w:t>existence — ou l</w:t>
      </w:r>
      <w:r>
        <w:rPr>
          <w:rFonts w:cs="Times New Roman"/>
          <w:lang w:val="fr-CA"/>
        </w:rPr>
        <w:t>’</w:t>
      </w:r>
      <w:r w:rsidRPr="00CA4523">
        <w:rPr>
          <w:rFonts w:cs="Times New Roman"/>
          <w:lang w:val="fr-CA"/>
        </w:rPr>
        <w:t>inexistence</w:t>
      </w:r>
      <w:r>
        <w:rPr>
          <w:rFonts w:cs="Times New Roman"/>
          <w:lang w:val="fr-CA"/>
        </w:rPr>
        <w:t xml:space="preserve"> </w:t>
      </w:r>
      <w:r w:rsidRPr="00CA4523">
        <w:rPr>
          <w:rFonts w:cs="Times New Roman"/>
          <w:lang w:val="fr-CA"/>
        </w:rPr>
        <w:t>— d</w:t>
      </w:r>
      <w:r>
        <w:rPr>
          <w:rFonts w:cs="Times New Roman"/>
          <w:lang w:val="fr-CA"/>
        </w:rPr>
        <w:t>’un</w:t>
      </w:r>
      <w:r w:rsidRPr="00CA4523">
        <w:rPr>
          <w:rFonts w:cs="Times New Roman"/>
          <w:lang w:val="fr-CA"/>
        </w:rPr>
        <w:t xml:space="preserve"> motif permettant de reconnaître la compétence. En l</w:t>
      </w:r>
      <w:r>
        <w:rPr>
          <w:rFonts w:cs="Times New Roman"/>
          <w:lang w:val="fr-CA"/>
        </w:rPr>
        <w:t>’</w:t>
      </w:r>
      <w:r w:rsidRPr="00CA4523">
        <w:rPr>
          <w:rFonts w:cs="Times New Roman"/>
          <w:lang w:val="fr-CA"/>
        </w:rPr>
        <w:t>espèce, M.</w:t>
      </w:r>
      <w:r>
        <w:rPr>
          <w:rFonts w:cs="Times New Roman"/>
          <w:lang w:val="fr-CA"/>
        </w:rPr>
        <w:t> </w:t>
      </w:r>
      <w:r w:rsidRPr="00CA4523">
        <w:rPr>
          <w:rFonts w:cs="Times New Roman"/>
          <w:lang w:val="fr-CA"/>
        </w:rPr>
        <w:t>Barer soutient que Knight, qui demande qu</w:t>
      </w:r>
      <w:r>
        <w:rPr>
          <w:rFonts w:cs="Times New Roman"/>
          <w:lang w:val="fr-CA"/>
        </w:rPr>
        <w:t>’</w:t>
      </w:r>
      <w:r w:rsidRPr="00CA4523">
        <w:rPr>
          <w:rFonts w:cs="Times New Roman"/>
          <w:lang w:val="fr-CA"/>
        </w:rPr>
        <w:t>une décision étrangère soit reconnue au Québec, doit prouver les faits qui justifient la reconnaissance de la compétence du tribunal de l</w:t>
      </w:r>
      <w:r>
        <w:rPr>
          <w:rFonts w:cs="Times New Roman"/>
          <w:lang w:val="fr-CA"/>
        </w:rPr>
        <w:t>’</w:t>
      </w:r>
      <w:r w:rsidRPr="00CA4523">
        <w:rPr>
          <w:rFonts w:cs="Times New Roman"/>
          <w:lang w:val="fr-CA"/>
        </w:rPr>
        <w:t xml:space="preserve">Utah </w:t>
      </w:r>
      <w:r>
        <w:rPr>
          <w:rFonts w:cs="Times New Roman"/>
          <w:lang w:val="fr-CA"/>
        </w:rPr>
        <w:t xml:space="preserve">en application de </w:t>
      </w:r>
      <w:r w:rsidRPr="00CA4523">
        <w:rPr>
          <w:rFonts w:cs="Times New Roman"/>
          <w:lang w:val="fr-CA"/>
        </w:rPr>
        <w:t>l</w:t>
      </w:r>
      <w:r>
        <w:rPr>
          <w:rFonts w:cs="Times New Roman"/>
          <w:lang w:val="fr-CA"/>
        </w:rPr>
        <w:t>’art. </w:t>
      </w:r>
      <w:r w:rsidRPr="00CA4523">
        <w:rPr>
          <w:rFonts w:cs="Times New Roman"/>
          <w:lang w:val="fr-CA"/>
        </w:rPr>
        <w:t>3168 </w:t>
      </w:r>
      <w:r w:rsidRPr="00CA4523">
        <w:rPr>
          <w:rFonts w:cs="Times New Roman"/>
          <w:i/>
          <w:lang w:val="fr-CA"/>
        </w:rPr>
        <w:t>C.c.Q.</w:t>
      </w:r>
      <w:r w:rsidRPr="00CA4523">
        <w:rPr>
          <w:rFonts w:cs="Times New Roman"/>
          <w:lang w:val="fr-CA"/>
        </w:rPr>
        <w:t xml:space="preserve"> Pour sa part, Knight soutient qu</w:t>
      </w:r>
      <w:r>
        <w:rPr>
          <w:rFonts w:cs="Times New Roman"/>
          <w:lang w:val="fr-CA"/>
        </w:rPr>
        <w:t>’</w:t>
      </w:r>
      <w:r w:rsidRPr="00CA4523">
        <w:rPr>
          <w:rFonts w:cs="Times New Roman"/>
          <w:lang w:val="fr-CA"/>
        </w:rPr>
        <w:t>il incombe à M. Barer, la personne qui s</w:t>
      </w:r>
      <w:r>
        <w:rPr>
          <w:rFonts w:cs="Times New Roman"/>
          <w:lang w:val="fr-CA"/>
        </w:rPr>
        <w:t>’</w:t>
      </w:r>
      <w:r w:rsidRPr="00CA4523">
        <w:rPr>
          <w:rFonts w:cs="Times New Roman"/>
          <w:lang w:val="fr-CA"/>
        </w:rPr>
        <w:t>oppose à la reconnaissance, d</w:t>
      </w:r>
      <w:r>
        <w:rPr>
          <w:rFonts w:cs="Times New Roman"/>
          <w:lang w:val="fr-CA"/>
        </w:rPr>
        <w:t>’</w:t>
      </w:r>
      <w:r w:rsidRPr="00CA4523">
        <w:rPr>
          <w:rFonts w:cs="Times New Roman"/>
          <w:lang w:val="fr-CA"/>
        </w:rPr>
        <w:t>établir qu</w:t>
      </w:r>
      <w:r>
        <w:rPr>
          <w:rFonts w:cs="Times New Roman"/>
          <w:lang w:val="fr-CA"/>
        </w:rPr>
        <w:t>’</w:t>
      </w:r>
      <w:r w:rsidRPr="00CA4523">
        <w:rPr>
          <w:rFonts w:cs="Times New Roman"/>
          <w:lang w:val="fr-CA"/>
        </w:rPr>
        <w:t>aucun critère de compétence ne s</w:t>
      </w:r>
      <w:r>
        <w:rPr>
          <w:rFonts w:cs="Times New Roman"/>
          <w:lang w:val="fr-CA"/>
        </w:rPr>
        <w:t>’</w:t>
      </w:r>
      <w:r w:rsidRPr="00CA4523">
        <w:rPr>
          <w:rFonts w:cs="Times New Roman"/>
          <w:lang w:val="fr-CA"/>
        </w:rPr>
        <w:t>applique. Elle souligne que l</w:t>
      </w:r>
      <w:r>
        <w:rPr>
          <w:rFonts w:cs="Times New Roman"/>
          <w:lang w:val="fr-CA"/>
        </w:rPr>
        <w:t>’</w:t>
      </w:r>
      <w:r w:rsidRPr="00CA4523">
        <w:rPr>
          <w:rFonts w:cs="Times New Roman"/>
          <w:lang w:val="fr-CA"/>
        </w:rPr>
        <w:t>absence de compétence est une exception au principe général de la reconnaissance du jugement étranger.</w:t>
      </w:r>
    </w:p>
    <w:p w:rsidR="00AF6697" w:rsidRPr="00CA4523" w:rsidRDefault="00AF6697" w:rsidP="00AF6697">
      <w:pPr>
        <w:pStyle w:val="ParaNoNdepar-AltN"/>
        <w:tabs>
          <w:tab w:val="clear" w:pos="1166"/>
          <w:tab w:val="num" w:pos="1152"/>
        </w:tabs>
        <w:rPr>
          <w:rFonts w:cs="Times New Roman"/>
          <w:lang w:val="fr-CA"/>
        </w:rPr>
      </w:pPr>
      <w:r>
        <w:rPr>
          <w:rFonts w:cs="Times New Roman"/>
          <w:lang w:val="fr-CA"/>
        </w:rPr>
        <w:t>J’estime que l’approche préconisée par</w:t>
      </w:r>
      <w:r w:rsidRPr="00CA4523">
        <w:rPr>
          <w:rFonts w:cs="Times New Roman"/>
          <w:lang w:val="fr-CA"/>
        </w:rPr>
        <w:t xml:space="preserve"> M. Barer est la bonne. Toute tension entre l</w:t>
      </w:r>
      <w:r>
        <w:rPr>
          <w:rFonts w:cs="Times New Roman"/>
          <w:lang w:val="fr-CA"/>
        </w:rPr>
        <w:t>es art. </w:t>
      </w:r>
      <w:r w:rsidRPr="00CA4523">
        <w:rPr>
          <w:rFonts w:cs="Times New Roman"/>
          <w:lang w:val="fr-CA"/>
        </w:rPr>
        <w:t xml:space="preserve">3155 et 3168 </w:t>
      </w:r>
      <w:r w:rsidRPr="00CA4523">
        <w:rPr>
          <w:rFonts w:cs="Times New Roman"/>
          <w:i/>
          <w:lang w:val="fr-CA"/>
        </w:rPr>
        <w:t>C.c.Q.</w:t>
      </w:r>
      <w:r w:rsidRPr="00CA4523">
        <w:rPr>
          <w:rFonts w:cs="Times New Roman"/>
          <w:lang w:val="fr-CA"/>
        </w:rPr>
        <w:t xml:space="preserve"> disparaît lorsqu</w:t>
      </w:r>
      <w:r>
        <w:rPr>
          <w:rFonts w:cs="Times New Roman"/>
          <w:lang w:val="fr-CA"/>
        </w:rPr>
        <w:t>’</w:t>
      </w:r>
      <w:r w:rsidRPr="00CA4523">
        <w:rPr>
          <w:rFonts w:cs="Times New Roman"/>
          <w:lang w:val="fr-CA"/>
        </w:rPr>
        <w:t>on considère que la compétence de l</w:t>
      </w:r>
      <w:r>
        <w:rPr>
          <w:rFonts w:cs="Times New Roman"/>
          <w:lang w:val="fr-CA"/>
        </w:rPr>
        <w:t>’</w:t>
      </w:r>
      <w:r w:rsidRPr="00CA4523">
        <w:rPr>
          <w:rFonts w:cs="Times New Roman"/>
          <w:lang w:val="fr-CA"/>
        </w:rPr>
        <w:t xml:space="preserve">autorité étrangère est un des faits sur lesquels se fonde la prétention du demandeur. </w:t>
      </w:r>
      <w:r>
        <w:rPr>
          <w:rFonts w:cs="Times New Roman"/>
          <w:lang w:val="fr-CA"/>
        </w:rPr>
        <w:t>En effet</w:t>
      </w:r>
      <w:r w:rsidRPr="00CA4523">
        <w:rPr>
          <w:rFonts w:cs="Times New Roman"/>
          <w:lang w:val="fr-CA"/>
        </w:rPr>
        <w:t>, celui qui cherche à faire reconnaître une décision étrangère ne peut faire valoir un droit en vertu de cette décision au Québec que si l</w:t>
      </w:r>
      <w:r>
        <w:rPr>
          <w:rFonts w:cs="Times New Roman"/>
          <w:lang w:val="fr-CA"/>
        </w:rPr>
        <w:t>’</w:t>
      </w:r>
      <w:r w:rsidRPr="00CA4523">
        <w:rPr>
          <w:rFonts w:cs="Times New Roman"/>
          <w:lang w:val="fr-CA"/>
        </w:rPr>
        <w:t xml:space="preserve">autorité étrangère est compétente selon les règles du </w:t>
      </w:r>
      <w:r w:rsidRPr="00CA4523">
        <w:rPr>
          <w:rFonts w:cs="Times New Roman"/>
          <w:i/>
          <w:lang w:val="fr-CA"/>
        </w:rPr>
        <w:t>Code civil</w:t>
      </w:r>
      <w:r w:rsidRPr="00CA4523">
        <w:rPr>
          <w:rFonts w:cs="Times New Roman"/>
          <w:lang w:val="fr-CA"/>
        </w:rPr>
        <w:t xml:space="preserve">.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La meilleure façon de concevoir la compétence internationale indirecte d</w:t>
      </w:r>
      <w:r>
        <w:rPr>
          <w:rFonts w:cs="Times New Roman"/>
          <w:lang w:val="fr-CA"/>
        </w:rPr>
        <w:t>’</w:t>
      </w:r>
      <w:r w:rsidRPr="00CA4523">
        <w:rPr>
          <w:rFonts w:cs="Times New Roman"/>
          <w:lang w:val="fr-CA"/>
        </w:rPr>
        <w:t>une autorité étrangère consiste donc à l</w:t>
      </w:r>
      <w:r>
        <w:rPr>
          <w:rFonts w:cs="Times New Roman"/>
          <w:lang w:val="fr-CA"/>
        </w:rPr>
        <w:t>’</w:t>
      </w:r>
      <w:r w:rsidRPr="00CA4523">
        <w:rPr>
          <w:rFonts w:cs="Times New Roman"/>
          <w:lang w:val="fr-CA"/>
        </w:rPr>
        <w:t>envisager comme une condition préalable à la reconnaissance de sa décision. La reconnaissance de la compétence du tribunal étranger précède logiquement la conclusion que le jugement de ce tribunal est exécutoire au Québec. Ainsi que le professeur Emanuelli l</w:t>
      </w:r>
      <w:r>
        <w:rPr>
          <w:rFonts w:cs="Times New Roman"/>
          <w:lang w:val="fr-CA"/>
        </w:rPr>
        <w:t>’</w:t>
      </w:r>
      <w:r w:rsidRPr="00CA4523">
        <w:rPr>
          <w:rFonts w:cs="Times New Roman"/>
          <w:lang w:val="fr-CA"/>
        </w:rPr>
        <w:t>explique</w:t>
      </w:r>
      <w:r>
        <w:rPr>
          <w:rFonts w:cs="Times New Roman"/>
          <w:lang w:val="fr-CA"/>
        </w:rPr>
        <w:t> :</w:t>
      </w:r>
      <w:r w:rsidRPr="00CA4523">
        <w:rPr>
          <w:rFonts w:cs="Times New Roman"/>
          <w:lang w:val="fr-CA"/>
        </w:rPr>
        <w:t xml:space="preserve"> « [p]our qu</w:t>
      </w:r>
      <w:r>
        <w:rPr>
          <w:rFonts w:cs="Times New Roman"/>
          <w:lang w:val="fr-CA"/>
        </w:rPr>
        <w:t>’</w:t>
      </w:r>
      <w:r w:rsidRPr="00CA4523">
        <w:rPr>
          <w:rFonts w:cs="Times New Roman"/>
          <w:lang w:val="fr-CA"/>
        </w:rPr>
        <w:t>une décision étrangère soit reconnue au Québec et soit susceptible d</w:t>
      </w:r>
      <w:r>
        <w:rPr>
          <w:rFonts w:cs="Times New Roman"/>
          <w:lang w:val="fr-CA"/>
        </w:rPr>
        <w:t>’</w:t>
      </w:r>
      <w:r w:rsidRPr="00CA4523">
        <w:rPr>
          <w:rFonts w:cs="Times New Roman"/>
          <w:lang w:val="fr-CA"/>
        </w:rPr>
        <w:t xml:space="preserve">y être déclarée exécutoire, </w:t>
      </w:r>
      <w:r w:rsidRPr="00CA4523">
        <w:rPr>
          <w:rFonts w:cs="Times New Roman"/>
          <w:u w:val="single"/>
          <w:lang w:val="fr-CA"/>
        </w:rPr>
        <w:t>il faut en premier lieu qu</w:t>
      </w:r>
      <w:r>
        <w:rPr>
          <w:rFonts w:cs="Times New Roman"/>
          <w:u w:val="single"/>
          <w:lang w:val="fr-CA"/>
        </w:rPr>
        <w:t>’</w:t>
      </w:r>
      <w:r w:rsidRPr="00CA4523">
        <w:rPr>
          <w:rFonts w:cs="Times New Roman"/>
          <w:u w:val="single"/>
          <w:lang w:val="fr-CA"/>
        </w:rPr>
        <w:t xml:space="preserve">elle ait été rendue par une autorité compétente </w:t>
      </w:r>
      <w:r w:rsidRPr="00CA4523">
        <w:rPr>
          <w:rFonts w:cs="Times New Roman"/>
          <w:lang w:val="fr-CA"/>
        </w:rPr>
        <w:t xml:space="preserve">en </w:t>
      </w:r>
      <w:r w:rsidRPr="00CA4523">
        <w:rPr>
          <w:rFonts w:cs="Times New Roman"/>
          <w:lang w:val="fr-CA"/>
        </w:rPr>
        <w:lastRenderedPageBreak/>
        <w:t>vertu des règles québécoises relatives à la compétence internationale des autorités étrangères. C</w:t>
      </w:r>
      <w:r>
        <w:rPr>
          <w:rFonts w:cs="Times New Roman"/>
          <w:lang w:val="fr-CA"/>
        </w:rPr>
        <w:t>’</w:t>
      </w:r>
      <w:r w:rsidRPr="00CA4523">
        <w:rPr>
          <w:rFonts w:cs="Times New Roman"/>
          <w:lang w:val="fr-CA"/>
        </w:rPr>
        <w:t xml:space="preserve">est ce qui ressort </w:t>
      </w:r>
      <w:r w:rsidRPr="00CA4523">
        <w:rPr>
          <w:rFonts w:cs="Times New Roman"/>
          <w:i/>
          <w:lang w:val="fr-CA"/>
        </w:rPr>
        <w:t>a contrario</w:t>
      </w:r>
      <w:r w:rsidRPr="00CA4523">
        <w:rPr>
          <w:rFonts w:cs="Times New Roman"/>
          <w:lang w:val="fr-CA"/>
        </w:rPr>
        <w:t xml:space="preserve"> de l</w:t>
      </w:r>
      <w:r>
        <w:rPr>
          <w:rFonts w:cs="Times New Roman"/>
          <w:lang w:val="fr-CA"/>
        </w:rPr>
        <w:t>’</w:t>
      </w:r>
      <w:r w:rsidRPr="00CA4523">
        <w:rPr>
          <w:rFonts w:cs="Times New Roman"/>
          <w:lang w:val="fr-CA"/>
        </w:rPr>
        <w:t>article</w:t>
      </w:r>
      <w:r>
        <w:rPr>
          <w:rFonts w:cs="Times New Roman"/>
          <w:lang w:val="fr-CA"/>
        </w:rPr>
        <w:t> </w:t>
      </w:r>
      <w:r w:rsidRPr="00CA4523">
        <w:rPr>
          <w:rFonts w:cs="Times New Roman"/>
          <w:lang w:val="fr-CA"/>
        </w:rPr>
        <w:t xml:space="preserve">3155(1º) </w:t>
      </w:r>
      <w:r w:rsidRPr="00CA4523">
        <w:rPr>
          <w:rFonts w:cs="Times New Roman"/>
          <w:i/>
          <w:lang w:val="fr-CA"/>
        </w:rPr>
        <w:t>C.c.Q</w:t>
      </w:r>
      <w:r w:rsidRPr="00CA4523">
        <w:rPr>
          <w:rFonts w:cs="Times New Roman"/>
          <w:lang w:val="fr-CA"/>
        </w:rPr>
        <w:t>. » (C.</w:t>
      </w:r>
      <w:r>
        <w:rPr>
          <w:rFonts w:cs="Times New Roman"/>
          <w:lang w:val="fr-CA"/>
        </w:rPr>
        <w:t> </w:t>
      </w:r>
      <w:r w:rsidRPr="00CA4523">
        <w:rPr>
          <w:rFonts w:cs="Times New Roman"/>
          <w:lang w:val="fr-CA"/>
        </w:rPr>
        <w:t xml:space="preserve">Emanuelli, </w:t>
      </w:r>
      <w:r w:rsidRPr="00CA4523">
        <w:rPr>
          <w:rFonts w:cs="Times New Roman"/>
          <w:i/>
          <w:lang w:val="fr-CA"/>
        </w:rPr>
        <w:t>Droit international privé québécois</w:t>
      </w:r>
      <w:r w:rsidRPr="00CA4523">
        <w:rPr>
          <w:rFonts w:cs="Times New Roman"/>
          <w:lang w:val="fr-CA"/>
        </w:rPr>
        <w:t xml:space="preserve"> (3</w:t>
      </w:r>
      <w:r w:rsidRPr="00CA4523">
        <w:rPr>
          <w:rFonts w:cs="Times New Roman"/>
          <w:vertAlign w:val="superscript"/>
          <w:lang w:val="fr-CA"/>
        </w:rPr>
        <w:t>e</w:t>
      </w:r>
      <w:r w:rsidRPr="00CA4523">
        <w:rPr>
          <w:rFonts w:cs="Times New Roman"/>
          <w:lang w:val="fr-CA"/>
        </w:rPr>
        <w:t xml:space="preserve"> éd. 2011), </w:t>
      </w:r>
      <w:r>
        <w:rPr>
          <w:rFonts w:cs="Times New Roman"/>
          <w:lang w:val="fr-CA"/>
        </w:rPr>
        <w:t>n</w:t>
      </w:r>
      <w:r w:rsidRPr="00E76E83">
        <w:rPr>
          <w:rFonts w:cs="Times New Roman"/>
          <w:vertAlign w:val="superscript"/>
          <w:lang w:val="fr-CA"/>
        </w:rPr>
        <w:t>o</w:t>
      </w:r>
      <w:r>
        <w:rPr>
          <w:rFonts w:cs="Times New Roman"/>
          <w:lang w:val="fr-CA"/>
        </w:rPr>
        <w:t> </w:t>
      </w:r>
      <w:r w:rsidRPr="00CA4523">
        <w:rPr>
          <w:rFonts w:cs="Times New Roman"/>
          <w:lang w:val="fr-CA"/>
        </w:rPr>
        <w:t xml:space="preserve">279 </w:t>
      </w:r>
      <w:r>
        <w:rPr>
          <w:rFonts w:cs="Times New Roman"/>
          <w:lang w:val="fr-CA"/>
        </w:rPr>
        <w:t xml:space="preserve">(je souligne; note </w:t>
      </w:r>
      <w:r w:rsidR="00844FF7">
        <w:rPr>
          <w:rFonts w:cs="Times New Roman"/>
          <w:lang w:val="fr-CA"/>
        </w:rPr>
        <w:t>en</w:t>
      </w:r>
      <w:r>
        <w:rPr>
          <w:rFonts w:cs="Times New Roman"/>
          <w:lang w:val="fr-CA"/>
        </w:rPr>
        <w:t xml:space="preserve"> bas de page omise)</w:t>
      </w:r>
      <w:r w:rsidRPr="00CA4523">
        <w:rPr>
          <w:rFonts w:cs="Times New Roman"/>
          <w:lang w:val="fr-CA"/>
        </w:rPr>
        <w:t xml:space="preserve">; voir également Kélada, </w:t>
      </w:r>
      <w:r>
        <w:rPr>
          <w:rFonts w:cs="Times New Roman"/>
          <w:lang w:val="fr-CA"/>
        </w:rPr>
        <w:t>p. </w:t>
      </w:r>
      <w:r w:rsidRPr="00CA4523">
        <w:rPr>
          <w:rFonts w:cs="Times New Roman"/>
          <w:lang w:val="fr-CA"/>
        </w:rPr>
        <w:t>43). Dans l</w:t>
      </w:r>
      <w:r>
        <w:rPr>
          <w:rFonts w:cs="Times New Roman"/>
          <w:lang w:val="fr-CA"/>
        </w:rPr>
        <w:t>’</w:t>
      </w:r>
      <w:r w:rsidRPr="00CA4523">
        <w:rPr>
          <w:rFonts w:cs="Times New Roman"/>
          <w:lang w:val="fr-CA"/>
        </w:rPr>
        <w:t xml:space="preserve">arrêt </w:t>
      </w:r>
      <w:r w:rsidRPr="00CA4523">
        <w:rPr>
          <w:rFonts w:cs="Times New Roman"/>
          <w:i/>
          <w:lang w:val="fr-CA"/>
        </w:rPr>
        <w:t>Worthington Cor</w:t>
      </w:r>
      <w:r>
        <w:rPr>
          <w:rFonts w:cs="Times New Roman"/>
          <w:i/>
          <w:lang w:val="fr-CA"/>
        </w:rPr>
        <w:t>p. </w:t>
      </w:r>
      <w:r w:rsidRPr="00CA4523">
        <w:rPr>
          <w:rFonts w:cs="Times New Roman"/>
          <w:i/>
          <w:lang w:val="fr-CA"/>
        </w:rPr>
        <w:t>c. Atlas Turner inc</w:t>
      </w:r>
      <w:r w:rsidRPr="00CA4523">
        <w:rPr>
          <w:rFonts w:cs="Times New Roman"/>
          <w:lang w:val="fr-CA"/>
        </w:rPr>
        <w:t xml:space="preserve">., </w:t>
      </w:r>
      <w:r>
        <w:rPr>
          <w:rFonts w:cs="Times New Roman"/>
          <w:lang w:val="fr-CA"/>
        </w:rPr>
        <w:t>[2004] R.J.Q. 2376</w:t>
      </w:r>
      <w:r w:rsidRPr="00CA4523">
        <w:rPr>
          <w:rFonts w:cs="Times New Roman"/>
          <w:lang w:val="fr-CA"/>
        </w:rPr>
        <w:t xml:space="preserve">, la </w:t>
      </w:r>
      <w:r w:rsidRPr="00CA4523">
        <w:rPr>
          <w:rFonts w:cs="Times New Roman"/>
          <w:szCs w:val="24"/>
          <w:lang w:val="fr-CA"/>
        </w:rPr>
        <w:t>Cour d</w:t>
      </w:r>
      <w:r>
        <w:rPr>
          <w:rFonts w:cs="Times New Roman"/>
          <w:szCs w:val="24"/>
          <w:lang w:val="fr-CA"/>
        </w:rPr>
        <w:t>’</w:t>
      </w:r>
      <w:r w:rsidRPr="00CA4523">
        <w:rPr>
          <w:rFonts w:cs="Times New Roman"/>
          <w:szCs w:val="24"/>
          <w:lang w:val="fr-CA"/>
        </w:rPr>
        <w:t>appel du Québec s</w:t>
      </w:r>
      <w:r>
        <w:rPr>
          <w:rFonts w:cs="Times New Roman"/>
          <w:szCs w:val="24"/>
          <w:lang w:val="fr-CA"/>
        </w:rPr>
        <w:t>’</w:t>
      </w:r>
      <w:r w:rsidRPr="00CA4523">
        <w:rPr>
          <w:rFonts w:cs="Times New Roman"/>
          <w:szCs w:val="24"/>
          <w:lang w:val="fr-CA"/>
        </w:rPr>
        <w:t>est également dite d</w:t>
      </w:r>
      <w:r>
        <w:rPr>
          <w:rFonts w:cs="Times New Roman"/>
          <w:szCs w:val="24"/>
          <w:lang w:val="fr-CA"/>
        </w:rPr>
        <w:t>’</w:t>
      </w:r>
      <w:r w:rsidRPr="00CA4523">
        <w:rPr>
          <w:rFonts w:cs="Times New Roman"/>
          <w:szCs w:val="24"/>
          <w:lang w:val="fr-CA"/>
        </w:rPr>
        <w:t>avis que « l</w:t>
      </w:r>
      <w:r w:rsidRPr="00CA4523">
        <w:rPr>
          <w:rFonts w:cs="Times New Roman"/>
          <w:szCs w:val="24"/>
          <w:shd w:val="clear" w:color="auto" w:fill="FFFFFF"/>
          <w:lang w:val="fr-CA"/>
        </w:rPr>
        <w:t xml:space="preserve">es jugements étrangers sont reconnus au Québec </w:t>
      </w:r>
      <w:r w:rsidRPr="00CA4523">
        <w:rPr>
          <w:rFonts w:cs="Times New Roman"/>
          <w:szCs w:val="24"/>
          <w:u w:val="single"/>
          <w:shd w:val="clear" w:color="auto" w:fill="FFFFFF"/>
          <w:lang w:val="fr-CA"/>
        </w:rPr>
        <w:t>s</w:t>
      </w:r>
      <w:r>
        <w:rPr>
          <w:rFonts w:cs="Times New Roman"/>
          <w:szCs w:val="24"/>
          <w:u w:val="single"/>
          <w:shd w:val="clear" w:color="auto" w:fill="FFFFFF"/>
          <w:lang w:val="fr-CA"/>
        </w:rPr>
        <w:t>’</w:t>
      </w:r>
      <w:r w:rsidRPr="00CA4523">
        <w:rPr>
          <w:rFonts w:cs="Times New Roman"/>
          <w:szCs w:val="24"/>
          <w:u w:val="single"/>
          <w:shd w:val="clear" w:color="auto" w:fill="FFFFFF"/>
          <w:lang w:val="fr-CA"/>
        </w:rPr>
        <w:t>ils ont été rendus par un tribunal compétent</w:t>
      </w:r>
      <w:r w:rsidRPr="00CA4523">
        <w:rPr>
          <w:rFonts w:cs="Times New Roman"/>
          <w:szCs w:val="24"/>
          <w:shd w:val="clear" w:color="auto" w:fill="FFFFFF"/>
          <w:lang w:val="fr-CA"/>
        </w:rPr>
        <w:t xml:space="preserve"> suivant les dispositions du </w:t>
      </w:r>
      <w:r w:rsidRPr="00ED438F">
        <w:rPr>
          <w:rFonts w:cs="Times New Roman"/>
          <w:i/>
          <w:szCs w:val="24"/>
          <w:shd w:val="clear" w:color="auto" w:fill="FFFFFF"/>
          <w:lang w:val="fr-CA"/>
        </w:rPr>
        <w:t>Code civil</w:t>
      </w:r>
      <w:r w:rsidRPr="00CA4523">
        <w:rPr>
          <w:rFonts w:cs="Times New Roman"/>
          <w:szCs w:val="24"/>
          <w:shd w:val="clear" w:color="auto" w:fill="FFFFFF"/>
          <w:lang w:val="fr-CA"/>
        </w:rPr>
        <w:t xml:space="preserve"> en matière de droit international privé. Les articles</w:t>
      </w:r>
      <w:r>
        <w:rPr>
          <w:rFonts w:cs="Times New Roman"/>
          <w:szCs w:val="24"/>
          <w:shd w:val="clear" w:color="auto" w:fill="FFFFFF"/>
          <w:lang w:val="fr-CA"/>
        </w:rPr>
        <w:t> </w:t>
      </w:r>
      <w:r w:rsidRPr="00CA4523">
        <w:rPr>
          <w:rFonts w:cs="Times New Roman"/>
          <w:szCs w:val="24"/>
          <w:shd w:val="clear" w:color="auto" w:fill="FFFFFF"/>
          <w:lang w:val="fr-CA"/>
        </w:rPr>
        <w:t>3155 et 3164 l</w:t>
      </w:r>
      <w:r>
        <w:rPr>
          <w:rFonts w:cs="Times New Roman"/>
          <w:szCs w:val="24"/>
          <w:shd w:val="clear" w:color="auto" w:fill="FFFFFF"/>
          <w:lang w:val="fr-CA"/>
        </w:rPr>
        <w:t>’</w:t>
      </w:r>
      <w:r w:rsidRPr="00CA4523">
        <w:rPr>
          <w:rFonts w:cs="Times New Roman"/>
          <w:szCs w:val="24"/>
          <w:shd w:val="clear" w:color="auto" w:fill="FFFFFF"/>
          <w:lang w:val="fr-CA"/>
        </w:rPr>
        <w:t>affirment expressément » (</w:t>
      </w:r>
      <w:r>
        <w:rPr>
          <w:rFonts w:cs="Times New Roman"/>
          <w:szCs w:val="24"/>
          <w:shd w:val="clear" w:color="auto" w:fill="FFFFFF"/>
          <w:lang w:val="fr-CA"/>
        </w:rPr>
        <w:t>par. 16 (je souligne)</w:t>
      </w:r>
      <w:r w:rsidRPr="00CA4523">
        <w:rPr>
          <w:rFonts w:cs="Times New Roman"/>
          <w:szCs w:val="24"/>
          <w:shd w:val="clear" w:color="auto" w:fill="FFFFFF"/>
          <w:lang w:val="fr-CA"/>
        </w:rPr>
        <w:t>).</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szCs w:val="24"/>
          <w:lang w:val="fr-CA"/>
        </w:rPr>
        <w:t>L</w:t>
      </w:r>
      <w:r>
        <w:rPr>
          <w:rFonts w:cs="Times New Roman"/>
          <w:szCs w:val="24"/>
          <w:lang w:val="fr-CA"/>
        </w:rPr>
        <w:t>’</w:t>
      </w:r>
      <w:r w:rsidRPr="00CA4523">
        <w:rPr>
          <w:rFonts w:cs="Times New Roman"/>
          <w:szCs w:val="24"/>
          <w:lang w:val="fr-CA"/>
        </w:rPr>
        <w:t xml:space="preserve">historique législatif appuie </w:t>
      </w:r>
      <w:r>
        <w:rPr>
          <w:rFonts w:cs="Times New Roman"/>
          <w:szCs w:val="24"/>
          <w:lang w:val="fr-CA"/>
        </w:rPr>
        <w:t xml:space="preserve">également </w:t>
      </w:r>
      <w:r w:rsidRPr="00CA4523">
        <w:rPr>
          <w:rFonts w:cs="Times New Roman"/>
          <w:szCs w:val="24"/>
          <w:lang w:val="fr-CA"/>
        </w:rPr>
        <w:t>cette théorie. Au départ, le législateur avait envisagé la possibilité d</w:t>
      </w:r>
      <w:r>
        <w:rPr>
          <w:rFonts w:cs="Times New Roman"/>
          <w:szCs w:val="24"/>
          <w:lang w:val="fr-CA"/>
        </w:rPr>
        <w:t>’</w:t>
      </w:r>
      <w:r w:rsidRPr="00CA4523">
        <w:rPr>
          <w:rFonts w:cs="Times New Roman"/>
          <w:szCs w:val="24"/>
          <w:lang w:val="fr-CA"/>
        </w:rPr>
        <w:t xml:space="preserve">employer </w:t>
      </w:r>
      <w:r>
        <w:rPr>
          <w:rFonts w:cs="Times New Roman"/>
          <w:szCs w:val="24"/>
          <w:lang w:val="fr-CA"/>
        </w:rPr>
        <w:t xml:space="preserve">dans ce qui est maintenant l’art. 3155 </w:t>
      </w:r>
      <w:r w:rsidRPr="00CA4523">
        <w:rPr>
          <w:rFonts w:cs="Times New Roman"/>
          <w:szCs w:val="24"/>
          <w:lang w:val="fr-CA"/>
        </w:rPr>
        <w:t xml:space="preserve">des termes explicites qui auraient fait reposer </w:t>
      </w:r>
      <w:r>
        <w:rPr>
          <w:rFonts w:cs="Times New Roman"/>
          <w:szCs w:val="24"/>
          <w:lang w:val="fr-CA"/>
        </w:rPr>
        <w:t xml:space="preserve">le fardeau de la preuve </w:t>
      </w:r>
      <w:r w:rsidRPr="00CA4523">
        <w:rPr>
          <w:rFonts w:cs="Times New Roman"/>
          <w:szCs w:val="24"/>
          <w:lang w:val="fr-CA"/>
        </w:rPr>
        <w:t xml:space="preserve">sur les épaules du défendeur </w:t>
      </w:r>
      <w:r w:rsidRPr="004B5164">
        <w:rPr>
          <w:rFonts w:cs="Times New Roman"/>
          <w:szCs w:val="24"/>
          <w:lang w:val="fr-CA"/>
        </w:rPr>
        <w:t>(« à moins que le défendeur ne fasse l</w:t>
      </w:r>
      <w:r>
        <w:rPr>
          <w:rFonts w:cs="Times New Roman"/>
          <w:szCs w:val="24"/>
          <w:lang w:val="fr-CA"/>
        </w:rPr>
        <w:t>’</w:t>
      </w:r>
      <w:r w:rsidRPr="004B5164">
        <w:rPr>
          <w:rFonts w:cs="Times New Roman"/>
          <w:szCs w:val="24"/>
          <w:lang w:val="fr-CA"/>
        </w:rPr>
        <w:t>une des preuves suivantes »</w:t>
      </w:r>
      <w:r>
        <w:rPr>
          <w:rFonts w:cs="Times New Roman"/>
          <w:szCs w:val="24"/>
          <w:lang w:val="fr-CA"/>
        </w:rPr>
        <w:t>; voir l’ébauche de l’art. 3133</w:t>
      </w:r>
      <w:r w:rsidRPr="004B5164">
        <w:rPr>
          <w:rFonts w:cs="Times New Roman"/>
          <w:szCs w:val="24"/>
          <w:lang w:val="fr-CA"/>
        </w:rPr>
        <w:t xml:space="preserve">). </w:t>
      </w:r>
      <w:r>
        <w:rPr>
          <w:rFonts w:cs="Times New Roman"/>
          <w:szCs w:val="24"/>
          <w:lang w:val="fr-CA"/>
        </w:rPr>
        <w:t>Or</w:t>
      </w:r>
      <w:r w:rsidRPr="004B5164">
        <w:rPr>
          <w:rFonts w:cs="Times New Roman"/>
          <w:szCs w:val="24"/>
          <w:lang w:val="fr-CA"/>
        </w:rPr>
        <w:t>, l</w:t>
      </w:r>
      <w:r>
        <w:rPr>
          <w:rFonts w:cs="Times New Roman"/>
          <w:szCs w:val="24"/>
          <w:lang w:val="fr-CA"/>
        </w:rPr>
        <w:t>’</w:t>
      </w:r>
      <w:r w:rsidRPr="004B5164">
        <w:rPr>
          <w:rFonts w:cs="Times New Roman"/>
          <w:szCs w:val="24"/>
          <w:lang w:val="fr-CA"/>
        </w:rPr>
        <w:t>Assemblée nationale n</w:t>
      </w:r>
      <w:r>
        <w:rPr>
          <w:rFonts w:cs="Times New Roman"/>
          <w:szCs w:val="24"/>
          <w:lang w:val="fr-CA"/>
        </w:rPr>
        <w:t>’</w:t>
      </w:r>
      <w:r w:rsidRPr="004B5164">
        <w:rPr>
          <w:rFonts w:cs="Times New Roman"/>
          <w:szCs w:val="24"/>
          <w:lang w:val="fr-CA"/>
        </w:rPr>
        <w:t>a pas retenu ce libellé, le remplaçant plutôt par le texte actuel</w:t>
      </w:r>
      <w:r>
        <w:rPr>
          <w:rFonts w:cs="Times New Roman"/>
          <w:szCs w:val="24"/>
          <w:lang w:val="fr-CA"/>
        </w:rPr>
        <w:t> :</w:t>
      </w:r>
      <w:r w:rsidRPr="004B5164">
        <w:rPr>
          <w:rFonts w:cs="Times New Roman"/>
          <w:szCs w:val="24"/>
          <w:lang w:val="fr-CA"/>
        </w:rPr>
        <w:t xml:space="preserve"> « sauf dans</w:t>
      </w:r>
      <w:r w:rsidR="00844FF7">
        <w:rPr>
          <w:rFonts w:cs="Times New Roman"/>
          <w:szCs w:val="24"/>
          <w:lang w:val="fr-CA"/>
        </w:rPr>
        <w:t xml:space="preserve"> les cas suivants », afin de « </w:t>
      </w:r>
      <w:r w:rsidRPr="00CA4523">
        <w:rPr>
          <w:rFonts w:cs="Times New Roman"/>
          <w:szCs w:val="24"/>
          <w:lang w:val="fr-CA"/>
        </w:rPr>
        <w:t>permettre aux autorités du Québec de contrôler d</w:t>
      </w:r>
      <w:r>
        <w:rPr>
          <w:rFonts w:cs="Times New Roman"/>
          <w:szCs w:val="24"/>
          <w:lang w:val="fr-CA"/>
        </w:rPr>
        <w:t>’</w:t>
      </w:r>
      <w:r w:rsidRPr="00CA4523">
        <w:rPr>
          <w:rFonts w:cs="Times New Roman"/>
          <w:szCs w:val="24"/>
          <w:lang w:val="fr-CA"/>
        </w:rPr>
        <w:t xml:space="preserve">office la conformité de la décision </w:t>
      </w:r>
      <w:r w:rsidRPr="004B5164">
        <w:rPr>
          <w:rFonts w:cs="Times New Roman"/>
          <w:szCs w:val="24"/>
          <w:lang w:val="fr-CA"/>
        </w:rPr>
        <w:t>étrangère avec les conditions</w:t>
      </w:r>
      <w:r w:rsidRPr="00CA4523">
        <w:rPr>
          <w:rFonts w:cs="Times New Roman"/>
          <w:szCs w:val="24"/>
          <w:lang w:val="fr-CA"/>
        </w:rPr>
        <w:t xml:space="preserve"> énumérées à l</w:t>
      </w:r>
      <w:r>
        <w:rPr>
          <w:rFonts w:cs="Times New Roman"/>
          <w:szCs w:val="24"/>
          <w:lang w:val="fr-CA"/>
        </w:rPr>
        <w:t>’</w:t>
      </w:r>
      <w:r w:rsidR="00844FF7">
        <w:rPr>
          <w:rFonts w:cs="Times New Roman"/>
          <w:szCs w:val="24"/>
          <w:lang w:val="fr-CA"/>
        </w:rPr>
        <w:t>article</w:t>
      </w:r>
      <w:r w:rsidRPr="00CA4523">
        <w:rPr>
          <w:rFonts w:cs="Times New Roman"/>
          <w:szCs w:val="24"/>
          <w:lang w:val="fr-CA"/>
        </w:rPr>
        <w:t> » (</w:t>
      </w:r>
      <w:r>
        <w:rPr>
          <w:rFonts w:cs="Times New Roman"/>
          <w:szCs w:val="24"/>
          <w:lang w:val="fr-CA"/>
        </w:rPr>
        <w:t>Sous</w:t>
      </w:r>
      <w:r>
        <w:rPr>
          <w:rFonts w:cs="Times New Roman"/>
          <w:szCs w:val="24"/>
          <w:lang w:val="fr-CA"/>
        </w:rPr>
        <w:noBreakHyphen/>
        <w:t>commission des institutions, « Étude détaillée du projet de loi 125 — Code civil du Québec »</w:t>
      </w:r>
      <w:r w:rsidRPr="00CA4523">
        <w:rPr>
          <w:rFonts w:cs="Times New Roman"/>
          <w:szCs w:val="24"/>
          <w:lang w:val="fr-CA"/>
        </w:rPr>
        <w:t xml:space="preserve">, </w:t>
      </w:r>
      <w:r w:rsidRPr="00CA4523">
        <w:rPr>
          <w:rFonts w:cs="Times New Roman"/>
          <w:i/>
          <w:szCs w:val="24"/>
          <w:lang w:val="fr-CA"/>
        </w:rPr>
        <w:t>Journal des débats</w:t>
      </w:r>
      <w:r w:rsidRPr="00CA4523">
        <w:rPr>
          <w:rFonts w:cs="Times New Roman"/>
          <w:szCs w:val="24"/>
          <w:lang w:val="fr-CA"/>
        </w:rPr>
        <w:t xml:space="preserve">, </w:t>
      </w:r>
      <w:r>
        <w:rPr>
          <w:rFonts w:cs="Times New Roman"/>
          <w:szCs w:val="24"/>
          <w:lang w:val="fr-CA"/>
        </w:rPr>
        <w:t>vol. 31, n</w:t>
      </w:r>
      <w:r w:rsidRPr="00ED438F">
        <w:rPr>
          <w:rFonts w:cs="Times New Roman"/>
          <w:szCs w:val="24"/>
          <w:vertAlign w:val="superscript"/>
          <w:lang w:val="fr-CA"/>
        </w:rPr>
        <w:t>o</w:t>
      </w:r>
      <w:r>
        <w:rPr>
          <w:rFonts w:cs="Times New Roman"/>
          <w:szCs w:val="24"/>
          <w:lang w:val="fr-CA"/>
        </w:rPr>
        <w:t xml:space="preserve"> 28, </w:t>
      </w:r>
      <w:r w:rsidRPr="00CA4523">
        <w:rPr>
          <w:rFonts w:cs="Times New Roman"/>
          <w:szCs w:val="24"/>
          <w:lang w:val="fr-CA"/>
        </w:rPr>
        <w:t>1</w:t>
      </w:r>
      <w:r w:rsidRPr="00CA4523">
        <w:rPr>
          <w:rFonts w:cs="Times New Roman"/>
          <w:szCs w:val="24"/>
          <w:vertAlign w:val="superscript"/>
          <w:lang w:val="fr-CA"/>
        </w:rPr>
        <w:t>re</w:t>
      </w:r>
      <w:r w:rsidR="00723F24">
        <w:rPr>
          <w:rFonts w:cs="Times New Roman"/>
          <w:szCs w:val="24"/>
          <w:lang w:val="fr-CA"/>
        </w:rPr>
        <w:t> sess.</w:t>
      </w:r>
      <w:r w:rsidRPr="00CA4523">
        <w:rPr>
          <w:rFonts w:cs="Times New Roman"/>
          <w:szCs w:val="24"/>
          <w:lang w:val="fr-CA"/>
        </w:rPr>
        <w:t>, 34</w:t>
      </w:r>
      <w:r w:rsidRPr="00CA4523">
        <w:rPr>
          <w:rFonts w:cs="Times New Roman"/>
          <w:szCs w:val="24"/>
          <w:vertAlign w:val="superscript"/>
          <w:lang w:val="fr-CA"/>
        </w:rPr>
        <w:t>e</w:t>
      </w:r>
      <w:r w:rsidR="00723F24">
        <w:rPr>
          <w:rFonts w:cs="Times New Roman"/>
          <w:szCs w:val="24"/>
          <w:lang w:val="fr-CA"/>
        </w:rPr>
        <w:t xml:space="preserve"> lég.</w:t>
      </w:r>
      <w:r w:rsidRPr="00CA4523">
        <w:rPr>
          <w:rFonts w:cs="Times New Roman"/>
          <w:szCs w:val="24"/>
          <w:lang w:val="fr-CA"/>
        </w:rPr>
        <w:t xml:space="preserve">, 3 décembre 1991, </w:t>
      </w:r>
      <w:r>
        <w:rPr>
          <w:rFonts w:cs="Times New Roman"/>
          <w:szCs w:val="24"/>
          <w:lang w:val="fr-CA"/>
        </w:rPr>
        <w:t>p. </w:t>
      </w:r>
      <w:r w:rsidRPr="00CA4523">
        <w:rPr>
          <w:rFonts w:cs="Times New Roman"/>
          <w:szCs w:val="24"/>
          <w:lang w:val="fr-CA"/>
        </w:rPr>
        <w:t>1141</w:t>
      </w:r>
      <w:r>
        <w:rPr>
          <w:rFonts w:cs="Times New Roman"/>
          <w:szCs w:val="24"/>
          <w:lang w:val="fr-CA"/>
        </w:rPr>
        <w:t xml:space="preserve"> (soulignement omis)</w:t>
      </w:r>
      <w:r w:rsidRPr="00CA4523">
        <w:rPr>
          <w:rFonts w:cs="Times New Roman"/>
          <w:szCs w:val="24"/>
          <w:lang w:val="fr-CA"/>
        </w:rPr>
        <w:t>).</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En fait, lorsqu</w:t>
      </w:r>
      <w:r>
        <w:rPr>
          <w:rFonts w:cs="Times New Roman"/>
          <w:lang w:val="fr-CA"/>
        </w:rPr>
        <w:t>’</w:t>
      </w:r>
      <w:r w:rsidRPr="00CA4523">
        <w:rPr>
          <w:rFonts w:cs="Times New Roman"/>
          <w:lang w:val="fr-CA"/>
        </w:rPr>
        <w:t xml:space="preserve">il exerce le rôle qui lui incombe, </w:t>
      </w:r>
      <w:r>
        <w:rPr>
          <w:rFonts w:cs="Times New Roman"/>
          <w:lang w:val="fr-CA"/>
        </w:rPr>
        <w:t>en application de</w:t>
      </w:r>
      <w:r w:rsidRPr="00CA4523">
        <w:rPr>
          <w:rFonts w:cs="Times New Roman"/>
          <w:lang w:val="fr-CA"/>
        </w:rPr>
        <w:t xml:space="preserve"> l</w:t>
      </w:r>
      <w:r>
        <w:rPr>
          <w:rFonts w:cs="Times New Roman"/>
          <w:lang w:val="fr-CA"/>
        </w:rPr>
        <w:t>’art. </w:t>
      </w:r>
      <w:r w:rsidRPr="00CA4523">
        <w:rPr>
          <w:rFonts w:cs="Times New Roman"/>
          <w:lang w:val="fr-CA"/>
        </w:rPr>
        <w:t xml:space="preserve">3158 </w:t>
      </w:r>
      <w:r w:rsidRPr="00CA4523">
        <w:rPr>
          <w:rFonts w:cs="Times New Roman"/>
          <w:i/>
          <w:lang w:val="fr-CA"/>
        </w:rPr>
        <w:t>C.c.Q.</w:t>
      </w:r>
      <w:r w:rsidRPr="00CA4523">
        <w:rPr>
          <w:rFonts w:cs="Times New Roman"/>
          <w:lang w:val="fr-CA"/>
        </w:rPr>
        <w:t>, de « </w:t>
      </w:r>
      <w:r w:rsidRPr="004B5164">
        <w:rPr>
          <w:lang w:val="fr-FR"/>
        </w:rPr>
        <w:t>vérifier si la décision dont la reconnaissance ou l</w:t>
      </w:r>
      <w:r>
        <w:rPr>
          <w:lang w:val="fr-FR"/>
        </w:rPr>
        <w:t>’</w:t>
      </w:r>
      <w:r w:rsidRPr="004B5164">
        <w:rPr>
          <w:lang w:val="fr-FR"/>
        </w:rPr>
        <w:t>exécution est demandée remplit les conditions prévues au présent titre », le</w:t>
      </w:r>
      <w:r w:rsidRPr="00CA4523">
        <w:rPr>
          <w:lang w:val="fr-FR"/>
        </w:rPr>
        <w:t xml:space="preserve"> tribunal </w:t>
      </w:r>
      <w:r>
        <w:rPr>
          <w:lang w:val="fr-FR"/>
        </w:rPr>
        <w:t xml:space="preserve">d’exécution </w:t>
      </w:r>
      <w:r w:rsidRPr="00CA4523">
        <w:rPr>
          <w:lang w:val="fr-FR"/>
        </w:rPr>
        <w:lastRenderedPageBreak/>
        <w:t>québécois doit s</w:t>
      </w:r>
      <w:r>
        <w:rPr>
          <w:lang w:val="fr-FR"/>
        </w:rPr>
        <w:t>’</w:t>
      </w:r>
      <w:r w:rsidRPr="00CA4523">
        <w:rPr>
          <w:lang w:val="fr-FR"/>
        </w:rPr>
        <w:t xml:space="preserve">assurer que </w:t>
      </w:r>
      <w:r w:rsidRPr="00CA4523">
        <w:rPr>
          <w:rFonts w:cs="Times New Roman"/>
          <w:lang w:val="fr-CA"/>
        </w:rPr>
        <w:t>l</w:t>
      </w:r>
      <w:r>
        <w:rPr>
          <w:rFonts w:cs="Times New Roman"/>
          <w:lang w:val="fr-CA"/>
        </w:rPr>
        <w:t>’</w:t>
      </w:r>
      <w:r w:rsidRPr="00CA4523">
        <w:rPr>
          <w:rFonts w:cs="Times New Roman"/>
          <w:lang w:val="fr-CA"/>
        </w:rPr>
        <w:t xml:space="preserve">autorité étrangère avait compétence sur le sujet </w:t>
      </w:r>
      <w:r>
        <w:rPr>
          <w:rFonts w:cs="Times New Roman"/>
          <w:lang w:val="fr-CA"/>
        </w:rPr>
        <w:t xml:space="preserve">suivant </w:t>
      </w:r>
      <w:r w:rsidRPr="00CA4523">
        <w:rPr>
          <w:rFonts w:cs="Times New Roman"/>
          <w:lang w:val="fr-CA"/>
        </w:rPr>
        <w:t xml:space="preserve">les règles du </w:t>
      </w:r>
      <w:r w:rsidRPr="00CA4523">
        <w:rPr>
          <w:rFonts w:cs="Times New Roman"/>
          <w:i/>
          <w:lang w:val="fr-CA"/>
        </w:rPr>
        <w:t>Code civil</w:t>
      </w:r>
      <w:r w:rsidRPr="00CA4523">
        <w:rPr>
          <w:rFonts w:cs="Times New Roman"/>
          <w:lang w:val="fr-CA"/>
        </w:rPr>
        <w:t xml:space="preserve"> (</w:t>
      </w:r>
      <w:r w:rsidRPr="00CA4523">
        <w:rPr>
          <w:rFonts w:cs="Times New Roman"/>
          <w:i/>
          <w:lang w:val="fr-CA"/>
        </w:rPr>
        <w:t>Lépine</w:t>
      </w:r>
      <w:r w:rsidRPr="00CA4523">
        <w:rPr>
          <w:rFonts w:cs="Times New Roman"/>
          <w:lang w:val="fr-CA"/>
        </w:rPr>
        <w:t xml:space="preserve">, </w:t>
      </w:r>
      <w:r>
        <w:rPr>
          <w:rFonts w:cs="Times New Roman"/>
          <w:lang w:val="fr-CA"/>
        </w:rPr>
        <w:t>par. </w:t>
      </w:r>
      <w:r w:rsidRPr="00CA4523">
        <w:rPr>
          <w:rFonts w:cs="Times New Roman"/>
          <w:lang w:val="fr-CA"/>
        </w:rPr>
        <w:t xml:space="preserve">24; </w:t>
      </w:r>
      <w:r w:rsidRPr="00CA4523">
        <w:rPr>
          <w:rFonts w:cs="Times New Roman"/>
          <w:i/>
          <w:lang w:val="fr-CA"/>
        </w:rPr>
        <w:t>Zimmermann</w:t>
      </w:r>
      <w:r w:rsidRPr="00CA4523">
        <w:rPr>
          <w:rFonts w:cs="Times New Roman"/>
          <w:lang w:val="fr-CA"/>
        </w:rPr>
        <w:t xml:space="preserve">, </w:t>
      </w:r>
      <w:r>
        <w:rPr>
          <w:rFonts w:cs="Times New Roman"/>
          <w:lang w:val="fr-CA"/>
        </w:rPr>
        <w:t>par. </w:t>
      </w:r>
      <w:r w:rsidRPr="00CA4523">
        <w:rPr>
          <w:rFonts w:cs="Times New Roman"/>
          <w:lang w:val="fr-CA"/>
        </w:rPr>
        <w:t>13</w:t>
      </w:r>
      <w:r>
        <w:rPr>
          <w:rFonts w:cs="Times New Roman"/>
          <w:lang w:val="fr-CA"/>
        </w:rPr>
        <w:t xml:space="preserve"> (CanLII)</w:t>
      </w:r>
      <w:r w:rsidRPr="00CA4523">
        <w:rPr>
          <w:rFonts w:cs="Times New Roman"/>
          <w:lang w:val="fr-CA"/>
        </w:rPr>
        <w:t xml:space="preserve">; </w:t>
      </w:r>
      <w:r w:rsidRPr="00CA4523">
        <w:rPr>
          <w:rFonts w:cs="Times New Roman"/>
          <w:i/>
          <w:lang w:val="fr-CA"/>
        </w:rPr>
        <w:t>Iraq (State of) c. Heerema Zwijndrecht,</w:t>
      </w:r>
      <w:r w:rsidRPr="00CA4523">
        <w:rPr>
          <w:rFonts w:cs="Times New Roman"/>
          <w:lang w:val="fr-CA"/>
        </w:rPr>
        <w:t xml:space="preserve"> </w:t>
      </w:r>
      <w:r w:rsidRPr="00CA4523">
        <w:rPr>
          <w:rFonts w:cs="Times New Roman"/>
          <w:i/>
          <w:lang w:val="fr-CA"/>
        </w:rPr>
        <w:t>b.v</w:t>
      </w:r>
      <w:r w:rsidRPr="00CA4523">
        <w:rPr>
          <w:rFonts w:cs="Times New Roman"/>
          <w:lang w:val="fr-CA"/>
        </w:rPr>
        <w:t xml:space="preserve">., 2013 QCCA 1112, </w:t>
      </w:r>
      <w:r>
        <w:rPr>
          <w:rFonts w:cs="Times New Roman"/>
          <w:lang w:val="fr-CA"/>
        </w:rPr>
        <w:t>par. </w:t>
      </w:r>
      <w:r w:rsidRPr="00CA4523">
        <w:rPr>
          <w:rFonts w:cs="Times New Roman"/>
          <w:lang w:val="fr-CA"/>
        </w:rPr>
        <w:t>15</w:t>
      </w:r>
      <w:r>
        <w:rPr>
          <w:rFonts w:cs="Times New Roman"/>
          <w:lang w:val="fr-CA"/>
        </w:rPr>
        <w:t xml:space="preserve"> (CanLII)</w:t>
      </w:r>
      <w:r w:rsidRPr="00CA4523">
        <w:rPr>
          <w:rFonts w:cs="Times New Roman"/>
          <w:lang w:val="fr-CA"/>
        </w:rPr>
        <w:t xml:space="preserve">; </w:t>
      </w:r>
      <w:r w:rsidRPr="00CA4523">
        <w:rPr>
          <w:rFonts w:cs="Times New Roman"/>
          <w:i/>
          <w:lang w:val="fr-CA"/>
        </w:rPr>
        <w:t>Hocking c. Haziza</w:t>
      </w:r>
      <w:r w:rsidRPr="00CA4523">
        <w:rPr>
          <w:rFonts w:cs="Times New Roman"/>
          <w:lang w:val="fr-CA"/>
        </w:rPr>
        <w:t>, 2008 QCCA</w:t>
      </w:r>
      <w:r>
        <w:rPr>
          <w:rFonts w:cs="Times New Roman"/>
          <w:lang w:val="fr-CA"/>
        </w:rPr>
        <w:t> </w:t>
      </w:r>
      <w:r w:rsidRPr="00CA4523">
        <w:rPr>
          <w:rFonts w:cs="Times New Roman"/>
          <w:lang w:val="fr-CA"/>
        </w:rPr>
        <w:t>800</w:t>
      </w:r>
      <w:r w:rsidRPr="00ED438F">
        <w:rPr>
          <w:rFonts w:cs="Times New Roman"/>
          <w:lang w:val="fr-CA"/>
        </w:rPr>
        <w:t xml:space="preserve">, </w:t>
      </w:r>
      <w:r>
        <w:rPr>
          <w:rFonts w:cs="Times New Roman"/>
          <w:lang w:val="fr-CA"/>
        </w:rPr>
        <w:t>par. </w:t>
      </w:r>
      <w:r w:rsidRPr="00CA4523">
        <w:rPr>
          <w:rFonts w:cs="Times New Roman"/>
          <w:lang w:val="fr-CA"/>
        </w:rPr>
        <w:t>39</w:t>
      </w:r>
      <w:r>
        <w:rPr>
          <w:rFonts w:cs="Times New Roman"/>
          <w:lang w:val="fr-CA"/>
        </w:rPr>
        <w:t xml:space="preserve"> (CanLII)</w:t>
      </w:r>
      <w:r w:rsidRPr="00CA4523">
        <w:rPr>
          <w:rFonts w:cs="Times New Roman"/>
          <w:lang w:val="fr-CA"/>
        </w:rPr>
        <w:t xml:space="preserve">). Voilà une autre </w:t>
      </w:r>
      <w:r w:rsidRPr="00CA4523">
        <w:rPr>
          <w:rFonts w:cs="Times New Roman"/>
          <w:szCs w:val="24"/>
          <w:lang w:val="fr-CA"/>
        </w:rPr>
        <w:t>indication qu</w:t>
      </w:r>
      <w:r>
        <w:rPr>
          <w:rFonts w:cs="Times New Roman"/>
          <w:szCs w:val="24"/>
          <w:lang w:val="fr-CA"/>
        </w:rPr>
        <w:t>’</w:t>
      </w:r>
      <w:r w:rsidRPr="00CA4523">
        <w:rPr>
          <w:rFonts w:cs="Times New Roman"/>
          <w:szCs w:val="24"/>
          <w:lang w:val="fr-CA"/>
        </w:rPr>
        <w:t xml:space="preserve">il faut conclure à la compétence avant de pouvoir tirer une conclusion sur la </w:t>
      </w:r>
      <w:r>
        <w:rPr>
          <w:rFonts w:cs="Times New Roman"/>
          <w:szCs w:val="24"/>
          <w:lang w:val="fr-CA"/>
        </w:rPr>
        <w:t>reconnaissance</w:t>
      </w:r>
      <w:r w:rsidRPr="00CA4523">
        <w:rPr>
          <w:rFonts w:cs="Times New Roman"/>
          <w:szCs w:val="24"/>
          <w:lang w:val="fr-CA"/>
        </w:rPr>
        <w:t xml:space="preserve">. À ce propos, le tribunal du </w:t>
      </w:r>
      <w:r w:rsidRPr="00CA4523">
        <w:rPr>
          <w:rFonts w:cs="Times New Roman"/>
          <w:lang w:val="fr-CA"/>
        </w:rPr>
        <w:t xml:space="preserve">Québec doit </w:t>
      </w:r>
      <w:r>
        <w:rPr>
          <w:rFonts w:cs="Times New Roman"/>
          <w:lang w:val="fr-CA"/>
        </w:rPr>
        <w:t>s’assurer de</w:t>
      </w:r>
      <w:r w:rsidRPr="00CA4523">
        <w:rPr>
          <w:rFonts w:cs="Times New Roman"/>
          <w:lang w:val="fr-CA"/>
        </w:rPr>
        <w:t xml:space="preserve"> la compétence</w:t>
      </w:r>
      <w:r>
        <w:rPr>
          <w:rFonts w:cs="Times New Roman"/>
          <w:lang w:val="fr-CA"/>
        </w:rPr>
        <w:t xml:space="preserve"> du tribunal étranger</w:t>
      </w:r>
      <w:r w:rsidRPr="00CA4523">
        <w:rPr>
          <w:rFonts w:cs="Times New Roman"/>
          <w:lang w:val="fr-CA"/>
        </w:rPr>
        <w:t xml:space="preserve">; il ne peut </w:t>
      </w:r>
      <w:r>
        <w:rPr>
          <w:rFonts w:cs="Times New Roman"/>
          <w:lang w:val="fr-CA"/>
        </w:rPr>
        <w:t xml:space="preserve">pas </w:t>
      </w:r>
      <w:r w:rsidRPr="00CA4523">
        <w:rPr>
          <w:rFonts w:cs="Times New Roman"/>
          <w:lang w:val="fr-CA"/>
        </w:rPr>
        <w:t xml:space="preserve">se contenter de </w:t>
      </w:r>
      <w:r>
        <w:rPr>
          <w:rFonts w:cs="Times New Roman"/>
          <w:lang w:val="fr-CA"/>
        </w:rPr>
        <w:t>juger</w:t>
      </w:r>
      <w:r w:rsidRPr="00CA4523">
        <w:rPr>
          <w:rFonts w:cs="Times New Roman"/>
          <w:lang w:val="fr-CA"/>
        </w:rPr>
        <w:t xml:space="preserve"> si la personne qui s</w:t>
      </w:r>
      <w:r>
        <w:rPr>
          <w:rFonts w:cs="Times New Roman"/>
          <w:lang w:val="fr-CA"/>
        </w:rPr>
        <w:t>’</w:t>
      </w:r>
      <w:r w:rsidRPr="00CA4523">
        <w:rPr>
          <w:rFonts w:cs="Times New Roman"/>
          <w:lang w:val="fr-CA"/>
        </w:rPr>
        <w:t xml:space="preserve">oppose à la reconnaissance a démontré de façon satisfaisante le défaut de compétence. Il ne peut </w:t>
      </w:r>
      <w:r>
        <w:rPr>
          <w:rFonts w:cs="Times New Roman"/>
          <w:lang w:val="fr-CA"/>
        </w:rPr>
        <w:t xml:space="preserve">pas </w:t>
      </w:r>
      <w:r w:rsidRPr="00CA4523">
        <w:rPr>
          <w:rFonts w:cs="Times New Roman"/>
          <w:lang w:val="fr-CA"/>
        </w:rPr>
        <w:t>non plus s</w:t>
      </w:r>
      <w:r>
        <w:rPr>
          <w:rFonts w:cs="Times New Roman"/>
          <w:lang w:val="fr-CA"/>
        </w:rPr>
        <w:t>’</w:t>
      </w:r>
      <w:r w:rsidRPr="00CA4523">
        <w:rPr>
          <w:rFonts w:cs="Times New Roman"/>
          <w:lang w:val="fr-CA"/>
        </w:rPr>
        <w:t xml:space="preserve">appuyer sur le principe de la présomption de normalité (voir </w:t>
      </w:r>
      <w:r>
        <w:rPr>
          <w:rFonts w:cs="Times New Roman"/>
          <w:lang w:val="fr-CA"/>
        </w:rPr>
        <w:t>C. Piché</w:t>
      </w:r>
      <w:r w:rsidRPr="00CA4523">
        <w:rPr>
          <w:rFonts w:cs="Times New Roman"/>
          <w:lang w:val="fr-CA"/>
        </w:rPr>
        <w:t xml:space="preserve">, </w:t>
      </w:r>
      <w:r w:rsidRPr="00CA4523">
        <w:rPr>
          <w:rFonts w:cs="Times New Roman"/>
          <w:i/>
          <w:lang w:val="fr-CA"/>
        </w:rPr>
        <w:t>La preuve civile</w:t>
      </w:r>
      <w:r w:rsidRPr="00CA4523">
        <w:rPr>
          <w:rFonts w:cs="Times New Roman"/>
          <w:lang w:val="fr-CA"/>
        </w:rPr>
        <w:t xml:space="preserve"> (5</w:t>
      </w:r>
      <w:r w:rsidRPr="00CA4523">
        <w:rPr>
          <w:rFonts w:cs="Times New Roman"/>
          <w:vertAlign w:val="superscript"/>
          <w:lang w:val="fr-CA"/>
        </w:rPr>
        <w:t>e</w:t>
      </w:r>
      <w:r w:rsidRPr="00CA4523">
        <w:rPr>
          <w:rFonts w:cs="Times New Roman"/>
          <w:lang w:val="fr-CA"/>
        </w:rPr>
        <w:t xml:space="preserve"> éd. 2016), </w:t>
      </w:r>
      <w:r>
        <w:rPr>
          <w:rFonts w:cs="Times New Roman"/>
          <w:lang w:val="fr-CA"/>
        </w:rPr>
        <w:t>n</w:t>
      </w:r>
      <w:r w:rsidRPr="00ED438F">
        <w:rPr>
          <w:rFonts w:cs="Times New Roman"/>
          <w:vertAlign w:val="superscript"/>
          <w:lang w:val="fr-CA"/>
        </w:rPr>
        <w:t>os</w:t>
      </w:r>
      <w:r w:rsidRPr="00CA4523">
        <w:rPr>
          <w:rFonts w:cs="Times New Roman"/>
          <w:lang w:val="fr-CA"/>
        </w:rPr>
        <w:t xml:space="preserve"> 156 et </w:t>
      </w:r>
      <w:r w:rsidR="00723F24">
        <w:rPr>
          <w:rFonts w:cs="Times New Roman"/>
          <w:lang w:val="fr-CA"/>
        </w:rPr>
        <w:t>suiv</w:t>
      </w:r>
      <w:r>
        <w:rPr>
          <w:rFonts w:cs="Times New Roman"/>
          <w:lang w:val="fr-CA"/>
        </w:rPr>
        <w:t>.</w:t>
      </w:r>
      <w:r w:rsidRPr="00CA4523">
        <w:rPr>
          <w:rFonts w:cs="Times New Roman"/>
          <w:lang w:val="fr-CA"/>
        </w:rPr>
        <w:t xml:space="preserve">) pour </w:t>
      </w:r>
      <w:r>
        <w:rPr>
          <w:rFonts w:cs="Times New Roman"/>
          <w:lang w:val="fr-CA"/>
        </w:rPr>
        <w:t xml:space="preserve">conclure </w:t>
      </w:r>
      <w:r w:rsidRPr="00CA4523">
        <w:rPr>
          <w:rFonts w:cs="Times New Roman"/>
          <w:lang w:val="fr-CA"/>
        </w:rPr>
        <w:t>que l</w:t>
      </w:r>
      <w:r>
        <w:rPr>
          <w:rFonts w:cs="Times New Roman"/>
          <w:lang w:val="fr-CA"/>
        </w:rPr>
        <w:t>’</w:t>
      </w:r>
      <w:r w:rsidRPr="00CA4523">
        <w:rPr>
          <w:rFonts w:cs="Times New Roman"/>
          <w:lang w:val="fr-CA"/>
        </w:rPr>
        <w:t>autorité étrangère avait compétence</w:t>
      </w:r>
      <w:r>
        <w:rPr>
          <w:rFonts w:cs="Times New Roman"/>
          <w:lang w:val="fr-CA"/>
        </w:rPr>
        <w:t xml:space="preserve">. En effet, </w:t>
      </w:r>
      <w:r w:rsidRPr="00CA4523">
        <w:rPr>
          <w:rFonts w:cs="Times New Roman"/>
          <w:lang w:val="fr-CA"/>
        </w:rPr>
        <w:t>celle</w:t>
      </w:r>
      <w:r>
        <w:rPr>
          <w:rFonts w:cs="Times New Roman"/>
          <w:lang w:val="fr-CA"/>
        </w:rPr>
        <w:noBreakHyphen/>
      </w:r>
      <w:r w:rsidRPr="00CA4523">
        <w:rPr>
          <w:rFonts w:cs="Times New Roman"/>
          <w:lang w:val="fr-CA"/>
        </w:rPr>
        <w:t>ci n</w:t>
      </w:r>
      <w:r>
        <w:rPr>
          <w:rFonts w:cs="Times New Roman"/>
          <w:lang w:val="fr-CA"/>
        </w:rPr>
        <w:t>’</w:t>
      </w:r>
      <w:r w:rsidRPr="00CA4523">
        <w:rPr>
          <w:rFonts w:cs="Times New Roman"/>
          <w:lang w:val="fr-CA"/>
        </w:rPr>
        <w:t xml:space="preserve">a </w:t>
      </w:r>
      <w:r>
        <w:rPr>
          <w:rFonts w:cs="Times New Roman"/>
          <w:lang w:val="fr-CA"/>
        </w:rPr>
        <w:t>pas examiné</w:t>
      </w:r>
      <w:r w:rsidRPr="00CA4523">
        <w:rPr>
          <w:rFonts w:cs="Times New Roman"/>
          <w:lang w:val="fr-CA"/>
        </w:rPr>
        <w:t xml:space="preserve"> les principes </w:t>
      </w:r>
      <w:r>
        <w:rPr>
          <w:rFonts w:cs="Times New Roman"/>
          <w:lang w:val="fr-CA"/>
        </w:rPr>
        <w:t xml:space="preserve">du droit </w:t>
      </w:r>
      <w:r w:rsidRPr="00CA4523">
        <w:rPr>
          <w:rFonts w:cs="Times New Roman"/>
          <w:lang w:val="fr-CA"/>
        </w:rPr>
        <w:t>québécois en matière de compétence internationale indirecte pour rendre sa décision. Il s</w:t>
      </w:r>
      <w:r>
        <w:rPr>
          <w:rFonts w:cs="Times New Roman"/>
          <w:lang w:val="fr-CA"/>
        </w:rPr>
        <w:t>’</w:t>
      </w:r>
      <w:r w:rsidRPr="00CA4523">
        <w:rPr>
          <w:rFonts w:cs="Times New Roman"/>
          <w:lang w:val="fr-CA"/>
        </w:rPr>
        <w:t xml:space="preserve">ensuit </w:t>
      </w:r>
      <w:r>
        <w:rPr>
          <w:rFonts w:cs="Times New Roman"/>
          <w:lang w:val="fr-CA"/>
        </w:rPr>
        <w:t>qu’elle</w:t>
      </w:r>
      <w:r w:rsidRPr="00CA4523">
        <w:rPr>
          <w:rFonts w:cs="Times New Roman"/>
          <w:lang w:val="fr-CA"/>
        </w:rPr>
        <w:t xml:space="preserve"> ne peut</w:t>
      </w:r>
      <w:r>
        <w:rPr>
          <w:rFonts w:cs="Times New Roman"/>
          <w:lang w:val="fr-CA"/>
        </w:rPr>
        <w:t xml:space="preserve"> pas</w:t>
      </w:r>
      <w:r w:rsidRPr="00CA4523">
        <w:rPr>
          <w:rFonts w:cs="Times New Roman"/>
          <w:lang w:val="fr-CA"/>
        </w:rPr>
        <w:t xml:space="preserve">, en droit, être considérée comme ayant satisfait aux exigences du </w:t>
      </w:r>
      <w:r w:rsidRPr="00CA4523">
        <w:rPr>
          <w:rFonts w:cs="Times New Roman"/>
          <w:i/>
          <w:lang w:val="fr-CA"/>
        </w:rPr>
        <w:t>Code civil</w:t>
      </w:r>
      <w:r w:rsidRPr="00CA4523">
        <w:rPr>
          <w:rFonts w:cs="Times New Roman"/>
          <w:lang w:val="fr-CA"/>
        </w:rPr>
        <w:t xml:space="preserve"> en matière de compétence internationale indirecte pour que sa compétence puisse être reconnue </w:t>
      </w:r>
      <w:r>
        <w:rPr>
          <w:rFonts w:cs="Times New Roman"/>
          <w:lang w:val="fr-CA"/>
        </w:rPr>
        <w:t>relativement à</w:t>
      </w:r>
      <w:r w:rsidRPr="00CA4523">
        <w:rPr>
          <w:rFonts w:cs="Times New Roman"/>
          <w:lang w:val="fr-CA"/>
        </w:rPr>
        <w:t xml:space="preserve"> une affaire</w:t>
      </w:r>
      <w:r>
        <w:rPr>
          <w:rFonts w:cs="Times New Roman"/>
          <w:lang w:val="fr-CA"/>
        </w:rPr>
        <w:t>,</w:t>
      </w:r>
      <w:r w:rsidRPr="00CA4523">
        <w:rPr>
          <w:rFonts w:cs="Times New Roman"/>
          <w:lang w:val="fr-CA"/>
        </w:rPr>
        <w:t xml:space="preserve"> simplement parce que la partie adverse n</w:t>
      </w:r>
      <w:r>
        <w:rPr>
          <w:rFonts w:cs="Times New Roman"/>
          <w:lang w:val="fr-CA"/>
        </w:rPr>
        <w:t>’</w:t>
      </w:r>
      <w:r w:rsidRPr="00CA4523">
        <w:rPr>
          <w:rFonts w:cs="Times New Roman"/>
          <w:lang w:val="fr-CA"/>
        </w:rPr>
        <w:t>a pas prouvé qu</w:t>
      </w:r>
      <w:r>
        <w:rPr>
          <w:rFonts w:cs="Times New Roman"/>
          <w:lang w:val="fr-CA"/>
        </w:rPr>
        <w:t>’</w:t>
      </w:r>
      <w:r w:rsidRPr="00CA4523">
        <w:rPr>
          <w:rFonts w:cs="Times New Roman"/>
          <w:lang w:val="fr-CA"/>
        </w:rPr>
        <w:t>elle n</w:t>
      </w:r>
      <w:r>
        <w:rPr>
          <w:rFonts w:cs="Times New Roman"/>
          <w:lang w:val="fr-CA"/>
        </w:rPr>
        <w:t>’</w:t>
      </w:r>
      <w:r w:rsidRPr="00CA4523">
        <w:rPr>
          <w:rFonts w:cs="Times New Roman"/>
          <w:lang w:val="fr-CA"/>
        </w:rPr>
        <w:t xml:space="preserve">était pas compétente. </w:t>
      </w:r>
    </w:p>
    <w:p w:rsidR="00AF6697" w:rsidRPr="001B1CA1" w:rsidRDefault="00AF6697" w:rsidP="00AF6697">
      <w:pPr>
        <w:pStyle w:val="ParaNoNdepar-AltN"/>
        <w:tabs>
          <w:tab w:val="clear" w:pos="1166"/>
          <w:tab w:val="num" w:pos="1152"/>
        </w:tabs>
        <w:rPr>
          <w:rFonts w:cs="Times New Roman"/>
          <w:lang w:val="fr-CA"/>
        </w:rPr>
      </w:pPr>
      <w:r w:rsidRPr="00CA4523">
        <w:rPr>
          <w:rFonts w:cs="Times New Roman"/>
          <w:lang w:val="fr-CA"/>
        </w:rPr>
        <w:t>Il incombe donc à la personne qui demande la reconnaissance d</w:t>
      </w:r>
      <w:r>
        <w:rPr>
          <w:rFonts w:cs="Times New Roman"/>
          <w:lang w:val="fr-CA"/>
        </w:rPr>
        <w:t>’</w:t>
      </w:r>
      <w:r w:rsidRPr="00CA4523">
        <w:rPr>
          <w:rFonts w:cs="Times New Roman"/>
          <w:lang w:val="fr-CA"/>
        </w:rPr>
        <w:t>une décision étrangère de prouver les faits sur lesquels se fonde la compétence internationale indirecte de l</w:t>
      </w:r>
      <w:r>
        <w:rPr>
          <w:rFonts w:cs="Times New Roman"/>
          <w:lang w:val="fr-CA"/>
        </w:rPr>
        <w:t>’</w:t>
      </w:r>
      <w:r w:rsidRPr="00CA4523">
        <w:rPr>
          <w:rFonts w:cs="Times New Roman"/>
          <w:lang w:val="fr-CA"/>
        </w:rPr>
        <w:t>autorité étrangère. Cette répartition du fardeau de la preuve s</w:t>
      </w:r>
      <w:r>
        <w:rPr>
          <w:rFonts w:cs="Times New Roman"/>
          <w:lang w:val="fr-CA"/>
        </w:rPr>
        <w:t>’</w:t>
      </w:r>
      <w:r w:rsidRPr="00CA4523">
        <w:rPr>
          <w:rFonts w:cs="Times New Roman"/>
          <w:lang w:val="fr-CA"/>
        </w:rPr>
        <w:t xml:space="preserve">accorde avec la règle bien établie selon laquelle, dans une action introduite devant un tribunal du Québec, </w:t>
      </w:r>
      <w:r>
        <w:rPr>
          <w:rFonts w:cs="Times New Roman"/>
          <w:lang w:val="fr-CA"/>
        </w:rPr>
        <w:t xml:space="preserve">il </w:t>
      </w:r>
      <w:r w:rsidRPr="00CA4523">
        <w:rPr>
          <w:rFonts w:cs="Times New Roman"/>
          <w:lang w:val="fr-CA"/>
        </w:rPr>
        <w:t xml:space="preserve">appartient </w:t>
      </w:r>
      <w:r>
        <w:rPr>
          <w:rFonts w:cs="Times New Roman"/>
          <w:lang w:val="fr-CA"/>
        </w:rPr>
        <w:t xml:space="preserve">au demandeur </w:t>
      </w:r>
      <w:r w:rsidRPr="00CA4523">
        <w:rPr>
          <w:rFonts w:cs="Times New Roman"/>
          <w:lang w:val="fr-CA"/>
        </w:rPr>
        <w:t>d</w:t>
      </w:r>
      <w:r>
        <w:rPr>
          <w:rFonts w:cs="Times New Roman"/>
          <w:lang w:val="fr-CA"/>
        </w:rPr>
        <w:t>’</w:t>
      </w:r>
      <w:r w:rsidRPr="00CA4523">
        <w:rPr>
          <w:rFonts w:cs="Times New Roman"/>
          <w:lang w:val="fr-CA"/>
        </w:rPr>
        <w:t>établir les faits sur lesquels repose la compétence du tribunal en cas de contestation de celle</w:t>
      </w:r>
      <w:r>
        <w:rPr>
          <w:rFonts w:cs="Times New Roman"/>
          <w:lang w:val="fr-CA"/>
        </w:rPr>
        <w:noBreakHyphen/>
      </w:r>
      <w:r w:rsidRPr="00CA4523">
        <w:rPr>
          <w:rFonts w:cs="Times New Roman"/>
          <w:lang w:val="fr-CA"/>
        </w:rPr>
        <w:t>ci par le défendeur (</w:t>
      </w:r>
      <w:r>
        <w:rPr>
          <w:rFonts w:cs="Times New Roman"/>
          <w:lang w:val="fr-CA"/>
        </w:rPr>
        <w:t>Piché</w:t>
      </w:r>
      <w:r w:rsidRPr="00CA4523">
        <w:rPr>
          <w:rFonts w:cs="Times New Roman"/>
          <w:lang w:val="fr-CA"/>
        </w:rPr>
        <w:t xml:space="preserve">, </w:t>
      </w:r>
      <w:r>
        <w:rPr>
          <w:rFonts w:cs="Times New Roman"/>
          <w:lang w:val="fr-CA"/>
        </w:rPr>
        <w:t>n</w:t>
      </w:r>
      <w:r w:rsidRPr="00ED438F">
        <w:rPr>
          <w:rFonts w:cs="Times New Roman"/>
          <w:vertAlign w:val="superscript"/>
          <w:lang w:val="fr-CA"/>
        </w:rPr>
        <w:t>o</w:t>
      </w:r>
      <w:r>
        <w:rPr>
          <w:rFonts w:cs="Times New Roman"/>
          <w:lang w:val="fr-CA"/>
        </w:rPr>
        <w:t> </w:t>
      </w:r>
      <w:r w:rsidRPr="00CA4523">
        <w:rPr>
          <w:rFonts w:cs="Times New Roman"/>
          <w:lang w:val="fr-CA"/>
        </w:rPr>
        <w:t>161;</w:t>
      </w:r>
      <w:r w:rsidRPr="00CA4523">
        <w:rPr>
          <w:rFonts w:cs="Times New Roman"/>
          <w:i/>
          <w:lang w:val="fr-CA"/>
        </w:rPr>
        <w:t xml:space="preserve"> Transax Technologies inc. c. Red Baron Cor</w:t>
      </w:r>
      <w:r>
        <w:rPr>
          <w:rFonts w:cs="Times New Roman"/>
          <w:i/>
          <w:lang w:val="fr-CA"/>
        </w:rPr>
        <w:t>p. </w:t>
      </w:r>
      <w:r w:rsidRPr="00CA4523">
        <w:rPr>
          <w:rFonts w:cs="Times New Roman"/>
          <w:i/>
          <w:lang w:val="fr-CA"/>
        </w:rPr>
        <w:t>Ltd</w:t>
      </w:r>
      <w:r w:rsidRPr="00CA4523">
        <w:rPr>
          <w:rFonts w:cs="Times New Roman"/>
          <w:lang w:val="fr-CA"/>
        </w:rPr>
        <w:t xml:space="preserve">., 2017 QCCA 626, </w:t>
      </w:r>
      <w:r>
        <w:rPr>
          <w:rFonts w:cs="Times New Roman"/>
          <w:lang w:val="fr-CA"/>
        </w:rPr>
        <w:t>par. </w:t>
      </w:r>
      <w:r w:rsidRPr="00CA4523">
        <w:rPr>
          <w:rFonts w:cs="Times New Roman"/>
          <w:lang w:val="fr-CA"/>
        </w:rPr>
        <w:t>13</w:t>
      </w:r>
      <w:r>
        <w:rPr>
          <w:rFonts w:cs="Times New Roman"/>
          <w:lang w:val="fr-CA"/>
        </w:rPr>
        <w:t xml:space="preserve"> (CanLII)</w:t>
      </w:r>
      <w:r w:rsidRPr="00CA4523">
        <w:rPr>
          <w:rFonts w:cs="Times New Roman"/>
          <w:lang w:val="fr-CA"/>
        </w:rPr>
        <w:t xml:space="preserve">; </w:t>
      </w:r>
      <w:r w:rsidRPr="00CA4523">
        <w:rPr>
          <w:rFonts w:cs="Times New Roman"/>
          <w:i/>
          <w:lang w:val="fr-CA"/>
        </w:rPr>
        <w:t>Shamji c. Tajdin</w:t>
      </w:r>
      <w:r w:rsidRPr="00CA4523">
        <w:rPr>
          <w:rFonts w:cs="Times New Roman"/>
          <w:lang w:val="fr-CA"/>
        </w:rPr>
        <w:t xml:space="preserve">, 2006 QCCA 314, </w:t>
      </w:r>
      <w:r>
        <w:rPr>
          <w:rFonts w:cs="Times New Roman"/>
          <w:lang w:val="fr-CA"/>
        </w:rPr>
        <w:t>par. </w:t>
      </w:r>
      <w:r w:rsidRPr="00CA4523">
        <w:rPr>
          <w:rFonts w:cs="Times New Roman"/>
          <w:lang w:val="fr-CA"/>
        </w:rPr>
        <w:t>16</w:t>
      </w:r>
      <w:r>
        <w:rPr>
          <w:rFonts w:cs="Times New Roman"/>
          <w:lang w:val="fr-CA"/>
        </w:rPr>
        <w:t xml:space="preserve"> (CanLII)</w:t>
      </w:r>
      <w:r w:rsidRPr="00CA4523">
        <w:rPr>
          <w:rFonts w:cs="Times New Roman"/>
          <w:lang w:val="fr-CA"/>
        </w:rPr>
        <w:t xml:space="preserve">; </w:t>
      </w:r>
      <w:r w:rsidRPr="00CA4523">
        <w:rPr>
          <w:rFonts w:cs="Times New Roman"/>
          <w:i/>
          <w:lang w:val="fr-CA"/>
        </w:rPr>
        <w:t>Ban</w:t>
      </w:r>
      <w:r w:rsidR="007F16C4">
        <w:rPr>
          <w:rFonts w:cs="Times New Roman"/>
          <w:i/>
          <w:lang w:val="fr-CA"/>
        </w:rPr>
        <w:t>k</w:t>
      </w:r>
      <w:r w:rsidRPr="00CA4523">
        <w:rPr>
          <w:rFonts w:cs="Times New Roman"/>
          <w:i/>
          <w:lang w:val="fr-CA"/>
        </w:rPr>
        <w:t xml:space="preserve"> </w:t>
      </w:r>
      <w:r w:rsidR="007F16C4">
        <w:rPr>
          <w:rFonts w:cs="Times New Roman"/>
          <w:i/>
          <w:lang w:val="fr-CA"/>
        </w:rPr>
        <w:t>of Montre</w:t>
      </w:r>
      <w:r w:rsidRPr="00CA4523">
        <w:rPr>
          <w:rFonts w:cs="Times New Roman"/>
          <w:i/>
          <w:lang w:val="fr-CA"/>
        </w:rPr>
        <w:t xml:space="preserve">al c. </w:t>
      </w:r>
      <w:r w:rsidRPr="00CA4523">
        <w:rPr>
          <w:rFonts w:cs="Times New Roman"/>
          <w:i/>
          <w:lang w:val="fr-CA"/>
        </w:rPr>
        <w:lastRenderedPageBreak/>
        <w:t xml:space="preserve">Hydro Aluminum Wells </w:t>
      </w:r>
      <w:r>
        <w:rPr>
          <w:rFonts w:cs="Times New Roman"/>
          <w:i/>
          <w:lang w:val="fr-CA"/>
        </w:rPr>
        <w:t>I</w:t>
      </w:r>
      <w:r w:rsidRPr="00CA4523">
        <w:rPr>
          <w:rFonts w:cs="Times New Roman"/>
          <w:i/>
          <w:lang w:val="fr-CA"/>
        </w:rPr>
        <w:t>nc.</w:t>
      </w:r>
      <w:r w:rsidRPr="00ED438F">
        <w:rPr>
          <w:rFonts w:cs="Times New Roman"/>
          <w:lang w:val="fr-CA"/>
        </w:rPr>
        <w:t>,</w:t>
      </w:r>
      <w:r w:rsidRPr="00CA4523">
        <w:rPr>
          <w:rFonts w:cs="Times New Roman"/>
          <w:i/>
          <w:lang w:val="fr-CA"/>
        </w:rPr>
        <w:t xml:space="preserve"> </w:t>
      </w:r>
      <w:r w:rsidRPr="00CA4523">
        <w:rPr>
          <w:rFonts w:cs="Times New Roman"/>
          <w:lang w:val="fr-CA"/>
        </w:rPr>
        <w:t>2002 CanLII</w:t>
      </w:r>
      <w:r>
        <w:rPr>
          <w:rFonts w:cs="Times New Roman"/>
          <w:lang w:val="fr-CA"/>
        </w:rPr>
        <w:t> </w:t>
      </w:r>
      <w:r w:rsidRPr="00CA4523">
        <w:rPr>
          <w:rFonts w:cs="Times New Roman"/>
          <w:lang w:val="fr-CA"/>
        </w:rPr>
        <w:t>3111</w:t>
      </w:r>
      <w:r w:rsidR="0026735D">
        <w:rPr>
          <w:rFonts w:cs="Times New Roman"/>
          <w:lang w:val="fr-CA"/>
        </w:rPr>
        <w:t xml:space="preserve"> (</w:t>
      </w:r>
      <w:r w:rsidR="00723F24">
        <w:rPr>
          <w:rFonts w:cs="Times New Roman"/>
          <w:lang w:val="fr-CA"/>
        </w:rPr>
        <w:t>C.A. Qc)</w:t>
      </w:r>
      <w:r w:rsidR="0026735D">
        <w:rPr>
          <w:rFonts w:cs="Times New Roman"/>
          <w:lang w:val="fr-CA"/>
        </w:rPr>
        <w:t>,</w:t>
      </w:r>
      <w:r w:rsidRPr="00CA4523">
        <w:rPr>
          <w:rFonts w:cs="Times New Roman"/>
          <w:lang w:val="fr-CA"/>
        </w:rPr>
        <w:t xml:space="preserve"> </w:t>
      </w:r>
      <w:r>
        <w:rPr>
          <w:rFonts w:cs="Times New Roman"/>
          <w:lang w:val="fr-CA"/>
        </w:rPr>
        <w:t>par. </w:t>
      </w:r>
      <w:r w:rsidRPr="00CA4523">
        <w:rPr>
          <w:rFonts w:cs="Times New Roman"/>
          <w:lang w:val="fr-CA"/>
        </w:rPr>
        <w:t>12</w:t>
      </w:r>
      <w:r w:rsidR="00723F24">
        <w:rPr>
          <w:rFonts w:cs="Times New Roman"/>
          <w:lang w:val="fr-CA"/>
        </w:rPr>
        <w:t>;</w:t>
      </w:r>
      <w:r w:rsidRPr="00CA4523">
        <w:rPr>
          <w:rFonts w:cs="Times New Roman"/>
          <w:lang w:val="fr-CA"/>
        </w:rPr>
        <w:t xml:space="preserve"> </w:t>
      </w:r>
      <w:r w:rsidRPr="001B1CA1">
        <w:rPr>
          <w:rFonts w:cs="Times New Roman"/>
          <w:i/>
          <w:lang w:val="fr-CA"/>
        </w:rPr>
        <w:t>Baird c. Matol Botanical International Ltd</w:t>
      </w:r>
      <w:r w:rsidR="00F611A0">
        <w:rPr>
          <w:rFonts w:cs="Times New Roman"/>
          <w:lang w:val="fr-CA"/>
        </w:rPr>
        <w:t>., [1994] R.D.J. 282</w:t>
      </w:r>
      <w:r w:rsidRPr="001B1CA1">
        <w:rPr>
          <w:rFonts w:cs="Times New Roman"/>
          <w:lang w:val="fr-CA"/>
        </w:rPr>
        <w:t xml:space="preserve"> </w:t>
      </w:r>
      <w:r w:rsidR="00723F24">
        <w:rPr>
          <w:rFonts w:cs="Times New Roman"/>
          <w:lang w:val="fr-CA"/>
        </w:rPr>
        <w:t>(</w:t>
      </w:r>
      <w:r w:rsidR="00723F24" w:rsidRPr="001B1CA1">
        <w:rPr>
          <w:rFonts w:cs="Times New Roman"/>
          <w:lang w:val="fr-CA"/>
        </w:rPr>
        <w:t>C.A.)</w:t>
      </w:r>
      <w:r w:rsidR="00F611A0">
        <w:rPr>
          <w:rFonts w:cs="Times New Roman"/>
          <w:lang w:val="fr-CA"/>
        </w:rPr>
        <w:t>,</w:t>
      </w:r>
      <w:r w:rsidR="00723F24">
        <w:rPr>
          <w:rFonts w:cs="Times New Roman"/>
          <w:lang w:val="fr-CA"/>
        </w:rPr>
        <w:t xml:space="preserve"> </w:t>
      </w:r>
      <w:r>
        <w:rPr>
          <w:rFonts w:cs="Times New Roman"/>
          <w:lang w:val="fr-CA"/>
        </w:rPr>
        <w:t>p. </w:t>
      </w:r>
      <w:r w:rsidR="00723F24">
        <w:rPr>
          <w:rFonts w:cs="Times New Roman"/>
          <w:lang w:val="fr-CA"/>
        </w:rPr>
        <w:t>283</w:t>
      </w:r>
      <w:r w:rsidRPr="001B1CA1">
        <w:rPr>
          <w:rFonts w:cs="Times New Roman"/>
          <w:lang w:val="fr-CA"/>
        </w:rPr>
        <w:t>).</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J</w:t>
      </w:r>
      <w:r>
        <w:rPr>
          <w:rFonts w:cs="Times New Roman"/>
          <w:lang w:val="fr-CA"/>
        </w:rPr>
        <w:t>’</w:t>
      </w:r>
      <w:r w:rsidRPr="00CA4523">
        <w:rPr>
          <w:rFonts w:cs="Times New Roman"/>
          <w:lang w:val="fr-CA"/>
        </w:rPr>
        <w:t>ajouterai qu</w:t>
      </w:r>
      <w:r>
        <w:rPr>
          <w:rFonts w:cs="Times New Roman"/>
          <w:lang w:val="fr-CA"/>
        </w:rPr>
        <w:t>’</w:t>
      </w:r>
      <w:r w:rsidRPr="00CA4523">
        <w:rPr>
          <w:rFonts w:cs="Times New Roman"/>
          <w:lang w:val="fr-CA"/>
        </w:rPr>
        <w:t>il ne serait guère raisonnable d</w:t>
      </w:r>
      <w:r>
        <w:rPr>
          <w:rFonts w:cs="Times New Roman"/>
          <w:lang w:val="fr-CA"/>
        </w:rPr>
        <w:t>’</w:t>
      </w:r>
      <w:r w:rsidRPr="00CA4523">
        <w:rPr>
          <w:rFonts w:cs="Times New Roman"/>
          <w:lang w:val="fr-CA"/>
        </w:rPr>
        <w:t>obliger celui qui s</w:t>
      </w:r>
      <w:r>
        <w:rPr>
          <w:rFonts w:cs="Times New Roman"/>
          <w:lang w:val="fr-CA"/>
        </w:rPr>
        <w:t>’</w:t>
      </w:r>
      <w:r w:rsidRPr="00CA4523">
        <w:rPr>
          <w:rFonts w:cs="Times New Roman"/>
          <w:lang w:val="fr-CA"/>
        </w:rPr>
        <w:t>oppose à la reconnaissance à établir le défaut de compétence internationale indirecte de l</w:t>
      </w:r>
      <w:r>
        <w:rPr>
          <w:rFonts w:cs="Times New Roman"/>
          <w:lang w:val="fr-CA"/>
        </w:rPr>
        <w:t>’</w:t>
      </w:r>
      <w:r w:rsidRPr="00CA4523">
        <w:rPr>
          <w:rFonts w:cs="Times New Roman"/>
          <w:lang w:val="fr-CA"/>
        </w:rPr>
        <w:t>autorité étrangère. L</w:t>
      </w:r>
      <w:r>
        <w:rPr>
          <w:rFonts w:cs="Times New Roman"/>
          <w:lang w:val="fr-CA"/>
        </w:rPr>
        <w:t>’</w:t>
      </w:r>
      <w:r w:rsidRPr="00CA4523">
        <w:rPr>
          <w:rFonts w:cs="Times New Roman"/>
          <w:lang w:val="fr-CA"/>
        </w:rPr>
        <w:t>article</w:t>
      </w:r>
      <w:r>
        <w:rPr>
          <w:rFonts w:cs="Times New Roman"/>
          <w:lang w:val="fr-CA"/>
        </w:rPr>
        <w:t> </w:t>
      </w:r>
      <w:r w:rsidRPr="00CA4523">
        <w:rPr>
          <w:rFonts w:cs="Times New Roman"/>
          <w:lang w:val="fr-CA"/>
        </w:rPr>
        <w:t xml:space="preserve">3168 </w:t>
      </w:r>
      <w:r w:rsidRPr="00CA4523">
        <w:rPr>
          <w:rFonts w:cs="Times New Roman"/>
          <w:i/>
          <w:lang w:val="fr-CA"/>
        </w:rPr>
        <w:t>C.c.Q</w:t>
      </w:r>
      <w:r w:rsidRPr="00CA4523">
        <w:rPr>
          <w:rFonts w:cs="Times New Roman"/>
          <w:lang w:val="fr-CA"/>
        </w:rPr>
        <w:t xml:space="preserve">. énumère six critères </w:t>
      </w:r>
      <w:r>
        <w:rPr>
          <w:rFonts w:cs="Times New Roman"/>
          <w:lang w:val="fr-CA"/>
        </w:rPr>
        <w:t xml:space="preserve">distincts </w:t>
      </w:r>
      <w:r w:rsidRPr="00E828CF">
        <w:rPr>
          <w:rFonts w:cs="Times New Roman"/>
          <w:lang w:val="fr-CA"/>
        </w:rPr>
        <w:t>constitutifs de</w:t>
      </w:r>
      <w:r w:rsidRPr="00CA4523">
        <w:rPr>
          <w:rFonts w:cs="Times New Roman"/>
          <w:lang w:val="fr-CA"/>
        </w:rPr>
        <w:t xml:space="preserve"> compétence, mais la présence d</w:t>
      </w:r>
      <w:r>
        <w:rPr>
          <w:rFonts w:cs="Times New Roman"/>
          <w:lang w:val="fr-CA"/>
        </w:rPr>
        <w:t>’</w:t>
      </w:r>
      <w:r w:rsidRPr="00CA4523">
        <w:rPr>
          <w:rFonts w:cs="Times New Roman"/>
          <w:lang w:val="fr-CA"/>
        </w:rPr>
        <w:t>un seul d</w:t>
      </w:r>
      <w:r>
        <w:rPr>
          <w:rFonts w:cs="Times New Roman"/>
          <w:lang w:val="fr-CA"/>
        </w:rPr>
        <w:t>’</w:t>
      </w:r>
      <w:r w:rsidRPr="00CA4523">
        <w:rPr>
          <w:rFonts w:cs="Times New Roman"/>
          <w:lang w:val="fr-CA"/>
        </w:rPr>
        <w:t xml:space="preserve">entre eux suffit à établir </w:t>
      </w:r>
      <w:r>
        <w:rPr>
          <w:rFonts w:cs="Times New Roman"/>
          <w:lang w:val="fr-CA"/>
        </w:rPr>
        <w:t>celle</w:t>
      </w:r>
      <w:r w:rsidRPr="00CA4523">
        <w:rPr>
          <w:rFonts w:cs="Times New Roman"/>
          <w:lang w:val="fr-CA"/>
        </w:rPr>
        <w:t xml:space="preserve"> de l</w:t>
      </w:r>
      <w:r>
        <w:rPr>
          <w:rFonts w:cs="Times New Roman"/>
          <w:lang w:val="fr-CA"/>
        </w:rPr>
        <w:t>’</w:t>
      </w:r>
      <w:r w:rsidRPr="00CA4523">
        <w:rPr>
          <w:rFonts w:cs="Times New Roman"/>
          <w:lang w:val="fr-CA"/>
        </w:rPr>
        <w:t>autorité étrangère dans le cadre d</w:t>
      </w:r>
      <w:r>
        <w:rPr>
          <w:rFonts w:cs="Times New Roman"/>
          <w:lang w:val="fr-CA"/>
        </w:rPr>
        <w:t>’</w:t>
      </w:r>
      <w:r w:rsidRPr="00CA4523">
        <w:rPr>
          <w:rFonts w:cs="Times New Roman"/>
          <w:lang w:val="fr-CA"/>
        </w:rPr>
        <w:t xml:space="preserve">une action personnelle à caractère patrimonial (Emanuelli </w:t>
      </w:r>
      <w:r>
        <w:rPr>
          <w:rFonts w:cs="Times New Roman"/>
          <w:lang w:val="fr-CA"/>
        </w:rPr>
        <w:t>(</w:t>
      </w:r>
      <w:r w:rsidRPr="00CA4523">
        <w:rPr>
          <w:rFonts w:cs="Times New Roman"/>
          <w:lang w:val="fr-CA"/>
        </w:rPr>
        <w:t>2011</w:t>
      </w:r>
      <w:r>
        <w:rPr>
          <w:rFonts w:cs="Times New Roman"/>
          <w:lang w:val="fr-CA"/>
        </w:rPr>
        <w:t>)</w:t>
      </w:r>
      <w:r w:rsidRPr="00CA4523">
        <w:rPr>
          <w:rFonts w:cs="Times New Roman"/>
          <w:lang w:val="fr-CA"/>
        </w:rPr>
        <w:t xml:space="preserve">, </w:t>
      </w:r>
      <w:r>
        <w:rPr>
          <w:rFonts w:cs="Times New Roman"/>
          <w:lang w:val="fr-CA"/>
        </w:rPr>
        <w:t>n</w:t>
      </w:r>
      <w:r w:rsidRPr="00ED438F">
        <w:rPr>
          <w:rFonts w:cs="Times New Roman"/>
          <w:vertAlign w:val="superscript"/>
          <w:lang w:val="fr-CA"/>
        </w:rPr>
        <w:t>o</w:t>
      </w:r>
      <w:r>
        <w:rPr>
          <w:rFonts w:cs="Times New Roman"/>
          <w:lang w:val="fr-CA"/>
        </w:rPr>
        <w:t> </w:t>
      </w:r>
      <w:r w:rsidRPr="00CA4523">
        <w:rPr>
          <w:rFonts w:cs="Times New Roman"/>
          <w:lang w:val="fr-CA"/>
        </w:rPr>
        <w:t xml:space="preserve">290; </w:t>
      </w:r>
      <w:r w:rsidRPr="00CA4523">
        <w:rPr>
          <w:rFonts w:cs="Times New Roman"/>
          <w:i/>
          <w:lang w:val="fr-CA"/>
        </w:rPr>
        <w:t>Hocking</w:t>
      </w:r>
      <w:r w:rsidRPr="00CA4523">
        <w:rPr>
          <w:rFonts w:cs="Times New Roman"/>
          <w:lang w:val="fr-CA"/>
        </w:rPr>
        <w:t xml:space="preserve">, </w:t>
      </w:r>
      <w:r>
        <w:rPr>
          <w:rFonts w:cs="Times New Roman"/>
          <w:lang w:val="fr-CA"/>
        </w:rPr>
        <w:t>par. </w:t>
      </w:r>
      <w:r w:rsidRPr="00CA4523">
        <w:rPr>
          <w:rFonts w:cs="Times New Roman"/>
          <w:lang w:val="fr-CA"/>
        </w:rPr>
        <w:t>187). Si le défendeur avait l</w:t>
      </w:r>
      <w:r>
        <w:rPr>
          <w:rFonts w:cs="Times New Roman"/>
          <w:lang w:val="fr-CA"/>
        </w:rPr>
        <w:t>’</w:t>
      </w:r>
      <w:r w:rsidRPr="00CA4523">
        <w:rPr>
          <w:rFonts w:cs="Times New Roman"/>
          <w:lang w:val="fr-CA"/>
        </w:rPr>
        <w:t xml:space="preserve">obligation de prouver le défaut de compétence internationale indirecte, il </w:t>
      </w:r>
      <w:r>
        <w:rPr>
          <w:rFonts w:cs="Times New Roman"/>
          <w:lang w:val="fr-CA"/>
        </w:rPr>
        <w:t>serait tenu de</w:t>
      </w:r>
      <w:r w:rsidRPr="00CA4523">
        <w:rPr>
          <w:rFonts w:cs="Times New Roman"/>
          <w:lang w:val="fr-CA"/>
        </w:rPr>
        <w:t xml:space="preserve"> réfuter un à un les six cas </w:t>
      </w:r>
      <w:r>
        <w:rPr>
          <w:rFonts w:cs="Times New Roman"/>
          <w:lang w:val="fr-CA"/>
        </w:rPr>
        <w:t>de figure</w:t>
      </w:r>
      <w:r w:rsidRPr="00CA4523">
        <w:rPr>
          <w:rFonts w:cs="Times New Roman"/>
          <w:lang w:val="fr-CA"/>
        </w:rPr>
        <w:t xml:space="preserve"> énumérés à l</w:t>
      </w:r>
      <w:r>
        <w:rPr>
          <w:rFonts w:cs="Times New Roman"/>
          <w:lang w:val="fr-CA"/>
        </w:rPr>
        <w:t>’art. </w:t>
      </w:r>
      <w:r w:rsidRPr="00CA4523">
        <w:rPr>
          <w:rFonts w:cs="Times New Roman"/>
          <w:lang w:val="fr-CA"/>
        </w:rPr>
        <w:t xml:space="preserve">3168 </w:t>
      </w:r>
      <w:r w:rsidRPr="00CA4523">
        <w:rPr>
          <w:rFonts w:cs="Times New Roman"/>
          <w:i/>
          <w:lang w:val="fr-CA"/>
        </w:rPr>
        <w:t>C.c.Q</w:t>
      </w:r>
      <w:r w:rsidRPr="00CA4523">
        <w:rPr>
          <w:rFonts w:cs="Times New Roman"/>
          <w:lang w:val="fr-CA"/>
        </w:rPr>
        <w:t>., ce qui le placerait dans la position délicate d</w:t>
      </w:r>
      <w:r>
        <w:rPr>
          <w:rFonts w:cs="Times New Roman"/>
          <w:lang w:val="fr-CA"/>
        </w:rPr>
        <w:t>’</w:t>
      </w:r>
      <w:r w:rsidRPr="00CA4523">
        <w:rPr>
          <w:rFonts w:cs="Times New Roman"/>
          <w:lang w:val="fr-CA"/>
        </w:rPr>
        <w:t>avoir à prouver une série d</w:t>
      </w:r>
      <w:r>
        <w:rPr>
          <w:rFonts w:cs="Times New Roman"/>
          <w:lang w:val="fr-CA"/>
        </w:rPr>
        <w:t>’</w:t>
      </w:r>
      <w:r w:rsidRPr="00CA4523">
        <w:rPr>
          <w:rFonts w:cs="Times New Roman"/>
          <w:lang w:val="fr-CA"/>
        </w:rPr>
        <w:t>hypothèses négatives.</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Dans le cas qui nous occupe, Knight invoque trois chefs de compétence du tribunal de l</w:t>
      </w:r>
      <w:r>
        <w:rPr>
          <w:rFonts w:cs="Times New Roman"/>
          <w:lang w:val="fr-CA"/>
        </w:rPr>
        <w:t>’</w:t>
      </w:r>
      <w:r w:rsidRPr="00CA4523">
        <w:rPr>
          <w:rFonts w:cs="Times New Roman"/>
          <w:lang w:val="fr-CA"/>
        </w:rPr>
        <w:t xml:space="preserve">Utah </w:t>
      </w:r>
      <w:r w:rsidRPr="006B3C14">
        <w:rPr>
          <w:rFonts w:cs="Times New Roman"/>
          <w:lang w:val="fr-CA"/>
        </w:rPr>
        <w:t>au titre de l</w:t>
      </w:r>
      <w:r>
        <w:rPr>
          <w:rFonts w:cs="Times New Roman"/>
          <w:lang w:val="fr-CA"/>
        </w:rPr>
        <w:t>’art. </w:t>
      </w:r>
      <w:r w:rsidRPr="006B3C14">
        <w:rPr>
          <w:rFonts w:cs="Times New Roman"/>
          <w:lang w:val="fr-CA"/>
        </w:rPr>
        <w:t>3168</w:t>
      </w:r>
      <w:r w:rsidRPr="00CA4523">
        <w:rPr>
          <w:rFonts w:cs="Times New Roman"/>
          <w:lang w:val="fr-CA"/>
        </w:rPr>
        <w:t xml:space="preserve"> </w:t>
      </w:r>
      <w:r w:rsidRPr="00CA4523">
        <w:rPr>
          <w:rFonts w:cs="Times New Roman"/>
          <w:i/>
          <w:lang w:val="fr-CA"/>
        </w:rPr>
        <w:t>C.c.Q.</w:t>
      </w:r>
      <w:r w:rsidRPr="00CA4523">
        <w:rPr>
          <w:rFonts w:cs="Times New Roman"/>
          <w:lang w:val="fr-CA"/>
        </w:rPr>
        <w:t>, en l</w:t>
      </w:r>
      <w:r>
        <w:rPr>
          <w:rFonts w:cs="Times New Roman"/>
          <w:lang w:val="fr-CA"/>
        </w:rPr>
        <w:t>’</w:t>
      </w:r>
      <w:r w:rsidRPr="00CA4523">
        <w:rPr>
          <w:rFonts w:cs="Times New Roman"/>
          <w:lang w:val="fr-CA"/>
        </w:rPr>
        <w:t xml:space="preserve">occurrence ceux prévus à ses troisième, quatrième et sixième </w:t>
      </w:r>
      <w:r w:rsidR="007F16C4">
        <w:rPr>
          <w:rFonts w:cs="Times New Roman"/>
          <w:lang w:val="fr-CA"/>
        </w:rPr>
        <w:t>paragraphe</w:t>
      </w:r>
      <w:r w:rsidRPr="00CA4523">
        <w:rPr>
          <w:rFonts w:cs="Times New Roman"/>
          <w:lang w:val="fr-CA"/>
        </w:rPr>
        <w:t>s. Je vais aborder brièvement les deux premiers, avant de passer au troisième, le principal</w:t>
      </w:r>
      <w:r>
        <w:rPr>
          <w:rFonts w:cs="Times New Roman"/>
          <w:lang w:val="fr-CA"/>
        </w:rPr>
        <w:t xml:space="preserve"> qui est </w:t>
      </w:r>
      <w:r w:rsidR="008F06C3">
        <w:rPr>
          <w:rFonts w:cs="Times New Roman"/>
          <w:lang w:val="fr-CA"/>
        </w:rPr>
        <w:t xml:space="preserve">en </w:t>
      </w:r>
      <w:r>
        <w:rPr>
          <w:rFonts w:cs="Times New Roman"/>
          <w:lang w:val="fr-CA"/>
        </w:rPr>
        <w:t>jeu en l’espèce</w:t>
      </w:r>
      <w:r w:rsidRPr="00CA4523">
        <w:rPr>
          <w:rFonts w:cs="Times New Roman"/>
          <w:lang w:val="fr-CA"/>
        </w:rPr>
        <w:t>.</w:t>
      </w:r>
    </w:p>
    <w:p w:rsidR="00AF6697" w:rsidRPr="00E828CF" w:rsidRDefault="00102A62" w:rsidP="002970A2">
      <w:pPr>
        <w:pStyle w:val="Title2LevelTitre2Niveau"/>
        <w:numPr>
          <w:ilvl w:val="0"/>
          <w:numId w:val="17"/>
        </w:numPr>
        <w:ind w:left="540" w:hanging="540"/>
        <w:rPr>
          <w:rFonts w:cs="Times New Roman"/>
          <w:lang w:val="fr-CA"/>
        </w:rPr>
      </w:pPr>
      <w:r>
        <w:rPr>
          <w:rFonts w:cs="Times New Roman"/>
          <w:lang w:val="fr-CA"/>
        </w:rPr>
        <w:t>Paragraphe</w:t>
      </w:r>
      <w:r w:rsidR="00AF6697">
        <w:rPr>
          <w:rFonts w:cs="Times New Roman"/>
          <w:lang w:val="fr-CA"/>
        </w:rPr>
        <w:t>s </w:t>
      </w:r>
      <w:r w:rsidR="00AF6697" w:rsidRPr="00CA4523">
        <w:rPr>
          <w:rFonts w:cs="Times New Roman"/>
          <w:lang w:val="fr-CA"/>
        </w:rPr>
        <w:t>3168</w:t>
      </w:r>
      <w:r w:rsidR="00AF6697">
        <w:rPr>
          <w:rFonts w:cs="Times New Roman"/>
          <w:lang w:val="fr-CA"/>
        </w:rPr>
        <w:t>(</w:t>
      </w:r>
      <w:r w:rsidR="00AF6697" w:rsidRPr="00CA4523">
        <w:rPr>
          <w:rFonts w:cs="Times New Roman"/>
          <w:lang w:val="fr-CA"/>
        </w:rPr>
        <w:t>3</w:t>
      </w:r>
      <w:r w:rsidR="00AF6697">
        <w:rPr>
          <w:rFonts w:cs="Times New Roman"/>
          <w:lang w:val="fr-CA"/>
        </w:rPr>
        <w:t>)</w:t>
      </w:r>
      <w:r w:rsidR="00AF6697" w:rsidRPr="00CA4523">
        <w:rPr>
          <w:rFonts w:cs="Times New Roman"/>
          <w:lang w:val="fr-CA"/>
        </w:rPr>
        <w:t xml:space="preserve"> et </w:t>
      </w:r>
      <w:r w:rsidR="00AF6697">
        <w:rPr>
          <w:rFonts w:cs="Times New Roman"/>
          <w:lang w:val="fr-CA"/>
        </w:rPr>
        <w:t>(</w:t>
      </w:r>
      <w:r w:rsidR="00AF6697" w:rsidRPr="00CA4523">
        <w:rPr>
          <w:rFonts w:cs="Times New Roman"/>
          <w:lang w:val="fr-CA"/>
        </w:rPr>
        <w:t>4</w:t>
      </w:r>
      <w:r w:rsidR="00AF6697">
        <w:rPr>
          <w:rFonts w:cs="Times New Roman"/>
          <w:lang w:val="fr-CA"/>
        </w:rPr>
        <w:t>)</w:t>
      </w:r>
      <w:r w:rsidR="00AF6697" w:rsidRPr="00CA4523">
        <w:rPr>
          <w:rFonts w:cs="Times New Roman"/>
          <w:lang w:val="fr-CA"/>
        </w:rPr>
        <w:t xml:space="preserve"> </w:t>
      </w:r>
      <w:r w:rsidR="00AF6697" w:rsidRPr="00E828CF">
        <w:rPr>
          <w:rFonts w:cs="Times New Roman"/>
          <w:lang w:val="fr-CA"/>
        </w:rPr>
        <w:t>C.c.Q.</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L</w:t>
      </w:r>
      <w:r w:rsidR="00102A62">
        <w:rPr>
          <w:rFonts w:cs="Times New Roman"/>
          <w:lang w:val="fr-CA"/>
        </w:rPr>
        <w:t>e paragraphe</w:t>
      </w:r>
      <w:r w:rsidRPr="00CA4523">
        <w:rPr>
          <w:rFonts w:cs="Times New Roman"/>
          <w:lang w:val="fr-CA"/>
        </w:rPr>
        <w:t> 3168</w:t>
      </w:r>
      <w:r>
        <w:rPr>
          <w:rFonts w:cs="Times New Roman"/>
          <w:lang w:val="fr-CA"/>
        </w:rPr>
        <w:t>(</w:t>
      </w:r>
      <w:r w:rsidRPr="00CA4523">
        <w:rPr>
          <w:rFonts w:cs="Times New Roman"/>
          <w:lang w:val="fr-CA"/>
        </w:rPr>
        <w:t>3</w:t>
      </w:r>
      <w:r>
        <w:rPr>
          <w:rFonts w:cs="Times New Roman"/>
          <w:lang w:val="fr-CA"/>
        </w:rPr>
        <w:t>)</w:t>
      </w:r>
      <w:r w:rsidRPr="00CA4523">
        <w:rPr>
          <w:rFonts w:cs="Times New Roman"/>
          <w:lang w:val="fr-CA"/>
        </w:rPr>
        <w:t> </w:t>
      </w:r>
      <w:r w:rsidRPr="00CA4523">
        <w:rPr>
          <w:rFonts w:cs="Times New Roman"/>
          <w:i/>
          <w:lang w:val="fr-CA"/>
        </w:rPr>
        <w:t>C.c.Q.</w:t>
      </w:r>
      <w:r w:rsidRPr="00CA4523">
        <w:rPr>
          <w:rFonts w:cs="Times New Roman"/>
          <w:lang w:val="fr-CA"/>
        </w:rPr>
        <w:t xml:space="preserve"> prévoit que </w:t>
      </w:r>
      <w:r w:rsidRPr="00CA4523">
        <w:rPr>
          <w:lang w:val="fr-FR"/>
        </w:rPr>
        <w:t xml:space="preserve">la compétence des autorités étrangères est reconnue au </w:t>
      </w:r>
      <w:r w:rsidRPr="00CA4523">
        <w:rPr>
          <w:rFonts w:cs="Times New Roman"/>
          <w:lang w:val="fr-CA"/>
        </w:rPr>
        <w:t xml:space="preserve">Québec si à la fois le préjudice </w:t>
      </w:r>
      <w:r>
        <w:rPr>
          <w:rFonts w:cs="Times New Roman"/>
          <w:lang w:val="fr-CA"/>
        </w:rPr>
        <w:t xml:space="preserve">et la faute dont il résulte sont survenus </w:t>
      </w:r>
      <w:r w:rsidRPr="00CA4523">
        <w:rPr>
          <w:rFonts w:cs="Times New Roman"/>
          <w:lang w:val="fr-CA"/>
        </w:rPr>
        <w:t>dans l</w:t>
      </w:r>
      <w:r>
        <w:rPr>
          <w:rFonts w:cs="Times New Roman"/>
          <w:lang w:val="fr-CA"/>
        </w:rPr>
        <w:t>’</w:t>
      </w:r>
      <w:r w:rsidRPr="00CA4523">
        <w:rPr>
          <w:rFonts w:cs="Times New Roman"/>
          <w:lang w:val="fr-CA"/>
        </w:rPr>
        <w:t xml:space="preserve">État où la décision a été rendue. Pour sa part, </w:t>
      </w:r>
      <w:r w:rsidR="00102A62">
        <w:rPr>
          <w:rFonts w:cs="Times New Roman"/>
          <w:lang w:val="fr-CA"/>
        </w:rPr>
        <w:t>le par.</w:t>
      </w:r>
      <w:r>
        <w:rPr>
          <w:rFonts w:cs="Times New Roman"/>
          <w:lang w:val="fr-CA"/>
        </w:rPr>
        <w:t> </w:t>
      </w:r>
      <w:r w:rsidRPr="00CA4523">
        <w:rPr>
          <w:rFonts w:cs="Times New Roman"/>
          <w:lang w:val="fr-CA"/>
        </w:rPr>
        <w:t>3168</w:t>
      </w:r>
      <w:r>
        <w:rPr>
          <w:rFonts w:cs="Times New Roman"/>
          <w:lang w:val="fr-CA"/>
        </w:rPr>
        <w:t>(4) </w:t>
      </w:r>
      <w:r w:rsidRPr="00CA4523">
        <w:rPr>
          <w:rFonts w:cs="Times New Roman"/>
          <w:i/>
          <w:lang w:val="fr-CA"/>
        </w:rPr>
        <w:t>C.c.Q.</w:t>
      </w:r>
      <w:r w:rsidRPr="00CA4523">
        <w:rPr>
          <w:rFonts w:cs="Times New Roman"/>
          <w:lang w:val="fr-CA"/>
        </w:rPr>
        <w:t xml:space="preserve"> dispose que </w:t>
      </w:r>
      <w:r w:rsidRPr="00CA4523">
        <w:rPr>
          <w:lang w:val="fr-FR"/>
        </w:rPr>
        <w:t>la compétence d</w:t>
      </w:r>
      <w:r>
        <w:rPr>
          <w:lang w:val="fr-FR"/>
        </w:rPr>
        <w:t>’</w:t>
      </w:r>
      <w:r w:rsidRPr="00CA4523">
        <w:rPr>
          <w:lang w:val="fr-FR"/>
        </w:rPr>
        <w:t xml:space="preserve">une autorité étrangère est reconnue lorsque sa </w:t>
      </w:r>
      <w:r w:rsidRPr="00CA4523">
        <w:rPr>
          <w:rFonts w:cs="Times New Roman"/>
          <w:lang w:val="fr-CA"/>
        </w:rPr>
        <w:t xml:space="preserve">décision concerne </w:t>
      </w:r>
      <w:r w:rsidRPr="004B5164">
        <w:rPr>
          <w:rFonts w:cs="Times New Roman"/>
          <w:lang w:val="fr-CA"/>
        </w:rPr>
        <w:t>« [l]</w:t>
      </w:r>
      <w:r w:rsidRPr="004B5164">
        <w:rPr>
          <w:lang w:val="fr-FR"/>
        </w:rPr>
        <w:t>es obligations découlant d</w:t>
      </w:r>
      <w:r>
        <w:rPr>
          <w:lang w:val="fr-FR"/>
        </w:rPr>
        <w:t>’</w:t>
      </w:r>
      <w:r w:rsidRPr="004B5164">
        <w:rPr>
          <w:lang w:val="fr-FR"/>
        </w:rPr>
        <w:t>un contrat [qui] devaient [</w:t>
      </w:r>
      <w:r>
        <w:rPr>
          <w:lang w:val="fr-FR"/>
        </w:rPr>
        <w:t>. . .</w:t>
      </w:r>
      <w:r w:rsidRPr="004B5164">
        <w:rPr>
          <w:lang w:val="fr-FR"/>
        </w:rPr>
        <w:t>] être exécutées</w:t>
      </w:r>
      <w:r w:rsidRPr="004B5164">
        <w:rPr>
          <w:rFonts w:cs="Times New Roman"/>
          <w:lang w:val="fr-CA"/>
        </w:rPr>
        <w:t xml:space="preserve"> [dans l</w:t>
      </w:r>
      <w:r>
        <w:rPr>
          <w:rFonts w:cs="Times New Roman"/>
          <w:lang w:val="fr-CA"/>
        </w:rPr>
        <w:t>’</w:t>
      </w:r>
      <w:r w:rsidRPr="004B5164">
        <w:rPr>
          <w:rFonts w:cs="Times New Roman"/>
          <w:lang w:val="fr-CA"/>
        </w:rPr>
        <w:t>État où elle se trouve]</w:t>
      </w:r>
      <w:r w:rsidRPr="00CA4523">
        <w:rPr>
          <w:rFonts w:cs="Times New Roman"/>
          <w:lang w:val="fr-CA"/>
        </w:rPr>
        <w:t xml:space="preserve"> ».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lastRenderedPageBreak/>
        <w:t>Dans un</w:t>
      </w:r>
      <w:r>
        <w:rPr>
          <w:rFonts w:cs="Times New Roman"/>
          <w:lang w:val="fr-CA"/>
        </w:rPr>
        <w:t>e brève remarque incidente,</w:t>
      </w:r>
      <w:r w:rsidRPr="00CA4523">
        <w:rPr>
          <w:rFonts w:cs="Times New Roman"/>
          <w:lang w:val="fr-CA"/>
        </w:rPr>
        <w:t xml:space="preserve"> la Cour supérieure a conclu que ces deux </w:t>
      </w:r>
      <w:r>
        <w:rPr>
          <w:rFonts w:cs="Times New Roman"/>
          <w:lang w:val="fr-CA"/>
        </w:rPr>
        <w:t>paragraphe</w:t>
      </w:r>
      <w:r w:rsidRPr="00CA4523">
        <w:rPr>
          <w:rFonts w:cs="Times New Roman"/>
          <w:lang w:val="fr-CA"/>
        </w:rPr>
        <w:t>s [</w:t>
      </w:r>
      <w:r w:rsidRPr="00CA4523">
        <w:rPr>
          <w:rFonts w:cs="Times New Roman"/>
          <w:smallCaps/>
          <w:lang w:val="fr-CA"/>
        </w:rPr>
        <w:t>traduction</w:t>
      </w:r>
      <w:r w:rsidRPr="00CA4523">
        <w:rPr>
          <w:rFonts w:cs="Times New Roman"/>
          <w:lang w:val="fr-CA"/>
        </w:rPr>
        <w:t>] « pourraient » justifier la reconnaissance de la compétence du tribunal de l</w:t>
      </w:r>
      <w:r>
        <w:rPr>
          <w:rFonts w:cs="Times New Roman"/>
          <w:lang w:val="fr-CA"/>
        </w:rPr>
        <w:t>’</w:t>
      </w:r>
      <w:r w:rsidRPr="00CA4523">
        <w:rPr>
          <w:rFonts w:cs="Times New Roman"/>
          <w:lang w:val="fr-CA"/>
        </w:rPr>
        <w:t xml:space="preserve">Utah parce que « la </w:t>
      </w:r>
      <w:r w:rsidRPr="00CA4523">
        <w:rPr>
          <w:rFonts w:cs="Times New Roman"/>
          <w:u w:val="single"/>
          <w:lang w:val="fr-CA"/>
        </w:rPr>
        <w:t>présumée</w:t>
      </w:r>
      <w:r w:rsidRPr="00CA4523">
        <w:rPr>
          <w:rFonts w:cs="Times New Roman"/>
          <w:lang w:val="fr-CA"/>
        </w:rPr>
        <w:t xml:space="preserve"> promesse de </w:t>
      </w:r>
      <w:r>
        <w:rPr>
          <w:rFonts w:cs="Times New Roman"/>
          <w:lang w:val="fr-CA"/>
        </w:rPr>
        <w:t xml:space="preserve">[M.] </w:t>
      </w:r>
      <w:r w:rsidRPr="00CA4523">
        <w:rPr>
          <w:rFonts w:cs="Times New Roman"/>
          <w:lang w:val="fr-CA"/>
        </w:rPr>
        <w:t xml:space="preserve">Barer de payer avait été </w:t>
      </w:r>
      <w:r w:rsidRPr="003657F3">
        <w:rPr>
          <w:rFonts w:cs="Times New Roman"/>
          <w:lang w:val="fr-CA"/>
        </w:rPr>
        <w:t>acceptée dans l</w:t>
      </w:r>
      <w:r>
        <w:rPr>
          <w:rFonts w:cs="Times New Roman"/>
          <w:lang w:val="fr-CA"/>
        </w:rPr>
        <w:t>’</w:t>
      </w:r>
      <w:r w:rsidRPr="003657F3">
        <w:rPr>
          <w:rFonts w:cs="Times New Roman"/>
          <w:lang w:val="fr-CA"/>
        </w:rPr>
        <w:t>Utah et devait y être</w:t>
      </w:r>
      <w:r w:rsidRPr="00CA4523">
        <w:rPr>
          <w:rFonts w:cs="Times New Roman"/>
          <w:lang w:val="fr-CA"/>
        </w:rPr>
        <w:t xml:space="preserve"> exécutée</w:t>
      </w:r>
      <w:r>
        <w:rPr>
          <w:rFonts w:cs="Times New Roman"/>
          <w:lang w:val="fr-CA"/>
        </w:rPr>
        <w:t> </w:t>
      </w:r>
      <w:r w:rsidRPr="00CA4523">
        <w:rPr>
          <w:rFonts w:cs="Times New Roman"/>
          <w:lang w:val="fr-CA"/>
        </w:rPr>
        <w:t xml:space="preserve">» </w:t>
      </w:r>
      <w:r>
        <w:rPr>
          <w:rFonts w:cs="Times New Roman"/>
          <w:lang w:val="fr-CA"/>
        </w:rPr>
        <w:t xml:space="preserve">(motifs de la </w:t>
      </w:r>
      <w:r w:rsidRPr="00CA4523">
        <w:rPr>
          <w:rFonts w:cs="Times New Roman"/>
          <w:lang w:val="fr-CA"/>
        </w:rPr>
        <w:t>C</w:t>
      </w:r>
      <w:r>
        <w:rPr>
          <w:rFonts w:cs="Times New Roman"/>
          <w:lang w:val="fr-CA"/>
        </w:rPr>
        <w:t>.</w:t>
      </w:r>
      <w:r w:rsidRPr="00CA4523">
        <w:rPr>
          <w:rFonts w:cs="Times New Roman"/>
          <w:lang w:val="fr-CA"/>
        </w:rPr>
        <w:t>S</w:t>
      </w:r>
      <w:r>
        <w:rPr>
          <w:rFonts w:cs="Times New Roman"/>
          <w:lang w:val="fr-CA"/>
        </w:rPr>
        <w:t>., par. </w:t>
      </w:r>
      <w:r w:rsidRPr="00CA4523">
        <w:rPr>
          <w:rFonts w:cs="Times New Roman"/>
          <w:lang w:val="fr-CA"/>
        </w:rPr>
        <w:t>20</w:t>
      </w:r>
      <w:r>
        <w:rPr>
          <w:rFonts w:cs="Times New Roman"/>
          <w:lang w:val="fr-CA"/>
        </w:rPr>
        <w:t xml:space="preserve"> (je souligne))</w:t>
      </w:r>
      <w:r w:rsidRPr="00CA4523">
        <w:rPr>
          <w:rFonts w:cs="Times New Roman"/>
          <w:lang w:val="fr-CA"/>
        </w:rPr>
        <w:t xml:space="preserve">. On ne sait </w:t>
      </w:r>
      <w:r>
        <w:rPr>
          <w:rFonts w:cs="Times New Roman"/>
          <w:lang w:val="fr-CA"/>
        </w:rPr>
        <w:t xml:space="preserve">par ailleurs </w:t>
      </w:r>
      <w:r w:rsidRPr="00CA4523">
        <w:rPr>
          <w:rFonts w:cs="Times New Roman"/>
          <w:lang w:val="fr-CA"/>
        </w:rPr>
        <w:t>pas avec certitude si la Cour d</w:t>
      </w:r>
      <w:r>
        <w:rPr>
          <w:rFonts w:cs="Times New Roman"/>
          <w:lang w:val="fr-CA"/>
        </w:rPr>
        <w:t>’</w:t>
      </w:r>
      <w:r w:rsidRPr="00CA4523">
        <w:rPr>
          <w:rFonts w:cs="Times New Roman"/>
          <w:lang w:val="fr-CA"/>
        </w:rPr>
        <w:t>appel a avalisé cet aspect du jugement de première instance. Pour ma part, je conclus que Knight ne s</w:t>
      </w:r>
      <w:r>
        <w:rPr>
          <w:rFonts w:cs="Times New Roman"/>
          <w:lang w:val="fr-CA"/>
        </w:rPr>
        <w:t>’</w:t>
      </w:r>
      <w:r w:rsidRPr="00CA4523">
        <w:rPr>
          <w:rFonts w:cs="Times New Roman"/>
          <w:lang w:val="fr-CA"/>
        </w:rPr>
        <w:t>est pas acquittée du fardeau de la preuve qui lui incombait à cet égard, ce qui suffit pour conclure qu</w:t>
      </w:r>
      <w:r>
        <w:rPr>
          <w:rFonts w:cs="Times New Roman"/>
          <w:lang w:val="fr-CA"/>
        </w:rPr>
        <w:t>’</w:t>
      </w:r>
      <w:r w:rsidRPr="00CA4523">
        <w:rPr>
          <w:rFonts w:cs="Times New Roman"/>
          <w:lang w:val="fr-CA"/>
        </w:rPr>
        <w:t>elle ne peut invoquer ces deux motifs en l</w:t>
      </w:r>
      <w:r>
        <w:rPr>
          <w:rFonts w:cs="Times New Roman"/>
          <w:lang w:val="fr-CA"/>
        </w:rPr>
        <w:t>’</w:t>
      </w:r>
      <w:r w:rsidRPr="00CA4523">
        <w:rPr>
          <w:rFonts w:cs="Times New Roman"/>
          <w:lang w:val="fr-CA"/>
        </w:rPr>
        <w:t xml:space="preserve">espèce.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À l</w:t>
      </w:r>
      <w:r>
        <w:rPr>
          <w:rFonts w:cs="Times New Roman"/>
          <w:lang w:val="fr-CA"/>
        </w:rPr>
        <w:t>’</w:t>
      </w:r>
      <w:r w:rsidRPr="00CA4523">
        <w:rPr>
          <w:rFonts w:cs="Times New Roman"/>
          <w:lang w:val="fr-CA"/>
        </w:rPr>
        <w:t>appui de sa thèse, Knight insiste surtout sur le fait qu</w:t>
      </w:r>
      <w:r>
        <w:rPr>
          <w:rFonts w:cs="Times New Roman"/>
          <w:lang w:val="fr-CA"/>
        </w:rPr>
        <w:t xml:space="preserve">e, </w:t>
      </w:r>
      <w:r w:rsidRPr="00CA4523">
        <w:rPr>
          <w:rFonts w:cs="Times New Roman"/>
          <w:lang w:val="fr-CA"/>
        </w:rPr>
        <w:t>eu égard à l</w:t>
      </w:r>
      <w:r>
        <w:rPr>
          <w:rFonts w:cs="Times New Roman"/>
          <w:lang w:val="fr-CA"/>
        </w:rPr>
        <w:t>’art. </w:t>
      </w:r>
      <w:r w:rsidRPr="00CA4523">
        <w:rPr>
          <w:rFonts w:cs="Times New Roman"/>
          <w:lang w:val="fr-CA"/>
        </w:rPr>
        <w:t>3158</w:t>
      </w:r>
      <w:r w:rsidRPr="00CA4523">
        <w:rPr>
          <w:rFonts w:cs="Times New Roman"/>
          <w:i/>
          <w:lang w:val="fr-CA"/>
        </w:rPr>
        <w:t> C.c.Q.</w:t>
      </w:r>
      <w:r w:rsidRPr="00CA4523">
        <w:rPr>
          <w:rFonts w:cs="Times New Roman"/>
          <w:lang w:val="fr-CA"/>
        </w:rPr>
        <w:t xml:space="preserve">, les tribunaux québécois ne peuvent </w:t>
      </w:r>
      <w:r>
        <w:rPr>
          <w:rFonts w:cs="Times New Roman"/>
          <w:lang w:val="fr-CA"/>
        </w:rPr>
        <w:t>pas réexaminer</w:t>
      </w:r>
      <w:r w:rsidRPr="00CA4523">
        <w:rPr>
          <w:rFonts w:cs="Times New Roman"/>
          <w:lang w:val="fr-CA"/>
        </w:rPr>
        <w:t xml:space="preserve"> </w:t>
      </w:r>
      <w:r>
        <w:rPr>
          <w:rFonts w:cs="Times New Roman"/>
          <w:lang w:val="fr-CA"/>
        </w:rPr>
        <w:t xml:space="preserve">la question de savoir </w:t>
      </w:r>
      <w:r w:rsidRPr="00CA4523">
        <w:rPr>
          <w:rFonts w:cs="Times New Roman"/>
          <w:lang w:val="fr-CA"/>
        </w:rPr>
        <w:t>si une promesse de payer a été faite ou si M.</w:t>
      </w:r>
      <w:r>
        <w:rPr>
          <w:rFonts w:cs="Times New Roman"/>
          <w:lang w:val="fr-CA"/>
        </w:rPr>
        <w:t> </w:t>
      </w:r>
      <w:r w:rsidRPr="00CA4523">
        <w:rPr>
          <w:rFonts w:cs="Times New Roman"/>
          <w:lang w:val="fr-CA"/>
        </w:rPr>
        <w:t xml:space="preserve">Barer, </w:t>
      </w:r>
      <w:r>
        <w:rPr>
          <w:rFonts w:cs="Times New Roman"/>
          <w:lang w:val="fr-CA"/>
        </w:rPr>
        <w:t>suivant la doctrine de l’alter ego</w:t>
      </w:r>
      <w:r w:rsidRPr="00CA4523">
        <w:rPr>
          <w:rFonts w:cs="Times New Roman"/>
          <w:lang w:val="fr-CA"/>
        </w:rPr>
        <w:t xml:space="preserve">, était personnellement obligé aux termes du contrat conclu </w:t>
      </w:r>
      <w:r>
        <w:rPr>
          <w:rFonts w:cs="Times New Roman"/>
          <w:lang w:val="fr-CA"/>
        </w:rPr>
        <w:t>entre elle et BEC</w:t>
      </w:r>
      <w:r w:rsidRPr="00CA4523">
        <w:rPr>
          <w:rFonts w:cs="Times New Roman"/>
          <w:lang w:val="fr-CA"/>
        </w:rPr>
        <w:t xml:space="preserve">. </w:t>
      </w:r>
      <w:r>
        <w:rPr>
          <w:rFonts w:cs="Times New Roman"/>
          <w:lang w:val="fr-CA"/>
        </w:rPr>
        <w:t>En effet, s</w:t>
      </w:r>
      <w:r w:rsidRPr="00CA4523">
        <w:rPr>
          <w:rFonts w:cs="Times New Roman"/>
          <w:lang w:val="fr-CA"/>
        </w:rPr>
        <w:t xml:space="preserve">elon </w:t>
      </w:r>
      <w:r w:rsidRPr="00CA4523">
        <w:rPr>
          <w:rFonts w:cs="Times New Roman"/>
          <w:szCs w:val="24"/>
          <w:lang w:val="fr-CA"/>
        </w:rPr>
        <w:t xml:space="preserve">Knight, cette question a déjà été tranchée par </w:t>
      </w:r>
      <w:r>
        <w:rPr>
          <w:rFonts w:cs="Times New Roman"/>
          <w:szCs w:val="24"/>
          <w:lang w:val="fr-CA"/>
        </w:rPr>
        <w:t>le tribunal</w:t>
      </w:r>
      <w:r w:rsidRPr="00CA4523">
        <w:rPr>
          <w:rFonts w:cs="Times New Roman"/>
          <w:szCs w:val="24"/>
          <w:lang w:val="fr-CA"/>
        </w:rPr>
        <w:t xml:space="preserve"> de l</w:t>
      </w:r>
      <w:r>
        <w:rPr>
          <w:rFonts w:cs="Times New Roman"/>
          <w:szCs w:val="24"/>
          <w:lang w:val="fr-CA"/>
        </w:rPr>
        <w:t>’</w:t>
      </w:r>
      <w:r w:rsidRPr="00CA4523">
        <w:rPr>
          <w:rFonts w:cs="Times New Roman"/>
          <w:szCs w:val="24"/>
          <w:lang w:val="fr-CA"/>
        </w:rPr>
        <w:t xml:space="preserve">Utah et </w:t>
      </w:r>
      <w:r w:rsidRPr="00CA4523">
        <w:rPr>
          <w:rFonts w:cs="Times New Roman"/>
          <w:lang w:val="fr-CA"/>
        </w:rPr>
        <w:t xml:space="preserve">les </w:t>
      </w:r>
      <w:r>
        <w:rPr>
          <w:rFonts w:cs="Times New Roman"/>
          <w:lang w:val="fr-CA"/>
        </w:rPr>
        <w:t>cours du Québec</w:t>
      </w:r>
      <w:r w:rsidRPr="00CA4523">
        <w:rPr>
          <w:rFonts w:cs="Times New Roman"/>
          <w:lang w:val="fr-CA"/>
        </w:rPr>
        <w:t xml:space="preserve"> devraient </w:t>
      </w:r>
      <w:r>
        <w:rPr>
          <w:rFonts w:cs="Times New Roman"/>
          <w:lang w:val="fr-CA"/>
        </w:rPr>
        <w:t>s’abstenir de</w:t>
      </w:r>
      <w:r w:rsidRPr="00CA4523">
        <w:rPr>
          <w:rFonts w:cs="Times New Roman"/>
          <w:lang w:val="fr-CA"/>
        </w:rPr>
        <w:t xml:space="preserve"> remettre en question le bien</w:t>
      </w:r>
      <w:r>
        <w:rPr>
          <w:rFonts w:cs="Times New Roman"/>
          <w:lang w:val="fr-CA"/>
        </w:rPr>
        <w:noBreakHyphen/>
      </w:r>
      <w:r w:rsidRPr="00CA4523">
        <w:rPr>
          <w:rFonts w:cs="Times New Roman"/>
          <w:lang w:val="fr-CA"/>
        </w:rPr>
        <w:t xml:space="preserve">fondé de </w:t>
      </w:r>
      <w:r>
        <w:rPr>
          <w:rFonts w:cs="Times New Roman"/>
          <w:lang w:val="fr-CA"/>
        </w:rPr>
        <w:t>cette</w:t>
      </w:r>
      <w:r w:rsidRPr="00CA4523">
        <w:rPr>
          <w:rFonts w:cs="Times New Roman"/>
          <w:lang w:val="fr-CA"/>
        </w:rPr>
        <w:t xml:space="preserve"> décision. Cet argument est mal fondé, et ce, pour trois raisons</w:t>
      </w:r>
      <w:r w:rsidRPr="00CA4523">
        <w:rPr>
          <w:rFonts w:cs="Times New Roman"/>
          <w:szCs w:val="24"/>
          <w:lang w:val="fr-CA"/>
        </w:rPr>
        <w:t xml:space="preserve">.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szCs w:val="24"/>
          <w:lang w:val="fr-CA"/>
        </w:rPr>
        <w:t>Premièrement, Knight se fonde sur la décision préliminaire par laquelle le tribunal de l</w:t>
      </w:r>
      <w:r>
        <w:rPr>
          <w:rFonts w:cs="Times New Roman"/>
          <w:szCs w:val="24"/>
          <w:lang w:val="fr-CA"/>
        </w:rPr>
        <w:t>’</w:t>
      </w:r>
      <w:r w:rsidRPr="00CA4523">
        <w:rPr>
          <w:rFonts w:cs="Times New Roman"/>
          <w:szCs w:val="24"/>
          <w:lang w:val="fr-CA"/>
        </w:rPr>
        <w:t>Utah a rejeté la requête en irrecevabilité de M. Barer pour tenter de démontrer l</w:t>
      </w:r>
      <w:r>
        <w:rPr>
          <w:rFonts w:cs="Times New Roman"/>
          <w:szCs w:val="24"/>
          <w:lang w:val="fr-CA"/>
        </w:rPr>
        <w:t>’</w:t>
      </w:r>
      <w:r w:rsidRPr="00CA4523">
        <w:rPr>
          <w:rFonts w:cs="Times New Roman"/>
          <w:szCs w:val="24"/>
          <w:lang w:val="fr-CA"/>
        </w:rPr>
        <w:t>existence d</w:t>
      </w:r>
      <w:r>
        <w:rPr>
          <w:rFonts w:cs="Times New Roman"/>
          <w:szCs w:val="24"/>
          <w:lang w:val="fr-CA"/>
        </w:rPr>
        <w:t>’</w:t>
      </w:r>
      <w:r w:rsidRPr="00CA4523">
        <w:rPr>
          <w:rFonts w:cs="Times New Roman"/>
          <w:szCs w:val="24"/>
          <w:lang w:val="fr-CA"/>
        </w:rPr>
        <w:t xml:space="preserve">un motif justifiant la reconnaissance de la compétence </w:t>
      </w:r>
      <w:r>
        <w:rPr>
          <w:rFonts w:cs="Times New Roman"/>
          <w:szCs w:val="24"/>
          <w:lang w:val="fr-CA"/>
        </w:rPr>
        <w:t xml:space="preserve">de ce </w:t>
      </w:r>
      <w:r w:rsidRPr="00CA4523">
        <w:rPr>
          <w:rFonts w:cs="Times New Roman"/>
          <w:szCs w:val="24"/>
          <w:lang w:val="fr-CA"/>
        </w:rPr>
        <w:t>tribun</w:t>
      </w:r>
      <w:r>
        <w:rPr>
          <w:rFonts w:cs="Times New Roman"/>
          <w:szCs w:val="24"/>
          <w:lang w:val="fr-CA"/>
        </w:rPr>
        <w:t>al. Or, c</w:t>
      </w:r>
      <w:r w:rsidRPr="00CA4523">
        <w:rPr>
          <w:rFonts w:cs="Times New Roman"/>
          <w:szCs w:val="24"/>
          <w:lang w:val="fr-CA"/>
        </w:rPr>
        <w:t>ette décision n</w:t>
      </w:r>
      <w:r>
        <w:rPr>
          <w:rFonts w:cs="Times New Roman"/>
          <w:szCs w:val="24"/>
          <w:lang w:val="fr-CA"/>
        </w:rPr>
        <w:t>’</w:t>
      </w:r>
      <w:r w:rsidRPr="00CA4523">
        <w:rPr>
          <w:rFonts w:cs="Times New Roman"/>
          <w:szCs w:val="24"/>
          <w:lang w:val="fr-CA"/>
        </w:rPr>
        <w:t>était pas définitive et ne pouvait donc pas</w:t>
      </w:r>
      <w:r>
        <w:rPr>
          <w:rFonts w:cs="Times New Roman"/>
          <w:szCs w:val="24"/>
          <w:lang w:val="fr-CA"/>
        </w:rPr>
        <w:t xml:space="preserve">, </w:t>
      </w:r>
      <w:r>
        <w:rPr>
          <w:rFonts w:cs="Times New Roman"/>
          <w:lang w:val="fr-CA"/>
        </w:rPr>
        <w:t>aux termes</w:t>
      </w:r>
      <w:r w:rsidRPr="00CA4523">
        <w:rPr>
          <w:rFonts w:cs="Times New Roman"/>
          <w:lang w:val="fr-CA"/>
        </w:rPr>
        <w:t xml:space="preserve"> d</w:t>
      </w:r>
      <w:r w:rsidR="008902B0">
        <w:rPr>
          <w:rFonts w:cs="Times New Roman"/>
          <w:lang w:val="fr-CA"/>
        </w:rPr>
        <w:t>u</w:t>
      </w:r>
      <w:r w:rsidRPr="00CA4523">
        <w:rPr>
          <w:rFonts w:cs="Times New Roman"/>
          <w:lang w:val="fr-CA"/>
        </w:rPr>
        <w:t xml:space="preserve"> </w:t>
      </w:r>
      <w:r w:rsidR="008902B0">
        <w:rPr>
          <w:rFonts w:cs="Times New Roman"/>
          <w:lang w:val="fr-CA"/>
        </w:rPr>
        <w:t>par.</w:t>
      </w:r>
      <w:r>
        <w:rPr>
          <w:rFonts w:cs="Times New Roman"/>
          <w:lang w:val="fr-CA"/>
        </w:rPr>
        <w:t> </w:t>
      </w:r>
      <w:r w:rsidRPr="00CA4523">
        <w:rPr>
          <w:rFonts w:cs="Times New Roman"/>
          <w:lang w:val="fr-CA"/>
        </w:rPr>
        <w:t>3155</w:t>
      </w:r>
      <w:r>
        <w:rPr>
          <w:rFonts w:cs="Times New Roman"/>
          <w:lang w:val="fr-CA"/>
        </w:rPr>
        <w:t>(</w:t>
      </w:r>
      <w:r w:rsidRPr="00CA4523">
        <w:rPr>
          <w:rFonts w:cs="Times New Roman"/>
          <w:lang w:val="fr-CA"/>
        </w:rPr>
        <w:t>2</w:t>
      </w:r>
      <w:r>
        <w:rPr>
          <w:rFonts w:cs="Times New Roman"/>
          <w:lang w:val="fr-CA"/>
        </w:rPr>
        <w:t>)</w:t>
      </w:r>
      <w:r w:rsidRPr="00CA4523">
        <w:rPr>
          <w:rFonts w:cs="Times New Roman"/>
          <w:lang w:val="fr-CA"/>
        </w:rPr>
        <w:t> </w:t>
      </w:r>
      <w:r w:rsidRPr="00CA4523">
        <w:rPr>
          <w:rFonts w:cs="Times New Roman"/>
          <w:i/>
          <w:lang w:val="fr-CA"/>
        </w:rPr>
        <w:t>C.c.Q.</w:t>
      </w:r>
      <w:r w:rsidRPr="006B3C14">
        <w:rPr>
          <w:rFonts w:cs="Times New Roman"/>
          <w:lang w:val="fr-CA"/>
        </w:rPr>
        <w:t>,</w:t>
      </w:r>
      <w:r w:rsidRPr="00CA4523">
        <w:rPr>
          <w:rFonts w:cs="Times New Roman"/>
          <w:szCs w:val="24"/>
          <w:lang w:val="fr-CA"/>
        </w:rPr>
        <w:t xml:space="preserve"> être reconnue au </w:t>
      </w:r>
      <w:r w:rsidRPr="00CA4523">
        <w:rPr>
          <w:rFonts w:cs="Times New Roman"/>
          <w:lang w:val="fr-CA"/>
        </w:rPr>
        <w:t>Québec</w:t>
      </w:r>
      <w:r>
        <w:rPr>
          <w:rFonts w:cs="Times New Roman"/>
          <w:lang w:val="fr-CA"/>
        </w:rPr>
        <w:t>.</w:t>
      </w:r>
      <w:r w:rsidRPr="00CA4523">
        <w:rPr>
          <w:rFonts w:cs="Times New Roman"/>
          <w:lang w:val="fr-CA"/>
        </w:rPr>
        <w:t xml:space="preserve"> De</w:t>
      </w:r>
      <w:r>
        <w:rPr>
          <w:rFonts w:cs="Times New Roman"/>
          <w:lang w:val="fr-CA"/>
        </w:rPr>
        <w:t xml:space="preserve"> </w:t>
      </w:r>
      <w:r w:rsidRPr="00CA4523">
        <w:rPr>
          <w:rFonts w:cs="Times New Roman"/>
          <w:lang w:val="fr-CA"/>
        </w:rPr>
        <w:t xml:space="preserve">plus, dans le cas qui nous occupe, </w:t>
      </w:r>
      <w:r w:rsidRPr="00CA4523">
        <w:rPr>
          <w:rFonts w:cs="Times New Roman"/>
          <w:szCs w:val="24"/>
          <w:lang w:val="fr-CA"/>
        </w:rPr>
        <w:t>Knight demande la reconnaissance de la décision de l</w:t>
      </w:r>
      <w:r>
        <w:rPr>
          <w:rFonts w:cs="Times New Roman"/>
          <w:szCs w:val="24"/>
          <w:lang w:val="fr-CA"/>
        </w:rPr>
        <w:t>’</w:t>
      </w:r>
      <w:r w:rsidRPr="00CA4523">
        <w:rPr>
          <w:rFonts w:cs="Times New Roman"/>
          <w:szCs w:val="24"/>
          <w:lang w:val="fr-CA"/>
        </w:rPr>
        <w:t>Utah, en l</w:t>
      </w:r>
      <w:r>
        <w:rPr>
          <w:rFonts w:cs="Times New Roman"/>
          <w:szCs w:val="24"/>
          <w:lang w:val="fr-CA"/>
        </w:rPr>
        <w:t>’</w:t>
      </w:r>
      <w:r w:rsidRPr="00CA4523">
        <w:rPr>
          <w:rFonts w:cs="Times New Roman"/>
          <w:szCs w:val="24"/>
          <w:lang w:val="fr-CA"/>
        </w:rPr>
        <w:t xml:space="preserve">occurrence le jugement par défaut définitif rendu contre M. Barer, et non </w:t>
      </w:r>
      <w:r>
        <w:rPr>
          <w:rFonts w:cs="Times New Roman"/>
          <w:szCs w:val="24"/>
          <w:lang w:val="fr-CA"/>
        </w:rPr>
        <w:t xml:space="preserve">de </w:t>
      </w:r>
      <w:r w:rsidRPr="00CA4523">
        <w:rPr>
          <w:rFonts w:cs="Times New Roman"/>
          <w:szCs w:val="24"/>
          <w:lang w:val="fr-CA"/>
        </w:rPr>
        <w:t xml:space="preserve">la décision préliminaire sur la requête en irrecevabilité de M. Barer. </w:t>
      </w:r>
      <w:r>
        <w:rPr>
          <w:rFonts w:cs="Times New Roman"/>
          <w:szCs w:val="24"/>
          <w:lang w:val="fr-CA"/>
        </w:rPr>
        <w:t>Or, c’</w:t>
      </w:r>
      <w:r w:rsidRPr="00CA4523">
        <w:rPr>
          <w:rFonts w:cs="Times New Roman"/>
          <w:szCs w:val="24"/>
          <w:lang w:val="fr-CA"/>
        </w:rPr>
        <w:t xml:space="preserve">est uniquement ce jugement par </w:t>
      </w:r>
      <w:r w:rsidRPr="00CA4523">
        <w:rPr>
          <w:rFonts w:cs="Times New Roman"/>
          <w:szCs w:val="24"/>
          <w:lang w:val="fr-CA"/>
        </w:rPr>
        <w:lastRenderedPageBreak/>
        <w:t>défaut qu</w:t>
      </w:r>
      <w:r>
        <w:rPr>
          <w:rFonts w:cs="Times New Roman"/>
          <w:szCs w:val="24"/>
          <w:lang w:val="fr-CA"/>
        </w:rPr>
        <w:t>’</w:t>
      </w:r>
      <w:r w:rsidRPr="00CA4523">
        <w:rPr>
          <w:rFonts w:cs="Times New Roman"/>
          <w:szCs w:val="24"/>
          <w:lang w:val="fr-CA"/>
        </w:rPr>
        <w:t>envisage l</w:t>
      </w:r>
      <w:r>
        <w:rPr>
          <w:rFonts w:cs="Times New Roman"/>
          <w:szCs w:val="24"/>
          <w:lang w:val="fr-CA"/>
        </w:rPr>
        <w:t>’art. </w:t>
      </w:r>
      <w:r w:rsidRPr="00CA4523">
        <w:rPr>
          <w:rFonts w:cs="Times New Roman"/>
          <w:szCs w:val="24"/>
          <w:lang w:val="fr-CA"/>
        </w:rPr>
        <w:t xml:space="preserve">3158 </w:t>
      </w:r>
      <w:r w:rsidRPr="00CA4523">
        <w:rPr>
          <w:rFonts w:cs="Times New Roman"/>
          <w:i/>
          <w:szCs w:val="24"/>
          <w:lang w:val="fr-CA"/>
        </w:rPr>
        <w:t>C.c.Q.</w:t>
      </w:r>
      <w:r w:rsidRPr="00CA4523">
        <w:rPr>
          <w:rFonts w:cs="Times New Roman"/>
          <w:szCs w:val="24"/>
          <w:lang w:val="fr-CA"/>
        </w:rPr>
        <w:t xml:space="preserve">, et </w:t>
      </w:r>
      <w:r>
        <w:rPr>
          <w:rFonts w:cs="Times New Roman"/>
          <w:szCs w:val="24"/>
          <w:lang w:val="fr-CA"/>
        </w:rPr>
        <w:t xml:space="preserve">il </w:t>
      </w:r>
      <w:r w:rsidRPr="00CA4523">
        <w:rPr>
          <w:rFonts w:cs="Times New Roman"/>
          <w:szCs w:val="24"/>
          <w:lang w:val="fr-CA"/>
        </w:rPr>
        <w:t>n</w:t>
      </w:r>
      <w:r>
        <w:rPr>
          <w:rFonts w:cs="Times New Roman"/>
          <w:szCs w:val="24"/>
          <w:lang w:val="fr-CA"/>
        </w:rPr>
        <w:t>’</w:t>
      </w:r>
      <w:r w:rsidRPr="00CA4523">
        <w:rPr>
          <w:rFonts w:cs="Times New Roman"/>
          <w:szCs w:val="24"/>
          <w:lang w:val="fr-CA"/>
        </w:rPr>
        <w:t>est pas motivé. Il s</w:t>
      </w:r>
      <w:r>
        <w:rPr>
          <w:rFonts w:cs="Times New Roman"/>
          <w:szCs w:val="24"/>
          <w:lang w:val="fr-CA"/>
        </w:rPr>
        <w:t>’</w:t>
      </w:r>
      <w:r w:rsidRPr="00CA4523">
        <w:rPr>
          <w:rFonts w:cs="Times New Roman"/>
          <w:szCs w:val="24"/>
          <w:lang w:val="fr-CA"/>
        </w:rPr>
        <w:t>agit d</w:t>
      </w:r>
      <w:r>
        <w:rPr>
          <w:rFonts w:cs="Times New Roman"/>
          <w:szCs w:val="24"/>
          <w:lang w:val="fr-CA"/>
        </w:rPr>
        <w:t>’</w:t>
      </w:r>
      <w:r w:rsidRPr="00CA4523">
        <w:rPr>
          <w:rFonts w:cs="Times New Roman"/>
          <w:szCs w:val="24"/>
          <w:lang w:val="fr-CA"/>
        </w:rPr>
        <w:t>une condamnation à payer une somme d</w:t>
      </w:r>
      <w:r>
        <w:rPr>
          <w:rFonts w:cs="Times New Roman"/>
          <w:szCs w:val="24"/>
          <w:lang w:val="fr-CA"/>
        </w:rPr>
        <w:t>’</w:t>
      </w:r>
      <w:r w:rsidRPr="00CA4523">
        <w:rPr>
          <w:rFonts w:cs="Times New Roman"/>
          <w:szCs w:val="24"/>
          <w:lang w:val="fr-CA"/>
        </w:rPr>
        <w:t>argent, rien de plus. Enfin</w:t>
      </w:r>
      <w:r w:rsidRPr="00CA4523">
        <w:rPr>
          <w:rFonts w:cs="Times New Roman"/>
          <w:lang w:val="fr-CA"/>
        </w:rPr>
        <w:t xml:space="preserve">, les </w:t>
      </w:r>
      <w:r w:rsidRPr="007C5232">
        <w:rPr>
          <w:rFonts w:cs="Times New Roman"/>
          <w:lang w:val="fr-CA"/>
        </w:rPr>
        <w:t xml:space="preserve">conclusions </w:t>
      </w:r>
      <w:r w:rsidRPr="007C5232">
        <w:rPr>
          <w:rFonts w:cs="Times New Roman"/>
          <w:i/>
          <w:lang w:val="fr-CA"/>
        </w:rPr>
        <w:t xml:space="preserve">prima facie </w:t>
      </w:r>
      <w:r w:rsidRPr="007C5232">
        <w:rPr>
          <w:rFonts w:cs="Times New Roman"/>
          <w:lang w:val="fr-CA"/>
        </w:rPr>
        <w:t>tirées</w:t>
      </w:r>
      <w:r w:rsidRPr="00CA4523">
        <w:rPr>
          <w:rFonts w:cs="Times New Roman"/>
          <w:lang w:val="fr-CA"/>
        </w:rPr>
        <w:t xml:space="preserve"> par le tribunal de l</w:t>
      </w:r>
      <w:r>
        <w:rPr>
          <w:rFonts w:cs="Times New Roman"/>
          <w:lang w:val="fr-CA"/>
        </w:rPr>
        <w:t>’</w:t>
      </w:r>
      <w:r w:rsidRPr="00CA4523">
        <w:rPr>
          <w:rFonts w:cs="Times New Roman"/>
          <w:lang w:val="fr-CA"/>
        </w:rPr>
        <w:t>Utah dans son jugement rejetant la requête préliminaire de M.</w:t>
      </w:r>
      <w:r>
        <w:rPr>
          <w:rFonts w:cs="Times New Roman"/>
          <w:lang w:val="fr-CA"/>
        </w:rPr>
        <w:t> </w:t>
      </w:r>
      <w:r w:rsidRPr="00CA4523">
        <w:rPr>
          <w:rFonts w:cs="Times New Roman"/>
          <w:lang w:val="fr-CA"/>
        </w:rPr>
        <w:t xml:space="preserve">Barer étaient fondées sur des </w:t>
      </w:r>
      <w:r w:rsidRPr="00CA4523">
        <w:rPr>
          <w:rFonts w:cs="Times New Roman"/>
          <w:szCs w:val="24"/>
          <w:lang w:val="fr-CA"/>
        </w:rPr>
        <w:t xml:space="preserve">allégations tenues pour avérées et avaient uniquement pour objet de décider de permettre </w:t>
      </w:r>
      <w:r>
        <w:rPr>
          <w:rFonts w:cs="Times New Roman"/>
          <w:szCs w:val="24"/>
          <w:lang w:val="fr-CA"/>
        </w:rPr>
        <w:t xml:space="preserve">ou non </w:t>
      </w:r>
      <w:r w:rsidRPr="00CA4523">
        <w:rPr>
          <w:rFonts w:cs="Times New Roman"/>
          <w:szCs w:val="24"/>
          <w:lang w:val="fr-CA"/>
        </w:rPr>
        <w:t>que l</w:t>
      </w:r>
      <w:r>
        <w:rPr>
          <w:rFonts w:cs="Times New Roman"/>
          <w:szCs w:val="24"/>
          <w:lang w:val="fr-CA"/>
        </w:rPr>
        <w:t>’</w:t>
      </w:r>
      <w:r w:rsidRPr="00CA4523">
        <w:rPr>
          <w:rFonts w:cs="Times New Roman"/>
          <w:szCs w:val="24"/>
          <w:lang w:val="fr-CA"/>
        </w:rPr>
        <w:t>affaire soit instruite</w:t>
      </w:r>
      <w:r w:rsidRPr="00CA4523">
        <w:rPr>
          <w:rFonts w:cs="Times New Roman"/>
          <w:lang w:val="fr-CA"/>
        </w:rPr>
        <w:t xml:space="preserve">.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En clair, le fait que la décision de l</w:t>
      </w:r>
      <w:r>
        <w:rPr>
          <w:rFonts w:cs="Times New Roman"/>
          <w:lang w:val="fr-CA"/>
        </w:rPr>
        <w:t>’</w:t>
      </w:r>
      <w:r w:rsidRPr="00CA4523">
        <w:rPr>
          <w:rFonts w:cs="Times New Roman"/>
          <w:lang w:val="fr-CA"/>
        </w:rPr>
        <w:t xml:space="preserve">Utah </w:t>
      </w:r>
      <w:r>
        <w:rPr>
          <w:rFonts w:cs="Times New Roman"/>
          <w:lang w:val="fr-CA"/>
        </w:rPr>
        <w:t>ait été</w:t>
      </w:r>
      <w:r w:rsidRPr="00CA4523">
        <w:rPr>
          <w:rFonts w:cs="Times New Roman"/>
          <w:lang w:val="fr-CA"/>
        </w:rPr>
        <w:t xml:space="preserve"> un jugement par défaut n</w:t>
      </w:r>
      <w:r>
        <w:rPr>
          <w:rFonts w:cs="Times New Roman"/>
          <w:lang w:val="fr-CA"/>
        </w:rPr>
        <w:t>’est pas une raison pour</w:t>
      </w:r>
      <w:r w:rsidRPr="00CA4523">
        <w:rPr>
          <w:rFonts w:cs="Times New Roman"/>
          <w:lang w:val="fr-CA"/>
        </w:rPr>
        <w:t xml:space="preserve"> refuser de la reconnaître et de l</w:t>
      </w:r>
      <w:r>
        <w:rPr>
          <w:rFonts w:cs="Times New Roman"/>
          <w:lang w:val="fr-CA"/>
        </w:rPr>
        <w:t>’</w:t>
      </w:r>
      <w:r w:rsidRPr="00CA4523">
        <w:rPr>
          <w:rFonts w:cs="Times New Roman"/>
          <w:lang w:val="fr-CA"/>
        </w:rPr>
        <w:t xml:space="preserve">exécuter au Québec. Les jugements </w:t>
      </w:r>
      <w:r>
        <w:rPr>
          <w:rFonts w:cs="Times New Roman"/>
          <w:lang w:val="fr-CA"/>
        </w:rPr>
        <w:t>de ce type</w:t>
      </w:r>
      <w:r w:rsidRPr="00CA4523">
        <w:rPr>
          <w:rFonts w:cs="Times New Roman"/>
          <w:lang w:val="fr-CA"/>
        </w:rPr>
        <w:t xml:space="preserve"> rendus à l</w:t>
      </w:r>
      <w:r>
        <w:rPr>
          <w:rFonts w:cs="Times New Roman"/>
          <w:lang w:val="fr-CA"/>
        </w:rPr>
        <w:t>’</w:t>
      </w:r>
      <w:r w:rsidRPr="00CA4523">
        <w:rPr>
          <w:rFonts w:cs="Times New Roman"/>
          <w:lang w:val="fr-CA"/>
        </w:rPr>
        <w:t>étranger sont susceptibles d</w:t>
      </w:r>
      <w:r>
        <w:rPr>
          <w:rFonts w:cs="Times New Roman"/>
          <w:lang w:val="fr-CA"/>
        </w:rPr>
        <w:t>’</w:t>
      </w:r>
      <w:r w:rsidRPr="00CA4523">
        <w:rPr>
          <w:rFonts w:cs="Times New Roman"/>
          <w:lang w:val="fr-CA"/>
        </w:rPr>
        <w:t>être reconnus au Québec au même titre que les autres décisions, dès lors qu</w:t>
      </w:r>
      <w:r>
        <w:rPr>
          <w:rFonts w:cs="Times New Roman"/>
          <w:lang w:val="fr-CA"/>
        </w:rPr>
        <w:t>’il est satisfait aux</w:t>
      </w:r>
      <w:r w:rsidRPr="00CA4523">
        <w:rPr>
          <w:rFonts w:cs="Times New Roman"/>
          <w:lang w:val="fr-CA"/>
        </w:rPr>
        <w:t xml:space="preserve"> exigences de</w:t>
      </w:r>
      <w:r>
        <w:rPr>
          <w:rFonts w:cs="Times New Roman"/>
          <w:lang w:val="fr-CA"/>
        </w:rPr>
        <w:t>s</w:t>
      </w:r>
      <w:r w:rsidRPr="00CA4523">
        <w:rPr>
          <w:rFonts w:cs="Times New Roman"/>
          <w:lang w:val="fr-CA"/>
        </w:rPr>
        <w:t xml:space="preserve"> </w:t>
      </w:r>
      <w:r>
        <w:rPr>
          <w:rFonts w:cs="Times New Roman"/>
          <w:lang w:val="fr-CA"/>
        </w:rPr>
        <w:t>art. </w:t>
      </w:r>
      <w:r w:rsidRPr="00CA4523">
        <w:rPr>
          <w:rFonts w:cs="Times New Roman"/>
          <w:lang w:val="fr-CA"/>
        </w:rPr>
        <w:t>3156 </w:t>
      </w:r>
      <w:r w:rsidRPr="00CA4523">
        <w:rPr>
          <w:rFonts w:cs="Times New Roman"/>
          <w:i/>
          <w:lang w:val="fr-CA"/>
        </w:rPr>
        <w:t>C.c.Q.</w:t>
      </w:r>
      <w:r w:rsidRPr="00CA4523">
        <w:rPr>
          <w:rFonts w:cs="Times New Roman"/>
          <w:i/>
          <w:szCs w:val="24"/>
          <w:lang w:val="fr-CA"/>
        </w:rPr>
        <w:t xml:space="preserve"> </w:t>
      </w:r>
      <w:r w:rsidRPr="00CA4523">
        <w:rPr>
          <w:rFonts w:cs="Times New Roman"/>
          <w:szCs w:val="24"/>
          <w:lang w:val="fr-CA"/>
        </w:rPr>
        <w:t>et 786 </w:t>
      </w:r>
      <w:r>
        <w:rPr>
          <w:rFonts w:cs="Times New Roman"/>
          <w:szCs w:val="24"/>
          <w:lang w:val="fr-CA"/>
        </w:rPr>
        <w:t>al. </w:t>
      </w:r>
      <w:r w:rsidRPr="00CA4523">
        <w:rPr>
          <w:rFonts w:cs="Times New Roman"/>
          <w:szCs w:val="24"/>
          <w:lang w:val="fr-CA"/>
        </w:rPr>
        <w:t>2 </w:t>
      </w:r>
      <w:r w:rsidR="00723F24">
        <w:rPr>
          <w:rFonts w:cs="Times New Roman"/>
          <w:szCs w:val="24"/>
          <w:lang w:val="fr-CA"/>
        </w:rPr>
        <w:t xml:space="preserve">ancien </w:t>
      </w:r>
      <w:r w:rsidRPr="00CA4523">
        <w:rPr>
          <w:rFonts w:cs="Times New Roman"/>
          <w:i/>
          <w:szCs w:val="24"/>
          <w:lang w:val="fr-CA"/>
        </w:rPr>
        <w:t xml:space="preserve">C.p.c. </w:t>
      </w:r>
      <w:r w:rsidRPr="00CA4523">
        <w:rPr>
          <w:rFonts w:cs="Times New Roman"/>
          <w:szCs w:val="24"/>
          <w:lang w:val="fr-CA"/>
        </w:rPr>
        <w:t>(maintenant l</w:t>
      </w:r>
      <w:r>
        <w:rPr>
          <w:rFonts w:cs="Times New Roman"/>
          <w:szCs w:val="24"/>
          <w:lang w:val="fr-CA"/>
        </w:rPr>
        <w:t>’art. </w:t>
      </w:r>
      <w:r w:rsidRPr="00CA4523">
        <w:rPr>
          <w:rFonts w:cs="Times New Roman"/>
          <w:szCs w:val="24"/>
          <w:lang w:val="fr-CA"/>
        </w:rPr>
        <w:t>508 </w:t>
      </w:r>
      <w:r>
        <w:rPr>
          <w:rFonts w:cs="Times New Roman"/>
          <w:szCs w:val="24"/>
          <w:lang w:val="fr-CA"/>
        </w:rPr>
        <w:t>al. </w:t>
      </w:r>
      <w:r w:rsidRPr="00CA4523">
        <w:rPr>
          <w:rFonts w:cs="Times New Roman"/>
          <w:szCs w:val="24"/>
          <w:lang w:val="fr-CA"/>
        </w:rPr>
        <w:t>2 </w:t>
      </w:r>
      <w:r w:rsidRPr="00723F24">
        <w:rPr>
          <w:rFonts w:cs="Times New Roman"/>
          <w:szCs w:val="24"/>
          <w:lang w:val="fr-CA"/>
        </w:rPr>
        <w:t>n</w:t>
      </w:r>
      <w:r w:rsidR="00723F24" w:rsidRPr="00723F24">
        <w:rPr>
          <w:rFonts w:cs="Times New Roman"/>
          <w:szCs w:val="24"/>
          <w:lang w:val="fr-CA"/>
        </w:rPr>
        <w:t>ouveau</w:t>
      </w:r>
      <w:r w:rsidR="00723F24">
        <w:rPr>
          <w:rFonts w:cs="Times New Roman"/>
          <w:i/>
          <w:szCs w:val="24"/>
          <w:lang w:val="fr-CA"/>
        </w:rPr>
        <w:t xml:space="preserve"> </w:t>
      </w:r>
      <w:r w:rsidRPr="00CA4523">
        <w:rPr>
          <w:rFonts w:cs="Times New Roman"/>
          <w:i/>
          <w:szCs w:val="24"/>
          <w:lang w:val="fr-CA"/>
        </w:rPr>
        <w:t>C.p.c.</w:t>
      </w:r>
      <w:r w:rsidRPr="00CA4523">
        <w:rPr>
          <w:rFonts w:cs="Times New Roman"/>
          <w:szCs w:val="24"/>
          <w:lang w:val="fr-CA"/>
        </w:rPr>
        <w:t>) (</w:t>
      </w:r>
      <w:r w:rsidRPr="00CA4523">
        <w:rPr>
          <w:rFonts w:cs="Times New Roman"/>
          <w:i/>
          <w:szCs w:val="24"/>
          <w:lang w:val="fr-CA"/>
        </w:rPr>
        <w:t>Yousuf</w:t>
      </w:r>
      <w:r w:rsidRPr="00CA4523">
        <w:rPr>
          <w:rFonts w:cs="Times New Roman"/>
          <w:szCs w:val="24"/>
          <w:lang w:val="fr-CA"/>
        </w:rPr>
        <w:t xml:space="preserve">, </w:t>
      </w:r>
      <w:r>
        <w:rPr>
          <w:rFonts w:cs="Times New Roman"/>
          <w:szCs w:val="24"/>
          <w:lang w:val="fr-CA"/>
        </w:rPr>
        <w:t>par. </w:t>
      </w:r>
      <w:r w:rsidRPr="00CA4523">
        <w:rPr>
          <w:rFonts w:cs="Times New Roman"/>
          <w:szCs w:val="24"/>
          <w:lang w:val="fr-CA"/>
        </w:rPr>
        <w:t>17</w:t>
      </w:r>
      <w:r>
        <w:rPr>
          <w:rFonts w:cs="Times New Roman"/>
          <w:szCs w:val="24"/>
          <w:lang w:val="fr-CA"/>
        </w:rPr>
        <w:noBreakHyphen/>
      </w:r>
      <w:r w:rsidRPr="00CA4523">
        <w:rPr>
          <w:rFonts w:cs="Times New Roman"/>
          <w:szCs w:val="24"/>
          <w:lang w:val="fr-CA"/>
        </w:rPr>
        <w:t>19; voir également</w:t>
      </w:r>
      <w:r w:rsidRPr="00E828CF">
        <w:rPr>
          <w:rFonts w:cs="Times New Roman"/>
          <w:szCs w:val="24"/>
          <w:lang w:val="fr-CA"/>
        </w:rPr>
        <w:t>, en common</w:t>
      </w:r>
      <w:r w:rsidRPr="00CA4523">
        <w:rPr>
          <w:rFonts w:cs="Times New Roman"/>
          <w:szCs w:val="24"/>
          <w:lang w:val="fr-CA"/>
        </w:rPr>
        <w:t xml:space="preserve"> law, </w:t>
      </w:r>
      <w:r w:rsidRPr="00CA4523">
        <w:rPr>
          <w:rFonts w:cs="Times New Roman"/>
          <w:i/>
          <w:szCs w:val="24"/>
          <w:lang w:val="fr-CA"/>
        </w:rPr>
        <w:t>Beals c. Saldanha</w:t>
      </w:r>
      <w:r w:rsidRPr="00CA4523">
        <w:rPr>
          <w:rFonts w:cs="Times New Roman"/>
          <w:szCs w:val="24"/>
          <w:lang w:val="fr-CA"/>
        </w:rPr>
        <w:t xml:space="preserve">, 2003 CSC 72, [2003] 3 R.C.S. 416, </w:t>
      </w:r>
      <w:r>
        <w:rPr>
          <w:rFonts w:cs="Times New Roman"/>
          <w:szCs w:val="24"/>
          <w:lang w:val="fr-CA"/>
        </w:rPr>
        <w:t>par. </w:t>
      </w:r>
      <w:r w:rsidRPr="00CA4523">
        <w:rPr>
          <w:rFonts w:cs="Times New Roman"/>
          <w:szCs w:val="24"/>
          <w:lang w:val="fr-CA"/>
        </w:rPr>
        <w:t>31). Il n</w:t>
      </w:r>
      <w:r>
        <w:rPr>
          <w:rFonts w:cs="Times New Roman"/>
          <w:szCs w:val="24"/>
          <w:lang w:val="fr-CA"/>
        </w:rPr>
        <w:t>’</w:t>
      </w:r>
      <w:r w:rsidRPr="00CA4523">
        <w:rPr>
          <w:rFonts w:cs="Times New Roman"/>
          <w:szCs w:val="24"/>
          <w:lang w:val="fr-CA"/>
        </w:rPr>
        <w:t xml:space="preserve">est pas non plus indispensable que la décision étrangère soit motivée (G. Goldstein, </w:t>
      </w:r>
      <w:r>
        <w:rPr>
          <w:rFonts w:cs="Times New Roman"/>
          <w:szCs w:val="24"/>
          <w:lang w:val="fr-CA"/>
        </w:rPr>
        <w:t>« Principes généraux et conditions générales de reconnaissance et d’exécution »</w:t>
      </w:r>
      <w:r w:rsidR="00B66FA5">
        <w:rPr>
          <w:rFonts w:cs="Times New Roman"/>
          <w:szCs w:val="24"/>
          <w:lang w:val="fr-CA"/>
        </w:rPr>
        <w:t>,</w:t>
      </w:r>
      <w:r>
        <w:rPr>
          <w:rFonts w:cs="Times New Roman"/>
          <w:szCs w:val="24"/>
          <w:lang w:val="fr-CA"/>
        </w:rPr>
        <w:t xml:space="preserve"> dans </w:t>
      </w:r>
      <w:r w:rsidRPr="00CA4523">
        <w:rPr>
          <w:rFonts w:cs="Times New Roman"/>
          <w:i/>
          <w:szCs w:val="24"/>
          <w:lang w:val="fr-CA"/>
        </w:rPr>
        <w:t>JurisClasseur Québec</w:t>
      </w:r>
      <w:r>
        <w:rPr>
          <w:rFonts w:cs="Times New Roman"/>
          <w:i/>
          <w:szCs w:val="24"/>
          <w:lang w:val="fr-CA"/>
        </w:rPr>
        <w:t xml:space="preserve"> —</w:t>
      </w:r>
      <w:r w:rsidRPr="00CA4523">
        <w:rPr>
          <w:rFonts w:cs="Times New Roman"/>
          <w:i/>
          <w:szCs w:val="24"/>
          <w:lang w:val="fr-CA"/>
        </w:rPr>
        <w:t xml:space="preserve"> </w:t>
      </w:r>
      <w:r w:rsidRPr="00943775">
        <w:rPr>
          <w:rFonts w:cs="Times New Roman"/>
          <w:i/>
          <w:szCs w:val="24"/>
          <w:lang w:val="fr-CA"/>
        </w:rPr>
        <w:t>Droit international privé</w:t>
      </w:r>
      <w:r w:rsidRPr="00CA4523">
        <w:rPr>
          <w:rFonts w:cs="Times New Roman"/>
          <w:i/>
          <w:szCs w:val="24"/>
          <w:lang w:val="fr-CA"/>
        </w:rPr>
        <w:t xml:space="preserve"> </w:t>
      </w:r>
      <w:r>
        <w:rPr>
          <w:rFonts w:cs="Times New Roman"/>
          <w:szCs w:val="24"/>
          <w:lang w:val="fr-CA"/>
        </w:rPr>
        <w:t>(feuille</w:t>
      </w:r>
      <w:r w:rsidR="00134631">
        <w:rPr>
          <w:rFonts w:cs="Times New Roman"/>
          <w:szCs w:val="24"/>
          <w:lang w:val="fr-CA"/>
        </w:rPr>
        <w:t>s mobiles), par P.</w:t>
      </w:r>
      <w:r w:rsidR="00134631">
        <w:rPr>
          <w:rFonts w:cs="Times New Roman"/>
          <w:szCs w:val="24"/>
          <w:lang w:val="fr-CA"/>
        </w:rPr>
        <w:noBreakHyphen/>
        <w:t>C. Lafond, dir</w:t>
      </w:r>
      <w:r>
        <w:rPr>
          <w:rFonts w:cs="Times New Roman"/>
          <w:szCs w:val="24"/>
          <w:lang w:val="fr-CA"/>
        </w:rPr>
        <w:t>., fasc. 10, par. </w:t>
      </w:r>
      <w:r w:rsidRPr="00CA4523">
        <w:rPr>
          <w:rFonts w:cs="Times New Roman"/>
          <w:szCs w:val="24"/>
          <w:lang w:val="fr-CA"/>
        </w:rPr>
        <w:t xml:space="preserve">71; </w:t>
      </w:r>
      <w:r>
        <w:rPr>
          <w:rFonts w:cs="Times New Roman"/>
          <w:i/>
          <w:szCs w:val="24"/>
          <w:lang w:val="fr-CA"/>
        </w:rPr>
        <w:t>Society of Lloyd’</w:t>
      </w:r>
      <w:r w:rsidRPr="00CA4523">
        <w:rPr>
          <w:rFonts w:cs="Times New Roman"/>
          <w:i/>
          <w:szCs w:val="24"/>
          <w:lang w:val="fr-CA"/>
        </w:rPr>
        <w:t>s c. Alper</w:t>
      </w:r>
      <w:r w:rsidRPr="00CA4523">
        <w:rPr>
          <w:rFonts w:cs="Times New Roman"/>
          <w:szCs w:val="24"/>
          <w:lang w:val="fr-CA"/>
        </w:rPr>
        <w:t xml:space="preserve">, 2006 QCCS 1203, </w:t>
      </w:r>
      <w:r>
        <w:rPr>
          <w:rFonts w:cs="Times New Roman"/>
          <w:szCs w:val="24"/>
          <w:lang w:val="fr-CA"/>
        </w:rPr>
        <w:t>par. </w:t>
      </w:r>
      <w:r w:rsidRPr="00CA4523">
        <w:rPr>
          <w:rFonts w:cs="Times New Roman"/>
          <w:szCs w:val="24"/>
          <w:lang w:val="fr-CA"/>
        </w:rPr>
        <w:t>82</w:t>
      </w:r>
      <w:r>
        <w:rPr>
          <w:rFonts w:cs="Times New Roman"/>
          <w:szCs w:val="24"/>
          <w:lang w:val="fr-CA"/>
        </w:rPr>
        <w:noBreakHyphen/>
      </w:r>
      <w:r w:rsidRPr="00CA4523">
        <w:rPr>
          <w:rFonts w:cs="Times New Roman"/>
          <w:szCs w:val="24"/>
          <w:lang w:val="fr-CA"/>
        </w:rPr>
        <w:t>87</w:t>
      </w:r>
      <w:r>
        <w:rPr>
          <w:rFonts w:cs="Times New Roman"/>
          <w:szCs w:val="24"/>
          <w:lang w:val="fr-CA"/>
        </w:rPr>
        <w:t xml:space="preserve"> (CanLII)</w:t>
      </w:r>
      <w:r w:rsidRPr="00CA4523">
        <w:rPr>
          <w:rFonts w:cs="Times New Roman"/>
          <w:szCs w:val="24"/>
          <w:lang w:val="fr-CA"/>
        </w:rPr>
        <w:t>).</w:t>
      </w:r>
    </w:p>
    <w:p w:rsidR="00AF6697" w:rsidRPr="00CA4523" w:rsidRDefault="00AF6697" w:rsidP="00AF6697">
      <w:pPr>
        <w:pStyle w:val="ParaNoNdepar-AltN"/>
        <w:tabs>
          <w:tab w:val="clear" w:pos="1166"/>
          <w:tab w:val="num" w:pos="1152"/>
        </w:tabs>
        <w:rPr>
          <w:rFonts w:cs="Times New Roman"/>
          <w:lang w:val="fr-CA"/>
        </w:rPr>
      </w:pPr>
      <w:r>
        <w:rPr>
          <w:rFonts w:cs="Times New Roman"/>
          <w:lang w:val="fr-CA"/>
        </w:rPr>
        <w:t>Malgré tout, s</w:t>
      </w:r>
      <w:r w:rsidRPr="006B3C14">
        <w:rPr>
          <w:rFonts w:cs="Times New Roman"/>
          <w:lang w:val="fr-CA"/>
        </w:rPr>
        <w:t>elon les</w:t>
      </w:r>
      <w:r w:rsidRPr="00CA4523">
        <w:rPr>
          <w:rFonts w:cs="Times New Roman"/>
          <w:lang w:val="fr-CA"/>
        </w:rPr>
        <w:t xml:space="preserve"> règles du </w:t>
      </w:r>
      <w:r w:rsidRPr="00CA4523">
        <w:rPr>
          <w:rFonts w:cs="Times New Roman"/>
          <w:i/>
          <w:lang w:val="fr-CA"/>
        </w:rPr>
        <w:t>Code civil</w:t>
      </w:r>
      <w:r>
        <w:rPr>
          <w:rFonts w:cs="Times New Roman"/>
          <w:lang w:val="fr-CA"/>
        </w:rPr>
        <w:t>,</w:t>
      </w:r>
      <w:r w:rsidRPr="00CA4523">
        <w:rPr>
          <w:rFonts w:cs="Times New Roman"/>
          <w:lang w:val="fr-CA"/>
        </w:rPr>
        <w:t xml:space="preserve"> Knight </w:t>
      </w:r>
      <w:r>
        <w:rPr>
          <w:rFonts w:cs="Times New Roman"/>
          <w:lang w:val="fr-CA"/>
        </w:rPr>
        <w:t>ne pouvai</w:t>
      </w:r>
      <w:r w:rsidRPr="00CA4523">
        <w:rPr>
          <w:rFonts w:cs="Times New Roman"/>
          <w:lang w:val="fr-CA"/>
        </w:rPr>
        <w:t xml:space="preserve">t </w:t>
      </w:r>
      <w:r>
        <w:rPr>
          <w:rFonts w:cs="Times New Roman"/>
          <w:lang w:val="fr-CA"/>
        </w:rPr>
        <w:t xml:space="preserve">pas </w:t>
      </w:r>
      <w:r w:rsidRPr="00CA4523">
        <w:rPr>
          <w:rFonts w:cs="Times New Roman"/>
          <w:lang w:val="fr-CA"/>
        </w:rPr>
        <w:t>pour autant s</w:t>
      </w:r>
      <w:r>
        <w:rPr>
          <w:rFonts w:cs="Times New Roman"/>
          <w:lang w:val="fr-CA"/>
        </w:rPr>
        <w:t>’</w:t>
      </w:r>
      <w:r w:rsidRPr="00CA4523">
        <w:rPr>
          <w:rFonts w:cs="Times New Roman"/>
          <w:lang w:val="fr-CA"/>
        </w:rPr>
        <w:t xml:space="preserve">en remettre exclusivement aux allégations formulées dans </w:t>
      </w:r>
      <w:r>
        <w:rPr>
          <w:rFonts w:cs="Times New Roman"/>
          <w:lang w:val="fr-CA"/>
        </w:rPr>
        <w:t>les</w:t>
      </w:r>
      <w:r w:rsidRPr="00CA4523">
        <w:rPr>
          <w:rFonts w:cs="Times New Roman"/>
          <w:lang w:val="fr-CA"/>
        </w:rPr>
        <w:t xml:space="preserve"> actes de procédure </w:t>
      </w:r>
      <w:r>
        <w:rPr>
          <w:rFonts w:cs="Times New Roman"/>
          <w:lang w:val="fr-CA"/>
        </w:rPr>
        <w:t>qu’elle a elle</w:t>
      </w:r>
      <w:r>
        <w:rPr>
          <w:rFonts w:cs="Times New Roman"/>
          <w:lang w:val="fr-CA"/>
        </w:rPr>
        <w:noBreakHyphen/>
        <w:t xml:space="preserve">même déposés </w:t>
      </w:r>
      <w:r w:rsidRPr="00CA4523">
        <w:rPr>
          <w:rFonts w:cs="Times New Roman"/>
          <w:lang w:val="fr-CA"/>
        </w:rPr>
        <w:t>devant le tribunal de l</w:t>
      </w:r>
      <w:r>
        <w:rPr>
          <w:rFonts w:cs="Times New Roman"/>
          <w:lang w:val="fr-CA"/>
        </w:rPr>
        <w:t>’</w:t>
      </w:r>
      <w:r w:rsidRPr="00CA4523">
        <w:rPr>
          <w:rFonts w:cs="Times New Roman"/>
          <w:lang w:val="fr-CA"/>
        </w:rPr>
        <w:t>Utah pour établir la compétence de ce derni</w:t>
      </w:r>
      <w:r>
        <w:rPr>
          <w:rFonts w:cs="Times New Roman"/>
          <w:lang w:val="fr-CA"/>
        </w:rPr>
        <w:t>er</w:t>
      </w:r>
      <w:r w:rsidRPr="00CA4523">
        <w:rPr>
          <w:rFonts w:cs="Times New Roman"/>
          <w:lang w:val="fr-CA"/>
        </w:rPr>
        <w:t xml:space="preserve"> à l</w:t>
      </w:r>
      <w:r>
        <w:rPr>
          <w:rFonts w:cs="Times New Roman"/>
          <w:lang w:val="fr-CA"/>
        </w:rPr>
        <w:t>’</w:t>
      </w:r>
      <w:r w:rsidRPr="00CA4523">
        <w:rPr>
          <w:rFonts w:cs="Times New Roman"/>
          <w:lang w:val="fr-CA"/>
        </w:rPr>
        <w:t>égard de M.</w:t>
      </w:r>
      <w:r>
        <w:rPr>
          <w:rFonts w:cs="Times New Roman"/>
          <w:lang w:val="fr-CA"/>
        </w:rPr>
        <w:t> </w:t>
      </w:r>
      <w:r w:rsidRPr="00CA4523">
        <w:rPr>
          <w:rFonts w:cs="Times New Roman"/>
          <w:lang w:val="fr-CA"/>
        </w:rPr>
        <w:t xml:space="preserve">Barer. </w:t>
      </w:r>
      <w:r>
        <w:rPr>
          <w:rFonts w:cs="Times New Roman"/>
          <w:lang w:val="fr-CA"/>
        </w:rPr>
        <w:t>Elle devait</w:t>
      </w:r>
      <w:r w:rsidRPr="00CA4523">
        <w:rPr>
          <w:rFonts w:cs="Times New Roman"/>
          <w:lang w:val="fr-CA"/>
        </w:rPr>
        <w:t xml:space="preserve"> soumettre des éléments de preuve au tribunal </w:t>
      </w:r>
      <w:r>
        <w:rPr>
          <w:rFonts w:cs="Times New Roman"/>
          <w:lang w:val="fr-CA"/>
        </w:rPr>
        <w:t xml:space="preserve">d’exécution </w:t>
      </w:r>
      <w:r w:rsidRPr="00CA4523">
        <w:rPr>
          <w:rFonts w:cs="Times New Roman"/>
          <w:lang w:val="fr-CA"/>
        </w:rPr>
        <w:t>québécois pour s</w:t>
      </w:r>
      <w:r>
        <w:rPr>
          <w:rFonts w:cs="Times New Roman"/>
          <w:lang w:val="fr-CA"/>
        </w:rPr>
        <w:t>’</w:t>
      </w:r>
      <w:r w:rsidRPr="00CA4523">
        <w:rPr>
          <w:rFonts w:cs="Times New Roman"/>
          <w:lang w:val="fr-CA"/>
        </w:rPr>
        <w:t>acquitter d</w:t>
      </w:r>
      <w:r>
        <w:rPr>
          <w:rFonts w:cs="Times New Roman"/>
          <w:lang w:val="fr-CA"/>
        </w:rPr>
        <w:t>e son</w:t>
      </w:r>
      <w:r w:rsidRPr="00CA4523">
        <w:rPr>
          <w:rFonts w:cs="Times New Roman"/>
          <w:lang w:val="fr-CA"/>
        </w:rPr>
        <w:t xml:space="preserve"> fardeau de démontrer l</w:t>
      </w:r>
      <w:r>
        <w:rPr>
          <w:rFonts w:cs="Times New Roman"/>
          <w:lang w:val="fr-CA"/>
        </w:rPr>
        <w:t>’</w:t>
      </w:r>
      <w:r w:rsidRPr="00CA4523">
        <w:rPr>
          <w:rFonts w:cs="Times New Roman"/>
          <w:lang w:val="fr-CA"/>
        </w:rPr>
        <w:t>existence des chefs de compétence de l</w:t>
      </w:r>
      <w:r>
        <w:rPr>
          <w:rFonts w:cs="Times New Roman"/>
          <w:lang w:val="fr-CA"/>
        </w:rPr>
        <w:t>’</w:t>
      </w:r>
      <w:r w:rsidRPr="00CA4523">
        <w:rPr>
          <w:rFonts w:cs="Times New Roman"/>
          <w:lang w:val="fr-CA"/>
        </w:rPr>
        <w:t>autorité étrangère énumérés à l</w:t>
      </w:r>
      <w:r>
        <w:rPr>
          <w:rFonts w:cs="Times New Roman"/>
          <w:lang w:val="fr-CA"/>
        </w:rPr>
        <w:t>’art. </w:t>
      </w:r>
      <w:r w:rsidRPr="00CA4523">
        <w:rPr>
          <w:rFonts w:cs="Times New Roman"/>
          <w:lang w:val="fr-CA"/>
        </w:rPr>
        <w:t>3168 </w:t>
      </w:r>
      <w:r w:rsidRPr="00CA4523">
        <w:rPr>
          <w:rFonts w:cs="Times New Roman"/>
          <w:i/>
          <w:lang w:val="fr-CA"/>
        </w:rPr>
        <w:t xml:space="preserve">C.c.Q. </w:t>
      </w:r>
      <w:r w:rsidRPr="00CA4523">
        <w:rPr>
          <w:rFonts w:cs="Times New Roman"/>
          <w:lang w:val="fr-CA"/>
        </w:rPr>
        <w:t xml:space="preserve">sur lesquels elle se fondait. </w:t>
      </w:r>
      <w:r>
        <w:rPr>
          <w:rFonts w:cs="Times New Roman"/>
          <w:lang w:val="fr-CA"/>
        </w:rPr>
        <w:t>Je le répète, u</w:t>
      </w:r>
      <w:r w:rsidRPr="00CA4523">
        <w:rPr>
          <w:rFonts w:cs="Times New Roman"/>
          <w:lang w:val="fr-CA"/>
        </w:rPr>
        <w:t xml:space="preserve">ne requête en </w:t>
      </w:r>
      <w:r w:rsidRPr="00CA4523">
        <w:rPr>
          <w:rFonts w:cs="Times New Roman"/>
          <w:lang w:val="fr-CA"/>
        </w:rPr>
        <w:lastRenderedPageBreak/>
        <w:t>reconnaissance et en exécution d</w:t>
      </w:r>
      <w:r>
        <w:rPr>
          <w:rFonts w:cs="Times New Roman"/>
          <w:lang w:val="fr-CA"/>
        </w:rPr>
        <w:t>’</w:t>
      </w:r>
      <w:r w:rsidRPr="00CA4523">
        <w:rPr>
          <w:rFonts w:cs="Times New Roman"/>
          <w:lang w:val="fr-CA"/>
        </w:rPr>
        <w:t xml:space="preserve">un jugement étranger « constitue </w:t>
      </w:r>
      <w:r w:rsidRPr="00CA4523">
        <w:rPr>
          <w:lang w:val="fr-FR"/>
        </w:rPr>
        <w:t>une demande en justice qui donne ouverture à un débat contradictoire régi par les règles générales de la procédure civile »</w:t>
      </w:r>
      <w:r w:rsidRPr="00CA4523">
        <w:rPr>
          <w:rFonts w:cs="Times New Roman"/>
          <w:lang w:val="fr-CA"/>
        </w:rPr>
        <w:t xml:space="preserve"> (</w:t>
      </w:r>
      <w:r w:rsidRPr="00CA4523">
        <w:rPr>
          <w:rFonts w:cs="Times New Roman"/>
          <w:i/>
          <w:lang w:val="fr-CA"/>
        </w:rPr>
        <w:t>Kuwait Airways</w:t>
      </w:r>
      <w:r w:rsidRPr="00CA4523">
        <w:rPr>
          <w:rFonts w:cs="Times New Roman"/>
          <w:lang w:val="fr-CA"/>
        </w:rPr>
        <w:t xml:space="preserve">, </w:t>
      </w:r>
      <w:r>
        <w:rPr>
          <w:rFonts w:cs="Times New Roman"/>
          <w:lang w:val="fr-CA"/>
        </w:rPr>
        <w:t>par. </w:t>
      </w:r>
      <w:r w:rsidRPr="00CA4523">
        <w:rPr>
          <w:rFonts w:cs="Times New Roman"/>
          <w:lang w:val="fr-CA"/>
        </w:rPr>
        <w:t xml:space="preserve">20). Dans ce contexte, les parties ne sont pas exemptées des exigences </w:t>
      </w:r>
      <w:r>
        <w:rPr>
          <w:rFonts w:cs="Times New Roman"/>
          <w:lang w:val="fr-CA"/>
        </w:rPr>
        <w:t>énoncées à</w:t>
      </w:r>
      <w:r w:rsidRPr="00CA4523">
        <w:rPr>
          <w:rFonts w:cs="Times New Roman"/>
          <w:lang w:val="fr-CA"/>
        </w:rPr>
        <w:t xml:space="preserve"> l</w:t>
      </w:r>
      <w:r>
        <w:rPr>
          <w:rFonts w:cs="Times New Roman"/>
          <w:lang w:val="fr-CA"/>
        </w:rPr>
        <w:t>’art. </w:t>
      </w:r>
      <w:r w:rsidRPr="00CA4523">
        <w:rPr>
          <w:rFonts w:cs="Times New Roman"/>
          <w:lang w:val="fr-CA"/>
        </w:rPr>
        <w:t xml:space="preserve">2803 </w:t>
      </w:r>
      <w:r w:rsidRPr="00CA4523">
        <w:rPr>
          <w:rFonts w:cs="Times New Roman"/>
          <w:i/>
          <w:lang w:val="fr-CA"/>
        </w:rPr>
        <w:t>C.c.Q.</w:t>
      </w:r>
      <w:r w:rsidRPr="00CA4523">
        <w:rPr>
          <w:rFonts w:cs="Times New Roman"/>
          <w:lang w:val="fr-CA"/>
        </w:rPr>
        <w:t xml:space="preserve"> Le demandeur doit </w:t>
      </w:r>
      <w:r>
        <w:rPr>
          <w:rFonts w:cs="Times New Roman"/>
          <w:lang w:val="fr-CA"/>
        </w:rPr>
        <w:t>prouv</w:t>
      </w:r>
      <w:r w:rsidRPr="00CA4523">
        <w:rPr>
          <w:rFonts w:cs="Times New Roman"/>
          <w:lang w:val="fr-CA"/>
        </w:rPr>
        <w:t>er les faits sur lesquels se fonde le droit qu</w:t>
      </w:r>
      <w:r>
        <w:rPr>
          <w:rFonts w:cs="Times New Roman"/>
          <w:lang w:val="fr-CA"/>
        </w:rPr>
        <w:t>’</w:t>
      </w:r>
      <w:r w:rsidRPr="00CA4523">
        <w:rPr>
          <w:rFonts w:cs="Times New Roman"/>
          <w:lang w:val="fr-CA"/>
        </w:rPr>
        <w:t>il invoque à la reconnaissance et à l</w:t>
      </w:r>
      <w:r>
        <w:rPr>
          <w:rFonts w:cs="Times New Roman"/>
          <w:lang w:val="fr-CA"/>
        </w:rPr>
        <w:t>’</w:t>
      </w:r>
      <w:r w:rsidRPr="00CA4523">
        <w:rPr>
          <w:rFonts w:cs="Times New Roman"/>
          <w:lang w:val="fr-CA"/>
        </w:rPr>
        <w:t xml:space="preserve">exécution de la décision étrangère. Il appartient au tribunal </w:t>
      </w:r>
      <w:r>
        <w:rPr>
          <w:rFonts w:cs="Times New Roman"/>
          <w:lang w:val="fr-CA"/>
        </w:rPr>
        <w:t xml:space="preserve">d’exécution </w:t>
      </w:r>
      <w:r w:rsidRPr="00CA4523">
        <w:rPr>
          <w:rFonts w:cs="Times New Roman"/>
          <w:lang w:val="fr-CA"/>
        </w:rPr>
        <w:t>québécois d</w:t>
      </w:r>
      <w:r>
        <w:rPr>
          <w:rFonts w:cs="Times New Roman"/>
          <w:lang w:val="fr-CA"/>
        </w:rPr>
        <w:t>’</w:t>
      </w:r>
      <w:r w:rsidRPr="00CA4523">
        <w:rPr>
          <w:rFonts w:cs="Times New Roman"/>
          <w:lang w:val="fr-CA"/>
        </w:rPr>
        <w:t>examiner la preuve pour s</w:t>
      </w:r>
      <w:r>
        <w:rPr>
          <w:rFonts w:cs="Times New Roman"/>
          <w:lang w:val="fr-CA"/>
        </w:rPr>
        <w:t>’</w:t>
      </w:r>
      <w:r w:rsidRPr="00CA4523">
        <w:rPr>
          <w:rFonts w:cs="Times New Roman"/>
          <w:lang w:val="fr-CA"/>
        </w:rPr>
        <w:t xml:space="preserve">assurer que le tribunal </w:t>
      </w:r>
      <w:r>
        <w:rPr>
          <w:rFonts w:cs="Times New Roman"/>
          <w:lang w:val="fr-CA"/>
        </w:rPr>
        <w:t xml:space="preserve">étranger </w:t>
      </w:r>
      <w:r w:rsidRPr="00CA4523">
        <w:rPr>
          <w:rFonts w:cs="Times New Roman"/>
          <w:lang w:val="fr-CA"/>
        </w:rPr>
        <w:t xml:space="preserve">avait compétence </w:t>
      </w:r>
      <w:r>
        <w:rPr>
          <w:rFonts w:cs="Times New Roman"/>
          <w:lang w:val="fr-CA"/>
        </w:rPr>
        <w:t>suivant les</w:t>
      </w:r>
      <w:r w:rsidRPr="00CA4523">
        <w:rPr>
          <w:rFonts w:cs="Times New Roman"/>
          <w:lang w:val="fr-CA"/>
        </w:rPr>
        <w:t xml:space="preserve"> </w:t>
      </w:r>
      <w:r w:rsidRPr="00CA4523">
        <w:rPr>
          <w:rFonts w:cs="Times New Roman"/>
          <w:szCs w:val="24"/>
          <w:lang w:val="fr-CA"/>
        </w:rPr>
        <w:t xml:space="preserve">règles </w:t>
      </w:r>
      <w:r>
        <w:rPr>
          <w:rFonts w:cs="Times New Roman"/>
          <w:szCs w:val="24"/>
          <w:lang w:val="fr-CA"/>
        </w:rPr>
        <w:t>énoncées au</w:t>
      </w:r>
      <w:r w:rsidRPr="00CA4523">
        <w:rPr>
          <w:rFonts w:cs="Times New Roman"/>
          <w:szCs w:val="24"/>
          <w:lang w:val="fr-CA"/>
        </w:rPr>
        <w:t xml:space="preserve"> </w:t>
      </w:r>
      <w:r w:rsidRPr="00CA4523">
        <w:rPr>
          <w:rFonts w:cs="Times New Roman"/>
          <w:i/>
          <w:szCs w:val="24"/>
          <w:lang w:val="fr-CA"/>
        </w:rPr>
        <w:t>Code civil</w:t>
      </w:r>
      <w:r w:rsidRPr="00CA4523">
        <w:rPr>
          <w:rFonts w:cs="Times New Roman"/>
          <w:szCs w:val="24"/>
          <w:lang w:val="fr-CA"/>
        </w:rPr>
        <w:t xml:space="preserve"> (</w:t>
      </w:r>
      <w:r w:rsidRPr="00CA4523">
        <w:rPr>
          <w:rFonts w:cs="Times New Roman"/>
          <w:i/>
          <w:szCs w:val="24"/>
          <w:lang w:val="fr-CA"/>
        </w:rPr>
        <w:t>Heerema</w:t>
      </w:r>
      <w:r w:rsidRPr="00CA4523">
        <w:rPr>
          <w:rFonts w:cs="Times New Roman"/>
          <w:szCs w:val="24"/>
          <w:lang w:val="fr-CA"/>
        </w:rPr>
        <w:t xml:space="preserve">, </w:t>
      </w:r>
      <w:r>
        <w:rPr>
          <w:rFonts w:cs="Times New Roman"/>
          <w:szCs w:val="24"/>
          <w:lang w:val="fr-CA"/>
        </w:rPr>
        <w:t>par. </w:t>
      </w:r>
      <w:r w:rsidRPr="00CA4523">
        <w:rPr>
          <w:rFonts w:cs="Times New Roman"/>
          <w:szCs w:val="24"/>
          <w:lang w:val="fr-CA"/>
        </w:rPr>
        <w:t xml:space="preserve">15; </w:t>
      </w:r>
      <w:r w:rsidRPr="00CA4523">
        <w:rPr>
          <w:rFonts w:cs="Times New Roman"/>
          <w:i/>
          <w:szCs w:val="24"/>
          <w:lang w:val="fr-CA"/>
        </w:rPr>
        <w:t>Zimmermann</w:t>
      </w:r>
      <w:r w:rsidRPr="00CA4523">
        <w:rPr>
          <w:rFonts w:cs="Times New Roman"/>
          <w:szCs w:val="24"/>
          <w:lang w:val="fr-CA"/>
        </w:rPr>
        <w:t xml:space="preserve">, </w:t>
      </w:r>
      <w:r>
        <w:rPr>
          <w:rFonts w:cs="Times New Roman"/>
          <w:szCs w:val="24"/>
          <w:lang w:val="fr-CA"/>
        </w:rPr>
        <w:t>par. </w:t>
      </w:r>
      <w:r w:rsidRPr="00CA4523">
        <w:rPr>
          <w:rFonts w:cs="Times New Roman"/>
          <w:szCs w:val="24"/>
          <w:lang w:val="fr-CA"/>
        </w:rPr>
        <w:t xml:space="preserve">13; </w:t>
      </w:r>
      <w:r w:rsidRPr="00CA4523">
        <w:rPr>
          <w:rFonts w:cs="Times New Roman"/>
          <w:i/>
          <w:szCs w:val="24"/>
          <w:lang w:val="fr-CA"/>
        </w:rPr>
        <w:t>Mutual Trust</w:t>
      </w:r>
      <w:r w:rsidRPr="00CA4523">
        <w:rPr>
          <w:rFonts w:cs="Times New Roman"/>
          <w:szCs w:val="24"/>
          <w:lang w:val="fr-CA"/>
        </w:rPr>
        <w:t xml:space="preserve">, </w:t>
      </w:r>
      <w:r>
        <w:rPr>
          <w:rFonts w:cs="Times New Roman"/>
          <w:szCs w:val="24"/>
          <w:lang w:val="fr-CA"/>
        </w:rPr>
        <w:t>p. 633</w:t>
      </w:r>
      <w:r w:rsidRPr="00CA4523">
        <w:rPr>
          <w:rFonts w:cs="Times New Roman"/>
          <w:szCs w:val="24"/>
          <w:lang w:val="fr-CA"/>
        </w:rPr>
        <w:t>).</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Dans l</w:t>
      </w:r>
      <w:r>
        <w:rPr>
          <w:rFonts w:cs="Times New Roman"/>
          <w:lang w:val="fr-CA"/>
        </w:rPr>
        <w:t>’</w:t>
      </w:r>
      <w:r w:rsidRPr="00CA4523">
        <w:rPr>
          <w:rFonts w:cs="Times New Roman"/>
          <w:lang w:val="fr-CA"/>
        </w:rPr>
        <w:t xml:space="preserve">affaire </w:t>
      </w:r>
      <w:r w:rsidRPr="00CA4523">
        <w:rPr>
          <w:rFonts w:cs="Times New Roman"/>
          <w:i/>
          <w:lang w:val="fr-CA"/>
        </w:rPr>
        <w:t>Zimmermann</w:t>
      </w:r>
      <w:r>
        <w:rPr>
          <w:rFonts w:cs="Times New Roman"/>
          <w:lang w:val="fr-CA"/>
        </w:rPr>
        <w:t xml:space="preserve"> —</w:t>
      </w:r>
      <w:r w:rsidRPr="00CA4523">
        <w:rPr>
          <w:rFonts w:cs="Times New Roman"/>
          <w:lang w:val="fr-CA"/>
        </w:rPr>
        <w:t xml:space="preserve"> qui, par coïncidence, concernait également M. Barer et ses sociétés</w:t>
      </w:r>
      <w:r>
        <w:rPr>
          <w:rFonts w:cs="Times New Roman"/>
          <w:lang w:val="fr-CA"/>
        </w:rPr>
        <w:t xml:space="preserve"> —</w:t>
      </w:r>
      <w:r w:rsidRPr="00CA4523">
        <w:rPr>
          <w:rFonts w:cs="Times New Roman"/>
          <w:lang w:val="fr-CA"/>
        </w:rPr>
        <w:t>, la Cour d</w:t>
      </w:r>
      <w:r>
        <w:rPr>
          <w:rFonts w:cs="Times New Roman"/>
          <w:lang w:val="fr-CA"/>
        </w:rPr>
        <w:t>’</w:t>
      </w:r>
      <w:r w:rsidRPr="00CA4523">
        <w:rPr>
          <w:rFonts w:cs="Times New Roman"/>
          <w:lang w:val="fr-CA"/>
        </w:rPr>
        <w:t>appel du Québec a refusé de reconnaître et d</w:t>
      </w:r>
      <w:r>
        <w:rPr>
          <w:rFonts w:cs="Times New Roman"/>
          <w:lang w:val="fr-CA"/>
        </w:rPr>
        <w:t>’</w:t>
      </w:r>
      <w:r w:rsidRPr="00CA4523">
        <w:rPr>
          <w:rFonts w:cs="Times New Roman"/>
          <w:lang w:val="fr-CA"/>
        </w:rPr>
        <w:t>opposer personnellement à M.</w:t>
      </w:r>
      <w:r>
        <w:rPr>
          <w:rFonts w:cs="Times New Roman"/>
          <w:lang w:val="fr-CA"/>
        </w:rPr>
        <w:t> </w:t>
      </w:r>
      <w:r w:rsidRPr="00CA4523">
        <w:rPr>
          <w:rFonts w:cs="Times New Roman"/>
          <w:lang w:val="fr-CA"/>
        </w:rPr>
        <w:t xml:space="preserve">Barer un jugement par défaut qui avait été rendu contre lui et contre BEC par la </w:t>
      </w:r>
      <w:r w:rsidRPr="00D34B07">
        <w:rPr>
          <w:rFonts w:cs="Times New Roman"/>
          <w:lang w:val="fr-CA"/>
        </w:rPr>
        <w:t>Cour de district</w:t>
      </w:r>
      <w:r w:rsidRPr="00CA4523">
        <w:rPr>
          <w:rFonts w:cs="Times New Roman"/>
          <w:lang w:val="fr-CA"/>
        </w:rPr>
        <w:t xml:space="preserve"> des États</w:t>
      </w:r>
      <w:r>
        <w:rPr>
          <w:rFonts w:cs="Times New Roman"/>
          <w:lang w:val="fr-CA"/>
        </w:rPr>
        <w:noBreakHyphen/>
      </w:r>
      <w:r w:rsidRPr="00CA4523">
        <w:rPr>
          <w:rFonts w:cs="Times New Roman"/>
          <w:lang w:val="fr-CA"/>
        </w:rPr>
        <w:t>Unis pour le district du Vermont. Comme c</w:t>
      </w:r>
      <w:r>
        <w:rPr>
          <w:rFonts w:cs="Times New Roman"/>
          <w:lang w:val="fr-CA"/>
        </w:rPr>
        <w:t>’</w:t>
      </w:r>
      <w:r w:rsidRPr="00CA4523">
        <w:rPr>
          <w:rFonts w:cs="Times New Roman"/>
          <w:lang w:val="fr-CA"/>
        </w:rPr>
        <w:t>est le cas en l</w:t>
      </w:r>
      <w:r>
        <w:rPr>
          <w:rFonts w:cs="Times New Roman"/>
          <w:lang w:val="fr-CA"/>
        </w:rPr>
        <w:t>’</w:t>
      </w:r>
      <w:r w:rsidRPr="00CA4523">
        <w:rPr>
          <w:rFonts w:cs="Times New Roman"/>
          <w:lang w:val="fr-CA"/>
        </w:rPr>
        <w:t>espèce, la partie qui demandait la reconnaissance du jugement étranger affirmait que</w:t>
      </w:r>
      <w:r>
        <w:rPr>
          <w:rFonts w:cs="Times New Roman"/>
          <w:lang w:val="fr-CA"/>
        </w:rPr>
        <w:t>, selon</w:t>
      </w:r>
      <w:r w:rsidRPr="00CA4523">
        <w:rPr>
          <w:rFonts w:cs="Times New Roman"/>
          <w:lang w:val="fr-CA"/>
        </w:rPr>
        <w:t xml:space="preserve"> le tribunal </w:t>
      </w:r>
      <w:r>
        <w:rPr>
          <w:rFonts w:cs="Times New Roman"/>
          <w:lang w:val="fr-CA"/>
        </w:rPr>
        <w:t>étranger, BEC</w:t>
      </w:r>
      <w:r w:rsidRPr="00CA4523">
        <w:rPr>
          <w:rFonts w:cs="Times New Roman"/>
          <w:lang w:val="fr-CA"/>
        </w:rPr>
        <w:t xml:space="preserve"> était </w:t>
      </w:r>
      <w:r w:rsidRPr="006B3C14">
        <w:rPr>
          <w:rFonts w:cs="Times New Roman"/>
          <w:lang w:val="fr-CA"/>
        </w:rPr>
        <w:t>l</w:t>
      </w:r>
      <w:r>
        <w:rPr>
          <w:rFonts w:cs="Times New Roman"/>
          <w:lang w:val="fr-CA"/>
        </w:rPr>
        <w:t>’</w:t>
      </w:r>
      <w:r w:rsidRPr="006B3C14">
        <w:rPr>
          <w:rFonts w:cs="Times New Roman"/>
          <w:lang w:val="fr-CA"/>
        </w:rPr>
        <w:t>alter ego</w:t>
      </w:r>
      <w:r w:rsidRPr="00CA4523">
        <w:rPr>
          <w:rFonts w:cs="Times New Roman"/>
          <w:lang w:val="fr-CA"/>
        </w:rPr>
        <w:t xml:space="preserve"> de </w:t>
      </w:r>
      <w:r>
        <w:rPr>
          <w:rFonts w:cs="Times New Roman"/>
          <w:lang w:val="fr-CA"/>
        </w:rPr>
        <w:t>M. Barer</w:t>
      </w:r>
      <w:r w:rsidRPr="00CA4523">
        <w:rPr>
          <w:rFonts w:cs="Times New Roman"/>
          <w:lang w:val="fr-CA"/>
        </w:rPr>
        <w:t xml:space="preserve"> et que les tribunaux québécois ne pouvaient </w:t>
      </w:r>
      <w:r>
        <w:rPr>
          <w:rFonts w:cs="Times New Roman"/>
          <w:lang w:val="fr-CA"/>
        </w:rPr>
        <w:t xml:space="preserve">pas </w:t>
      </w:r>
      <w:r w:rsidRPr="00CA4523">
        <w:rPr>
          <w:rFonts w:cs="Times New Roman"/>
          <w:lang w:val="fr-CA"/>
        </w:rPr>
        <w:t>réexaminer cette conclusion. La Cour d</w:t>
      </w:r>
      <w:r>
        <w:rPr>
          <w:rFonts w:cs="Times New Roman"/>
          <w:lang w:val="fr-CA"/>
        </w:rPr>
        <w:t>’</w:t>
      </w:r>
      <w:r w:rsidRPr="00CA4523">
        <w:rPr>
          <w:rFonts w:cs="Times New Roman"/>
          <w:lang w:val="fr-CA"/>
        </w:rPr>
        <w:t>appel a écarté à bon droit cet argument et estimé que le juge de première instance n</w:t>
      </w:r>
      <w:r>
        <w:rPr>
          <w:rFonts w:cs="Times New Roman"/>
          <w:lang w:val="fr-CA"/>
        </w:rPr>
        <w:t>’</w:t>
      </w:r>
      <w:r w:rsidRPr="00CA4523">
        <w:rPr>
          <w:rFonts w:cs="Times New Roman"/>
          <w:lang w:val="fr-CA"/>
        </w:rPr>
        <w:t>avait pas commis d</w:t>
      </w:r>
      <w:r>
        <w:rPr>
          <w:rFonts w:cs="Times New Roman"/>
          <w:lang w:val="fr-CA"/>
        </w:rPr>
        <w:t>’</w:t>
      </w:r>
      <w:r w:rsidRPr="00CA4523">
        <w:rPr>
          <w:rFonts w:cs="Times New Roman"/>
          <w:lang w:val="fr-CA"/>
        </w:rPr>
        <w:t>erreur en exigeant la présentation d</w:t>
      </w:r>
      <w:r>
        <w:rPr>
          <w:rFonts w:cs="Times New Roman"/>
          <w:lang w:val="fr-CA"/>
        </w:rPr>
        <w:t>’</w:t>
      </w:r>
      <w:r w:rsidRPr="00CA4523">
        <w:rPr>
          <w:rFonts w:cs="Times New Roman"/>
          <w:lang w:val="fr-CA"/>
        </w:rPr>
        <w:t>éléments de preuve pour établir les faits constituant le fondement de la reconnaissance de la compétence du tribunal du Vermont (</w:t>
      </w:r>
      <w:r w:rsidRPr="00CA4523">
        <w:rPr>
          <w:rFonts w:cs="Times New Roman"/>
          <w:i/>
          <w:lang w:val="fr-CA"/>
        </w:rPr>
        <w:t>Zimmermann</w:t>
      </w:r>
      <w:r w:rsidRPr="00CA4523">
        <w:rPr>
          <w:rFonts w:cs="Times New Roman"/>
          <w:lang w:val="fr-CA"/>
        </w:rPr>
        <w:t xml:space="preserve">, </w:t>
      </w:r>
      <w:r>
        <w:rPr>
          <w:rFonts w:cs="Times New Roman"/>
          <w:lang w:val="fr-CA"/>
        </w:rPr>
        <w:t>par. 20</w:t>
      </w:r>
      <w:r w:rsidRPr="00CA4523">
        <w:rPr>
          <w:rFonts w:cs="Times New Roman"/>
          <w:lang w:val="fr-CA"/>
        </w:rPr>
        <w:t>). Comme la partie qui demandait la reconn</w:t>
      </w:r>
      <w:r>
        <w:rPr>
          <w:rFonts w:cs="Times New Roman"/>
          <w:lang w:val="fr-CA"/>
        </w:rPr>
        <w:t>aissance n’avait pas présenté d’éléments de</w:t>
      </w:r>
      <w:r w:rsidRPr="00CA4523">
        <w:rPr>
          <w:rFonts w:cs="Times New Roman"/>
          <w:lang w:val="fr-CA"/>
        </w:rPr>
        <w:t xml:space="preserve"> preuve justifiant </w:t>
      </w:r>
      <w:r>
        <w:rPr>
          <w:rFonts w:cs="Times New Roman"/>
          <w:lang w:val="fr-CA"/>
        </w:rPr>
        <w:t>la levée du</w:t>
      </w:r>
      <w:r w:rsidRPr="00D34B07">
        <w:rPr>
          <w:rFonts w:cs="Times New Roman"/>
          <w:lang w:val="fr-CA"/>
        </w:rPr>
        <w:t xml:space="preserve"> </w:t>
      </w:r>
      <w:r w:rsidRPr="003657F3">
        <w:rPr>
          <w:rFonts w:cs="Times New Roman"/>
          <w:lang w:val="fr-CA"/>
        </w:rPr>
        <w:t>voile de la personnalité morale,</w:t>
      </w:r>
      <w:r w:rsidRPr="00D34B07">
        <w:rPr>
          <w:rFonts w:cs="Times New Roman"/>
          <w:lang w:val="fr-CA"/>
        </w:rPr>
        <w:t xml:space="preserve"> </w:t>
      </w:r>
      <w:r>
        <w:rPr>
          <w:rFonts w:cs="Times New Roman"/>
          <w:lang w:val="fr-CA"/>
        </w:rPr>
        <w:t xml:space="preserve">et </w:t>
      </w:r>
      <w:r w:rsidRPr="00CA4523">
        <w:rPr>
          <w:rFonts w:cs="Times New Roman"/>
          <w:lang w:val="fr-CA"/>
        </w:rPr>
        <w:t>que seule BEC était partie au contrat en cause</w:t>
      </w:r>
      <w:r>
        <w:rPr>
          <w:rFonts w:cs="Times New Roman"/>
          <w:lang w:val="fr-CA"/>
        </w:rPr>
        <w:t>,</w:t>
      </w:r>
      <w:r w:rsidRPr="00D34B07">
        <w:rPr>
          <w:rFonts w:cs="Times New Roman"/>
          <w:lang w:val="fr-CA"/>
        </w:rPr>
        <w:t xml:space="preserve"> la Cour d</w:t>
      </w:r>
      <w:r>
        <w:rPr>
          <w:rFonts w:cs="Times New Roman"/>
          <w:lang w:val="fr-CA"/>
        </w:rPr>
        <w:t>’</w:t>
      </w:r>
      <w:r w:rsidRPr="00D34B07">
        <w:rPr>
          <w:rFonts w:cs="Times New Roman"/>
          <w:lang w:val="fr-CA"/>
        </w:rPr>
        <w:t>appel a refusé de reconnaître la compétence du tribunal du Vermont à l</w:t>
      </w:r>
      <w:r>
        <w:rPr>
          <w:rFonts w:cs="Times New Roman"/>
          <w:lang w:val="fr-CA"/>
        </w:rPr>
        <w:t>’</w:t>
      </w:r>
      <w:r w:rsidRPr="00D34B07">
        <w:rPr>
          <w:rFonts w:cs="Times New Roman"/>
          <w:lang w:val="fr-CA"/>
        </w:rPr>
        <w:t>égard de M. Barer à titre personnel en application</w:t>
      </w:r>
      <w:r>
        <w:rPr>
          <w:rFonts w:cs="Times New Roman"/>
          <w:lang w:val="fr-CA"/>
        </w:rPr>
        <w:t xml:space="preserve"> </w:t>
      </w:r>
      <w:r w:rsidR="008902B0">
        <w:rPr>
          <w:rFonts w:cs="Times New Roman"/>
          <w:lang w:val="fr-CA"/>
        </w:rPr>
        <w:t>du par.</w:t>
      </w:r>
      <w:r>
        <w:rPr>
          <w:rFonts w:cs="Times New Roman"/>
          <w:lang w:val="fr-CA"/>
        </w:rPr>
        <w:t> </w:t>
      </w:r>
      <w:r w:rsidRPr="00CA4523">
        <w:rPr>
          <w:rFonts w:cs="Times New Roman"/>
          <w:lang w:val="fr-CA"/>
        </w:rPr>
        <w:t>3168</w:t>
      </w:r>
      <w:r>
        <w:rPr>
          <w:rFonts w:cs="Times New Roman"/>
          <w:lang w:val="fr-CA"/>
        </w:rPr>
        <w:t>(</w:t>
      </w:r>
      <w:r w:rsidRPr="00CA4523">
        <w:rPr>
          <w:rFonts w:cs="Times New Roman"/>
          <w:lang w:val="fr-CA"/>
        </w:rPr>
        <w:t>4</w:t>
      </w:r>
      <w:r>
        <w:rPr>
          <w:rFonts w:cs="Times New Roman"/>
          <w:lang w:val="fr-CA"/>
        </w:rPr>
        <w:t>)</w:t>
      </w:r>
      <w:r w:rsidRPr="00CA4523">
        <w:rPr>
          <w:rFonts w:cs="Times New Roman"/>
          <w:lang w:val="fr-CA"/>
        </w:rPr>
        <w:t xml:space="preserve"> </w:t>
      </w:r>
      <w:r w:rsidRPr="00CA4523">
        <w:rPr>
          <w:rFonts w:cs="Times New Roman"/>
          <w:i/>
          <w:lang w:val="fr-CA"/>
        </w:rPr>
        <w:t>C.c.Q.</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lastRenderedPageBreak/>
        <w:t>Le juge de première instance a établi une distinction entre la présente espèce et l</w:t>
      </w:r>
      <w:r>
        <w:rPr>
          <w:rFonts w:cs="Times New Roman"/>
          <w:lang w:val="fr-CA"/>
        </w:rPr>
        <w:t>’</w:t>
      </w:r>
      <w:r w:rsidRPr="00CA4523">
        <w:rPr>
          <w:rFonts w:cs="Times New Roman"/>
          <w:lang w:val="fr-CA"/>
        </w:rPr>
        <w:t xml:space="preserve">affaire </w:t>
      </w:r>
      <w:r w:rsidRPr="00CA4523">
        <w:rPr>
          <w:rFonts w:cs="Times New Roman"/>
          <w:i/>
          <w:lang w:val="fr-CA"/>
        </w:rPr>
        <w:t xml:space="preserve">Zimmermann </w:t>
      </w:r>
      <w:r w:rsidRPr="00CA4523">
        <w:rPr>
          <w:rFonts w:cs="Times New Roman"/>
          <w:lang w:val="fr-CA"/>
        </w:rPr>
        <w:t>au motif que [</w:t>
      </w:r>
      <w:r w:rsidRPr="00CA4523">
        <w:rPr>
          <w:rFonts w:cs="Times New Roman"/>
          <w:smallCaps/>
          <w:lang w:val="fr-CA"/>
        </w:rPr>
        <w:t>traduction</w:t>
      </w:r>
      <w:r w:rsidRPr="00CA4523">
        <w:rPr>
          <w:rFonts w:cs="Times New Roman"/>
          <w:lang w:val="fr-CA"/>
        </w:rPr>
        <w:t>] « la preuve soumise au tribunal de l</w:t>
      </w:r>
      <w:r>
        <w:rPr>
          <w:rFonts w:cs="Times New Roman"/>
          <w:lang w:val="fr-CA"/>
        </w:rPr>
        <w:t>’</w:t>
      </w:r>
      <w:r w:rsidRPr="00CA4523">
        <w:rPr>
          <w:rFonts w:cs="Times New Roman"/>
          <w:lang w:val="fr-CA"/>
        </w:rPr>
        <w:t>Utah au soutien de la requête en irrecevabilité dont il est question dans le jugement (pièce P</w:t>
      </w:r>
      <w:r>
        <w:rPr>
          <w:rFonts w:cs="Times New Roman"/>
          <w:lang w:val="fr-CA"/>
        </w:rPr>
        <w:noBreakHyphen/>
      </w:r>
      <w:r w:rsidRPr="00CA4523">
        <w:rPr>
          <w:rFonts w:cs="Times New Roman"/>
          <w:lang w:val="fr-CA"/>
        </w:rPr>
        <w:t>4.5) [</w:t>
      </w:r>
      <w:r>
        <w:rPr>
          <w:rFonts w:cs="Times New Roman"/>
          <w:lang w:val="fr-CA"/>
        </w:rPr>
        <w:t>. . .</w:t>
      </w:r>
      <w:r w:rsidRPr="00CA4523">
        <w:rPr>
          <w:rFonts w:cs="Times New Roman"/>
          <w:lang w:val="fr-CA"/>
        </w:rPr>
        <w:t xml:space="preserve">] </w:t>
      </w:r>
      <w:r>
        <w:rPr>
          <w:rFonts w:cs="Times New Roman"/>
          <w:lang w:val="fr-CA"/>
        </w:rPr>
        <w:t>suffit,</w:t>
      </w:r>
      <w:r w:rsidRPr="00CA4523">
        <w:rPr>
          <w:rFonts w:cs="Times New Roman"/>
          <w:lang w:val="fr-CA"/>
        </w:rPr>
        <w:t xml:space="preserve"> en droit québécois</w:t>
      </w:r>
      <w:r>
        <w:rPr>
          <w:rFonts w:cs="Times New Roman"/>
          <w:lang w:val="fr-CA"/>
        </w:rPr>
        <w:t>,</w:t>
      </w:r>
      <w:r w:rsidRPr="00CA4523">
        <w:rPr>
          <w:rFonts w:cs="Times New Roman"/>
          <w:lang w:val="fr-CA"/>
        </w:rPr>
        <w:t xml:space="preserve"> </w:t>
      </w:r>
      <w:r>
        <w:rPr>
          <w:rFonts w:cs="Times New Roman"/>
          <w:lang w:val="fr-CA"/>
        </w:rPr>
        <w:t>pour établir</w:t>
      </w:r>
      <w:r w:rsidRPr="00CA4523">
        <w:rPr>
          <w:rFonts w:cs="Times New Roman"/>
          <w:lang w:val="fr-CA"/>
        </w:rPr>
        <w:t xml:space="preserve"> que les conditions d</w:t>
      </w:r>
      <w:r>
        <w:rPr>
          <w:rFonts w:cs="Times New Roman"/>
          <w:lang w:val="fr-CA"/>
        </w:rPr>
        <w:t>’</w:t>
      </w:r>
      <w:r w:rsidRPr="00CA4523">
        <w:rPr>
          <w:rFonts w:cs="Times New Roman"/>
          <w:lang w:val="fr-CA"/>
        </w:rPr>
        <w:t>attribution de la compétence au tribunal de l</w:t>
      </w:r>
      <w:r>
        <w:rPr>
          <w:rFonts w:cs="Times New Roman"/>
          <w:lang w:val="fr-CA"/>
        </w:rPr>
        <w:t>’</w:t>
      </w:r>
      <w:r w:rsidRPr="00CA4523">
        <w:rPr>
          <w:rFonts w:cs="Times New Roman"/>
          <w:lang w:val="fr-CA"/>
        </w:rPr>
        <w:t>Utah à l</w:t>
      </w:r>
      <w:r>
        <w:rPr>
          <w:rFonts w:cs="Times New Roman"/>
          <w:lang w:val="fr-CA"/>
        </w:rPr>
        <w:t>’</w:t>
      </w:r>
      <w:r w:rsidRPr="00CA4523">
        <w:rPr>
          <w:rFonts w:cs="Times New Roman"/>
          <w:lang w:val="fr-CA"/>
        </w:rPr>
        <w:t xml:space="preserve">égard de </w:t>
      </w:r>
      <w:r>
        <w:rPr>
          <w:rFonts w:cs="Times New Roman"/>
          <w:lang w:val="fr-CA"/>
        </w:rPr>
        <w:t>[M.] </w:t>
      </w:r>
      <w:r w:rsidRPr="00CA4523">
        <w:rPr>
          <w:rFonts w:cs="Times New Roman"/>
          <w:lang w:val="fr-CA"/>
        </w:rPr>
        <w:t xml:space="preserve">Barer </w:t>
      </w:r>
      <w:r>
        <w:rPr>
          <w:rFonts w:cs="Times New Roman"/>
          <w:lang w:val="fr-CA"/>
        </w:rPr>
        <w:t>[</w:t>
      </w:r>
      <w:r w:rsidRPr="00CA4523">
        <w:rPr>
          <w:rFonts w:cs="Times New Roman"/>
          <w:lang w:val="fr-CA"/>
        </w:rPr>
        <w:t>étaient</w:t>
      </w:r>
      <w:r>
        <w:rPr>
          <w:rFonts w:cs="Times New Roman"/>
          <w:lang w:val="fr-CA"/>
        </w:rPr>
        <w:t>]</w:t>
      </w:r>
      <w:r w:rsidRPr="00CA4523">
        <w:rPr>
          <w:rFonts w:cs="Times New Roman"/>
          <w:lang w:val="fr-CA"/>
        </w:rPr>
        <w:t xml:space="preserve"> valides » (</w:t>
      </w:r>
      <w:r>
        <w:rPr>
          <w:rFonts w:cs="Times New Roman"/>
          <w:lang w:val="fr-CA"/>
        </w:rPr>
        <w:t xml:space="preserve">motifs de la </w:t>
      </w:r>
      <w:r w:rsidRPr="00CA4523">
        <w:rPr>
          <w:rFonts w:cs="Times New Roman"/>
          <w:lang w:val="fr-CA"/>
        </w:rPr>
        <w:t>C</w:t>
      </w:r>
      <w:r>
        <w:rPr>
          <w:rFonts w:cs="Times New Roman"/>
          <w:lang w:val="fr-CA"/>
        </w:rPr>
        <w:t>.</w:t>
      </w:r>
      <w:r w:rsidRPr="00CA4523">
        <w:rPr>
          <w:rFonts w:cs="Times New Roman"/>
          <w:lang w:val="fr-CA"/>
        </w:rPr>
        <w:t>S</w:t>
      </w:r>
      <w:r>
        <w:rPr>
          <w:rFonts w:cs="Times New Roman"/>
          <w:lang w:val="fr-CA"/>
        </w:rPr>
        <w:t>.</w:t>
      </w:r>
      <w:r w:rsidRPr="00CA4523">
        <w:rPr>
          <w:rFonts w:cs="Times New Roman"/>
          <w:lang w:val="fr-CA"/>
        </w:rPr>
        <w:t xml:space="preserve">, </w:t>
      </w:r>
      <w:r>
        <w:rPr>
          <w:rFonts w:cs="Times New Roman"/>
          <w:lang w:val="fr-CA"/>
        </w:rPr>
        <w:t>par. </w:t>
      </w:r>
      <w:r w:rsidRPr="00CA4523">
        <w:rPr>
          <w:rFonts w:cs="Times New Roman"/>
          <w:lang w:val="fr-CA"/>
        </w:rPr>
        <w:t>17). En toute déférence, j</w:t>
      </w:r>
      <w:r>
        <w:rPr>
          <w:rFonts w:cs="Times New Roman"/>
          <w:lang w:val="fr-CA"/>
        </w:rPr>
        <w:t>’</w:t>
      </w:r>
      <w:r w:rsidRPr="00CA4523">
        <w:rPr>
          <w:rFonts w:cs="Times New Roman"/>
          <w:lang w:val="fr-CA"/>
        </w:rPr>
        <w:t>estime que ce raisonnement est problématique à deux égards. En premier lieu, comme je l</w:t>
      </w:r>
      <w:r>
        <w:rPr>
          <w:rFonts w:cs="Times New Roman"/>
          <w:lang w:val="fr-CA"/>
        </w:rPr>
        <w:t>’</w:t>
      </w:r>
      <w:r w:rsidRPr="00CA4523">
        <w:rPr>
          <w:rFonts w:cs="Times New Roman"/>
          <w:lang w:val="fr-CA"/>
        </w:rPr>
        <w:t>ai déjà expliqué, la présente instance concerne la décision définitive rendue par le tribunal de l</w:t>
      </w:r>
      <w:r>
        <w:rPr>
          <w:rFonts w:cs="Times New Roman"/>
          <w:lang w:val="fr-CA"/>
        </w:rPr>
        <w:t>’</w:t>
      </w:r>
      <w:r w:rsidRPr="00CA4523">
        <w:rPr>
          <w:rFonts w:cs="Times New Roman"/>
          <w:lang w:val="fr-CA"/>
        </w:rPr>
        <w:t>Utah</w:t>
      </w:r>
      <w:r>
        <w:rPr>
          <w:rFonts w:cs="Times New Roman"/>
          <w:lang w:val="fr-CA"/>
        </w:rPr>
        <w:t>,</w:t>
      </w:r>
      <w:r w:rsidRPr="00CA4523">
        <w:rPr>
          <w:rFonts w:cs="Times New Roman"/>
          <w:lang w:val="fr-CA"/>
        </w:rPr>
        <w:t xml:space="preserve"> et non sa décision préliminaire. L</w:t>
      </w:r>
      <w:r>
        <w:rPr>
          <w:rFonts w:cs="Times New Roman"/>
          <w:lang w:val="fr-CA"/>
        </w:rPr>
        <w:t>’</w:t>
      </w:r>
      <w:r w:rsidRPr="00CA4523">
        <w:rPr>
          <w:rFonts w:cs="Times New Roman"/>
          <w:lang w:val="fr-CA"/>
        </w:rPr>
        <w:t xml:space="preserve">analyse du juge de première instance ne portait donc pas sur la bonne décision. En second lieu, </w:t>
      </w:r>
      <w:r>
        <w:rPr>
          <w:rFonts w:cs="Times New Roman"/>
          <w:lang w:val="fr-CA"/>
        </w:rPr>
        <w:t>ce dernier</w:t>
      </w:r>
      <w:r w:rsidRPr="00CA4523">
        <w:rPr>
          <w:rFonts w:cs="Times New Roman"/>
          <w:lang w:val="fr-CA"/>
        </w:rPr>
        <w:t xml:space="preserve"> a </w:t>
      </w:r>
      <w:r w:rsidR="007F16C4">
        <w:rPr>
          <w:rFonts w:cs="Times New Roman"/>
          <w:lang w:val="fr-CA"/>
        </w:rPr>
        <w:t>indû</w:t>
      </w:r>
      <w:r>
        <w:rPr>
          <w:rFonts w:cs="Times New Roman"/>
          <w:lang w:val="fr-CA"/>
        </w:rPr>
        <w:t xml:space="preserve">ment </w:t>
      </w:r>
      <w:r w:rsidRPr="00CA4523">
        <w:rPr>
          <w:rFonts w:cs="Times New Roman"/>
          <w:lang w:val="fr-CA"/>
        </w:rPr>
        <w:t xml:space="preserve">accordé </w:t>
      </w:r>
      <w:r>
        <w:rPr>
          <w:rFonts w:cs="Times New Roman"/>
          <w:lang w:val="fr-CA"/>
        </w:rPr>
        <w:t xml:space="preserve">des effets déterminants </w:t>
      </w:r>
      <w:r w:rsidRPr="00CA4523">
        <w:rPr>
          <w:rFonts w:cs="Times New Roman"/>
          <w:lang w:val="fr-CA"/>
        </w:rPr>
        <w:t xml:space="preserve">aux </w:t>
      </w:r>
      <w:r w:rsidRPr="007C5232">
        <w:rPr>
          <w:rFonts w:cs="Times New Roman"/>
          <w:lang w:val="fr-CA"/>
        </w:rPr>
        <w:t xml:space="preserve">conclusions </w:t>
      </w:r>
      <w:r w:rsidRPr="007C5232">
        <w:rPr>
          <w:rFonts w:cs="Times New Roman"/>
          <w:i/>
          <w:lang w:val="fr-CA"/>
        </w:rPr>
        <w:t xml:space="preserve">prima facie </w:t>
      </w:r>
      <w:r w:rsidRPr="007C5232">
        <w:rPr>
          <w:rFonts w:cs="Times New Roman"/>
          <w:lang w:val="fr-CA"/>
        </w:rPr>
        <w:t>tirées par le tribunal de l</w:t>
      </w:r>
      <w:r>
        <w:rPr>
          <w:rFonts w:cs="Times New Roman"/>
          <w:lang w:val="fr-CA"/>
        </w:rPr>
        <w:t>’</w:t>
      </w:r>
      <w:r w:rsidRPr="007C5232">
        <w:rPr>
          <w:rFonts w:cs="Times New Roman"/>
          <w:lang w:val="fr-CA"/>
        </w:rPr>
        <w:t>Utah dans sa décision de rejeter la requête de M. Barer. Les tribunaux d</w:t>
      </w:r>
      <w:r>
        <w:rPr>
          <w:rFonts w:cs="Times New Roman"/>
          <w:lang w:val="fr-CA"/>
        </w:rPr>
        <w:t>’</w:t>
      </w:r>
      <w:r w:rsidRPr="007C5232">
        <w:rPr>
          <w:rFonts w:cs="Times New Roman"/>
          <w:lang w:val="fr-CA"/>
        </w:rPr>
        <w:t>exécution québécois sont tenus</w:t>
      </w:r>
      <w:r w:rsidRPr="00CA4523">
        <w:rPr>
          <w:rFonts w:cs="Times New Roman"/>
          <w:lang w:val="fr-CA"/>
        </w:rPr>
        <w:t xml:space="preserve"> d</w:t>
      </w:r>
      <w:r>
        <w:rPr>
          <w:rFonts w:cs="Times New Roman"/>
          <w:lang w:val="fr-CA"/>
        </w:rPr>
        <w:t>’</w:t>
      </w:r>
      <w:r w:rsidRPr="00CA4523">
        <w:rPr>
          <w:rFonts w:cs="Times New Roman"/>
          <w:lang w:val="fr-CA"/>
        </w:rPr>
        <w:t xml:space="preserve">examiner des questions qui peuvent avoir été tranchées par la décision étrangère dans la mesure où </w:t>
      </w:r>
      <w:r>
        <w:rPr>
          <w:rFonts w:cs="Times New Roman"/>
          <w:lang w:val="fr-CA"/>
        </w:rPr>
        <w:t xml:space="preserve">cela </w:t>
      </w:r>
      <w:r w:rsidRPr="00CA4523">
        <w:rPr>
          <w:rFonts w:cs="Times New Roman"/>
          <w:lang w:val="fr-CA"/>
        </w:rPr>
        <w:t xml:space="preserve">est nécessaire </w:t>
      </w:r>
      <w:r>
        <w:rPr>
          <w:rFonts w:cs="Times New Roman"/>
          <w:lang w:val="fr-CA"/>
        </w:rPr>
        <w:t>pour</w:t>
      </w:r>
      <w:r w:rsidRPr="00CA4523">
        <w:rPr>
          <w:rFonts w:cs="Times New Roman"/>
          <w:lang w:val="fr-CA"/>
        </w:rPr>
        <w:t xml:space="preserve"> s</w:t>
      </w:r>
      <w:r>
        <w:rPr>
          <w:rFonts w:cs="Times New Roman"/>
          <w:lang w:val="fr-CA"/>
        </w:rPr>
        <w:t>’</w:t>
      </w:r>
      <w:r w:rsidRPr="00CA4523">
        <w:rPr>
          <w:rFonts w:cs="Times New Roman"/>
          <w:lang w:val="fr-CA"/>
        </w:rPr>
        <w:t>assurer qu</w:t>
      </w:r>
      <w:r>
        <w:rPr>
          <w:rFonts w:cs="Times New Roman"/>
          <w:lang w:val="fr-CA"/>
        </w:rPr>
        <w:t>’il est satisfait aux</w:t>
      </w:r>
      <w:r w:rsidRPr="00CA4523">
        <w:rPr>
          <w:rFonts w:cs="Times New Roman"/>
          <w:lang w:val="fr-CA"/>
        </w:rPr>
        <w:t xml:space="preserve"> critères de reconnaissance et d</w:t>
      </w:r>
      <w:r>
        <w:rPr>
          <w:rFonts w:cs="Times New Roman"/>
          <w:lang w:val="fr-CA"/>
        </w:rPr>
        <w:t>’</w:t>
      </w:r>
      <w:r w:rsidRPr="00CA4523">
        <w:rPr>
          <w:rFonts w:cs="Times New Roman"/>
          <w:lang w:val="fr-CA"/>
        </w:rPr>
        <w:t xml:space="preserve">exécution prévus au titre quatrième, notamment </w:t>
      </w:r>
      <w:r>
        <w:rPr>
          <w:rFonts w:cs="Times New Roman"/>
          <w:lang w:val="fr-CA"/>
        </w:rPr>
        <w:t>au regard d</w:t>
      </w:r>
      <w:r w:rsidRPr="00CA4523">
        <w:rPr>
          <w:rFonts w:cs="Times New Roman"/>
          <w:lang w:val="fr-CA"/>
        </w:rPr>
        <w:t>es motifs permettant de reconnaître la compétence des autorités étrangères.</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Il était donc nécessaire de présenter des éléments de pr</w:t>
      </w:r>
      <w:r>
        <w:rPr>
          <w:rFonts w:cs="Times New Roman"/>
          <w:lang w:val="fr-CA"/>
        </w:rPr>
        <w:t>euve à cet égard en l’espèce. Or,</w:t>
      </w:r>
      <w:r w:rsidRPr="00CA4523">
        <w:rPr>
          <w:rFonts w:cs="Times New Roman"/>
          <w:lang w:val="fr-CA"/>
        </w:rPr>
        <w:t xml:space="preserve"> en ce qui concerne </w:t>
      </w:r>
      <w:r>
        <w:rPr>
          <w:rFonts w:cs="Times New Roman"/>
          <w:lang w:val="fr-CA"/>
        </w:rPr>
        <w:t xml:space="preserve">tant </w:t>
      </w:r>
      <w:r w:rsidR="008902B0">
        <w:rPr>
          <w:rFonts w:cs="Times New Roman"/>
          <w:lang w:val="fr-CA"/>
        </w:rPr>
        <w:t>le par.</w:t>
      </w:r>
      <w:r>
        <w:rPr>
          <w:rFonts w:cs="Times New Roman"/>
          <w:lang w:val="fr-CA"/>
        </w:rPr>
        <w:t> </w:t>
      </w:r>
      <w:r w:rsidRPr="00CA4523">
        <w:rPr>
          <w:rFonts w:cs="Times New Roman"/>
          <w:lang w:val="fr-CA"/>
        </w:rPr>
        <w:t>3168</w:t>
      </w:r>
      <w:r>
        <w:rPr>
          <w:rFonts w:cs="Times New Roman"/>
          <w:lang w:val="fr-CA"/>
        </w:rPr>
        <w:t>(</w:t>
      </w:r>
      <w:r w:rsidRPr="00CA4523">
        <w:rPr>
          <w:rFonts w:cs="Times New Roman"/>
          <w:lang w:val="fr-CA"/>
        </w:rPr>
        <w:t>3</w:t>
      </w:r>
      <w:r>
        <w:rPr>
          <w:rFonts w:cs="Times New Roman"/>
          <w:lang w:val="fr-CA"/>
        </w:rPr>
        <w:t>)</w:t>
      </w:r>
      <w:r w:rsidRPr="00CA4523">
        <w:rPr>
          <w:rFonts w:cs="Times New Roman"/>
          <w:lang w:val="fr-CA"/>
        </w:rPr>
        <w:t xml:space="preserve"> que </w:t>
      </w:r>
      <w:r w:rsidR="008902B0">
        <w:rPr>
          <w:rFonts w:cs="Times New Roman"/>
          <w:lang w:val="fr-CA"/>
        </w:rPr>
        <w:t>le par.</w:t>
      </w:r>
      <w:r>
        <w:rPr>
          <w:rFonts w:cs="Times New Roman"/>
          <w:lang w:val="fr-CA"/>
        </w:rPr>
        <w:t> </w:t>
      </w:r>
      <w:r w:rsidRPr="00CA4523">
        <w:rPr>
          <w:rFonts w:cs="Times New Roman"/>
          <w:lang w:val="fr-CA"/>
        </w:rPr>
        <w:t>3168</w:t>
      </w:r>
      <w:r>
        <w:rPr>
          <w:rFonts w:cs="Times New Roman"/>
          <w:lang w:val="fr-CA"/>
        </w:rPr>
        <w:t>(</w:t>
      </w:r>
      <w:r w:rsidRPr="00CA4523">
        <w:rPr>
          <w:rFonts w:cs="Times New Roman"/>
          <w:lang w:val="fr-CA"/>
        </w:rPr>
        <w:t>4</w:t>
      </w:r>
      <w:r>
        <w:rPr>
          <w:rFonts w:cs="Times New Roman"/>
          <w:lang w:val="fr-CA"/>
        </w:rPr>
        <w:t xml:space="preserve">), </w:t>
      </w:r>
      <w:r w:rsidRPr="00CA4523">
        <w:rPr>
          <w:rFonts w:cs="Times New Roman"/>
          <w:lang w:val="fr-CA"/>
        </w:rPr>
        <w:t>Knight n</w:t>
      </w:r>
      <w:r>
        <w:rPr>
          <w:rFonts w:cs="Times New Roman"/>
          <w:lang w:val="fr-CA"/>
        </w:rPr>
        <w:t>’</w:t>
      </w:r>
      <w:r w:rsidRPr="00CA4523">
        <w:rPr>
          <w:rFonts w:cs="Times New Roman"/>
          <w:lang w:val="fr-CA"/>
        </w:rPr>
        <w:t xml:space="preserve">en a </w:t>
      </w:r>
      <w:r>
        <w:rPr>
          <w:rFonts w:cs="Times New Roman"/>
          <w:lang w:val="fr-CA"/>
        </w:rPr>
        <w:t>présenté</w:t>
      </w:r>
      <w:r w:rsidRPr="00CA4523">
        <w:rPr>
          <w:rFonts w:cs="Times New Roman"/>
          <w:lang w:val="fr-CA"/>
        </w:rPr>
        <w:t xml:space="preserve"> aucun</w:t>
      </w:r>
      <w:r>
        <w:rPr>
          <w:rFonts w:cs="Times New Roman"/>
          <w:lang w:val="fr-CA"/>
        </w:rPr>
        <w:t xml:space="preserve"> en ce qui a trait à</w:t>
      </w:r>
      <w:r w:rsidRPr="00CA4523">
        <w:rPr>
          <w:rFonts w:cs="Times New Roman"/>
          <w:lang w:val="fr-CA"/>
        </w:rPr>
        <w:t xml:space="preserve"> M. Barer</w:t>
      </w:r>
      <w:r>
        <w:rPr>
          <w:rFonts w:cs="Times New Roman"/>
          <w:lang w:val="fr-CA"/>
        </w:rPr>
        <w:t xml:space="preserve"> à titre personnel</w:t>
      </w:r>
      <w:r w:rsidRPr="00CA4523">
        <w:rPr>
          <w:rFonts w:cs="Times New Roman"/>
          <w:lang w:val="fr-CA"/>
        </w:rPr>
        <w:t xml:space="preserve">. </w:t>
      </w:r>
      <w:r>
        <w:rPr>
          <w:rFonts w:cs="Times New Roman"/>
          <w:lang w:val="fr-CA"/>
        </w:rPr>
        <w:t>L</w:t>
      </w:r>
      <w:r w:rsidRPr="00CA4523">
        <w:rPr>
          <w:rFonts w:cs="Times New Roman"/>
          <w:lang w:val="fr-CA"/>
        </w:rPr>
        <w:t xml:space="preserve">es pièces que Knight a déposées devant la Cour supérieure </w:t>
      </w:r>
      <w:r>
        <w:rPr>
          <w:rFonts w:cs="Times New Roman"/>
          <w:lang w:val="fr-CA"/>
        </w:rPr>
        <w:t>consistaient</w:t>
      </w:r>
      <w:r w:rsidRPr="00CA4523">
        <w:rPr>
          <w:rFonts w:cs="Times New Roman"/>
          <w:lang w:val="fr-CA"/>
        </w:rPr>
        <w:t xml:space="preserve"> essentiellement </w:t>
      </w:r>
      <w:r>
        <w:rPr>
          <w:rFonts w:cs="Times New Roman"/>
          <w:lang w:val="fr-CA"/>
        </w:rPr>
        <w:t>en</w:t>
      </w:r>
      <w:r w:rsidRPr="00CA4523">
        <w:rPr>
          <w:rFonts w:cs="Times New Roman"/>
          <w:lang w:val="fr-CA"/>
        </w:rPr>
        <w:t xml:space="preserve"> des documents relatant le déroulement de </w:t>
      </w:r>
      <w:r w:rsidRPr="003657F3">
        <w:rPr>
          <w:rFonts w:cs="Times New Roman"/>
          <w:lang w:val="fr-CA"/>
        </w:rPr>
        <w:t>l</w:t>
      </w:r>
      <w:r>
        <w:rPr>
          <w:rFonts w:cs="Times New Roman"/>
          <w:lang w:val="fr-CA"/>
        </w:rPr>
        <w:t>’</w:t>
      </w:r>
      <w:r w:rsidRPr="003657F3">
        <w:rPr>
          <w:rFonts w:cs="Times New Roman"/>
          <w:lang w:val="fr-CA"/>
        </w:rPr>
        <w:t>instance dans l</w:t>
      </w:r>
      <w:r>
        <w:rPr>
          <w:rFonts w:cs="Times New Roman"/>
          <w:lang w:val="fr-CA"/>
        </w:rPr>
        <w:t>’</w:t>
      </w:r>
      <w:r w:rsidRPr="003657F3">
        <w:rPr>
          <w:rFonts w:cs="Times New Roman"/>
          <w:lang w:val="fr-CA"/>
        </w:rPr>
        <w:t>Utah (P</w:t>
      </w:r>
      <w:r>
        <w:rPr>
          <w:rFonts w:cs="Times New Roman"/>
          <w:lang w:val="fr-CA"/>
        </w:rPr>
        <w:noBreakHyphen/>
      </w:r>
      <w:r w:rsidRPr="00CA4523">
        <w:rPr>
          <w:rFonts w:cs="Times New Roman"/>
          <w:lang w:val="fr-CA"/>
        </w:rPr>
        <w:t>2, P</w:t>
      </w:r>
      <w:r>
        <w:rPr>
          <w:rFonts w:cs="Times New Roman"/>
          <w:lang w:val="fr-CA"/>
        </w:rPr>
        <w:noBreakHyphen/>
      </w:r>
      <w:r w:rsidRPr="00CA4523">
        <w:rPr>
          <w:rFonts w:cs="Times New Roman"/>
          <w:lang w:val="fr-CA"/>
        </w:rPr>
        <w:t>2.1, P</w:t>
      </w:r>
      <w:r>
        <w:rPr>
          <w:rFonts w:cs="Times New Roman"/>
          <w:lang w:val="fr-CA"/>
        </w:rPr>
        <w:noBreakHyphen/>
      </w:r>
      <w:r w:rsidRPr="00CA4523">
        <w:rPr>
          <w:rFonts w:cs="Times New Roman"/>
          <w:lang w:val="fr-CA"/>
        </w:rPr>
        <w:t>2.2, P</w:t>
      </w:r>
      <w:r>
        <w:rPr>
          <w:rFonts w:cs="Times New Roman"/>
          <w:lang w:val="fr-CA"/>
        </w:rPr>
        <w:noBreakHyphen/>
      </w:r>
      <w:r w:rsidRPr="00CA4523">
        <w:rPr>
          <w:rFonts w:cs="Times New Roman"/>
          <w:lang w:val="fr-CA"/>
        </w:rPr>
        <w:t>2.3, P</w:t>
      </w:r>
      <w:r>
        <w:rPr>
          <w:rFonts w:cs="Times New Roman"/>
          <w:lang w:val="fr-CA"/>
        </w:rPr>
        <w:noBreakHyphen/>
      </w:r>
      <w:r w:rsidRPr="00CA4523">
        <w:rPr>
          <w:rFonts w:cs="Times New Roman"/>
          <w:lang w:val="fr-CA"/>
        </w:rPr>
        <w:t>3, P</w:t>
      </w:r>
      <w:r>
        <w:rPr>
          <w:rFonts w:cs="Times New Roman"/>
          <w:lang w:val="fr-CA"/>
        </w:rPr>
        <w:noBreakHyphen/>
      </w:r>
      <w:r w:rsidRPr="00CA4523">
        <w:rPr>
          <w:rFonts w:cs="Times New Roman"/>
          <w:lang w:val="fr-CA"/>
        </w:rPr>
        <w:t>4.1, P</w:t>
      </w:r>
      <w:r>
        <w:rPr>
          <w:rFonts w:cs="Times New Roman"/>
          <w:lang w:val="fr-CA"/>
        </w:rPr>
        <w:noBreakHyphen/>
      </w:r>
      <w:r w:rsidRPr="00CA4523">
        <w:rPr>
          <w:rFonts w:cs="Times New Roman"/>
          <w:lang w:val="fr-CA"/>
        </w:rPr>
        <w:t>4.2, P</w:t>
      </w:r>
      <w:r>
        <w:rPr>
          <w:rFonts w:cs="Times New Roman"/>
          <w:lang w:val="fr-CA"/>
        </w:rPr>
        <w:noBreakHyphen/>
      </w:r>
      <w:r w:rsidRPr="00CA4523">
        <w:rPr>
          <w:rFonts w:cs="Times New Roman"/>
          <w:lang w:val="fr-CA"/>
        </w:rPr>
        <w:t>4.3, P</w:t>
      </w:r>
      <w:r>
        <w:rPr>
          <w:rFonts w:cs="Times New Roman"/>
          <w:lang w:val="fr-CA"/>
        </w:rPr>
        <w:noBreakHyphen/>
      </w:r>
      <w:r w:rsidRPr="00CA4523">
        <w:rPr>
          <w:rFonts w:cs="Times New Roman"/>
          <w:lang w:val="fr-CA"/>
        </w:rPr>
        <w:t>4.4, P</w:t>
      </w:r>
      <w:r>
        <w:rPr>
          <w:rFonts w:cs="Times New Roman"/>
          <w:lang w:val="fr-CA"/>
        </w:rPr>
        <w:noBreakHyphen/>
      </w:r>
      <w:r w:rsidRPr="00CA4523">
        <w:rPr>
          <w:rFonts w:cs="Times New Roman"/>
          <w:lang w:val="fr-CA"/>
        </w:rPr>
        <w:t>4.5, P</w:t>
      </w:r>
      <w:r>
        <w:rPr>
          <w:rFonts w:cs="Times New Roman"/>
          <w:lang w:val="fr-CA"/>
        </w:rPr>
        <w:noBreakHyphen/>
      </w:r>
      <w:r w:rsidRPr="00CA4523">
        <w:rPr>
          <w:rFonts w:cs="Times New Roman"/>
          <w:lang w:val="fr-CA"/>
        </w:rPr>
        <w:t>5, P</w:t>
      </w:r>
      <w:r>
        <w:rPr>
          <w:rFonts w:cs="Times New Roman"/>
          <w:lang w:val="fr-CA"/>
        </w:rPr>
        <w:noBreakHyphen/>
      </w:r>
      <w:r w:rsidRPr="00CA4523">
        <w:rPr>
          <w:rFonts w:cs="Times New Roman"/>
          <w:lang w:val="fr-CA"/>
        </w:rPr>
        <w:t>7, P</w:t>
      </w:r>
      <w:r>
        <w:rPr>
          <w:rFonts w:cs="Times New Roman"/>
          <w:lang w:val="fr-CA"/>
        </w:rPr>
        <w:noBreakHyphen/>
      </w:r>
      <w:r w:rsidRPr="00CA4523">
        <w:rPr>
          <w:rFonts w:cs="Times New Roman"/>
          <w:lang w:val="fr-CA"/>
        </w:rPr>
        <w:t>8, P</w:t>
      </w:r>
      <w:r>
        <w:rPr>
          <w:rFonts w:cs="Times New Roman"/>
          <w:lang w:val="fr-CA"/>
        </w:rPr>
        <w:noBreakHyphen/>
      </w:r>
      <w:r w:rsidRPr="00CA4523">
        <w:rPr>
          <w:rFonts w:cs="Times New Roman"/>
          <w:lang w:val="fr-CA"/>
        </w:rPr>
        <w:t>9, P</w:t>
      </w:r>
      <w:r>
        <w:rPr>
          <w:rFonts w:cs="Times New Roman"/>
          <w:lang w:val="fr-CA"/>
        </w:rPr>
        <w:noBreakHyphen/>
      </w:r>
      <w:r w:rsidRPr="00CA4523">
        <w:rPr>
          <w:rFonts w:cs="Times New Roman"/>
          <w:lang w:val="fr-CA"/>
        </w:rPr>
        <w:t xml:space="preserve">10). Les trois autres pièces étaient un relevé du </w:t>
      </w:r>
      <w:r w:rsidRPr="00E828CF">
        <w:rPr>
          <w:rFonts w:cs="Times New Roman"/>
          <w:lang w:val="fr-CA"/>
        </w:rPr>
        <w:t xml:space="preserve">Registraire des entreprises du Québec </w:t>
      </w:r>
      <w:r w:rsidRPr="00CA4523">
        <w:rPr>
          <w:rFonts w:cs="Times New Roman"/>
          <w:lang w:val="fr-CA"/>
        </w:rPr>
        <w:t>(P</w:t>
      </w:r>
      <w:r>
        <w:rPr>
          <w:rFonts w:cs="Times New Roman"/>
          <w:lang w:val="fr-CA"/>
        </w:rPr>
        <w:noBreakHyphen/>
      </w:r>
      <w:r w:rsidRPr="00CA4523">
        <w:rPr>
          <w:rFonts w:cs="Times New Roman"/>
          <w:lang w:val="fr-CA"/>
        </w:rPr>
        <w:t>1), un état de conversion de devises (P</w:t>
      </w:r>
      <w:r>
        <w:rPr>
          <w:rFonts w:cs="Times New Roman"/>
          <w:lang w:val="fr-CA"/>
        </w:rPr>
        <w:noBreakHyphen/>
      </w:r>
      <w:r w:rsidRPr="00CA4523">
        <w:rPr>
          <w:rFonts w:cs="Times New Roman"/>
          <w:lang w:val="fr-CA"/>
        </w:rPr>
        <w:t>6) et un tableau expliquant le calcul des intérêts (P</w:t>
      </w:r>
      <w:r>
        <w:rPr>
          <w:rFonts w:cs="Times New Roman"/>
          <w:lang w:val="fr-CA"/>
        </w:rPr>
        <w:noBreakHyphen/>
      </w:r>
      <w:r w:rsidRPr="00CA4523">
        <w:rPr>
          <w:rFonts w:cs="Times New Roman"/>
          <w:lang w:val="fr-CA"/>
        </w:rPr>
        <w:t xml:space="preserve">11). Aucune de ces pièces ne </w:t>
      </w:r>
      <w:r w:rsidRPr="00CA4523">
        <w:rPr>
          <w:rFonts w:cs="Times New Roman"/>
          <w:lang w:val="fr-CA"/>
        </w:rPr>
        <w:lastRenderedPageBreak/>
        <w:t>permet de conclure que les tribunaux québécois devraient reconnaître la compétence du tribunal de l</w:t>
      </w:r>
      <w:r>
        <w:rPr>
          <w:rFonts w:cs="Times New Roman"/>
          <w:lang w:val="fr-CA"/>
        </w:rPr>
        <w:t>’</w:t>
      </w:r>
      <w:r w:rsidRPr="00CA4523">
        <w:rPr>
          <w:rFonts w:cs="Times New Roman"/>
          <w:lang w:val="fr-CA"/>
        </w:rPr>
        <w:t>Utah à l</w:t>
      </w:r>
      <w:r>
        <w:rPr>
          <w:rFonts w:cs="Times New Roman"/>
          <w:lang w:val="fr-CA"/>
        </w:rPr>
        <w:t>’</w:t>
      </w:r>
      <w:r w:rsidRPr="00CA4523">
        <w:rPr>
          <w:rFonts w:cs="Times New Roman"/>
          <w:lang w:val="fr-CA"/>
        </w:rPr>
        <w:t>égard de M.</w:t>
      </w:r>
      <w:r>
        <w:rPr>
          <w:rFonts w:cs="Times New Roman"/>
          <w:lang w:val="fr-CA"/>
        </w:rPr>
        <w:t> </w:t>
      </w:r>
      <w:r w:rsidRPr="00CA4523">
        <w:rPr>
          <w:rFonts w:cs="Times New Roman"/>
          <w:lang w:val="fr-CA"/>
        </w:rPr>
        <w:t xml:space="preserve">Barer en </w:t>
      </w:r>
      <w:r>
        <w:rPr>
          <w:rFonts w:cs="Times New Roman"/>
          <w:lang w:val="fr-CA"/>
        </w:rPr>
        <w:t xml:space="preserve">application des </w:t>
      </w:r>
      <w:r w:rsidR="008902B0">
        <w:rPr>
          <w:rFonts w:cs="Times New Roman"/>
          <w:lang w:val="fr-CA"/>
        </w:rPr>
        <w:t>par.</w:t>
      </w:r>
      <w:r>
        <w:rPr>
          <w:rFonts w:cs="Times New Roman"/>
          <w:lang w:val="fr-CA"/>
        </w:rPr>
        <w:t> </w:t>
      </w:r>
      <w:r w:rsidRPr="00CA4523">
        <w:rPr>
          <w:rFonts w:cs="Times New Roman"/>
          <w:lang w:val="fr-CA"/>
        </w:rPr>
        <w:t>3168</w:t>
      </w:r>
      <w:r>
        <w:rPr>
          <w:rFonts w:cs="Times New Roman"/>
          <w:lang w:val="fr-CA"/>
        </w:rPr>
        <w:t>(</w:t>
      </w:r>
      <w:r w:rsidRPr="00CA4523">
        <w:rPr>
          <w:rFonts w:cs="Times New Roman"/>
          <w:lang w:val="fr-CA"/>
        </w:rPr>
        <w:t>3</w:t>
      </w:r>
      <w:r>
        <w:rPr>
          <w:rFonts w:cs="Times New Roman"/>
          <w:lang w:val="fr-CA"/>
        </w:rPr>
        <w:t>)</w:t>
      </w:r>
      <w:r w:rsidRPr="00CA4523">
        <w:rPr>
          <w:rFonts w:cs="Times New Roman"/>
          <w:lang w:val="fr-CA"/>
        </w:rPr>
        <w:t xml:space="preserve"> ou </w:t>
      </w:r>
      <w:r>
        <w:rPr>
          <w:rFonts w:cs="Times New Roman"/>
          <w:lang w:val="fr-CA"/>
        </w:rPr>
        <w:t>(</w:t>
      </w:r>
      <w:r w:rsidRPr="00CA4523">
        <w:rPr>
          <w:rFonts w:cs="Times New Roman"/>
          <w:lang w:val="fr-CA"/>
        </w:rPr>
        <w:t>4</w:t>
      </w:r>
      <w:r>
        <w:rPr>
          <w:rFonts w:cs="Times New Roman"/>
          <w:lang w:val="fr-CA"/>
        </w:rPr>
        <w:t>)</w:t>
      </w:r>
      <w:r w:rsidRPr="00CA4523">
        <w:rPr>
          <w:rFonts w:cs="Times New Roman"/>
          <w:lang w:val="fr-CA"/>
        </w:rPr>
        <w:t xml:space="preserve"> </w:t>
      </w:r>
      <w:r w:rsidRPr="00CA4523">
        <w:rPr>
          <w:rFonts w:cs="Times New Roman"/>
          <w:i/>
          <w:lang w:val="fr-CA"/>
        </w:rPr>
        <w:t xml:space="preserve">C.c.Q. </w:t>
      </w:r>
      <w:r w:rsidRPr="00CA4523">
        <w:rPr>
          <w:rFonts w:cs="Times New Roman"/>
          <w:lang w:val="fr-CA"/>
        </w:rPr>
        <w:t xml:space="preserve">Par conséquent, au vu du dossier, la Cour supérieure ne pouvait </w:t>
      </w:r>
      <w:r>
        <w:rPr>
          <w:rFonts w:cs="Times New Roman"/>
          <w:lang w:val="fr-CA"/>
        </w:rPr>
        <w:t>pas reconnaître la compétence de ce</w:t>
      </w:r>
      <w:r w:rsidRPr="00CA4523">
        <w:rPr>
          <w:rFonts w:cs="Times New Roman"/>
          <w:lang w:val="fr-CA"/>
        </w:rPr>
        <w:t xml:space="preserve"> tribunal en se fondant sur </w:t>
      </w:r>
      <w:r>
        <w:rPr>
          <w:rFonts w:cs="Times New Roman"/>
          <w:lang w:val="fr-CA"/>
        </w:rPr>
        <w:t xml:space="preserve">l’un ou l’autre de </w:t>
      </w:r>
      <w:r w:rsidRPr="00CA4523">
        <w:rPr>
          <w:rFonts w:cs="Times New Roman"/>
          <w:lang w:val="fr-CA"/>
        </w:rPr>
        <w:t xml:space="preserve">ces deux </w:t>
      </w:r>
      <w:r>
        <w:rPr>
          <w:rFonts w:cs="Times New Roman"/>
          <w:lang w:val="fr-CA"/>
        </w:rPr>
        <w:t>paragraphe</w:t>
      </w:r>
      <w:r w:rsidRPr="00CA4523">
        <w:rPr>
          <w:rFonts w:cs="Times New Roman"/>
          <w:lang w:val="fr-CA"/>
        </w:rPr>
        <w:t xml:space="preserve">s.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Je passe maintenant au troisième motif de reconnaissance invoqué par Knight et examiné par le juge de première instance, en l</w:t>
      </w:r>
      <w:r>
        <w:rPr>
          <w:rFonts w:cs="Times New Roman"/>
          <w:lang w:val="fr-CA"/>
        </w:rPr>
        <w:t>’</w:t>
      </w:r>
      <w:r w:rsidRPr="00CA4523">
        <w:rPr>
          <w:rFonts w:cs="Times New Roman"/>
          <w:lang w:val="fr-CA"/>
        </w:rPr>
        <w:t xml:space="preserve">occurrence le critère de la reconnaissance de la compétence énoncé </w:t>
      </w:r>
      <w:r w:rsidR="008F06C3">
        <w:rPr>
          <w:rFonts w:cs="Times New Roman"/>
          <w:lang w:val="fr-CA"/>
        </w:rPr>
        <w:t>au</w:t>
      </w:r>
      <w:r w:rsidR="00DA0AA4">
        <w:rPr>
          <w:rFonts w:cs="Times New Roman"/>
          <w:lang w:val="fr-CA"/>
        </w:rPr>
        <w:t xml:space="preserve"> par.</w:t>
      </w:r>
      <w:r>
        <w:rPr>
          <w:rFonts w:cs="Times New Roman"/>
          <w:lang w:val="fr-CA"/>
        </w:rPr>
        <w:t> </w:t>
      </w:r>
      <w:r w:rsidRPr="00CA4523">
        <w:rPr>
          <w:rFonts w:cs="Times New Roman"/>
          <w:lang w:val="fr-CA"/>
        </w:rPr>
        <w:t>3168</w:t>
      </w:r>
      <w:r>
        <w:rPr>
          <w:rFonts w:cs="Times New Roman"/>
          <w:lang w:val="fr-CA"/>
        </w:rPr>
        <w:t>(</w:t>
      </w:r>
      <w:r w:rsidRPr="00CA4523">
        <w:rPr>
          <w:rFonts w:cs="Times New Roman"/>
          <w:lang w:val="fr-CA"/>
        </w:rPr>
        <w:t>6</w:t>
      </w:r>
      <w:r>
        <w:rPr>
          <w:rFonts w:cs="Times New Roman"/>
          <w:lang w:val="fr-CA"/>
        </w:rPr>
        <w:t>)</w:t>
      </w:r>
      <w:r w:rsidRPr="00CA4523">
        <w:rPr>
          <w:rFonts w:cs="Times New Roman"/>
          <w:lang w:val="fr-CA"/>
        </w:rPr>
        <w:t xml:space="preserve"> </w:t>
      </w:r>
      <w:r w:rsidRPr="00CA4523">
        <w:rPr>
          <w:rFonts w:cs="Times New Roman"/>
          <w:i/>
          <w:lang w:val="fr-CA"/>
        </w:rPr>
        <w:t>C.c.Q.</w:t>
      </w:r>
      <w:r w:rsidRPr="00CA4523">
        <w:rPr>
          <w:rFonts w:cs="Times New Roman"/>
          <w:lang w:val="fr-CA"/>
        </w:rPr>
        <w:t xml:space="preserve"> </w:t>
      </w:r>
      <w:r>
        <w:rPr>
          <w:rFonts w:cs="Times New Roman"/>
          <w:lang w:val="fr-CA"/>
        </w:rPr>
        <w:t>Ce critère justifiait selon moi</w:t>
      </w:r>
      <w:r w:rsidRPr="00CA4523">
        <w:rPr>
          <w:rFonts w:cs="Times New Roman"/>
          <w:lang w:val="fr-CA"/>
        </w:rPr>
        <w:t xml:space="preserve"> que les </w:t>
      </w:r>
      <w:r>
        <w:rPr>
          <w:rFonts w:cs="Times New Roman"/>
          <w:lang w:val="fr-CA"/>
        </w:rPr>
        <w:t>cours d’instances inférieures en arrivent</w:t>
      </w:r>
      <w:r w:rsidRPr="00CA4523">
        <w:rPr>
          <w:rFonts w:cs="Times New Roman"/>
          <w:lang w:val="fr-CA"/>
        </w:rPr>
        <w:t xml:space="preserve"> à la conclusion qu</w:t>
      </w:r>
      <w:r>
        <w:rPr>
          <w:rFonts w:cs="Times New Roman"/>
          <w:lang w:val="fr-CA"/>
        </w:rPr>
        <w:t>’</w:t>
      </w:r>
      <w:r w:rsidRPr="00CA4523">
        <w:rPr>
          <w:rFonts w:cs="Times New Roman"/>
          <w:lang w:val="fr-CA"/>
        </w:rPr>
        <w:t>elles ont tirée. Comme je l</w:t>
      </w:r>
      <w:r>
        <w:rPr>
          <w:rFonts w:cs="Times New Roman"/>
          <w:lang w:val="fr-CA"/>
        </w:rPr>
        <w:t>’</w:t>
      </w:r>
      <w:r w:rsidRPr="00CA4523">
        <w:rPr>
          <w:rFonts w:cs="Times New Roman"/>
          <w:lang w:val="fr-CA"/>
        </w:rPr>
        <w:t xml:space="preserve">ai déjà indiqué, </w:t>
      </w:r>
      <w:r>
        <w:rPr>
          <w:rFonts w:cs="Times New Roman"/>
          <w:lang w:val="fr-CA"/>
        </w:rPr>
        <w:t xml:space="preserve">il suffit qu’il soit satisfait à </w:t>
      </w:r>
      <w:r w:rsidRPr="00CA4523">
        <w:rPr>
          <w:rFonts w:cs="Times New Roman"/>
          <w:lang w:val="fr-CA"/>
        </w:rPr>
        <w:t xml:space="preserve">un seul des critères de compétence </w:t>
      </w:r>
      <w:r>
        <w:rPr>
          <w:rFonts w:cs="Times New Roman"/>
          <w:lang w:val="fr-CA"/>
        </w:rPr>
        <w:t>prévus à</w:t>
      </w:r>
      <w:r w:rsidRPr="00CA4523">
        <w:rPr>
          <w:rFonts w:cs="Times New Roman"/>
          <w:lang w:val="fr-CA"/>
        </w:rPr>
        <w:t xml:space="preserve"> l</w:t>
      </w:r>
      <w:r>
        <w:rPr>
          <w:rFonts w:cs="Times New Roman"/>
          <w:lang w:val="fr-CA"/>
        </w:rPr>
        <w:t>’art. </w:t>
      </w:r>
      <w:r w:rsidRPr="00CA4523">
        <w:rPr>
          <w:rFonts w:cs="Times New Roman"/>
          <w:lang w:val="fr-CA"/>
        </w:rPr>
        <w:t xml:space="preserve">3168 </w:t>
      </w:r>
      <w:r>
        <w:rPr>
          <w:rFonts w:cs="Times New Roman"/>
          <w:lang w:val="fr-CA"/>
        </w:rPr>
        <w:t>pour</w:t>
      </w:r>
      <w:r w:rsidRPr="00CA4523">
        <w:rPr>
          <w:rFonts w:cs="Times New Roman"/>
          <w:lang w:val="fr-CA"/>
        </w:rPr>
        <w:t xml:space="preserve"> établir la compétence</w:t>
      </w:r>
      <w:r>
        <w:rPr>
          <w:rFonts w:cs="Times New Roman"/>
          <w:lang w:val="fr-CA"/>
        </w:rPr>
        <w:t xml:space="preserve"> de l’autorité étrangère</w:t>
      </w:r>
      <w:r w:rsidRPr="00CA4523">
        <w:rPr>
          <w:rFonts w:cs="Times New Roman"/>
          <w:lang w:val="fr-CA"/>
        </w:rPr>
        <w:t xml:space="preserve"> </w:t>
      </w:r>
      <w:r w:rsidRPr="00CA4523">
        <w:rPr>
          <w:rFonts w:cs="Times New Roman"/>
          <w:szCs w:val="24"/>
          <w:lang w:val="fr-CA"/>
        </w:rPr>
        <w:t xml:space="preserve">(Emanuelli </w:t>
      </w:r>
      <w:r>
        <w:rPr>
          <w:rFonts w:cs="Times New Roman"/>
          <w:szCs w:val="24"/>
          <w:lang w:val="fr-CA"/>
        </w:rPr>
        <w:t>(</w:t>
      </w:r>
      <w:r w:rsidRPr="00CA4523">
        <w:rPr>
          <w:rFonts w:cs="Times New Roman"/>
          <w:szCs w:val="24"/>
          <w:lang w:val="fr-CA"/>
        </w:rPr>
        <w:t>2011</w:t>
      </w:r>
      <w:r>
        <w:rPr>
          <w:rFonts w:cs="Times New Roman"/>
          <w:szCs w:val="24"/>
          <w:lang w:val="fr-CA"/>
        </w:rPr>
        <w:t>)</w:t>
      </w:r>
      <w:r w:rsidRPr="00CA4523">
        <w:rPr>
          <w:rFonts w:cs="Times New Roman"/>
          <w:szCs w:val="24"/>
          <w:lang w:val="fr-CA"/>
        </w:rPr>
        <w:t xml:space="preserve">, </w:t>
      </w:r>
      <w:r>
        <w:rPr>
          <w:rFonts w:cs="Times New Roman"/>
          <w:szCs w:val="24"/>
          <w:lang w:val="fr-CA"/>
        </w:rPr>
        <w:t>n</w:t>
      </w:r>
      <w:r w:rsidRPr="00B15861">
        <w:rPr>
          <w:rFonts w:cs="Times New Roman"/>
          <w:szCs w:val="24"/>
          <w:vertAlign w:val="superscript"/>
          <w:lang w:val="fr-CA"/>
        </w:rPr>
        <w:t>o</w:t>
      </w:r>
      <w:r w:rsidRPr="00CA4523">
        <w:rPr>
          <w:rFonts w:cs="Times New Roman"/>
          <w:szCs w:val="24"/>
          <w:lang w:val="fr-CA"/>
        </w:rPr>
        <w:t xml:space="preserve"> 290; </w:t>
      </w:r>
      <w:r w:rsidRPr="00CA4523">
        <w:rPr>
          <w:rFonts w:cs="Times New Roman"/>
          <w:i/>
          <w:lang w:val="fr-CA"/>
        </w:rPr>
        <w:t>Hocking</w:t>
      </w:r>
      <w:r w:rsidRPr="00CA4523">
        <w:rPr>
          <w:rFonts w:cs="Times New Roman"/>
          <w:lang w:val="fr-CA"/>
        </w:rPr>
        <w:t xml:space="preserve">, </w:t>
      </w:r>
      <w:r>
        <w:rPr>
          <w:rFonts w:cs="Times New Roman"/>
          <w:lang w:val="fr-CA"/>
        </w:rPr>
        <w:t>par. </w:t>
      </w:r>
      <w:r w:rsidRPr="00CA4523">
        <w:rPr>
          <w:rFonts w:cs="Times New Roman"/>
          <w:lang w:val="fr-CA"/>
        </w:rPr>
        <w:t>187</w:t>
      </w:r>
      <w:r w:rsidRPr="00CA4523">
        <w:rPr>
          <w:rFonts w:cs="Times New Roman"/>
          <w:szCs w:val="24"/>
          <w:lang w:val="fr-CA"/>
        </w:rPr>
        <w:t>)</w:t>
      </w:r>
      <w:r w:rsidRPr="00CA4523">
        <w:rPr>
          <w:rFonts w:cs="Times New Roman"/>
          <w:lang w:val="fr-CA"/>
        </w:rPr>
        <w:t xml:space="preserve">. </w:t>
      </w:r>
    </w:p>
    <w:p w:rsidR="00AF6697" w:rsidRPr="00CA4523" w:rsidRDefault="00DA0AA4" w:rsidP="002970A2">
      <w:pPr>
        <w:pStyle w:val="Title2LevelTitre2Niveau"/>
        <w:numPr>
          <w:ilvl w:val="0"/>
          <w:numId w:val="17"/>
        </w:numPr>
        <w:ind w:left="540" w:hanging="540"/>
        <w:rPr>
          <w:rFonts w:cs="Times New Roman"/>
          <w:lang w:val="fr-CA"/>
        </w:rPr>
      </w:pPr>
      <w:r>
        <w:rPr>
          <w:rFonts w:cs="Times New Roman"/>
          <w:lang w:val="fr-CA"/>
        </w:rPr>
        <w:t>Paragraphe</w:t>
      </w:r>
      <w:r w:rsidR="00AF6697">
        <w:rPr>
          <w:rFonts w:cs="Times New Roman"/>
          <w:lang w:val="fr-CA"/>
        </w:rPr>
        <w:t> </w:t>
      </w:r>
      <w:r w:rsidR="00AF6697" w:rsidRPr="00CA4523">
        <w:rPr>
          <w:rFonts w:cs="Times New Roman"/>
          <w:lang w:val="fr-CA"/>
        </w:rPr>
        <w:t>3168</w:t>
      </w:r>
      <w:r w:rsidR="00AF6697">
        <w:rPr>
          <w:rFonts w:cs="Times New Roman"/>
          <w:lang w:val="fr-CA"/>
        </w:rPr>
        <w:t>(</w:t>
      </w:r>
      <w:r w:rsidR="00AF6697" w:rsidRPr="00CA4523">
        <w:rPr>
          <w:rFonts w:cs="Times New Roman"/>
          <w:lang w:val="fr-CA"/>
        </w:rPr>
        <w:t>6</w:t>
      </w:r>
      <w:r w:rsidR="00AF6697">
        <w:rPr>
          <w:rFonts w:cs="Times New Roman"/>
          <w:lang w:val="fr-CA"/>
        </w:rPr>
        <w:t>)</w:t>
      </w:r>
      <w:r w:rsidR="00AF6697" w:rsidRPr="00CA4523">
        <w:rPr>
          <w:rFonts w:cs="Times New Roman"/>
          <w:lang w:val="fr-CA"/>
        </w:rPr>
        <w:t xml:space="preserve"> C.c.Q.</w:t>
      </w:r>
    </w:p>
    <w:p w:rsidR="00AF6697" w:rsidRPr="00CA4523" w:rsidRDefault="00AF6697" w:rsidP="0062471B">
      <w:pPr>
        <w:pStyle w:val="ParaNoNdepar-AltN"/>
        <w:rPr>
          <w:rFonts w:cs="Times New Roman"/>
          <w:lang w:val="fr-CA"/>
        </w:rPr>
      </w:pPr>
      <w:r w:rsidRPr="00CA4523">
        <w:rPr>
          <w:rFonts w:cs="Times New Roman"/>
          <w:lang w:val="fr-CA"/>
        </w:rPr>
        <w:t xml:space="preserve">La jurisprudence québécoise admet depuis longtemps la reconnaissance de la compétence </w:t>
      </w:r>
      <w:r>
        <w:rPr>
          <w:rFonts w:cs="Times New Roman"/>
          <w:lang w:val="fr-CA"/>
        </w:rPr>
        <w:t xml:space="preserve">d’un tribunal </w:t>
      </w:r>
      <w:r w:rsidRPr="00CA4523">
        <w:rPr>
          <w:rFonts w:cs="Times New Roman"/>
          <w:lang w:val="fr-CA"/>
        </w:rPr>
        <w:t>comme un motif permettant d</w:t>
      </w:r>
      <w:r>
        <w:rPr>
          <w:rFonts w:cs="Times New Roman"/>
          <w:lang w:val="fr-CA"/>
        </w:rPr>
        <w:t xml:space="preserve">’en </w:t>
      </w:r>
      <w:r w:rsidRPr="00CA4523">
        <w:rPr>
          <w:rFonts w:cs="Times New Roman"/>
          <w:lang w:val="fr-CA"/>
        </w:rPr>
        <w:t xml:space="preserve">asseoir la </w:t>
      </w:r>
      <w:r>
        <w:rPr>
          <w:rFonts w:cs="Times New Roman"/>
          <w:lang w:val="fr-CA"/>
        </w:rPr>
        <w:t>compétence</w:t>
      </w:r>
      <w:r w:rsidRPr="00CA4523">
        <w:rPr>
          <w:rFonts w:cs="Times New Roman"/>
          <w:lang w:val="fr-CA"/>
        </w:rPr>
        <w:t xml:space="preserve">; </w:t>
      </w:r>
      <w:r>
        <w:rPr>
          <w:rFonts w:cs="Times New Roman"/>
          <w:lang w:val="fr-CA"/>
        </w:rPr>
        <w:t xml:space="preserve">d’ailleurs, </w:t>
      </w:r>
      <w:r w:rsidRPr="00CA4523">
        <w:rPr>
          <w:rFonts w:cs="Times New Roman"/>
          <w:lang w:val="fr-CA"/>
        </w:rPr>
        <w:t xml:space="preserve">dès lors </w:t>
      </w:r>
      <w:r>
        <w:rPr>
          <w:rFonts w:cs="Times New Roman"/>
          <w:lang w:val="fr-CA"/>
        </w:rPr>
        <w:t>qu’une partie</w:t>
      </w:r>
      <w:r w:rsidRPr="00CA4523">
        <w:rPr>
          <w:rFonts w:cs="Times New Roman"/>
          <w:lang w:val="fr-CA"/>
        </w:rPr>
        <w:t xml:space="preserve"> </w:t>
      </w:r>
      <w:r>
        <w:rPr>
          <w:rFonts w:cs="Times New Roman"/>
          <w:lang w:val="fr-CA"/>
        </w:rPr>
        <w:t>a reconnu la compétence d’un tribunal, elle</w:t>
      </w:r>
      <w:r w:rsidRPr="00CA4523">
        <w:rPr>
          <w:rFonts w:cs="Times New Roman"/>
          <w:lang w:val="fr-CA"/>
        </w:rPr>
        <w:t xml:space="preserve"> ne peut plus la contester (voir </w:t>
      </w:r>
      <w:r w:rsidRPr="00CA4523">
        <w:rPr>
          <w:rFonts w:cs="Times New Roman"/>
          <w:i/>
          <w:lang w:val="fr-CA"/>
        </w:rPr>
        <w:t>Vaughan c. Campbell </w:t>
      </w:r>
      <w:r w:rsidRPr="00CA4523">
        <w:rPr>
          <w:rFonts w:cs="Times New Roman"/>
          <w:lang w:val="fr-CA"/>
        </w:rPr>
        <w:t>(1855</w:t>
      </w:r>
      <w:r w:rsidRPr="00E828CF">
        <w:rPr>
          <w:rFonts w:cs="Times New Roman"/>
          <w:lang w:val="fr-CA"/>
        </w:rPr>
        <w:t>), 5 L.C. Re</w:t>
      </w:r>
      <w:r>
        <w:rPr>
          <w:rFonts w:cs="Times New Roman"/>
          <w:lang w:val="fr-CA"/>
        </w:rPr>
        <w:t>p. </w:t>
      </w:r>
      <w:r w:rsidRPr="00E828CF">
        <w:rPr>
          <w:rFonts w:cs="Times New Roman"/>
          <w:lang w:val="fr-CA"/>
        </w:rPr>
        <w:t>431</w:t>
      </w:r>
      <w:r>
        <w:rPr>
          <w:rFonts w:cs="Times New Roman"/>
          <w:lang w:val="fr-CA"/>
        </w:rPr>
        <w:t xml:space="preserve"> (C.S.)</w:t>
      </w:r>
      <w:r w:rsidRPr="00CA4523">
        <w:rPr>
          <w:rFonts w:cs="Times New Roman"/>
          <w:lang w:val="fr-CA"/>
        </w:rPr>
        <w:t>; voir également G. Goldstein et J.</w:t>
      </w:r>
      <w:r>
        <w:rPr>
          <w:rFonts w:cs="Times New Roman"/>
          <w:lang w:val="fr-CA"/>
        </w:rPr>
        <w:t> </w:t>
      </w:r>
      <w:r w:rsidRPr="00CA4523">
        <w:rPr>
          <w:rFonts w:cs="Times New Roman"/>
          <w:lang w:val="fr-CA"/>
        </w:rPr>
        <w:t xml:space="preserve">A. Talpis, </w:t>
      </w:r>
      <w:r w:rsidRPr="00CA4523">
        <w:rPr>
          <w:rFonts w:cs="Times New Roman"/>
          <w:i/>
          <w:lang w:val="fr-CA"/>
        </w:rPr>
        <w:t>L</w:t>
      </w:r>
      <w:r>
        <w:rPr>
          <w:rFonts w:cs="Times New Roman"/>
          <w:i/>
          <w:lang w:val="fr-CA"/>
        </w:rPr>
        <w:t>’</w:t>
      </w:r>
      <w:r w:rsidRPr="00CA4523">
        <w:rPr>
          <w:rFonts w:cs="Times New Roman"/>
          <w:i/>
          <w:lang w:val="fr-CA"/>
        </w:rPr>
        <w:t>effet au Québec des jugements étrangers en matière de droits patrimoniaux</w:t>
      </w:r>
      <w:r w:rsidRPr="00CA4523">
        <w:rPr>
          <w:rFonts w:cs="Times New Roman"/>
          <w:lang w:val="fr-CA"/>
        </w:rPr>
        <w:t xml:space="preserve"> (1991), </w:t>
      </w:r>
      <w:r>
        <w:rPr>
          <w:rFonts w:cs="Times New Roman"/>
          <w:lang w:val="fr-CA"/>
        </w:rPr>
        <w:t>p. </w:t>
      </w:r>
      <w:r w:rsidRPr="00CA4523">
        <w:rPr>
          <w:rFonts w:cs="Times New Roman"/>
          <w:lang w:val="fr-CA"/>
        </w:rPr>
        <w:t xml:space="preserve">117; G. Goldstein et E. Groffier, </w:t>
      </w:r>
      <w:r w:rsidRPr="00CA4523">
        <w:rPr>
          <w:rFonts w:cs="Times New Roman"/>
          <w:i/>
          <w:lang w:val="fr-CA"/>
        </w:rPr>
        <w:t>Droit international privé</w:t>
      </w:r>
      <w:r w:rsidR="00134631">
        <w:rPr>
          <w:rFonts w:cs="Times New Roman"/>
          <w:lang w:val="fr-CA"/>
        </w:rPr>
        <w:t>, t</w:t>
      </w:r>
      <w:r w:rsidR="00B66FA5">
        <w:rPr>
          <w:rFonts w:cs="Times New Roman"/>
          <w:lang w:val="fr-CA"/>
        </w:rPr>
        <w:t>. I</w:t>
      </w:r>
      <w:r>
        <w:rPr>
          <w:rFonts w:cs="Times New Roman"/>
          <w:lang w:val="fr-CA"/>
        </w:rPr>
        <w:t xml:space="preserve">, </w:t>
      </w:r>
      <w:r w:rsidRPr="00B15861">
        <w:rPr>
          <w:rFonts w:cs="Times New Roman"/>
          <w:i/>
          <w:lang w:val="fr-CA"/>
        </w:rPr>
        <w:t>Théorie générale</w:t>
      </w:r>
      <w:r w:rsidRPr="00CA4523">
        <w:rPr>
          <w:rFonts w:cs="Times New Roman"/>
          <w:lang w:val="fr-CA"/>
        </w:rPr>
        <w:t xml:space="preserve"> (1998), </w:t>
      </w:r>
      <w:r>
        <w:rPr>
          <w:rFonts w:cs="Times New Roman"/>
          <w:lang w:val="fr-CA"/>
        </w:rPr>
        <w:t>n</w:t>
      </w:r>
      <w:r w:rsidRPr="00B15861">
        <w:rPr>
          <w:rFonts w:cs="Times New Roman"/>
          <w:vertAlign w:val="superscript"/>
          <w:lang w:val="fr-CA"/>
        </w:rPr>
        <w:t>o</w:t>
      </w:r>
      <w:r w:rsidRPr="00CA4523">
        <w:rPr>
          <w:rFonts w:cs="Times New Roman"/>
          <w:lang w:val="fr-CA"/>
        </w:rPr>
        <w:t xml:space="preserve"> 183). Le </w:t>
      </w:r>
      <w:r w:rsidRPr="00CA4523">
        <w:rPr>
          <w:rFonts w:cs="Times New Roman"/>
          <w:i/>
          <w:lang w:val="fr-CA"/>
        </w:rPr>
        <w:t>Code civil</w:t>
      </w:r>
      <w:r w:rsidRPr="00CA4523">
        <w:rPr>
          <w:rFonts w:cs="Times New Roman"/>
          <w:lang w:val="fr-CA"/>
        </w:rPr>
        <w:t xml:space="preserve"> prévoit maintenant explicitement </w:t>
      </w:r>
      <w:r w:rsidR="00DA0AA4">
        <w:rPr>
          <w:rFonts w:cs="Times New Roman"/>
          <w:lang w:val="fr-CA"/>
        </w:rPr>
        <w:t>au par</w:t>
      </w:r>
      <w:r>
        <w:rPr>
          <w:rFonts w:cs="Times New Roman"/>
          <w:lang w:val="fr-CA"/>
        </w:rPr>
        <w:t>. </w:t>
      </w:r>
      <w:r w:rsidRPr="00CA4523">
        <w:rPr>
          <w:rFonts w:cs="Times New Roman"/>
          <w:lang w:val="fr-CA"/>
        </w:rPr>
        <w:t>3168</w:t>
      </w:r>
      <w:r>
        <w:rPr>
          <w:rFonts w:cs="Times New Roman"/>
          <w:lang w:val="fr-CA"/>
        </w:rPr>
        <w:t>(</w:t>
      </w:r>
      <w:r w:rsidRPr="00CA4523">
        <w:rPr>
          <w:rFonts w:cs="Times New Roman"/>
          <w:lang w:val="fr-CA"/>
        </w:rPr>
        <w:t>6</w:t>
      </w:r>
      <w:r>
        <w:rPr>
          <w:rFonts w:cs="Times New Roman"/>
          <w:lang w:val="fr-CA"/>
        </w:rPr>
        <w:t>)</w:t>
      </w:r>
      <w:r w:rsidRPr="00CA4523">
        <w:rPr>
          <w:rFonts w:cs="Times New Roman"/>
          <w:lang w:val="fr-CA"/>
        </w:rPr>
        <w:t xml:space="preserve"> </w:t>
      </w:r>
      <w:r>
        <w:rPr>
          <w:rFonts w:cs="Times New Roman"/>
          <w:lang w:val="fr-CA"/>
        </w:rPr>
        <w:t>la reconnaissance de</w:t>
      </w:r>
      <w:r w:rsidRPr="00CA4523">
        <w:rPr>
          <w:rFonts w:cs="Times New Roman"/>
          <w:lang w:val="fr-CA"/>
        </w:rPr>
        <w:t xml:space="preserve"> la compétence des autorités étrangères lorsque </w:t>
      </w:r>
      <w:r w:rsidR="0062471B">
        <w:rPr>
          <w:lang w:val="fr-FR"/>
        </w:rPr>
        <w:t>« [</w:t>
      </w:r>
      <w:r w:rsidRPr="00CA4523">
        <w:rPr>
          <w:lang w:val="fr-FR"/>
        </w:rPr>
        <w:t>l</w:t>
      </w:r>
      <w:r w:rsidR="0062471B">
        <w:rPr>
          <w:lang w:val="fr-FR"/>
        </w:rPr>
        <w:t>]</w:t>
      </w:r>
      <w:r w:rsidRPr="00CA4523">
        <w:rPr>
          <w:lang w:val="fr-FR"/>
        </w:rPr>
        <w:t xml:space="preserve">e défendeur </w:t>
      </w:r>
      <w:r>
        <w:rPr>
          <w:lang w:val="fr-FR"/>
        </w:rPr>
        <w:t>[l’]</w:t>
      </w:r>
      <w:r w:rsidRPr="00CA4523">
        <w:rPr>
          <w:lang w:val="fr-FR"/>
        </w:rPr>
        <w:t>a reconnu</w:t>
      </w:r>
      <w:r>
        <w:rPr>
          <w:lang w:val="fr-FR"/>
        </w:rPr>
        <w:t>[e]</w:t>
      </w:r>
      <w:r w:rsidR="0062471B">
        <w:rPr>
          <w:lang w:val="fr-FR"/>
        </w:rPr>
        <w:t> </w:t>
      </w:r>
      <w:r w:rsidRPr="00CA4523">
        <w:rPr>
          <w:lang w:val="fr-FR"/>
        </w:rPr>
        <w:t>»</w:t>
      </w:r>
      <w:r w:rsidRPr="00CA4523">
        <w:rPr>
          <w:rFonts w:cs="Times New Roman"/>
          <w:lang w:val="fr-CA"/>
        </w:rPr>
        <w:t>.</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lastRenderedPageBreak/>
        <w:t>Le juge de première instance a conclu que M. Barer avait reconnu la compétence du tribunal de l</w:t>
      </w:r>
      <w:r>
        <w:rPr>
          <w:rFonts w:cs="Times New Roman"/>
          <w:lang w:val="fr-CA"/>
        </w:rPr>
        <w:t>’</w:t>
      </w:r>
      <w:r w:rsidRPr="00CA4523">
        <w:rPr>
          <w:rFonts w:cs="Times New Roman"/>
          <w:lang w:val="fr-CA"/>
        </w:rPr>
        <w:t xml:space="preserve">Utah au sens </w:t>
      </w:r>
      <w:r>
        <w:rPr>
          <w:rFonts w:cs="Times New Roman"/>
          <w:lang w:val="fr-CA"/>
        </w:rPr>
        <w:t xml:space="preserve">où il faut l’entendre pour l’application </w:t>
      </w:r>
      <w:r w:rsidRPr="00CA4523">
        <w:rPr>
          <w:rFonts w:cs="Times New Roman"/>
          <w:lang w:val="fr-CA"/>
        </w:rPr>
        <w:t>de ce</w:t>
      </w:r>
      <w:r>
        <w:rPr>
          <w:rFonts w:cs="Times New Roman"/>
          <w:lang w:val="fr-CA"/>
        </w:rPr>
        <w:t xml:space="preserve"> paragraphe</w:t>
      </w:r>
      <w:r w:rsidRPr="00CA4523">
        <w:rPr>
          <w:rFonts w:cs="Times New Roman"/>
          <w:lang w:val="fr-CA"/>
        </w:rPr>
        <w:t xml:space="preserve"> [</w:t>
      </w:r>
      <w:r w:rsidRPr="00CA4523">
        <w:rPr>
          <w:rFonts w:cs="Times New Roman"/>
          <w:smallCaps/>
          <w:lang w:val="fr-CA"/>
        </w:rPr>
        <w:t>traduction</w:t>
      </w:r>
      <w:r w:rsidRPr="00CA4523">
        <w:rPr>
          <w:rFonts w:cs="Times New Roman"/>
          <w:lang w:val="fr-CA"/>
        </w:rPr>
        <w:t xml:space="preserve">] « en soulevant une question </w:t>
      </w:r>
      <w:r w:rsidRPr="00CA4523">
        <w:rPr>
          <w:rFonts w:cs="Times New Roman"/>
          <w:i/>
          <w:lang w:val="fr-CA"/>
        </w:rPr>
        <w:t>de fond</w:t>
      </w:r>
      <w:r w:rsidRPr="00CA4523">
        <w:rPr>
          <w:rFonts w:cs="Times New Roman"/>
          <w:lang w:val="fr-CA"/>
        </w:rPr>
        <w:t xml:space="preserve"> » dans sa requête en irrecevabilité </w:t>
      </w:r>
      <w:r>
        <w:rPr>
          <w:rFonts w:cs="Times New Roman"/>
          <w:lang w:val="fr-CA"/>
        </w:rPr>
        <w:t>(par. </w:t>
      </w:r>
      <w:r w:rsidRPr="00CA4523">
        <w:rPr>
          <w:rFonts w:cs="Times New Roman"/>
          <w:lang w:val="fr-CA"/>
        </w:rPr>
        <w:t>16</w:t>
      </w:r>
      <w:r>
        <w:rPr>
          <w:rFonts w:cs="Times New Roman"/>
          <w:lang w:val="fr-CA"/>
        </w:rPr>
        <w:t xml:space="preserve"> (</w:t>
      </w:r>
      <w:r w:rsidR="00134631">
        <w:rPr>
          <w:rFonts w:cs="Times New Roman"/>
          <w:lang w:val="fr-CA"/>
        </w:rPr>
        <w:t>italiques ajoutés</w:t>
      </w:r>
      <w:r>
        <w:rPr>
          <w:rFonts w:cs="Times New Roman"/>
          <w:lang w:val="fr-CA"/>
        </w:rPr>
        <w:t>))</w:t>
      </w:r>
      <w:r w:rsidRPr="00CA4523">
        <w:rPr>
          <w:rFonts w:cs="Times New Roman"/>
          <w:lang w:val="fr-CA"/>
        </w:rPr>
        <w:t>. Bien que la Cour d</w:t>
      </w:r>
      <w:r>
        <w:rPr>
          <w:rFonts w:cs="Times New Roman"/>
          <w:lang w:val="fr-CA"/>
        </w:rPr>
        <w:t>’</w:t>
      </w:r>
      <w:r w:rsidRPr="00CA4523">
        <w:rPr>
          <w:rFonts w:cs="Times New Roman"/>
          <w:lang w:val="fr-CA"/>
        </w:rPr>
        <w:t>appel ait débouté M. Barer de son appel de cette décision, nous ne savons pas si la formation qui a entendu l</w:t>
      </w:r>
      <w:r>
        <w:rPr>
          <w:rFonts w:cs="Times New Roman"/>
          <w:lang w:val="fr-CA"/>
        </w:rPr>
        <w:t>’</w:t>
      </w:r>
      <w:r w:rsidRPr="00CA4523">
        <w:rPr>
          <w:rFonts w:cs="Times New Roman"/>
          <w:lang w:val="fr-CA"/>
        </w:rPr>
        <w:t>appel sur le fond a souscrit à cette conclusion. Je relève que l</w:t>
      </w:r>
      <w:r>
        <w:rPr>
          <w:rFonts w:cs="Times New Roman"/>
          <w:lang w:val="fr-CA"/>
        </w:rPr>
        <w:t>’</w:t>
      </w:r>
      <w:r w:rsidRPr="00CA4523">
        <w:rPr>
          <w:rFonts w:cs="Times New Roman"/>
          <w:lang w:val="fr-CA"/>
        </w:rPr>
        <w:t>autre formation</w:t>
      </w:r>
      <w:r>
        <w:rPr>
          <w:rFonts w:cs="Times New Roman"/>
          <w:lang w:val="fr-CA"/>
        </w:rPr>
        <w:t>,</w:t>
      </w:r>
      <w:r w:rsidRPr="00CA4523">
        <w:rPr>
          <w:rFonts w:cs="Times New Roman"/>
          <w:lang w:val="fr-CA"/>
        </w:rPr>
        <w:t xml:space="preserve"> qui a examiné la </w:t>
      </w:r>
      <w:r>
        <w:rPr>
          <w:rFonts w:cs="Times New Roman"/>
          <w:lang w:val="fr-CA"/>
        </w:rPr>
        <w:t xml:space="preserve">demande en rejet sommaire de </w:t>
      </w:r>
      <w:r w:rsidRPr="00D34B07">
        <w:rPr>
          <w:rFonts w:cs="Times New Roman"/>
          <w:lang w:val="fr-CA"/>
        </w:rPr>
        <w:t>l</w:t>
      </w:r>
      <w:r>
        <w:rPr>
          <w:rFonts w:cs="Times New Roman"/>
          <w:lang w:val="fr-CA"/>
        </w:rPr>
        <w:t>’</w:t>
      </w:r>
      <w:r w:rsidRPr="00D34B07">
        <w:rPr>
          <w:rFonts w:cs="Times New Roman"/>
          <w:lang w:val="fr-CA"/>
        </w:rPr>
        <w:t>appel</w:t>
      </w:r>
      <w:r w:rsidRPr="00CA4523">
        <w:rPr>
          <w:rFonts w:cs="Times New Roman"/>
          <w:lang w:val="fr-CA"/>
        </w:rPr>
        <w:t xml:space="preserve"> de M. Barer</w:t>
      </w:r>
      <w:r>
        <w:rPr>
          <w:rFonts w:cs="Times New Roman"/>
          <w:lang w:val="fr-CA"/>
        </w:rPr>
        <w:t xml:space="preserve"> </w:t>
      </w:r>
      <w:r w:rsidRPr="00CA4523">
        <w:rPr>
          <w:rFonts w:cs="Times New Roman"/>
          <w:lang w:val="fr-CA"/>
        </w:rPr>
        <w:t xml:space="preserve">présentée par </w:t>
      </w:r>
      <w:r w:rsidRPr="00D34B07">
        <w:rPr>
          <w:rFonts w:cs="Times New Roman"/>
          <w:lang w:val="fr-CA"/>
        </w:rPr>
        <w:t>Knight</w:t>
      </w:r>
      <w:r>
        <w:rPr>
          <w:rFonts w:cs="Times New Roman"/>
          <w:lang w:val="fr-CA"/>
        </w:rPr>
        <w:t>,</w:t>
      </w:r>
      <w:r w:rsidRPr="00CA4523">
        <w:rPr>
          <w:rFonts w:cs="Times New Roman"/>
          <w:lang w:val="fr-CA"/>
        </w:rPr>
        <w:t xml:space="preserve"> a formulé le critère permettant de reconnaître la compétence de façon légèrement différente de celle proposée par le juge de première instance. Cette formation s</w:t>
      </w:r>
      <w:r>
        <w:rPr>
          <w:rFonts w:cs="Times New Roman"/>
          <w:lang w:val="fr-CA"/>
        </w:rPr>
        <w:t>’</w:t>
      </w:r>
      <w:r w:rsidRPr="00CA4523">
        <w:rPr>
          <w:rFonts w:cs="Times New Roman"/>
          <w:lang w:val="fr-CA"/>
        </w:rPr>
        <w:t>est dite d</w:t>
      </w:r>
      <w:r>
        <w:rPr>
          <w:rFonts w:cs="Times New Roman"/>
          <w:lang w:val="fr-CA"/>
        </w:rPr>
        <w:t>’</w:t>
      </w:r>
      <w:r w:rsidRPr="00CA4523">
        <w:rPr>
          <w:rFonts w:cs="Times New Roman"/>
          <w:lang w:val="fr-CA"/>
        </w:rPr>
        <w:t xml:space="preserve">avis que M. Barer semblait avoir acquiescé à la </w:t>
      </w:r>
      <w:r>
        <w:rPr>
          <w:rFonts w:cs="Times New Roman"/>
          <w:lang w:val="fr-CA"/>
        </w:rPr>
        <w:t>compétence</w:t>
      </w:r>
      <w:r w:rsidRPr="00CA4523">
        <w:rPr>
          <w:rFonts w:cs="Times New Roman"/>
          <w:lang w:val="fr-CA"/>
        </w:rPr>
        <w:t xml:space="preserve"> du </w:t>
      </w:r>
      <w:r w:rsidRPr="00CA4523">
        <w:rPr>
          <w:rFonts w:cs="Times New Roman"/>
          <w:szCs w:val="24"/>
          <w:lang w:val="fr-CA"/>
        </w:rPr>
        <w:t>tribunal de l</w:t>
      </w:r>
      <w:r>
        <w:rPr>
          <w:rFonts w:cs="Times New Roman"/>
          <w:szCs w:val="24"/>
          <w:lang w:val="fr-CA"/>
        </w:rPr>
        <w:t>’</w:t>
      </w:r>
      <w:r w:rsidRPr="00CA4523">
        <w:rPr>
          <w:rFonts w:cs="Times New Roman"/>
          <w:szCs w:val="24"/>
          <w:lang w:val="fr-CA"/>
        </w:rPr>
        <w:t xml:space="preserve">Utah, </w:t>
      </w:r>
      <w:r>
        <w:rPr>
          <w:rFonts w:cs="Times New Roman"/>
          <w:szCs w:val="24"/>
          <w:lang w:val="fr-CA"/>
        </w:rPr>
        <w:t>puis</w:t>
      </w:r>
      <w:r w:rsidRPr="00CA4523">
        <w:rPr>
          <w:rFonts w:cs="Times New Roman"/>
          <w:szCs w:val="24"/>
          <w:lang w:val="fr-CA"/>
        </w:rPr>
        <w:t>qu</w:t>
      </w:r>
      <w:r>
        <w:rPr>
          <w:rFonts w:cs="Times New Roman"/>
          <w:szCs w:val="24"/>
          <w:lang w:val="fr-CA"/>
        </w:rPr>
        <w:t>’</w:t>
      </w:r>
      <w:r w:rsidRPr="00CA4523">
        <w:rPr>
          <w:rFonts w:cs="Times New Roman"/>
          <w:szCs w:val="24"/>
          <w:lang w:val="fr-CA"/>
        </w:rPr>
        <w:t xml:space="preserve">il avait soulevé </w:t>
      </w:r>
      <w:r>
        <w:rPr>
          <w:rFonts w:cs="Times New Roman"/>
          <w:szCs w:val="24"/>
          <w:lang w:val="fr-CA"/>
        </w:rPr>
        <w:t>[</w:t>
      </w:r>
      <w:r w:rsidRPr="00BE064C">
        <w:rPr>
          <w:rFonts w:cs="Times New Roman"/>
          <w:smallCaps/>
          <w:szCs w:val="24"/>
          <w:lang w:val="fr-CA"/>
        </w:rPr>
        <w:t>traduction</w:t>
      </w:r>
      <w:r>
        <w:rPr>
          <w:rFonts w:cs="Times New Roman"/>
          <w:szCs w:val="24"/>
          <w:lang w:val="fr-CA"/>
        </w:rPr>
        <w:t xml:space="preserve">] </w:t>
      </w:r>
      <w:r w:rsidRPr="00CA4523">
        <w:rPr>
          <w:rFonts w:cs="Times New Roman"/>
          <w:szCs w:val="24"/>
          <w:lang w:val="fr-CA"/>
        </w:rPr>
        <w:t>« </w:t>
      </w:r>
      <w:r w:rsidRPr="00CA4523">
        <w:rPr>
          <w:rFonts w:cs="Times New Roman"/>
          <w:lang w:val="fr-CA"/>
        </w:rPr>
        <w:t xml:space="preserve">des moyens </w:t>
      </w:r>
      <w:r w:rsidRPr="00CA4523">
        <w:rPr>
          <w:rFonts w:cs="Times New Roman"/>
          <w:i/>
          <w:lang w:val="fr-CA"/>
        </w:rPr>
        <w:t xml:space="preserve">non liés à </w:t>
      </w:r>
      <w:r>
        <w:rPr>
          <w:rFonts w:cs="Times New Roman"/>
          <w:i/>
          <w:lang w:val="fr-CA"/>
        </w:rPr>
        <w:t>la</w:t>
      </w:r>
      <w:r w:rsidRPr="00CA4523">
        <w:rPr>
          <w:rFonts w:cs="Times New Roman"/>
          <w:i/>
          <w:lang w:val="fr-CA"/>
        </w:rPr>
        <w:t xml:space="preserve"> question de </w:t>
      </w:r>
      <w:r>
        <w:rPr>
          <w:rFonts w:cs="Times New Roman"/>
          <w:i/>
          <w:lang w:val="fr-CA"/>
        </w:rPr>
        <w:t>la compétence</w:t>
      </w:r>
      <w:r w:rsidRPr="00CA4523">
        <w:rPr>
          <w:rFonts w:cs="Times New Roman"/>
          <w:lang w:val="fr-CA"/>
        </w:rPr>
        <w:t> »</w:t>
      </w:r>
      <w:r>
        <w:rPr>
          <w:rFonts w:cs="Times New Roman"/>
          <w:lang w:val="fr-CA"/>
        </w:rPr>
        <w:t xml:space="preserve"> </w:t>
      </w:r>
      <w:r w:rsidRPr="00CA4523">
        <w:rPr>
          <w:rFonts w:cs="Times New Roman"/>
          <w:lang w:val="fr-CA"/>
        </w:rPr>
        <w:t xml:space="preserve">pour obtenir le rejet de la demande de </w:t>
      </w:r>
      <w:r w:rsidRPr="00CA4523">
        <w:rPr>
          <w:rFonts w:cs="Times New Roman"/>
          <w:szCs w:val="24"/>
          <w:lang w:val="fr-CA"/>
        </w:rPr>
        <w:t xml:space="preserve">Knight </w:t>
      </w:r>
      <w:r>
        <w:rPr>
          <w:rFonts w:cs="Times New Roman"/>
          <w:szCs w:val="24"/>
          <w:lang w:val="fr-CA"/>
        </w:rPr>
        <w:t xml:space="preserve">(motifs de la </w:t>
      </w:r>
      <w:r w:rsidRPr="00CA4523">
        <w:rPr>
          <w:rFonts w:cs="Times New Roman"/>
          <w:szCs w:val="24"/>
          <w:lang w:val="fr-CA"/>
        </w:rPr>
        <w:t>C</w:t>
      </w:r>
      <w:r>
        <w:rPr>
          <w:rFonts w:cs="Times New Roman"/>
          <w:szCs w:val="24"/>
          <w:lang w:val="fr-CA"/>
        </w:rPr>
        <w:t>.</w:t>
      </w:r>
      <w:r w:rsidRPr="00CA4523">
        <w:rPr>
          <w:rFonts w:cs="Times New Roman"/>
          <w:szCs w:val="24"/>
          <w:lang w:val="fr-CA"/>
        </w:rPr>
        <w:t>A</w:t>
      </w:r>
      <w:r>
        <w:rPr>
          <w:rFonts w:cs="Times New Roman"/>
          <w:szCs w:val="24"/>
          <w:lang w:val="fr-CA"/>
        </w:rPr>
        <w:t>. (2016)</w:t>
      </w:r>
      <w:r w:rsidRPr="00CA4523">
        <w:rPr>
          <w:rFonts w:cs="Times New Roman"/>
          <w:szCs w:val="24"/>
          <w:lang w:val="fr-CA"/>
        </w:rPr>
        <w:t xml:space="preserve">, </w:t>
      </w:r>
      <w:r>
        <w:rPr>
          <w:rFonts w:cs="Times New Roman"/>
          <w:szCs w:val="24"/>
          <w:lang w:val="fr-CA"/>
        </w:rPr>
        <w:t>par. </w:t>
      </w:r>
      <w:r w:rsidRPr="00CA4523">
        <w:rPr>
          <w:rFonts w:cs="Times New Roman"/>
          <w:szCs w:val="24"/>
          <w:lang w:val="fr-CA"/>
        </w:rPr>
        <w:t>3</w:t>
      </w:r>
      <w:r>
        <w:rPr>
          <w:rFonts w:cs="Times New Roman"/>
          <w:szCs w:val="24"/>
          <w:lang w:val="fr-CA"/>
        </w:rPr>
        <w:t xml:space="preserve"> (</w:t>
      </w:r>
      <w:r w:rsidR="00AE55D0">
        <w:rPr>
          <w:rFonts w:cs="Times New Roman"/>
          <w:szCs w:val="24"/>
          <w:lang w:val="fr-CA"/>
        </w:rPr>
        <w:t>italiques ajoutés</w:t>
      </w:r>
      <w:r>
        <w:rPr>
          <w:rFonts w:cs="Times New Roman"/>
          <w:szCs w:val="24"/>
          <w:lang w:val="fr-CA"/>
        </w:rPr>
        <w:t>))</w:t>
      </w:r>
      <w:r w:rsidRPr="00CA4523">
        <w:rPr>
          <w:rFonts w:cs="Times New Roman"/>
          <w:szCs w:val="24"/>
          <w:lang w:val="fr-CA"/>
        </w:rPr>
        <w:t>.</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 xml:space="preserve">Devant </w:t>
      </w:r>
      <w:r>
        <w:rPr>
          <w:rFonts w:cs="Times New Roman"/>
          <w:lang w:val="fr-CA"/>
        </w:rPr>
        <w:t>notre</w:t>
      </w:r>
      <w:r w:rsidRPr="00CA4523">
        <w:rPr>
          <w:rFonts w:cs="Times New Roman"/>
          <w:lang w:val="fr-CA"/>
        </w:rPr>
        <w:t xml:space="preserve"> Cour, Knight soutient que M. Barer a reconnu la compétence du tribunal de l</w:t>
      </w:r>
      <w:r>
        <w:rPr>
          <w:rFonts w:cs="Times New Roman"/>
          <w:lang w:val="fr-CA"/>
        </w:rPr>
        <w:t>’</w:t>
      </w:r>
      <w:r w:rsidRPr="00CA4523">
        <w:rPr>
          <w:rFonts w:cs="Times New Roman"/>
          <w:lang w:val="fr-CA"/>
        </w:rPr>
        <w:t xml:space="preserve">Utah </w:t>
      </w:r>
      <w:r w:rsidRPr="00D34B07">
        <w:rPr>
          <w:rFonts w:cs="Times New Roman"/>
          <w:lang w:val="fr-CA"/>
        </w:rPr>
        <w:t>par suite de</w:t>
      </w:r>
      <w:r>
        <w:rPr>
          <w:rFonts w:cs="Times New Roman"/>
          <w:lang w:val="fr-CA"/>
        </w:rPr>
        <w:t> :</w:t>
      </w:r>
      <w:r w:rsidRPr="00CA4523">
        <w:rPr>
          <w:rFonts w:cs="Times New Roman"/>
          <w:lang w:val="fr-CA"/>
        </w:rPr>
        <w:t xml:space="preserve"> </w:t>
      </w:r>
      <w:r w:rsidR="00134631">
        <w:rPr>
          <w:rFonts w:cs="Times New Roman"/>
          <w:lang w:val="fr-CA"/>
        </w:rPr>
        <w:t>(</w:t>
      </w:r>
      <w:r w:rsidRPr="00CA4523">
        <w:rPr>
          <w:rFonts w:cs="Times New Roman"/>
          <w:szCs w:val="24"/>
          <w:lang w:val="fr-CA"/>
        </w:rPr>
        <w:t>1)</w:t>
      </w:r>
      <w:r>
        <w:rPr>
          <w:rFonts w:cs="Times New Roman"/>
          <w:szCs w:val="24"/>
          <w:lang w:val="fr-CA"/>
        </w:rPr>
        <w:t> </w:t>
      </w:r>
      <w:r w:rsidRPr="00CA4523">
        <w:rPr>
          <w:rFonts w:cs="Times New Roman"/>
          <w:szCs w:val="24"/>
          <w:lang w:val="fr-CA"/>
        </w:rPr>
        <w:t xml:space="preserve">sa requête en irrecevabilité; </w:t>
      </w:r>
      <w:r w:rsidR="00134631">
        <w:rPr>
          <w:rFonts w:cs="Times New Roman"/>
          <w:szCs w:val="24"/>
          <w:lang w:val="fr-CA"/>
        </w:rPr>
        <w:t>(</w:t>
      </w:r>
      <w:r>
        <w:rPr>
          <w:rFonts w:cs="Times New Roman"/>
          <w:lang w:val="fr-CA"/>
        </w:rPr>
        <w:t>2) </w:t>
      </w:r>
      <w:r w:rsidRPr="00CA4523">
        <w:rPr>
          <w:rFonts w:cs="Times New Roman"/>
          <w:lang w:val="fr-CA"/>
        </w:rPr>
        <w:t xml:space="preserve">une requête en prorogation du délai </w:t>
      </w:r>
      <w:r>
        <w:rPr>
          <w:rFonts w:cs="Times New Roman"/>
          <w:lang w:val="fr-CA"/>
        </w:rPr>
        <w:t xml:space="preserve">qui lui était </w:t>
      </w:r>
      <w:r w:rsidRPr="00CA4523">
        <w:rPr>
          <w:rFonts w:cs="Times New Roman"/>
          <w:lang w:val="fr-CA"/>
        </w:rPr>
        <w:t>imparti pour déposer une réponse ou pour répondre autrement à la demande</w:t>
      </w:r>
      <w:r w:rsidRPr="00CA4523">
        <w:rPr>
          <w:rFonts w:cs="Times New Roman"/>
          <w:szCs w:val="24"/>
          <w:lang w:val="fr-CA"/>
        </w:rPr>
        <w:t xml:space="preserve">; </w:t>
      </w:r>
      <w:r>
        <w:rPr>
          <w:rFonts w:cs="Times New Roman"/>
          <w:szCs w:val="24"/>
          <w:lang w:val="fr-CA"/>
        </w:rPr>
        <w:t xml:space="preserve">et </w:t>
      </w:r>
      <w:r w:rsidR="00134631">
        <w:rPr>
          <w:rFonts w:cs="Times New Roman"/>
          <w:szCs w:val="24"/>
          <w:lang w:val="fr-CA"/>
        </w:rPr>
        <w:t>(</w:t>
      </w:r>
      <w:r w:rsidRPr="00CA4523">
        <w:rPr>
          <w:rFonts w:cs="Times New Roman"/>
          <w:szCs w:val="24"/>
          <w:lang w:val="fr-CA"/>
        </w:rPr>
        <w:t xml:space="preserve">3) sa participation subséquente à une conférence </w:t>
      </w:r>
      <w:r>
        <w:rPr>
          <w:rFonts w:cs="Times New Roman"/>
          <w:szCs w:val="24"/>
          <w:lang w:val="fr-CA"/>
        </w:rPr>
        <w:t>de</w:t>
      </w:r>
      <w:r w:rsidRPr="00CA4523">
        <w:rPr>
          <w:rFonts w:cs="Times New Roman"/>
          <w:szCs w:val="24"/>
          <w:lang w:val="fr-CA"/>
        </w:rPr>
        <w:t xml:space="preserve"> </w:t>
      </w:r>
      <w:r>
        <w:rPr>
          <w:rFonts w:cs="Times New Roman"/>
          <w:szCs w:val="24"/>
          <w:lang w:val="fr-CA"/>
        </w:rPr>
        <w:t>règlement à l’amiable</w:t>
      </w:r>
      <w:r w:rsidRPr="00CA4523">
        <w:rPr>
          <w:rFonts w:cs="Times New Roman"/>
          <w:szCs w:val="24"/>
          <w:lang w:val="fr-CA"/>
        </w:rPr>
        <w:t>.</w:t>
      </w:r>
      <w:r w:rsidRPr="00CA4523">
        <w:rPr>
          <w:rFonts w:cs="Times New Roman"/>
          <w:lang w:val="fr-CA"/>
        </w:rPr>
        <w:t xml:space="preserve"> Contrairement à ce qui était le cas pour les deux autres moyens, les faits procéduraux qui sous</w:t>
      </w:r>
      <w:r>
        <w:rPr>
          <w:rFonts w:cs="Times New Roman"/>
          <w:lang w:val="fr-CA"/>
        </w:rPr>
        <w:noBreakHyphen/>
      </w:r>
      <w:r w:rsidRPr="00CA4523">
        <w:rPr>
          <w:rFonts w:cs="Times New Roman"/>
          <w:lang w:val="fr-CA"/>
        </w:rPr>
        <w:t xml:space="preserve">tendent cet argument tiré </w:t>
      </w:r>
      <w:r w:rsidR="00DA0AA4">
        <w:rPr>
          <w:rFonts w:cs="Times New Roman"/>
          <w:lang w:val="fr-CA"/>
        </w:rPr>
        <w:t>du par.</w:t>
      </w:r>
      <w:r>
        <w:rPr>
          <w:rFonts w:cs="Times New Roman"/>
          <w:lang w:val="fr-CA"/>
        </w:rPr>
        <w:t> </w:t>
      </w:r>
      <w:r w:rsidRPr="00CA4523">
        <w:rPr>
          <w:rFonts w:cs="Times New Roman"/>
          <w:lang w:val="fr-CA"/>
        </w:rPr>
        <w:t>3168</w:t>
      </w:r>
      <w:r>
        <w:rPr>
          <w:rFonts w:cs="Times New Roman"/>
          <w:lang w:val="fr-CA"/>
        </w:rPr>
        <w:t>(</w:t>
      </w:r>
      <w:r w:rsidRPr="00CA4523">
        <w:rPr>
          <w:rFonts w:cs="Times New Roman"/>
          <w:lang w:val="fr-CA"/>
        </w:rPr>
        <w:t>6</w:t>
      </w:r>
      <w:r>
        <w:rPr>
          <w:rFonts w:cs="Times New Roman"/>
          <w:lang w:val="fr-CA"/>
        </w:rPr>
        <w:t>)</w:t>
      </w:r>
      <w:r w:rsidRPr="00CA4523">
        <w:rPr>
          <w:rFonts w:cs="Times New Roman"/>
          <w:lang w:val="fr-CA"/>
        </w:rPr>
        <w:t> </w:t>
      </w:r>
      <w:r w:rsidRPr="00CA4523">
        <w:rPr>
          <w:rFonts w:cs="Times New Roman"/>
          <w:i/>
          <w:lang w:val="fr-CA"/>
        </w:rPr>
        <w:t>C.c.Q.</w:t>
      </w:r>
      <w:r w:rsidRPr="00CA4523">
        <w:rPr>
          <w:rFonts w:cs="Times New Roman"/>
          <w:lang w:val="fr-CA"/>
        </w:rPr>
        <w:t xml:space="preserve"> sont tous étayés par des pièces déposées devant la Cour supérieure. Aucune question ne se pose donc au sujet du fardeau de la preuve de Knight à cet égard.</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J</w:t>
      </w:r>
      <w:r>
        <w:rPr>
          <w:rFonts w:cs="Times New Roman"/>
          <w:lang w:val="fr-CA"/>
        </w:rPr>
        <w:t>’</w:t>
      </w:r>
      <w:r w:rsidRPr="00CA4523">
        <w:rPr>
          <w:rFonts w:cs="Times New Roman"/>
          <w:lang w:val="fr-CA"/>
        </w:rPr>
        <w:t>ajoute deux précisions. Premièrement, la question de la reconnaissance de la compétence est une question mixte de fait et de droit (</w:t>
      </w:r>
      <w:r w:rsidRPr="00CA4523">
        <w:rPr>
          <w:rFonts w:cs="Times New Roman"/>
          <w:i/>
          <w:lang w:val="fr-CA"/>
        </w:rPr>
        <w:t>Natha c. Cook</w:t>
      </w:r>
      <w:r w:rsidRPr="00CA4523">
        <w:rPr>
          <w:rFonts w:cs="Times New Roman"/>
          <w:lang w:val="fr-CA"/>
        </w:rPr>
        <w:t xml:space="preserve">, 2016 ABCA </w:t>
      </w:r>
      <w:r w:rsidRPr="00CA4523">
        <w:rPr>
          <w:rFonts w:cs="Times New Roman"/>
          <w:lang w:val="fr-CA"/>
        </w:rPr>
        <w:lastRenderedPageBreak/>
        <w:t xml:space="preserve">100, </w:t>
      </w:r>
      <w:r>
        <w:rPr>
          <w:rFonts w:cs="Times New Roman"/>
          <w:lang w:val="fr-CA"/>
        </w:rPr>
        <w:t>616 A.R. 276, par. </w:t>
      </w:r>
      <w:r w:rsidRPr="00CA4523">
        <w:rPr>
          <w:rFonts w:cs="Times New Roman"/>
          <w:lang w:val="fr-CA"/>
        </w:rPr>
        <w:t xml:space="preserve">11; </w:t>
      </w:r>
      <w:r w:rsidRPr="00B15861">
        <w:rPr>
          <w:rFonts w:cs="Times New Roman"/>
          <w:i/>
          <w:lang w:val="fr-CA"/>
        </w:rPr>
        <w:t>Ward c.</w:t>
      </w:r>
      <w:r w:rsidRPr="00B15861">
        <w:rPr>
          <w:rFonts w:cs="Times New Roman"/>
          <w:lang w:val="fr-CA"/>
        </w:rPr>
        <w:t xml:space="preserve"> </w:t>
      </w:r>
      <w:r w:rsidRPr="00B15861">
        <w:rPr>
          <w:rFonts w:cs="Times New Roman"/>
          <w:i/>
          <w:lang w:val="fr-CA"/>
        </w:rPr>
        <w:t>Nackawic</w:t>
      </w:r>
      <w:r w:rsidRPr="00CA4523">
        <w:rPr>
          <w:rFonts w:cs="Times New Roman"/>
          <w:i/>
          <w:lang w:val="fr-CA"/>
        </w:rPr>
        <w:t xml:space="preserve"> Mechanical Ltd.</w:t>
      </w:r>
      <w:r w:rsidRPr="00CA4523">
        <w:rPr>
          <w:rFonts w:cs="Times New Roman"/>
          <w:lang w:val="fr-CA"/>
        </w:rPr>
        <w:t xml:space="preserve">, 2015 NBCA 1, </w:t>
      </w:r>
      <w:r w:rsidR="00134631">
        <w:rPr>
          <w:rFonts w:cs="Times New Roman"/>
          <w:lang w:val="fr-CA"/>
        </w:rPr>
        <w:t>429 R.N.-B. (2</w:t>
      </w:r>
      <w:r w:rsidR="00134631" w:rsidRPr="00134631">
        <w:rPr>
          <w:rFonts w:cs="Times New Roman"/>
          <w:vertAlign w:val="superscript"/>
          <w:lang w:val="fr-CA"/>
        </w:rPr>
        <w:t>e</w:t>
      </w:r>
      <w:r>
        <w:rPr>
          <w:rFonts w:cs="Times New Roman"/>
          <w:lang w:val="fr-CA"/>
        </w:rPr>
        <w:t>) 228, par. </w:t>
      </w:r>
      <w:r w:rsidRPr="00CA4523">
        <w:rPr>
          <w:rFonts w:cs="Times New Roman"/>
          <w:lang w:val="fr-CA"/>
        </w:rPr>
        <w:t xml:space="preserve">15; </w:t>
      </w:r>
      <w:r w:rsidRPr="00CA4523">
        <w:rPr>
          <w:rFonts w:cs="Times New Roman"/>
          <w:i/>
          <w:lang w:val="fr-CA"/>
        </w:rPr>
        <w:t>Fleckenstein c. Hutchison</w:t>
      </w:r>
      <w:r w:rsidRPr="00CA4523">
        <w:rPr>
          <w:rFonts w:cs="Times New Roman"/>
          <w:lang w:val="fr-CA"/>
        </w:rPr>
        <w:t xml:space="preserve">, </w:t>
      </w:r>
      <w:r w:rsidRPr="00B15861">
        <w:rPr>
          <w:rFonts w:cs="Times New Roman"/>
          <w:lang w:val="fr-CA"/>
        </w:rPr>
        <w:t>2009 ABCA 320, 460 A.R.</w:t>
      </w:r>
      <w:r>
        <w:rPr>
          <w:rFonts w:cs="Times New Roman"/>
          <w:lang w:val="fr-CA"/>
        </w:rPr>
        <w:t> </w:t>
      </w:r>
      <w:r w:rsidRPr="00B15861">
        <w:rPr>
          <w:rFonts w:cs="Times New Roman"/>
          <w:lang w:val="fr-CA"/>
        </w:rPr>
        <w:t xml:space="preserve">386, </w:t>
      </w:r>
      <w:r>
        <w:rPr>
          <w:rFonts w:cs="Times New Roman"/>
          <w:lang w:val="fr-CA"/>
        </w:rPr>
        <w:t>par. </w:t>
      </w:r>
      <w:r w:rsidRPr="00B15861">
        <w:rPr>
          <w:rFonts w:cs="Times New Roman"/>
          <w:lang w:val="fr-CA"/>
        </w:rPr>
        <w:t xml:space="preserve">18). </w:t>
      </w:r>
      <w:r>
        <w:rPr>
          <w:rFonts w:cs="Times New Roman"/>
          <w:lang w:val="fr-CA"/>
        </w:rPr>
        <w:t>En effet</w:t>
      </w:r>
      <w:r w:rsidRPr="00B15861">
        <w:rPr>
          <w:rFonts w:cs="Times New Roman"/>
          <w:lang w:val="fr-CA"/>
        </w:rPr>
        <w:t xml:space="preserve">, </w:t>
      </w:r>
      <w:r w:rsidRPr="00BE064C">
        <w:rPr>
          <w:rFonts w:cs="Times New Roman"/>
          <w:lang w:val="fr-CA"/>
        </w:rPr>
        <w:t>pour déterminer si le</w:t>
      </w:r>
      <w:r w:rsidRPr="00CA4523">
        <w:rPr>
          <w:rFonts w:cs="Times New Roman"/>
          <w:lang w:val="fr-CA"/>
        </w:rPr>
        <w:t xml:space="preserve"> défendeur a reconnu la compétence du tribunal, il faut appliquer une norme de droit à une série de faits, soupeser ces faits et tirer des conclusions (</w:t>
      </w:r>
      <w:r w:rsidRPr="00CA4523">
        <w:rPr>
          <w:rFonts w:cs="Times New Roman"/>
          <w:i/>
          <w:lang w:val="fr-CA"/>
        </w:rPr>
        <w:t>Housen c. Nikolaisen</w:t>
      </w:r>
      <w:r>
        <w:rPr>
          <w:rFonts w:cs="Times New Roman"/>
          <w:lang w:val="fr-CA"/>
        </w:rPr>
        <w:t>,</w:t>
      </w:r>
      <w:r w:rsidRPr="00CA4523">
        <w:rPr>
          <w:rFonts w:cs="Times New Roman"/>
          <w:i/>
          <w:lang w:val="fr-CA"/>
        </w:rPr>
        <w:t xml:space="preserve"> </w:t>
      </w:r>
      <w:r w:rsidRPr="00CA4523">
        <w:rPr>
          <w:rFonts w:cs="Times New Roman"/>
          <w:lang w:val="fr-CA"/>
        </w:rPr>
        <w:t>2002 CSC 33, [2002] 2 R.C.S.</w:t>
      </w:r>
      <w:r>
        <w:rPr>
          <w:rFonts w:cs="Times New Roman"/>
          <w:lang w:val="fr-CA"/>
        </w:rPr>
        <w:t> </w:t>
      </w:r>
      <w:r w:rsidRPr="00CA4523">
        <w:rPr>
          <w:rFonts w:cs="Times New Roman"/>
          <w:lang w:val="fr-CA"/>
        </w:rPr>
        <w:t xml:space="preserve">235, </w:t>
      </w:r>
      <w:r>
        <w:rPr>
          <w:rFonts w:cs="Times New Roman"/>
          <w:lang w:val="fr-CA"/>
        </w:rPr>
        <w:t>par. </w:t>
      </w:r>
      <w:r w:rsidRPr="00CA4523">
        <w:rPr>
          <w:rFonts w:cs="Times New Roman"/>
          <w:lang w:val="fr-CA"/>
        </w:rPr>
        <w:t xml:space="preserve">26). La conclusion suivant laquelle le défendeur a reconnu la compétence du tribunal ne doit </w:t>
      </w:r>
      <w:r>
        <w:rPr>
          <w:rFonts w:cs="Times New Roman"/>
          <w:lang w:val="fr-CA"/>
        </w:rPr>
        <w:t xml:space="preserve">donc </w:t>
      </w:r>
      <w:r w:rsidRPr="00CA4523">
        <w:rPr>
          <w:rFonts w:cs="Times New Roman"/>
          <w:lang w:val="fr-CA"/>
        </w:rPr>
        <w:t xml:space="preserve">pas être infirmée, sauf erreur manifeste et </w:t>
      </w:r>
      <w:r>
        <w:rPr>
          <w:rFonts w:cs="Times New Roman"/>
          <w:lang w:val="fr-CA"/>
        </w:rPr>
        <w:t xml:space="preserve">déterminante, pourvu qu’aucune question juridique isolable n’ait été identifiée </w:t>
      </w:r>
      <w:r w:rsidRPr="00CA4523">
        <w:rPr>
          <w:rFonts w:cs="Times New Roman"/>
          <w:lang w:val="fr-CA"/>
        </w:rPr>
        <w:t>(</w:t>
      </w:r>
      <w:r w:rsidRPr="00CA4523">
        <w:rPr>
          <w:rFonts w:cs="Times New Roman"/>
          <w:i/>
          <w:lang w:val="fr-CA"/>
        </w:rPr>
        <w:t>Housen</w:t>
      </w:r>
      <w:r w:rsidRPr="00CA4523">
        <w:rPr>
          <w:rFonts w:cs="Times New Roman"/>
          <w:lang w:val="fr-CA"/>
        </w:rPr>
        <w:t xml:space="preserve">, </w:t>
      </w:r>
      <w:r>
        <w:rPr>
          <w:rFonts w:cs="Times New Roman"/>
          <w:lang w:val="fr-CA"/>
        </w:rPr>
        <w:t>par. </w:t>
      </w:r>
      <w:r w:rsidRPr="00CA4523">
        <w:rPr>
          <w:rFonts w:cs="Times New Roman"/>
          <w:lang w:val="fr-CA"/>
        </w:rPr>
        <w:t>3</w:t>
      </w:r>
      <w:r>
        <w:rPr>
          <w:rFonts w:cs="Times New Roman"/>
          <w:lang w:val="fr-CA"/>
        </w:rPr>
        <w:t>6</w:t>
      </w:r>
      <w:r w:rsidRPr="00CA4523">
        <w:rPr>
          <w:rFonts w:cs="Times New Roman"/>
          <w:lang w:val="fr-CA"/>
        </w:rPr>
        <w:t xml:space="preserve">; </w:t>
      </w:r>
      <w:r w:rsidRPr="00CA4523">
        <w:rPr>
          <w:rFonts w:cs="Times New Roman"/>
          <w:i/>
          <w:lang w:val="fr-CA"/>
        </w:rPr>
        <w:t>St</w:t>
      </w:r>
      <w:r>
        <w:rPr>
          <w:rFonts w:cs="Times New Roman"/>
          <w:i/>
          <w:lang w:val="fr-CA"/>
        </w:rPr>
        <w:noBreakHyphen/>
      </w:r>
      <w:r w:rsidRPr="00CA4523">
        <w:rPr>
          <w:rFonts w:cs="Times New Roman"/>
          <w:i/>
          <w:lang w:val="fr-CA"/>
        </w:rPr>
        <w:t>Jean c. Mercier</w:t>
      </w:r>
      <w:r w:rsidRPr="00CA4523">
        <w:rPr>
          <w:rFonts w:cs="Times New Roman"/>
          <w:lang w:val="fr-CA"/>
        </w:rPr>
        <w:t>, 2002 CSC 15, [2002] 1 R.C.S.</w:t>
      </w:r>
      <w:r>
        <w:rPr>
          <w:rFonts w:cs="Times New Roman"/>
          <w:lang w:val="fr-CA"/>
        </w:rPr>
        <w:t> </w:t>
      </w:r>
      <w:r w:rsidRPr="00CA4523">
        <w:rPr>
          <w:rFonts w:cs="Times New Roman"/>
          <w:lang w:val="fr-CA"/>
        </w:rPr>
        <w:t xml:space="preserve">491, </w:t>
      </w:r>
      <w:r>
        <w:rPr>
          <w:rFonts w:cs="Times New Roman"/>
          <w:lang w:val="fr-CA"/>
        </w:rPr>
        <w:t>par. </w:t>
      </w:r>
      <w:r w:rsidRPr="00CA4523">
        <w:rPr>
          <w:rFonts w:cs="Times New Roman"/>
          <w:lang w:val="fr-CA"/>
        </w:rPr>
        <w:t>48</w:t>
      </w:r>
      <w:r>
        <w:rPr>
          <w:rFonts w:cs="Times New Roman"/>
          <w:lang w:val="fr-CA"/>
        </w:rPr>
        <w:noBreakHyphen/>
      </w:r>
      <w:r w:rsidRPr="00CA4523">
        <w:rPr>
          <w:rFonts w:cs="Times New Roman"/>
          <w:lang w:val="fr-CA"/>
        </w:rPr>
        <w:t>49).</w:t>
      </w:r>
    </w:p>
    <w:p w:rsidR="00AF6697" w:rsidRPr="00CA4523" w:rsidRDefault="00AF6697" w:rsidP="00AF6697">
      <w:pPr>
        <w:pStyle w:val="ParaNoNdepar-AltN"/>
        <w:tabs>
          <w:tab w:val="clear" w:pos="1166"/>
          <w:tab w:val="num" w:pos="1152"/>
        </w:tabs>
        <w:rPr>
          <w:rFonts w:cs="Times New Roman"/>
          <w:lang w:val="fr-CA"/>
        </w:rPr>
      </w:pPr>
      <w:r>
        <w:rPr>
          <w:rFonts w:cs="Times New Roman"/>
          <w:lang w:val="fr-CA"/>
        </w:rPr>
        <w:t>Deuxièmement</w:t>
      </w:r>
      <w:r w:rsidRPr="00CA4523">
        <w:rPr>
          <w:rFonts w:cs="Times New Roman"/>
          <w:lang w:val="fr-CA"/>
        </w:rPr>
        <w:t>, le juge de première instance a appliqué le droit québécois pour décider si M. Barer avait reconnu la compétence du tribunal de l</w:t>
      </w:r>
      <w:r>
        <w:rPr>
          <w:rFonts w:cs="Times New Roman"/>
          <w:lang w:val="fr-CA"/>
        </w:rPr>
        <w:t>’</w:t>
      </w:r>
      <w:r w:rsidRPr="00CA4523">
        <w:rPr>
          <w:rFonts w:cs="Times New Roman"/>
          <w:lang w:val="fr-CA"/>
        </w:rPr>
        <w:t>Utah parce que [</w:t>
      </w:r>
      <w:r w:rsidRPr="00CA4523">
        <w:rPr>
          <w:rFonts w:cs="Times New Roman"/>
          <w:smallCaps/>
          <w:lang w:val="fr-CA"/>
        </w:rPr>
        <w:t>traduction</w:t>
      </w:r>
      <w:r w:rsidRPr="00CA4523">
        <w:rPr>
          <w:rFonts w:cs="Times New Roman"/>
          <w:lang w:val="fr-CA"/>
        </w:rPr>
        <w:t>] « faute de preuve concern</w:t>
      </w:r>
      <w:r>
        <w:rPr>
          <w:rFonts w:cs="Times New Roman"/>
          <w:lang w:val="fr-CA"/>
        </w:rPr>
        <w:t>a</w:t>
      </w:r>
      <w:r w:rsidRPr="00CA4523">
        <w:rPr>
          <w:rFonts w:cs="Times New Roman"/>
          <w:lang w:val="fr-CA"/>
        </w:rPr>
        <w:t>nt le droit de l</w:t>
      </w:r>
      <w:r>
        <w:rPr>
          <w:rFonts w:cs="Times New Roman"/>
          <w:lang w:val="fr-CA"/>
        </w:rPr>
        <w:t>’</w:t>
      </w:r>
      <w:r w:rsidRPr="00CA4523">
        <w:rPr>
          <w:rFonts w:cs="Times New Roman"/>
          <w:lang w:val="fr-CA"/>
        </w:rPr>
        <w:t>Utah</w:t>
      </w:r>
      <w:r w:rsidRPr="00CA4523">
        <w:rPr>
          <w:rFonts w:cs="Times New Roman"/>
          <w:szCs w:val="24"/>
          <w:lang w:val="fr-CA"/>
        </w:rPr>
        <w:t>, la Cour doit présumer que celui</w:t>
      </w:r>
      <w:r>
        <w:rPr>
          <w:rFonts w:cs="Times New Roman"/>
          <w:szCs w:val="24"/>
          <w:lang w:val="fr-CA"/>
        </w:rPr>
        <w:noBreakHyphen/>
      </w:r>
      <w:r w:rsidRPr="00CA4523">
        <w:rPr>
          <w:rFonts w:cs="Times New Roman"/>
          <w:szCs w:val="24"/>
          <w:lang w:val="fr-CA"/>
        </w:rPr>
        <w:t>ci équivaut au droit québécois et appliquer ce dernier » (</w:t>
      </w:r>
      <w:r>
        <w:rPr>
          <w:rFonts w:cs="Times New Roman"/>
          <w:szCs w:val="24"/>
          <w:lang w:val="fr-CA"/>
        </w:rPr>
        <w:t>par. </w:t>
      </w:r>
      <w:r w:rsidRPr="00CA4523">
        <w:rPr>
          <w:rFonts w:cs="Times New Roman"/>
          <w:szCs w:val="24"/>
          <w:lang w:val="fr-CA"/>
        </w:rPr>
        <w:t>13). M. Barer</w:t>
      </w:r>
      <w:r w:rsidRPr="00CA4523">
        <w:rPr>
          <w:rFonts w:cs="Times New Roman"/>
          <w:lang w:val="fr-CA"/>
        </w:rPr>
        <w:t xml:space="preserve"> affirme qu</w:t>
      </w:r>
      <w:r>
        <w:rPr>
          <w:rFonts w:cs="Times New Roman"/>
          <w:lang w:val="fr-CA"/>
        </w:rPr>
        <w:t>’</w:t>
      </w:r>
      <w:r w:rsidRPr="00CA4523">
        <w:rPr>
          <w:rFonts w:cs="Times New Roman"/>
          <w:lang w:val="fr-CA"/>
        </w:rPr>
        <w:t>il incombait plutôt à Knight</w:t>
      </w:r>
      <w:r>
        <w:rPr>
          <w:rFonts w:cs="Times New Roman"/>
          <w:lang w:val="fr-CA"/>
        </w:rPr>
        <w:t xml:space="preserve"> de prouver qu’il</w:t>
      </w:r>
      <w:r w:rsidRPr="00CA4523">
        <w:rPr>
          <w:rFonts w:cs="Times New Roman"/>
          <w:lang w:val="fr-CA"/>
        </w:rPr>
        <w:t xml:space="preserve"> avait reconnu la compétence du tribunal de l</w:t>
      </w:r>
      <w:r>
        <w:rPr>
          <w:rFonts w:cs="Times New Roman"/>
          <w:lang w:val="fr-CA"/>
        </w:rPr>
        <w:t>’</w:t>
      </w:r>
      <w:r w:rsidRPr="00CA4523">
        <w:rPr>
          <w:rFonts w:cs="Times New Roman"/>
          <w:lang w:val="fr-CA"/>
        </w:rPr>
        <w:t xml:space="preserve">Utah </w:t>
      </w:r>
      <w:r>
        <w:rPr>
          <w:rFonts w:cs="Times New Roman"/>
          <w:lang w:val="fr-CA"/>
        </w:rPr>
        <w:t>suivant l</w:t>
      </w:r>
      <w:r w:rsidRPr="00CA4523">
        <w:rPr>
          <w:rFonts w:cs="Times New Roman"/>
          <w:lang w:val="fr-CA"/>
        </w:rPr>
        <w:t>es règles de droit de cet État</w:t>
      </w:r>
      <w:r w:rsidRPr="00CA4523">
        <w:rPr>
          <w:rFonts w:cs="Times New Roman"/>
          <w:szCs w:val="24"/>
          <w:lang w:val="fr-CA"/>
        </w:rPr>
        <w:t>.</w:t>
      </w:r>
      <w:r w:rsidRPr="00CA4523">
        <w:rPr>
          <w:rFonts w:cs="Times New Roman"/>
          <w:lang w:val="fr-CA"/>
        </w:rPr>
        <w:t xml:space="preserve"> Je suis d</w:t>
      </w:r>
      <w:r>
        <w:rPr>
          <w:rFonts w:cs="Times New Roman"/>
          <w:lang w:val="fr-CA"/>
        </w:rPr>
        <w:t>’</w:t>
      </w:r>
      <w:r w:rsidRPr="00CA4523">
        <w:rPr>
          <w:rFonts w:cs="Times New Roman"/>
          <w:lang w:val="fr-CA"/>
        </w:rPr>
        <w:t xml:space="preserve">accord avec le juge de première instance pour dire que la reconnaissance de la compétence </w:t>
      </w:r>
      <w:r>
        <w:rPr>
          <w:rFonts w:cs="Times New Roman"/>
          <w:lang w:val="fr-CA"/>
        </w:rPr>
        <w:t>visée</w:t>
      </w:r>
      <w:r w:rsidRPr="00CA4523">
        <w:rPr>
          <w:rFonts w:cs="Times New Roman"/>
          <w:lang w:val="fr-CA"/>
        </w:rPr>
        <w:t xml:space="preserve"> </w:t>
      </w:r>
      <w:r w:rsidR="00DA0AA4">
        <w:rPr>
          <w:rFonts w:cs="Times New Roman"/>
          <w:lang w:val="fr-CA"/>
        </w:rPr>
        <w:t>au par.</w:t>
      </w:r>
      <w:r>
        <w:rPr>
          <w:rFonts w:cs="Times New Roman"/>
          <w:lang w:val="fr-CA"/>
        </w:rPr>
        <w:t> </w:t>
      </w:r>
      <w:r w:rsidRPr="00CA4523">
        <w:rPr>
          <w:rFonts w:cs="Times New Roman"/>
          <w:lang w:val="fr-CA"/>
        </w:rPr>
        <w:t>3168</w:t>
      </w:r>
      <w:r>
        <w:rPr>
          <w:rFonts w:cs="Times New Roman"/>
          <w:lang w:val="fr-CA"/>
        </w:rPr>
        <w:t>(</w:t>
      </w:r>
      <w:r w:rsidRPr="00CA4523">
        <w:rPr>
          <w:rFonts w:cs="Times New Roman"/>
          <w:lang w:val="fr-CA"/>
        </w:rPr>
        <w:t>6</w:t>
      </w:r>
      <w:r>
        <w:rPr>
          <w:rFonts w:cs="Times New Roman"/>
          <w:lang w:val="fr-CA"/>
        </w:rPr>
        <w:t>)</w:t>
      </w:r>
      <w:r w:rsidRPr="00CA4523">
        <w:rPr>
          <w:rFonts w:cs="Times New Roman"/>
          <w:lang w:val="fr-CA"/>
        </w:rPr>
        <w:t> </w:t>
      </w:r>
      <w:r w:rsidRPr="00CA4523">
        <w:rPr>
          <w:rFonts w:cs="Times New Roman"/>
          <w:i/>
          <w:lang w:val="fr-CA"/>
        </w:rPr>
        <w:t xml:space="preserve">C.c.Q. </w:t>
      </w:r>
      <w:r w:rsidRPr="00CA4523">
        <w:rPr>
          <w:rFonts w:cs="Times New Roman"/>
          <w:lang w:val="fr-CA"/>
        </w:rPr>
        <w:t xml:space="preserve">doit être évaluée en fonction du droit québécois. </w:t>
      </w:r>
      <w:r>
        <w:rPr>
          <w:rFonts w:cs="Times New Roman"/>
          <w:lang w:val="fr-CA"/>
        </w:rPr>
        <w:t>C</w:t>
      </w:r>
      <w:r w:rsidRPr="00CA4523">
        <w:rPr>
          <w:rFonts w:cs="Times New Roman"/>
          <w:lang w:val="fr-CA"/>
        </w:rPr>
        <w:t xml:space="preserve">ela aurait </w:t>
      </w:r>
      <w:r>
        <w:rPr>
          <w:rFonts w:cs="Times New Roman"/>
          <w:lang w:val="fr-CA"/>
        </w:rPr>
        <w:t xml:space="preserve">d’ailleurs </w:t>
      </w:r>
      <w:r w:rsidRPr="00CA4523">
        <w:rPr>
          <w:rFonts w:cs="Times New Roman"/>
          <w:lang w:val="fr-CA"/>
        </w:rPr>
        <w:t>été vrai même si les parties avaient prouvé la teneur des règles de droit de l</w:t>
      </w:r>
      <w:r>
        <w:rPr>
          <w:rFonts w:cs="Times New Roman"/>
          <w:lang w:val="fr-CA"/>
        </w:rPr>
        <w:t>’</w:t>
      </w:r>
      <w:r w:rsidRPr="00CA4523">
        <w:rPr>
          <w:rFonts w:cs="Times New Roman"/>
          <w:lang w:val="fr-CA"/>
        </w:rPr>
        <w:t>Utah.</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Comme nous l</w:t>
      </w:r>
      <w:r>
        <w:rPr>
          <w:rFonts w:cs="Times New Roman"/>
          <w:lang w:val="fr-CA"/>
        </w:rPr>
        <w:t>’</w:t>
      </w:r>
      <w:r w:rsidRPr="00CA4523">
        <w:rPr>
          <w:rFonts w:cs="Times New Roman"/>
          <w:lang w:val="fr-CA"/>
        </w:rPr>
        <w:t>avons vu, l</w:t>
      </w:r>
      <w:r>
        <w:rPr>
          <w:rFonts w:cs="Times New Roman"/>
          <w:lang w:val="fr-CA"/>
        </w:rPr>
        <w:t>’art. </w:t>
      </w:r>
      <w:r w:rsidRPr="00CA4523">
        <w:rPr>
          <w:rFonts w:cs="Times New Roman"/>
          <w:lang w:val="fr-CA"/>
        </w:rPr>
        <w:t>3168 </w:t>
      </w:r>
      <w:r w:rsidRPr="00CA4523">
        <w:rPr>
          <w:rFonts w:cs="Times New Roman"/>
          <w:i/>
          <w:lang w:val="fr-CA"/>
        </w:rPr>
        <w:t>C.c.Q.</w:t>
      </w:r>
      <w:r w:rsidRPr="00CA4523">
        <w:rPr>
          <w:rFonts w:cs="Times New Roman"/>
          <w:lang w:val="fr-CA"/>
        </w:rPr>
        <w:t xml:space="preserve"> </w:t>
      </w:r>
      <w:r>
        <w:rPr>
          <w:rFonts w:cs="Times New Roman"/>
          <w:lang w:val="fr-CA"/>
        </w:rPr>
        <w:t xml:space="preserve">n’a pas pour objet de </w:t>
      </w:r>
      <w:r w:rsidRPr="00CA4523">
        <w:rPr>
          <w:rFonts w:cs="Times New Roman"/>
          <w:lang w:val="fr-CA"/>
        </w:rPr>
        <w:t>vérifier si l</w:t>
      </w:r>
      <w:r>
        <w:rPr>
          <w:rFonts w:cs="Times New Roman"/>
          <w:lang w:val="fr-CA"/>
        </w:rPr>
        <w:t>’</w:t>
      </w:r>
      <w:r w:rsidRPr="00CA4523">
        <w:rPr>
          <w:rFonts w:cs="Times New Roman"/>
          <w:lang w:val="fr-CA"/>
        </w:rPr>
        <w:t xml:space="preserve">autorité étrangère a bien suivi ses propres règles de procédure. </w:t>
      </w:r>
      <w:r>
        <w:rPr>
          <w:rFonts w:cs="Times New Roman"/>
          <w:lang w:val="fr-CA"/>
        </w:rPr>
        <w:t xml:space="preserve">Il </w:t>
      </w:r>
      <w:r w:rsidRPr="00CA4523">
        <w:rPr>
          <w:rFonts w:cs="Times New Roman"/>
          <w:lang w:val="fr-CA"/>
        </w:rPr>
        <w:t xml:space="preserve">vise à </w:t>
      </w:r>
      <w:r>
        <w:rPr>
          <w:rFonts w:cs="Times New Roman"/>
          <w:lang w:val="fr-CA"/>
        </w:rPr>
        <w:t xml:space="preserve">garantir </w:t>
      </w:r>
      <w:r w:rsidRPr="00CA4523">
        <w:rPr>
          <w:rFonts w:cs="Times New Roman"/>
          <w:lang w:val="fr-CA"/>
        </w:rPr>
        <w:t>que l</w:t>
      </w:r>
      <w:r>
        <w:rPr>
          <w:rFonts w:cs="Times New Roman"/>
          <w:lang w:val="fr-CA"/>
        </w:rPr>
        <w:t>’</w:t>
      </w:r>
      <w:r w:rsidRPr="00CA4523">
        <w:rPr>
          <w:rFonts w:cs="Times New Roman"/>
          <w:lang w:val="fr-CA"/>
        </w:rPr>
        <w:t>exécution de la décision étrangère n</w:t>
      </w:r>
      <w:r>
        <w:rPr>
          <w:rFonts w:cs="Times New Roman"/>
          <w:lang w:val="fr-CA"/>
        </w:rPr>
        <w:t>’</w:t>
      </w:r>
      <w:r w:rsidRPr="00CA4523">
        <w:rPr>
          <w:rFonts w:cs="Times New Roman"/>
          <w:lang w:val="fr-CA"/>
        </w:rPr>
        <w:t>entre</w:t>
      </w:r>
      <w:r>
        <w:rPr>
          <w:rFonts w:cs="Times New Roman"/>
          <w:lang w:val="fr-CA"/>
        </w:rPr>
        <w:t>rait</w:t>
      </w:r>
      <w:r w:rsidRPr="00CA4523">
        <w:rPr>
          <w:rFonts w:cs="Times New Roman"/>
          <w:lang w:val="fr-CA"/>
        </w:rPr>
        <w:t xml:space="preserve"> pas en conflit avec les notions d</w:t>
      </w:r>
      <w:r>
        <w:rPr>
          <w:rFonts w:cs="Times New Roman"/>
          <w:lang w:val="fr-CA"/>
        </w:rPr>
        <w:t>’</w:t>
      </w:r>
      <w:r w:rsidRPr="00CA4523">
        <w:rPr>
          <w:rFonts w:cs="Times New Roman"/>
          <w:lang w:val="fr-CA"/>
        </w:rPr>
        <w:t xml:space="preserve">équité procédurale et de bonne administration de la justice du droit québécois </w:t>
      </w:r>
      <w:r w:rsidRPr="00CA4523">
        <w:rPr>
          <w:rFonts w:cs="Times New Roman"/>
          <w:szCs w:val="24"/>
          <w:lang w:val="fr-CA"/>
        </w:rPr>
        <w:t xml:space="preserve">(Goldstein, </w:t>
      </w:r>
      <w:r w:rsidRPr="00F804E3">
        <w:rPr>
          <w:rFonts w:cs="Times New Roman"/>
          <w:szCs w:val="24"/>
          <w:lang w:val="fr-CA"/>
        </w:rPr>
        <w:lastRenderedPageBreak/>
        <w:t>fasc. 11,</w:t>
      </w:r>
      <w:r w:rsidRPr="00CA4523">
        <w:rPr>
          <w:rFonts w:cs="Times New Roman"/>
          <w:szCs w:val="24"/>
          <w:lang w:val="fr-CA"/>
        </w:rPr>
        <w:t xml:space="preserve"> </w:t>
      </w:r>
      <w:r>
        <w:rPr>
          <w:rFonts w:cs="Times New Roman"/>
          <w:szCs w:val="24"/>
          <w:lang w:val="fr-CA"/>
        </w:rPr>
        <w:t>par. 2</w:t>
      </w:r>
      <w:r w:rsidRPr="00CA4523">
        <w:rPr>
          <w:rFonts w:cs="Times New Roman"/>
          <w:szCs w:val="24"/>
          <w:lang w:val="fr-CA"/>
        </w:rPr>
        <w:t>).</w:t>
      </w:r>
      <w:r w:rsidRPr="00CA4523">
        <w:rPr>
          <w:rFonts w:cs="Times New Roman"/>
          <w:lang w:val="fr-CA"/>
        </w:rPr>
        <w:t xml:space="preserve"> Les règles de la compétence internationale indirecte prévues </w:t>
      </w:r>
      <w:r>
        <w:rPr>
          <w:rFonts w:cs="Times New Roman"/>
          <w:lang w:val="fr-CA"/>
        </w:rPr>
        <w:t>au</w:t>
      </w:r>
      <w:r w:rsidRPr="00CA4523">
        <w:rPr>
          <w:rFonts w:cs="Times New Roman"/>
          <w:lang w:val="fr-CA"/>
        </w:rPr>
        <w:t xml:space="preserve"> </w:t>
      </w:r>
      <w:r w:rsidRPr="00CA4523">
        <w:rPr>
          <w:rFonts w:cs="Times New Roman"/>
          <w:i/>
          <w:lang w:val="fr-CA"/>
        </w:rPr>
        <w:t xml:space="preserve">Code civil </w:t>
      </w:r>
      <w:r w:rsidRPr="00CA4523">
        <w:rPr>
          <w:rFonts w:cs="Times New Roman"/>
          <w:lang w:val="fr-CA"/>
        </w:rPr>
        <w:t xml:space="preserve">— notamment à son </w:t>
      </w:r>
      <w:r>
        <w:rPr>
          <w:rFonts w:cs="Times New Roman"/>
          <w:lang w:val="fr-CA"/>
        </w:rPr>
        <w:t>art. </w:t>
      </w:r>
      <w:r w:rsidRPr="00CA4523">
        <w:rPr>
          <w:rFonts w:cs="Times New Roman"/>
          <w:lang w:val="fr-CA"/>
        </w:rPr>
        <w:t xml:space="preserve">3168 — sont des règles du Québec, et leurs exigences sont par conséquent évaluées selon le </w:t>
      </w:r>
      <w:r w:rsidRPr="00CA4523">
        <w:rPr>
          <w:rFonts w:cs="Times New Roman"/>
          <w:szCs w:val="24"/>
          <w:lang w:val="fr-CA"/>
        </w:rPr>
        <w:t xml:space="preserve">droit québécois. Pour se prononcer sur la compétence internationale indirecte, le tribunal </w:t>
      </w:r>
      <w:r>
        <w:rPr>
          <w:rFonts w:cs="Times New Roman"/>
          <w:szCs w:val="24"/>
          <w:lang w:val="fr-CA"/>
        </w:rPr>
        <w:t>d’exécution</w:t>
      </w:r>
      <w:r w:rsidRPr="00CA4523">
        <w:rPr>
          <w:rFonts w:cs="Times New Roman"/>
          <w:szCs w:val="24"/>
          <w:lang w:val="fr-CA"/>
        </w:rPr>
        <w:t xml:space="preserve"> n</w:t>
      </w:r>
      <w:r>
        <w:rPr>
          <w:rFonts w:cs="Times New Roman"/>
          <w:szCs w:val="24"/>
          <w:lang w:val="fr-CA"/>
        </w:rPr>
        <w:t>’</w:t>
      </w:r>
      <w:r w:rsidRPr="00CA4523">
        <w:rPr>
          <w:rFonts w:cs="Times New Roman"/>
          <w:szCs w:val="24"/>
          <w:lang w:val="fr-CA"/>
        </w:rPr>
        <w:t xml:space="preserve">est pas lié par les qualifications juridiques </w:t>
      </w:r>
      <w:r>
        <w:rPr>
          <w:rFonts w:cs="Times New Roman"/>
          <w:szCs w:val="24"/>
          <w:lang w:val="fr-CA"/>
        </w:rPr>
        <w:t>attribu</w:t>
      </w:r>
      <w:r w:rsidRPr="00CA4523">
        <w:rPr>
          <w:rFonts w:cs="Times New Roman"/>
          <w:szCs w:val="24"/>
          <w:lang w:val="fr-CA"/>
        </w:rPr>
        <w:t xml:space="preserve">ées aux faits par le tribunal étranger (Office de révision du Code civil, </w:t>
      </w:r>
      <w:r w:rsidRPr="00CA4523">
        <w:rPr>
          <w:rFonts w:cs="Times New Roman"/>
          <w:i/>
          <w:szCs w:val="24"/>
          <w:lang w:val="fr-CA"/>
        </w:rPr>
        <w:t>Rapport sur le Code civil du Québec</w:t>
      </w:r>
      <w:r w:rsidRPr="00CA4523">
        <w:rPr>
          <w:rFonts w:cs="Times New Roman"/>
          <w:szCs w:val="24"/>
          <w:lang w:val="fr-CA"/>
        </w:rPr>
        <w:t xml:space="preserve">, </w:t>
      </w:r>
      <w:r w:rsidRPr="00BB6471">
        <w:rPr>
          <w:rFonts w:cs="Times New Roman"/>
          <w:i/>
          <w:szCs w:val="24"/>
          <w:lang w:val="fr-CA"/>
        </w:rPr>
        <w:t>Commentaires</w:t>
      </w:r>
      <w:r w:rsidR="004411A2">
        <w:rPr>
          <w:rFonts w:cs="Times New Roman"/>
          <w:szCs w:val="24"/>
          <w:lang w:val="fr-CA"/>
        </w:rPr>
        <w:t>,</w:t>
      </w:r>
      <w:r>
        <w:rPr>
          <w:rFonts w:cs="Times New Roman"/>
          <w:szCs w:val="24"/>
          <w:lang w:val="fr-CA"/>
        </w:rPr>
        <w:t xml:space="preserve"> vol. II</w:t>
      </w:r>
      <w:r w:rsidRPr="00CA4523">
        <w:rPr>
          <w:rFonts w:cs="Times New Roman"/>
          <w:szCs w:val="24"/>
          <w:lang w:val="fr-CA"/>
        </w:rPr>
        <w:t xml:space="preserve"> (197</w:t>
      </w:r>
      <w:r>
        <w:rPr>
          <w:rFonts w:cs="Times New Roman"/>
          <w:szCs w:val="24"/>
          <w:lang w:val="fr-CA"/>
        </w:rPr>
        <w:t>8</w:t>
      </w:r>
      <w:r w:rsidRPr="00CA4523">
        <w:rPr>
          <w:rFonts w:cs="Times New Roman"/>
          <w:szCs w:val="24"/>
          <w:lang w:val="fr-CA"/>
        </w:rPr>
        <w:t xml:space="preserve">), </w:t>
      </w:r>
      <w:r>
        <w:rPr>
          <w:rFonts w:cs="Times New Roman"/>
          <w:szCs w:val="24"/>
          <w:lang w:val="fr-CA"/>
        </w:rPr>
        <w:t>p. </w:t>
      </w:r>
      <w:r w:rsidRPr="00CA4523">
        <w:rPr>
          <w:rFonts w:cs="Times New Roman"/>
          <w:szCs w:val="24"/>
          <w:lang w:val="fr-CA"/>
        </w:rPr>
        <w:t>1010; J.</w:t>
      </w:r>
      <w:r>
        <w:rPr>
          <w:rFonts w:cs="Times New Roman"/>
          <w:szCs w:val="24"/>
          <w:lang w:val="fr-CA"/>
        </w:rPr>
        <w:t> </w:t>
      </w:r>
      <w:r w:rsidRPr="00CA4523">
        <w:rPr>
          <w:rFonts w:cs="Times New Roman"/>
          <w:szCs w:val="24"/>
          <w:lang w:val="fr-CA"/>
        </w:rPr>
        <w:t xml:space="preserve">A. Talpis </w:t>
      </w:r>
      <w:r>
        <w:rPr>
          <w:rFonts w:cs="Times New Roman"/>
          <w:szCs w:val="24"/>
          <w:lang w:val="fr-CA"/>
        </w:rPr>
        <w:t>et</w:t>
      </w:r>
      <w:r w:rsidRPr="00CA4523">
        <w:rPr>
          <w:rFonts w:cs="Times New Roman"/>
          <w:szCs w:val="24"/>
          <w:lang w:val="fr-CA"/>
        </w:rPr>
        <w:t xml:space="preserve"> G. Goldstein, </w:t>
      </w:r>
      <w:r>
        <w:rPr>
          <w:rFonts w:cs="Times New Roman"/>
          <w:szCs w:val="24"/>
          <w:lang w:val="fr-CA"/>
        </w:rPr>
        <w:t>« </w:t>
      </w:r>
      <w:r w:rsidRPr="00F804E3">
        <w:rPr>
          <w:rFonts w:cs="Times New Roman"/>
          <w:szCs w:val="24"/>
          <w:lang w:val="fr-CA"/>
        </w:rPr>
        <w:t>Analyse critique de l</w:t>
      </w:r>
      <w:r>
        <w:rPr>
          <w:rFonts w:cs="Times New Roman"/>
          <w:szCs w:val="24"/>
          <w:lang w:val="fr-CA"/>
        </w:rPr>
        <w:t>’</w:t>
      </w:r>
      <w:r w:rsidRPr="00F804E3">
        <w:rPr>
          <w:rFonts w:cs="Times New Roman"/>
          <w:szCs w:val="24"/>
          <w:lang w:val="fr-CA"/>
        </w:rPr>
        <w:t>avant</w:t>
      </w:r>
      <w:r>
        <w:rPr>
          <w:rFonts w:cs="Times New Roman"/>
          <w:szCs w:val="24"/>
          <w:lang w:val="fr-CA"/>
        </w:rPr>
        <w:noBreakHyphen/>
      </w:r>
      <w:r w:rsidRPr="00F804E3">
        <w:rPr>
          <w:rFonts w:cs="Times New Roman"/>
          <w:szCs w:val="24"/>
          <w:lang w:val="fr-CA"/>
        </w:rPr>
        <w:t>projet de loi du Québec en droit international privé »</w:t>
      </w:r>
      <w:r w:rsidRPr="00CA4523">
        <w:rPr>
          <w:rFonts w:cs="Times New Roman"/>
          <w:szCs w:val="24"/>
          <w:lang w:val="fr-CA"/>
        </w:rPr>
        <w:t xml:space="preserve"> (198</w:t>
      </w:r>
      <w:r>
        <w:rPr>
          <w:rFonts w:cs="Times New Roman"/>
          <w:szCs w:val="24"/>
          <w:lang w:val="fr-CA"/>
        </w:rPr>
        <w:t>8</w:t>
      </w:r>
      <w:r w:rsidRPr="00CA4523">
        <w:rPr>
          <w:rFonts w:cs="Times New Roman"/>
          <w:szCs w:val="24"/>
          <w:lang w:val="fr-CA"/>
        </w:rPr>
        <w:t>)</w:t>
      </w:r>
      <w:r>
        <w:rPr>
          <w:rFonts w:cs="Times New Roman"/>
          <w:szCs w:val="24"/>
          <w:lang w:val="fr-CA"/>
        </w:rPr>
        <w:t>,</w:t>
      </w:r>
      <w:r w:rsidRPr="00CA4523">
        <w:rPr>
          <w:rFonts w:cs="Times New Roman"/>
          <w:szCs w:val="24"/>
          <w:lang w:val="fr-CA"/>
        </w:rPr>
        <w:t xml:space="preserve"> 91 </w:t>
      </w:r>
      <w:r w:rsidRPr="00CA4523">
        <w:rPr>
          <w:rFonts w:cs="Times New Roman"/>
          <w:i/>
          <w:szCs w:val="24"/>
          <w:lang w:val="fr-CA"/>
        </w:rPr>
        <w:t>R. du N.</w:t>
      </w:r>
      <w:r>
        <w:rPr>
          <w:rFonts w:cs="Times New Roman"/>
          <w:i/>
          <w:szCs w:val="24"/>
          <w:lang w:val="fr-CA"/>
        </w:rPr>
        <w:t> </w:t>
      </w:r>
      <w:r w:rsidRPr="00CA4523">
        <w:rPr>
          <w:rFonts w:cs="Times New Roman"/>
          <w:szCs w:val="24"/>
          <w:lang w:val="fr-CA"/>
        </w:rPr>
        <w:t xml:space="preserve">606, </w:t>
      </w:r>
      <w:r>
        <w:rPr>
          <w:rFonts w:cs="Times New Roman"/>
          <w:szCs w:val="24"/>
          <w:lang w:val="fr-CA"/>
        </w:rPr>
        <w:t>p. </w:t>
      </w:r>
      <w:r w:rsidRPr="00CA4523">
        <w:rPr>
          <w:rFonts w:cs="Times New Roman"/>
          <w:szCs w:val="24"/>
          <w:lang w:val="fr-CA"/>
        </w:rPr>
        <w:t>627</w:t>
      </w:r>
      <w:r>
        <w:rPr>
          <w:rFonts w:cs="Times New Roman"/>
          <w:szCs w:val="24"/>
          <w:lang w:val="fr-CA"/>
        </w:rPr>
        <w:noBreakHyphen/>
      </w:r>
      <w:r w:rsidRPr="00CA4523">
        <w:rPr>
          <w:rFonts w:cs="Times New Roman"/>
          <w:szCs w:val="24"/>
          <w:lang w:val="fr-CA"/>
        </w:rPr>
        <w:t xml:space="preserve">628; </w:t>
      </w:r>
      <w:r w:rsidRPr="00CA4523">
        <w:rPr>
          <w:rFonts w:cs="Times New Roman"/>
          <w:i/>
          <w:szCs w:val="24"/>
          <w:lang w:val="fr-CA"/>
        </w:rPr>
        <w:t>Zimmermann</w:t>
      </w:r>
      <w:r w:rsidRPr="00CA4523">
        <w:rPr>
          <w:rFonts w:cs="Times New Roman"/>
          <w:szCs w:val="24"/>
          <w:lang w:val="fr-CA"/>
        </w:rPr>
        <w:t xml:space="preserve">, </w:t>
      </w:r>
      <w:r>
        <w:rPr>
          <w:rFonts w:cs="Times New Roman"/>
          <w:szCs w:val="24"/>
          <w:lang w:val="fr-CA"/>
        </w:rPr>
        <w:t>par. </w:t>
      </w:r>
      <w:r w:rsidRPr="00CA4523">
        <w:rPr>
          <w:rFonts w:cs="Times New Roman"/>
          <w:szCs w:val="24"/>
          <w:lang w:val="fr-CA"/>
        </w:rPr>
        <w:t>13</w:t>
      </w:r>
      <w:r>
        <w:rPr>
          <w:rFonts w:cs="Times New Roman"/>
          <w:szCs w:val="24"/>
          <w:lang w:val="fr-CA"/>
        </w:rPr>
        <w:noBreakHyphen/>
      </w:r>
      <w:r w:rsidRPr="00CA4523">
        <w:rPr>
          <w:rFonts w:cs="Times New Roman"/>
          <w:szCs w:val="24"/>
          <w:lang w:val="fr-CA"/>
        </w:rPr>
        <w:t xml:space="preserve">20). </w:t>
      </w:r>
      <w:r>
        <w:rPr>
          <w:rFonts w:cs="Times New Roman"/>
          <w:szCs w:val="24"/>
          <w:lang w:val="fr-CA"/>
        </w:rPr>
        <w:t>Il doit</w:t>
      </w:r>
      <w:r w:rsidRPr="00CA4523">
        <w:rPr>
          <w:rFonts w:cs="Times New Roman"/>
          <w:szCs w:val="24"/>
          <w:lang w:val="fr-CA"/>
        </w:rPr>
        <w:t xml:space="preserve"> déterminer si « l</w:t>
      </w:r>
      <w:r w:rsidRPr="00CA4523">
        <w:rPr>
          <w:lang w:val="fr-FR"/>
        </w:rPr>
        <w:t>e défendeur a reconnu [la] compétence</w:t>
      </w:r>
      <w:r w:rsidRPr="00CA4523">
        <w:rPr>
          <w:rFonts w:cs="Times New Roman"/>
          <w:szCs w:val="24"/>
          <w:lang w:val="fr-CA"/>
        </w:rPr>
        <w:t xml:space="preserve"> </w:t>
      </w:r>
      <w:r w:rsidRPr="00BE064C">
        <w:rPr>
          <w:rFonts w:cs="Times New Roman"/>
          <w:szCs w:val="24"/>
          <w:lang w:val="fr-CA"/>
        </w:rPr>
        <w:t>[de l</w:t>
      </w:r>
      <w:r>
        <w:rPr>
          <w:rFonts w:cs="Times New Roman"/>
          <w:szCs w:val="24"/>
          <w:lang w:val="fr-CA"/>
        </w:rPr>
        <w:t>’</w:t>
      </w:r>
      <w:r w:rsidRPr="00BE064C">
        <w:rPr>
          <w:rFonts w:cs="Times New Roman"/>
          <w:szCs w:val="24"/>
          <w:lang w:val="fr-CA"/>
        </w:rPr>
        <w:t>autorité étrangère] »</w:t>
      </w:r>
      <w:r w:rsidRPr="00CA4523">
        <w:rPr>
          <w:rFonts w:cs="Times New Roman"/>
          <w:szCs w:val="24"/>
          <w:lang w:val="fr-CA"/>
        </w:rPr>
        <w:t xml:space="preserve"> comme le prévoit </w:t>
      </w:r>
      <w:r w:rsidR="00DA0AA4">
        <w:rPr>
          <w:rFonts w:cs="Times New Roman"/>
          <w:szCs w:val="24"/>
          <w:lang w:val="fr-CA"/>
        </w:rPr>
        <w:t>le par.</w:t>
      </w:r>
      <w:r>
        <w:rPr>
          <w:rFonts w:cs="Times New Roman"/>
          <w:szCs w:val="24"/>
          <w:lang w:val="fr-CA"/>
        </w:rPr>
        <w:t> </w:t>
      </w:r>
      <w:r w:rsidRPr="00CA4523">
        <w:rPr>
          <w:rFonts w:cs="Times New Roman"/>
          <w:szCs w:val="24"/>
          <w:lang w:val="fr-CA"/>
        </w:rPr>
        <w:t>3168</w:t>
      </w:r>
      <w:r>
        <w:rPr>
          <w:rFonts w:cs="Times New Roman"/>
          <w:szCs w:val="24"/>
          <w:lang w:val="fr-CA"/>
        </w:rPr>
        <w:t>(</w:t>
      </w:r>
      <w:r w:rsidRPr="00CA4523">
        <w:rPr>
          <w:rFonts w:cs="Times New Roman"/>
          <w:szCs w:val="24"/>
          <w:lang w:val="fr-CA"/>
        </w:rPr>
        <w:t>6</w:t>
      </w:r>
      <w:r>
        <w:rPr>
          <w:rFonts w:cs="Times New Roman"/>
          <w:szCs w:val="24"/>
          <w:lang w:val="fr-CA"/>
        </w:rPr>
        <w:t>)</w:t>
      </w:r>
      <w:r w:rsidRPr="00CA4523">
        <w:rPr>
          <w:rFonts w:cs="Times New Roman"/>
          <w:szCs w:val="24"/>
          <w:lang w:val="fr-CA"/>
        </w:rPr>
        <w:t> </w:t>
      </w:r>
      <w:r w:rsidRPr="00CA4523">
        <w:rPr>
          <w:rFonts w:cs="Times New Roman"/>
          <w:i/>
          <w:szCs w:val="24"/>
          <w:lang w:val="fr-CA"/>
        </w:rPr>
        <w:t xml:space="preserve">C.c.Q. </w:t>
      </w:r>
      <w:r w:rsidRPr="00CA4523">
        <w:rPr>
          <w:rFonts w:cs="Times New Roman"/>
          <w:szCs w:val="24"/>
          <w:lang w:val="fr-CA"/>
        </w:rPr>
        <w:t>en fonction du sens que le droit québécois donne à ces termes.</w:t>
      </w:r>
    </w:p>
    <w:p w:rsidR="00AF6697" w:rsidRPr="007B409C" w:rsidRDefault="00AF6697" w:rsidP="002970A2">
      <w:pPr>
        <w:pStyle w:val="Title3LevelTitre3Niveau"/>
        <w:numPr>
          <w:ilvl w:val="0"/>
          <w:numId w:val="18"/>
        </w:numPr>
        <w:ind w:left="1170" w:hanging="630"/>
        <w:rPr>
          <w:lang w:val="fr-CA"/>
        </w:rPr>
      </w:pPr>
      <w:r>
        <w:rPr>
          <w:lang w:val="fr-CA"/>
        </w:rPr>
        <w:t>R</w:t>
      </w:r>
      <w:r w:rsidRPr="007B409C">
        <w:rPr>
          <w:lang w:val="fr-CA"/>
        </w:rPr>
        <w:t>econnaissance de la compétence en droit québécois</w:t>
      </w:r>
    </w:p>
    <w:p w:rsidR="00AF6697" w:rsidRPr="00CA4523" w:rsidRDefault="00AF6697" w:rsidP="004411A2">
      <w:pPr>
        <w:pStyle w:val="ParaNoNdepar-AltN"/>
        <w:tabs>
          <w:tab w:val="clear" w:pos="1166"/>
          <w:tab w:val="num" w:pos="900"/>
        </w:tabs>
        <w:rPr>
          <w:rFonts w:cs="Times New Roman"/>
          <w:szCs w:val="24"/>
          <w:lang w:val="fr-CA"/>
        </w:rPr>
      </w:pPr>
      <w:r w:rsidRPr="00CA4523">
        <w:rPr>
          <w:rFonts w:cs="Times New Roman"/>
          <w:lang w:val="fr-CA"/>
        </w:rPr>
        <w:t xml:space="preserve">En droit québécois, la reconnaissance de la compétence peut être </w:t>
      </w:r>
      <w:r w:rsidRPr="00CA4523">
        <w:rPr>
          <w:rFonts w:cs="Times New Roman"/>
          <w:szCs w:val="24"/>
          <w:lang w:val="fr-CA"/>
        </w:rPr>
        <w:t xml:space="preserve">explicite ou implicite (Kélada, </w:t>
      </w:r>
      <w:r>
        <w:rPr>
          <w:rFonts w:cs="Times New Roman"/>
          <w:szCs w:val="24"/>
          <w:lang w:val="fr-CA"/>
        </w:rPr>
        <w:t>p. </w:t>
      </w:r>
      <w:r w:rsidRPr="00CA4523">
        <w:rPr>
          <w:rFonts w:cs="Times New Roman"/>
          <w:szCs w:val="24"/>
          <w:lang w:val="fr-CA"/>
        </w:rPr>
        <w:t xml:space="preserve">544; </w:t>
      </w:r>
      <w:r>
        <w:rPr>
          <w:rFonts w:cs="Times New Roman"/>
          <w:szCs w:val="24"/>
          <w:lang w:val="fr-CA"/>
        </w:rPr>
        <w:t>F</w:t>
      </w:r>
      <w:r w:rsidRPr="00E828CF">
        <w:rPr>
          <w:rFonts w:cs="Times New Roman"/>
          <w:szCs w:val="24"/>
          <w:lang w:val="fr-CA"/>
        </w:rPr>
        <w:t xml:space="preserve">. Sabourin, </w:t>
      </w:r>
      <w:r>
        <w:rPr>
          <w:rFonts w:cs="Times New Roman"/>
          <w:szCs w:val="24"/>
          <w:lang w:val="fr-CA"/>
        </w:rPr>
        <w:t>« </w:t>
      </w:r>
      <w:r w:rsidRPr="00B920D7">
        <w:rPr>
          <w:rFonts w:cs="Times New Roman"/>
          <w:szCs w:val="24"/>
          <w:lang w:val="fr-CA"/>
        </w:rPr>
        <w:t>Compétence international</w:t>
      </w:r>
      <w:r>
        <w:rPr>
          <w:rFonts w:cs="Times New Roman"/>
          <w:szCs w:val="24"/>
          <w:lang w:val="fr-CA"/>
        </w:rPr>
        <w:t>e</w:t>
      </w:r>
      <w:r w:rsidRPr="00B920D7">
        <w:rPr>
          <w:rFonts w:cs="Times New Roman"/>
          <w:szCs w:val="24"/>
          <w:lang w:val="fr-CA"/>
        </w:rPr>
        <w:t xml:space="preserve"> relative aux actions personnelles à caractère patrimonial et effets des décisions étrangères</w:t>
      </w:r>
      <w:r>
        <w:rPr>
          <w:rFonts w:cs="Times New Roman"/>
          <w:szCs w:val="24"/>
          <w:lang w:val="fr-CA"/>
        </w:rPr>
        <w:t> »</w:t>
      </w:r>
      <w:r w:rsidR="00BB6471">
        <w:rPr>
          <w:rFonts w:cs="Times New Roman"/>
          <w:szCs w:val="24"/>
          <w:lang w:val="fr-CA"/>
        </w:rPr>
        <w:t>,</w:t>
      </w:r>
      <w:r w:rsidRPr="00B920D7">
        <w:rPr>
          <w:rFonts w:cs="Times New Roman"/>
          <w:szCs w:val="24"/>
          <w:lang w:val="fr-CA"/>
        </w:rPr>
        <w:t xml:space="preserve"> </w:t>
      </w:r>
      <w:r>
        <w:rPr>
          <w:rFonts w:cs="Times New Roman"/>
          <w:szCs w:val="24"/>
          <w:lang w:val="fr-CA"/>
        </w:rPr>
        <w:t>dans</w:t>
      </w:r>
      <w:r w:rsidRPr="00B920D7">
        <w:rPr>
          <w:rFonts w:cs="Times New Roman"/>
          <w:szCs w:val="24"/>
          <w:lang w:val="fr-CA"/>
        </w:rPr>
        <w:t xml:space="preserve"> </w:t>
      </w:r>
      <w:r w:rsidRPr="00B920D7">
        <w:rPr>
          <w:rFonts w:cs="Times New Roman"/>
          <w:i/>
          <w:szCs w:val="24"/>
          <w:lang w:val="fr-CA"/>
        </w:rPr>
        <w:t>JurisClasseur Québec</w:t>
      </w:r>
      <w:r w:rsidRPr="00B920D7">
        <w:rPr>
          <w:rFonts w:cs="Times New Roman"/>
          <w:szCs w:val="24"/>
          <w:lang w:val="fr-CA"/>
        </w:rPr>
        <w:t xml:space="preserve"> </w:t>
      </w:r>
      <w:r w:rsidRPr="00BB6471">
        <w:rPr>
          <w:rFonts w:cs="Times New Roman"/>
          <w:i/>
          <w:szCs w:val="24"/>
          <w:lang w:val="fr-CA"/>
        </w:rPr>
        <w:t>— Droit international privé</w:t>
      </w:r>
      <w:r w:rsidRPr="00B920D7">
        <w:rPr>
          <w:rFonts w:cs="Times New Roman"/>
          <w:szCs w:val="24"/>
          <w:lang w:val="fr-CA"/>
        </w:rPr>
        <w:t xml:space="preserve"> (</w:t>
      </w:r>
      <w:r>
        <w:rPr>
          <w:rFonts w:cs="Times New Roman"/>
          <w:szCs w:val="24"/>
          <w:lang w:val="fr-CA"/>
        </w:rPr>
        <w:t>feuilles mobiles</w:t>
      </w:r>
      <w:r w:rsidRPr="00B920D7">
        <w:rPr>
          <w:rFonts w:cs="Times New Roman"/>
          <w:szCs w:val="24"/>
          <w:lang w:val="fr-CA"/>
        </w:rPr>
        <w:t xml:space="preserve">), </w:t>
      </w:r>
      <w:r>
        <w:rPr>
          <w:rFonts w:cs="Times New Roman"/>
          <w:szCs w:val="24"/>
          <w:lang w:val="fr-CA"/>
        </w:rPr>
        <w:t xml:space="preserve">par </w:t>
      </w:r>
      <w:r w:rsidRPr="00B920D7">
        <w:rPr>
          <w:rFonts w:cs="Times New Roman"/>
          <w:szCs w:val="24"/>
          <w:lang w:val="fr-CA"/>
        </w:rPr>
        <w:t>P.</w:t>
      </w:r>
      <w:r>
        <w:rPr>
          <w:rFonts w:cs="Times New Roman"/>
          <w:szCs w:val="24"/>
          <w:lang w:val="fr-CA"/>
        </w:rPr>
        <w:noBreakHyphen/>
      </w:r>
      <w:r w:rsidRPr="00B920D7">
        <w:rPr>
          <w:rFonts w:cs="Times New Roman"/>
          <w:szCs w:val="24"/>
          <w:lang w:val="fr-CA"/>
        </w:rPr>
        <w:t xml:space="preserve">C. Lafond, </w:t>
      </w:r>
      <w:r w:rsidR="004411A2">
        <w:rPr>
          <w:rFonts w:cs="Times New Roman"/>
          <w:szCs w:val="24"/>
          <w:lang w:val="fr-CA"/>
        </w:rPr>
        <w:t>dir.</w:t>
      </w:r>
      <w:r w:rsidRPr="00B920D7">
        <w:rPr>
          <w:rFonts w:cs="Times New Roman"/>
          <w:szCs w:val="24"/>
          <w:lang w:val="fr-CA"/>
        </w:rPr>
        <w:t xml:space="preserve">, fasc. 25, </w:t>
      </w:r>
      <w:r>
        <w:rPr>
          <w:rFonts w:cs="Times New Roman"/>
          <w:szCs w:val="24"/>
          <w:lang w:val="fr-CA"/>
        </w:rPr>
        <w:t>par. </w:t>
      </w:r>
      <w:r w:rsidRPr="00E828CF">
        <w:rPr>
          <w:rFonts w:cs="Times New Roman"/>
          <w:szCs w:val="24"/>
          <w:lang w:val="fr-CA"/>
        </w:rPr>
        <w:t>26;</w:t>
      </w:r>
      <w:r w:rsidRPr="00CA4523">
        <w:rPr>
          <w:rFonts w:cs="Times New Roman"/>
          <w:szCs w:val="24"/>
          <w:lang w:val="fr-CA"/>
        </w:rPr>
        <w:t xml:space="preserve"> </w:t>
      </w:r>
      <w:r w:rsidRPr="00CA4523">
        <w:rPr>
          <w:rFonts w:cs="Times New Roman"/>
          <w:i/>
          <w:szCs w:val="24"/>
          <w:lang w:val="fr-CA"/>
        </w:rPr>
        <w:t>Alimport</w:t>
      </w:r>
      <w:r>
        <w:rPr>
          <w:rFonts w:cs="Times New Roman"/>
          <w:i/>
          <w:szCs w:val="24"/>
          <w:lang w:val="fr-CA"/>
        </w:rPr>
        <w:t xml:space="preserve"> (Empresa Cubana Importadora de Alimentos)</w:t>
      </w:r>
      <w:r w:rsidRPr="00CA4523">
        <w:rPr>
          <w:rFonts w:cs="Times New Roman"/>
          <w:i/>
          <w:szCs w:val="24"/>
          <w:lang w:val="fr-CA"/>
        </w:rPr>
        <w:t xml:space="preserve"> c. Victoria Transport</w:t>
      </w:r>
      <w:r w:rsidR="003859B3">
        <w:rPr>
          <w:rFonts w:cs="Times New Roman"/>
          <w:i/>
          <w:szCs w:val="24"/>
          <w:lang w:val="fr-CA"/>
        </w:rPr>
        <w:t xml:space="preserve"> Ltd.</w:t>
      </w:r>
      <w:r w:rsidRPr="00CA4523">
        <w:rPr>
          <w:rFonts w:cs="Times New Roman"/>
          <w:szCs w:val="24"/>
          <w:lang w:val="fr-CA"/>
        </w:rPr>
        <w:t xml:space="preserve">, [1977] 2 R.C.S. 858, </w:t>
      </w:r>
      <w:r>
        <w:rPr>
          <w:rFonts w:cs="Times New Roman"/>
          <w:szCs w:val="24"/>
          <w:lang w:val="fr-CA"/>
        </w:rPr>
        <w:t>p. </w:t>
      </w:r>
      <w:r w:rsidRPr="00CA4523">
        <w:rPr>
          <w:rFonts w:cs="Times New Roman"/>
          <w:szCs w:val="24"/>
          <w:lang w:val="fr-CA"/>
        </w:rPr>
        <w:t xml:space="preserve">863; </w:t>
      </w:r>
      <w:r w:rsidRPr="00CA4523">
        <w:rPr>
          <w:rFonts w:cs="Times New Roman"/>
          <w:i/>
          <w:szCs w:val="24"/>
          <w:lang w:val="fr-CA"/>
        </w:rPr>
        <w:t>Bombardier Transportation c. SMC Pneumatics (UK) Ltd.</w:t>
      </w:r>
      <w:r w:rsidRPr="00CA4523">
        <w:rPr>
          <w:rFonts w:cs="Times New Roman"/>
          <w:szCs w:val="24"/>
          <w:lang w:val="fr-CA"/>
        </w:rPr>
        <w:t xml:space="preserve">, 2009 QCCA 861, </w:t>
      </w:r>
      <w:r>
        <w:rPr>
          <w:rFonts w:cs="Times New Roman"/>
          <w:szCs w:val="24"/>
          <w:lang w:val="fr-CA"/>
        </w:rPr>
        <w:t>par. </w:t>
      </w:r>
      <w:r w:rsidRPr="00CA4523">
        <w:rPr>
          <w:rFonts w:cs="Times New Roman"/>
          <w:szCs w:val="24"/>
          <w:lang w:val="fr-CA"/>
        </w:rPr>
        <w:t>50</w:t>
      </w:r>
      <w:r>
        <w:rPr>
          <w:rFonts w:cs="Times New Roman"/>
          <w:szCs w:val="24"/>
          <w:lang w:val="fr-CA"/>
        </w:rPr>
        <w:t xml:space="preserve"> (CanLII)</w:t>
      </w:r>
      <w:r w:rsidRPr="00CA4523">
        <w:rPr>
          <w:rFonts w:cs="Times New Roman"/>
          <w:szCs w:val="24"/>
          <w:lang w:val="fr-CA"/>
        </w:rPr>
        <w:t xml:space="preserve">; </w:t>
      </w:r>
      <w:r w:rsidRPr="00CA4523">
        <w:rPr>
          <w:rFonts w:cs="Times New Roman"/>
          <w:i/>
          <w:szCs w:val="24"/>
          <w:lang w:val="fr-CA"/>
        </w:rPr>
        <w:t>International Image Services Inc.</w:t>
      </w:r>
      <w:r>
        <w:rPr>
          <w:rFonts w:cs="Times New Roman"/>
          <w:i/>
          <w:szCs w:val="24"/>
          <w:lang w:val="fr-CA"/>
        </w:rPr>
        <w:t xml:space="preserve"> c. </w:t>
      </w:r>
      <w:r w:rsidRPr="00CA4523">
        <w:rPr>
          <w:rFonts w:cs="Times New Roman"/>
          <w:i/>
          <w:szCs w:val="24"/>
          <w:lang w:val="fr-CA"/>
        </w:rPr>
        <w:t>Ellipse Fiction/Ellipse Programme</w:t>
      </w:r>
      <w:r w:rsidRPr="00CA4523">
        <w:rPr>
          <w:rFonts w:cs="Times New Roman"/>
          <w:szCs w:val="24"/>
          <w:lang w:val="fr-CA"/>
        </w:rPr>
        <w:t xml:space="preserve">, </w:t>
      </w:r>
      <w:r>
        <w:rPr>
          <w:rFonts w:cs="Times New Roman"/>
          <w:szCs w:val="24"/>
          <w:lang w:val="fr-CA"/>
        </w:rPr>
        <w:t>1995 CanLII 10253</w:t>
      </w:r>
      <w:r w:rsidRPr="00CA4523">
        <w:rPr>
          <w:rFonts w:cs="Times New Roman"/>
          <w:szCs w:val="24"/>
          <w:lang w:val="fr-CA"/>
        </w:rPr>
        <w:t xml:space="preserve"> </w:t>
      </w:r>
      <w:r w:rsidR="00134631" w:rsidRPr="00CA4523">
        <w:rPr>
          <w:rFonts w:cs="Times New Roman"/>
          <w:szCs w:val="24"/>
          <w:lang w:val="fr-CA"/>
        </w:rPr>
        <w:t>(C.A.</w:t>
      </w:r>
      <w:r w:rsidR="003859B3">
        <w:rPr>
          <w:rFonts w:cs="Times New Roman"/>
          <w:szCs w:val="24"/>
          <w:lang w:val="fr-CA"/>
        </w:rPr>
        <w:t xml:space="preserve"> Qc</w:t>
      </w:r>
      <w:r w:rsidR="00134631" w:rsidRPr="00CA4523">
        <w:rPr>
          <w:rFonts w:cs="Times New Roman"/>
          <w:szCs w:val="24"/>
          <w:lang w:val="fr-CA"/>
        </w:rPr>
        <w:t>)</w:t>
      </w:r>
      <w:r w:rsidR="00F611A0">
        <w:rPr>
          <w:rFonts w:cs="Times New Roman"/>
          <w:szCs w:val="24"/>
          <w:lang w:val="fr-CA"/>
        </w:rPr>
        <w:t>,</w:t>
      </w:r>
      <w:r w:rsidR="00134631">
        <w:rPr>
          <w:rFonts w:cs="Times New Roman"/>
          <w:szCs w:val="24"/>
          <w:lang w:val="fr-CA"/>
        </w:rPr>
        <w:t xml:space="preserve"> </w:t>
      </w:r>
      <w:r>
        <w:rPr>
          <w:rFonts w:cs="Times New Roman"/>
          <w:szCs w:val="24"/>
          <w:lang w:val="fr-CA"/>
        </w:rPr>
        <w:t>p. </w:t>
      </w:r>
      <w:r w:rsidRPr="00CA4523">
        <w:rPr>
          <w:rFonts w:cs="Times New Roman"/>
          <w:szCs w:val="24"/>
          <w:lang w:val="fr-CA"/>
        </w:rPr>
        <w:t xml:space="preserve">5; </w:t>
      </w:r>
      <w:r w:rsidRPr="00CA4523">
        <w:rPr>
          <w:rFonts w:cs="Times New Roman"/>
          <w:i/>
          <w:szCs w:val="24"/>
          <w:lang w:val="fr-CA"/>
        </w:rPr>
        <w:t>Forest Fibers Inc. c. CSAV Norasia Container Lines Ltd.</w:t>
      </w:r>
      <w:r w:rsidRPr="00CA4523">
        <w:rPr>
          <w:rFonts w:cs="Times New Roman"/>
          <w:szCs w:val="24"/>
          <w:lang w:val="fr-CA"/>
        </w:rPr>
        <w:t xml:space="preserve">, 2007 QCCS 4794, </w:t>
      </w:r>
      <w:r>
        <w:rPr>
          <w:rFonts w:cs="Times New Roman"/>
          <w:szCs w:val="24"/>
          <w:lang w:val="fr-CA"/>
        </w:rPr>
        <w:t>par. </w:t>
      </w:r>
      <w:r w:rsidRPr="00CA4523">
        <w:rPr>
          <w:rFonts w:cs="Times New Roman"/>
          <w:szCs w:val="24"/>
          <w:lang w:val="fr-CA"/>
        </w:rPr>
        <w:t>44</w:t>
      </w:r>
      <w:r>
        <w:rPr>
          <w:rFonts w:cs="Times New Roman"/>
          <w:szCs w:val="24"/>
          <w:lang w:val="fr-CA"/>
        </w:rPr>
        <w:t xml:space="preserve"> (CanLII)</w:t>
      </w:r>
      <w:r w:rsidRPr="00CA4523">
        <w:rPr>
          <w:rFonts w:cs="Times New Roman"/>
          <w:szCs w:val="24"/>
          <w:lang w:val="fr-CA"/>
        </w:rPr>
        <w:t xml:space="preserve">; </w:t>
      </w:r>
      <w:r w:rsidRPr="00CA4523">
        <w:rPr>
          <w:rFonts w:cs="Times New Roman"/>
          <w:i/>
          <w:szCs w:val="24"/>
          <w:lang w:val="fr-CA"/>
        </w:rPr>
        <w:t xml:space="preserve">171486 Canada </w:t>
      </w:r>
      <w:r>
        <w:rPr>
          <w:rFonts w:cs="Times New Roman"/>
          <w:i/>
          <w:szCs w:val="24"/>
          <w:lang w:val="fr-CA"/>
        </w:rPr>
        <w:t>I</w:t>
      </w:r>
      <w:r w:rsidRPr="00CA4523">
        <w:rPr>
          <w:rFonts w:cs="Times New Roman"/>
          <w:i/>
          <w:szCs w:val="24"/>
          <w:lang w:val="fr-CA"/>
        </w:rPr>
        <w:t>nc. c. Rogers Cantel Inc.</w:t>
      </w:r>
      <w:r w:rsidR="00F611A0">
        <w:rPr>
          <w:rFonts w:cs="Times New Roman"/>
          <w:szCs w:val="24"/>
          <w:lang w:val="fr-CA"/>
        </w:rPr>
        <w:t>, [1995] R.D.J. 91</w:t>
      </w:r>
      <w:r w:rsidRPr="00CA4523">
        <w:rPr>
          <w:rFonts w:cs="Times New Roman"/>
          <w:szCs w:val="24"/>
          <w:lang w:val="fr-CA"/>
        </w:rPr>
        <w:t xml:space="preserve"> </w:t>
      </w:r>
      <w:r w:rsidR="00134631" w:rsidRPr="00CA4523">
        <w:rPr>
          <w:rFonts w:cs="Times New Roman"/>
          <w:szCs w:val="24"/>
          <w:lang w:val="fr-CA"/>
        </w:rPr>
        <w:t>(C.S.)</w:t>
      </w:r>
      <w:r w:rsidR="00F611A0">
        <w:rPr>
          <w:rFonts w:cs="Times New Roman"/>
          <w:szCs w:val="24"/>
          <w:lang w:val="fr-CA"/>
        </w:rPr>
        <w:t>,</w:t>
      </w:r>
      <w:r w:rsidR="00134631">
        <w:rPr>
          <w:rFonts w:cs="Times New Roman"/>
          <w:szCs w:val="24"/>
          <w:lang w:val="fr-CA"/>
        </w:rPr>
        <w:t xml:space="preserve"> </w:t>
      </w:r>
      <w:r>
        <w:rPr>
          <w:rFonts w:cs="Times New Roman"/>
          <w:szCs w:val="24"/>
          <w:lang w:val="fr-CA"/>
        </w:rPr>
        <w:t>par. 37</w:t>
      </w:r>
      <w:r w:rsidRPr="00CA4523">
        <w:rPr>
          <w:rFonts w:cs="Times New Roman"/>
          <w:szCs w:val="24"/>
          <w:lang w:val="fr-CA"/>
        </w:rPr>
        <w:t>)</w:t>
      </w:r>
      <w:r>
        <w:rPr>
          <w:rFonts w:cs="Times New Roman"/>
          <w:szCs w:val="24"/>
          <w:lang w:val="fr-CA"/>
        </w:rPr>
        <w:t>.</w:t>
      </w:r>
      <w:r w:rsidRPr="00CA4523">
        <w:rPr>
          <w:rFonts w:cs="Times New Roman"/>
          <w:szCs w:val="24"/>
          <w:lang w:val="fr-CA"/>
        </w:rPr>
        <w:t xml:space="preserve"> Elle doit toutefois être claire (</w:t>
      </w:r>
      <w:r>
        <w:rPr>
          <w:rFonts w:cs="Times New Roman"/>
          <w:i/>
          <w:szCs w:val="24"/>
          <w:lang w:val="fr-CA"/>
        </w:rPr>
        <w:t>Rogers Cantel</w:t>
      </w:r>
      <w:r>
        <w:rPr>
          <w:rFonts w:cs="Times New Roman"/>
          <w:szCs w:val="24"/>
          <w:lang w:val="fr-CA"/>
        </w:rPr>
        <w:t>,</w:t>
      </w:r>
      <w:r w:rsidRPr="00CA4523">
        <w:rPr>
          <w:rFonts w:cs="Times New Roman"/>
          <w:i/>
          <w:szCs w:val="24"/>
          <w:lang w:val="fr-CA"/>
        </w:rPr>
        <w:t xml:space="preserve"> </w:t>
      </w:r>
      <w:r>
        <w:rPr>
          <w:rFonts w:cs="Times New Roman"/>
          <w:szCs w:val="24"/>
          <w:lang w:val="fr-CA"/>
        </w:rPr>
        <w:t>par. 37</w:t>
      </w:r>
      <w:r w:rsidRPr="00CA4523">
        <w:rPr>
          <w:rFonts w:cs="Times New Roman"/>
          <w:szCs w:val="24"/>
          <w:lang w:val="fr-CA"/>
        </w:rPr>
        <w:t xml:space="preserve">; </w:t>
      </w:r>
      <w:r w:rsidRPr="00CA4523">
        <w:rPr>
          <w:rFonts w:cs="Times New Roman"/>
          <w:i/>
          <w:szCs w:val="24"/>
          <w:lang w:val="fr-CA"/>
        </w:rPr>
        <w:t>Forest Fibers</w:t>
      </w:r>
      <w:r w:rsidRPr="00CA4523">
        <w:rPr>
          <w:rFonts w:cs="Times New Roman"/>
          <w:szCs w:val="24"/>
          <w:lang w:val="fr-CA"/>
        </w:rPr>
        <w:t xml:space="preserve">, </w:t>
      </w:r>
      <w:r>
        <w:rPr>
          <w:rFonts w:cs="Times New Roman"/>
          <w:szCs w:val="24"/>
          <w:lang w:val="fr-CA"/>
        </w:rPr>
        <w:t>par. </w:t>
      </w:r>
      <w:r w:rsidRPr="00CA4523">
        <w:rPr>
          <w:rFonts w:cs="Times New Roman"/>
          <w:szCs w:val="24"/>
          <w:lang w:val="fr-CA"/>
        </w:rPr>
        <w:t xml:space="preserve">44; </w:t>
      </w:r>
      <w:r w:rsidRPr="00CA4523">
        <w:rPr>
          <w:rFonts w:cs="Times New Roman"/>
          <w:i/>
          <w:szCs w:val="24"/>
          <w:lang w:val="fr-CA"/>
        </w:rPr>
        <w:lastRenderedPageBreak/>
        <w:t>Conserviera S.p.A. c. Paesana Import</w:t>
      </w:r>
      <w:r>
        <w:rPr>
          <w:rFonts w:cs="Times New Roman"/>
          <w:i/>
          <w:szCs w:val="24"/>
          <w:lang w:val="fr-CA"/>
        </w:rPr>
        <w:noBreakHyphen/>
      </w:r>
      <w:r w:rsidRPr="00CA4523">
        <w:rPr>
          <w:rFonts w:cs="Times New Roman"/>
          <w:i/>
          <w:szCs w:val="24"/>
          <w:lang w:val="fr-CA"/>
        </w:rPr>
        <w:t>Export Inc.</w:t>
      </w:r>
      <w:r w:rsidRPr="00CA4523">
        <w:rPr>
          <w:rFonts w:cs="Times New Roman"/>
          <w:szCs w:val="24"/>
          <w:lang w:val="fr-CA"/>
        </w:rPr>
        <w:t>, 2001 CanLII</w:t>
      </w:r>
      <w:r>
        <w:rPr>
          <w:rFonts w:cs="Times New Roman"/>
          <w:szCs w:val="24"/>
          <w:lang w:val="fr-CA"/>
        </w:rPr>
        <w:t> </w:t>
      </w:r>
      <w:r w:rsidRPr="00CA4523">
        <w:rPr>
          <w:rFonts w:cs="Times New Roman"/>
          <w:szCs w:val="24"/>
          <w:lang w:val="fr-CA"/>
        </w:rPr>
        <w:t>2</w:t>
      </w:r>
      <w:r w:rsidR="00F611A0">
        <w:rPr>
          <w:rFonts w:cs="Times New Roman"/>
          <w:szCs w:val="24"/>
          <w:lang w:val="fr-CA"/>
        </w:rPr>
        <w:t>4802</w:t>
      </w:r>
      <w:r w:rsidR="00134631">
        <w:rPr>
          <w:rFonts w:cs="Times New Roman"/>
          <w:szCs w:val="24"/>
          <w:lang w:val="fr-CA"/>
        </w:rPr>
        <w:t xml:space="preserve"> </w:t>
      </w:r>
      <w:r w:rsidR="00134631" w:rsidRPr="00CA4523">
        <w:rPr>
          <w:rFonts w:cs="Times New Roman"/>
          <w:szCs w:val="24"/>
          <w:lang w:val="fr-CA"/>
        </w:rPr>
        <w:t>(</w:t>
      </w:r>
      <w:r w:rsidR="00134631">
        <w:rPr>
          <w:rFonts w:cs="Times New Roman"/>
          <w:szCs w:val="24"/>
          <w:lang w:val="fr-CA"/>
        </w:rPr>
        <w:t>C.</w:t>
      </w:r>
      <w:r w:rsidR="00134631" w:rsidRPr="00CA4523">
        <w:rPr>
          <w:rFonts w:cs="Times New Roman"/>
          <w:szCs w:val="24"/>
          <w:lang w:val="fr-CA"/>
        </w:rPr>
        <w:t>S</w:t>
      </w:r>
      <w:r w:rsidR="00134631">
        <w:rPr>
          <w:rFonts w:cs="Times New Roman"/>
          <w:szCs w:val="24"/>
          <w:lang w:val="fr-CA"/>
        </w:rPr>
        <w:t>. Qc</w:t>
      </w:r>
      <w:r w:rsidR="00134631" w:rsidRPr="00CA4523">
        <w:rPr>
          <w:rFonts w:cs="Times New Roman"/>
          <w:szCs w:val="24"/>
          <w:lang w:val="fr-CA"/>
        </w:rPr>
        <w:t>)</w:t>
      </w:r>
      <w:r w:rsidR="00F611A0">
        <w:rPr>
          <w:rFonts w:cs="Times New Roman"/>
          <w:szCs w:val="24"/>
          <w:lang w:val="fr-CA"/>
        </w:rPr>
        <w:t>,</w:t>
      </w:r>
      <w:r w:rsidR="00134631">
        <w:rPr>
          <w:rFonts w:cs="Times New Roman"/>
          <w:szCs w:val="24"/>
          <w:lang w:val="fr-CA"/>
        </w:rPr>
        <w:t xml:space="preserve"> </w:t>
      </w:r>
      <w:r>
        <w:rPr>
          <w:rFonts w:cs="Times New Roman"/>
          <w:szCs w:val="24"/>
          <w:lang w:val="fr-CA"/>
        </w:rPr>
        <w:t>par. </w:t>
      </w:r>
      <w:r w:rsidRPr="00CA4523">
        <w:rPr>
          <w:rFonts w:cs="Times New Roman"/>
          <w:szCs w:val="24"/>
          <w:lang w:val="fr-CA"/>
        </w:rPr>
        <w:t>63</w:t>
      </w:r>
      <w:r>
        <w:rPr>
          <w:rFonts w:cs="Times New Roman"/>
          <w:szCs w:val="24"/>
          <w:lang w:val="fr-CA"/>
        </w:rPr>
        <w:noBreakHyphen/>
      </w:r>
      <w:r w:rsidRPr="00CA4523">
        <w:rPr>
          <w:rFonts w:cs="Times New Roman"/>
          <w:szCs w:val="24"/>
          <w:lang w:val="fr-CA"/>
        </w:rPr>
        <w:t xml:space="preserve">64). Le défendeur qui </w:t>
      </w:r>
      <w:r>
        <w:rPr>
          <w:rFonts w:cs="Times New Roman"/>
          <w:szCs w:val="24"/>
          <w:lang w:val="fr-CA"/>
        </w:rPr>
        <w:t>a reconnu</w:t>
      </w:r>
      <w:r w:rsidRPr="00CA4523">
        <w:rPr>
          <w:rFonts w:cs="Times New Roman"/>
          <w:szCs w:val="24"/>
          <w:lang w:val="fr-CA"/>
        </w:rPr>
        <w:t xml:space="preserve"> la </w:t>
      </w:r>
      <w:r w:rsidRPr="00CA4523">
        <w:rPr>
          <w:rFonts w:cs="Times New Roman"/>
          <w:lang w:val="fr-CA"/>
        </w:rPr>
        <w:t>compétence d</w:t>
      </w:r>
      <w:r>
        <w:rPr>
          <w:rFonts w:cs="Times New Roman"/>
          <w:lang w:val="fr-CA"/>
        </w:rPr>
        <w:t>’</w:t>
      </w:r>
      <w:r w:rsidRPr="00CA4523">
        <w:rPr>
          <w:rFonts w:cs="Times New Roman"/>
          <w:lang w:val="fr-CA"/>
        </w:rPr>
        <w:t>un</w:t>
      </w:r>
      <w:r>
        <w:rPr>
          <w:rFonts w:cs="Times New Roman"/>
          <w:lang w:val="fr-CA"/>
        </w:rPr>
        <w:t>e autorité</w:t>
      </w:r>
      <w:r w:rsidRPr="00CA4523">
        <w:rPr>
          <w:rFonts w:cs="Times New Roman"/>
          <w:lang w:val="fr-CA"/>
        </w:rPr>
        <w:t xml:space="preserve"> </w:t>
      </w:r>
      <w:r>
        <w:rPr>
          <w:rFonts w:cs="Times New Roman"/>
          <w:lang w:val="fr-CA"/>
        </w:rPr>
        <w:t xml:space="preserve">étrangère </w:t>
      </w:r>
      <w:r w:rsidRPr="00CA4523">
        <w:rPr>
          <w:rFonts w:cs="Times New Roman"/>
          <w:lang w:val="fr-CA"/>
        </w:rPr>
        <w:t xml:space="preserve">ne peut </w:t>
      </w:r>
      <w:r>
        <w:rPr>
          <w:rFonts w:cs="Times New Roman"/>
          <w:lang w:val="fr-CA"/>
        </w:rPr>
        <w:t xml:space="preserve">pas </w:t>
      </w:r>
      <w:r w:rsidRPr="00CA4523">
        <w:rPr>
          <w:rFonts w:cs="Times New Roman"/>
          <w:lang w:val="fr-CA"/>
        </w:rPr>
        <w:t xml:space="preserve">par la suite retirer son acquiescement à faire trancher le litige par cette autorité. </w:t>
      </w:r>
      <w:r>
        <w:rPr>
          <w:rFonts w:cs="Times New Roman"/>
          <w:lang w:val="fr-CA"/>
        </w:rPr>
        <w:t>P</w:t>
      </w:r>
      <w:r w:rsidRPr="00CA4523">
        <w:rPr>
          <w:rFonts w:cs="Times New Roman"/>
          <w:lang w:val="fr-CA"/>
        </w:rPr>
        <w:t xml:space="preserve">our la bonne administration de la </w:t>
      </w:r>
      <w:r>
        <w:rPr>
          <w:rFonts w:cs="Times New Roman"/>
          <w:lang w:val="fr-CA"/>
        </w:rPr>
        <w:t>justice, i</w:t>
      </w:r>
      <w:r w:rsidRPr="00CA4523">
        <w:rPr>
          <w:rFonts w:cs="Times New Roman"/>
          <w:lang w:val="fr-CA"/>
        </w:rPr>
        <w:t>l est nécessaire que, dès lors que la compétence a été valablement établie, l</w:t>
      </w:r>
      <w:r>
        <w:rPr>
          <w:rFonts w:cs="Times New Roman"/>
          <w:lang w:val="fr-CA"/>
        </w:rPr>
        <w:t>’</w:t>
      </w:r>
      <w:r w:rsidRPr="00CA4523">
        <w:rPr>
          <w:rFonts w:cs="Times New Roman"/>
          <w:lang w:val="fr-CA"/>
        </w:rPr>
        <w:t xml:space="preserve">affaire soit instruite </w:t>
      </w:r>
      <w:r>
        <w:rPr>
          <w:rFonts w:cs="Times New Roman"/>
          <w:lang w:val="fr-CA"/>
        </w:rPr>
        <w:t>par le même for</w:t>
      </w:r>
      <w:r w:rsidRPr="00CA4523">
        <w:rPr>
          <w:rFonts w:cs="Times New Roman"/>
          <w:lang w:val="fr-CA"/>
        </w:rPr>
        <w:t>, indépendamment des caprices des parties.</w:t>
      </w:r>
    </w:p>
    <w:p w:rsidR="00AF6697" w:rsidRPr="00CA4523" w:rsidRDefault="00AF6697" w:rsidP="00AF6697">
      <w:pPr>
        <w:pStyle w:val="ParaNoNdepar-AltN"/>
        <w:rPr>
          <w:rFonts w:cs="Times New Roman"/>
          <w:lang w:val="fr-CA"/>
        </w:rPr>
      </w:pPr>
      <w:r w:rsidRPr="00CA4523">
        <w:rPr>
          <w:rFonts w:cs="Times New Roman"/>
          <w:szCs w:val="24"/>
          <w:lang w:val="fr-CA"/>
        </w:rPr>
        <w:t xml:space="preserve">Le libellé laconique </w:t>
      </w:r>
      <w:r w:rsidR="00DA0AA4">
        <w:rPr>
          <w:rFonts w:cs="Times New Roman"/>
          <w:szCs w:val="24"/>
          <w:lang w:val="fr-CA"/>
        </w:rPr>
        <w:t>du par.</w:t>
      </w:r>
      <w:r>
        <w:rPr>
          <w:rFonts w:cs="Times New Roman"/>
          <w:szCs w:val="24"/>
          <w:lang w:val="fr-CA"/>
        </w:rPr>
        <w:t> </w:t>
      </w:r>
      <w:r w:rsidRPr="00CA4523">
        <w:rPr>
          <w:rFonts w:cs="Times New Roman"/>
          <w:szCs w:val="24"/>
          <w:lang w:val="fr-CA"/>
        </w:rPr>
        <w:t>3168</w:t>
      </w:r>
      <w:r>
        <w:rPr>
          <w:rFonts w:cs="Times New Roman"/>
          <w:szCs w:val="24"/>
          <w:lang w:val="fr-CA"/>
        </w:rPr>
        <w:t>(</w:t>
      </w:r>
      <w:r w:rsidRPr="00CA4523">
        <w:rPr>
          <w:rFonts w:cs="Times New Roman"/>
          <w:szCs w:val="24"/>
          <w:lang w:val="fr-CA"/>
        </w:rPr>
        <w:t>6</w:t>
      </w:r>
      <w:r>
        <w:rPr>
          <w:rFonts w:cs="Times New Roman"/>
          <w:szCs w:val="24"/>
          <w:lang w:val="fr-CA"/>
        </w:rPr>
        <w:t>)</w:t>
      </w:r>
      <w:r w:rsidRPr="00CA4523">
        <w:rPr>
          <w:rFonts w:cs="Times New Roman"/>
          <w:szCs w:val="24"/>
          <w:lang w:val="fr-CA"/>
        </w:rPr>
        <w:t> </w:t>
      </w:r>
      <w:r w:rsidRPr="00CA4523">
        <w:rPr>
          <w:rFonts w:cs="Times New Roman"/>
          <w:lang w:val="fr-CA"/>
        </w:rPr>
        <w:t xml:space="preserve">ne </w:t>
      </w:r>
      <w:r>
        <w:rPr>
          <w:rFonts w:cs="Times New Roman"/>
          <w:lang w:val="fr-CA"/>
        </w:rPr>
        <w:t xml:space="preserve">précise pas ce qu’il faut entendre </w:t>
      </w:r>
      <w:r w:rsidRPr="00F52948">
        <w:rPr>
          <w:rFonts w:cs="Times New Roman"/>
          <w:lang w:val="fr-CA"/>
        </w:rPr>
        <w:t>par la reconnaissance de la compétence et la question</w:t>
      </w:r>
      <w:r w:rsidRPr="00CA4523">
        <w:rPr>
          <w:rFonts w:cs="Times New Roman"/>
          <w:lang w:val="fr-CA"/>
        </w:rPr>
        <w:t xml:space="preserve"> de savoir si certains actes sont assimilables à une reconnaissance divise tant les auteurs que les juges. </w:t>
      </w:r>
      <w:r>
        <w:rPr>
          <w:rFonts w:cs="Times New Roman"/>
          <w:lang w:val="fr-CA"/>
        </w:rPr>
        <w:t>Dans leurs propos, ceux</w:t>
      </w:r>
      <w:r>
        <w:rPr>
          <w:rFonts w:cs="Times New Roman"/>
          <w:lang w:val="fr-CA"/>
        </w:rPr>
        <w:noBreakHyphen/>
        <w:t>ci</w:t>
      </w:r>
      <w:r w:rsidRPr="00CA4523">
        <w:rPr>
          <w:rFonts w:cs="Times New Roman"/>
          <w:lang w:val="fr-CA"/>
        </w:rPr>
        <w:t xml:space="preserve"> s</w:t>
      </w:r>
      <w:r>
        <w:rPr>
          <w:rFonts w:cs="Times New Roman"/>
          <w:lang w:val="fr-CA"/>
        </w:rPr>
        <w:t>’</w:t>
      </w:r>
      <w:r w:rsidRPr="00CA4523">
        <w:rPr>
          <w:rFonts w:cs="Times New Roman"/>
          <w:lang w:val="fr-CA"/>
        </w:rPr>
        <w:t>entendent toutefois sur un point</w:t>
      </w:r>
      <w:r>
        <w:rPr>
          <w:rFonts w:cs="Times New Roman"/>
          <w:lang w:val="fr-CA"/>
        </w:rPr>
        <w:t> :</w:t>
      </w:r>
      <w:r w:rsidRPr="00CA4523">
        <w:rPr>
          <w:rFonts w:cs="Times New Roman"/>
          <w:lang w:val="fr-CA"/>
        </w:rPr>
        <w:t xml:space="preserve"> il existe une confusion persistante, notamment en ce qui concerne la norme applicable dans les </w:t>
      </w:r>
      <w:r w:rsidRPr="00CA4523">
        <w:rPr>
          <w:rFonts w:cs="Times New Roman"/>
          <w:szCs w:val="24"/>
          <w:lang w:val="fr-CA"/>
        </w:rPr>
        <w:t>situations où le défendeur invoque devant le tribunal à la fois des moyens déclinatoires et des moyens qui ne concernent pas la compétence (Goldstein</w:t>
      </w:r>
      <w:r>
        <w:rPr>
          <w:rFonts w:cs="Times New Roman"/>
          <w:szCs w:val="24"/>
          <w:lang w:val="fr-CA"/>
        </w:rPr>
        <w:t> (</w:t>
      </w:r>
      <w:r w:rsidRPr="00CA4523">
        <w:rPr>
          <w:rFonts w:cs="Times New Roman"/>
          <w:szCs w:val="24"/>
          <w:lang w:val="fr-CA"/>
        </w:rPr>
        <w:t>201</w:t>
      </w:r>
      <w:r>
        <w:rPr>
          <w:rFonts w:cs="Times New Roman"/>
          <w:szCs w:val="24"/>
          <w:lang w:val="fr-CA"/>
        </w:rPr>
        <w:t>2)</w:t>
      </w:r>
      <w:r w:rsidRPr="00CA4523">
        <w:rPr>
          <w:rFonts w:cs="Times New Roman"/>
          <w:szCs w:val="24"/>
          <w:lang w:val="fr-CA"/>
        </w:rPr>
        <w:t xml:space="preserve">, </w:t>
      </w:r>
      <w:r>
        <w:rPr>
          <w:rFonts w:cs="Times New Roman"/>
          <w:szCs w:val="24"/>
          <w:lang w:val="fr-CA"/>
        </w:rPr>
        <w:t>par. </w:t>
      </w:r>
      <w:r w:rsidRPr="00CA4523">
        <w:rPr>
          <w:rFonts w:cs="Times New Roman"/>
          <w:szCs w:val="24"/>
          <w:lang w:val="fr-CA"/>
        </w:rPr>
        <w:t>3</w:t>
      </w:r>
      <w:r>
        <w:rPr>
          <w:rFonts w:cs="Times New Roman"/>
          <w:szCs w:val="24"/>
          <w:lang w:val="fr-CA"/>
        </w:rPr>
        <w:t>168 </w:t>
      </w:r>
      <w:r w:rsidRPr="00CA4523">
        <w:rPr>
          <w:rFonts w:cs="Times New Roman"/>
          <w:szCs w:val="24"/>
          <w:lang w:val="fr-CA"/>
        </w:rPr>
        <w:t>590; Talpis</w:t>
      </w:r>
      <w:r w:rsidR="00BB6471">
        <w:rPr>
          <w:rFonts w:cs="Times New Roman"/>
          <w:szCs w:val="24"/>
          <w:lang w:val="fr-CA"/>
        </w:rPr>
        <w:t xml:space="preserve"> (2001)</w:t>
      </w:r>
      <w:r w:rsidRPr="00CA4523">
        <w:rPr>
          <w:rFonts w:cs="Times New Roman"/>
          <w:szCs w:val="24"/>
          <w:lang w:val="fr-CA"/>
        </w:rPr>
        <w:t xml:space="preserve">, </w:t>
      </w:r>
      <w:r>
        <w:rPr>
          <w:rFonts w:cs="Times New Roman"/>
          <w:szCs w:val="24"/>
          <w:lang w:val="fr-CA"/>
        </w:rPr>
        <w:t>p. </w:t>
      </w:r>
      <w:r w:rsidRPr="00CA4523">
        <w:rPr>
          <w:rFonts w:cs="Times New Roman"/>
          <w:szCs w:val="24"/>
          <w:lang w:val="fr-CA"/>
        </w:rPr>
        <w:t>113; Goldstein,</w:t>
      </w:r>
      <w:r>
        <w:rPr>
          <w:rFonts w:cs="Times New Roman"/>
          <w:szCs w:val="24"/>
          <w:lang w:val="fr-CA"/>
        </w:rPr>
        <w:t xml:space="preserve"> fasc. 11</w:t>
      </w:r>
      <w:r w:rsidRPr="00CA4523">
        <w:rPr>
          <w:rFonts w:cs="Times New Roman"/>
          <w:szCs w:val="24"/>
          <w:lang w:val="fr-CA"/>
        </w:rPr>
        <w:t xml:space="preserve">, </w:t>
      </w:r>
      <w:r>
        <w:rPr>
          <w:rFonts w:cs="Times New Roman"/>
          <w:szCs w:val="24"/>
          <w:lang w:val="fr-CA"/>
        </w:rPr>
        <w:t>par. </w:t>
      </w:r>
      <w:r w:rsidRPr="00CA4523">
        <w:rPr>
          <w:rFonts w:cs="Times New Roman"/>
          <w:szCs w:val="24"/>
          <w:lang w:val="fr-CA"/>
        </w:rPr>
        <w:t xml:space="preserve">29; Goldstein </w:t>
      </w:r>
      <w:r>
        <w:rPr>
          <w:rFonts w:cs="Times New Roman"/>
          <w:szCs w:val="24"/>
          <w:lang w:val="fr-CA"/>
        </w:rPr>
        <w:t>et</w:t>
      </w:r>
      <w:r w:rsidRPr="00CA4523">
        <w:rPr>
          <w:rFonts w:cs="Times New Roman"/>
          <w:szCs w:val="24"/>
          <w:lang w:val="fr-CA"/>
        </w:rPr>
        <w:t xml:space="preserve"> Groffier, </w:t>
      </w:r>
      <w:r>
        <w:rPr>
          <w:rFonts w:cs="Times New Roman"/>
          <w:szCs w:val="24"/>
          <w:lang w:val="fr-CA"/>
        </w:rPr>
        <w:t>n</w:t>
      </w:r>
      <w:r w:rsidRPr="00B64350">
        <w:rPr>
          <w:rFonts w:cs="Times New Roman"/>
          <w:szCs w:val="24"/>
          <w:vertAlign w:val="superscript"/>
          <w:lang w:val="fr-CA"/>
        </w:rPr>
        <w:t>o</w:t>
      </w:r>
      <w:r w:rsidRPr="00CA4523">
        <w:rPr>
          <w:rFonts w:cs="Times New Roman"/>
          <w:szCs w:val="24"/>
          <w:lang w:val="fr-CA"/>
        </w:rPr>
        <w:t xml:space="preserve"> 183; </w:t>
      </w:r>
      <w:r w:rsidRPr="00CA4523">
        <w:rPr>
          <w:rFonts w:cs="Times New Roman"/>
          <w:i/>
          <w:szCs w:val="24"/>
          <w:lang w:val="fr-CA"/>
        </w:rPr>
        <w:t>Cortas Canning</w:t>
      </w:r>
      <w:r w:rsidRPr="00B64350">
        <w:rPr>
          <w:rFonts w:cs="Times New Roman"/>
          <w:szCs w:val="24"/>
          <w:lang w:val="fr-CA"/>
        </w:rPr>
        <w:t>,</w:t>
      </w:r>
      <w:r w:rsidRPr="00CA4523">
        <w:rPr>
          <w:rFonts w:cs="Times New Roman"/>
          <w:i/>
          <w:szCs w:val="24"/>
          <w:lang w:val="fr-CA"/>
        </w:rPr>
        <w:t xml:space="preserve"> </w:t>
      </w:r>
      <w:r>
        <w:rPr>
          <w:rFonts w:cs="Times New Roman"/>
          <w:szCs w:val="24"/>
          <w:lang w:val="fr-CA"/>
        </w:rPr>
        <w:t>p. 1241</w:t>
      </w:r>
      <w:r>
        <w:rPr>
          <w:rFonts w:cs="Times New Roman"/>
          <w:szCs w:val="24"/>
          <w:lang w:val="fr-CA"/>
        </w:rPr>
        <w:noBreakHyphen/>
        <w:t>1242</w:t>
      </w:r>
      <w:r w:rsidRPr="00CA4523">
        <w:rPr>
          <w:rFonts w:cs="Times New Roman"/>
          <w:szCs w:val="24"/>
          <w:lang w:val="fr-CA"/>
        </w:rPr>
        <w:t>).</w:t>
      </w:r>
      <w:r w:rsidRPr="00CA4523">
        <w:rPr>
          <w:rFonts w:cs="Times New Roman"/>
          <w:lang w:val="fr-CA"/>
        </w:rPr>
        <w:t xml:space="preserve"> Pour </w:t>
      </w:r>
      <w:r>
        <w:rPr>
          <w:rFonts w:cs="Times New Roman"/>
          <w:lang w:val="fr-CA"/>
        </w:rPr>
        <w:t>jug</w:t>
      </w:r>
      <w:r w:rsidRPr="00CA4523">
        <w:rPr>
          <w:rFonts w:cs="Times New Roman"/>
          <w:lang w:val="fr-CA"/>
        </w:rPr>
        <w:t xml:space="preserve">er si M. Barer </w:t>
      </w:r>
      <w:r>
        <w:rPr>
          <w:rFonts w:cs="Times New Roman"/>
          <w:lang w:val="fr-CA"/>
        </w:rPr>
        <w:t xml:space="preserve">a </w:t>
      </w:r>
      <w:r w:rsidRPr="00CA4523">
        <w:rPr>
          <w:rFonts w:cs="Times New Roman"/>
          <w:lang w:val="fr-CA"/>
        </w:rPr>
        <w:t xml:space="preserve">effectivement </w:t>
      </w:r>
      <w:r>
        <w:rPr>
          <w:rFonts w:cs="Times New Roman"/>
          <w:lang w:val="fr-CA"/>
        </w:rPr>
        <w:t>reconnu</w:t>
      </w:r>
      <w:r w:rsidRPr="00CA4523">
        <w:rPr>
          <w:rFonts w:cs="Times New Roman"/>
          <w:lang w:val="fr-CA"/>
        </w:rPr>
        <w:t xml:space="preserve"> la compétence du tribunal de l</w:t>
      </w:r>
      <w:r>
        <w:rPr>
          <w:rFonts w:cs="Times New Roman"/>
          <w:lang w:val="fr-CA"/>
        </w:rPr>
        <w:t>’</w:t>
      </w:r>
      <w:r w:rsidRPr="00CA4523">
        <w:rPr>
          <w:rFonts w:cs="Times New Roman"/>
          <w:lang w:val="fr-CA"/>
        </w:rPr>
        <w:t>Utah, il y a donc lieu de se pencher sur l</w:t>
      </w:r>
      <w:r>
        <w:rPr>
          <w:rFonts w:cs="Times New Roman"/>
          <w:lang w:val="fr-CA"/>
        </w:rPr>
        <w:t>’</w:t>
      </w:r>
      <w:r w:rsidRPr="00CA4523">
        <w:rPr>
          <w:rFonts w:cs="Times New Roman"/>
          <w:lang w:val="fr-CA"/>
        </w:rPr>
        <w:t>historique législatif à l</w:t>
      </w:r>
      <w:r>
        <w:rPr>
          <w:rFonts w:cs="Times New Roman"/>
          <w:lang w:val="fr-CA"/>
        </w:rPr>
        <w:t>’</w:t>
      </w:r>
      <w:r w:rsidRPr="00CA4523">
        <w:rPr>
          <w:rFonts w:cs="Times New Roman"/>
          <w:lang w:val="fr-CA"/>
        </w:rPr>
        <w:t>origine de l</w:t>
      </w:r>
      <w:r>
        <w:rPr>
          <w:rFonts w:cs="Times New Roman"/>
          <w:lang w:val="fr-CA"/>
        </w:rPr>
        <w:t>’</w:t>
      </w:r>
      <w:r w:rsidRPr="00CA4523">
        <w:rPr>
          <w:rFonts w:cs="Times New Roman"/>
          <w:lang w:val="fr-CA"/>
        </w:rPr>
        <w:t xml:space="preserve">adoption du texte actuel </w:t>
      </w:r>
      <w:r w:rsidR="00DA0AA4">
        <w:rPr>
          <w:rFonts w:cs="Times New Roman"/>
          <w:lang w:val="fr-CA"/>
        </w:rPr>
        <w:t>du par</w:t>
      </w:r>
      <w:r>
        <w:rPr>
          <w:rFonts w:cs="Times New Roman"/>
          <w:lang w:val="fr-CA"/>
        </w:rPr>
        <w:t>. </w:t>
      </w:r>
      <w:r w:rsidRPr="00CA4523">
        <w:rPr>
          <w:rFonts w:cs="Times New Roman"/>
          <w:lang w:val="fr-CA"/>
        </w:rPr>
        <w:t>3168</w:t>
      </w:r>
      <w:r>
        <w:rPr>
          <w:rFonts w:cs="Times New Roman"/>
          <w:lang w:val="fr-CA"/>
        </w:rPr>
        <w:t>(</w:t>
      </w:r>
      <w:r w:rsidRPr="00CA4523">
        <w:rPr>
          <w:rFonts w:cs="Times New Roman"/>
          <w:lang w:val="fr-CA"/>
        </w:rPr>
        <w:t>6</w:t>
      </w:r>
      <w:r>
        <w:rPr>
          <w:rFonts w:cs="Times New Roman"/>
          <w:lang w:val="fr-CA"/>
        </w:rPr>
        <w:t>)</w:t>
      </w:r>
      <w:r w:rsidRPr="00CA4523">
        <w:rPr>
          <w:rFonts w:cs="Times New Roman"/>
          <w:lang w:val="fr-CA"/>
        </w:rPr>
        <w:t> </w:t>
      </w:r>
      <w:r w:rsidRPr="00CA4523">
        <w:rPr>
          <w:rFonts w:cs="Times New Roman"/>
          <w:i/>
          <w:lang w:val="fr-CA"/>
        </w:rPr>
        <w:t>C.c.Q.</w:t>
      </w:r>
      <w:r w:rsidRPr="00CA4523">
        <w:rPr>
          <w:rFonts w:cs="Times New Roman"/>
          <w:lang w:val="fr-CA"/>
        </w:rPr>
        <w:t xml:space="preserve"> et d</w:t>
      </w:r>
      <w:r>
        <w:rPr>
          <w:rFonts w:cs="Times New Roman"/>
          <w:lang w:val="fr-CA"/>
        </w:rPr>
        <w:t>’</w:t>
      </w:r>
      <w:r w:rsidRPr="00CA4523">
        <w:rPr>
          <w:rFonts w:cs="Times New Roman"/>
          <w:lang w:val="fr-CA"/>
        </w:rPr>
        <w:t xml:space="preserve">analyser les opinions doctrinales et jurisprudentielles </w:t>
      </w:r>
      <w:r>
        <w:rPr>
          <w:rFonts w:cs="Times New Roman"/>
          <w:lang w:val="fr-CA"/>
        </w:rPr>
        <w:t>relatives aux</w:t>
      </w:r>
      <w:r w:rsidRPr="00CA4523">
        <w:rPr>
          <w:rFonts w:cs="Times New Roman"/>
          <w:lang w:val="fr-CA"/>
        </w:rPr>
        <w:t xml:space="preserve"> moyens de défense sur le fond </w:t>
      </w:r>
      <w:r>
        <w:rPr>
          <w:rFonts w:cs="Times New Roman"/>
          <w:lang w:val="fr-CA"/>
        </w:rPr>
        <w:t>susceptibles d’</w:t>
      </w:r>
      <w:r w:rsidRPr="00CA4523">
        <w:rPr>
          <w:rFonts w:cs="Times New Roman"/>
          <w:lang w:val="fr-CA"/>
        </w:rPr>
        <w:t>emporte</w:t>
      </w:r>
      <w:r>
        <w:rPr>
          <w:rFonts w:cs="Times New Roman"/>
          <w:lang w:val="fr-CA"/>
        </w:rPr>
        <w:t>r</w:t>
      </w:r>
      <w:r w:rsidRPr="00CA4523">
        <w:rPr>
          <w:rFonts w:cs="Times New Roman"/>
          <w:lang w:val="fr-CA"/>
        </w:rPr>
        <w:t xml:space="preserve"> reconnaissance de la compétence lorsque celle</w:t>
      </w:r>
      <w:r>
        <w:rPr>
          <w:rFonts w:cs="Times New Roman"/>
          <w:lang w:val="fr-CA"/>
        </w:rPr>
        <w:noBreakHyphen/>
      </w:r>
      <w:r w:rsidRPr="00CA4523">
        <w:rPr>
          <w:rFonts w:cs="Times New Roman"/>
          <w:lang w:val="fr-CA"/>
        </w:rPr>
        <w:t>ci est également contestée.</w:t>
      </w:r>
    </w:p>
    <w:p w:rsidR="00AF6697" w:rsidRPr="00134631" w:rsidRDefault="00AF6697" w:rsidP="004411A2">
      <w:pPr>
        <w:pStyle w:val="Title4LevelTitre4Niveau"/>
        <w:numPr>
          <w:ilvl w:val="3"/>
          <w:numId w:val="1"/>
        </w:numPr>
        <w:tabs>
          <w:tab w:val="num" w:pos="900"/>
          <w:tab w:val="right" w:pos="1170"/>
        </w:tabs>
        <w:ind w:hanging="720"/>
        <w:rPr>
          <w:lang w:val="fr-CA"/>
        </w:rPr>
      </w:pPr>
      <w:r w:rsidRPr="00134631">
        <w:rPr>
          <w:lang w:val="fr-CA"/>
        </w:rPr>
        <w:t>Historique législatif de l’art</w:t>
      </w:r>
      <w:r w:rsidR="004411A2">
        <w:rPr>
          <w:lang w:val="fr-CA"/>
        </w:rPr>
        <w:t>.</w:t>
      </w:r>
      <w:r w:rsidRPr="00134631">
        <w:rPr>
          <w:lang w:val="fr-CA"/>
        </w:rPr>
        <w:t> 3168 C.c.Q.</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L</w:t>
      </w:r>
      <w:r w:rsidR="00DA0AA4">
        <w:rPr>
          <w:rFonts w:cs="Times New Roman"/>
          <w:lang w:val="fr-CA"/>
        </w:rPr>
        <w:t xml:space="preserve">e paragraphe </w:t>
      </w:r>
      <w:r w:rsidRPr="00CA4523">
        <w:rPr>
          <w:rFonts w:cs="Times New Roman"/>
          <w:lang w:val="fr-CA"/>
        </w:rPr>
        <w:t>3168</w:t>
      </w:r>
      <w:r>
        <w:rPr>
          <w:rFonts w:cs="Times New Roman"/>
          <w:lang w:val="fr-CA"/>
        </w:rPr>
        <w:t>(</w:t>
      </w:r>
      <w:r w:rsidRPr="00CA4523">
        <w:rPr>
          <w:rFonts w:cs="Times New Roman"/>
          <w:lang w:val="fr-CA"/>
        </w:rPr>
        <w:t>6</w:t>
      </w:r>
      <w:r>
        <w:rPr>
          <w:rFonts w:cs="Times New Roman"/>
          <w:lang w:val="fr-CA"/>
        </w:rPr>
        <w:t>)</w:t>
      </w:r>
      <w:r w:rsidRPr="00CA4523">
        <w:rPr>
          <w:rFonts w:cs="Times New Roman"/>
          <w:lang w:val="fr-CA"/>
        </w:rPr>
        <w:t xml:space="preserve"> </w:t>
      </w:r>
      <w:r w:rsidRPr="00CA4523">
        <w:rPr>
          <w:rFonts w:cs="Times New Roman"/>
          <w:i/>
          <w:lang w:val="fr-CA"/>
        </w:rPr>
        <w:t xml:space="preserve">C.c.Q. </w:t>
      </w:r>
      <w:r w:rsidRPr="00CA4523">
        <w:rPr>
          <w:rFonts w:cs="Times New Roman"/>
          <w:lang w:val="fr-CA"/>
        </w:rPr>
        <w:t>est l</w:t>
      </w:r>
      <w:r>
        <w:rPr>
          <w:rFonts w:cs="Times New Roman"/>
          <w:lang w:val="fr-CA"/>
        </w:rPr>
        <w:t>’</w:t>
      </w:r>
      <w:r w:rsidRPr="00CA4523">
        <w:rPr>
          <w:rFonts w:cs="Times New Roman"/>
          <w:lang w:val="fr-CA"/>
        </w:rPr>
        <w:t>aboutissement d</w:t>
      </w:r>
      <w:r>
        <w:rPr>
          <w:rFonts w:cs="Times New Roman"/>
          <w:lang w:val="fr-CA"/>
        </w:rPr>
        <w:t>’</w:t>
      </w:r>
      <w:r w:rsidRPr="00CA4523">
        <w:rPr>
          <w:rFonts w:cs="Times New Roman"/>
          <w:lang w:val="fr-CA"/>
        </w:rPr>
        <w:t xml:space="preserve">un long processus de consultation et de réflexion </w:t>
      </w:r>
      <w:r>
        <w:rPr>
          <w:rFonts w:cs="Times New Roman"/>
          <w:lang w:val="fr-CA"/>
        </w:rPr>
        <w:t>mené</w:t>
      </w:r>
      <w:r w:rsidRPr="00CA4523">
        <w:rPr>
          <w:rFonts w:cs="Times New Roman"/>
          <w:lang w:val="fr-CA"/>
        </w:rPr>
        <w:t xml:space="preserve"> par le législateur québécois. En 1975, l</w:t>
      </w:r>
      <w:r>
        <w:rPr>
          <w:rFonts w:cs="Times New Roman"/>
          <w:lang w:val="fr-CA"/>
        </w:rPr>
        <w:t>’</w:t>
      </w:r>
      <w:r w:rsidRPr="00CA4523">
        <w:rPr>
          <w:rFonts w:cs="Times New Roman"/>
          <w:lang w:val="fr-CA"/>
        </w:rPr>
        <w:t xml:space="preserve">Office de révision du Code civil a soumis au législateur une première version de ce qui devait </w:t>
      </w:r>
      <w:r w:rsidR="005D1F4B">
        <w:rPr>
          <w:rFonts w:cs="Times New Roman"/>
          <w:lang w:val="fr-CA"/>
        </w:rPr>
        <w:lastRenderedPageBreak/>
        <w:t>devenir le l</w:t>
      </w:r>
      <w:r w:rsidRPr="00CA4523">
        <w:rPr>
          <w:rFonts w:cs="Times New Roman"/>
          <w:lang w:val="fr-CA"/>
        </w:rPr>
        <w:t xml:space="preserve">ivre dixième du </w:t>
      </w:r>
      <w:r w:rsidRPr="00CA4523">
        <w:rPr>
          <w:rFonts w:cs="Times New Roman"/>
          <w:i/>
          <w:lang w:val="fr-CA"/>
        </w:rPr>
        <w:t>Code civil</w:t>
      </w:r>
      <w:r w:rsidRPr="00CA4523">
        <w:rPr>
          <w:rFonts w:cs="Times New Roman"/>
          <w:lang w:val="fr-CA"/>
        </w:rPr>
        <w:t xml:space="preserve"> consacré au droit international privé. Le projet d</w:t>
      </w:r>
      <w:r>
        <w:rPr>
          <w:rFonts w:cs="Times New Roman"/>
          <w:lang w:val="fr-CA"/>
        </w:rPr>
        <w:t>’</w:t>
      </w:r>
      <w:r w:rsidRPr="00CA4523">
        <w:rPr>
          <w:rFonts w:cs="Times New Roman"/>
          <w:lang w:val="fr-CA"/>
        </w:rPr>
        <w:t xml:space="preserve">article concernant la reconnaissance de la compétence des tribunaux étrangers décrivait en détail les actes qui </w:t>
      </w:r>
      <w:r>
        <w:rPr>
          <w:rFonts w:cs="Times New Roman"/>
          <w:lang w:val="fr-CA"/>
        </w:rPr>
        <w:t>pourraient constituer</w:t>
      </w:r>
      <w:r w:rsidRPr="00CA4523">
        <w:rPr>
          <w:rFonts w:cs="Times New Roman"/>
          <w:lang w:val="fr-CA"/>
        </w:rPr>
        <w:t xml:space="preserve"> une </w:t>
      </w:r>
      <w:r>
        <w:rPr>
          <w:rFonts w:cs="Times New Roman"/>
          <w:lang w:val="fr-CA"/>
        </w:rPr>
        <w:t xml:space="preserve">telle </w:t>
      </w:r>
      <w:r w:rsidRPr="00CA4523">
        <w:rPr>
          <w:rFonts w:cs="Times New Roman"/>
          <w:lang w:val="fr-CA"/>
        </w:rPr>
        <w:t>reconnaissance</w:t>
      </w:r>
      <w:r>
        <w:rPr>
          <w:rFonts w:cs="Times New Roman"/>
          <w:lang w:val="fr-CA"/>
        </w:rPr>
        <w:t> :</w:t>
      </w:r>
      <w:r w:rsidRPr="00CA4523">
        <w:rPr>
          <w:rFonts w:cs="Times New Roman"/>
          <w:lang w:val="fr-CA"/>
        </w:rPr>
        <w:t xml:space="preserve"> </w:t>
      </w:r>
    </w:p>
    <w:p w:rsidR="00AF6697" w:rsidRDefault="00AF6697" w:rsidP="00AF6697">
      <w:pPr>
        <w:pStyle w:val="Citation-AltC"/>
        <w:spacing w:after="0"/>
        <w:ind w:left="1134" w:hanging="1134"/>
        <w:contextualSpacing w:val="0"/>
        <w:rPr>
          <w:szCs w:val="24"/>
          <w:u w:val="single"/>
          <w:lang w:val="fr-CA"/>
        </w:rPr>
      </w:pPr>
      <w:r w:rsidRPr="004B1126">
        <w:rPr>
          <w:szCs w:val="24"/>
          <w:lang w:val="fr-CA"/>
        </w:rPr>
        <w:tab/>
      </w:r>
      <w:r w:rsidRPr="004B1126">
        <w:rPr>
          <w:u w:val="single"/>
          <w:lang w:val="fr-CA"/>
        </w:rPr>
        <w:t>Article</w:t>
      </w:r>
      <w:r>
        <w:rPr>
          <w:szCs w:val="24"/>
          <w:u w:val="single"/>
          <w:lang w:val="fr-CA"/>
        </w:rPr>
        <w:t> </w:t>
      </w:r>
      <w:r w:rsidRPr="00B64350">
        <w:rPr>
          <w:szCs w:val="24"/>
          <w:u w:val="single"/>
          <w:lang w:val="fr-CA"/>
        </w:rPr>
        <w:t>63</w:t>
      </w:r>
    </w:p>
    <w:p w:rsidR="00DA0AA4" w:rsidRPr="00B64350" w:rsidRDefault="00DA0AA4" w:rsidP="00AF6697">
      <w:pPr>
        <w:pStyle w:val="Citation-AltC"/>
        <w:spacing w:after="0"/>
        <w:ind w:left="1134" w:hanging="1134"/>
        <w:contextualSpacing w:val="0"/>
        <w:rPr>
          <w:szCs w:val="24"/>
          <w:u w:val="single"/>
          <w:lang w:val="fr-CA"/>
        </w:rPr>
      </w:pPr>
    </w:p>
    <w:p w:rsidR="00AF6697" w:rsidRDefault="00AF6697" w:rsidP="002962ED">
      <w:pPr>
        <w:pStyle w:val="Citation-AltC"/>
        <w:tabs>
          <w:tab w:val="left" w:pos="1530"/>
        </w:tabs>
        <w:spacing w:after="240"/>
        <w:ind w:left="1134" w:hanging="1134"/>
        <w:contextualSpacing w:val="0"/>
        <w:rPr>
          <w:szCs w:val="24"/>
          <w:lang w:val="fr-CA"/>
        </w:rPr>
      </w:pPr>
      <w:r>
        <w:rPr>
          <w:szCs w:val="24"/>
          <w:lang w:val="fr-CA"/>
        </w:rPr>
        <w:tab/>
      </w:r>
      <w:r w:rsidR="002962ED">
        <w:rPr>
          <w:szCs w:val="24"/>
          <w:lang w:val="fr-CA"/>
        </w:rPr>
        <w:tab/>
      </w:r>
      <w:r w:rsidRPr="00CA4523">
        <w:rPr>
          <w:szCs w:val="24"/>
          <w:lang w:val="fr-CA"/>
        </w:rPr>
        <w:t>Le tribunal d</w:t>
      </w:r>
      <w:r>
        <w:rPr>
          <w:szCs w:val="24"/>
          <w:lang w:val="fr-CA"/>
        </w:rPr>
        <w:t>’</w:t>
      </w:r>
      <w:r w:rsidRPr="00CA4523">
        <w:rPr>
          <w:szCs w:val="24"/>
          <w:lang w:val="fr-CA"/>
        </w:rPr>
        <w:t xml:space="preserve">origine est considéré comme compétent dans les cas </w:t>
      </w:r>
      <w:r w:rsidRPr="004B1126">
        <w:rPr>
          <w:lang w:val="fr-CA"/>
        </w:rPr>
        <w:t>suivants</w:t>
      </w:r>
      <w:r>
        <w:rPr>
          <w:szCs w:val="24"/>
          <w:lang w:val="fr-CA"/>
        </w:rPr>
        <w:t> :</w:t>
      </w:r>
    </w:p>
    <w:p w:rsidR="00AF6697" w:rsidRDefault="00AF6697" w:rsidP="00AF6697">
      <w:pPr>
        <w:pStyle w:val="Citation-AltC"/>
        <w:spacing w:after="240"/>
        <w:ind w:hanging="1166"/>
        <w:contextualSpacing w:val="0"/>
        <w:jc w:val="center"/>
        <w:rPr>
          <w:szCs w:val="24"/>
          <w:lang w:val="fr-CA"/>
        </w:rPr>
      </w:pPr>
      <w:r>
        <w:rPr>
          <w:szCs w:val="24"/>
          <w:lang w:val="fr-CA"/>
        </w:rPr>
        <w:tab/>
      </w:r>
      <w:r w:rsidRPr="0020239F">
        <w:rPr>
          <w:szCs w:val="24"/>
          <w:lang w:val="fr-CA"/>
        </w:rPr>
        <w:t>. . .</w:t>
      </w:r>
    </w:p>
    <w:p w:rsidR="00AF6697" w:rsidRDefault="00AF6697" w:rsidP="00AF6697">
      <w:pPr>
        <w:pStyle w:val="Citation-AltC"/>
        <w:spacing w:after="240"/>
        <w:ind w:left="1134" w:hanging="1134"/>
        <w:contextualSpacing w:val="0"/>
        <w:rPr>
          <w:lang w:val="fr-CA"/>
        </w:rPr>
      </w:pPr>
      <w:r>
        <w:rPr>
          <w:szCs w:val="24"/>
          <w:lang w:val="fr-CA"/>
        </w:rPr>
        <w:tab/>
        <w:t>6. </w:t>
      </w:r>
      <w:r w:rsidRPr="00CA4523">
        <w:rPr>
          <w:lang w:val="fr-CA"/>
        </w:rPr>
        <w:t xml:space="preserve">lorsque le défendeur a </w:t>
      </w:r>
      <w:r w:rsidRPr="00CA4523">
        <w:rPr>
          <w:u w:val="single"/>
          <w:lang w:val="fr-CA"/>
        </w:rPr>
        <w:t xml:space="preserve">procédé au fond </w:t>
      </w:r>
      <w:r w:rsidRPr="00CA4523">
        <w:rPr>
          <w:i/>
          <w:u w:val="single"/>
          <w:lang w:val="fr-CA"/>
        </w:rPr>
        <w:t>sans</w:t>
      </w:r>
      <w:r w:rsidRPr="00CA4523">
        <w:rPr>
          <w:u w:val="single"/>
          <w:lang w:val="fr-CA"/>
        </w:rPr>
        <w:t xml:space="preserve"> décliner la compétence du tribunal d</w:t>
      </w:r>
      <w:r>
        <w:rPr>
          <w:u w:val="single"/>
          <w:lang w:val="fr-CA"/>
        </w:rPr>
        <w:t>’</w:t>
      </w:r>
      <w:r w:rsidRPr="00CA4523">
        <w:rPr>
          <w:u w:val="single"/>
          <w:lang w:val="fr-CA"/>
        </w:rPr>
        <w:t>origine ou faire de réserve sur ce point</w:t>
      </w:r>
      <w:r w:rsidRPr="00CA4523">
        <w:rPr>
          <w:lang w:val="fr-CA"/>
        </w:rPr>
        <w:t>; toutefois, cette compétence ne sera pas reconnue si le défendeur a procédé au fond pour s</w:t>
      </w:r>
      <w:r>
        <w:rPr>
          <w:lang w:val="fr-CA"/>
        </w:rPr>
        <w:t>’</w:t>
      </w:r>
      <w:r w:rsidRPr="00CA4523">
        <w:rPr>
          <w:lang w:val="fr-CA"/>
        </w:rPr>
        <w:t>opposer à une saisie ou en obtenir la mainlevée, ou si le droit du Québec accorde dans ce cas compétence exclusive à ses tribunaux;</w:t>
      </w:r>
    </w:p>
    <w:p w:rsidR="00AF6697" w:rsidRDefault="00AF6697" w:rsidP="00AF6697">
      <w:pPr>
        <w:pStyle w:val="Citation-AltC"/>
        <w:spacing w:after="240"/>
        <w:ind w:hanging="1166"/>
        <w:contextualSpacing w:val="0"/>
        <w:jc w:val="center"/>
        <w:rPr>
          <w:lang w:val="fr-CA"/>
        </w:rPr>
      </w:pPr>
      <w:r>
        <w:rPr>
          <w:lang w:val="fr-CA"/>
        </w:rPr>
        <w:tab/>
        <w:t>. . .</w:t>
      </w:r>
    </w:p>
    <w:p w:rsidR="00AF6697" w:rsidRPr="00CA4523" w:rsidRDefault="00AF6697" w:rsidP="004411A2">
      <w:pPr>
        <w:pStyle w:val="Citation-AltC"/>
        <w:ind w:left="0" w:hanging="1166"/>
        <w:rPr>
          <w:lang w:val="fr-CA"/>
        </w:rPr>
      </w:pPr>
      <w:r>
        <w:rPr>
          <w:lang w:val="fr-CA"/>
        </w:rPr>
        <w:tab/>
      </w:r>
      <w:r w:rsidRPr="00CA4523">
        <w:rPr>
          <w:lang w:val="fr-CA"/>
        </w:rPr>
        <w:t>(Office de révision du Code civil</w:t>
      </w:r>
      <w:r>
        <w:rPr>
          <w:lang w:val="fr-CA"/>
        </w:rPr>
        <w:t>,</w:t>
      </w:r>
      <w:r w:rsidRPr="00CA4523">
        <w:rPr>
          <w:lang w:val="fr-CA"/>
        </w:rPr>
        <w:t xml:space="preserve"> </w:t>
      </w:r>
      <w:r w:rsidRPr="00CA4523">
        <w:rPr>
          <w:i/>
          <w:lang w:val="fr-CA"/>
        </w:rPr>
        <w:t xml:space="preserve">Rapport </w:t>
      </w:r>
      <w:r w:rsidR="004411A2">
        <w:rPr>
          <w:i/>
          <w:lang w:val="fr-CA"/>
        </w:rPr>
        <w:t>sur le droit international privé</w:t>
      </w:r>
      <w:r>
        <w:rPr>
          <w:lang w:val="fr-CA"/>
        </w:rPr>
        <w:t xml:space="preserve"> (</w:t>
      </w:r>
      <w:r w:rsidRPr="00CA4523">
        <w:rPr>
          <w:lang w:val="fr-CA"/>
        </w:rPr>
        <w:t>1975</w:t>
      </w:r>
      <w:r>
        <w:rPr>
          <w:lang w:val="fr-CA"/>
        </w:rPr>
        <w:t>)</w:t>
      </w:r>
      <w:r w:rsidRPr="00CA4523">
        <w:rPr>
          <w:lang w:val="fr-CA"/>
        </w:rPr>
        <w:t xml:space="preserve">, </w:t>
      </w:r>
      <w:r>
        <w:rPr>
          <w:lang w:val="fr-CA"/>
        </w:rPr>
        <w:t>p. </w:t>
      </w:r>
      <w:r w:rsidRPr="00CA4523">
        <w:rPr>
          <w:lang w:val="fr-CA"/>
        </w:rPr>
        <w:t>14</w:t>
      </w:r>
      <w:r>
        <w:rPr>
          <w:lang w:val="fr-CA"/>
        </w:rPr>
        <w:t xml:space="preserve">4 </w:t>
      </w:r>
      <w:r w:rsidRPr="00BE064C">
        <w:rPr>
          <w:lang w:val="fr-CA"/>
        </w:rPr>
        <w:t>et 146 (je souligne</w:t>
      </w:r>
      <w:r>
        <w:rPr>
          <w:lang w:val="fr-CA"/>
        </w:rPr>
        <w:t>)</w:t>
      </w:r>
      <w:r w:rsidRPr="00CA4523">
        <w:rPr>
          <w:lang w:val="fr-CA"/>
        </w:rPr>
        <w:t>)</w:t>
      </w:r>
    </w:p>
    <w:p w:rsidR="00AF6697" w:rsidRPr="00CA4523" w:rsidRDefault="00AF6697" w:rsidP="00AF6697">
      <w:pPr>
        <w:pStyle w:val="ParaNoNdepar-AltN"/>
        <w:tabs>
          <w:tab w:val="clear" w:pos="1166"/>
          <w:tab w:val="num" w:pos="1152"/>
        </w:tabs>
        <w:rPr>
          <w:rFonts w:eastAsia="Times New Roman" w:cs="Times New Roman"/>
          <w:sz w:val="20"/>
          <w:szCs w:val="20"/>
          <w:lang w:val="fr-CA" w:eastAsia="en-CA"/>
        </w:rPr>
      </w:pPr>
      <w:r w:rsidRPr="00CA4523">
        <w:rPr>
          <w:rFonts w:cs="Times New Roman"/>
          <w:lang w:val="fr-CA"/>
        </w:rPr>
        <w:t>Le projet d</w:t>
      </w:r>
      <w:r>
        <w:rPr>
          <w:rFonts w:cs="Times New Roman"/>
          <w:lang w:val="fr-CA"/>
        </w:rPr>
        <w:t>’</w:t>
      </w:r>
      <w:r w:rsidRPr="00CA4523">
        <w:rPr>
          <w:rFonts w:cs="Times New Roman"/>
          <w:lang w:val="fr-CA"/>
        </w:rPr>
        <w:t xml:space="preserve">article relatif à la compétence des tribunaux québécois prévoyait, dans le même </w:t>
      </w:r>
      <w:r>
        <w:rPr>
          <w:rFonts w:cs="Times New Roman"/>
          <w:lang w:val="fr-CA"/>
        </w:rPr>
        <w:t>ordre d’idées</w:t>
      </w:r>
      <w:r w:rsidRPr="00CA4523">
        <w:rPr>
          <w:rFonts w:cs="Times New Roman"/>
          <w:lang w:val="fr-CA"/>
        </w:rPr>
        <w:t xml:space="preserve">, que </w:t>
      </w:r>
      <w:r w:rsidRPr="00CA4523">
        <w:rPr>
          <w:rFonts w:cs="Times New Roman"/>
          <w:szCs w:val="24"/>
          <w:lang w:val="fr-CA"/>
        </w:rPr>
        <w:t xml:space="preserve">« les </w:t>
      </w:r>
      <w:r w:rsidRPr="00CA4523">
        <w:rPr>
          <w:rFonts w:eastAsia="Times New Roman" w:cs="Times New Roman"/>
          <w:szCs w:val="24"/>
          <w:lang w:val="fr-CA" w:eastAsia="en-CA"/>
        </w:rPr>
        <w:t>tribunaux du Québec ont compétence générale dans les cas suivants</w:t>
      </w:r>
      <w:r>
        <w:rPr>
          <w:rFonts w:eastAsia="Times New Roman" w:cs="Times New Roman"/>
          <w:szCs w:val="24"/>
          <w:lang w:val="fr-CA" w:eastAsia="en-CA"/>
        </w:rPr>
        <w:t> :</w:t>
      </w:r>
      <w:r w:rsidRPr="00CA4523">
        <w:rPr>
          <w:rFonts w:eastAsia="Times New Roman" w:cs="Times New Roman"/>
          <w:szCs w:val="24"/>
          <w:lang w:val="fr-CA" w:eastAsia="en-CA"/>
        </w:rPr>
        <w:t xml:space="preserve"> </w:t>
      </w:r>
      <w:r w:rsidR="005D1F4B">
        <w:rPr>
          <w:rFonts w:eastAsia="Times New Roman" w:cs="Times New Roman"/>
          <w:szCs w:val="24"/>
          <w:lang w:val="fr-CA" w:eastAsia="en-CA"/>
        </w:rPr>
        <w:t>[</w:t>
      </w:r>
      <w:r>
        <w:rPr>
          <w:rFonts w:cs="Times New Roman"/>
          <w:szCs w:val="24"/>
          <w:lang w:val="fr-CA"/>
        </w:rPr>
        <w:t>. . .</w:t>
      </w:r>
      <w:r w:rsidR="005D1F4B">
        <w:rPr>
          <w:rFonts w:cs="Times New Roman"/>
          <w:szCs w:val="24"/>
          <w:lang w:val="fr-CA"/>
        </w:rPr>
        <w:t>]</w:t>
      </w:r>
      <w:r w:rsidRPr="00CA4523">
        <w:rPr>
          <w:rFonts w:cs="Times New Roman"/>
          <w:szCs w:val="24"/>
          <w:lang w:val="fr-CA"/>
        </w:rPr>
        <w:t xml:space="preserve"> </w:t>
      </w:r>
      <w:r w:rsidRPr="00CA4523">
        <w:rPr>
          <w:szCs w:val="24"/>
          <w:lang w:val="fr-CA" w:eastAsia="en-CA"/>
        </w:rPr>
        <w:t>le défendeur s</w:t>
      </w:r>
      <w:r>
        <w:rPr>
          <w:szCs w:val="24"/>
          <w:lang w:val="fr-CA" w:eastAsia="en-CA"/>
        </w:rPr>
        <w:t>’</w:t>
      </w:r>
      <w:r w:rsidRPr="00CA4523">
        <w:rPr>
          <w:szCs w:val="24"/>
          <w:lang w:val="fr-CA" w:eastAsia="en-CA"/>
        </w:rPr>
        <w:t>est soumis à leur compétence, soit expressément, soit en s</w:t>
      </w:r>
      <w:r>
        <w:rPr>
          <w:szCs w:val="24"/>
          <w:lang w:val="fr-CA" w:eastAsia="en-CA"/>
        </w:rPr>
        <w:t>’</w:t>
      </w:r>
      <w:r w:rsidRPr="00CA4523">
        <w:rPr>
          <w:szCs w:val="24"/>
          <w:lang w:val="fr-CA" w:eastAsia="en-CA"/>
        </w:rPr>
        <w:t>expliquant sur le fond sans réserve touchant la compétence »</w:t>
      </w:r>
      <w:r w:rsidRPr="00CA4523">
        <w:rPr>
          <w:rFonts w:cs="Times New Roman"/>
          <w:lang w:val="fr-CA"/>
        </w:rPr>
        <w:t xml:space="preserve"> (</w:t>
      </w:r>
      <w:r>
        <w:rPr>
          <w:rFonts w:cs="Times New Roman"/>
          <w:lang w:val="fr-CA"/>
        </w:rPr>
        <w:t>p. </w:t>
      </w:r>
      <w:r w:rsidRPr="00CA4523">
        <w:rPr>
          <w:rFonts w:cs="Times New Roman"/>
          <w:lang w:val="fr-CA"/>
        </w:rPr>
        <w:t>11</w:t>
      </w:r>
      <w:r>
        <w:rPr>
          <w:rFonts w:cs="Times New Roman"/>
          <w:lang w:val="fr-CA"/>
        </w:rPr>
        <w:t>6 et 118</w:t>
      </w:r>
      <w:r w:rsidRPr="00CA4523">
        <w:rPr>
          <w:rFonts w:cs="Times New Roman"/>
          <w:lang w:val="fr-CA"/>
        </w:rPr>
        <w:t>). Ces deux dispositions s</w:t>
      </w:r>
      <w:r>
        <w:rPr>
          <w:rFonts w:cs="Times New Roman"/>
          <w:lang w:val="fr-CA"/>
        </w:rPr>
        <w:t>’</w:t>
      </w:r>
      <w:r w:rsidRPr="00CA4523">
        <w:rPr>
          <w:rFonts w:cs="Times New Roman"/>
          <w:lang w:val="fr-CA"/>
        </w:rPr>
        <w:t xml:space="preserve">inspiraient de la </w:t>
      </w:r>
      <w:r w:rsidRPr="00CA4523">
        <w:rPr>
          <w:i/>
          <w:lang w:val="fr-CA"/>
        </w:rPr>
        <w:t>Convention de 1971 de La Haye sur la reconnaissance et l</w:t>
      </w:r>
      <w:r>
        <w:rPr>
          <w:i/>
          <w:lang w:val="fr-CA"/>
        </w:rPr>
        <w:t>’</w:t>
      </w:r>
      <w:r w:rsidRPr="00CA4523">
        <w:rPr>
          <w:i/>
          <w:lang w:val="fr-CA"/>
        </w:rPr>
        <w:t xml:space="preserve">exécution des jugements étrangers en matière civile et commerciale </w:t>
      </w:r>
      <w:r w:rsidRPr="00CA4523">
        <w:rPr>
          <w:rFonts w:cs="Times New Roman"/>
          <w:lang w:val="fr-CA"/>
        </w:rPr>
        <w:t>(</w:t>
      </w:r>
      <w:r w:rsidRPr="00CA4523">
        <w:rPr>
          <w:rFonts w:cs="Times New Roman"/>
          <w:i/>
          <w:lang w:val="fr-CA"/>
        </w:rPr>
        <w:t>Comment</w:t>
      </w:r>
      <w:r>
        <w:rPr>
          <w:rFonts w:cs="Times New Roman"/>
          <w:i/>
          <w:lang w:val="fr-CA"/>
        </w:rPr>
        <w:t>aires du ministre de la Justice</w:t>
      </w:r>
      <w:r>
        <w:rPr>
          <w:rFonts w:cs="Times New Roman"/>
          <w:lang w:val="fr-CA"/>
        </w:rPr>
        <w:t>, p. 2009 et 2026, relativement aux versions finales des projets de dispositions</w:t>
      </w:r>
      <w:r w:rsidRPr="00CA4523">
        <w:rPr>
          <w:rFonts w:cs="Times New Roman"/>
          <w:lang w:val="fr-CA"/>
        </w:rPr>
        <w:t xml:space="preserve">).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Le projet de livre sur le droit international privé a toutefois fait l</w:t>
      </w:r>
      <w:r>
        <w:rPr>
          <w:rFonts w:cs="Times New Roman"/>
          <w:lang w:val="fr-CA"/>
        </w:rPr>
        <w:t>’</w:t>
      </w:r>
      <w:r w:rsidRPr="00CA4523">
        <w:rPr>
          <w:rFonts w:cs="Times New Roman"/>
          <w:lang w:val="fr-CA"/>
        </w:rPr>
        <w:t xml:space="preserve">objet </w:t>
      </w:r>
      <w:r w:rsidRPr="00E622B4">
        <w:rPr>
          <w:rFonts w:cs="Times New Roman"/>
          <w:lang w:val="fr-CA"/>
        </w:rPr>
        <w:t>« de bien des critiques » et d</w:t>
      </w:r>
      <w:r>
        <w:rPr>
          <w:rFonts w:cs="Times New Roman"/>
          <w:lang w:val="fr-CA"/>
        </w:rPr>
        <w:t>’</w:t>
      </w:r>
      <w:r w:rsidRPr="00E622B4">
        <w:rPr>
          <w:rFonts w:cs="Times New Roman"/>
          <w:lang w:val="fr-CA"/>
        </w:rPr>
        <w:t>« un nombre considérable d</w:t>
      </w:r>
      <w:r w:rsidR="00134631">
        <w:rPr>
          <w:rFonts w:cs="Times New Roman"/>
          <w:lang w:val="fr-CA"/>
        </w:rPr>
        <w:t>e modifications</w:t>
      </w:r>
      <w:r w:rsidRPr="00E622B4">
        <w:rPr>
          <w:rFonts w:cs="Times New Roman"/>
          <w:lang w:val="fr-CA"/>
        </w:rPr>
        <w:t xml:space="preserve"> au point de le rendre méconnaissable » lorsque</w:t>
      </w:r>
      <w:r w:rsidRPr="00CA4523">
        <w:rPr>
          <w:rFonts w:cs="Times New Roman"/>
          <w:lang w:val="fr-CA"/>
        </w:rPr>
        <w:t xml:space="preserve"> le projet de </w:t>
      </w:r>
      <w:r w:rsidRPr="00BE064C">
        <w:rPr>
          <w:rFonts w:cs="Times New Roman"/>
          <w:i/>
          <w:lang w:val="fr-CA"/>
        </w:rPr>
        <w:t>Code civil</w:t>
      </w:r>
      <w:r w:rsidRPr="00CA4523">
        <w:rPr>
          <w:rFonts w:cs="Times New Roman"/>
          <w:lang w:val="fr-CA"/>
        </w:rPr>
        <w:t xml:space="preserve"> a été présenté à l</w:t>
      </w:r>
      <w:r>
        <w:rPr>
          <w:rFonts w:cs="Times New Roman"/>
          <w:lang w:val="fr-CA"/>
        </w:rPr>
        <w:t>’</w:t>
      </w:r>
      <w:r w:rsidRPr="00CA4523">
        <w:rPr>
          <w:rFonts w:cs="Times New Roman"/>
          <w:lang w:val="fr-CA"/>
        </w:rPr>
        <w:t xml:space="preserve">Assemblée </w:t>
      </w:r>
      <w:r w:rsidRPr="00CA4523">
        <w:rPr>
          <w:rFonts w:cs="Times New Roman"/>
          <w:lang w:val="fr-CA"/>
        </w:rPr>
        <w:lastRenderedPageBreak/>
        <w:t xml:space="preserve">nationale en 1990 (Talpis et Castel, </w:t>
      </w:r>
      <w:r>
        <w:rPr>
          <w:rFonts w:cs="Times New Roman"/>
          <w:lang w:val="fr-CA"/>
        </w:rPr>
        <w:t>n</w:t>
      </w:r>
      <w:r w:rsidRPr="00A12FB6">
        <w:rPr>
          <w:rFonts w:cs="Times New Roman"/>
          <w:vertAlign w:val="superscript"/>
          <w:lang w:val="fr-CA"/>
        </w:rPr>
        <w:t>o</w:t>
      </w:r>
      <w:r>
        <w:rPr>
          <w:rFonts w:cs="Times New Roman"/>
          <w:lang w:val="fr-CA"/>
        </w:rPr>
        <w:t> </w:t>
      </w:r>
      <w:r w:rsidRPr="00CA4523">
        <w:rPr>
          <w:rFonts w:cs="Times New Roman"/>
          <w:lang w:val="fr-CA"/>
        </w:rPr>
        <w:t>3). Le projet de loi ne renfermait même pas d</w:t>
      </w:r>
      <w:r>
        <w:rPr>
          <w:rFonts w:cs="Times New Roman"/>
          <w:lang w:val="fr-CA"/>
        </w:rPr>
        <w:t>’</w:t>
      </w:r>
      <w:r w:rsidRPr="00CA4523">
        <w:rPr>
          <w:rFonts w:cs="Times New Roman"/>
          <w:lang w:val="fr-CA"/>
        </w:rPr>
        <w:t>article sur la reconnaissance de la compétence d</w:t>
      </w:r>
      <w:r>
        <w:rPr>
          <w:rFonts w:cs="Times New Roman"/>
          <w:lang w:val="fr-CA"/>
        </w:rPr>
        <w:t>’</w:t>
      </w:r>
      <w:r w:rsidRPr="00CA4523">
        <w:rPr>
          <w:rFonts w:cs="Times New Roman"/>
          <w:lang w:val="fr-CA"/>
        </w:rPr>
        <w:t xml:space="preserve">un tribunal étranger </w:t>
      </w:r>
      <w:r>
        <w:rPr>
          <w:rFonts w:cs="Times New Roman"/>
          <w:lang w:val="fr-CA"/>
        </w:rPr>
        <w:t>sur</w:t>
      </w:r>
      <w:r w:rsidRPr="00CA4523">
        <w:rPr>
          <w:rFonts w:cs="Times New Roman"/>
          <w:lang w:val="fr-CA"/>
        </w:rPr>
        <w:t xml:space="preserve"> les actions à caractère patrimoni</w:t>
      </w:r>
      <w:r>
        <w:rPr>
          <w:rFonts w:cs="Times New Roman"/>
          <w:lang w:val="fr-CA"/>
        </w:rPr>
        <w:t>al. </w:t>
      </w:r>
      <w:r w:rsidRPr="00CA4523">
        <w:rPr>
          <w:rFonts w:cs="Times New Roman"/>
          <w:lang w:val="fr-CA"/>
        </w:rPr>
        <w:t>Quant à l</w:t>
      </w:r>
      <w:r>
        <w:rPr>
          <w:rFonts w:cs="Times New Roman"/>
          <w:lang w:val="fr-CA"/>
        </w:rPr>
        <w:t>’</w:t>
      </w:r>
      <w:r w:rsidRPr="00CA4523">
        <w:rPr>
          <w:rFonts w:cs="Times New Roman"/>
          <w:lang w:val="fr-CA"/>
        </w:rPr>
        <w:t>article portant sur la compétence des tribunaux québécois sur de telles actions, il ne précisait plus les actes qui emportaient reconnaissance de la compétence; il mentionnait uniquement les cas dans lesquels le défendeur s</w:t>
      </w:r>
      <w:r>
        <w:rPr>
          <w:rFonts w:cs="Times New Roman"/>
          <w:lang w:val="fr-CA"/>
        </w:rPr>
        <w:t>’</w:t>
      </w:r>
      <w:r w:rsidRPr="00CA4523">
        <w:rPr>
          <w:rFonts w:cs="Times New Roman"/>
          <w:lang w:val="fr-CA"/>
        </w:rPr>
        <w:t>est soumis à la compétence des tribunaux du Québec (projet d</w:t>
      </w:r>
      <w:r>
        <w:rPr>
          <w:rFonts w:cs="Times New Roman"/>
          <w:lang w:val="fr-CA"/>
        </w:rPr>
        <w:t>’art. </w:t>
      </w:r>
      <w:r w:rsidRPr="00CA4523">
        <w:rPr>
          <w:rFonts w:cs="Times New Roman"/>
          <w:lang w:val="fr-CA"/>
        </w:rPr>
        <w:t>31</w:t>
      </w:r>
      <w:r>
        <w:rPr>
          <w:rFonts w:cs="Times New Roman"/>
          <w:lang w:val="fr-CA"/>
        </w:rPr>
        <w:t>26</w:t>
      </w:r>
      <w:r w:rsidRPr="00CA4523">
        <w:rPr>
          <w:rFonts w:cs="Times New Roman"/>
          <w:lang w:val="fr-CA"/>
        </w:rPr>
        <w:t xml:space="preserve">). Il semble que ce libellé ait été préféré au texte antérieur. </w:t>
      </w:r>
    </w:p>
    <w:p w:rsidR="00AF6697" w:rsidRPr="00CA4523" w:rsidRDefault="00AF6697" w:rsidP="00AF6697">
      <w:pPr>
        <w:pStyle w:val="ParaNoNdepar-AltN"/>
        <w:tabs>
          <w:tab w:val="clear" w:pos="1166"/>
          <w:tab w:val="num" w:pos="1152"/>
        </w:tabs>
        <w:rPr>
          <w:rFonts w:cs="Times New Roman"/>
          <w:lang w:val="fr-CA"/>
        </w:rPr>
      </w:pPr>
      <w:r>
        <w:rPr>
          <w:rFonts w:cs="Times New Roman"/>
          <w:lang w:val="fr-CA"/>
        </w:rPr>
        <w:t>Au bout du compte</w:t>
      </w:r>
      <w:r w:rsidRPr="00CA4523">
        <w:rPr>
          <w:rFonts w:cs="Times New Roman"/>
          <w:lang w:val="fr-CA"/>
        </w:rPr>
        <w:t>, ce qui allait devenir l</w:t>
      </w:r>
      <w:r>
        <w:rPr>
          <w:rFonts w:cs="Times New Roman"/>
          <w:lang w:val="fr-CA"/>
        </w:rPr>
        <w:t>’art. </w:t>
      </w:r>
      <w:r w:rsidRPr="00CA4523">
        <w:rPr>
          <w:rFonts w:cs="Times New Roman"/>
          <w:lang w:val="fr-CA"/>
        </w:rPr>
        <w:t xml:space="preserve">3168 </w:t>
      </w:r>
      <w:r w:rsidRPr="00CA4523">
        <w:rPr>
          <w:rFonts w:cs="Times New Roman"/>
          <w:i/>
          <w:lang w:val="fr-CA"/>
        </w:rPr>
        <w:t>C.c.Q.</w:t>
      </w:r>
      <w:r w:rsidRPr="00CA4523">
        <w:rPr>
          <w:rFonts w:cs="Times New Roman"/>
          <w:lang w:val="fr-CA"/>
        </w:rPr>
        <w:t xml:space="preserve"> a été ajouté au projet de loi </w:t>
      </w:r>
      <w:r>
        <w:rPr>
          <w:rFonts w:cs="Times New Roman"/>
          <w:lang w:val="fr-CA"/>
        </w:rPr>
        <w:t>par suite d’</w:t>
      </w:r>
      <w:r w:rsidRPr="00CA4523">
        <w:rPr>
          <w:rFonts w:cs="Times New Roman"/>
          <w:lang w:val="fr-CA"/>
        </w:rPr>
        <w:t xml:space="preserve">un amendement proposé par le ministre de la Justice, qui a expliqué que </w:t>
      </w:r>
      <w:r>
        <w:rPr>
          <w:rFonts w:cs="Times New Roman"/>
          <w:lang w:val="fr-CA"/>
        </w:rPr>
        <w:t>le paragraphe</w:t>
      </w:r>
      <w:r w:rsidRPr="00CA4523">
        <w:rPr>
          <w:rFonts w:cs="Times New Roman"/>
          <w:lang w:val="fr-CA"/>
        </w:rPr>
        <w:t xml:space="preserve"> 6 visait à établir </w:t>
      </w:r>
      <w:r>
        <w:rPr>
          <w:rFonts w:cs="Times New Roman"/>
          <w:lang w:val="fr-CA"/>
        </w:rPr>
        <w:t>un équivalent à l’article</w:t>
      </w:r>
      <w:r w:rsidRPr="00CA4523">
        <w:rPr>
          <w:rFonts w:cs="Times New Roman"/>
          <w:lang w:val="fr-CA"/>
        </w:rPr>
        <w:t xml:space="preserve"> portant sur </w:t>
      </w:r>
      <w:r>
        <w:rPr>
          <w:rFonts w:cs="Times New Roman"/>
          <w:lang w:val="fr-CA"/>
        </w:rPr>
        <w:t>la reconnaissance de la</w:t>
      </w:r>
      <w:r w:rsidRPr="00CA4523">
        <w:rPr>
          <w:rFonts w:cs="Times New Roman"/>
          <w:lang w:val="fr-CA"/>
        </w:rPr>
        <w:t xml:space="preserve"> compétence des tribunaux québécois. À cette fin, le ministre a suggéré d</w:t>
      </w:r>
      <w:r>
        <w:rPr>
          <w:rFonts w:cs="Times New Roman"/>
          <w:lang w:val="fr-CA"/>
        </w:rPr>
        <w:t>’</w:t>
      </w:r>
      <w:r w:rsidRPr="00CA4523">
        <w:rPr>
          <w:rFonts w:cs="Times New Roman"/>
          <w:lang w:val="fr-CA"/>
        </w:rPr>
        <w:t xml:space="preserve">employer </w:t>
      </w:r>
      <w:r w:rsidRPr="0020239F">
        <w:rPr>
          <w:rFonts w:cs="Times New Roman"/>
          <w:lang w:val="fr-CA"/>
        </w:rPr>
        <w:t>exactement la même expression en français (</w:t>
      </w:r>
      <w:r>
        <w:rPr>
          <w:rFonts w:cs="Times New Roman"/>
          <w:lang w:val="fr-CA"/>
        </w:rPr>
        <w:t>Sous</w:t>
      </w:r>
      <w:r>
        <w:rPr>
          <w:rFonts w:cs="Times New Roman"/>
          <w:lang w:val="fr-CA"/>
        </w:rPr>
        <w:noBreakHyphen/>
        <w:t xml:space="preserve">commission des institutions, </w:t>
      </w:r>
      <w:r w:rsidRPr="0020239F">
        <w:rPr>
          <w:rFonts w:cs="Times New Roman"/>
          <w:lang w:val="fr-CA"/>
        </w:rPr>
        <w:t>« Étude</w:t>
      </w:r>
      <w:r>
        <w:rPr>
          <w:rFonts w:cs="Times New Roman"/>
          <w:lang w:val="fr-CA"/>
        </w:rPr>
        <w:t xml:space="preserve"> détaillée du projet de loi 125 — Code civil du Québec », </w:t>
      </w:r>
      <w:r w:rsidRPr="001811DF">
        <w:rPr>
          <w:rFonts w:cs="Times New Roman"/>
          <w:i/>
          <w:lang w:val="fr-CA"/>
        </w:rPr>
        <w:t>Journal des débats</w:t>
      </w:r>
      <w:r w:rsidRPr="00CA4523">
        <w:rPr>
          <w:rFonts w:cs="Times New Roman"/>
          <w:lang w:val="fr-CA"/>
        </w:rPr>
        <w:t xml:space="preserve">, </w:t>
      </w:r>
      <w:r>
        <w:rPr>
          <w:rFonts w:cs="Times New Roman"/>
          <w:lang w:val="fr-CA"/>
        </w:rPr>
        <w:t>vol. 31, n</w:t>
      </w:r>
      <w:r w:rsidRPr="00223078">
        <w:rPr>
          <w:rFonts w:cs="Times New Roman"/>
          <w:vertAlign w:val="superscript"/>
          <w:lang w:val="fr-CA"/>
        </w:rPr>
        <w:t>o</w:t>
      </w:r>
      <w:r>
        <w:rPr>
          <w:rFonts w:cs="Times New Roman"/>
          <w:lang w:val="fr-CA"/>
        </w:rPr>
        <w:t> 32, 1</w:t>
      </w:r>
      <w:r>
        <w:rPr>
          <w:rFonts w:cs="Times New Roman"/>
          <w:vertAlign w:val="superscript"/>
          <w:lang w:val="fr-CA"/>
        </w:rPr>
        <w:t>re </w:t>
      </w:r>
      <w:r w:rsidR="00134631">
        <w:rPr>
          <w:rFonts w:cs="Times New Roman"/>
          <w:lang w:val="fr-CA"/>
        </w:rPr>
        <w:t>sess.</w:t>
      </w:r>
      <w:r>
        <w:rPr>
          <w:rFonts w:cs="Times New Roman"/>
          <w:lang w:val="fr-CA"/>
        </w:rPr>
        <w:t>, 34</w:t>
      </w:r>
      <w:r w:rsidRPr="001811DF">
        <w:rPr>
          <w:rFonts w:cs="Times New Roman"/>
          <w:vertAlign w:val="superscript"/>
          <w:lang w:val="fr-CA"/>
        </w:rPr>
        <w:t>e</w:t>
      </w:r>
      <w:r>
        <w:rPr>
          <w:rFonts w:cs="Times New Roman"/>
          <w:vertAlign w:val="superscript"/>
          <w:lang w:val="fr-CA"/>
        </w:rPr>
        <w:t> </w:t>
      </w:r>
      <w:r w:rsidR="00134631">
        <w:rPr>
          <w:rFonts w:cs="Times New Roman"/>
          <w:lang w:val="fr-CA"/>
        </w:rPr>
        <w:t>lég.</w:t>
      </w:r>
      <w:r w:rsidRPr="00CA4523">
        <w:rPr>
          <w:rFonts w:cs="Times New Roman"/>
          <w:lang w:val="fr-CA"/>
        </w:rPr>
        <w:t xml:space="preserve">, 9 décembre 1991, </w:t>
      </w:r>
      <w:r>
        <w:rPr>
          <w:rFonts w:cs="Times New Roman"/>
          <w:lang w:val="fr-CA"/>
        </w:rPr>
        <w:t>p. </w:t>
      </w:r>
      <w:r w:rsidRPr="00CA4523">
        <w:rPr>
          <w:rFonts w:cs="Times New Roman"/>
          <w:lang w:val="fr-CA"/>
        </w:rPr>
        <w:t>1285</w:t>
      </w:r>
      <w:r>
        <w:rPr>
          <w:rFonts w:cs="Times New Roman"/>
          <w:lang w:val="fr-CA"/>
        </w:rPr>
        <w:noBreakHyphen/>
      </w:r>
      <w:r w:rsidRPr="00CA4523">
        <w:rPr>
          <w:rFonts w:cs="Times New Roman"/>
          <w:lang w:val="fr-CA"/>
        </w:rPr>
        <w:t xml:space="preserve">1331). </w:t>
      </w:r>
    </w:p>
    <w:p w:rsidR="00AF6697" w:rsidRPr="003657F3" w:rsidRDefault="00AF6697" w:rsidP="00AF6697">
      <w:pPr>
        <w:pStyle w:val="ParaNoNdepar-AltN"/>
        <w:tabs>
          <w:tab w:val="clear" w:pos="1166"/>
          <w:tab w:val="num" w:pos="1152"/>
        </w:tabs>
        <w:rPr>
          <w:lang w:val="fr-CA"/>
        </w:rPr>
      </w:pPr>
      <w:r>
        <w:rPr>
          <w:lang w:val="fr-CA"/>
        </w:rPr>
        <w:t>Cet historique législatif permet de tirer deux conclusions</w:t>
      </w:r>
      <w:r w:rsidRPr="00CA4523">
        <w:rPr>
          <w:lang w:val="fr-CA"/>
        </w:rPr>
        <w:t xml:space="preserve">. Premièrement, </w:t>
      </w:r>
      <w:r>
        <w:rPr>
          <w:lang w:val="fr-CA"/>
        </w:rPr>
        <w:t>l</w:t>
      </w:r>
      <w:r w:rsidRPr="00CA4523">
        <w:rPr>
          <w:lang w:val="fr-CA"/>
        </w:rPr>
        <w:t>e législateur a envisagé, puis écarté</w:t>
      </w:r>
      <w:r>
        <w:rPr>
          <w:lang w:val="fr-CA"/>
        </w:rPr>
        <w:t>,</w:t>
      </w:r>
      <w:r w:rsidRPr="00CA4523">
        <w:rPr>
          <w:lang w:val="fr-CA"/>
        </w:rPr>
        <w:t xml:space="preserve"> un projet d</w:t>
      </w:r>
      <w:r>
        <w:rPr>
          <w:lang w:val="fr-CA"/>
        </w:rPr>
        <w:t>’</w:t>
      </w:r>
      <w:r w:rsidRPr="00CA4523">
        <w:rPr>
          <w:lang w:val="fr-CA"/>
        </w:rPr>
        <w:t xml:space="preserve">article qui aurait obligé les tribunaux québécois à refuser de reconnaître les décisions étrangères dès lors que le défendeur </w:t>
      </w:r>
      <w:r>
        <w:rPr>
          <w:lang w:val="fr-CA"/>
        </w:rPr>
        <w:t xml:space="preserve">aurait </w:t>
      </w:r>
      <w:r w:rsidRPr="00CA4523">
        <w:rPr>
          <w:lang w:val="fr-CA"/>
        </w:rPr>
        <w:t>déclin</w:t>
      </w:r>
      <w:r>
        <w:rPr>
          <w:lang w:val="fr-CA"/>
        </w:rPr>
        <w:t>é</w:t>
      </w:r>
      <w:r w:rsidRPr="00CA4523">
        <w:rPr>
          <w:lang w:val="fr-CA"/>
        </w:rPr>
        <w:t xml:space="preserve"> leur</w:t>
      </w:r>
      <w:r>
        <w:rPr>
          <w:lang w:val="fr-CA"/>
        </w:rPr>
        <w:t xml:space="preserve"> compétence avant de débattre du</w:t>
      </w:r>
      <w:r w:rsidRPr="00CA4523">
        <w:rPr>
          <w:lang w:val="fr-CA"/>
        </w:rPr>
        <w:t xml:space="preserve"> fond de l</w:t>
      </w:r>
      <w:r>
        <w:rPr>
          <w:lang w:val="fr-CA"/>
        </w:rPr>
        <w:t>’</w:t>
      </w:r>
      <w:r w:rsidRPr="00CA4523">
        <w:rPr>
          <w:lang w:val="fr-CA"/>
        </w:rPr>
        <w:t xml:space="preserve">affaire. </w:t>
      </w:r>
      <w:r>
        <w:rPr>
          <w:lang w:val="fr-CA"/>
        </w:rPr>
        <w:t>Deuxièmement</w:t>
      </w:r>
      <w:r w:rsidRPr="00CA4523">
        <w:rPr>
          <w:lang w:val="fr-CA"/>
        </w:rPr>
        <w:t>, l</w:t>
      </w:r>
      <w:r>
        <w:rPr>
          <w:lang w:val="fr-CA"/>
        </w:rPr>
        <w:t>’</w:t>
      </w:r>
      <w:r w:rsidRPr="00CA4523">
        <w:rPr>
          <w:lang w:val="fr-CA"/>
        </w:rPr>
        <w:t xml:space="preserve">argument de M. Barer suivant lequel </w:t>
      </w:r>
      <w:r w:rsidR="00DA0AA4">
        <w:rPr>
          <w:lang w:val="fr-CA"/>
        </w:rPr>
        <w:t>le par.</w:t>
      </w:r>
      <w:r>
        <w:rPr>
          <w:lang w:val="fr-CA"/>
        </w:rPr>
        <w:t> </w:t>
      </w:r>
      <w:r w:rsidRPr="00CA4523">
        <w:rPr>
          <w:lang w:val="fr-CA"/>
        </w:rPr>
        <w:t>3168</w:t>
      </w:r>
      <w:r>
        <w:rPr>
          <w:lang w:val="fr-CA"/>
        </w:rPr>
        <w:t>(</w:t>
      </w:r>
      <w:r w:rsidRPr="00CA4523">
        <w:rPr>
          <w:lang w:val="fr-CA"/>
        </w:rPr>
        <w:t>6</w:t>
      </w:r>
      <w:r>
        <w:rPr>
          <w:lang w:val="fr-CA"/>
        </w:rPr>
        <w:t>)</w:t>
      </w:r>
      <w:r w:rsidRPr="00CA4523">
        <w:rPr>
          <w:lang w:val="fr-CA"/>
        </w:rPr>
        <w:t> </w:t>
      </w:r>
      <w:r w:rsidRPr="00CA4523">
        <w:rPr>
          <w:i/>
          <w:lang w:val="fr-CA"/>
        </w:rPr>
        <w:t>C.c.Q.</w:t>
      </w:r>
      <w:r w:rsidRPr="00CA4523">
        <w:rPr>
          <w:lang w:val="fr-CA"/>
        </w:rPr>
        <w:t xml:space="preserve"> devrait être interprété de façon plus restrictive que l</w:t>
      </w:r>
      <w:r>
        <w:rPr>
          <w:lang w:val="fr-CA"/>
        </w:rPr>
        <w:t>’art. </w:t>
      </w:r>
      <w:r w:rsidRPr="00CA4523">
        <w:rPr>
          <w:lang w:val="fr-CA"/>
        </w:rPr>
        <w:t>3148</w:t>
      </w:r>
      <w:r>
        <w:rPr>
          <w:lang w:val="fr-CA"/>
        </w:rPr>
        <w:t> al.</w:t>
      </w:r>
      <w:r w:rsidR="00DA0AA4">
        <w:rPr>
          <w:lang w:val="fr-CA"/>
        </w:rPr>
        <w:t xml:space="preserve"> </w:t>
      </w:r>
      <w:r w:rsidR="00147DED">
        <w:rPr>
          <w:lang w:val="fr-CA"/>
        </w:rPr>
        <w:t>1</w:t>
      </w:r>
      <w:r w:rsidR="002962ED">
        <w:rPr>
          <w:lang w:val="fr-CA"/>
        </w:rPr>
        <w:t>(5)</w:t>
      </w:r>
      <w:r w:rsidRPr="00CA4523">
        <w:rPr>
          <w:lang w:val="fr-CA"/>
        </w:rPr>
        <w:t> </w:t>
      </w:r>
      <w:r w:rsidRPr="00CA4523">
        <w:rPr>
          <w:i/>
          <w:lang w:val="fr-CA"/>
        </w:rPr>
        <w:t xml:space="preserve">C.c.Q. </w:t>
      </w:r>
      <w:r w:rsidRPr="00CA4523">
        <w:rPr>
          <w:lang w:val="fr-CA"/>
        </w:rPr>
        <w:t>— l</w:t>
      </w:r>
      <w:r>
        <w:rPr>
          <w:lang w:val="fr-CA"/>
        </w:rPr>
        <w:t>’</w:t>
      </w:r>
      <w:r w:rsidRPr="00CA4523">
        <w:rPr>
          <w:lang w:val="fr-CA"/>
        </w:rPr>
        <w:t xml:space="preserve">article correspondant qui concerne la compétence des tribunaux québécois — doit être rejeté. </w:t>
      </w:r>
      <w:r>
        <w:rPr>
          <w:lang w:val="fr-CA"/>
        </w:rPr>
        <w:t>S’il est</w:t>
      </w:r>
      <w:r w:rsidRPr="00CA4523">
        <w:rPr>
          <w:lang w:val="fr-CA"/>
        </w:rPr>
        <w:t xml:space="preserve"> vrai que certains des critères de reconnaissance de la compétence d</w:t>
      </w:r>
      <w:r>
        <w:rPr>
          <w:lang w:val="fr-CA"/>
        </w:rPr>
        <w:t>’</w:t>
      </w:r>
      <w:r w:rsidRPr="00CA4523">
        <w:rPr>
          <w:lang w:val="fr-CA"/>
        </w:rPr>
        <w:t>une autorité étrangère prévus à l</w:t>
      </w:r>
      <w:r>
        <w:rPr>
          <w:lang w:val="fr-CA"/>
        </w:rPr>
        <w:t>’art. </w:t>
      </w:r>
      <w:r w:rsidRPr="00CA4523">
        <w:rPr>
          <w:lang w:val="fr-CA"/>
        </w:rPr>
        <w:t xml:space="preserve">3168 sont plus </w:t>
      </w:r>
      <w:r>
        <w:rPr>
          <w:lang w:val="fr-CA"/>
        </w:rPr>
        <w:t>restrictifs</w:t>
      </w:r>
      <w:r w:rsidRPr="00CA4523">
        <w:rPr>
          <w:lang w:val="fr-CA"/>
        </w:rPr>
        <w:t xml:space="preserve"> que ceux énumérés à l</w:t>
      </w:r>
      <w:r>
        <w:rPr>
          <w:lang w:val="fr-CA"/>
        </w:rPr>
        <w:t>’art. </w:t>
      </w:r>
      <w:r w:rsidRPr="00CA4523">
        <w:rPr>
          <w:lang w:val="fr-CA"/>
        </w:rPr>
        <w:t xml:space="preserve">3148 </w:t>
      </w:r>
      <w:r>
        <w:rPr>
          <w:lang w:val="fr-CA"/>
        </w:rPr>
        <w:t xml:space="preserve">applicables </w:t>
      </w:r>
      <w:r w:rsidRPr="00CA4523">
        <w:rPr>
          <w:lang w:val="fr-CA"/>
        </w:rPr>
        <w:lastRenderedPageBreak/>
        <w:t>lorsqu</w:t>
      </w:r>
      <w:r>
        <w:rPr>
          <w:lang w:val="fr-CA"/>
        </w:rPr>
        <w:t>’</w:t>
      </w:r>
      <w:r w:rsidRPr="00CA4523">
        <w:rPr>
          <w:lang w:val="fr-CA"/>
        </w:rPr>
        <w:t>il s</w:t>
      </w:r>
      <w:r>
        <w:rPr>
          <w:lang w:val="fr-CA"/>
        </w:rPr>
        <w:t>’</w:t>
      </w:r>
      <w:r w:rsidRPr="00CA4523">
        <w:rPr>
          <w:lang w:val="fr-CA"/>
        </w:rPr>
        <w:t>agit d</w:t>
      </w:r>
      <w:r>
        <w:rPr>
          <w:lang w:val="fr-CA"/>
        </w:rPr>
        <w:t>’</w:t>
      </w:r>
      <w:r w:rsidRPr="00CA4523">
        <w:rPr>
          <w:lang w:val="fr-CA"/>
        </w:rPr>
        <w:t xml:space="preserve">établir la </w:t>
      </w:r>
      <w:r w:rsidRPr="003657F3">
        <w:rPr>
          <w:lang w:val="fr-CA"/>
        </w:rPr>
        <w:t>compétence des tribunaux québécois, l</w:t>
      </w:r>
      <w:r>
        <w:rPr>
          <w:lang w:val="fr-CA"/>
        </w:rPr>
        <w:t>’</w:t>
      </w:r>
      <w:r w:rsidRPr="003657F3">
        <w:rPr>
          <w:lang w:val="fr-CA"/>
        </w:rPr>
        <w:t xml:space="preserve">asymétrie que M. Barer invoque entre </w:t>
      </w:r>
      <w:r w:rsidR="00DA0AA4">
        <w:rPr>
          <w:lang w:val="fr-CA"/>
        </w:rPr>
        <w:t>le par.</w:t>
      </w:r>
      <w:r>
        <w:rPr>
          <w:lang w:val="fr-CA"/>
        </w:rPr>
        <w:t> </w:t>
      </w:r>
      <w:r w:rsidRPr="003657F3">
        <w:rPr>
          <w:lang w:val="fr-CA"/>
        </w:rPr>
        <w:t>3168(6) et l</w:t>
      </w:r>
      <w:r>
        <w:rPr>
          <w:lang w:val="fr-CA"/>
        </w:rPr>
        <w:t>’art. </w:t>
      </w:r>
      <w:r w:rsidRPr="003657F3">
        <w:rPr>
          <w:lang w:val="fr-CA"/>
        </w:rPr>
        <w:t>3148 al.</w:t>
      </w:r>
      <w:r w:rsidR="00DA0AA4">
        <w:rPr>
          <w:lang w:val="fr-CA"/>
        </w:rPr>
        <w:t xml:space="preserve"> </w:t>
      </w:r>
      <w:r w:rsidRPr="003657F3">
        <w:rPr>
          <w:lang w:val="fr-CA"/>
        </w:rPr>
        <w:t>1</w:t>
      </w:r>
      <w:r w:rsidR="00147DED">
        <w:rPr>
          <w:lang w:val="fr-CA"/>
        </w:rPr>
        <w:t xml:space="preserve">(5) </w:t>
      </w:r>
      <w:r w:rsidRPr="003657F3">
        <w:rPr>
          <w:lang w:val="fr-CA"/>
        </w:rPr>
        <w:t>n</w:t>
      </w:r>
      <w:r>
        <w:rPr>
          <w:lang w:val="fr-CA"/>
        </w:rPr>
        <w:t>’</w:t>
      </w:r>
      <w:r w:rsidRPr="003657F3">
        <w:rPr>
          <w:lang w:val="fr-CA"/>
        </w:rPr>
        <w:t>existe pas. Il n</w:t>
      </w:r>
      <w:r>
        <w:rPr>
          <w:lang w:val="fr-CA"/>
        </w:rPr>
        <w:t>’</w:t>
      </w:r>
      <w:r w:rsidRPr="003657F3">
        <w:rPr>
          <w:lang w:val="fr-CA"/>
        </w:rPr>
        <w:t>y a aucune raison d</w:t>
      </w:r>
      <w:r>
        <w:rPr>
          <w:lang w:val="fr-CA"/>
        </w:rPr>
        <w:t>’</w:t>
      </w:r>
      <w:r w:rsidRPr="003657F3">
        <w:rPr>
          <w:lang w:val="fr-CA"/>
        </w:rPr>
        <w:t xml:space="preserve">établir une distinction entre ces deux dispositions, là où le législateur a décidé de ne pas en faire. Le critère de la reconnaissance de la compétence établi </w:t>
      </w:r>
      <w:r w:rsidR="002962ED">
        <w:rPr>
          <w:lang w:val="fr-CA"/>
        </w:rPr>
        <w:t>au par</w:t>
      </w:r>
      <w:r>
        <w:rPr>
          <w:lang w:val="fr-CA"/>
        </w:rPr>
        <w:t>. </w:t>
      </w:r>
      <w:r w:rsidRPr="003657F3">
        <w:rPr>
          <w:lang w:val="fr-CA"/>
        </w:rPr>
        <w:t xml:space="preserve">3168(6) ne diffère pas de celui qui est prévu </w:t>
      </w:r>
      <w:r w:rsidR="00147DED">
        <w:rPr>
          <w:lang w:val="fr-CA"/>
        </w:rPr>
        <w:t xml:space="preserve">à </w:t>
      </w:r>
      <w:r w:rsidRPr="003657F3">
        <w:rPr>
          <w:lang w:val="fr-CA"/>
        </w:rPr>
        <w:t>l</w:t>
      </w:r>
      <w:r>
        <w:rPr>
          <w:lang w:val="fr-CA"/>
        </w:rPr>
        <w:t>’art. </w:t>
      </w:r>
      <w:r w:rsidRPr="003657F3">
        <w:rPr>
          <w:lang w:val="fr-CA"/>
        </w:rPr>
        <w:t xml:space="preserve">3148 </w:t>
      </w:r>
      <w:r>
        <w:rPr>
          <w:lang w:val="fr-CA"/>
        </w:rPr>
        <w:t>al. </w:t>
      </w:r>
      <w:r w:rsidR="00147DED">
        <w:rPr>
          <w:lang w:val="fr-CA"/>
        </w:rPr>
        <w:t>1(5)</w:t>
      </w:r>
      <w:r w:rsidRPr="003657F3">
        <w:rPr>
          <w:lang w:val="fr-CA"/>
        </w:rPr>
        <w:t> </w:t>
      </w:r>
      <w:r w:rsidRPr="003657F3">
        <w:rPr>
          <w:i/>
          <w:lang w:val="fr-CA"/>
        </w:rPr>
        <w:t xml:space="preserve">C.c.Q. </w:t>
      </w:r>
      <w:r w:rsidRPr="003657F3">
        <w:rPr>
          <w:lang w:val="fr-CA"/>
        </w:rPr>
        <w:t>(Goldstein et Groffier, n</w:t>
      </w:r>
      <w:r w:rsidRPr="003657F3">
        <w:rPr>
          <w:vertAlign w:val="superscript"/>
          <w:lang w:val="fr-CA"/>
        </w:rPr>
        <w:t>o</w:t>
      </w:r>
      <w:r w:rsidRPr="003657F3">
        <w:rPr>
          <w:lang w:val="fr-CA"/>
        </w:rPr>
        <w:t xml:space="preserve"> 183; Sabourin, </w:t>
      </w:r>
      <w:r>
        <w:rPr>
          <w:lang w:val="fr-CA"/>
        </w:rPr>
        <w:t>par. </w:t>
      </w:r>
      <w:r w:rsidRPr="003657F3">
        <w:rPr>
          <w:lang w:val="fr-CA"/>
        </w:rPr>
        <w:t xml:space="preserve">26). </w:t>
      </w:r>
    </w:p>
    <w:p w:rsidR="00AF6697" w:rsidRPr="003657F3" w:rsidRDefault="00AF6697" w:rsidP="008A3950">
      <w:pPr>
        <w:pStyle w:val="Title4LevelTitre4Niveau"/>
        <w:numPr>
          <w:ilvl w:val="1"/>
          <w:numId w:val="20"/>
        </w:numPr>
        <w:ind w:left="1170"/>
        <w:jc w:val="both"/>
        <w:rPr>
          <w:lang w:val="fr-CA"/>
        </w:rPr>
      </w:pPr>
      <w:r>
        <w:rPr>
          <w:lang w:val="fr-CA"/>
        </w:rPr>
        <w:t>D</w:t>
      </w:r>
      <w:r w:rsidRPr="003657F3">
        <w:rPr>
          <w:lang w:val="fr-CA"/>
        </w:rPr>
        <w:t>octrine et jurisprudence concernant les moyens de défense sur le fond lorsque la compétence est contestée</w:t>
      </w:r>
    </w:p>
    <w:p w:rsidR="00AF6697" w:rsidRPr="003657F3" w:rsidRDefault="00AF6697" w:rsidP="00AF6697">
      <w:pPr>
        <w:pStyle w:val="ParaNoNdepar-AltN"/>
        <w:tabs>
          <w:tab w:val="clear" w:pos="1166"/>
          <w:tab w:val="num" w:pos="1152"/>
        </w:tabs>
        <w:rPr>
          <w:rFonts w:cs="Times New Roman"/>
          <w:lang w:val="fr-CA"/>
        </w:rPr>
      </w:pPr>
      <w:r w:rsidRPr="003657F3">
        <w:rPr>
          <w:rFonts w:cs="Times New Roman"/>
          <w:lang w:val="fr-CA"/>
        </w:rPr>
        <w:t>Cela étant, depuis 1994, les tribunaux du Québec et les auteurs ont étoffé le concept clé de la reconnaissance de la compétence — l</w:t>
      </w:r>
      <w:r>
        <w:rPr>
          <w:rFonts w:cs="Times New Roman"/>
          <w:lang w:val="fr-CA"/>
        </w:rPr>
        <w:t>’</w:t>
      </w:r>
      <w:r w:rsidRPr="003657F3">
        <w:rPr>
          <w:rFonts w:cs="Times New Roman"/>
          <w:lang w:val="fr-CA"/>
        </w:rPr>
        <w:t>élément central d</w:t>
      </w:r>
      <w:r w:rsidR="00147DED">
        <w:rPr>
          <w:rFonts w:cs="Times New Roman"/>
          <w:lang w:val="fr-CA"/>
        </w:rPr>
        <w:t>u par</w:t>
      </w:r>
      <w:r>
        <w:rPr>
          <w:rFonts w:cs="Times New Roman"/>
          <w:lang w:val="fr-CA"/>
        </w:rPr>
        <w:t>. </w:t>
      </w:r>
      <w:r w:rsidRPr="003657F3">
        <w:rPr>
          <w:rFonts w:cs="Times New Roman"/>
          <w:lang w:val="fr-CA"/>
        </w:rPr>
        <w:t xml:space="preserve">3168(6) et </w:t>
      </w:r>
      <w:r w:rsidR="00147DED">
        <w:rPr>
          <w:rFonts w:cs="Times New Roman"/>
          <w:lang w:val="fr-CA"/>
        </w:rPr>
        <w:t xml:space="preserve">de l’art. </w:t>
      </w:r>
      <w:r w:rsidRPr="003657F3">
        <w:rPr>
          <w:rFonts w:cs="Times New Roman"/>
          <w:lang w:val="fr-CA"/>
        </w:rPr>
        <w:t xml:space="preserve">3148 </w:t>
      </w:r>
      <w:r>
        <w:rPr>
          <w:rFonts w:cs="Times New Roman"/>
          <w:lang w:val="fr-CA"/>
        </w:rPr>
        <w:t>al. </w:t>
      </w:r>
      <w:r w:rsidRPr="003657F3">
        <w:rPr>
          <w:rFonts w:cs="Times New Roman"/>
          <w:lang w:val="fr-CA"/>
        </w:rPr>
        <w:t>1</w:t>
      </w:r>
      <w:r w:rsidR="003364C7">
        <w:rPr>
          <w:rFonts w:cs="Times New Roman"/>
          <w:lang w:val="fr-CA"/>
        </w:rPr>
        <w:t>(5)</w:t>
      </w:r>
      <w:r w:rsidR="00BA044B">
        <w:rPr>
          <w:rFonts w:cs="Times New Roman"/>
          <w:lang w:val="fr-CA"/>
        </w:rPr>
        <w:t xml:space="preserve"> </w:t>
      </w:r>
      <w:r w:rsidRPr="003657F3">
        <w:rPr>
          <w:rFonts w:cs="Times New Roman"/>
          <w:i/>
          <w:lang w:val="fr-CA"/>
        </w:rPr>
        <w:t>C.c.Q.</w:t>
      </w:r>
      <w:r w:rsidRPr="003657F3">
        <w:rPr>
          <w:rFonts w:cs="Times New Roman"/>
          <w:lang w:val="fr-CA"/>
        </w:rPr>
        <w:t xml:space="preserve"> </w:t>
      </w:r>
    </w:p>
    <w:p w:rsidR="00AF6697" w:rsidRDefault="00AF6697" w:rsidP="00AF6697">
      <w:pPr>
        <w:pStyle w:val="ParaNoNdepar-AltN"/>
        <w:tabs>
          <w:tab w:val="clear" w:pos="1166"/>
          <w:tab w:val="num" w:pos="1152"/>
        </w:tabs>
        <w:rPr>
          <w:rFonts w:cs="Times New Roman"/>
          <w:lang w:val="fr-CA"/>
        </w:rPr>
      </w:pPr>
      <w:r w:rsidRPr="000D0A70">
        <w:rPr>
          <w:rFonts w:cs="Times New Roman"/>
          <w:lang w:val="fr-CA"/>
        </w:rPr>
        <w:t>Certains actes sont systématiquement considérés comme emportant reconnaissance de la compétence. C</w:t>
      </w:r>
      <w:r>
        <w:rPr>
          <w:rFonts w:cs="Times New Roman"/>
          <w:lang w:val="fr-CA"/>
        </w:rPr>
        <w:t>’</w:t>
      </w:r>
      <w:r w:rsidRPr="000D0A70">
        <w:rPr>
          <w:rFonts w:cs="Times New Roman"/>
          <w:lang w:val="fr-CA"/>
        </w:rPr>
        <w:t>est le cas, par exemple, de la reconnaissance explicite de la compétence d</w:t>
      </w:r>
      <w:r>
        <w:rPr>
          <w:rFonts w:cs="Times New Roman"/>
          <w:lang w:val="fr-CA"/>
        </w:rPr>
        <w:t>’</w:t>
      </w:r>
      <w:r w:rsidRPr="000D0A70">
        <w:rPr>
          <w:rFonts w:cs="Times New Roman"/>
          <w:lang w:val="fr-CA"/>
        </w:rPr>
        <w:t>un tribunal étranger découlant de la signature d</w:t>
      </w:r>
      <w:r>
        <w:rPr>
          <w:rFonts w:cs="Times New Roman"/>
          <w:lang w:val="fr-CA"/>
        </w:rPr>
        <w:t>’</w:t>
      </w:r>
      <w:r w:rsidRPr="000D0A70">
        <w:rPr>
          <w:rFonts w:cs="Times New Roman"/>
          <w:lang w:val="fr-CA"/>
        </w:rPr>
        <w:t>une transaction (</w:t>
      </w:r>
      <w:r w:rsidRPr="000D0A70">
        <w:rPr>
          <w:rFonts w:cs="Times New Roman"/>
          <w:i/>
          <w:lang w:val="fr-CA"/>
        </w:rPr>
        <w:t>LVH Corporation (Las Vegas Hilton) c. Lalonde</w:t>
      </w:r>
      <w:r w:rsidRPr="000D0A70">
        <w:rPr>
          <w:rFonts w:cs="Times New Roman"/>
          <w:lang w:val="fr-CA"/>
        </w:rPr>
        <w:t>, 2003 CanLII 27646 (C.S. Q</w:t>
      </w:r>
      <w:r>
        <w:rPr>
          <w:rFonts w:cs="Times New Roman"/>
          <w:lang w:val="fr-CA"/>
        </w:rPr>
        <w:t>c</w:t>
      </w:r>
      <w:r w:rsidRPr="000D0A70">
        <w:rPr>
          <w:rFonts w:cs="Times New Roman"/>
          <w:lang w:val="fr-CA"/>
        </w:rPr>
        <w:t xml:space="preserve">), </w:t>
      </w:r>
      <w:r>
        <w:rPr>
          <w:rFonts w:cs="Times New Roman"/>
          <w:lang w:val="fr-CA"/>
        </w:rPr>
        <w:t>par. </w:t>
      </w:r>
      <w:r w:rsidRPr="000D0A70">
        <w:rPr>
          <w:rFonts w:cs="Times New Roman"/>
          <w:lang w:val="fr-CA"/>
        </w:rPr>
        <w:t>24</w:t>
      </w:r>
      <w:r>
        <w:rPr>
          <w:rFonts w:cs="Times New Roman"/>
          <w:lang w:val="fr-CA"/>
        </w:rPr>
        <w:noBreakHyphen/>
      </w:r>
      <w:r w:rsidRPr="000D0A70">
        <w:rPr>
          <w:rFonts w:cs="Times New Roman"/>
          <w:lang w:val="fr-CA"/>
        </w:rPr>
        <w:t>25). Il en va de même lorsque l</w:t>
      </w:r>
      <w:r>
        <w:rPr>
          <w:rFonts w:cs="Times New Roman"/>
          <w:lang w:val="fr-CA"/>
        </w:rPr>
        <w:t>’</w:t>
      </w:r>
      <w:r w:rsidRPr="000D0A70">
        <w:rPr>
          <w:rFonts w:cs="Times New Roman"/>
          <w:lang w:val="fr-CA"/>
        </w:rPr>
        <w:t>affaire est plaidée au fond sans que la compétence du tribunal soit contestée (</w:t>
      </w:r>
      <w:r w:rsidRPr="000D0A70">
        <w:rPr>
          <w:rFonts w:cs="Times New Roman"/>
          <w:i/>
          <w:lang w:val="fr-CA"/>
        </w:rPr>
        <w:t>Kadar c. Reichman (Succession)</w:t>
      </w:r>
      <w:r w:rsidRPr="000D0A70">
        <w:rPr>
          <w:rFonts w:cs="Times New Roman"/>
          <w:lang w:val="fr-CA"/>
        </w:rPr>
        <w:t xml:space="preserve">, 2014 QCCA 1180, </w:t>
      </w:r>
      <w:r>
        <w:rPr>
          <w:rFonts w:cs="Times New Roman"/>
          <w:lang w:val="fr-CA"/>
        </w:rPr>
        <w:t xml:space="preserve">1 </w:t>
      </w:r>
      <w:r w:rsidRPr="000D0A70">
        <w:rPr>
          <w:rFonts w:cs="Times New Roman"/>
          <w:lang w:val="fr-CA"/>
        </w:rPr>
        <w:t xml:space="preserve">E.T.R. (4th) 9, </w:t>
      </w:r>
      <w:r>
        <w:rPr>
          <w:rFonts w:cs="Times New Roman"/>
          <w:lang w:val="fr-CA"/>
        </w:rPr>
        <w:t>par. </w:t>
      </w:r>
      <w:r w:rsidRPr="000D0A70">
        <w:rPr>
          <w:rFonts w:cs="Times New Roman"/>
          <w:lang w:val="fr-CA"/>
        </w:rPr>
        <w:t>40</w:t>
      </w:r>
      <w:r>
        <w:rPr>
          <w:rFonts w:cs="Times New Roman"/>
          <w:lang w:val="fr-CA"/>
        </w:rPr>
        <w:noBreakHyphen/>
      </w:r>
      <w:r w:rsidRPr="000D0A70">
        <w:rPr>
          <w:rFonts w:cs="Times New Roman"/>
          <w:lang w:val="fr-CA"/>
        </w:rPr>
        <w:t xml:space="preserve">42; </w:t>
      </w:r>
      <w:r w:rsidRPr="000D0A70">
        <w:rPr>
          <w:rFonts w:cs="Times New Roman"/>
          <w:i/>
          <w:lang w:val="fr-CA"/>
        </w:rPr>
        <w:t>Lagassé c. McElligott</w:t>
      </w:r>
      <w:r w:rsidR="00F611A0">
        <w:rPr>
          <w:rFonts w:cs="Times New Roman"/>
          <w:lang w:val="fr-CA"/>
        </w:rPr>
        <w:t>, [1993] R.D.J. 323</w:t>
      </w:r>
      <w:r w:rsidRPr="000D0A70">
        <w:rPr>
          <w:rFonts w:cs="Times New Roman"/>
          <w:lang w:val="fr-CA"/>
        </w:rPr>
        <w:t xml:space="preserve"> </w:t>
      </w:r>
      <w:r w:rsidR="00134631" w:rsidRPr="000D0A70">
        <w:rPr>
          <w:rFonts w:cs="Times New Roman"/>
          <w:lang w:val="fr-CA"/>
        </w:rPr>
        <w:t>(C</w:t>
      </w:r>
      <w:r w:rsidR="00134631">
        <w:rPr>
          <w:rFonts w:cs="Times New Roman"/>
          <w:lang w:val="fr-CA"/>
        </w:rPr>
        <w:t>.</w:t>
      </w:r>
      <w:r w:rsidR="00134631" w:rsidRPr="000D0A70">
        <w:rPr>
          <w:rFonts w:cs="Times New Roman"/>
          <w:lang w:val="fr-CA"/>
        </w:rPr>
        <w:t>A</w:t>
      </w:r>
      <w:r w:rsidR="00134631">
        <w:rPr>
          <w:rFonts w:cs="Times New Roman"/>
          <w:lang w:val="fr-CA"/>
        </w:rPr>
        <w:t>.</w:t>
      </w:r>
      <w:r w:rsidR="00134631" w:rsidRPr="000D0A70">
        <w:rPr>
          <w:rFonts w:cs="Times New Roman"/>
          <w:lang w:val="fr-CA"/>
        </w:rPr>
        <w:t>)</w:t>
      </w:r>
      <w:r w:rsidR="00F611A0">
        <w:rPr>
          <w:rFonts w:cs="Times New Roman"/>
          <w:lang w:val="fr-CA"/>
        </w:rPr>
        <w:t>,</w:t>
      </w:r>
      <w:r w:rsidR="00134631">
        <w:rPr>
          <w:rFonts w:cs="Times New Roman"/>
          <w:lang w:val="fr-CA"/>
        </w:rPr>
        <w:t xml:space="preserve"> </w:t>
      </w:r>
      <w:r>
        <w:rPr>
          <w:rFonts w:cs="Times New Roman"/>
          <w:lang w:val="fr-CA"/>
        </w:rPr>
        <w:t>par. </w:t>
      </w:r>
      <w:r w:rsidRPr="000D0A70">
        <w:rPr>
          <w:rFonts w:cs="Times New Roman"/>
          <w:lang w:val="fr-CA"/>
        </w:rPr>
        <w:t>14</w:t>
      </w:r>
      <w:r>
        <w:rPr>
          <w:rFonts w:cs="Times New Roman"/>
          <w:lang w:val="fr-CA"/>
        </w:rPr>
        <w:noBreakHyphen/>
      </w:r>
      <w:r w:rsidRPr="000D0A70">
        <w:rPr>
          <w:rFonts w:cs="Times New Roman"/>
          <w:lang w:val="fr-CA"/>
        </w:rPr>
        <w:t xml:space="preserve">15; </w:t>
      </w:r>
      <w:r w:rsidRPr="000D0A70">
        <w:rPr>
          <w:rFonts w:cs="Times New Roman"/>
          <w:i/>
          <w:lang w:val="fr-CA"/>
        </w:rPr>
        <w:t>Mutual Trust</w:t>
      </w:r>
      <w:r w:rsidRPr="000D0A70">
        <w:rPr>
          <w:rFonts w:cs="Times New Roman"/>
          <w:lang w:val="fr-CA"/>
        </w:rPr>
        <w:t xml:space="preserve">, </w:t>
      </w:r>
      <w:r>
        <w:rPr>
          <w:rFonts w:cs="Times New Roman"/>
          <w:lang w:val="fr-CA"/>
        </w:rPr>
        <w:t>p. </w:t>
      </w:r>
      <w:r w:rsidRPr="000D0A70">
        <w:rPr>
          <w:rFonts w:cs="Times New Roman"/>
          <w:lang w:val="fr-CA"/>
        </w:rPr>
        <w:t xml:space="preserve">633; </w:t>
      </w:r>
      <w:r w:rsidRPr="000D0A70">
        <w:rPr>
          <w:rFonts w:cs="Times New Roman"/>
          <w:i/>
          <w:lang w:val="fr-CA"/>
        </w:rPr>
        <w:t>D</w:t>
      </w:r>
      <w:r>
        <w:rPr>
          <w:rFonts w:cs="Times New Roman"/>
          <w:i/>
          <w:lang w:val="fr-CA"/>
        </w:rPr>
        <w:t>’</w:t>
      </w:r>
      <w:r w:rsidRPr="000D0A70">
        <w:rPr>
          <w:rFonts w:cs="Times New Roman"/>
          <w:i/>
          <w:lang w:val="fr-CA"/>
        </w:rPr>
        <w:t>Alessandro c. Mastrocola</w:t>
      </w:r>
      <w:r w:rsidRPr="000D0A70">
        <w:rPr>
          <w:rFonts w:cs="Times New Roman"/>
          <w:lang w:val="fr-CA"/>
        </w:rPr>
        <w:t xml:space="preserve">, 2007 QCCS 4164, </w:t>
      </w:r>
      <w:r>
        <w:rPr>
          <w:rFonts w:cs="Times New Roman"/>
          <w:lang w:val="fr-CA"/>
        </w:rPr>
        <w:t>par. </w:t>
      </w:r>
      <w:r w:rsidRPr="000D0A70">
        <w:rPr>
          <w:rFonts w:cs="Times New Roman"/>
          <w:lang w:val="fr-CA"/>
        </w:rPr>
        <w:t xml:space="preserve">8 (CanLII); </w:t>
      </w:r>
      <w:r w:rsidRPr="000D0A70">
        <w:rPr>
          <w:rFonts w:cs="Times New Roman"/>
          <w:i/>
          <w:lang w:val="fr-CA"/>
        </w:rPr>
        <w:t>Canadian Logistics Systems Limited c. 129726 Canada inc.</w:t>
      </w:r>
      <w:r w:rsidR="0026735D">
        <w:rPr>
          <w:rFonts w:cs="Times New Roman"/>
          <w:lang w:val="fr-CA"/>
        </w:rPr>
        <w:t>, 1997 CanLII 6840</w:t>
      </w:r>
      <w:r w:rsidRPr="000D0A70">
        <w:rPr>
          <w:rFonts w:cs="Times New Roman"/>
          <w:lang w:val="fr-CA"/>
        </w:rPr>
        <w:t xml:space="preserve"> </w:t>
      </w:r>
      <w:r w:rsidR="00134631" w:rsidRPr="000D0A70">
        <w:rPr>
          <w:rFonts w:cs="Times New Roman"/>
          <w:lang w:val="fr-CA"/>
        </w:rPr>
        <w:t>(C.Q.)</w:t>
      </w:r>
      <w:r w:rsidR="0026735D">
        <w:rPr>
          <w:rFonts w:cs="Times New Roman"/>
          <w:lang w:val="fr-CA"/>
        </w:rPr>
        <w:t>,</w:t>
      </w:r>
      <w:r w:rsidR="00134631">
        <w:rPr>
          <w:rFonts w:cs="Times New Roman"/>
          <w:lang w:val="fr-CA"/>
        </w:rPr>
        <w:t xml:space="preserve"> </w:t>
      </w:r>
      <w:r>
        <w:rPr>
          <w:rFonts w:cs="Times New Roman"/>
          <w:lang w:val="fr-CA"/>
        </w:rPr>
        <w:t>par. </w:t>
      </w:r>
      <w:r w:rsidRPr="000D0A70">
        <w:rPr>
          <w:rFonts w:cs="Times New Roman"/>
          <w:lang w:val="fr-CA"/>
        </w:rPr>
        <w:t>3). En pareil cas, par sa conduite, le défendeur indique sans équivoque au tribunal et au demandeur qu</w:t>
      </w:r>
      <w:r>
        <w:rPr>
          <w:rFonts w:cs="Times New Roman"/>
          <w:lang w:val="fr-CA"/>
        </w:rPr>
        <w:t>’</w:t>
      </w:r>
      <w:r w:rsidRPr="000D0A70">
        <w:rPr>
          <w:rFonts w:cs="Times New Roman"/>
          <w:lang w:val="fr-CA"/>
        </w:rPr>
        <w:t>il s</w:t>
      </w:r>
      <w:r>
        <w:rPr>
          <w:rFonts w:cs="Times New Roman"/>
          <w:lang w:val="fr-CA"/>
        </w:rPr>
        <w:t>’</w:t>
      </w:r>
      <w:r w:rsidRPr="000D0A70">
        <w:rPr>
          <w:rFonts w:cs="Times New Roman"/>
          <w:lang w:val="fr-CA"/>
        </w:rPr>
        <w:t>en remet au for saisi. À l</w:t>
      </w:r>
      <w:r>
        <w:rPr>
          <w:rFonts w:cs="Times New Roman"/>
          <w:lang w:val="fr-CA"/>
        </w:rPr>
        <w:t>’</w:t>
      </w:r>
      <w:r w:rsidRPr="000D0A70">
        <w:rPr>
          <w:rFonts w:cs="Times New Roman"/>
          <w:lang w:val="fr-CA"/>
        </w:rPr>
        <w:t xml:space="preserve">inverse, il est également admis que certains comportements permettent à eux </w:t>
      </w:r>
      <w:r w:rsidRPr="000D0A70">
        <w:rPr>
          <w:rFonts w:cs="Times New Roman"/>
          <w:lang w:val="fr-CA"/>
        </w:rPr>
        <w:lastRenderedPageBreak/>
        <w:t>seuls de conclure que le défendeur n</w:t>
      </w:r>
      <w:r>
        <w:rPr>
          <w:rFonts w:cs="Times New Roman"/>
          <w:lang w:val="fr-CA"/>
        </w:rPr>
        <w:t>’</w:t>
      </w:r>
      <w:r w:rsidRPr="000D0A70">
        <w:rPr>
          <w:rFonts w:cs="Times New Roman"/>
          <w:lang w:val="fr-CA"/>
        </w:rPr>
        <w:t>a pas reconnu la compétence du for choisi par le demandeur. Le simple fait de s</w:t>
      </w:r>
      <w:r>
        <w:rPr>
          <w:rFonts w:cs="Times New Roman"/>
          <w:lang w:val="fr-CA"/>
        </w:rPr>
        <w:t>’</w:t>
      </w:r>
      <w:r w:rsidRPr="000D0A70">
        <w:rPr>
          <w:rFonts w:cs="Times New Roman"/>
          <w:lang w:val="fr-CA"/>
        </w:rPr>
        <w:t>abstenir de comparaître devant le tribunal en question en est un (</w:t>
      </w:r>
      <w:r w:rsidRPr="000D0A70">
        <w:rPr>
          <w:rFonts w:cs="Times New Roman"/>
          <w:i/>
          <w:lang w:val="fr-CA"/>
        </w:rPr>
        <w:t>Zimmermann inc. c. Barer</w:t>
      </w:r>
      <w:r w:rsidRPr="000D0A70">
        <w:rPr>
          <w:rFonts w:cs="Times New Roman"/>
          <w:lang w:val="fr-CA"/>
        </w:rPr>
        <w:t>,</w:t>
      </w:r>
      <w:r w:rsidRPr="000D0A70">
        <w:rPr>
          <w:rFonts w:cs="Times New Roman"/>
          <w:i/>
          <w:lang w:val="fr-CA"/>
        </w:rPr>
        <w:t xml:space="preserve"> </w:t>
      </w:r>
      <w:r w:rsidRPr="000D0A70">
        <w:rPr>
          <w:rFonts w:cs="Times New Roman"/>
          <w:lang w:val="fr-CA"/>
        </w:rPr>
        <w:t xml:space="preserve">2014 QCCS 3404, </w:t>
      </w:r>
      <w:r>
        <w:rPr>
          <w:rFonts w:cs="Times New Roman"/>
          <w:lang w:val="fr-CA"/>
        </w:rPr>
        <w:t>par. </w:t>
      </w:r>
      <w:r w:rsidRPr="000D0A70">
        <w:rPr>
          <w:rFonts w:cs="Times New Roman"/>
          <w:lang w:val="fr-CA"/>
        </w:rPr>
        <w:t xml:space="preserve">71 (CanLII); </w:t>
      </w:r>
      <w:r w:rsidRPr="000D0A70">
        <w:rPr>
          <w:rFonts w:cs="Times New Roman"/>
          <w:i/>
          <w:lang w:val="fr-CA"/>
        </w:rPr>
        <w:t>Labs of Virginia Inc. c. Clintrials Bioresearch Ltd.</w:t>
      </w:r>
      <w:r w:rsidR="00F611A0">
        <w:rPr>
          <w:rFonts w:cs="Times New Roman"/>
          <w:lang w:val="fr-CA"/>
        </w:rPr>
        <w:t>, [2003] R.J.Q. 1876</w:t>
      </w:r>
      <w:r w:rsidRPr="000D0A70">
        <w:rPr>
          <w:rFonts w:cs="Times New Roman"/>
          <w:lang w:val="fr-CA"/>
        </w:rPr>
        <w:t xml:space="preserve"> (C.</w:t>
      </w:r>
      <w:r>
        <w:rPr>
          <w:rFonts w:cs="Times New Roman"/>
          <w:lang w:val="fr-CA"/>
        </w:rPr>
        <w:t>S</w:t>
      </w:r>
      <w:r w:rsidRPr="000D0A70">
        <w:rPr>
          <w:rFonts w:cs="Times New Roman"/>
          <w:lang w:val="fr-CA"/>
        </w:rPr>
        <w:t>.)</w:t>
      </w:r>
      <w:r w:rsidR="00F611A0">
        <w:rPr>
          <w:rFonts w:cs="Times New Roman"/>
          <w:lang w:val="fr-CA"/>
        </w:rPr>
        <w:t>,</w:t>
      </w:r>
      <w:r w:rsidRPr="000D0A70">
        <w:rPr>
          <w:rFonts w:cs="Times New Roman"/>
          <w:lang w:val="fr-CA"/>
        </w:rPr>
        <w:t xml:space="preserve"> </w:t>
      </w:r>
      <w:r>
        <w:rPr>
          <w:rFonts w:cs="Times New Roman"/>
          <w:lang w:val="fr-CA"/>
        </w:rPr>
        <w:t>par. </w:t>
      </w:r>
      <w:r w:rsidRPr="000D0A70">
        <w:rPr>
          <w:rFonts w:cs="Times New Roman"/>
          <w:lang w:val="fr-CA"/>
        </w:rPr>
        <w:t xml:space="preserve">39). La comparution dans le simple but de contester la compétence en temps opportun en est un autre (Goldstein (2012), </w:t>
      </w:r>
      <w:r>
        <w:rPr>
          <w:rFonts w:cs="Times New Roman"/>
          <w:lang w:val="fr-CA"/>
        </w:rPr>
        <w:t>par. </w:t>
      </w:r>
      <w:r w:rsidRPr="000D0A70">
        <w:rPr>
          <w:rFonts w:cs="Times New Roman"/>
          <w:lang w:val="fr-CA"/>
        </w:rPr>
        <w:t xml:space="preserve">3148 580; Talpis, </w:t>
      </w:r>
      <w:r>
        <w:rPr>
          <w:rFonts w:cs="Times New Roman"/>
          <w:lang w:val="fr-CA"/>
        </w:rPr>
        <w:t>p. </w:t>
      </w:r>
      <w:r w:rsidRPr="000D0A70">
        <w:rPr>
          <w:rFonts w:cs="Times New Roman"/>
          <w:lang w:val="fr-CA"/>
        </w:rPr>
        <w:t>113).</w:t>
      </w:r>
    </w:p>
    <w:p w:rsidR="00AF6697" w:rsidRPr="000D0A70" w:rsidRDefault="00AF6697" w:rsidP="00AF6697">
      <w:pPr>
        <w:pStyle w:val="ParaNoNdepar-AltN"/>
        <w:tabs>
          <w:tab w:val="clear" w:pos="1166"/>
          <w:tab w:val="num" w:pos="1152"/>
        </w:tabs>
        <w:rPr>
          <w:rFonts w:cs="Times New Roman"/>
          <w:lang w:val="fr-CA"/>
        </w:rPr>
      </w:pPr>
      <w:r w:rsidRPr="000D0A70">
        <w:rPr>
          <w:rFonts w:cs="Times New Roman"/>
          <w:lang w:val="fr-CA"/>
        </w:rPr>
        <w:t>Je souligne que les tribunaux du Québec se sont également demandé si certaines mesures procédurales autres qu</w:t>
      </w:r>
      <w:r>
        <w:rPr>
          <w:rFonts w:cs="Times New Roman"/>
          <w:lang w:val="fr-CA"/>
        </w:rPr>
        <w:t>’</w:t>
      </w:r>
      <w:r w:rsidRPr="000D0A70">
        <w:rPr>
          <w:rFonts w:cs="Times New Roman"/>
          <w:lang w:val="fr-CA"/>
        </w:rPr>
        <w:t xml:space="preserve">une défense sur le fond pouvaient constituer une reconnaissance. </w:t>
      </w:r>
      <w:r>
        <w:rPr>
          <w:rFonts w:cs="Times New Roman"/>
          <w:lang w:val="fr-CA"/>
        </w:rPr>
        <w:t>L</w:t>
      </w:r>
      <w:r w:rsidRPr="000D0A70">
        <w:rPr>
          <w:rFonts w:cs="Times New Roman"/>
          <w:lang w:val="fr-CA"/>
        </w:rPr>
        <w:t>e défendeur qui a participé à une instance sans soulever d</w:t>
      </w:r>
      <w:r>
        <w:rPr>
          <w:rFonts w:cs="Times New Roman"/>
          <w:lang w:val="fr-CA"/>
        </w:rPr>
        <w:t>’</w:t>
      </w:r>
      <w:r w:rsidRPr="000D0A70">
        <w:rPr>
          <w:rFonts w:cs="Times New Roman"/>
          <w:lang w:val="fr-CA"/>
        </w:rPr>
        <w:t xml:space="preserve">arguments de fond </w:t>
      </w:r>
      <w:r>
        <w:rPr>
          <w:rFonts w:cs="Times New Roman"/>
          <w:lang w:val="fr-CA"/>
        </w:rPr>
        <w:t>pourrait ne pas avoir</w:t>
      </w:r>
      <w:r w:rsidRPr="000D0A70">
        <w:rPr>
          <w:rFonts w:cs="Times New Roman"/>
          <w:lang w:val="fr-CA"/>
        </w:rPr>
        <w:t xml:space="preserve"> reconnu pour autant la compétence du tribun</w:t>
      </w:r>
      <w:r>
        <w:rPr>
          <w:rFonts w:cs="Times New Roman"/>
          <w:lang w:val="fr-CA"/>
        </w:rPr>
        <w:t>al. </w:t>
      </w:r>
      <w:r w:rsidRPr="000D0A70">
        <w:rPr>
          <w:rFonts w:cs="Times New Roman"/>
          <w:lang w:val="fr-CA"/>
        </w:rPr>
        <w:t>Cela dépend normalement de la question de savoir si les mesures procédurales en question révèlent, lorsqu</w:t>
      </w:r>
      <w:r>
        <w:rPr>
          <w:rFonts w:cs="Times New Roman"/>
          <w:lang w:val="fr-CA"/>
        </w:rPr>
        <w:t>’</w:t>
      </w:r>
      <w:r w:rsidRPr="000D0A70">
        <w:rPr>
          <w:rFonts w:cs="Times New Roman"/>
          <w:lang w:val="fr-CA"/>
        </w:rPr>
        <w:t>elles sont évaluées de manière objective, que le défendeur a implicitement décidé de faire trancher le litige par le for saisi. À cet égard, chaque cas est un cas d</w:t>
      </w:r>
      <w:r>
        <w:rPr>
          <w:rFonts w:cs="Times New Roman"/>
          <w:lang w:val="fr-CA"/>
        </w:rPr>
        <w:t>’</w:t>
      </w:r>
      <w:r w:rsidRPr="000D0A70">
        <w:rPr>
          <w:rFonts w:cs="Times New Roman"/>
          <w:lang w:val="fr-CA"/>
        </w:rPr>
        <w:t>espèce (Goldstein (2012</w:t>
      </w:r>
      <w:r>
        <w:rPr>
          <w:rFonts w:cs="Times New Roman"/>
          <w:lang w:val="fr-CA"/>
        </w:rPr>
        <w:t>)</w:t>
      </w:r>
      <w:r w:rsidRPr="000D0A70">
        <w:rPr>
          <w:rFonts w:cs="Times New Roman"/>
          <w:lang w:val="fr-CA"/>
        </w:rPr>
        <w:t xml:space="preserve">, </w:t>
      </w:r>
      <w:r>
        <w:rPr>
          <w:rFonts w:cs="Times New Roman"/>
          <w:lang w:val="fr-CA"/>
        </w:rPr>
        <w:t>par. </w:t>
      </w:r>
      <w:r w:rsidRPr="000D0A70">
        <w:rPr>
          <w:rFonts w:cs="Times New Roman"/>
          <w:lang w:val="fr-CA"/>
        </w:rPr>
        <w:t xml:space="preserve">3148 580; </w:t>
      </w:r>
      <w:r w:rsidRPr="000D0A70">
        <w:rPr>
          <w:rFonts w:cs="Times New Roman"/>
          <w:i/>
          <w:lang w:val="fr-CA"/>
        </w:rPr>
        <w:t>Richter et Associés c. Coopers et Lybrand</w:t>
      </w:r>
      <w:r w:rsidRPr="000D0A70">
        <w:rPr>
          <w:rFonts w:cs="Times New Roman"/>
          <w:lang w:val="fr-CA"/>
        </w:rPr>
        <w:t xml:space="preserve">, 2013 QCCS 1945, </w:t>
      </w:r>
      <w:r>
        <w:rPr>
          <w:rFonts w:cs="Times New Roman"/>
          <w:lang w:val="fr-CA"/>
        </w:rPr>
        <w:t>par. </w:t>
      </w:r>
      <w:r w:rsidRPr="000D0A70">
        <w:rPr>
          <w:rFonts w:cs="Times New Roman"/>
          <w:lang w:val="fr-CA"/>
        </w:rPr>
        <w:t>63 (CanLII)).</w:t>
      </w:r>
    </w:p>
    <w:p w:rsidR="00AF6697" w:rsidRPr="00CA4523" w:rsidRDefault="00AF6697" w:rsidP="00AF6697">
      <w:pPr>
        <w:pStyle w:val="ParaNoNdepar-AltN"/>
        <w:tabs>
          <w:tab w:val="clear" w:pos="1166"/>
          <w:tab w:val="num" w:pos="1152"/>
        </w:tabs>
        <w:rPr>
          <w:rFonts w:cs="Times New Roman"/>
          <w:szCs w:val="24"/>
          <w:lang w:val="fr-CA"/>
        </w:rPr>
      </w:pPr>
      <w:r w:rsidRPr="00CA4523">
        <w:rPr>
          <w:rFonts w:cs="Times New Roman"/>
          <w:lang w:val="fr-CA"/>
        </w:rPr>
        <w:t xml:space="preserve">Ainsi, certaines démarches procédurales ont été considérées comme des mesures démontrant implicitement, mais clairement, de par leur nature, que </w:t>
      </w:r>
      <w:r>
        <w:rPr>
          <w:rFonts w:cs="Times New Roman"/>
          <w:lang w:val="fr-CA"/>
        </w:rPr>
        <w:t>le défendeur</w:t>
      </w:r>
      <w:r w:rsidRPr="00CA4523">
        <w:rPr>
          <w:rFonts w:cs="Times New Roman"/>
          <w:lang w:val="fr-CA"/>
        </w:rPr>
        <w:t xml:space="preserve"> consentait à ce que le litige soit tranché par </w:t>
      </w:r>
      <w:r>
        <w:rPr>
          <w:rFonts w:cs="Times New Roman"/>
          <w:lang w:val="fr-CA"/>
        </w:rPr>
        <w:t>le for</w:t>
      </w:r>
      <w:r w:rsidRPr="00CA4523">
        <w:rPr>
          <w:rFonts w:cs="Times New Roman"/>
          <w:lang w:val="fr-CA"/>
        </w:rPr>
        <w:t xml:space="preserve"> saisi. Ces mesures comprennent la présentation d</w:t>
      </w:r>
      <w:r>
        <w:rPr>
          <w:rFonts w:cs="Times New Roman"/>
          <w:lang w:val="fr-CA"/>
        </w:rPr>
        <w:t>’</w:t>
      </w:r>
      <w:r w:rsidRPr="00CA4523">
        <w:rPr>
          <w:rFonts w:cs="Times New Roman"/>
          <w:lang w:val="fr-CA"/>
        </w:rPr>
        <w:t xml:space="preserve">une demande reconventionnelle </w:t>
      </w:r>
      <w:r w:rsidRPr="00CA4523">
        <w:rPr>
          <w:rFonts w:cs="Times New Roman"/>
          <w:szCs w:val="24"/>
          <w:lang w:val="fr-CA"/>
        </w:rPr>
        <w:t>(</w:t>
      </w:r>
      <w:r w:rsidRPr="00CA4523">
        <w:rPr>
          <w:rFonts w:cs="Times New Roman"/>
          <w:i/>
          <w:szCs w:val="24"/>
          <w:lang w:val="fr-CA"/>
        </w:rPr>
        <w:t>Lagassé</w:t>
      </w:r>
      <w:r w:rsidRPr="00CA4523">
        <w:rPr>
          <w:rFonts w:cs="Times New Roman"/>
          <w:szCs w:val="24"/>
          <w:lang w:val="fr-CA"/>
        </w:rPr>
        <w:t xml:space="preserve">, </w:t>
      </w:r>
      <w:r>
        <w:rPr>
          <w:rFonts w:cs="Times New Roman"/>
          <w:szCs w:val="24"/>
          <w:lang w:val="fr-CA"/>
        </w:rPr>
        <w:t>p. 325</w:t>
      </w:r>
      <w:r>
        <w:rPr>
          <w:rFonts w:cs="Times New Roman"/>
          <w:szCs w:val="24"/>
          <w:lang w:val="fr-CA"/>
        </w:rPr>
        <w:noBreakHyphen/>
        <w:t>326</w:t>
      </w:r>
      <w:r w:rsidRPr="00CA4523">
        <w:rPr>
          <w:rFonts w:cs="Times New Roman"/>
          <w:szCs w:val="24"/>
          <w:lang w:val="fr-CA"/>
        </w:rPr>
        <w:t>)</w:t>
      </w:r>
      <w:r>
        <w:rPr>
          <w:rFonts w:cs="Times New Roman"/>
          <w:szCs w:val="24"/>
          <w:lang w:val="fr-CA"/>
        </w:rPr>
        <w:t>; la demande de</w:t>
      </w:r>
      <w:r w:rsidRPr="00CA4523">
        <w:rPr>
          <w:rFonts w:cs="Times New Roman"/>
          <w:szCs w:val="24"/>
          <w:lang w:val="fr-CA"/>
        </w:rPr>
        <w:t xml:space="preserve"> renvoi du dossier dans un autre district du même ressort </w:t>
      </w:r>
      <w:r w:rsidRPr="00BD68C8">
        <w:rPr>
          <w:rFonts w:cs="Times New Roman"/>
          <w:szCs w:val="24"/>
          <w:lang w:val="fr-CA"/>
        </w:rPr>
        <w:t>(</w:t>
      </w:r>
      <w:r w:rsidRPr="00BD68C8">
        <w:rPr>
          <w:rFonts w:cs="Times New Roman"/>
          <w:i/>
          <w:szCs w:val="24"/>
          <w:lang w:val="fr-CA"/>
        </w:rPr>
        <w:t>Education Resources Institute Inc. (Teri) c. Chitaroni</w:t>
      </w:r>
      <w:r w:rsidR="00F5682B">
        <w:rPr>
          <w:rFonts w:cs="Times New Roman"/>
          <w:szCs w:val="24"/>
          <w:lang w:val="fr-CA"/>
        </w:rPr>
        <w:t>, 2003 CanLII 21712</w:t>
      </w:r>
      <w:r w:rsidRPr="00BD68C8">
        <w:rPr>
          <w:rFonts w:cs="Times New Roman"/>
          <w:szCs w:val="24"/>
          <w:lang w:val="fr-CA"/>
        </w:rPr>
        <w:t xml:space="preserve"> </w:t>
      </w:r>
      <w:r w:rsidR="00134631" w:rsidRPr="00BD68C8">
        <w:rPr>
          <w:rFonts w:cs="Times New Roman"/>
          <w:szCs w:val="24"/>
          <w:lang w:val="fr-CA"/>
        </w:rPr>
        <w:t>(C.Q.)</w:t>
      </w:r>
      <w:r w:rsidR="00F5682B">
        <w:rPr>
          <w:rFonts w:cs="Times New Roman"/>
          <w:szCs w:val="24"/>
          <w:lang w:val="fr-CA"/>
        </w:rPr>
        <w:t>,</w:t>
      </w:r>
      <w:r w:rsidR="00134631">
        <w:rPr>
          <w:rFonts w:cs="Times New Roman"/>
          <w:szCs w:val="24"/>
          <w:lang w:val="fr-CA"/>
        </w:rPr>
        <w:t xml:space="preserve"> </w:t>
      </w:r>
      <w:r>
        <w:rPr>
          <w:rFonts w:cs="Times New Roman"/>
          <w:szCs w:val="24"/>
          <w:lang w:val="fr-CA"/>
        </w:rPr>
        <w:t>par. </w:t>
      </w:r>
      <w:r w:rsidRPr="00BD68C8">
        <w:rPr>
          <w:rFonts w:cs="Times New Roman"/>
          <w:szCs w:val="24"/>
          <w:lang w:val="fr-CA"/>
        </w:rPr>
        <w:t xml:space="preserve">17; </w:t>
      </w:r>
      <w:r w:rsidRPr="00BD68C8">
        <w:rPr>
          <w:rFonts w:cs="Times New Roman"/>
          <w:i/>
          <w:szCs w:val="24"/>
          <w:lang w:val="fr-CA"/>
        </w:rPr>
        <w:t>MFI Export Finance inc. c. Rother International S.A. de C.V. inc.</w:t>
      </w:r>
      <w:r w:rsidR="00F611A0">
        <w:rPr>
          <w:rFonts w:cs="Times New Roman"/>
          <w:szCs w:val="24"/>
          <w:lang w:val="fr-CA"/>
        </w:rPr>
        <w:t>, 2004 CanLII 16200</w:t>
      </w:r>
      <w:r w:rsidRPr="00BD68C8">
        <w:rPr>
          <w:rFonts w:cs="Times New Roman"/>
          <w:szCs w:val="24"/>
          <w:lang w:val="fr-CA"/>
        </w:rPr>
        <w:t xml:space="preserve"> </w:t>
      </w:r>
      <w:r w:rsidR="00134631">
        <w:rPr>
          <w:rFonts w:cs="Times New Roman"/>
          <w:szCs w:val="24"/>
          <w:lang w:val="fr-CA"/>
        </w:rPr>
        <w:t>(C.S. Qc)</w:t>
      </w:r>
      <w:r w:rsidR="00F611A0">
        <w:rPr>
          <w:rFonts w:cs="Times New Roman"/>
          <w:szCs w:val="24"/>
          <w:lang w:val="fr-CA"/>
        </w:rPr>
        <w:t>,</w:t>
      </w:r>
      <w:r w:rsidR="00134631">
        <w:rPr>
          <w:rFonts w:cs="Times New Roman"/>
          <w:szCs w:val="24"/>
          <w:lang w:val="fr-CA"/>
        </w:rPr>
        <w:t xml:space="preserve"> </w:t>
      </w:r>
      <w:r>
        <w:rPr>
          <w:rFonts w:cs="Times New Roman"/>
          <w:szCs w:val="24"/>
          <w:lang w:val="fr-CA"/>
        </w:rPr>
        <w:t>par. </w:t>
      </w:r>
      <w:r w:rsidRPr="00BD68C8">
        <w:rPr>
          <w:rFonts w:cs="Times New Roman"/>
          <w:szCs w:val="24"/>
          <w:lang w:val="fr-CA"/>
        </w:rPr>
        <w:t>80</w:t>
      </w:r>
      <w:r>
        <w:rPr>
          <w:rFonts w:cs="Times New Roman"/>
          <w:szCs w:val="24"/>
          <w:lang w:val="fr-CA"/>
        </w:rPr>
        <w:noBreakHyphen/>
      </w:r>
      <w:r w:rsidRPr="00BD68C8">
        <w:rPr>
          <w:rFonts w:cs="Times New Roman"/>
          <w:szCs w:val="24"/>
          <w:lang w:val="fr-CA"/>
        </w:rPr>
        <w:t xml:space="preserve">81); et la mise en </w:t>
      </w:r>
      <w:r>
        <w:rPr>
          <w:rFonts w:cs="Times New Roman"/>
          <w:szCs w:val="24"/>
          <w:lang w:val="fr-CA"/>
        </w:rPr>
        <w:t>cause</w:t>
      </w:r>
      <w:r w:rsidRPr="00BD68C8">
        <w:rPr>
          <w:rFonts w:cs="Times New Roman"/>
          <w:szCs w:val="24"/>
          <w:lang w:val="fr-CA"/>
        </w:rPr>
        <w:t xml:space="preserve"> d</w:t>
      </w:r>
      <w:r>
        <w:rPr>
          <w:rFonts w:cs="Times New Roman"/>
          <w:szCs w:val="24"/>
          <w:lang w:val="fr-CA"/>
        </w:rPr>
        <w:t>’</w:t>
      </w:r>
      <w:r w:rsidRPr="00BD68C8">
        <w:rPr>
          <w:rFonts w:cs="Times New Roman"/>
          <w:szCs w:val="24"/>
          <w:lang w:val="fr-CA"/>
        </w:rPr>
        <w:t>un tiers pour qu</w:t>
      </w:r>
      <w:r>
        <w:rPr>
          <w:rFonts w:cs="Times New Roman"/>
          <w:szCs w:val="24"/>
          <w:lang w:val="fr-CA"/>
        </w:rPr>
        <w:t>’</w:t>
      </w:r>
      <w:r w:rsidRPr="00BD68C8">
        <w:rPr>
          <w:rFonts w:cs="Times New Roman"/>
          <w:szCs w:val="24"/>
          <w:lang w:val="fr-CA"/>
        </w:rPr>
        <w:t xml:space="preserve">il défende le </w:t>
      </w:r>
      <w:r>
        <w:rPr>
          <w:rFonts w:cs="Times New Roman"/>
          <w:szCs w:val="24"/>
          <w:lang w:val="fr-CA"/>
        </w:rPr>
        <w:t>défendeur</w:t>
      </w:r>
      <w:r w:rsidRPr="00BD68C8">
        <w:rPr>
          <w:rFonts w:cs="Times New Roman"/>
          <w:szCs w:val="24"/>
          <w:lang w:val="fr-CA"/>
        </w:rPr>
        <w:t xml:space="preserve"> </w:t>
      </w:r>
      <w:r w:rsidRPr="00BD68C8">
        <w:rPr>
          <w:rFonts w:cs="Times New Roman"/>
          <w:szCs w:val="24"/>
          <w:lang w:val="fr-CA"/>
        </w:rPr>
        <w:lastRenderedPageBreak/>
        <w:t>(</w:t>
      </w:r>
      <w:r w:rsidRPr="00BD68C8">
        <w:rPr>
          <w:rFonts w:cs="Times New Roman"/>
          <w:i/>
          <w:szCs w:val="24"/>
          <w:lang w:val="fr-CA"/>
        </w:rPr>
        <w:t>Canada (Procureur général) c. St</w:t>
      </w:r>
      <w:r>
        <w:rPr>
          <w:rFonts w:cs="Times New Roman"/>
          <w:i/>
          <w:szCs w:val="24"/>
          <w:lang w:val="fr-CA"/>
        </w:rPr>
        <w:noBreakHyphen/>
      </w:r>
      <w:r w:rsidRPr="00BD68C8">
        <w:rPr>
          <w:rFonts w:cs="Times New Roman"/>
          <w:i/>
          <w:szCs w:val="24"/>
          <w:lang w:val="fr-CA"/>
        </w:rPr>
        <w:t>Julien</w:t>
      </w:r>
      <w:r w:rsidRPr="00BD68C8">
        <w:rPr>
          <w:rFonts w:cs="Times New Roman"/>
          <w:szCs w:val="24"/>
          <w:lang w:val="fr-CA"/>
        </w:rPr>
        <w:t xml:space="preserve">, 2010 QCCS 2723, </w:t>
      </w:r>
      <w:r>
        <w:rPr>
          <w:rFonts w:cs="Times New Roman"/>
          <w:szCs w:val="24"/>
          <w:lang w:val="fr-CA"/>
        </w:rPr>
        <w:t>par. </w:t>
      </w:r>
      <w:r w:rsidRPr="00BD68C8">
        <w:rPr>
          <w:rFonts w:cs="Times New Roman"/>
          <w:szCs w:val="24"/>
          <w:lang w:val="fr-CA"/>
        </w:rPr>
        <w:t>40</w:t>
      </w:r>
      <w:r>
        <w:rPr>
          <w:rFonts w:cs="Times New Roman"/>
          <w:szCs w:val="24"/>
          <w:lang w:val="fr-CA"/>
        </w:rPr>
        <w:noBreakHyphen/>
      </w:r>
      <w:r w:rsidRPr="00BD68C8">
        <w:rPr>
          <w:rFonts w:cs="Times New Roman"/>
          <w:szCs w:val="24"/>
          <w:lang w:val="fr-CA"/>
        </w:rPr>
        <w:t>41 (CanLII)). Le fait de p</w:t>
      </w:r>
      <w:r w:rsidRPr="00BD68C8">
        <w:rPr>
          <w:rFonts w:cs="Times New Roman"/>
          <w:lang w:val="fr-CA"/>
        </w:rPr>
        <w:t>articiper relativement activement à l</w:t>
      </w:r>
      <w:r>
        <w:rPr>
          <w:rFonts w:cs="Times New Roman"/>
          <w:lang w:val="fr-CA"/>
        </w:rPr>
        <w:t>’</w:t>
      </w:r>
      <w:r w:rsidRPr="00BD68C8">
        <w:rPr>
          <w:rFonts w:cs="Times New Roman"/>
          <w:lang w:val="fr-CA"/>
        </w:rPr>
        <w:t>instance sans contest</w:t>
      </w:r>
      <w:r w:rsidRPr="00CA4523">
        <w:rPr>
          <w:rFonts w:cs="Times New Roman"/>
          <w:lang w:val="fr-CA"/>
        </w:rPr>
        <w:t>er la compétence peut également équivaloir à la reconnaissance de celle</w:t>
      </w:r>
      <w:r>
        <w:rPr>
          <w:rFonts w:cs="Times New Roman"/>
          <w:lang w:val="fr-CA"/>
        </w:rPr>
        <w:noBreakHyphen/>
      </w:r>
      <w:r w:rsidRPr="00CA4523">
        <w:rPr>
          <w:rFonts w:cs="Times New Roman"/>
          <w:lang w:val="fr-CA"/>
        </w:rPr>
        <w:t>ci (</w:t>
      </w:r>
      <w:r w:rsidRPr="00CA4523">
        <w:rPr>
          <w:rFonts w:cs="Times New Roman"/>
          <w:i/>
          <w:lang w:val="fr-CA"/>
        </w:rPr>
        <w:t>Alimport</w:t>
      </w:r>
      <w:r w:rsidRPr="00CA4523">
        <w:rPr>
          <w:rFonts w:cs="Times New Roman"/>
          <w:lang w:val="fr-CA"/>
        </w:rPr>
        <w:t>,</w:t>
      </w:r>
      <w:r w:rsidRPr="00CA4523">
        <w:rPr>
          <w:rFonts w:cs="Times New Roman"/>
          <w:i/>
          <w:lang w:val="fr-CA"/>
        </w:rPr>
        <w:t xml:space="preserve"> </w:t>
      </w:r>
      <w:r>
        <w:rPr>
          <w:rFonts w:cs="Times New Roman"/>
          <w:lang w:val="fr-CA"/>
        </w:rPr>
        <w:t>p. </w:t>
      </w:r>
      <w:r w:rsidRPr="00CA4523">
        <w:rPr>
          <w:rFonts w:cs="Times New Roman"/>
          <w:lang w:val="fr-CA"/>
        </w:rPr>
        <w:t xml:space="preserve">863; </w:t>
      </w:r>
      <w:r w:rsidRPr="00CA4523">
        <w:rPr>
          <w:rFonts w:cs="Times New Roman"/>
          <w:i/>
          <w:lang w:val="fr-CA"/>
        </w:rPr>
        <w:t>Ellipse Fiction/Ellipse Programme</w:t>
      </w:r>
      <w:r>
        <w:rPr>
          <w:rFonts w:cs="Times New Roman"/>
          <w:lang w:val="fr-CA"/>
        </w:rPr>
        <w:t>, par. 26</w:t>
      </w:r>
      <w:r w:rsidRPr="00CA4523">
        <w:rPr>
          <w:rFonts w:cs="Times New Roman"/>
          <w:lang w:val="fr-CA"/>
        </w:rPr>
        <w:t xml:space="preserve">; </w:t>
      </w:r>
      <w:r>
        <w:rPr>
          <w:rFonts w:cs="Times New Roman"/>
          <w:i/>
          <w:lang w:val="fr-CA"/>
        </w:rPr>
        <w:t>Canfield Technologies i</w:t>
      </w:r>
      <w:r w:rsidRPr="00CA4523">
        <w:rPr>
          <w:rFonts w:cs="Times New Roman"/>
          <w:i/>
          <w:lang w:val="fr-CA"/>
        </w:rPr>
        <w:t xml:space="preserve">nc. </w:t>
      </w:r>
      <w:r>
        <w:rPr>
          <w:rFonts w:cs="Times New Roman"/>
          <w:i/>
          <w:lang w:val="fr-CA"/>
        </w:rPr>
        <w:t>c. Servi</w:t>
      </w:r>
      <w:r>
        <w:rPr>
          <w:rFonts w:cs="Times New Roman"/>
          <w:i/>
          <w:lang w:val="fr-CA"/>
        </w:rPr>
        <w:noBreakHyphen/>
        <w:t>Metals Canada i</w:t>
      </w:r>
      <w:r w:rsidRPr="00CA4523">
        <w:rPr>
          <w:rFonts w:cs="Times New Roman"/>
          <w:i/>
          <w:lang w:val="fr-CA"/>
        </w:rPr>
        <w:t>nc.</w:t>
      </w:r>
      <w:r w:rsidRPr="00CA4523">
        <w:rPr>
          <w:rFonts w:cs="Times New Roman"/>
          <w:lang w:val="fr-CA"/>
        </w:rPr>
        <w:t>, 1999 CanLII 10839</w:t>
      </w:r>
      <w:r>
        <w:rPr>
          <w:rFonts w:cs="Times New Roman"/>
          <w:lang w:val="fr-CA"/>
        </w:rPr>
        <w:t xml:space="preserve"> </w:t>
      </w:r>
      <w:r w:rsidR="00134631" w:rsidRPr="00CA4523">
        <w:rPr>
          <w:rFonts w:cs="Times New Roman"/>
          <w:lang w:val="fr-CA"/>
        </w:rPr>
        <w:t>(C</w:t>
      </w:r>
      <w:r w:rsidR="00134631">
        <w:rPr>
          <w:rFonts w:cs="Times New Roman"/>
          <w:lang w:val="fr-CA"/>
        </w:rPr>
        <w:t>.</w:t>
      </w:r>
      <w:r w:rsidR="00134631" w:rsidRPr="00CA4523">
        <w:rPr>
          <w:rFonts w:cs="Times New Roman"/>
          <w:lang w:val="fr-CA"/>
        </w:rPr>
        <w:t>S</w:t>
      </w:r>
      <w:r w:rsidR="00134631">
        <w:rPr>
          <w:rFonts w:cs="Times New Roman"/>
          <w:lang w:val="fr-CA"/>
        </w:rPr>
        <w:t>.</w:t>
      </w:r>
      <w:r w:rsidR="00134631" w:rsidRPr="00CA4523">
        <w:rPr>
          <w:rFonts w:cs="Times New Roman"/>
          <w:lang w:val="fr-CA"/>
        </w:rPr>
        <w:t xml:space="preserve"> </w:t>
      </w:r>
      <w:r w:rsidR="00134631">
        <w:rPr>
          <w:rFonts w:cs="Times New Roman"/>
          <w:lang w:val="fr-CA"/>
        </w:rPr>
        <w:t>Qc</w:t>
      </w:r>
      <w:r w:rsidR="00134631" w:rsidRPr="00CA4523">
        <w:rPr>
          <w:rFonts w:cs="Times New Roman"/>
          <w:lang w:val="fr-CA"/>
        </w:rPr>
        <w:t>)</w:t>
      </w:r>
      <w:r w:rsidR="00F611A0">
        <w:rPr>
          <w:rFonts w:cs="Times New Roman"/>
          <w:lang w:val="fr-CA"/>
        </w:rPr>
        <w:t>,</w:t>
      </w:r>
      <w:r w:rsidR="00134631">
        <w:rPr>
          <w:rFonts w:cs="Times New Roman"/>
          <w:lang w:val="fr-CA"/>
        </w:rPr>
        <w:t xml:space="preserve"> </w:t>
      </w:r>
      <w:r>
        <w:rPr>
          <w:rFonts w:cs="Times New Roman"/>
          <w:lang w:val="fr-CA"/>
        </w:rPr>
        <w:t>par. 40</w:t>
      </w:r>
      <w:r w:rsidRPr="00CA4523">
        <w:rPr>
          <w:rFonts w:cs="Times New Roman"/>
          <w:lang w:val="fr-CA"/>
        </w:rPr>
        <w:t xml:space="preserve">; </w:t>
      </w:r>
      <w:r w:rsidRPr="00CA4523">
        <w:rPr>
          <w:rFonts w:cs="Times New Roman"/>
          <w:i/>
          <w:lang w:val="fr-CA"/>
        </w:rPr>
        <w:t>Jules Jordan Video</w:t>
      </w:r>
      <w:r w:rsidRPr="00CA4523">
        <w:rPr>
          <w:rFonts w:cs="Times New Roman"/>
          <w:lang w:val="fr-CA"/>
        </w:rPr>
        <w:t xml:space="preserve">, </w:t>
      </w:r>
      <w:r>
        <w:rPr>
          <w:rFonts w:cs="Times New Roman"/>
          <w:lang w:val="fr-CA"/>
        </w:rPr>
        <w:t>par. </w:t>
      </w:r>
      <w:r w:rsidRPr="00CA4523">
        <w:rPr>
          <w:rFonts w:cs="Times New Roman"/>
          <w:lang w:val="fr-CA"/>
        </w:rPr>
        <w:t>63</w:t>
      </w:r>
      <w:r>
        <w:rPr>
          <w:rFonts w:cs="Times New Roman"/>
          <w:lang w:val="fr-CA"/>
        </w:rPr>
        <w:noBreakHyphen/>
      </w:r>
      <w:r w:rsidRPr="00CA4523">
        <w:rPr>
          <w:rFonts w:cs="Times New Roman"/>
          <w:lang w:val="fr-CA"/>
        </w:rPr>
        <w:t>70). Les tribunaux doivent effectivement protéger le droit légitime du demandeur de savoir, à une certaine étape de l</w:t>
      </w:r>
      <w:r>
        <w:rPr>
          <w:rFonts w:cs="Times New Roman"/>
          <w:lang w:val="fr-CA"/>
        </w:rPr>
        <w:t>’</w:t>
      </w:r>
      <w:r w:rsidRPr="00CA4523">
        <w:rPr>
          <w:rFonts w:cs="Times New Roman"/>
          <w:lang w:val="fr-CA"/>
        </w:rPr>
        <w:t xml:space="preserve">instance, si le défendeur a reconnu ou non la compétence.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À l</w:t>
      </w:r>
      <w:r>
        <w:rPr>
          <w:rFonts w:cs="Times New Roman"/>
          <w:lang w:val="fr-CA"/>
        </w:rPr>
        <w:t>’</w:t>
      </w:r>
      <w:r w:rsidRPr="00CA4523">
        <w:rPr>
          <w:rFonts w:cs="Times New Roman"/>
          <w:lang w:val="fr-CA"/>
        </w:rPr>
        <w:t>inverse, le fait de prendre d</w:t>
      </w:r>
      <w:r>
        <w:rPr>
          <w:rFonts w:cs="Times New Roman"/>
          <w:lang w:val="fr-CA"/>
        </w:rPr>
        <w:t>’</w:t>
      </w:r>
      <w:r w:rsidRPr="00CA4523">
        <w:rPr>
          <w:rFonts w:cs="Times New Roman"/>
          <w:lang w:val="fr-CA"/>
        </w:rPr>
        <w:t>autres mesures procédurales n</w:t>
      </w:r>
      <w:r>
        <w:rPr>
          <w:rFonts w:cs="Times New Roman"/>
          <w:lang w:val="fr-CA"/>
        </w:rPr>
        <w:t>’</w:t>
      </w:r>
      <w:r w:rsidRPr="00CA4523">
        <w:rPr>
          <w:rFonts w:cs="Times New Roman"/>
          <w:lang w:val="fr-CA"/>
        </w:rPr>
        <w:t>indique pas nécessairement que le défendeur a reconnu la compétence</w:t>
      </w:r>
      <w:r>
        <w:rPr>
          <w:rFonts w:cs="Times New Roman"/>
          <w:lang w:val="fr-CA"/>
        </w:rPr>
        <w:t xml:space="preserve"> du tribunal. Par exemple, si le défendeur a reconnu </w:t>
      </w:r>
      <w:r w:rsidRPr="00CA4523">
        <w:rPr>
          <w:rFonts w:cs="Times New Roman"/>
          <w:lang w:val="fr-CA"/>
        </w:rPr>
        <w:t xml:space="preserve">un cautionnement pour </w:t>
      </w:r>
      <w:r>
        <w:rPr>
          <w:rFonts w:cs="Times New Roman"/>
          <w:lang w:val="fr-CA"/>
        </w:rPr>
        <w:t>les frais de justice</w:t>
      </w:r>
      <w:r w:rsidRPr="00CA4523">
        <w:rPr>
          <w:rFonts w:cs="Times New Roman"/>
          <w:lang w:val="fr-CA"/>
        </w:rPr>
        <w:t xml:space="preserve"> ou </w:t>
      </w:r>
      <w:r>
        <w:rPr>
          <w:rFonts w:cs="Times New Roman"/>
          <w:lang w:val="fr-CA"/>
        </w:rPr>
        <w:t>la permission pour qu’un</w:t>
      </w:r>
      <w:r w:rsidRPr="00CA4523">
        <w:rPr>
          <w:rFonts w:cs="Times New Roman"/>
          <w:lang w:val="fr-CA"/>
        </w:rPr>
        <w:t xml:space="preserve"> avocat cesse d</w:t>
      </w:r>
      <w:r>
        <w:rPr>
          <w:rFonts w:cs="Times New Roman"/>
          <w:lang w:val="fr-CA"/>
        </w:rPr>
        <w:t>’</w:t>
      </w:r>
      <w:r w:rsidRPr="00CA4523">
        <w:rPr>
          <w:rFonts w:cs="Times New Roman"/>
          <w:lang w:val="fr-CA"/>
        </w:rPr>
        <w:t>occuper</w:t>
      </w:r>
      <w:r>
        <w:rPr>
          <w:rFonts w:cs="Times New Roman"/>
          <w:lang w:val="fr-CA"/>
        </w:rPr>
        <w:t>, cela</w:t>
      </w:r>
      <w:r w:rsidRPr="00CA4523">
        <w:rPr>
          <w:rFonts w:cs="Times New Roman"/>
          <w:lang w:val="fr-CA"/>
        </w:rPr>
        <w:t xml:space="preserve"> </w:t>
      </w:r>
      <w:r w:rsidRPr="00F22D51">
        <w:rPr>
          <w:rFonts w:cs="Times New Roman"/>
          <w:lang w:val="fr-CA"/>
        </w:rPr>
        <w:t>ne suppose pas</w:t>
      </w:r>
      <w:r w:rsidRPr="00CA4523">
        <w:rPr>
          <w:rFonts w:cs="Times New Roman"/>
          <w:lang w:val="fr-CA"/>
        </w:rPr>
        <w:t xml:space="preserve"> toujours </w:t>
      </w:r>
      <w:r>
        <w:rPr>
          <w:rFonts w:cs="Times New Roman"/>
          <w:lang w:val="fr-CA"/>
        </w:rPr>
        <w:t xml:space="preserve">qu’il y a eu une telle </w:t>
      </w:r>
      <w:r w:rsidRPr="00CA4523">
        <w:rPr>
          <w:rFonts w:cs="Times New Roman"/>
          <w:lang w:val="fr-CA"/>
        </w:rPr>
        <w:t xml:space="preserve">reconnaissance </w:t>
      </w:r>
      <w:r w:rsidRPr="00CA4523">
        <w:rPr>
          <w:rFonts w:cs="Times New Roman"/>
          <w:szCs w:val="24"/>
          <w:lang w:val="fr-CA"/>
        </w:rPr>
        <w:t>(</w:t>
      </w:r>
      <w:r w:rsidRPr="00CA4523">
        <w:rPr>
          <w:rFonts w:cs="Times New Roman"/>
          <w:i/>
          <w:szCs w:val="24"/>
          <w:lang w:val="fr-CA"/>
        </w:rPr>
        <w:t>MFI Export</w:t>
      </w:r>
      <w:r>
        <w:rPr>
          <w:rFonts w:cs="Times New Roman"/>
          <w:szCs w:val="24"/>
          <w:lang w:val="fr-CA"/>
        </w:rPr>
        <w:t>, par. 74</w:t>
      </w:r>
      <w:r>
        <w:rPr>
          <w:rFonts w:cs="Times New Roman"/>
          <w:szCs w:val="24"/>
          <w:lang w:val="fr-CA"/>
        </w:rPr>
        <w:noBreakHyphen/>
        <w:t>76</w:t>
      </w:r>
      <w:r w:rsidRPr="00CA4523">
        <w:rPr>
          <w:rFonts w:cs="Times New Roman"/>
          <w:szCs w:val="24"/>
          <w:lang w:val="fr-CA"/>
        </w:rPr>
        <w:t xml:space="preserve">; </w:t>
      </w:r>
      <w:r w:rsidRPr="00CA4523">
        <w:rPr>
          <w:rFonts w:cs="Times New Roman"/>
          <w:i/>
          <w:szCs w:val="24"/>
          <w:lang w:val="fr-CA"/>
        </w:rPr>
        <w:t>G. Van</w:t>
      </w:r>
      <w:r w:rsidRPr="00CA4523">
        <w:rPr>
          <w:rFonts w:cs="Times New Roman"/>
          <w:i/>
          <w:lang w:val="fr-CA"/>
        </w:rPr>
        <w:t xml:space="preserve"> Den Brink </w:t>
      </w:r>
      <w:r>
        <w:rPr>
          <w:rFonts w:cs="Times New Roman"/>
          <w:i/>
          <w:lang w:val="fr-CA"/>
        </w:rPr>
        <w:t>B</w:t>
      </w:r>
      <w:r w:rsidRPr="00CA4523">
        <w:rPr>
          <w:rFonts w:cs="Times New Roman"/>
          <w:i/>
          <w:lang w:val="fr-CA"/>
        </w:rPr>
        <w:t>.</w:t>
      </w:r>
      <w:r>
        <w:rPr>
          <w:rFonts w:cs="Times New Roman"/>
          <w:i/>
          <w:lang w:val="fr-CA"/>
        </w:rPr>
        <w:t>V</w:t>
      </w:r>
      <w:r w:rsidRPr="00CA4523">
        <w:rPr>
          <w:rFonts w:cs="Times New Roman"/>
          <w:i/>
          <w:lang w:val="fr-CA"/>
        </w:rPr>
        <w:t>. c. Heringer</w:t>
      </w:r>
      <w:r w:rsidRPr="00CA4523">
        <w:rPr>
          <w:rFonts w:cs="Times New Roman"/>
          <w:lang w:val="fr-CA"/>
        </w:rPr>
        <w:t xml:space="preserve">, </w:t>
      </w:r>
      <w:r w:rsidR="003364C7">
        <w:rPr>
          <w:rFonts w:cs="Times New Roman"/>
          <w:lang w:val="fr-CA"/>
        </w:rPr>
        <w:t>1994 Carswell</w:t>
      </w:r>
      <w:r w:rsidR="00134631">
        <w:rPr>
          <w:rFonts w:cs="Times New Roman"/>
          <w:lang w:val="fr-CA"/>
        </w:rPr>
        <w:t>Que 2235 (WL Can.)</w:t>
      </w:r>
      <w:r w:rsidRPr="00BD68C8">
        <w:rPr>
          <w:rFonts w:cs="Times New Roman"/>
          <w:lang w:val="fr-CA"/>
        </w:rPr>
        <w:t xml:space="preserve"> (C.</w:t>
      </w:r>
      <w:r>
        <w:rPr>
          <w:rFonts w:cs="Times New Roman"/>
          <w:lang w:val="fr-CA"/>
        </w:rPr>
        <w:t>S.</w:t>
      </w:r>
      <w:r w:rsidRPr="00BD68C8">
        <w:rPr>
          <w:rFonts w:cs="Times New Roman"/>
          <w:lang w:val="fr-CA"/>
        </w:rPr>
        <w:t>)),</w:t>
      </w:r>
      <w:r w:rsidRPr="00CA4523">
        <w:rPr>
          <w:rFonts w:cs="Times New Roman"/>
          <w:lang w:val="fr-CA"/>
        </w:rPr>
        <w:t xml:space="preserve"> ni </w:t>
      </w:r>
      <w:r>
        <w:rPr>
          <w:rFonts w:cs="Times New Roman"/>
          <w:lang w:val="fr-CA"/>
        </w:rPr>
        <w:t xml:space="preserve">d’ailleurs </w:t>
      </w:r>
      <w:r w:rsidRPr="00CA4523">
        <w:rPr>
          <w:rFonts w:cs="Times New Roman"/>
          <w:lang w:val="fr-CA"/>
        </w:rPr>
        <w:t>le fait de solliciter une remise (</w:t>
      </w:r>
      <w:r>
        <w:rPr>
          <w:rFonts w:cs="Times New Roman"/>
          <w:lang w:val="fr-CA"/>
        </w:rPr>
        <w:t xml:space="preserve">voir </w:t>
      </w:r>
      <w:r w:rsidRPr="00CA4523">
        <w:rPr>
          <w:rFonts w:cs="Times New Roman"/>
          <w:i/>
          <w:lang w:val="fr-CA"/>
        </w:rPr>
        <w:t>Rogers Cantel</w:t>
      </w:r>
      <w:r w:rsidRPr="00CA4523">
        <w:rPr>
          <w:rFonts w:cs="Times New Roman"/>
          <w:lang w:val="fr-CA"/>
        </w:rPr>
        <w:t>) ou de conclure et de produire un accord entre les parties au sujet du déroulement de l</w:t>
      </w:r>
      <w:r>
        <w:rPr>
          <w:rFonts w:cs="Times New Roman"/>
          <w:lang w:val="fr-CA"/>
        </w:rPr>
        <w:t>’</w:t>
      </w:r>
      <w:r w:rsidRPr="00CA4523">
        <w:rPr>
          <w:rFonts w:cs="Times New Roman"/>
          <w:lang w:val="fr-CA"/>
        </w:rPr>
        <w:t>instance (</w:t>
      </w:r>
      <w:r w:rsidRPr="00CA4523">
        <w:rPr>
          <w:rFonts w:cs="Times New Roman"/>
          <w:i/>
          <w:lang w:val="fr-CA"/>
        </w:rPr>
        <w:t>Shamji</w:t>
      </w:r>
      <w:r w:rsidRPr="00CA4523">
        <w:rPr>
          <w:rFonts w:cs="Times New Roman"/>
          <w:lang w:val="fr-CA"/>
        </w:rPr>
        <w:t xml:space="preserve">, </w:t>
      </w:r>
      <w:r>
        <w:rPr>
          <w:rFonts w:cs="Times New Roman"/>
          <w:lang w:val="fr-CA"/>
        </w:rPr>
        <w:t>par. </w:t>
      </w:r>
      <w:r w:rsidRPr="00CA4523">
        <w:rPr>
          <w:rFonts w:cs="Times New Roman"/>
          <w:lang w:val="fr-CA"/>
        </w:rPr>
        <w:t xml:space="preserve">17; </w:t>
      </w:r>
      <w:r w:rsidRPr="00CA4523">
        <w:rPr>
          <w:rFonts w:cs="Times New Roman"/>
          <w:i/>
          <w:lang w:val="fr-CA"/>
        </w:rPr>
        <w:t>Dorais c. Saudi Arabian General Investment Authority</w:t>
      </w:r>
      <w:r w:rsidRPr="00CA4523">
        <w:rPr>
          <w:rFonts w:cs="Times New Roman"/>
          <w:lang w:val="fr-CA"/>
        </w:rPr>
        <w:t xml:space="preserve">, 2013 QCCS 4498, </w:t>
      </w:r>
      <w:r>
        <w:rPr>
          <w:rFonts w:cs="Times New Roman"/>
          <w:lang w:val="fr-CA"/>
        </w:rPr>
        <w:t>par. </w:t>
      </w:r>
      <w:r w:rsidRPr="00CA4523">
        <w:rPr>
          <w:rFonts w:cs="Times New Roman"/>
          <w:lang w:val="fr-CA"/>
        </w:rPr>
        <w:t>18</w:t>
      </w:r>
      <w:r>
        <w:rPr>
          <w:rFonts w:cs="Times New Roman"/>
          <w:lang w:val="fr-CA"/>
        </w:rPr>
        <w:t xml:space="preserve"> (CanLII)</w:t>
      </w:r>
      <w:r w:rsidRPr="00CA4523">
        <w:rPr>
          <w:rFonts w:cs="Times New Roman"/>
          <w:lang w:val="fr-CA"/>
        </w:rPr>
        <w:t>). Dans certains cas, une combinaison de ces mesures ne sera pas suffisante non plus pour emporter reconnaissance (</w:t>
      </w:r>
      <w:r w:rsidRPr="00CA4523">
        <w:rPr>
          <w:rFonts w:cs="Times New Roman"/>
          <w:i/>
          <w:lang w:val="fr-CA"/>
        </w:rPr>
        <w:t>Forest Fibers</w:t>
      </w:r>
      <w:r w:rsidRPr="00CA4523">
        <w:rPr>
          <w:rFonts w:cs="Times New Roman"/>
          <w:lang w:val="fr-CA"/>
        </w:rPr>
        <w:t xml:space="preserve">, </w:t>
      </w:r>
      <w:r>
        <w:rPr>
          <w:rFonts w:cs="Times New Roman"/>
          <w:lang w:val="fr-CA"/>
        </w:rPr>
        <w:t>par. </w:t>
      </w:r>
      <w:r w:rsidRPr="00CA4523">
        <w:rPr>
          <w:rFonts w:cs="Times New Roman"/>
          <w:lang w:val="fr-CA"/>
        </w:rPr>
        <w:t>41</w:t>
      </w:r>
      <w:r>
        <w:rPr>
          <w:rFonts w:cs="Times New Roman"/>
          <w:lang w:val="fr-CA"/>
        </w:rPr>
        <w:noBreakHyphen/>
      </w:r>
      <w:r w:rsidRPr="00CA4523">
        <w:rPr>
          <w:rFonts w:cs="Times New Roman"/>
          <w:lang w:val="fr-CA"/>
        </w:rPr>
        <w:t xml:space="preserve">44). Cela étant dit, les avis sont très partagés en ce qui concerne la qualification juridique des situations intermédiaires </w:t>
      </w:r>
      <w:r>
        <w:rPr>
          <w:rFonts w:cs="Times New Roman"/>
          <w:lang w:val="fr-CA"/>
        </w:rPr>
        <w:t>qui se situent</w:t>
      </w:r>
      <w:r w:rsidRPr="00CA4523">
        <w:rPr>
          <w:rFonts w:cs="Times New Roman"/>
          <w:lang w:val="fr-CA"/>
        </w:rPr>
        <w:t xml:space="preserve"> entre ces </w:t>
      </w:r>
      <w:r>
        <w:rPr>
          <w:rFonts w:cs="Times New Roman"/>
          <w:lang w:val="fr-CA"/>
        </w:rPr>
        <w:t>divers exemples</w:t>
      </w:r>
      <w:r w:rsidRPr="00CA4523">
        <w:rPr>
          <w:rFonts w:cs="Times New Roman"/>
          <w:lang w:val="fr-CA"/>
        </w:rPr>
        <w:t xml:space="preserve">.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Le cas du défendeur qui choisit de présenter une défense</w:t>
      </w:r>
      <w:r>
        <w:rPr>
          <w:rFonts w:cs="Times New Roman"/>
          <w:lang w:val="fr-CA"/>
        </w:rPr>
        <w:t xml:space="preserve"> au fond</w:t>
      </w:r>
      <w:r w:rsidRPr="00CA4523">
        <w:rPr>
          <w:rFonts w:cs="Times New Roman"/>
          <w:lang w:val="fr-CA"/>
        </w:rPr>
        <w:t xml:space="preserve"> en même temps que ses </w:t>
      </w:r>
      <w:r w:rsidRPr="00CA4523">
        <w:rPr>
          <w:rFonts w:cs="Times New Roman"/>
          <w:szCs w:val="24"/>
          <w:lang w:val="fr-CA"/>
        </w:rPr>
        <w:t>moyens déclinatoires</w:t>
      </w:r>
      <w:r w:rsidRPr="00CA4523">
        <w:rPr>
          <w:rFonts w:cs="Times New Roman"/>
          <w:lang w:val="fr-CA"/>
        </w:rPr>
        <w:t>, ou encore pendant qu</w:t>
      </w:r>
      <w:r>
        <w:rPr>
          <w:rFonts w:cs="Times New Roman"/>
          <w:lang w:val="fr-CA"/>
        </w:rPr>
        <w:t>’</w:t>
      </w:r>
      <w:r w:rsidRPr="00CA4523">
        <w:rPr>
          <w:rFonts w:cs="Times New Roman"/>
          <w:lang w:val="fr-CA"/>
        </w:rPr>
        <w:t xml:space="preserve">une décision sur la compétence est attendue ou après que le tribunal a rejeté ses </w:t>
      </w:r>
      <w:r w:rsidRPr="00CA4523">
        <w:rPr>
          <w:rFonts w:cs="Times New Roman"/>
          <w:szCs w:val="24"/>
          <w:lang w:val="fr-CA"/>
        </w:rPr>
        <w:t>moyens déclinatoires</w:t>
      </w:r>
      <w:r>
        <w:rPr>
          <w:rFonts w:cs="Times New Roman"/>
          <w:szCs w:val="24"/>
          <w:lang w:val="fr-CA"/>
        </w:rPr>
        <w:t>, reste</w:t>
      </w:r>
      <w:r>
        <w:rPr>
          <w:rFonts w:cs="Times New Roman"/>
          <w:lang w:val="fr-CA"/>
        </w:rPr>
        <w:t xml:space="preserve"> </w:t>
      </w:r>
      <w:r>
        <w:rPr>
          <w:rFonts w:cs="Times New Roman"/>
          <w:lang w:val="fr-CA"/>
        </w:rPr>
        <w:lastRenderedPageBreak/>
        <w:t>des plus controversés</w:t>
      </w:r>
      <w:r w:rsidRPr="00CA4523">
        <w:rPr>
          <w:rFonts w:cs="Times New Roman"/>
          <w:lang w:val="fr-CA"/>
        </w:rPr>
        <w:t>. La confusion découle en partie de l</w:t>
      </w:r>
      <w:r>
        <w:rPr>
          <w:rFonts w:cs="Times New Roman"/>
          <w:lang w:val="fr-CA"/>
        </w:rPr>
        <w:t>’</w:t>
      </w:r>
      <w:r w:rsidRPr="00CA4523">
        <w:rPr>
          <w:rFonts w:cs="Times New Roman"/>
          <w:lang w:val="fr-CA"/>
        </w:rPr>
        <w:t>idée défendue par certains suivant laquelle il n</w:t>
      </w:r>
      <w:r>
        <w:rPr>
          <w:rFonts w:cs="Times New Roman"/>
          <w:lang w:val="fr-CA"/>
        </w:rPr>
        <w:t>’</w:t>
      </w:r>
      <w:r w:rsidRPr="00CA4523">
        <w:rPr>
          <w:rFonts w:cs="Times New Roman"/>
          <w:lang w:val="fr-CA"/>
        </w:rPr>
        <w:t>y a pas lieu de présumer que le défendeur a reconnu la compétence lorsqu</w:t>
      </w:r>
      <w:r>
        <w:rPr>
          <w:rFonts w:cs="Times New Roman"/>
          <w:lang w:val="fr-CA"/>
        </w:rPr>
        <w:t>’</w:t>
      </w:r>
      <w:r w:rsidRPr="00CA4523">
        <w:rPr>
          <w:rFonts w:cs="Times New Roman"/>
          <w:lang w:val="fr-CA"/>
        </w:rPr>
        <w:t>il a agi dans le seul but de « </w:t>
      </w:r>
      <w:r w:rsidRPr="00BD5C64">
        <w:rPr>
          <w:rFonts w:cs="Times New Roman"/>
          <w:lang w:val="fr-CA"/>
        </w:rPr>
        <w:t>sauver les meubles</w:t>
      </w:r>
      <w:r w:rsidRPr="00CA4523">
        <w:rPr>
          <w:rFonts w:cs="Times New Roman"/>
          <w:lang w:val="fr-CA"/>
        </w:rPr>
        <w:t> ». Ainsi que l</w:t>
      </w:r>
      <w:r>
        <w:rPr>
          <w:rFonts w:cs="Times New Roman"/>
          <w:lang w:val="fr-CA"/>
        </w:rPr>
        <w:t>’</w:t>
      </w:r>
      <w:r w:rsidRPr="00CA4523">
        <w:rPr>
          <w:rFonts w:cs="Times New Roman"/>
          <w:lang w:val="fr-CA"/>
        </w:rPr>
        <w:t>ont expliqué les professeurs Goldstein et Groffier en 1998, cette approche repose sur le raisonnement selon lequel la reconnaissance devrait être fondée sur l</w:t>
      </w:r>
      <w:r>
        <w:rPr>
          <w:rFonts w:cs="Times New Roman"/>
          <w:lang w:val="fr-CA"/>
        </w:rPr>
        <w:t>’</w:t>
      </w:r>
      <w:r w:rsidRPr="00CA4523">
        <w:rPr>
          <w:rFonts w:cs="Times New Roman"/>
          <w:lang w:val="fr-CA"/>
        </w:rPr>
        <w:t>intention du défendeur (</w:t>
      </w:r>
      <w:r>
        <w:rPr>
          <w:rFonts w:cs="Times New Roman"/>
          <w:lang w:val="fr-CA"/>
        </w:rPr>
        <w:t>par. 183</w:t>
      </w:r>
      <w:r w:rsidRPr="00CA4523">
        <w:rPr>
          <w:rFonts w:cs="Times New Roman"/>
          <w:lang w:val="fr-CA"/>
        </w:rPr>
        <w:t xml:space="preserve">). </w:t>
      </w:r>
      <w:r>
        <w:rPr>
          <w:rFonts w:cs="Times New Roman"/>
          <w:lang w:val="fr-CA"/>
        </w:rPr>
        <w:t>Ainsi, selon eux, lorsqu’</w:t>
      </w:r>
      <w:r w:rsidRPr="00CA4523">
        <w:rPr>
          <w:rFonts w:cs="Times New Roman"/>
          <w:lang w:val="fr-CA"/>
        </w:rPr>
        <w:t>une partie présente un argument sur le fond, non pas parce qu</w:t>
      </w:r>
      <w:r>
        <w:rPr>
          <w:rFonts w:cs="Times New Roman"/>
          <w:lang w:val="fr-CA"/>
        </w:rPr>
        <w:t>’</w:t>
      </w:r>
      <w:r w:rsidRPr="00CA4523">
        <w:rPr>
          <w:rFonts w:cs="Times New Roman"/>
          <w:lang w:val="fr-CA"/>
        </w:rPr>
        <w:t>elle croit le tribunal compéten</w:t>
      </w:r>
      <w:r>
        <w:rPr>
          <w:rFonts w:cs="Times New Roman"/>
          <w:lang w:val="fr-CA"/>
        </w:rPr>
        <w:t>t</w:t>
      </w:r>
      <w:r w:rsidRPr="00CA4523">
        <w:rPr>
          <w:rFonts w:cs="Times New Roman"/>
          <w:lang w:val="fr-CA"/>
        </w:rPr>
        <w:t>, mais parce que cela semble être la meilleure façon d</w:t>
      </w:r>
      <w:r>
        <w:rPr>
          <w:rFonts w:cs="Times New Roman"/>
          <w:lang w:val="fr-CA"/>
        </w:rPr>
        <w:t>’</w:t>
      </w:r>
      <w:r w:rsidRPr="00CA4523">
        <w:rPr>
          <w:rFonts w:cs="Times New Roman"/>
          <w:lang w:val="fr-CA"/>
        </w:rPr>
        <w:t xml:space="preserve">éviter les conséquences défavorables pouvant découler de </w:t>
      </w:r>
      <w:r>
        <w:rPr>
          <w:rFonts w:cs="Times New Roman"/>
          <w:lang w:val="fr-CA"/>
        </w:rPr>
        <w:t xml:space="preserve">l’absence de participation à </w:t>
      </w:r>
      <w:r w:rsidRPr="00CA4523">
        <w:rPr>
          <w:rFonts w:cs="Times New Roman"/>
          <w:lang w:val="fr-CA"/>
        </w:rPr>
        <w:t>l</w:t>
      </w:r>
      <w:r>
        <w:rPr>
          <w:rFonts w:cs="Times New Roman"/>
          <w:lang w:val="fr-CA"/>
        </w:rPr>
        <w:t>’</w:t>
      </w:r>
      <w:r w:rsidRPr="00CA4523">
        <w:rPr>
          <w:rFonts w:cs="Times New Roman"/>
          <w:lang w:val="fr-CA"/>
        </w:rPr>
        <w:t>instance, cette attitude ne devrait pas être considérée comme une reconnaissance (</w:t>
      </w:r>
      <w:r>
        <w:rPr>
          <w:rFonts w:cs="Times New Roman"/>
          <w:lang w:val="fr-CA"/>
        </w:rPr>
        <w:t>par. 183</w:t>
      </w:r>
      <w:r w:rsidRPr="00CA4523">
        <w:rPr>
          <w:rFonts w:cs="Times New Roman"/>
          <w:lang w:val="fr-CA"/>
        </w:rPr>
        <w:t xml:space="preserve">). </w:t>
      </w:r>
      <w:r>
        <w:rPr>
          <w:rFonts w:cs="Times New Roman"/>
          <w:lang w:val="fr-CA"/>
        </w:rPr>
        <w:t xml:space="preserve">Pour les professeurs </w:t>
      </w:r>
      <w:r w:rsidRPr="00CA4523">
        <w:rPr>
          <w:rFonts w:cs="Times New Roman"/>
          <w:lang w:val="fr-CA"/>
        </w:rPr>
        <w:t>Goldstein et Groffier, cette approche servirait l</w:t>
      </w:r>
      <w:r>
        <w:rPr>
          <w:rFonts w:cs="Times New Roman"/>
          <w:lang w:val="fr-CA"/>
        </w:rPr>
        <w:t>’</w:t>
      </w:r>
      <w:r w:rsidRPr="00CA4523">
        <w:rPr>
          <w:rFonts w:cs="Times New Roman"/>
          <w:lang w:val="fr-CA"/>
        </w:rPr>
        <w:t>administration de la justice, car elle encouragerait toutes les parties au litige à participer pleinement à l</w:t>
      </w:r>
      <w:r>
        <w:rPr>
          <w:rFonts w:cs="Times New Roman"/>
          <w:lang w:val="fr-CA"/>
        </w:rPr>
        <w:t>’</w:t>
      </w:r>
      <w:r w:rsidRPr="00CA4523">
        <w:rPr>
          <w:rFonts w:cs="Times New Roman"/>
          <w:lang w:val="fr-CA"/>
        </w:rPr>
        <w:t>instance (</w:t>
      </w:r>
      <w:r>
        <w:rPr>
          <w:rFonts w:cs="Times New Roman"/>
          <w:lang w:val="fr-CA"/>
        </w:rPr>
        <w:t>par. 183</w:t>
      </w:r>
      <w:r w:rsidRPr="00CA4523">
        <w:rPr>
          <w:rFonts w:cs="Times New Roman"/>
          <w:lang w:val="fr-CA"/>
        </w:rPr>
        <w:t xml:space="preserve">). </w:t>
      </w:r>
      <w:r>
        <w:rPr>
          <w:rFonts w:cs="Times New Roman"/>
          <w:lang w:val="fr-CA"/>
        </w:rPr>
        <w:t>J</w:t>
      </w:r>
      <w:r w:rsidRPr="00CA4523">
        <w:rPr>
          <w:rFonts w:cs="Times New Roman"/>
          <w:lang w:val="fr-CA"/>
        </w:rPr>
        <w:t xml:space="preserve">e souligne </w:t>
      </w:r>
      <w:r>
        <w:rPr>
          <w:rFonts w:cs="Times New Roman"/>
          <w:lang w:val="fr-CA"/>
        </w:rPr>
        <w:t xml:space="preserve">cependant </w:t>
      </w:r>
      <w:r w:rsidRPr="00CA4523">
        <w:rPr>
          <w:rFonts w:cs="Times New Roman"/>
          <w:lang w:val="fr-CA"/>
        </w:rPr>
        <w:t>que ces auteurs ne se sont pas fondés sur la jurisprudence et la doctrine existantes pour proposer cette approche</w:t>
      </w:r>
      <w:r>
        <w:rPr>
          <w:rFonts w:cs="Times New Roman"/>
          <w:lang w:val="fr-CA"/>
        </w:rPr>
        <w:t>;</w:t>
      </w:r>
      <w:r w:rsidRPr="00CA4523">
        <w:rPr>
          <w:rFonts w:cs="Times New Roman"/>
          <w:lang w:val="fr-CA"/>
        </w:rPr>
        <w:t xml:space="preserve"> </w:t>
      </w:r>
      <w:r>
        <w:rPr>
          <w:rFonts w:cs="Times New Roman"/>
          <w:lang w:val="fr-CA"/>
        </w:rPr>
        <w:t>ils</w:t>
      </w:r>
      <w:r w:rsidRPr="00CA4523">
        <w:rPr>
          <w:rFonts w:cs="Times New Roman"/>
          <w:lang w:val="fr-CA"/>
        </w:rPr>
        <w:t xml:space="preserve"> ont </w:t>
      </w:r>
      <w:r>
        <w:rPr>
          <w:rFonts w:cs="Times New Roman"/>
          <w:lang w:val="fr-CA"/>
        </w:rPr>
        <w:t xml:space="preserve">plutôt </w:t>
      </w:r>
      <w:r w:rsidRPr="00CA4523">
        <w:rPr>
          <w:rFonts w:cs="Times New Roman"/>
          <w:lang w:val="fr-CA"/>
        </w:rPr>
        <w:t>simplement exprimé leur avis sur ce que devrait être le droit.</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 xml:space="preserve">Cette approche a été approuvée dans le jugement </w:t>
      </w:r>
      <w:r w:rsidRPr="00CA4523">
        <w:rPr>
          <w:rFonts w:cs="Times New Roman"/>
          <w:i/>
          <w:lang w:val="fr-CA"/>
        </w:rPr>
        <w:t>Cortas Canning</w:t>
      </w:r>
      <w:r>
        <w:rPr>
          <w:rFonts w:cs="Times New Roman"/>
          <w:lang w:val="fr-CA"/>
        </w:rPr>
        <w:t xml:space="preserve"> rendu par la</w:t>
      </w:r>
      <w:r w:rsidRPr="00CA4523">
        <w:rPr>
          <w:rFonts w:cs="Times New Roman"/>
          <w:lang w:val="fr-CA"/>
        </w:rPr>
        <w:t xml:space="preserve"> Cour supérieure du Québec en 1999 et sur lequel M. Barer a beaucoup tablé tant devant </w:t>
      </w:r>
      <w:r>
        <w:rPr>
          <w:rFonts w:cs="Times New Roman"/>
          <w:lang w:val="fr-CA"/>
        </w:rPr>
        <w:t>notre</w:t>
      </w:r>
      <w:r w:rsidRPr="00CA4523">
        <w:rPr>
          <w:rFonts w:cs="Times New Roman"/>
          <w:lang w:val="fr-CA"/>
        </w:rPr>
        <w:t xml:space="preserve"> Cour que devant les </w:t>
      </w:r>
      <w:r>
        <w:rPr>
          <w:rFonts w:cs="Times New Roman"/>
          <w:lang w:val="fr-CA"/>
        </w:rPr>
        <w:t>cours</w:t>
      </w:r>
      <w:r w:rsidRPr="00CA4523">
        <w:rPr>
          <w:rFonts w:cs="Times New Roman"/>
          <w:lang w:val="fr-CA"/>
        </w:rPr>
        <w:t xml:space="preserve"> </w:t>
      </w:r>
      <w:r>
        <w:rPr>
          <w:rFonts w:cs="Times New Roman"/>
          <w:lang w:val="fr-CA"/>
        </w:rPr>
        <w:t xml:space="preserve">d’instances </w:t>
      </w:r>
      <w:r w:rsidRPr="00CA4523">
        <w:rPr>
          <w:rFonts w:cs="Times New Roman"/>
          <w:lang w:val="fr-CA"/>
        </w:rPr>
        <w:t xml:space="preserve">inférieures. Dans cette affaire, la partie requérante avait demandé à la Cour supérieure de reconnaître et </w:t>
      </w:r>
      <w:r>
        <w:rPr>
          <w:rFonts w:cs="Times New Roman"/>
          <w:lang w:val="fr-CA"/>
        </w:rPr>
        <w:t xml:space="preserve">de déclarer exécutoire </w:t>
      </w:r>
      <w:r w:rsidRPr="00CA4523">
        <w:rPr>
          <w:rFonts w:cs="Times New Roman"/>
          <w:lang w:val="fr-CA"/>
        </w:rPr>
        <w:t xml:space="preserve">un jugement par défaut </w:t>
      </w:r>
      <w:r>
        <w:rPr>
          <w:rFonts w:cs="Times New Roman"/>
          <w:lang w:val="fr-CA"/>
        </w:rPr>
        <w:t xml:space="preserve">rendu par </w:t>
      </w:r>
      <w:r w:rsidRPr="00CA4523">
        <w:rPr>
          <w:rFonts w:cs="Times New Roman"/>
          <w:lang w:val="fr-CA"/>
        </w:rPr>
        <w:t xml:space="preserve">un tribunal du Texas. Les défendeurs avaient pris de nombreuses mesures procédurales </w:t>
      </w:r>
      <w:r>
        <w:rPr>
          <w:rFonts w:cs="Times New Roman"/>
          <w:lang w:val="fr-CA"/>
        </w:rPr>
        <w:t>dans cet État</w:t>
      </w:r>
      <w:r w:rsidRPr="00CA4523">
        <w:rPr>
          <w:rFonts w:cs="Times New Roman"/>
          <w:lang w:val="fr-CA"/>
        </w:rPr>
        <w:t xml:space="preserve"> après avoir réservé leur droit de contester la compétence</w:t>
      </w:r>
      <w:r>
        <w:rPr>
          <w:rFonts w:cs="Times New Roman"/>
          <w:lang w:val="fr-CA"/>
        </w:rPr>
        <w:t xml:space="preserve"> du tribunal. De fait</w:t>
      </w:r>
      <w:r w:rsidRPr="00CA4523">
        <w:rPr>
          <w:rFonts w:cs="Times New Roman"/>
          <w:lang w:val="fr-CA"/>
        </w:rPr>
        <w:t>, ils</w:t>
      </w:r>
      <w:r>
        <w:rPr>
          <w:rFonts w:cs="Times New Roman"/>
          <w:lang w:val="fr-CA"/>
        </w:rPr>
        <w:t xml:space="preserve"> avaient présenté une demande en prorogation</w:t>
      </w:r>
      <w:r w:rsidRPr="00CA4523">
        <w:rPr>
          <w:rFonts w:cs="Times New Roman"/>
          <w:lang w:val="fr-CA"/>
        </w:rPr>
        <w:t xml:space="preserve">, deux requêtes en irrecevabilité et une requête </w:t>
      </w:r>
      <w:r>
        <w:rPr>
          <w:rFonts w:cs="Times New Roman"/>
          <w:lang w:val="fr-CA"/>
        </w:rPr>
        <w:t xml:space="preserve">pour que leur avocat soit autorisé à </w:t>
      </w:r>
      <w:r w:rsidRPr="00CA4523">
        <w:rPr>
          <w:rFonts w:cs="Times New Roman"/>
          <w:lang w:val="fr-CA"/>
        </w:rPr>
        <w:t>cesser d</w:t>
      </w:r>
      <w:r>
        <w:rPr>
          <w:rFonts w:cs="Times New Roman"/>
          <w:lang w:val="fr-CA"/>
        </w:rPr>
        <w:t>’</w:t>
      </w:r>
      <w:r w:rsidRPr="00CA4523">
        <w:rPr>
          <w:rFonts w:cs="Times New Roman"/>
          <w:lang w:val="fr-CA"/>
        </w:rPr>
        <w:t>occuper, en plus de déposer un rapport d</w:t>
      </w:r>
      <w:r>
        <w:rPr>
          <w:rFonts w:cs="Times New Roman"/>
          <w:lang w:val="fr-CA"/>
        </w:rPr>
        <w:t>’</w:t>
      </w:r>
      <w:r w:rsidRPr="00CA4523">
        <w:rPr>
          <w:rFonts w:cs="Times New Roman"/>
          <w:lang w:val="fr-CA"/>
        </w:rPr>
        <w:t>étape conjoint et d</w:t>
      </w:r>
      <w:r>
        <w:rPr>
          <w:rFonts w:cs="Times New Roman"/>
          <w:lang w:val="fr-CA"/>
        </w:rPr>
        <w:t>’</w:t>
      </w:r>
      <w:r w:rsidRPr="00CA4523">
        <w:rPr>
          <w:rFonts w:cs="Times New Roman"/>
          <w:lang w:val="fr-CA"/>
        </w:rPr>
        <w:t>assister à une conférence de règlement</w:t>
      </w:r>
      <w:r>
        <w:rPr>
          <w:rFonts w:cs="Times New Roman"/>
          <w:lang w:val="fr-CA"/>
        </w:rPr>
        <w:t xml:space="preserve"> à l’amiable</w:t>
      </w:r>
      <w:r w:rsidRPr="00CA4523">
        <w:rPr>
          <w:rFonts w:cs="Times New Roman"/>
          <w:lang w:val="fr-CA"/>
        </w:rPr>
        <w:t xml:space="preserve"> (</w:t>
      </w:r>
      <w:r>
        <w:rPr>
          <w:rFonts w:cs="Times New Roman"/>
          <w:lang w:val="fr-CA"/>
        </w:rPr>
        <w:t>p. 1229</w:t>
      </w:r>
      <w:r>
        <w:rPr>
          <w:rFonts w:cs="Times New Roman"/>
          <w:lang w:val="fr-CA"/>
        </w:rPr>
        <w:noBreakHyphen/>
        <w:t>1230)</w:t>
      </w:r>
      <w:r w:rsidRPr="00CA4523">
        <w:rPr>
          <w:rFonts w:cs="Times New Roman"/>
          <w:lang w:val="fr-CA"/>
        </w:rPr>
        <w:t xml:space="preserve">. Ils ont ensuite cessé de </w:t>
      </w:r>
      <w:r w:rsidRPr="00CA4523">
        <w:rPr>
          <w:rFonts w:cs="Times New Roman"/>
          <w:lang w:val="fr-CA"/>
        </w:rPr>
        <w:lastRenderedPageBreak/>
        <w:t>participer à l</w:t>
      </w:r>
      <w:r>
        <w:rPr>
          <w:rFonts w:cs="Times New Roman"/>
          <w:lang w:val="fr-CA"/>
        </w:rPr>
        <w:t>’</w:t>
      </w:r>
      <w:r w:rsidRPr="00CA4523">
        <w:rPr>
          <w:rFonts w:cs="Times New Roman"/>
          <w:lang w:val="fr-CA"/>
        </w:rPr>
        <w:t>instance et un jugement par défaut a été rendu contre eux. Pour dé</w:t>
      </w:r>
      <w:r>
        <w:rPr>
          <w:rFonts w:cs="Times New Roman"/>
          <w:lang w:val="fr-CA"/>
        </w:rPr>
        <w:t>cid</w:t>
      </w:r>
      <w:r w:rsidRPr="00CA4523">
        <w:rPr>
          <w:rFonts w:cs="Times New Roman"/>
          <w:lang w:val="fr-CA"/>
        </w:rPr>
        <w:t>er si ces mesures constituaient une reconnaissance de la compétence, l</w:t>
      </w:r>
      <w:r>
        <w:rPr>
          <w:rFonts w:cs="Times New Roman"/>
          <w:lang w:val="fr-CA"/>
        </w:rPr>
        <w:t>a</w:t>
      </w:r>
      <w:r w:rsidRPr="00CA4523">
        <w:rPr>
          <w:rFonts w:cs="Times New Roman"/>
          <w:lang w:val="fr-CA"/>
        </w:rPr>
        <w:t xml:space="preserve"> juge a examiné l</w:t>
      </w:r>
      <w:r>
        <w:rPr>
          <w:rFonts w:cs="Times New Roman"/>
          <w:lang w:val="fr-CA"/>
        </w:rPr>
        <w:t>’</w:t>
      </w:r>
      <w:r w:rsidRPr="00CA4523">
        <w:rPr>
          <w:rFonts w:cs="Times New Roman"/>
          <w:lang w:val="fr-CA"/>
        </w:rPr>
        <w:t>approche</w:t>
      </w:r>
      <w:r>
        <w:rPr>
          <w:rFonts w:cs="Times New Roman"/>
          <w:lang w:val="fr-CA"/>
        </w:rPr>
        <w:t xml:space="preserve"> dite de </w:t>
      </w:r>
      <w:r w:rsidRPr="00CA4523">
        <w:rPr>
          <w:rFonts w:cs="Times New Roman"/>
          <w:lang w:val="fr-CA"/>
        </w:rPr>
        <w:t>« </w:t>
      </w:r>
      <w:r w:rsidRPr="00BD5C64">
        <w:rPr>
          <w:rFonts w:cs="Times New Roman"/>
          <w:lang w:val="fr-CA"/>
        </w:rPr>
        <w:t>sauver les meubles</w:t>
      </w:r>
      <w:r w:rsidRPr="00CA4523">
        <w:rPr>
          <w:rFonts w:cs="Times New Roman"/>
          <w:lang w:val="fr-CA"/>
        </w:rPr>
        <w:t xml:space="preserve"> » </w:t>
      </w:r>
      <w:r>
        <w:rPr>
          <w:rFonts w:cs="Times New Roman"/>
          <w:lang w:val="fr-CA"/>
        </w:rPr>
        <w:t>préconisée par les</w:t>
      </w:r>
      <w:r w:rsidRPr="00CA4523">
        <w:rPr>
          <w:rFonts w:cs="Times New Roman"/>
          <w:lang w:val="fr-CA"/>
        </w:rPr>
        <w:t xml:space="preserve"> professeurs Goldstein et Groffier</w:t>
      </w:r>
      <w:r>
        <w:rPr>
          <w:rFonts w:cs="Times New Roman"/>
          <w:lang w:val="fr-CA"/>
        </w:rPr>
        <w:t> :</w:t>
      </w:r>
    </w:p>
    <w:p w:rsidR="00AF6697" w:rsidRPr="00CA4523" w:rsidRDefault="00AF6697" w:rsidP="00AF6697">
      <w:pPr>
        <w:pStyle w:val="Citation-AltC"/>
        <w:ind w:hanging="1166"/>
        <w:rPr>
          <w:lang w:val="fr-CA"/>
        </w:rPr>
      </w:pPr>
      <w:r>
        <w:rPr>
          <w:lang w:val="fr-CA"/>
        </w:rPr>
        <w:tab/>
      </w:r>
      <w:r w:rsidRPr="00CA4523">
        <w:rPr>
          <w:lang w:val="fr-CA"/>
        </w:rPr>
        <w:t>[</w:t>
      </w:r>
      <w:r w:rsidRPr="00CA4523">
        <w:rPr>
          <w:smallCaps/>
          <w:lang w:val="fr-CA"/>
        </w:rPr>
        <w:t>traduction</w:t>
      </w:r>
      <w:r w:rsidRPr="00CA4523">
        <w:rPr>
          <w:lang w:val="fr-CA"/>
        </w:rPr>
        <w:t>]</w:t>
      </w:r>
      <w:r>
        <w:rPr>
          <w:lang w:val="fr-CA"/>
        </w:rPr>
        <w:t xml:space="preserve"> </w:t>
      </w:r>
      <w:r w:rsidRPr="00CA4523">
        <w:rPr>
          <w:lang w:val="fr-CA"/>
        </w:rPr>
        <w:t>L</w:t>
      </w:r>
      <w:r>
        <w:rPr>
          <w:lang w:val="fr-CA"/>
        </w:rPr>
        <w:t>es auteurs</w:t>
      </w:r>
      <w:r w:rsidRPr="00CA4523">
        <w:rPr>
          <w:lang w:val="fr-CA"/>
        </w:rPr>
        <w:t xml:space="preserve"> semble</w:t>
      </w:r>
      <w:r>
        <w:rPr>
          <w:lang w:val="fr-CA"/>
        </w:rPr>
        <w:t>nt</w:t>
      </w:r>
      <w:r w:rsidRPr="00CA4523">
        <w:rPr>
          <w:lang w:val="fr-CA"/>
        </w:rPr>
        <w:t xml:space="preserve"> être favorable</w:t>
      </w:r>
      <w:r>
        <w:rPr>
          <w:lang w:val="fr-CA"/>
        </w:rPr>
        <w:t>s</w:t>
      </w:r>
      <w:r w:rsidRPr="00CA4523">
        <w:rPr>
          <w:lang w:val="fr-CA"/>
        </w:rPr>
        <w:t xml:space="preserve"> à l</w:t>
      </w:r>
      <w:r>
        <w:rPr>
          <w:lang w:val="fr-CA"/>
        </w:rPr>
        <w:t>’</w:t>
      </w:r>
      <w:r w:rsidRPr="00CA4523">
        <w:rPr>
          <w:lang w:val="fr-CA"/>
        </w:rPr>
        <w:t xml:space="preserve">idée de permettre au défendeur de « sauver les meubles » devant le tribunal étranger sans </w:t>
      </w:r>
      <w:r>
        <w:rPr>
          <w:lang w:val="fr-CA"/>
        </w:rPr>
        <w:t>reconnaître l</w:t>
      </w:r>
      <w:r w:rsidRPr="00CA4523">
        <w:rPr>
          <w:lang w:val="fr-CA"/>
        </w:rPr>
        <w:t>a compétence</w:t>
      </w:r>
      <w:r>
        <w:rPr>
          <w:lang w:val="fr-CA"/>
        </w:rPr>
        <w:t xml:space="preserve"> de ce dernier</w:t>
      </w:r>
      <w:r w:rsidR="003364C7">
        <w:rPr>
          <w:lang w:val="fr-CA"/>
        </w:rPr>
        <w:t>.</w:t>
      </w:r>
      <w:r w:rsidRPr="00CA4523">
        <w:rPr>
          <w:lang w:val="fr-CA"/>
        </w:rPr>
        <w:t xml:space="preserve"> [</w:t>
      </w:r>
      <w:r>
        <w:rPr>
          <w:lang w:val="fr-CA"/>
        </w:rPr>
        <w:t>. . .</w:t>
      </w:r>
      <w:r w:rsidRPr="00CA4523">
        <w:rPr>
          <w:lang w:val="fr-CA"/>
        </w:rPr>
        <w:t>] De l</w:t>
      </w:r>
      <w:r>
        <w:rPr>
          <w:lang w:val="fr-CA"/>
        </w:rPr>
        <w:t>’</w:t>
      </w:r>
      <w:r w:rsidRPr="00CA4523">
        <w:rPr>
          <w:lang w:val="fr-CA"/>
        </w:rPr>
        <w:t xml:space="preserve">avis de la </w:t>
      </w:r>
      <w:r>
        <w:rPr>
          <w:lang w:val="fr-CA"/>
        </w:rPr>
        <w:t>c</w:t>
      </w:r>
      <w:r w:rsidRPr="00CA4523">
        <w:rPr>
          <w:lang w:val="fr-CA"/>
        </w:rPr>
        <w:t xml:space="preserve">our, ce raisonnement est bien fondé en droit. </w:t>
      </w:r>
      <w:r w:rsidR="005D1F4B">
        <w:rPr>
          <w:lang w:val="fr-CA"/>
        </w:rPr>
        <w:t>[</w:t>
      </w:r>
      <w:r w:rsidRPr="00CA4523">
        <w:rPr>
          <w:lang w:val="fr-CA"/>
        </w:rPr>
        <w:t>I</w:t>
      </w:r>
      <w:r w:rsidR="005D1F4B">
        <w:rPr>
          <w:lang w:val="fr-CA"/>
        </w:rPr>
        <w:t>]</w:t>
      </w:r>
      <w:r w:rsidRPr="00CA4523">
        <w:rPr>
          <w:lang w:val="fr-CA"/>
        </w:rPr>
        <w:t xml:space="preserve">l permet au défendeur de soulever la question de la compétence </w:t>
      </w:r>
      <w:r>
        <w:rPr>
          <w:lang w:val="fr-CA"/>
        </w:rPr>
        <w:t>au</w:t>
      </w:r>
      <w:r w:rsidRPr="00CA4523">
        <w:rPr>
          <w:lang w:val="fr-CA"/>
        </w:rPr>
        <w:t xml:space="preserve"> début de l</w:t>
      </w:r>
      <w:r>
        <w:rPr>
          <w:lang w:val="fr-CA"/>
        </w:rPr>
        <w:t>’</w:t>
      </w:r>
      <w:r w:rsidRPr="00CA4523">
        <w:rPr>
          <w:lang w:val="fr-CA"/>
        </w:rPr>
        <w:t>inst</w:t>
      </w:r>
      <w:r>
        <w:rPr>
          <w:lang w:val="fr-CA"/>
        </w:rPr>
        <w:t>ruction</w:t>
      </w:r>
      <w:r w:rsidRPr="00CA4523">
        <w:rPr>
          <w:lang w:val="fr-CA"/>
        </w:rPr>
        <w:t xml:space="preserve"> </w:t>
      </w:r>
      <w:r>
        <w:rPr>
          <w:lang w:val="fr-CA"/>
        </w:rPr>
        <w:t xml:space="preserve">et </w:t>
      </w:r>
      <w:r w:rsidRPr="00CA4523">
        <w:rPr>
          <w:lang w:val="fr-CA"/>
        </w:rPr>
        <w:t>lui donn</w:t>
      </w:r>
      <w:r>
        <w:rPr>
          <w:lang w:val="fr-CA"/>
        </w:rPr>
        <w:t>e</w:t>
      </w:r>
      <w:r w:rsidRPr="00CA4523">
        <w:rPr>
          <w:lang w:val="fr-CA"/>
        </w:rPr>
        <w:t xml:space="preserve"> le temps </w:t>
      </w:r>
      <w:r>
        <w:rPr>
          <w:lang w:val="fr-CA"/>
        </w:rPr>
        <w:t>de soupeser comme il se doit</w:t>
      </w:r>
      <w:r w:rsidRPr="00CA4523">
        <w:rPr>
          <w:lang w:val="fr-CA"/>
        </w:rPr>
        <w:t xml:space="preserve"> les </w:t>
      </w:r>
      <w:r>
        <w:rPr>
          <w:lang w:val="fr-CA"/>
        </w:rPr>
        <w:t xml:space="preserve">risques et les </w:t>
      </w:r>
      <w:r w:rsidRPr="00CA4523">
        <w:rPr>
          <w:lang w:val="fr-CA"/>
        </w:rPr>
        <w:t xml:space="preserve">avantages </w:t>
      </w:r>
      <w:r>
        <w:rPr>
          <w:lang w:val="fr-CA"/>
        </w:rPr>
        <w:t xml:space="preserve">de chaque avenue </w:t>
      </w:r>
      <w:r w:rsidRPr="00CA4523">
        <w:rPr>
          <w:lang w:val="fr-CA"/>
        </w:rPr>
        <w:t xml:space="preserve">avant </w:t>
      </w:r>
      <w:r>
        <w:rPr>
          <w:lang w:val="fr-CA"/>
        </w:rPr>
        <w:t>d’accepter</w:t>
      </w:r>
      <w:r w:rsidRPr="00CA4523">
        <w:rPr>
          <w:lang w:val="fr-CA"/>
        </w:rPr>
        <w:t xml:space="preserve"> de </w:t>
      </w:r>
      <w:r>
        <w:rPr>
          <w:lang w:val="fr-CA"/>
        </w:rPr>
        <w:t>reconnaître la compétence</w:t>
      </w:r>
      <w:r w:rsidRPr="00CA4523">
        <w:rPr>
          <w:lang w:val="fr-CA"/>
        </w:rPr>
        <w:t xml:space="preserve"> du tribunal étranger</w:t>
      </w:r>
      <w:r>
        <w:rPr>
          <w:lang w:val="fr-CA"/>
        </w:rPr>
        <w:t>.</w:t>
      </w:r>
      <w:r w:rsidRPr="00CA4523">
        <w:rPr>
          <w:lang w:val="fr-CA"/>
        </w:rPr>
        <w:t xml:space="preserve"> </w:t>
      </w:r>
      <w:r>
        <w:rPr>
          <w:lang w:val="fr-CA"/>
        </w:rPr>
        <w:t>[p.</w:t>
      </w:r>
      <w:r w:rsidR="003364C7">
        <w:rPr>
          <w:lang w:val="fr-CA"/>
        </w:rPr>
        <w:t xml:space="preserve"> </w:t>
      </w:r>
      <w:r w:rsidR="005D1F4B">
        <w:rPr>
          <w:lang w:val="fr-CA"/>
        </w:rPr>
        <w:t>1244</w:t>
      </w:r>
      <w:r>
        <w:rPr>
          <w:lang w:val="fr-CA"/>
        </w:rPr>
        <w:t>]</w:t>
      </w:r>
    </w:p>
    <w:p w:rsidR="00AF6697" w:rsidRPr="00CA4523" w:rsidRDefault="00AF6697" w:rsidP="00AF6697">
      <w:pPr>
        <w:pStyle w:val="ContinueParaSuitedupar-AltP"/>
        <w:rPr>
          <w:rFonts w:cs="Times New Roman"/>
          <w:lang w:val="fr-CA"/>
        </w:rPr>
      </w:pPr>
      <w:r w:rsidRPr="00CA4523">
        <w:rPr>
          <w:rFonts w:cs="Times New Roman"/>
          <w:lang w:val="fr-CA"/>
        </w:rPr>
        <w:t>L</w:t>
      </w:r>
      <w:r>
        <w:rPr>
          <w:rFonts w:cs="Times New Roman"/>
          <w:lang w:val="fr-CA"/>
        </w:rPr>
        <w:t>a</w:t>
      </w:r>
      <w:r w:rsidRPr="00CA4523">
        <w:rPr>
          <w:rFonts w:cs="Times New Roman"/>
          <w:lang w:val="fr-CA"/>
        </w:rPr>
        <w:t xml:space="preserve"> juge a retenu cette approche et a estimé que les défendeurs n</w:t>
      </w:r>
      <w:r>
        <w:rPr>
          <w:rFonts w:cs="Times New Roman"/>
          <w:lang w:val="fr-CA"/>
        </w:rPr>
        <w:t>’</w:t>
      </w:r>
      <w:r w:rsidRPr="00CA4523">
        <w:rPr>
          <w:rFonts w:cs="Times New Roman"/>
          <w:lang w:val="fr-CA"/>
        </w:rPr>
        <w:t>avaient pas reconnu la compétence du tribunal du Texas (</w:t>
      </w:r>
      <w:r>
        <w:rPr>
          <w:rFonts w:cs="Times New Roman"/>
          <w:lang w:val="fr-CA"/>
        </w:rPr>
        <w:t>p. 1244</w:t>
      </w:r>
      <w:r w:rsidRPr="00CA4523">
        <w:rPr>
          <w:rFonts w:cs="Times New Roman"/>
          <w:lang w:val="fr-CA"/>
        </w:rPr>
        <w:t xml:space="preserve">).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 xml:space="preserve">Bien que la décision </w:t>
      </w:r>
      <w:r w:rsidRPr="00CA4523">
        <w:rPr>
          <w:rFonts w:cs="Times New Roman"/>
          <w:i/>
          <w:lang w:val="fr-CA"/>
        </w:rPr>
        <w:t xml:space="preserve">Cortas Canning </w:t>
      </w:r>
      <w:r w:rsidRPr="00CA4523">
        <w:rPr>
          <w:rFonts w:cs="Times New Roman"/>
          <w:lang w:val="fr-CA"/>
        </w:rPr>
        <w:t>n</w:t>
      </w:r>
      <w:r>
        <w:rPr>
          <w:rFonts w:cs="Times New Roman"/>
          <w:lang w:val="fr-CA"/>
        </w:rPr>
        <w:t>’</w:t>
      </w:r>
      <w:r w:rsidRPr="00CA4523">
        <w:rPr>
          <w:rFonts w:cs="Times New Roman"/>
          <w:lang w:val="fr-CA"/>
        </w:rPr>
        <w:t>ait jamais été suivie sur ce point de droit pré</w:t>
      </w:r>
      <w:r>
        <w:rPr>
          <w:rFonts w:cs="Times New Roman"/>
          <w:lang w:val="fr-CA"/>
        </w:rPr>
        <w:t>c</w:t>
      </w:r>
      <w:r w:rsidRPr="00CA4523">
        <w:rPr>
          <w:rFonts w:cs="Times New Roman"/>
          <w:lang w:val="fr-CA"/>
        </w:rPr>
        <w:t>is, l</w:t>
      </w:r>
      <w:r>
        <w:rPr>
          <w:rFonts w:cs="Times New Roman"/>
          <w:lang w:val="fr-CA"/>
        </w:rPr>
        <w:t>’</w:t>
      </w:r>
      <w:r w:rsidRPr="00CA4523">
        <w:rPr>
          <w:rFonts w:cs="Times New Roman"/>
          <w:lang w:val="fr-CA"/>
        </w:rPr>
        <w:t>idée que la présentation d</w:t>
      </w:r>
      <w:r>
        <w:rPr>
          <w:rFonts w:cs="Times New Roman"/>
          <w:lang w:val="fr-CA"/>
        </w:rPr>
        <w:t>’</w:t>
      </w:r>
      <w:r w:rsidRPr="00CA4523">
        <w:rPr>
          <w:rFonts w:cs="Times New Roman"/>
          <w:lang w:val="fr-CA"/>
        </w:rPr>
        <w:t>arguments de fond par le défendeur n</w:t>
      </w:r>
      <w:r>
        <w:rPr>
          <w:rFonts w:cs="Times New Roman"/>
          <w:lang w:val="fr-CA"/>
        </w:rPr>
        <w:t>’</w:t>
      </w:r>
      <w:r w:rsidRPr="00CA4523">
        <w:rPr>
          <w:rFonts w:cs="Times New Roman"/>
          <w:lang w:val="fr-CA"/>
        </w:rPr>
        <w:t>emporterait pas une reconnaissance implicite de la compétence de sa part, pourvu qu</w:t>
      </w:r>
      <w:r>
        <w:rPr>
          <w:rFonts w:cs="Times New Roman"/>
          <w:lang w:val="fr-CA"/>
        </w:rPr>
        <w:t>’</w:t>
      </w:r>
      <w:r w:rsidRPr="00CA4523">
        <w:rPr>
          <w:rFonts w:cs="Times New Roman"/>
          <w:lang w:val="fr-CA"/>
        </w:rPr>
        <w:t xml:space="preserve">il soulève la question de la compétence en temps opportun, a été évoquée ailleurs dans la jurisprudence. </w:t>
      </w:r>
      <w:r>
        <w:rPr>
          <w:rFonts w:cs="Times New Roman"/>
          <w:lang w:val="fr-CA"/>
        </w:rPr>
        <w:t>À titre d’exemple</w:t>
      </w:r>
      <w:r w:rsidRPr="00CA4523">
        <w:rPr>
          <w:rFonts w:cs="Times New Roman"/>
          <w:lang w:val="fr-CA"/>
        </w:rPr>
        <w:t xml:space="preserve">, dans les arrêts </w:t>
      </w:r>
      <w:r w:rsidRPr="00CA4523">
        <w:rPr>
          <w:rFonts w:cs="Times New Roman"/>
          <w:i/>
          <w:lang w:val="fr-CA"/>
        </w:rPr>
        <w:t>Bombardier</w:t>
      </w:r>
      <w:r w:rsidR="00147DED">
        <w:rPr>
          <w:rFonts w:cs="Times New Roman"/>
          <w:lang w:val="fr-CA"/>
        </w:rPr>
        <w:t xml:space="preserve">, </w:t>
      </w:r>
      <w:r>
        <w:rPr>
          <w:rFonts w:cs="Times New Roman"/>
          <w:lang w:val="fr-CA"/>
        </w:rPr>
        <w:t>par. </w:t>
      </w:r>
      <w:r w:rsidRPr="00CA4523">
        <w:rPr>
          <w:rFonts w:cs="Times New Roman"/>
          <w:lang w:val="fr-CA"/>
        </w:rPr>
        <w:t xml:space="preserve">59, et </w:t>
      </w:r>
      <w:r w:rsidRPr="00CA4523">
        <w:rPr>
          <w:rFonts w:cs="Times New Roman"/>
          <w:i/>
          <w:lang w:val="fr-CA"/>
        </w:rPr>
        <w:t>Ortega Figueroa c. Jen</w:t>
      </w:r>
      <w:r>
        <w:rPr>
          <w:rFonts w:cs="Times New Roman"/>
          <w:i/>
          <w:lang w:val="fr-CA"/>
        </w:rPr>
        <w:t>c</w:t>
      </w:r>
      <w:r w:rsidRPr="00CA4523">
        <w:rPr>
          <w:rFonts w:cs="Times New Roman"/>
          <w:i/>
          <w:lang w:val="fr-CA"/>
        </w:rPr>
        <w:t>kel</w:t>
      </w:r>
      <w:r w:rsidRPr="00CA4523">
        <w:rPr>
          <w:rFonts w:cs="Times New Roman"/>
          <w:lang w:val="fr-CA"/>
        </w:rPr>
        <w:t>, 2015 QCCA</w:t>
      </w:r>
      <w:r>
        <w:rPr>
          <w:rFonts w:cs="Times New Roman"/>
          <w:lang w:val="fr-CA"/>
        </w:rPr>
        <w:t> </w:t>
      </w:r>
      <w:r w:rsidRPr="00CA4523">
        <w:rPr>
          <w:rFonts w:cs="Times New Roman"/>
          <w:lang w:val="fr-CA"/>
        </w:rPr>
        <w:t>1393</w:t>
      </w:r>
      <w:r>
        <w:rPr>
          <w:rFonts w:cs="Times New Roman"/>
          <w:lang w:val="fr-CA"/>
        </w:rPr>
        <w:t>, par. </w:t>
      </w:r>
      <w:r w:rsidR="00134631">
        <w:rPr>
          <w:rFonts w:cs="Times New Roman"/>
          <w:lang w:val="fr-CA"/>
        </w:rPr>
        <w:t>58-</w:t>
      </w:r>
      <w:r w:rsidRPr="00CA4523">
        <w:rPr>
          <w:rFonts w:cs="Times New Roman"/>
          <w:lang w:val="fr-CA"/>
        </w:rPr>
        <w:t>59 et 64</w:t>
      </w:r>
      <w:r>
        <w:rPr>
          <w:rFonts w:cs="Times New Roman"/>
          <w:lang w:val="fr-CA"/>
        </w:rPr>
        <w:t xml:space="preserve"> (CanLII)</w:t>
      </w:r>
      <w:r w:rsidRPr="00CA4523">
        <w:rPr>
          <w:rFonts w:cs="Times New Roman"/>
          <w:lang w:val="fr-CA"/>
        </w:rPr>
        <w:t>, la Cour d</w:t>
      </w:r>
      <w:r>
        <w:rPr>
          <w:rFonts w:cs="Times New Roman"/>
          <w:lang w:val="fr-CA"/>
        </w:rPr>
        <w:t>’</w:t>
      </w:r>
      <w:r w:rsidRPr="00CA4523">
        <w:rPr>
          <w:rFonts w:cs="Times New Roman"/>
          <w:lang w:val="fr-CA"/>
        </w:rPr>
        <w:t xml:space="preserve">appel du Québec a fait allusion à cette conception de </w:t>
      </w:r>
      <w:r>
        <w:rPr>
          <w:rFonts w:cs="Times New Roman"/>
          <w:lang w:val="fr-CA"/>
        </w:rPr>
        <w:t>la reconnaissance de</w:t>
      </w:r>
      <w:r w:rsidRPr="00CA4523">
        <w:rPr>
          <w:rFonts w:cs="Times New Roman"/>
          <w:lang w:val="fr-CA"/>
        </w:rPr>
        <w:t xml:space="preserve"> la compétence du tribunal </w:t>
      </w:r>
      <w:r>
        <w:rPr>
          <w:rFonts w:cs="Times New Roman"/>
          <w:lang w:val="fr-CA"/>
        </w:rPr>
        <w:t>lorsqu’elle a conclu</w:t>
      </w:r>
      <w:r w:rsidRPr="00CA4523">
        <w:rPr>
          <w:rFonts w:cs="Times New Roman"/>
          <w:lang w:val="fr-CA"/>
        </w:rPr>
        <w:t xml:space="preserve"> qu</w:t>
      </w:r>
      <w:r>
        <w:rPr>
          <w:rFonts w:cs="Times New Roman"/>
          <w:lang w:val="fr-CA"/>
        </w:rPr>
        <w:t>’une</w:t>
      </w:r>
      <w:r w:rsidRPr="00CA4523">
        <w:rPr>
          <w:rFonts w:cs="Times New Roman"/>
          <w:lang w:val="fr-CA"/>
        </w:rPr>
        <w:t xml:space="preserve"> partie </w:t>
      </w:r>
      <w:r>
        <w:rPr>
          <w:rFonts w:cs="Times New Roman"/>
          <w:lang w:val="fr-CA"/>
        </w:rPr>
        <w:t xml:space="preserve">n’a </w:t>
      </w:r>
      <w:r w:rsidRPr="00CA4523">
        <w:rPr>
          <w:rFonts w:cs="Times New Roman"/>
          <w:lang w:val="fr-CA"/>
        </w:rPr>
        <w:t xml:space="preserve">pas reconnu </w:t>
      </w:r>
      <w:r>
        <w:rPr>
          <w:rFonts w:cs="Times New Roman"/>
          <w:lang w:val="fr-CA"/>
        </w:rPr>
        <w:t>cette</w:t>
      </w:r>
      <w:r w:rsidRPr="00CA4523">
        <w:rPr>
          <w:rFonts w:cs="Times New Roman"/>
          <w:lang w:val="fr-CA"/>
        </w:rPr>
        <w:t xml:space="preserve"> compétence, même si elle a plaidé le fond du litige, dès lors qu</w:t>
      </w:r>
      <w:r>
        <w:rPr>
          <w:rFonts w:cs="Times New Roman"/>
          <w:lang w:val="fr-CA"/>
        </w:rPr>
        <w:t>’</w:t>
      </w:r>
      <w:r w:rsidRPr="00CA4523">
        <w:rPr>
          <w:rFonts w:cs="Times New Roman"/>
          <w:lang w:val="fr-CA"/>
        </w:rPr>
        <w:t xml:space="preserve">elle a contesté </w:t>
      </w:r>
      <w:r>
        <w:rPr>
          <w:rFonts w:cs="Times New Roman"/>
          <w:lang w:val="fr-CA"/>
        </w:rPr>
        <w:t xml:space="preserve">cette compétence </w:t>
      </w:r>
      <w:r w:rsidRPr="00CA4523">
        <w:rPr>
          <w:rFonts w:cs="Times New Roman"/>
          <w:lang w:val="fr-CA"/>
        </w:rPr>
        <w:t xml:space="preserve">en temps opportun. Cette approche a également été signalée dans des commentaires et </w:t>
      </w:r>
      <w:r w:rsidRPr="00F22D51">
        <w:rPr>
          <w:rFonts w:cs="Times New Roman"/>
          <w:lang w:val="fr-CA"/>
        </w:rPr>
        <w:t>des ouvrages de doctrine</w:t>
      </w:r>
      <w:r w:rsidRPr="00CA4523">
        <w:rPr>
          <w:rFonts w:cs="Times New Roman"/>
          <w:lang w:val="fr-CA"/>
        </w:rPr>
        <w:t xml:space="preserve"> (Sabourin, </w:t>
      </w:r>
      <w:r>
        <w:rPr>
          <w:rFonts w:cs="Times New Roman"/>
          <w:lang w:val="fr-CA"/>
        </w:rPr>
        <w:t>par. </w:t>
      </w:r>
      <w:r w:rsidRPr="00CA4523">
        <w:rPr>
          <w:rFonts w:cs="Times New Roman"/>
          <w:lang w:val="fr-CA"/>
        </w:rPr>
        <w:t xml:space="preserve">35; </w:t>
      </w:r>
      <w:r>
        <w:rPr>
          <w:rFonts w:cs="Times New Roman"/>
          <w:lang w:val="fr-CA"/>
        </w:rPr>
        <w:t>P. </w:t>
      </w:r>
      <w:r w:rsidRPr="00CA4523">
        <w:rPr>
          <w:rFonts w:cs="Times New Roman"/>
          <w:lang w:val="fr-CA"/>
        </w:rPr>
        <w:t>Ferland et G. Laganière, « Le droit international privé », dans Collection de droit</w:t>
      </w:r>
      <w:r>
        <w:rPr>
          <w:rFonts w:cs="Times New Roman"/>
          <w:lang w:val="fr-CA"/>
        </w:rPr>
        <w:t xml:space="preserve"> de l’École du Barreau du Québec </w:t>
      </w:r>
      <w:r>
        <w:rPr>
          <w:rFonts w:cs="Times New Roman"/>
          <w:lang w:val="fr-CA"/>
        </w:rPr>
        <w:lastRenderedPageBreak/>
        <w:t>2017</w:t>
      </w:r>
      <w:r>
        <w:rPr>
          <w:rFonts w:cs="Times New Roman"/>
          <w:lang w:val="fr-CA"/>
        </w:rPr>
        <w:noBreakHyphen/>
        <w:t>2018</w:t>
      </w:r>
      <w:r w:rsidRPr="00CA4523">
        <w:rPr>
          <w:rFonts w:cs="Times New Roman"/>
          <w:lang w:val="fr-CA"/>
        </w:rPr>
        <w:t xml:space="preserve">, </w:t>
      </w:r>
      <w:r>
        <w:rPr>
          <w:rFonts w:cs="Times New Roman"/>
          <w:lang w:val="fr-CA"/>
        </w:rPr>
        <w:t>vol. </w:t>
      </w:r>
      <w:r w:rsidRPr="00CA4523">
        <w:rPr>
          <w:rFonts w:cs="Times New Roman"/>
          <w:lang w:val="fr-CA"/>
        </w:rPr>
        <w:t xml:space="preserve">7, </w:t>
      </w:r>
      <w:r w:rsidRPr="00CA4523">
        <w:rPr>
          <w:rFonts w:cs="Times New Roman"/>
          <w:i/>
          <w:lang w:val="fr-CA"/>
        </w:rPr>
        <w:t>Contrats, sûretés, publicité des droits et droit international privé</w:t>
      </w:r>
      <w:r w:rsidRPr="00CA4523">
        <w:rPr>
          <w:rFonts w:cs="Times New Roman"/>
          <w:lang w:val="fr-CA"/>
        </w:rPr>
        <w:t xml:space="preserve"> (2017), 253, </w:t>
      </w:r>
      <w:r>
        <w:rPr>
          <w:rFonts w:cs="Times New Roman"/>
          <w:lang w:val="fr-CA"/>
        </w:rPr>
        <w:t>p. </w:t>
      </w:r>
      <w:r w:rsidRPr="00CA4523">
        <w:rPr>
          <w:rFonts w:cs="Times New Roman"/>
          <w:lang w:val="fr-CA"/>
        </w:rPr>
        <w:t>304</w:t>
      </w:r>
      <w:r>
        <w:rPr>
          <w:rFonts w:cs="Times New Roman"/>
          <w:lang w:val="fr-CA"/>
        </w:rPr>
        <w:noBreakHyphen/>
        <w:t>3</w:t>
      </w:r>
      <w:r w:rsidRPr="00CA4523">
        <w:rPr>
          <w:rFonts w:cs="Times New Roman"/>
          <w:lang w:val="fr-CA"/>
        </w:rPr>
        <w:t xml:space="preserve">05). </w:t>
      </w:r>
      <w:r>
        <w:rPr>
          <w:rFonts w:cs="Times New Roman"/>
          <w:lang w:val="fr-CA"/>
        </w:rPr>
        <w:t>E</w:t>
      </w:r>
      <w:r w:rsidRPr="00CA4523">
        <w:rPr>
          <w:rFonts w:cs="Times New Roman"/>
          <w:lang w:val="fr-CA"/>
        </w:rPr>
        <w:t xml:space="preserve">lle est </w:t>
      </w:r>
      <w:r>
        <w:rPr>
          <w:rFonts w:cs="Times New Roman"/>
          <w:lang w:val="fr-CA"/>
        </w:rPr>
        <w:t xml:space="preserve">cependant </w:t>
      </w:r>
      <w:r w:rsidRPr="00CA4523">
        <w:rPr>
          <w:rFonts w:cs="Times New Roman"/>
          <w:lang w:val="fr-CA"/>
        </w:rPr>
        <w:t xml:space="preserve">loin </w:t>
      </w:r>
      <w:r>
        <w:rPr>
          <w:rFonts w:cs="Times New Roman"/>
          <w:lang w:val="fr-CA"/>
        </w:rPr>
        <w:t>de faire</w:t>
      </w:r>
      <w:r w:rsidRPr="00CA4523">
        <w:rPr>
          <w:rFonts w:cs="Times New Roman"/>
          <w:lang w:val="fr-CA"/>
        </w:rPr>
        <w:t xml:space="preserve"> l</w:t>
      </w:r>
      <w:r>
        <w:rPr>
          <w:rFonts w:cs="Times New Roman"/>
          <w:lang w:val="fr-CA"/>
        </w:rPr>
        <w:t>’</w:t>
      </w:r>
      <w:r w:rsidRPr="00CA4523">
        <w:rPr>
          <w:rFonts w:cs="Times New Roman"/>
          <w:lang w:val="fr-CA"/>
        </w:rPr>
        <w:t>unanimité; des universitaires reconnus en ont en effet rapidement souligné les limites ou l</w:t>
      </w:r>
      <w:r>
        <w:rPr>
          <w:rFonts w:cs="Times New Roman"/>
          <w:lang w:val="fr-CA"/>
        </w:rPr>
        <w:t>’</w:t>
      </w:r>
      <w:r w:rsidRPr="00CA4523">
        <w:rPr>
          <w:rFonts w:cs="Times New Roman"/>
          <w:lang w:val="fr-CA"/>
        </w:rPr>
        <w:t>ont tout simplement rejetée</w:t>
      </w:r>
      <w:r>
        <w:rPr>
          <w:rFonts w:cs="Times New Roman"/>
          <w:lang w:val="fr-CA"/>
        </w:rPr>
        <w:t> :</w:t>
      </w:r>
      <w:r w:rsidRPr="00CA4523">
        <w:rPr>
          <w:rFonts w:cs="Times New Roman"/>
          <w:lang w:val="fr-CA"/>
        </w:rPr>
        <w:t xml:space="preserve"> voir Talpis, </w:t>
      </w:r>
      <w:r>
        <w:rPr>
          <w:rFonts w:cs="Times New Roman"/>
          <w:lang w:val="fr-CA"/>
        </w:rPr>
        <w:t>p. </w:t>
      </w:r>
      <w:r w:rsidRPr="00CA4523">
        <w:rPr>
          <w:rFonts w:cs="Times New Roman"/>
          <w:lang w:val="fr-CA"/>
        </w:rPr>
        <w:t xml:space="preserve">115; </w:t>
      </w:r>
      <w:r w:rsidR="00B91454">
        <w:rPr>
          <w:rFonts w:cs="Times New Roman"/>
          <w:lang w:val="fr-CA"/>
        </w:rPr>
        <w:t xml:space="preserve">C. </w:t>
      </w:r>
      <w:r w:rsidRPr="00CA4523">
        <w:rPr>
          <w:rFonts w:cs="Times New Roman"/>
          <w:lang w:val="fr-CA"/>
        </w:rPr>
        <w:t xml:space="preserve">Emanuelli, </w:t>
      </w:r>
      <w:r w:rsidRPr="00CA4523">
        <w:rPr>
          <w:rFonts w:cs="Times New Roman"/>
          <w:i/>
          <w:szCs w:val="24"/>
          <w:lang w:val="fr-CA"/>
        </w:rPr>
        <w:t xml:space="preserve">Droit international privé québécois </w:t>
      </w:r>
      <w:r w:rsidRPr="00CA4523">
        <w:rPr>
          <w:rFonts w:cs="Times New Roman"/>
          <w:szCs w:val="24"/>
          <w:lang w:val="fr-CA"/>
        </w:rPr>
        <w:t>(1</w:t>
      </w:r>
      <w:r w:rsidRPr="00CA4523">
        <w:rPr>
          <w:rFonts w:cs="Times New Roman"/>
          <w:szCs w:val="24"/>
          <w:vertAlign w:val="superscript"/>
          <w:lang w:val="fr-CA"/>
        </w:rPr>
        <w:t>re </w:t>
      </w:r>
      <w:r w:rsidRPr="00CA4523">
        <w:rPr>
          <w:rFonts w:cs="Times New Roman"/>
          <w:szCs w:val="24"/>
          <w:lang w:val="fr-CA"/>
        </w:rPr>
        <w:t xml:space="preserve">éd. 2001), </w:t>
      </w:r>
      <w:r>
        <w:rPr>
          <w:rFonts w:cs="Times New Roman"/>
          <w:szCs w:val="24"/>
          <w:lang w:val="fr-CA"/>
        </w:rPr>
        <w:t>n</w:t>
      </w:r>
      <w:r w:rsidRPr="009029C8">
        <w:rPr>
          <w:rFonts w:cs="Times New Roman"/>
          <w:szCs w:val="24"/>
          <w:vertAlign w:val="superscript"/>
          <w:lang w:val="fr-CA"/>
        </w:rPr>
        <w:t>o</w:t>
      </w:r>
      <w:r w:rsidRPr="00CA4523">
        <w:rPr>
          <w:rFonts w:cs="Times New Roman"/>
          <w:lang w:val="fr-CA"/>
        </w:rPr>
        <w:t xml:space="preserve"> 276.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 xml:space="preserve">À mon avis, cette </w:t>
      </w:r>
      <w:r>
        <w:rPr>
          <w:rFonts w:cs="Times New Roman"/>
          <w:lang w:val="fr-CA"/>
        </w:rPr>
        <w:t>compréhension</w:t>
      </w:r>
      <w:r w:rsidRPr="00CA4523">
        <w:rPr>
          <w:rFonts w:cs="Times New Roman"/>
          <w:lang w:val="fr-CA"/>
        </w:rPr>
        <w:t xml:space="preserve"> de la reconnaissance de la compétence du tribunal étranger ne sert pas vraiment l</w:t>
      </w:r>
      <w:r>
        <w:rPr>
          <w:rFonts w:cs="Times New Roman"/>
          <w:lang w:val="fr-CA"/>
        </w:rPr>
        <w:t>’</w:t>
      </w:r>
      <w:r w:rsidRPr="00CA4523">
        <w:rPr>
          <w:rFonts w:cs="Times New Roman"/>
          <w:lang w:val="fr-CA"/>
        </w:rPr>
        <w:t>administration de la justice. Elle permettrait à un défendeur qui a présenté sans succès des arguments complets sur la preuve et le droit devant un tribunal d</w:t>
      </w:r>
      <w:r>
        <w:rPr>
          <w:rFonts w:cs="Times New Roman"/>
          <w:lang w:val="fr-CA"/>
        </w:rPr>
        <w:t>’en</w:t>
      </w:r>
      <w:r w:rsidRPr="00CA4523">
        <w:rPr>
          <w:rFonts w:cs="Times New Roman"/>
          <w:lang w:val="fr-CA"/>
        </w:rPr>
        <w:t xml:space="preserve"> contester ultérieurement la compétence dans le cadre de procédures d</w:t>
      </w:r>
      <w:r>
        <w:rPr>
          <w:rFonts w:cs="Times New Roman"/>
          <w:lang w:val="fr-CA"/>
        </w:rPr>
        <w:t>’</w:t>
      </w:r>
      <w:r w:rsidRPr="00CA4523">
        <w:rPr>
          <w:rFonts w:cs="Times New Roman"/>
          <w:lang w:val="fr-CA"/>
        </w:rPr>
        <w:t>exécution engagées dans un autre ressort. En l</w:t>
      </w:r>
      <w:r>
        <w:rPr>
          <w:rFonts w:cs="Times New Roman"/>
          <w:lang w:val="fr-CA"/>
        </w:rPr>
        <w:t>’</w:t>
      </w:r>
      <w:r w:rsidRPr="00CA4523">
        <w:rPr>
          <w:rFonts w:cs="Times New Roman"/>
          <w:lang w:val="fr-CA"/>
        </w:rPr>
        <w:t>absence d</w:t>
      </w:r>
      <w:r>
        <w:rPr>
          <w:rFonts w:cs="Times New Roman"/>
          <w:lang w:val="fr-CA"/>
        </w:rPr>
        <w:t>’</w:t>
      </w:r>
      <w:r w:rsidRPr="00CA4523">
        <w:rPr>
          <w:rFonts w:cs="Times New Roman"/>
          <w:lang w:val="fr-CA"/>
        </w:rPr>
        <w:t xml:space="preserve">un </w:t>
      </w:r>
      <w:r>
        <w:rPr>
          <w:rFonts w:cs="Times New Roman"/>
          <w:lang w:val="fr-CA"/>
        </w:rPr>
        <w:t>critère de compétence</w:t>
      </w:r>
      <w:r w:rsidRPr="00CA4523">
        <w:rPr>
          <w:rFonts w:cs="Times New Roman"/>
          <w:lang w:val="fr-CA"/>
        </w:rPr>
        <w:t xml:space="preserve"> autre que la reconnaissance de la compétence </w:t>
      </w:r>
      <w:r>
        <w:rPr>
          <w:rFonts w:cs="Times New Roman"/>
          <w:lang w:val="fr-CA"/>
        </w:rPr>
        <w:t xml:space="preserve">du tribunal étranger </w:t>
      </w:r>
      <w:r w:rsidRPr="00CA4523">
        <w:rPr>
          <w:rFonts w:cs="Times New Roman"/>
          <w:lang w:val="fr-CA"/>
        </w:rPr>
        <w:t xml:space="preserve">par le défendeur, le demandeur serait </w:t>
      </w:r>
      <w:r>
        <w:rPr>
          <w:rFonts w:cs="Times New Roman"/>
          <w:lang w:val="fr-CA"/>
        </w:rPr>
        <w:t xml:space="preserve">alors </w:t>
      </w:r>
      <w:r w:rsidRPr="00CA4523">
        <w:rPr>
          <w:rFonts w:cs="Times New Roman"/>
          <w:lang w:val="fr-CA"/>
        </w:rPr>
        <w:t>tenu de reprendre l</w:t>
      </w:r>
      <w:r>
        <w:rPr>
          <w:rFonts w:cs="Times New Roman"/>
          <w:lang w:val="fr-CA"/>
        </w:rPr>
        <w:t>’</w:t>
      </w:r>
      <w:r w:rsidRPr="00CA4523">
        <w:rPr>
          <w:rFonts w:cs="Times New Roman"/>
          <w:lang w:val="fr-CA"/>
        </w:rPr>
        <w:t xml:space="preserve">affaire au complet dans </w:t>
      </w:r>
      <w:r>
        <w:rPr>
          <w:rFonts w:cs="Times New Roman"/>
          <w:lang w:val="fr-CA"/>
        </w:rPr>
        <w:t xml:space="preserve">un autre ressort </w:t>
      </w:r>
      <w:r w:rsidRPr="00CA4523">
        <w:rPr>
          <w:rFonts w:cs="Times New Roman"/>
          <w:lang w:val="fr-CA"/>
        </w:rPr>
        <w:t>où le défendeur a des actifs</w:t>
      </w:r>
      <w:r>
        <w:rPr>
          <w:rFonts w:cs="Times New Roman"/>
          <w:lang w:val="fr-CA"/>
        </w:rPr>
        <w:t>. Cela</w:t>
      </w:r>
      <w:r w:rsidRPr="00CA4523">
        <w:rPr>
          <w:rFonts w:cs="Times New Roman"/>
          <w:lang w:val="fr-CA"/>
        </w:rPr>
        <w:t xml:space="preserve"> entraînerait un important gaspillage de ressources judiciaires et </w:t>
      </w:r>
      <w:r>
        <w:rPr>
          <w:rFonts w:cs="Times New Roman"/>
          <w:lang w:val="fr-CA"/>
        </w:rPr>
        <w:t>mènerait possiblement au prononcé</w:t>
      </w:r>
      <w:r w:rsidRPr="00CA4523">
        <w:rPr>
          <w:rFonts w:cs="Times New Roman"/>
          <w:lang w:val="fr-CA"/>
        </w:rPr>
        <w:t xml:space="preserve"> de décisions contradictoires. De plus, le demandeur qui investi</w:t>
      </w:r>
      <w:r>
        <w:rPr>
          <w:rFonts w:cs="Times New Roman"/>
          <w:lang w:val="fr-CA"/>
        </w:rPr>
        <w:t>t</w:t>
      </w:r>
      <w:r w:rsidRPr="00CA4523">
        <w:rPr>
          <w:rFonts w:cs="Times New Roman"/>
          <w:lang w:val="fr-CA"/>
        </w:rPr>
        <w:t xml:space="preserve"> temps et ressources </w:t>
      </w:r>
      <w:r>
        <w:rPr>
          <w:rFonts w:cs="Times New Roman"/>
          <w:lang w:val="fr-CA"/>
        </w:rPr>
        <w:t>pour mener à bien un recours</w:t>
      </w:r>
      <w:r w:rsidRPr="00CA4523">
        <w:rPr>
          <w:rFonts w:cs="Times New Roman"/>
          <w:lang w:val="fr-CA"/>
        </w:rPr>
        <w:t xml:space="preserve"> dans un </w:t>
      </w:r>
      <w:r>
        <w:rPr>
          <w:rFonts w:cs="Times New Roman"/>
          <w:lang w:val="fr-CA"/>
        </w:rPr>
        <w:t>ressort donné</w:t>
      </w:r>
      <w:r w:rsidRPr="00CA4523">
        <w:rPr>
          <w:rFonts w:cs="Times New Roman"/>
          <w:lang w:val="fr-CA"/>
        </w:rPr>
        <w:t xml:space="preserve"> devrait jouir d</w:t>
      </w:r>
      <w:r>
        <w:rPr>
          <w:rFonts w:cs="Times New Roman"/>
          <w:lang w:val="fr-CA"/>
        </w:rPr>
        <w:t>’</w:t>
      </w:r>
      <w:r w:rsidRPr="00CA4523">
        <w:rPr>
          <w:rFonts w:cs="Times New Roman"/>
          <w:lang w:val="fr-CA"/>
        </w:rPr>
        <w:t xml:space="preserve">une certaine assurance quant à la reconnaissance de la compétence du tribunal de </w:t>
      </w:r>
      <w:r>
        <w:rPr>
          <w:rFonts w:cs="Times New Roman"/>
          <w:lang w:val="fr-CA"/>
        </w:rPr>
        <w:t>ce ressort</w:t>
      </w:r>
      <w:r w:rsidRPr="00CA4523">
        <w:rPr>
          <w:rFonts w:cs="Times New Roman"/>
          <w:lang w:val="fr-CA"/>
        </w:rPr>
        <w:t xml:space="preserve"> </w:t>
      </w:r>
      <w:r>
        <w:rPr>
          <w:rFonts w:cs="Times New Roman"/>
          <w:lang w:val="fr-CA"/>
        </w:rPr>
        <w:t xml:space="preserve">faite </w:t>
      </w:r>
      <w:r w:rsidRPr="00CA4523">
        <w:rPr>
          <w:rFonts w:cs="Times New Roman"/>
          <w:lang w:val="fr-CA"/>
        </w:rPr>
        <w:t xml:space="preserve">par le défendeur.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Je souligne que même le professeur Goldstein a subséquemment nuancé le point de vue qu</w:t>
      </w:r>
      <w:r>
        <w:rPr>
          <w:rFonts w:cs="Times New Roman"/>
          <w:lang w:val="fr-CA"/>
        </w:rPr>
        <w:t>’</w:t>
      </w:r>
      <w:r w:rsidRPr="00CA4523">
        <w:rPr>
          <w:rFonts w:cs="Times New Roman"/>
          <w:lang w:val="fr-CA"/>
        </w:rPr>
        <w:t>il avait adopté en 1998 avec la professeure Groffier. Dans un ouvrage publié en 201</w:t>
      </w:r>
      <w:r>
        <w:rPr>
          <w:rFonts w:cs="Times New Roman"/>
          <w:lang w:val="fr-CA"/>
        </w:rPr>
        <w:t>2</w:t>
      </w:r>
      <w:r w:rsidRPr="00CA4523">
        <w:rPr>
          <w:rFonts w:cs="Times New Roman"/>
          <w:lang w:val="fr-CA"/>
        </w:rPr>
        <w:t xml:space="preserve">, il </w:t>
      </w:r>
      <w:r>
        <w:rPr>
          <w:rFonts w:cs="Times New Roman"/>
          <w:lang w:val="fr-CA"/>
        </w:rPr>
        <w:t xml:space="preserve">a </w:t>
      </w:r>
      <w:r w:rsidRPr="00CA4523">
        <w:rPr>
          <w:rFonts w:cs="Times New Roman"/>
          <w:lang w:val="fr-CA"/>
        </w:rPr>
        <w:t>expliqu</w:t>
      </w:r>
      <w:r>
        <w:rPr>
          <w:rFonts w:cs="Times New Roman"/>
          <w:lang w:val="fr-CA"/>
        </w:rPr>
        <w:t>é</w:t>
      </w:r>
      <w:r w:rsidRPr="00CA4523">
        <w:rPr>
          <w:rFonts w:cs="Times New Roman"/>
          <w:lang w:val="fr-CA"/>
        </w:rPr>
        <w:t xml:space="preserve"> que la position selon laquelle le simple fait d</w:t>
      </w:r>
      <w:r>
        <w:rPr>
          <w:rFonts w:cs="Times New Roman"/>
          <w:lang w:val="fr-CA"/>
        </w:rPr>
        <w:t>’</w:t>
      </w:r>
      <w:r w:rsidRPr="00CA4523">
        <w:rPr>
          <w:rFonts w:cs="Times New Roman"/>
          <w:lang w:val="fr-CA"/>
        </w:rPr>
        <w:t>avoir plaidé le défaut de compétence permettrait au défendeur d</w:t>
      </w:r>
      <w:r>
        <w:rPr>
          <w:rFonts w:cs="Times New Roman"/>
          <w:lang w:val="fr-CA"/>
        </w:rPr>
        <w:t>’</w:t>
      </w:r>
      <w:r w:rsidRPr="00CA4523">
        <w:rPr>
          <w:rFonts w:cs="Times New Roman"/>
          <w:lang w:val="fr-CA"/>
        </w:rPr>
        <w:t xml:space="preserve">échapper à une conclusion de reconnaissance de la compétence pourrait être </w:t>
      </w:r>
      <w:r>
        <w:rPr>
          <w:rFonts w:cs="Times New Roman"/>
          <w:lang w:val="fr-CA"/>
        </w:rPr>
        <w:t>jugée</w:t>
      </w:r>
      <w:r w:rsidRPr="00CA4523">
        <w:rPr>
          <w:rFonts w:cs="Times New Roman"/>
          <w:lang w:val="fr-CA"/>
        </w:rPr>
        <w:t xml:space="preserve"> trop restrictive (</w:t>
      </w:r>
      <w:r w:rsidRPr="00CA4523">
        <w:rPr>
          <w:rFonts w:cs="Times New Roman"/>
          <w:szCs w:val="24"/>
          <w:lang w:val="fr-CA"/>
        </w:rPr>
        <w:t>Goldstein </w:t>
      </w:r>
      <w:r>
        <w:rPr>
          <w:rFonts w:cs="Times New Roman"/>
          <w:szCs w:val="24"/>
          <w:lang w:val="fr-CA"/>
        </w:rPr>
        <w:t>(</w:t>
      </w:r>
      <w:r w:rsidRPr="00CA4523">
        <w:rPr>
          <w:rFonts w:cs="Times New Roman"/>
          <w:szCs w:val="24"/>
          <w:lang w:val="fr-CA"/>
        </w:rPr>
        <w:t>201</w:t>
      </w:r>
      <w:r>
        <w:rPr>
          <w:rFonts w:cs="Times New Roman"/>
          <w:szCs w:val="24"/>
          <w:lang w:val="fr-CA"/>
        </w:rPr>
        <w:t>2)</w:t>
      </w:r>
      <w:r w:rsidRPr="00CA4523">
        <w:rPr>
          <w:rFonts w:cs="Times New Roman"/>
          <w:szCs w:val="24"/>
          <w:lang w:val="fr-CA"/>
        </w:rPr>
        <w:t xml:space="preserve">, </w:t>
      </w:r>
      <w:r>
        <w:rPr>
          <w:rFonts w:cs="Times New Roman"/>
          <w:szCs w:val="24"/>
          <w:lang w:val="fr-CA"/>
        </w:rPr>
        <w:t>par. </w:t>
      </w:r>
      <w:r w:rsidRPr="00CA4523">
        <w:rPr>
          <w:rFonts w:cs="Times New Roman"/>
          <w:szCs w:val="24"/>
          <w:lang w:val="fr-CA"/>
        </w:rPr>
        <w:t>3</w:t>
      </w:r>
      <w:r>
        <w:rPr>
          <w:rFonts w:cs="Times New Roman"/>
          <w:szCs w:val="24"/>
          <w:lang w:val="fr-CA"/>
        </w:rPr>
        <w:t>148 </w:t>
      </w:r>
      <w:r w:rsidRPr="00CA4523">
        <w:rPr>
          <w:rFonts w:cs="Times New Roman"/>
          <w:szCs w:val="24"/>
          <w:lang w:val="fr-CA"/>
        </w:rPr>
        <w:t xml:space="preserve">580). </w:t>
      </w:r>
      <w:r>
        <w:rPr>
          <w:rFonts w:cs="Times New Roman"/>
          <w:szCs w:val="24"/>
          <w:lang w:val="fr-CA"/>
        </w:rPr>
        <w:t>J’estime</w:t>
      </w:r>
      <w:r w:rsidRPr="00CA4523">
        <w:rPr>
          <w:rFonts w:cs="Times New Roman"/>
          <w:szCs w:val="24"/>
          <w:lang w:val="fr-CA"/>
        </w:rPr>
        <w:t xml:space="preserve"> que cette approche aurait effectivement une portée trop étroite. </w:t>
      </w:r>
      <w:r w:rsidRPr="00CA4523">
        <w:rPr>
          <w:rFonts w:cs="Times New Roman"/>
          <w:szCs w:val="24"/>
          <w:lang w:val="fr-CA"/>
        </w:rPr>
        <w:lastRenderedPageBreak/>
        <w:t>Elle protégerait davantage que l</w:t>
      </w:r>
      <w:r>
        <w:rPr>
          <w:rFonts w:cs="Times New Roman"/>
          <w:szCs w:val="24"/>
          <w:lang w:val="fr-CA"/>
        </w:rPr>
        <w:t>’</w:t>
      </w:r>
      <w:r w:rsidRPr="00CA4523">
        <w:rPr>
          <w:rFonts w:cs="Times New Roman"/>
          <w:szCs w:val="24"/>
          <w:lang w:val="fr-CA"/>
        </w:rPr>
        <w:t>intérêt légitime du défendeur à ce que l</w:t>
      </w:r>
      <w:r>
        <w:rPr>
          <w:rFonts w:cs="Times New Roman"/>
          <w:szCs w:val="24"/>
          <w:lang w:val="fr-CA"/>
        </w:rPr>
        <w:t>’</w:t>
      </w:r>
      <w:r w:rsidRPr="00CA4523">
        <w:rPr>
          <w:rFonts w:cs="Times New Roman"/>
          <w:szCs w:val="24"/>
          <w:lang w:val="fr-CA"/>
        </w:rPr>
        <w:t>affaire soit instruite devant un tribunal compétent</w:t>
      </w:r>
      <w:r>
        <w:rPr>
          <w:rFonts w:cs="Times New Roman"/>
          <w:szCs w:val="24"/>
          <w:lang w:val="fr-CA"/>
        </w:rPr>
        <w:t>;</w:t>
      </w:r>
      <w:r w:rsidRPr="00CA4523">
        <w:rPr>
          <w:rFonts w:cs="Times New Roman"/>
          <w:szCs w:val="24"/>
          <w:lang w:val="fr-CA"/>
        </w:rPr>
        <w:t xml:space="preserve"> elle lui permettrait aussi de multiplier les procédures et, par le fait même, ses chances d</w:t>
      </w:r>
      <w:r>
        <w:rPr>
          <w:rFonts w:cs="Times New Roman"/>
          <w:szCs w:val="24"/>
          <w:lang w:val="fr-CA"/>
        </w:rPr>
        <w:t>’</w:t>
      </w:r>
      <w:r w:rsidRPr="00CA4523">
        <w:rPr>
          <w:rFonts w:cs="Times New Roman"/>
          <w:szCs w:val="24"/>
          <w:lang w:val="fr-CA"/>
        </w:rPr>
        <w:t xml:space="preserve">obtenir une décision favorable, ce qui serait inéquitable. </w:t>
      </w:r>
      <w:r>
        <w:rPr>
          <w:rFonts w:cs="Times New Roman"/>
          <w:szCs w:val="24"/>
          <w:lang w:val="fr-CA"/>
        </w:rPr>
        <w:t>En outre</w:t>
      </w:r>
      <w:r w:rsidRPr="00CA4523">
        <w:rPr>
          <w:rFonts w:cs="Times New Roman"/>
          <w:szCs w:val="24"/>
          <w:lang w:val="fr-CA"/>
        </w:rPr>
        <w:t>, cette approche porterait gravement atteinte au principe général voulant que les tribunaux du Québec soient tenus de reconnaître les décisions étrangères. Enfin, elle irait à l</w:t>
      </w:r>
      <w:r>
        <w:rPr>
          <w:rFonts w:cs="Times New Roman"/>
          <w:szCs w:val="24"/>
          <w:lang w:val="fr-CA"/>
        </w:rPr>
        <w:t>’</w:t>
      </w:r>
      <w:r w:rsidRPr="00CA4523">
        <w:rPr>
          <w:rFonts w:cs="Times New Roman"/>
          <w:szCs w:val="24"/>
          <w:lang w:val="fr-CA"/>
        </w:rPr>
        <w:t xml:space="preserve">encontre du choix du législateur de ne pas codifier une définition de la reconnaissance de la compétence qui traite </w:t>
      </w:r>
      <w:r w:rsidRPr="00BD5C64">
        <w:rPr>
          <w:rFonts w:cs="Times New Roman"/>
          <w:szCs w:val="24"/>
          <w:lang w:val="fr-CA"/>
        </w:rPr>
        <w:t>les exceptions déclinatoires</w:t>
      </w:r>
      <w:r w:rsidRPr="00CA4523">
        <w:rPr>
          <w:rFonts w:cs="Times New Roman"/>
          <w:szCs w:val="24"/>
          <w:lang w:val="fr-CA"/>
        </w:rPr>
        <w:t xml:space="preserve"> comme des moyens de se protéger contre une conclusion de reconnaissance de la compétence du tribun</w:t>
      </w:r>
      <w:r>
        <w:rPr>
          <w:rFonts w:cs="Times New Roman"/>
          <w:szCs w:val="24"/>
          <w:lang w:val="fr-CA"/>
        </w:rPr>
        <w:t>al. Cette</w:t>
      </w:r>
      <w:r w:rsidRPr="00CA4523">
        <w:rPr>
          <w:rFonts w:cs="Times New Roman"/>
          <w:szCs w:val="24"/>
          <w:lang w:val="fr-CA"/>
        </w:rPr>
        <w:t xml:space="preserve"> approche, qui permet au défendeur soucieux de « </w:t>
      </w:r>
      <w:r w:rsidRPr="00BD5C64">
        <w:rPr>
          <w:rFonts w:cs="Times New Roman"/>
          <w:szCs w:val="24"/>
          <w:lang w:val="fr-CA"/>
        </w:rPr>
        <w:t>sauver les meubles</w:t>
      </w:r>
      <w:r w:rsidRPr="00CA4523">
        <w:rPr>
          <w:rFonts w:cs="Times New Roman"/>
          <w:szCs w:val="24"/>
          <w:lang w:val="fr-CA"/>
        </w:rPr>
        <w:t xml:space="preserve"> » de présenter des arguments de fond sans reconnaître </w:t>
      </w:r>
      <w:r>
        <w:rPr>
          <w:rFonts w:cs="Times New Roman"/>
          <w:szCs w:val="24"/>
          <w:lang w:val="fr-CA"/>
        </w:rPr>
        <w:t xml:space="preserve">par là </w:t>
      </w:r>
      <w:r w:rsidRPr="00CA4523">
        <w:rPr>
          <w:rFonts w:cs="Times New Roman"/>
          <w:szCs w:val="24"/>
          <w:lang w:val="fr-CA"/>
        </w:rPr>
        <w:t>la compétence du tribunal</w:t>
      </w:r>
      <w:r>
        <w:rPr>
          <w:rFonts w:cs="Times New Roman"/>
          <w:szCs w:val="24"/>
          <w:lang w:val="fr-CA"/>
        </w:rPr>
        <w:t>, doit être rejetée</w:t>
      </w:r>
      <w:r w:rsidRPr="00CA4523">
        <w:rPr>
          <w:rFonts w:cs="Times New Roman"/>
          <w:szCs w:val="24"/>
          <w:lang w:val="fr-CA"/>
        </w:rPr>
        <w:t>.</w:t>
      </w:r>
    </w:p>
    <w:p w:rsidR="00AF6697" w:rsidRPr="00484228" w:rsidRDefault="00AF6697" w:rsidP="00AF6697">
      <w:pPr>
        <w:pStyle w:val="ParaNoNdepar-AltN"/>
        <w:tabs>
          <w:tab w:val="clear" w:pos="1166"/>
          <w:tab w:val="num" w:pos="1152"/>
        </w:tabs>
        <w:rPr>
          <w:rFonts w:cs="Times New Roman"/>
          <w:lang w:val="fr-CA"/>
        </w:rPr>
      </w:pPr>
      <w:r w:rsidRPr="00CA4523">
        <w:rPr>
          <w:rFonts w:cs="Times New Roman"/>
          <w:lang w:val="fr-CA"/>
        </w:rPr>
        <w:t xml:space="preserve">À mon avis, </w:t>
      </w:r>
      <w:r>
        <w:rPr>
          <w:rFonts w:cs="Times New Roman"/>
          <w:lang w:val="fr-CA"/>
        </w:rPr>
        <w:t>un</w:t>
      </w:r>
      <w:r w:rsidRPr="00CA4523">
        <w:rPr>
          <w:rFonts w:cs="Times New Roman"/>
          <w:lang w:val="fr-CA"/>
        </w:rPr>
        <w:t xml:space="preserve"> défendeur reconnaît la compétence </w:t>
      </w:r>
      <w:r>
        <w:rPr>
          <w:rFonts w:cs="Times New Roman"/>
          <w:lang w:val="fr-CA"/>
        </w:rPr>
        <w:t xml:space="preserve">du tribunal saisi </w:t>
      </w:r>
      <w:r w:rsidRPr="00CA4523">
        <w:rPr>
          <w:rFonts w:cs="Times New Roman"/>
          <w:lang w:val="fr-CA"/>
        </w:rPr>
        <w:t>lorsqu</w:t>
      </w:r>
      <w:r>
        <w:rPr>
          <w:rFonts w:cs="Times New Roman"/>
          <w:lang w:val="fr-CA"/>
        </w:rPr>
        <w:t>’</w:t>
      </w:r>
      <w:r w:rsidRPr="00CA4523">
        <w:rPr>
          <w:rFonts w:cs="Times New Roman"/>
          <w:lang w:val="fr-CA"/>
        </w:rPr>
        <w:t>il présente des arguments de fond qui, s</w:t>
      </w:r>
      <w:r>
        <w:rPr>
          <w:rFonts w:cs="Times New Roman"/>
          <w:lang w:val="fr-CA"/>
        </w:rPr>
        <w:t>’</w:t>
      </w:r>
      <w:r w:rsidRPr="00CA4523">
        <w:rPr>
          <w:rFonts w:cs="Times New Roman"/>
          <w:lang w:val="fr-CA"/>
        </w:rPr>
        <w:t xml:space="preserve">ils étaient retenus, permettraient de trancher </w:t>
      </w:r>
      <w:r>
        <w:rPr>
          <w:rFonts w:cs="Times New Roman"/>
          <w:lang w:val="fr-CA"/>
        </w:rPr>
        <w:t xml:space="preserve">le litige </w:t>
      </w:r>
      <w:r w:rsidRPr="00CA4523">
        <w:rPr>
          <w:rFonts w:cs="Times New Roman"/>
          <w:lang w:val="fr-CA"/>
        </w:rPr>
        <w:t>sur le fond</w:t>
      </w:r>
      <w:r>
        <w:rPr>
          <w:rFonts w:cs="Times New Roman"/>
          <w:lang w:val="fr-CA"/>
        </w:rPr>
        <w:t>, en tout ou en partie.</w:t>
      </w:r>
      <w:r w:rsidRPr="00CA4523">
        <w:rPr>
          <w:rFonts w:cs="Times New Roman"/>
          <w:lang w:val="fr-CA"/>
        </w:rPr>
        <w:t xml:space="preserve"> Certes, comme l</w:t>
      </w:r>
      <w:r>
        <w:rPr>
          <w:rFonts w:cs="Times New Roman"/>
          <w:lang w:val="fr-CA"/>
        </w:rPr>
        <w:t>’</w:t>
      </w:r>
      <w:r w:rsidRPr="00CA4523">
        <w:rPr>
          <w:rFonts w:cs="Times New Roman"/>
          <w:lang w:val="fr-CA"/>
        </w:rPr>
        <w:t>a fait remarquer M. Barer, le défendeur québécois poursuivi à l</w:t>
      </w:r>
      <w:r>
        <w:rPr>
          <w:rFonts w:cs="Times New Roman"/>
          <w:lang w:val="fr-CA"/>
        </w:rPr>
        <w:t>’</w:t>
      </w:r>
      <w:r w:rsidRPr="00CA4523">
        <w:rPr>
          <w:rFonts w:cs="Times New Roman"/>
          <w:lang w:val="fr-CA"/>
        </w:rPr>
        <w:t xml:space="preserve">étranger </w:t>
      </w:r>
      <w:r>
        <w:rPr>
          <w:rFonts w:cs="Times New Roman"/>
          <w:lang w:val="fr-CA"/>
        </w:rPr>
        <w:t>est parfois placé</w:t>
      </w:r>
      <w:r w:rsidRPr="00CA4523">
        <w:rPr>
          <w:rFonts w:cs="Times New Roman"/>
          <w:lang w:val="fr-CA"/>
        </w:rPr>
        <w:t xml:space="preserve"> devant un choix stratégique difficile. De deux choses l</w:t>
      </w:r>
      <w:r>
        <w:rPr>
          <w:rFonts w:cs="Times New Roman"/>
          <w:lang w:val="fr-CA"/>
        </w:rPr>
        <w:t>’</w:t>
      </w:r>
      <w:r w:rsidRPr="00CA4523">
        <w:rPr>
          <w:rFonts w:cs="Times New Roman"/>
          <w:lang w:val="fr-CA"/>
        </w:rPr>
        <w:t>une</w:t>
      </w:r>
      <w:r>
        <w:rPr>
          <w:rFonts w:cs="Times New Roman"/>
          <w:lang w:val="fr-CA"/>
        </w:rPr>
        <w:t> :</w:t>
      </w:r>
      <w:r w:rsidRPr="00CA4523">
        <w:rPr>
          <w:rFonts w:cs="Times New Roman"/>
          <w:lang w:val="fr-CA"/>
        </w:rPr>
        <w:t xml:space="preserve"> soit il conteste l</w:t>
      </w:r>
      <w:r>
        <w:rPr>
          <w:rFonts w:cs="Times New Roman"/>
          <w:lang w:val="fr-CA"/>
        </w:rPr>
        <w:t>’</w:t>
      </w:r>
      <w:r w:rsidRPr="00CA4523">
        <w:rPr>
          <w:rFonts w:cs="Times New Roman"/>
          <w:lang w:val="fr-CA"/>
        </w:rPr>
        <w:t>action intentée à l</w:t>
      </w:r>
      <w:r>
        <w:rPr>
          <w:rFonts w:cs="Times New Roman"/>
          <w:lang w:val="fr-CA"/>
        </w:rPr>
        <w:t>’</w:t>
      </w:r>
      <w:r w:rsidRPr="00CA4523">
        <w:rPr>
          <w:rFonts w:cs="Times New Roman"/>
          <w:lang w:val="fr-CA"/>
        </w:rPr>
        <w:t>étranger et tente de protéger les actifs qu</w:t>
      </w:r>
      <w:r>
        <w:rPr>
          <w:rFonts w:cs="Times New Roman"/>
          <w:lang w:val="fr-CA"/>
        </w:rPr>
        <w:t>’</w:t>
      </w:r>
      <w:r w:rsidRPr="00CA4523">
        <w:rPr>
          <w:rFonts w:cs="Times New Roman"/>
          <w:lang w:val="fr-CA"/>
        </w:rPr>
        <w:t xml:space="preserve">il </w:t>
      </w:r>
      <w:r w:rsidRPr="00F22D51">
        <w:rPr>
          <w:rFonts w:cs="Times New Roman"/>
          <w:lang w:val="fr-CA"/>
        </w:rPr>
        <w:t>y p</w:t>
      </w:r>
      <w:r w:rsidRPr="00CA4523">
        <w:rPr>
          <w:rFonts w:cs="Times New Roman"/>
          <w:lang w:val="fr-CA"/>
        </w:rPr>
        <w:t>ossède, soit il s</w:t>
      </w:r>
      <w:r>
        <w:rPr>
          <w:rFonts w:cs="Times New Roman"/>
          <w:lang w:val="fr-CA"/>
        </w:rPr>
        <w:t>’</w:t>
      </w:r>
      <w:r w:rsidRPr="00CA4523">
        <w:rPr>
          <w:rFonts w:cs="Times New Roman"/>
          <w:lang w:val="fr-CA"/>
        </w:rPr>
        <w:t>en abstie</w:t>
      </w:r>
      <w:r>
        <w:rPr>
          <w:rFonts w:cs="Times New Roman"/>
          <w:lang w:val="fr-CA"/>
        </w:rPr>
        <w:t>n</w:t>
      </w:r>
      <w:r w:rsidRPr="00CA4523">
        <w:rPr>
          <w:rFonts w:cs="Times New Roman"/>
          <w:lang w:val="fr-CA"/>
        </w:rPr>
        <w:t xml:space="preserve">t afin de pouvoir contester la compétence du tribunal étranger dans une éventuelle demande de reconnaissance présentée au Québec </w:t>
      </w:r>
      <w:r w:rsidRPr="00CA4523">
        <w:rPr>
          <w:rFonts w:cs="Times New Roman"/>
          <w:szCs w:val="24"/>
          <w:lang w:val="fr-CA"/>
        </w:rPr>
        <w:t xml:space="preserve">(voir Goldstein et Talpis, </w:t>
      </w:r>
      <w:r>
        <w:rPr>
          <w:rFonts w:cs="Times New Roman"/>
          <w:szCs w:val="24"/>
          <w:lang w:val="fr-CA"/>
        </w:rPr>
        <w:t>p. </w:t>
      </w:r>
      <w:r w:rsidRPr="00CA4523">
        <w:rPr>
          <w:rFonts w:cs="Times New Roman"/>
          <w:szCs w:val="24"/>
          <w:lang w:val="fr-CA"/>
        </w:rPr>
        <w:t xml:space="preserve">118). </w:t>
      </w:r>
      <w:r>
        <w:rPr>
          <w:rFonts w:cs="Times New Roman"/>
          <w:szCs w:val="24"/>
          <w:lang w:val="fr-CA"/>
        </w:rPr>
        <w:t xml:space="preserve">Il n’en demeure pas moins que </w:t>
      </w:r>
      <w:r w:rsidRPr="00CA4523">
        <w:rPr>
          <w:rFonts w:cs="Times New Roman"/>
          <w:szCs w:val="24"/>
          <w:lang w:val="fr-CA"/>
        </w:rPr>
        <w:t>s</w:t>
      </w:r>
      <w:r>
        <w:rPr>
          <w:rFonts w:cs="Times New Roman"/>
          <w:szCs w:val="24"/>
          <w:lang w:val="fr-CA"/>
        </w:rPr>
        <w:t>’</w:t>
      </w:r>
      <w:r w:rsidRPr="00CA4523">
        <w:rPr>
          <w:rFonts w:cs="Times New Roman"/>
          <w:szCs w:val="24"/>
          <w:lang w:val="fr-CA"/>
        </w:rPr>
        <w:t>il cherche à tirer profit de l</w:t>
      </w:r>
      <w:r>
        <w:rPr>
          <w:rFonts w:cs="Times New Roman"/>
          <w:szCs w:val="24"/>
          <w:lang w:val="fr-CA"/>
        </w:rPr>
        <w:t>’</w:t>
      </w:r>
      <w:r w:rsidRPr="00CA4523">
        <w:rPr>
          <w:rFonts w:cs="Times New Roman"/>
          <w:szCs w:val="24"/>
          <w:lang w:val="fr-CA"/>
        </w:rPr>
        <w:t>instance introduite devant le tribunal étranger afin d</w:t>
      </w:r>
      <w:r>
        <w:rPr>
          <w:rFonts w:cs="Times New Roman"/>
          <w:szCs w:val="24"/>
          <w:lang w:val="fr-CA"/>
        </w:rPr>
        <w:t>’</w:t>
      </w:r>
      <w:r w:rsidRPr="00CA4523">
        <w:rPr>
          <w:rFonts w:cs="Times New Roman"/>
          <w:szCs w:val="24"/>
          <w:lang w:val="fr-CA"/>
        </w:rPr>
        <w:t xml:space="preserve">obtenir un jugement </w:t>
      </w:r>
      <w:r w:rsidRPr="00F22D51">
        <w:rPr>
          <w:rFonts w:cs="Times New Roman"/>
          <w:szCs w:val="24"/>
          <w:lang w:val="fr-CA"/>
        </w:rPr>
        <w:t>qui scellerait définitivement le sort du litige</w:t>
      </w:r>
      <w:r>
        <w:rPr>
          <w:rFonts w:cs="Times New Roman"/>
          <w:szCs w:val="24"/>
          <w:lang w:val="fr-CA"/>
        </w:rPr>
        <w:t>, il</w:t>
      </w:r>
      <w:r w:rsidRPr="00CA4523">
        <w:rPr>
          <w:rFonts w:cs="Times New Roman"/>
          <w:szCs w:val="24"/>
          <w:lang w:val="fr-CA"/>
        </w:rPr>
        <w:t xml:space="preserve"> doit assumer les conséquences de </w:t>
      </w:r>
      <w:r>
        <w:rPr>
          <w:rFonts w:cs="Times New Roman"/>
          <w:szCs w:val="24"/>
          <w:lang w:val="fr-CA"/>
        </w:rPr>
        <w:t xml:space="preserve">son </w:t>
      </w:r>
      <w:r w:rsidRPr="00CA4523">
        <w:rPr>
          <w:rFonts w:cs="Times New Roman"/>
          <w:szCs w:val="24"/>
          <w:lang w:val="fr-CA"/>
        </w:rPr>
        <w:t>choix. Il serait inéquitable que le défendeur ai</w:t>
      </w:r>
      <w:r>
        <w:rPr>
          <w:rFonts w:cs="Times New Roman"/>
          <w:szCs w:val="24"/>
          <w:lang w:val="fr-CA"/>
        </w:rPr>
        <w:t>t</w:t>
      </w:r>
      <w:r w:rsidRPr="00CA4523">
        <w:rPr>
          <w:rFonts w:cs="Times New Roman"/>
          <w:szCs w:val="24"/>
          <w:lang w:val="fr-CA"/>
        </w:rPr>
        <w:t xml:space="preserve"> la possibilité de convaincre l</w:t>
      </w:r>
      <w:r>
        <w:rPr>
          <w:rFonts w:cs="Times New Roman"/>
          <w:szCs w:val="24"/>
          <w:lang w:val="fr-CA"/>
        </w:rPr>
        <w:t>’</w:t>
      </w:r>
      <w:r w:rsidRPr="00CA4523">
        <w:rPr>
          <w:rFonts w:cs="Times New Roman"/>
          <w:szCs w:val="24"/>
          <w:lang w:val="fr-CA"/>
        </w:rPr>
        <w:t>autorité étrangère du bien</w:t>
      </w:r>
      <w:r>
        <w:rPr>
          <w:rFonts w:cs="Times New Roman"/>
          <w:szCs w:val="24"/>
          <w:lang w:val="fr-CA"/>
        </w:rPr>
        <w:noBreakHyphen/>
      </w:r>
      <w:r w:rsidRPr="00CA4523">
        <w:rPr>
          <w:rFonts w:cs="Times New Roman"/>
          <w:szCs w:val="24"/>
          <w:lang w:val="fr-CA"/>
        </w:rPr>
        <w:t xml:space="preserve">fondé de </w:t>
      </w:r>
      <w:r>
        <w:rPr>
          <w:rFonts w:cs="Times New Roman"/>
          <w:szCs w:val="24"/>
          <w:lang w:val="fr-CA"/>
        </w:rPr>
        <w:t>se</w:t>
      </w:r>
      <w:r w:rsidRPr="00CA4523">
        <w:rPr>
          <w:rFonts w:cs="Times New Roman"/>
          <w:szCs w:val="24"/>
          <w:lang w:val="fr-CA"/>
        </w:rPr>
        <w:t xml:space="preserve">s allégations tout en conservant </w:t>
      </w:r>
      <w:r>
        <w:rPr>
          <w:rFonts w:cs="Times New Roman"/>
          <w:szCs w:val="24"/>
          <w:lang w:val="fr-CA"/>
        </w:rPr>
        <w:t>son</w:t>
      </w:r>
      <w:r w:rsidRPr="00CA4523">
        <w:rPr>
          <w:rFonts w:cs="Times New Roman"/>
          <w:szCs w:val="24"/>
          <w:lang w:val="fr-CA"/>
        </w:rPr>
        <w:t xml:space="preserve"> droit de décliner ultérieurement la compétence de cette autorité </w:t>
      </w:r>
      <w:r>
        <w:rPr>
          <w:rFonts w:cs="Times New Roman"/>
          <w:szCs w:val="24"/>
          <w:lang w:val="fr-CA"/>
        </w:rPr>
        <w:t xml:space="preserve">si, en </w:t>
      </w:r>
      <w:r>
        <w:rPr>
          <w:rFonts w:cs="Times New Roman"/>
          <w:szCs w:val="24"/>
          <w:lang w:val="fr-CA"/>
        </w:rPr>
        <w:lastRenderedPageBreak/>
        <w:t xml:space="preserve">définitive, </w:t>
      </w:r>
      <w:r w:rsidRPr="00CA4523">
        <w:rPr>
          <w:rFonts w:cs="Times New Roman"/>
          <w:szCs w:val="24"/>
          <w:lang w:val="fr-CA"/>
        </w:rPr>
        <w:t>il</w:t>
      </w:r>
      <w:r>
        <w:rPr>
          <w:rFonts w:cs="Times New Roman"/>
          <w:szCs w:val="24"/>
          <w:lang w:val="fr-CA"/>
        </w:rPr>
        <w:t xml:space="preserve"> est</w:t>
      </w:r>
      <w:r w:rsidRPr="00CA4523">
        <w:rPr>
          <w:rFonts w:cs="Times New Roman"/>
          <w:szCs w:val="24"/>
          <w:lang w:val="fr-CA"/>
        </w:rPr>
        <w:t xml:space="preserve"> insatisfait de sa décision. </w:t>
      </w:r>
      <w:r>
        <w:rPr>
          <w:rFonts w:cs="Times New Roman"/>
          <w:szCs w:val="24"/>
          <w:lang w:val="fr-CA"/>
        </w:rPr>
        <w:t>Pour utiliser une expression courante</w:t>
      </w:r>
      <w:r w:rsidRPr="00CA4523">
        <w:rPr>
          <w:rFonts w:cs="Times New Roman"/>
          <w:szCs w:val="24"/>
          <w:lang w:val="fr-CA"/>
        </w:rPr>
        <w:t xml:space="preserve">, </w:t>
      </w:r>
      <w:r w:rsidRPr="00484228">
        <w:rPr>
          <w:rFonts w:cs="Times New Roman"/>
          <w:szCs w:val="24"/>
          <w:lang w:val="fr-CA"/>
        </w:rPr>
        <w:t>ils auraient alors droit à une « seconde chance » de faire instruire le litige ou à ce qui a été aussi appelé un « deuxième essai » (</w:t>
      </w:r>
      <w:r w:rsidRPr="00484228">
        <w:rPr>
          <w:rFonts w:cs="Times New Roman"/>
          <w:lang w:val="fr-CA"/>
        </w:rPr>
        <w:t>« </w:t>
      </w:r>
      <w:r w:rsidRPr="00B91454">
        <w:rPr>
          <w:rFonts w:cs="Times New Roman"/>
          <w:i/>
          <w:lang w:val="fr-CA"/>
        </w:rPr>
        <w:t>legal mulligan</w:t>
      </w:r>
      <w:r w:rsidRPr="00484228">
        <w:rPr>
          <w:rFonts w:cs="Times New Roman"/>
          <w:lang w:val="fr-CA"/>
        </w:rPr>
        <w:t> »</w:t>
      </w:r>
      <w:r w:rsidRPr="004411A2">
        <w:rPr>
          <w:rStyle w:val="Hyperlink"/>
          <w:u w:val="none"/>
          <w:vertAlign w:val="superscript"/>
        </w:rPr>
        <w:footnoteReference w:id="1"/>
      </w:r>
      <w:r w:rsidRPr="00484228">
        <w:rPr>
          <w:rFonts w:cs="Times New Roman"/>
          <w:lang w:val="fr-CA"/>
        </w:rPr>
        <w:t>)</w:t>
      </w:r>
      <w:r w:rsidRPr="00484228">
        <w:rPr>
          <w:rFonts w:cs="Times New Roman"/>
          <w:szCs w:val="24"/>
          <w:lang w:val="fr-CA"/>
        </w:rPr>
        <w:t>.</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À cet égard, je conviens avec les professeurs Emanuelli et Talpis que les parties qui choisissent de faire valoir des arguments de fond pour étayer leur thèse devant un tribunal acquiescent par le fait même, peut</w:t>
      </w:r>
      <w:r>
        <w:rPr>
          <w:rFonts w:cs="Times New Roman"/>
          <w:lang w:val="fr-CA"/>
        </w:rPr>
        <w:noBreakHyphen/>
      </w:r>
      <w:r w:rsidRPr="00CA4523">
        <w:rPr>
          <w:rFonts w:cs="Times New Roman"/>
          <w:lang w:val="fr-CA"/>
        </w:rPr>
        <w:t>être à contrecœur, à la compétence de cette autorité (Emanuelli</w:t>
      </w:r>
      <w:r>
        <w:rPr>
          <w:rFonts w:cs="Times New Roman"/>
          <w:lang w:val="fr-CA"/>
        </w:rPr>
        <w:t xml:space="preserve"> (2011)</w:t>
      </w:r>
      <w:r w:rsidRPr="00CA4523">
        <w:rPr>
          <w:rFonts w:cs="Times New Roman"/>
          <w:lang w:val="fr-CA"/>
        </w:rPr>
        <w:t xml:space="preserve">, </w:t>
      </w:r>
      <w:r>
        <w:rPr>
          <w:rFonts w:cs="Times New Roman"/>
          <w:lang w:val="fr-CA"/>
        </w:rPr>
        <w:t>n</w:t>
      </w:r>
      <w:r w:rsidRPr="009029C8">
        <w:rPr>
          <w:rFonts w:cs="Times New Roman"/>
          <w:vertAlign w:val="superscript"/>
          <w:lang w:val="fr-CA"/>
        </w:rPr>
        <w:t>o</w:t>
      </w:r>
      <w:r>
        <w:rPr>
          <w:rFonts w:cs="Times New Roman"/>
          <w:lang w:val="fr-CA"/>
        </w:rPr>
        <w:t> 290; Talpis</w:t>
      </w:r>
      <w:r w:rsidRPr="00CA4523">
        <w:rPr>
          <w:rFonts w:cs="Times New Roman"/>
          <w:lang w:val="fr-CA"/>
        </w:rPr>
        <w:t xml:space="preserve">, </w:t>
      </w:r>
      <w:r>
        <w:rPr>
          <w:rFonts w:cs="Times New Roman"/>
          <w:lang w:val="fr-CA"/>
        </w:rPr>
        <w:t>p. </w:t>
      </w:r>
      <w:r w:rsidRPr="00CA4523">
        <w:rPr>
          <w:rFonts w:cs="Times New Roman"/>
          <w:lang w:val="fr-CA"/>
        </w:rPr>
        <w:t xml:space="preserve">113). Il en est ainsi, à mon sens, que </w:t>
      </w:r>
      <w:r>
        <w:rPr>
          <w:rFonts w:cs="Times New Roman"/>
          <w:lang w:val="fr-CA"/>
        </w:rPr>
        <w:t>le moyen</w:t>
      </w:r>
      <w:r w:rsidRPr="00BD5C64">
        <w:rPr>
          <w:rFonts w:cs="Times New Roman"/>
          <w:lang w:val="fr-CA"/>
        </w:rPr>
        <w:t xml:space="preserve"> déclinatoire ait ou non</w:t>
      </w:r>
      <w:r w:rsidRPr="00CA4523">
        <w:rPr>
          <w:rFonts w:cs="Times New Roman"/>
          <w:lang w:val="fr-CA"/>
        </w:rPr>
        <w:t xml:space="preserve"> été carrément rejeté</w:t>
      </w:r>
      <w:r>
        <w:rPr>
          <w:rFonts w:cs="Times New Roman"/>
          <w:lang w:val="fr-CA"/>
        </w:rPr>
        <w:t>,</w:t>
      </w:r>
      <w:r w:rsidRPr="00CA4523">
        <w:rPr>
          <w:rFonts w:cs="Times New Roman"/>
          <w:lang w:val="fr-CA"/>
        </w:rPr>
        <w:t xml:space="preserve"> qu</w:t>
      </w:r>
      <w:r>
        <w:rPr>
          <w:rFonts w:cs="Times New Roman"/>
          <w:lang w:val="fr-CA"/>
        </w:rPr>
        <w:t>’</w:t>
      </w:r>
      <w:r w:rsidRPr="00CA4523">
        <w:rPr>
          <w:rFonts w:cs="Times New Roman"/>
          <w:lang w:val="fr-CA"/>
        </w:rPr>
        <w:t>il soit ou non à l</w:t>
      </w:r>
      <w:r>
        <w:rPr>
          <w:rFonts w:cs="Times New Roman"/>
          <w:lang w:val="fr-CA"/>
        </w:rPr>
        <w:t>’</w:t>
      </w:r>
      <w:r w:rsidRPr="00CA4523">
        <w:rPr>
          <w:rFonts w:cs="Times New Roman"/>
          <w:lang w:val="fr-CA"/>
        </w:rPr>
        <w:t>étude par le tribunal ou qu</w:t>
      </w:r>
      <w:r>
        <w:rPr>
          <w:rFonts w:cs="Times New Roman"/>
          <w:lang w:val="fr-CA"/>
        </w:rPr>
        <w:t>’</w:t>
      </w:r>
      <w:r w:rsidRPr="00CA4523">
        <w:rPr>
          <w:rFonts w:cs="Times New Roman"/>
          <w:lang w:val="fr-CA"/>
        </w:rPr>
        <w:t>il soit ou non simplement soulevé par le défendeur et n</w:t>
      </w:r>
      <w:r>
        <w:rPr>
          <w:rFonts w:cs="Times New Roman"/>
          <w:lang w:val="fr-CA"/>
        </w:rPr>
        <w:t>’</w:t>
      </w:r>
      <w:r w:rsidRPr="00CA4523">
        <w:rPr>
          <w:rFonts w:cs="Times New Roman"/>
          <w:lang w:val="fr-CA"/>
        </w:rPr>
        <w:t xml:space="preserve">ait pas encore été examiné. </w:t>
      </w:r>
      <w:r>
        <w:rPr>
          <w:rFonts w:cs="Times New Roman"/>
          <w:lang w:val="fr-CA"/>
        </w:rPr>
        <w:t>Lorsqu’il décide</w:t>
      </w:r>
      <w:r w:rsidRPr="00CA4523">
        <w:rPr>
          <w:rFonts w:cs="Times New Roman"/>
          <w:lang w:val="fr-CA"/>
        </w:rPr>
        <w:t xml:space="preserve"> de présenter des arguments de fond qui pourraient, s</w:t>
      </w:r>
      <w:r>
        <w:rPr>
          <w:rFonts w:cs="Times New Roman"/>
          <w:lang w:val="fr-CA"/>
        </w:rPr>
        <w:t>’</w:t>
      </w:r>
      <w:r w:rsidRPr="00CA4523">
        <w:rPr>
          <w:rFonts w:cs="Times New Roman"/>
          <w:lang w:val="fr-CA"/>
        </w:rPr>
        <w:t xml:space="preserve">ils étaient retenus, permettre de trancher définitivement le litige sur le fond, le défendeur </w:t>
      </w:r>
      <w:r>
        <w:rPr>
          <w:rFonts w:cs="Times New Roman"/>
          <w:lang w:val="fr-CA"/>
        </w:rPr>
        <w:t>reconnaît</w:t>
      </w:r>
      <w:r w:rsidRPr="00CA4523">
        <w:rPr>
          <w:rFonts w:cs="Times New Roman"/>
          <w:lang w:val="fr-CA"/>
        </w:rPr>
        <w:t xml:space="preserve"> la compétence du tribunal étranger. C</w:t>
      </w:r>
      <w:r>
        <w:rPr>
          <w:rFonts w:cs="Times New Roman"/>
          <w:lang w:val="fr-CA"/>
        </w:rPr>
        <w:t>’</w:t>
      </w:r>
      <w:r w:rsidRPr="00CA4523">
        <w:rPr>
          <w:rFonts w:cs="Times New Roman"/>
          <w:lang w:val="fr-CA"/>
        </w:rPr>
        <w:t>est ce qui s</w:t>
      </w:r>
      <w:r>
        <w:rPr>
          <w:rFonts w:cs="Times New Roman"/>
          <w:lang w:val="fr-CA"/>
        </w:rPr>
        <w:t>’</w:t>
      </w:r>
      <w:r w:rsidRPr="00CA4523">
        <w:rPr>
          <w:rFonts w:cs="Times New Roman"/>
          <w:lang w:val="fr-CA"/>
        </w:rPr>
        <w:t>est produit en l</w:t>
      </w:r>
      <w:r>
        <w:rPr>
          <w:rFonts w:cs="Times New Roman"/>
          <w:lang w:val="fr-CA"/>
        </w:rPr>
        <w:t>’</w:t>
      </w:r>
      <w:r w:rsidRPr="00CA4523">
        <w:rPr>
          <w:rFonts w:cs="Times New Roman"/>
          <w:lang w:val="fr-CA"/>
        </w:rPr>
        <w:t>espèce, de l</w:t>
      </w:r>
      <w:r>
        <w:rPr>
          <w:rFonts w:cs="Times New Roman"/>
          <w:lang w:val="fr-CA"/>
        </w:rPr>
        <w:t>’</w:t>
      </w:r>
      <w:r w:rsidRPr="00CA4523">
        <w:rPr>
          <w:rFonts w:cs="Times New Roman"/>
          <w:lang w:val="fr-CA"/>
        </w:rPr>
        <w:t>avis tant de la Cour supérieure que de la Cour d</w:t>
      </w:r>
      <w:r>
        <w:rPr>
          <w:rFonts w:cs="Times New Roman"/>
          <w:lang w:val="fr-CA"/>
        </w:rPr>
        <w:t>’</w:t>
      </w:r>
      <w:r w:rsidRPr="00CA4523">
        <w:rPr>
          <w:rFonts w:cs="Times New Roman"/>
          <w:lang w:val="fr-CA"/>
        </w:rPr>
        <w:t xml:space="preserve">appel. Je ne vois aucune raison de modifier cette conclusion. </w:t>
      </w:r>
    </w:p>
    <w:p w:rsidR="00AF6697" w:rsidRPr="007B409C" w:rsidRDefault="00AF6697" w:rsidP="002970A2">
      <w:pPr>
        <w:pStyle w:val="Title3LevelTitre3Niveau"/>
        <w:numPr>
          <w:ilvl w:val="0"/>
          <w:numId w:val="18"/>
        </w:numPr>
        <w:ind w:left="1260" w:hanging="720"/>
        <w:rPr>
          <w:lang w:val="fr-CA"/>
        </w:rPr>
      </w:pPr>
      <w:r>
        <w:rPr>
          <w:lang w:val="fr-CA"/>
        </w:rPr>
        <w:t>R</w:t>
      </w:r>
      <w:r w:rsidRPr="007B409C">
        <w:rPr>
          <w:lang w:val="fr-CA"/>
        </w:rPr>
        <w:t>econnaissance par M. Barer de la compétence du tribunal de l</w:t>
      </w:r>
      <w:r>
        <w:rPr>
          <w:lang w:val="fr-CA"/>
        </w:rPr>
        <w:t>’</w:t>
      </w:r>
      <w:r w:rsidRPr="007B409C">
        <w:rPr>
          <w:lang w:val="fr-CA"/>
        </w:rPr>
        <w:t xml:space="preserve">Utah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M. Barer n</w:t>
      </w:r>
      <w:r>
        <w:rPr>
          <w:rFonts w:cs="Times New Roman"/>
          <w:lang w:val="fr-CA"/>
        </w:rPr>
        <w:t>’</w:t>
      </w:r>
      <w:r w:rsidRPr="00CA4523">
        <w:rPr>
          <w:rFonts w:cs="Times New Roman"/>
          <w:lang w:val="fr-CA"/>
        </w:rPr>
        <w:t>a pas présenté de défense sur le fond devant le tribunal de l</w:t>
      </w:r>
      <w:r>
        <w:rPr>
          <w:rFonts w:cs="Times New Roman"/>
          <w:lang w:val="fr-CA"/>
        </w:rPr>
        <w:t>’</w:t>
      </w:r>
      <w:r w:rsidRPr="00CA4523">
        <w:rPr>
          <w:rFonts w:cs="Times New Roman"/>
          <w:lang w:val="fr-CA"/>
        </w:rPr>
        <w:t>Utah. Cependant, dans sa requête en irrecevabilité, il a invoqué au moins un argument qui avait trait au bien</w:t>
      </w:r>
      <w:r>
        <w:rPr>
          <w:rFonts w:cs="Times New Roman"/>
          <w:lang w:val="fr-CA"/>
        </w:rPr>
        <w:noBreakHyphen/>
      </w:r>
      <w:r w:rsidRPr="00CA4523">
        <w:rPr>
          <w:rFonts w:cs="Times New Roman"/>
          <w:lang w:val="fr-CA"/>
        </w:rPr>
        <w:t>fondé de l</w:t>
      </w:r>
      <w:r>
        <w:rPr>
          <w:rFonts w:cs="Times New Roman"/>
          <w:lang w:val="fr-CA"/>
        </w:rPr>
        <w:t>’</w:t>
      </w:r>
      <w:r w:rsidRPr="00CA4523">
        <w:rPr>
          <w:rFonts w:cs="Times New Roman"/>
          <w:lang w:val="fr-CA"/>
        </w:rPr>
        <w:t>action intentée contre lui et qui, s</w:t>
      </w:r>
      <w:r>
        <w:rPr>
          <w:rFonts w:cs="Times New Roman"/>
          <w:lang w:val="fr-CA"/>
        </w:rPr>
        <w:t>’</w:t>
      </w:r>
      <w:r w:rsidRPr="00CA4523">
        <w:rPr>
          <w:rFonts w:cs="Times New Roman"/>
          <w:lang w:val="fr-CA"/>
        </w:rPr>
        <w:t xml:space="preserve">il avait été retenu, </w:t>
      </w:r>
      <w:r w:rsidRPr="00CA4523">
        <w:rPr>
          <w:rFonts w:cs="Times New Roman"/>
          <w:lang w:val="fr-CA"/>
        </w:rPr>
        <w:lastRenderedPageBreak/>
        <w:t xml:space="preserve">se serait traduit par une conclusion définitive qui lui aurait été favorable. </w:t>
      </w:r>
      <w:r>
        <w:rPr>
          <w:rFonts w:cs="Times New Roman"/>
          <w:lang w:val="fr-CA"/>
        </w:rPr>
        <w:t>En effet, l’</w:t>
      </w:r>
      <w:r w:rsidRPr="00CA4523">
        <w:rPr>
          <w:rFonts w:cs="Times New Roman"/>
          <w:lang w:val="fr-CA"/>
        </w:rPr>
        <w:t>argument de M. Barer selon lequel l</w:t>
      </w:r>
      <w:r>
        <w:rPr>
          <w:rFonts w:cs="Times New Roman"/>
          <w:lang w:val="fr-CA"/>
        </w:rPr>
        <w:t>’</w:t>
      </w:r>
      <w:r w:rsidRPr="00CA4523">
        <w:rPr>
          <w:rFonts w:cs="Times New Roman"/>
          <w:lang w:val="fr-CA"/>
        </w:rPr>
        <w:t xml:space="preserve">allégation de Knight </w:t>
      </w:r>
      <w:r>
        <w:rPr>
          <w:rFonts w:cs="Times New Roman"/>
          <w:lang w:val="fr-CA"/>
        </w:rPr>
        <w:t>relative aux fausses déclarations</w:t>
      </w:r>
      <w:r w:rsidRPr="00CA4523">
        <w:rPr>
          <w:rFonts w:cs="Times New Roman"/>
          <w:lang w:val="fr-CA"/>
        </w:rPr>
        <w:t xml:space="preserve"> était irrecevable en raison de la règle </w:t>
      </w:r>
      <w:r>
        <w:rPr>
          <w:rFonts w:cs="Times New Roman"/>
          <w:lang w:val="fr-CA"/>
        </w:rPr>
        <w:t>relative aux</w:t>
      </w:r>
      <w:r w:rsidRPr="00CA4523">
        <w:rPr>
          <w:rFonts w:cs="Times New Roman"/>
          <w:lang w:val="fr-CA"/>
        </w:rPr>
        <w:t xml:space="preserve"> </w:t>
      </w:r>
      <w:bookmarkStart w:id="3" w:name="_Hlk526089907"/>
      <w:r w:rsidRPr="00CA4523">
        <w:rPr>
          <w:rFonts w:cs="Times New Roman"/>
          <w:lang w:val="fr-CA"/>
        </w:rPr>
        <w:t xml:space="preserve">pertes </w:t>
      </w:r>
      <w:r>
        <w:rPr>
          <w:rFonts w:cs="Times New Roman"/>
          <w:lang w:val="fr-CA"/>
        </w:rPr>
        <w:t>purement financières</w:t>
      </w:r>
      <w:r w:rsidRPr="00CA4523">
        <w:rPr>
          <w:rFonts w:cs="Times New Roman"/>
          <w:lang w:val="fr-CA"/>
        </w:rPr>
        <w:t xml:space="preserve"> </w:t>
      </w:r>
      <w:bookmarkEnd w:id="3"/>
      <w:r w:rsidRPr="00CA4523">
        <w:rPr>
          <w:rFonts w:cs="Times New Roman"/>
          <w:lang w:val="fr-CA"/>
        </w:rPr>
        <w:t>aurait pu conduire le tribunal de l</w:t>
      </w:r>
      <w:r>
        <w:rPr>
          <w:rFonts w:cs="Times New Roman"/>
          <w:lang w:val="fr-CA"/>
        </w:rPr>
        <w:t>’</w:t>
      </w:r>
      <w:r w:rsidRPr="00CA4523">
        <w:rPr>
          <w:rFonts w:cs="Times New Roman"/>
          <w:lang w:val="fr-CA"/>
        </w:rPr>
        <w:t>Utah à rejeter définitivement cette allégation. Cette conclusion aurait acquis force de chose jugée et empêché Knight de faire valoir cette allégation devant un autre tribun</w:t>
      </w:r>
      <w:r>
        <w:rPr>
          <w:rFonts w:cs="Times New Roman"/>
          <w:lang w:val="fr-CA"/>
        </w:rPr>
        <w:t>al. </w:t>
      </w:r>
      <w:r w:rsidRPr="00CA4523">
        <w:rPr>
          <w:rFonts w:cs="Times New Roman"/>
          <w:lang w:val="fr-CA"/>
        </w:rPr>
        <w:t>L</w:t>
      </w:r>
      <w:r>
        <w:rPr>
          <w:rFonts w:cs="Times New Roman"/>
          <w:lang w:val="fr-CA"/>
        </w:rPr>
        <w:t>’</w:t>
      </w:r>
      <w:r w:rsidRPr="00CA4523">
        <w:rPr>
          <w:rFonts w:cs="Times New Roman"/>
          <w:lang w:val="fr-CA"/>
        </w:rPr>
        <w:t xml:space="preserve">argument de M. Barer fondé sur </w:t>
      </w:r>
      <w:r w:rsidRPr="00F22D51">
        <w:rPr>
          <w:rFonts w:cs="Times New Roman"/>
          <w:lang w:val="fr-CA"/>
        </w:rPr>
        <w:t>les pertes purement financières s</w:t>
      </w:r>
      <w:r>
        <w:rPr>
          <w:rFonts w:cs="Times New Roman"/>
          <w:lang w:val="fr-CA"/>
        </w:rPr>
        <w:t>’</w:t>
      </w:r>
      <w:r w:rsidRPr="00F22D51">
        <w:rPr>
          <w:rFonts w:cs="Times New Roman"/>
          <w:lang w:val="fr-CA"/>
        </w:rPr>
        <w:t>apparentait</w:t>
      </w:r>
      <w:r w:rsidRPr="00CA4523">
        <w:rPr>
          <w:rFonts w:cs="Times New Roman"/>
          <w:lang w:val="fr-CA"/>
        </w:rPr>
        <w:t xml:space="preserve"> donc à un moyen de défense sur le fond </w:t>
      </w:r>
      <w:r>
        <w:rPr>
          <w:rFonts w:cs="Times New Roman"/>
          <w:lang w:val="fr-CA"/>
        </w:rPr>
        <w:t>aux fins de</w:t>
      </w:r>
      <w:r w:rsidRPr="00CA4523">
        <w:rPr>
          <w:rFonts w:cs="Times New Roman"/>
          <w:lang w:val="fr-CA"/>
        </w:rPr>
        <w:t xml:space="preserve"> la reconnaissance de la compétence du tribunal de l</w:t>
      </w:r>
      <w:r>
        <w:rPr>
          <w:rFonts w:cs="Times New Roman"/>
          <w:lang w:val="fr-CA"/>
        </w:rPr>
        <w:t>’</w:t>
      </w:r>
      <w:r w:rsidRPr="00CA4523">
        <w:rPr>
          <w:rFonts w:cs="Times New Roman"/>
          <w:lang w:val="fr-CA"/>
        </w:rPr>
        <w:t>Utah. Comme je l</w:t>
      </w:r>
      <w:r>
        <w:rPr>
          <w:rFonts w:cs="Times New Roman"/>
          <w:lang w:val="fr-CA"/>
        </w:rPr>
        <w:t>’</w:t>
      </w:r>
      <w:r w:rsidRPr="00CA4523">
        <w:rPr>
          <w:rFonts w:cs="Times New Roman"/>
          <w:lang w:val="fr-CA"/>
        </w:rPr>
        <w:t>ai déjà indiqué, les pièces déposées par Knight en Cour supérieure établissent les faits d</w:t>
      </w:r>
      <w:r>
        <w:rPr>
          <w:rFonts w:cs="Times New Roman"/>
          <w:lang w:val="fr-CA"/>
        </w:rPr>
        <w:t>’</w:t>
      </w:r>
      <w:r w:rsidRPr="00CA4523">
        <w:rPr>
          <w:rFonts w:cs="Times New Roman"/>
          <w:lang w:val="fr-CA"/>
        </w:rPr>
        <w:t>ordre procédural qui sous</w:t>
      </w:r>
      <w:r>
        <w:rPr>
          <w:rFonts w:cs="Times New Roman"/>
          <w:lang w:val="fr-CA"/>
        </w:rPr>
        <w:noBreakHyphen/>
      </w:r>
      <w:r w:rsidRPr="00CA4523">
        <w:rPr>
          <w:rFonts w:cs="Times New Roman"/>
          <w:lang w:val="fr-CA"/>
        </w:rPr>
        <w:t xml:space="preserve">tendent sa réclamation fondée sur </w:t>
      </w:r>
      <w:r w:rsidR="00147DED">
        <w:rPr>
          <w:rFonts w:cs="Times New Roman"/>
          <w:lang w:val="fr-CA"/>
        </w:rPr>
        <w:t>le par.</w:t>
      </w:r>
      <w:r>
        <w:rPr>
          <w:rFonts w:cs="Times New Roman"/>
          <w:lang w:val="fr-CA"/>
        </w:rPr>
        <w:t> </w:t>
      </w:r>
      <w:r w:rsidRPr="00CA4523">
        <w:rPr>
          <w:rFonts w:cs="Times New Roman"/>
          <w:lang w:val="fr-CA"/>
        </w:rPr>
        <w:t>3168</w:t>
      </w:r>
      <w:r>
        <w:rPr>
          <w:rFonts w:cs="Times New Roman"/>
          <w:lang w:val="fr-CA"/>
        </w:rPr>
        <w:t>(</w:t>
      </w:r>
      <w:r w:rsidRPr="00CA4523">
        <w:rPr>
          <w:rFonts w:cs="Times New Roman"/>
          <w:lang w:val="fr-CA"/>
        </w:rPr>
        <w:t>6</w:t>
      </w:r>
      <w:r>
        <w:rPr>
          <w:rFonts w:cs="Times New Roman"/>
          <w:lang w:val="fr-CA"/>
        </w:rPr>
        <w:t>)</w:t>
      </w:r>
      <w:r w:rsidRPr="00CA4523">
        <w:rPr>
          <w:rFonts w:cs="Times New Roman"/>
          <w:lang w:val="fr-CA"/>
        </w:rPr>
        <w:t xml:space="preserve"> </w:t>
      </w:r>
      <w:r w:rsidRPr="00CA4523">
        <w:rPr>
          <w:rFonts w:cs="Times New Roman"/>
          <w:i/>
          <w:lang w:val="fr-CA"/>
        </w:rPr>
        <w:t>C.c.Q</w:t>
      </w:r>
      <w:r w:rsidRPr="00CA4523">
        <w:rPr>
          <w:rFonts w:cs="Times New Roman"/>
          <w:lang w:val="fr-CA"/>
        </w:rPr>
        <w:t xml:space="preserve">.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 xml:space="preserve">À mon avis, les mêmes considérations de principe qui justifient le rejet de </w:t>
      </w:r>
      <w:r>
        <w:rPr>
          <w:rFonts w:cs="Times New Roman"/>
          <w:lang w:val="fr-CA"/>
        </w:rPr>
        <w:t xml:space="preserve">l’approche dite de </w:t>
      </w:r>
      <w:r w:rsidRPr="00CA4523">
        <w:rPr>
          <w:rFonts w:cs="Times New Roman"/>
          <w:lang w:val="fr-CA"/>
        </w:rPr>
        <w:t xml:space="preserve"> « </w:t>
      </w:r>
      <w:r w:rsidRPr="00BD5C64">
        <w:rPr>
          <w:rFonts w:cs="Times New Roman"/>
          <w:lang w:val="fr-CA"/>
        </w:rPr>
        <w:t>sauver les meubles</w:t>
      </w:r>
      <w:r w:rsidRPr="00CA4523">
        <w:rPr>
          <w:rFonts w:cs="Times New Roman"/>
          <w:lang w:val="fr-CA"/>
        </w:rPr>
        <w:t> » s</w:t>
      </w:r>
      <w:r>
        <w:rPr>
          <w:rFonts w:cs="Times New Roman"/>
          <w:lang w:val="fr-CA"/>
        </w:rPr>
        <w:t>’</w:t>
      </w:r>
      <w:r w:rsidRPr="00CA4523">
        <w:rPr>
          <w:rFonts w:cs="Times New Roman"/>
          <w:lang w:val="fr-CA"/>
        </w:rPr>
        <w:t xml:space="preserve">appliquent en pareil cas. M. Barer a tenté de profiter des poursuites engagées par </w:t>
      </w:r>
      <w:r w:rsidRPr="00484228">
        <w:rPr>
          <w:rFonts w:cs="Times New Roman"/>
          <w:lang w:val="fr-CA"/>
        </w:rPr>
        <w:t>Knight dans l</w:t>
      </w:r>
      <w:r>
        <w:rPr>
          <w:rFonts w:cs="Times New Roman"/>
          <w:lang w:val="fr-CA"/>
        </w:rPr>
        <w:t>’</w:t>
      </w:r>
      <w:r w:rsidRPr="00484228">
        <w:rPr>
          <w:rFonts w:cs="Times New Roman"/>
          <w:lang w:val="fr-CA"/>
        </w:rPr>
        <w:t>Utah pour régler</w:t>
      </w:r>
      <w:r w:rsidRPr="00CA4523">
        <w:rPr>
          <w:rFonts w:cs="Times New Roman"/>
          <w:lang w:val="fr-CA"/>
        </w:rPr>
        <w:t xml:space="preserve"> en partie, sinon en totalité, le différend qui les opposait. Dans ces conditions, il ne peut </w:t>
      </w:r>
      <w:r>
        <w:rPr>
          <w:rFonts w:cs="Times New Roman"/>
          <w:lang w:val="fr-CA"/>
        </w:rPr>
        <w:t xml:space="preserve">pas </w:t>
      </w:r>
      <w:r w:rsidRPr="00CA4523">
        <w:rPr>
          <w:rFonts w:cs="Times New Roman"/>
          <w:lang w:val="fr-CA"/>
        </w:rPr>
        <w:t>demander aux tribunaux du Québec de le protéger des conséquences de la perte de la bataille juridique qu</w:t>
      </w:r>
      <w:r>
        <w:rPr>
          <w:rFonts w:cs="Times New Roman"/>
          <w:lang w:val="fr-CA"/>
        </w:rPr>
        <w:t>’</w:t>
      </w:r>
      <w:r w:rsidRPr="00CA4523">
        <w:rPr>
          <w:rFonts w:cs="Times New Roman"/>
          <w:lang w:val="fr-CA"/>
        </w:rPr>
        <w:t xml:space="preserve">il a choisi de mener </w:t>
      </w:r>
      <w:r>
        <w:rPr>
          <w:rFonts w:cs="Times New Roman"/>
          <w:lang w:val="fr-CA"/>
        </w:rPr>
        <w:t>dans cet État</w:t>
      </w:r>
      <w:r w:rsidRPr="00CA4523">
        <w:rPr>
          <w:rFonts w:cs="Times New Roman"/>
          <w:lang w:val="fr-CA"/>
        </w:rPr>
        <w:t>. Cette demande n</w:t>
      </w:r>
      <w:r>
        <w:rPr>
          <w:rFonts w:cs="Times New Roman"/>
          <w:lang w:val="fr-CA"/>
        </w:rPr>
        <w:t>’</w:t>
      </w:r>
      <w:r w:rsidRPr="00CA4523">
        <w:rPr>
          <w:rFonts w:cs="Times New Roman"/>
          <w:lang w:val="fr-CA"/>
        </w:rPr>
        <w:t>est pas justifiée et va à l</w:t>
      </w:r>
      <w:r>
        <w:rPr>
          <w:rFonts w:cs="Times New Roman"/>
          <w:lang w:val="fr-CA"/>
        </w:rPr>
        <w:t>’</w:t>
      </w:r>
      <w:r w:rsidRPr="00CA4523">
        <w:rPr>
          <w:rFonts w:cs="Times New Roman"/>
          <w:lang w:val="fr-CA"/>
        </w:rPr>
        <w:t>encontre tant du principe de courtoisie judiciaire que de celui de l</w:t>
      </w:r>
      <w:r>
        <w:rPr>
          <w:rFonts w:cs="Times New Roman"/>
          <w:lang w:val="fr-CA"/>
        </w:rPr>
        <w:t>’</w:t>
      </w:r>
      <w:r w:rsidRPr="00CA4523">
        <w:rPr>
          <w:rFonts w:cs="Times New Roman"/>
          <w:lang w:val="fr-CA"/>
        </w:rPr>
        <w:t>utilisation efficace des ressources judiciaires internationales. Bref, M. Barer s</w:t>
      </w:r>
      <w:r>
        <w:rPr>
          <w:rFonts w:cs="Times New Roman"/>
          <w:lang w:val="fr-CA"/>
        </w:rPr>
        <w:t>’</w:t>
      </w:r>
      <w:r w:rsidRPr="00CA4523">
        <w:rPr>
          <w:rFonts w:cs="Times New Roman"/>
          <w:lang w:val="fr-CA"/>
        </w:rPr>
        <w:t>est prévalu de l</w:t>
      </w:r>
      <w:r>
        <w:rPr>
          <w:rFonts w:cs="Times New Roman"/>
          <w:lang w:val="fr-CA"/>
        </w:rPr>
        <w:t>’</w:t>
      </w:r>
      <w:r w:rsidRPr="00CA4523">
        <w:rPr>
          <w:rFonts w:cs="Times New Roman"/>
          <w:lang w:val="fr-CA"/>
        </w:rPr>
        <w:t>occasion qui lui était offerte d</w:t>
      </w:r>
      <w:r>
        <w:rPr>
          <w:rFonts w:cs="Times New Roman"/>
          <w:lang w:val="fr-CA"/>
        </w:rPr>
        <w:t>’</w:t>
      </w:r>
      <w:r w:rsidRPr="00CA4523">
        <w:rPr>
          <w:rFonts w:cs="Times New Roman"/>
          <w:lang w:val="fr-CA"/>
        </w:rPr>
        <w:t>obtenir une décision définitive favorable du tribunal de l</w:t>
      </w:r>
      <w:r>
        <w:rPr>
          <w:rFonts w:cs="Times New Roman"/>
          <w:lang w:val="fr-CA"/>
        </w:rPr>
        <w:t>’</w:t>
      </w:r>
      <w:r w:rsidRPr="00CA4523">
        <w:rPr>
          <w:rFonts w:cs="Times New Roman"/>
          <w:lang w:val="fr-CA"/>
        </w:rPr>
        <w:t xml:space="preserve">Utah. Selon </w:t>
      </w:r>
      <w:r w:rsidR="00147DED">
        <w:rPr>
          <w:rFonts w:cs="Times New Roman"/>
          <w:lang w:val="fr-CA"/>
        </w:rPr>
        <w:t>le par.</w:t>
      </w:r>
      <w:r>
        <w:rPr>
          <w:rFonts w:cs="Times New Roman"/>
          <w:lang w:val="fr-CA"/>
        </w:rPr>
        <w:t> </w:t>
      </w:r>
      <w:r w:rsidRPr="00CA4523">
        <w:rPr>
          <w:rFonts w:cs="Times New Roman"/>
          <w:lang w:val="fr-CA"/>
        </w:rPr>
        <w:t>3168</w:t>
      </w:r>
      <w:r>
        <w:rPr>
          <w:rFonts w:cs="Times New Roman"/>
          <w:lang w:val="fr-CA"/>
        </w:rPr>
        <w:t>(</w:t>
      </w:r>
      <w:r w:rsidRPr="00CA4523">
        <w:rPr>
          <w:rFonts w:cs="Times New Roman"/>
          <w:lang w:val="fr-CA"/>
        </w:rPr>
        <w:t>6</w:t>
      </w:r>
      <w:r>
        <w:rPr>
          <w:rFonts w:cs="Times New Roman"/>
          <w:lang w:val="fr-CA"/>
        </w:rPr>
        <w:t>)</w:t>
      </w:r>
      <w:r w:rsidRPr="00CA4523">
        <w:rPr>
          <w:rFonts w:cs="Times New Roman"/>
          <w:lang w:val="fr-CA"/>
        </w:rPr>
        <w:t> </w:t>
      </w:r>
      <w:r w:rsidRPr="00CA4523">
        <w:rPr>
          <w:rFonts w:cs="Times New Roman"/>
          <w:i/>
          <w:lang w:val="fr-CA"/>
        </w:rPr>
        <w:t>C.c.Q.</w:t>
      </w:r>
      <w:r w:rsidRPr="00CA4523">
        <w:rPr>
          <w:rFonts w:cs="Times New Roman"/>
          <w:lang w:val="fr-CA"/>
        </w:rPr>
        <w:t xml:space="preserve">, il </w:t>
      </w:r>
      <w:r>
        <w:rPr>
          <w:rFonts w:cs="Times New Roman"/>
          <w:lang w:val="fr-CA"/>
        </w:rPr>
        <w:t>ne peut plus maintenant</w:t>
      </w:r>
      <w:r w:rsidRPr="00CA4523">
        <w:rPr>
          <w:rFonts w:cs="Times New Roman"/>
          <w:lang w:val="fr-CA"/>
        </w:rPr>
        <w:t xml:space="preserve"> prétendre </w:t>
      </w:r>
      <w:r>
        <w:rPr>
          <w:rFonts w:cs="Times New Roman"/>
          <w:lang w:val="fr-CA"/>
        </w:rPr>
        <w:t>que c</w:t>
      </w:r>
      <w:r w:rsidRPr="00CA4523">
        <w:rPr>
          <w:rFonts w:cs="Times New Roman"/>
          <w:lang w:val="fr-CA"/>
        </w:rPr>
        <w:t>e tribunal n</w:t>
      </w:r>
      <w:r>
        <w:rPr>
          <w:rFonts w:cs="Times New Roman"/>
          <w:lang w:val="fr-CA"/>
        </w:rPr>
        <w:t>’</w:t>
      </w:r>
      <w:r w:rsidRPr="00CA4523">
        <w:rPr>
          <w:rFonts w:cs="Times New Roman"/>
          <w:lang w:val="fr-CA"/>
        </w:rPr>
        <w:t xml:space="preserve">avait pas compétence.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 xml:space="preserve">Malgré </w:t>
      </w:r>
      <w:r>
        <w:rPr>
          <w:rFonts w:cs="Times New Roman"/>
          <w:lang w:val="fr-CA"/>
        </w:rPr>
        <w:t>cela</w:t>
      </w:r>
      <w:r w:rsidRPr="00CA4523">
        <w:rPr>
          <w:rFonts w:cs="Times New Roman"/>
          <w:lang w:val="fr-CA"/>
        </w:rPr>
        <w:t xml:space="preserve">, M. Barer soutient que cette norme juridique </w:t>
      </w:r>
      <w:r>
        <w:rPr>
          <w:rFonts w:cs="Times New Roman"/>
          <w:lang w:val="fr-CA"/>
        </w:rPr>
        <w:t xml:space="preserve">applicable à </w:t>
      </w:r>
      <w:r w:rsidRPr="00CA4523">
        <w:rPr>
          <w:rFonts w:cs="Times New Roman"/>
          <w:lang w:val="fr-CA"/>
        </w:rPr>
        <w:t>la reconnaissance ne devrait pas s</w:t>
      </w:r>
      <w:r>
        <w:rPr>
          <w:rFonts w:cs="Times New Roman"/>
          <w:lang w:val="fr-CA"/>
        </w:rPr>
        <w:t>’</w:t>
      </w:r>
      <w:r w:rsidRPr="00CA4523">
        <w:rPr>
          <w:rFonts w:cs="Times New Roman"/>
          <w:lang w:val="fr-CA"/>
        </w:rPr>
        <w:t>appliquer dans son cas, puisqu</w:t>
      </w:r>
      <w:r>
        <w:rPr>
          <w:rFonts w:cs="Times New Roman"/>
          <w:lang w:val="fr-CA"/>
        </w:rPr>
        <w:t>’</w:t>
      </w:r>
      <w:r w:rsidRPr="00CA4523">
        <w:rPr>
          <w:rFonts w:cs="Times New Roman"/>
          <w:lang w:val="fr-CA"/>
        </w:rPr>
        <w:t>il n</w:t>
      </w:r>
      <w:r>
        <w:rPr>
          <w:rFonts w:cs="Times New Roman"/>
          <w:lang w:val="fr-CA"/>
        </w:rPr>
        <w:t>’</w:t>
      </w:r>
      <w:r w:rsidRPr="00CA4523">
        <w:rPr>
          <w:rFonts w:cs="Times New Roman"/>
          <w:lang w:val="fr-CA"/>
        </w:rPr>
        <w:t>avait d</w:t>
      </w:r>
      <w:r>
        <w:rPr>
          <w:rFonts w:cs="Times New Roman"/>
          <w:lang w:val="fr-CA"/>
        </w:rPr>
        <w:t>’</w:t>
      </w:r>
      <w:r w:rsidRPr="00CA4523">
        <w:rPr>
          <w:rFonts w:cs="Times New Roman"/>
          <w:lang w:val="fr-CA"/>
        </w:rPr>
        <w:t xml:space="preserve">autre choix </w:t>
      </w:r>
      <w:r w:rsidRPr="00CA4523">
        <w:rPr>
          <w:rFonts w:cs="Times New Roman"/>
          <w:lang w:val="fr-CA"/>
        </w:rPr>
        <w:lastRenderedPageBreak/>
        <w:t xml:space="preserve">que de présenter </w:t>
      </w:r>
      <w:r>
        <w:rPr>
          <w:rFonts w:cs="Times New Roman"/>
          <w:lang w:val="fr-CA"/>
        </w:rPr>
        <w:t>tous</w:t>
      </w:r>
      <w:r w:rsidRPr="00CA4523">
        <w:rPr>
          <w:rFonts w:cs="Times New Roman"/>
          <w:lang w:val="fr-CA"/>
        </w:rPr>
        <w:t xml:space="preserve"> ses moyens préliminaires ensemble dans le cadre de l</w:t>
      </w:r>
      <w:r>
        <w:rPr>
          <w:rFonts w:cs="Times New Roman"/>
          <w:lang w:val="fr-CA"/>
        </w:rPr>
        <w:t>’</w:t>
      </w:r>
      <w:r w:rsidRPr="00CA4523">
        <w:rPr>
          <w:rFonts w:cs="Times New Roman"/>
          <w:lang w:val="fr-CA"/>
        </w:rPr>
        <w:t xml:space="preserve">instance </w:t>
      </w:r>
      <w:r w:rsidRPr="00484228">
        <w:rPr>
          <w:rFonts w:cs="Times New Roman"/>
          <w:lang w:val="fr-CA"/>
        </w:rPr>
        <w:t>introduite dans l</w:t>
      </w:r>
      <w:r>
        <w:rPr>
          <w:rFonts w:cs="Times New Roman"/>
          <w:lang w:val="fr-CA"/>
        </w:rPr>
        <w:t>’</w:t>
      </w:r>
      <w:r w:rsidRPr="00484228">
        <w:rPr>
          <w:rFonts w:cs="Times New Roman"/>
          <w:lang w:val="fr-CA"/>
        </w:rPr>
        <w:t>Utah. Autrement</w:t>
      </w:r>
      <w:r>
        <w:rPr>
          <w:rFonts w:cs="Times New Roman"/>
          <w:lang w:val="fr-CA"/>
        </w:rPr>
        <w:t xml:space="preserve"> dit</w:t>
      </w:r>
      <w:r w:rsidRPr="00CA4523">
        <w:rPr>
          <w:rFonts w:cs="Times New Roman"/>
          <w:lang w:val="fr-CA"/>
        </w:rPr>
        <w:t xml:space="preserve">, il ne devrait pas être réputé avoir reconnu la compétence </w:t>
      </w:r>
      <w:r>
        <w:rPr>
          <w:rFonts w:cs="Times New Roman"/>
          <w:lang w:val="fr-CA"/>
        </w:rPr>
        <w:t xml:space="preserve">du tribunal en cause </w:t>
      </w:r>
      <w:r w:rsidRPr="00CA4523">
        <w:rPr>
          <w:rFonts w:cs="Times New Roman"/>
          <w:lang w:val="fr-CA"/>
        </w:rPr>
        <w:t>simplement parce qu</w:t>
      </w:r>
      <w:r>
        <w:rPr>
          <w:rFonts w:cs="Times New Roman"/>
          <w:lang w:val="fr-CA"/>
        </w:rPr>
        <w:t>’</w:t>
      </w:r>
      <w:r w:rsidRPr="00CA4523">
        <w:rPr>
          <w:rFonts w:cs="Times New Roman"/>
          <w:lang w:val="fr-CA"/>
        </w:rPr>
        <w:t>il s</w:t>
      </w:r>
      <w:r>
        <w:rPr>
          <w:rFonts w:cs="Times New Roman"/>
          <w:lang w:val="fr-CA"/>
        </w:rPr>
        <w:t>’</w:t>
      </w:r>
      <w:r w:rsidRPr="00CA4523">
        <w:rPr>
          <w:rFonts w:cs="Times New Roman"/>
          <w:lang w:val="fr-CA"/>
        </w:rPr>
        <w:t xml:space="preserve">est conformé aux règles de procédure </w:t>
      </w:r>
      <w:r>
        <w:rPr>
          <w:rFonts w:cs="Times New Roman"/>
          <w:lang w:val="fr-CA"/>
        </w:rPr>
        <w:t>et</w:t>
      </w:r>
      <w:r w:rsidRPr="00CA4523">
        <w:rPr>
          <w:rFonts w:cs="Times New Roman"/>
          <w:lang w:val="fr-CA"/>
        </w:rPr>
        <w:t xml:space="preserve"> qu</w:t>
      </w:r>
      <w:r>
        <w:rPr>
          <w:rFonts w:cs="Times New Roman"/>
          <w:lang w:val="fr-CA"/>
        </w:rPr>
        <w:t>’</w:t>
      </w:r>
      <w:r w:rsidRPr="00CA4523">
        <w:rPr>
          <w:rFonts w:cs="Times New Roman"/>
          <w:lang w:val="fr-CA"/>
        </w:rPr>
        <w:t>il a présenté des arguments de fond tout en contestant la compétence dans le cadre de sa requête en irrecevabilit</w:t>
      </w:r>
      <w:r>
        <w:rPr>
          <w:rFonts w:cs="Times New Roman"/>
          <w:lang w:val="fr-CA"/>
        </w:rPr>
        <w:t>é. Il se fonde à cet égard sur d</w:t>
      </w:r>
      <w:r w:rsidRPr="00CA4523">
        <w:rPr>
          <w:rFonts w:cs="Times New Roman"/>
          <w:lang w:val="fr-CA"/>
        </w:rPr>
        <w:t xml:space="preserve">es commentaires </w:t>
      </w:r>
      <w:r>
        <w:rPr>
          <w:rFonts w:cs="Times New Roman"/>
          <w:lang w:val="fr-CA"/>
        </w:rPr>
        <w:t>semblables à</w:t>
      </w:r>
      <w:r w:rsidRPr="00CA4523">
        <w:rPr>
          <w:rFonts w:cs="Times New Roman"/>
          <w:lang w:val="fr-CA"/>
        </w:rPr>
        <w:t xml:space="preserve"> ceux </w:t>
      </w:r>
      <w:r>
        <w:rPr>
          <w:rFonts w:cs="Times New Roman"/>
          <w:lang w:val="fr-CA"/>
        </w:rPr>
        <w:t>formulés par</w:t>
      </w:r>
      <w:r w:rsidRPr="00CA4523">
        <w:rPr>
          <w:rFonts w:cs="Times New Roman"/>
          <w:lang w:val="fr-CA"/>
        </w:rPr>
        <w:t xml:space="preserve"> le professeur Talpis</w:t>
      </w:r>
      <w:r>
        <w:rPr>
          <w:rFonts w:cs="Times New Roman"/>
          <w:lang w:val="fr-CA"/>
        </w:rPr>
        <w:t> :</w:t>
      </w:r>
    </w:p>
    <w:p w:rsidR="00AF6697" w:rsidRPr="00CA4523" w:rsidRDefault="00AF6697" w:rsidP="00AF6697">
      <w:pPr>
        <w:pStyle w:val="Citation-AltC"/>
        <w:ind w:hanging="1166"/>
        <w:rPr>
          <w:lang w:val="fr-CA"/>
        </w:rPr>
      </w:pPr>
      <w:r>
        <w:rPr>
          <w:lang w:val="fr-CA"/>
        </w:rPr>
        <w:tab/>
      </w:r>
      <w:r w:rsidRPr="00CA4523">
        <w:rPr>
          <w:lang w:val="fr-CA"/>
        </w:rPr>
        <w:t>[</w:t>
      </w:r>
      <w:r w:rsidRPr="00CA4523">
        <w:rPr>
          <w:smallCaps/>
          <w:lang w:val="fr-CA"/>
        </w:rPr>
        <w:t>traduction</w:t>
      </w:r>
      <w:r w:rsidRPr="00CA4523">
        <w:rPr>
          <w:lang w:val="fr-CA"/>
        </w:rPr>
        <w:t xml:space="preserve">] </w:t>
      </w:r>
      <w:r w:rsidR="00FA7147">
        <w:rPr>
          <w:lang w:val="fr-CA"/>
        </w:rPr>
        <w:t>. . .</w:t>
      </w:r>
      <w:r w:rsidRPr="00CA4523">
        <w:rPr>
          <w:lang w:val="fr-CA"/>
        </w:rPr>
        <w:t xml:space="preserve"> </w:t>
      </w:r>
      <w:r>
        <w:rPr>
          <w:lang w:val="fr-CA"/>
        </w:rPr>
        <w:t>[</w:t>
      </w:r>
      <w:r w:rsidRPr="00CA4523">
        <w:rPr>
          <w:lang w:val="fr-CA"/>
        </w:rPr>
        <w:t>l</w:t>
      </w:r>
      <w:r>
        <w:rPr>
          <w:lang w:val="fr-CA"/>
        </w:rPr>
        <w:t>’]</w:t>
      </w:r>
      <w:r w:rsidRPr="00CA4523">
        <w:rPr>
          <w:lang w:val="fr-CA"/>
        </w:rPr>
        <w:t>approche [</w:t>
      </w:r>
      <w:r>
        <w:rPr>
          <w:lang w:val="fr-CA"/>
        </w:rPr>
        <w:t>« </w:t>
      </w:r>
      <w:r w:rsidRPr="00CA4523">
        <w:rPr>
          <w:lang w:val="fr-CA"/>
        </w:rPr>
        <w:t>sauver les meubles</w:t>
      </w:r>
      <w:r>
        <w:rPr>
          <w:lang w:val="fr-CA"/>
        </w:rPr>
        <w:t> »</w:t>
      </w:r>
      <w:r w:rsidRPr="00CA4523">
        <w:rPr>
          <w:lang w:val="fr-CA"/>
        </w:rPr>
        <w:t xml:space="preserve">] </w:t>
      </w:r>
      <w:r>
        <w:rPr>
          <w:lang w:val="fr-CA"/>
        </w:rPr>
        <w:t>est bien fondée dans une certaine mesure</w:t>
      </w:r>
      <w:r w:rsidRPr="00CA4523">
        <w:rPr>
          <w:lang w:val="fr-CA"/>
        </w:rPr>
        <w:t xml:space="preserve"> lorsque le défendeur a agi par nécessité, par exemple, lorsqu</w:t>
      </w:r>
      <w:r>
        <w:rPr>
          <w:lang w:val="fr-CA"/>
        </w:rPr>
        <w:t>’</w:t>
      </w:r>
      <w:r w:rsidRPr="00CA4523">
        <w:rPr>
          <w:lang w:val="fr-CA"/>
        </w:rPr>
        <w:t>il n</w:t>
      </w:r>
      <w:r>
        <w:rPr>
          <w:lang w:val="fr-CA"/>
        </w:rPr>
        <w:t>’</w:t>
      </w:r>
      <w:r w:rsidRPr="00CA4523">
        <w:rPr>
          <w:lang w:val="fr-CA"/>
        </w:rPr>
        <w:t xml:space="preserve">aurait </w:t>
      </w:r>
      <w:r>
        <w:rPr>
          <w:lang w:val="fr-CA"/>
        </w:rPr>
        <w:t xml:space="preserve">pas </w:t>
      </w:r>
      <w:r w:rsidRPr="00CA4523">
        <w:rPr>
          <w:lang w:val="fr-CA"/>
        </w:rPr>
        <w:t>pu contester la compétence sans plaider en même temps sur le fond (</w:t>
      </w:r>
      <w:r>
        <w:rPr>
          <w:lang w:val="fr-CA"/>
        </w:rPr>
        <w:t>comme dans le cas de</w:t>
      </w:r>
      <w:r w:rsidRPr="00CA4523">
        <w:rPr>
          <w:lang w:val="fr-CA"/>
        </w:rPr>
        <w:t xml:space="preserve"> la procédure simplifiée du Québec) ou lorsqu</w:t>
      </w:r>
      <w:r>
        <w:rPr>
          <w:lang w:val="fr-CA"/>
        </w:rPr>
        <w:t>’</w:t>
      </w:r>
      <w:r w:rsidRPr="00CA4523">
        <w:rPr>
          <w:lang w:val="fr-CA"/>
        </w:rPr>
        <w:t>il était urgent pour lui d</w:t>
      </w:r>
      <w:r>
        <w:rPr>
          <w:lang w:val="fr-CA"/>
        </w:rPr>
        <w:t>’</w:t>
      </w:r>
      <w:r w:rsidRPr="00CA4523">
        <w:rPr>
          <w:lang w:val="fr-CA"/>
        </w:rPr>
        <w:t>agir pou</w:t>
      </w:r>
      <w:r>
        <w:rPr>
          <w:lang w:val="fr-CA"/>
        </w:rPr>
        <w:t>r évite</w:t>
      </w:r>
      <w:r w:rsidR="00FA7147">
        <w:rPr>
          <w:lang w:val="fr-CA"/>
        </w:rPr>
        <w:t>r de graves conséquences . . .</w:t>
      </w:r>
      <w:r w:rsidR="00BA044B">
        <w:rPr>
          <w:lang w:val="fr-CA"/>
        </w:rPr>
        <w:t xml:space="preserve"> [p. 115</w:t>
      </w:r>
      <w:r>
        <w:rPr>
          <w:lang w:val="fr-CA"/>
        </w:rPr>
        <w:t>]</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Je souligne que M. Barer n</w:t>
      </w:r>
      <w:r>
        <w:rPr>
          <w:rFonts w:cs="Times New Roman"/>
          <w:lang w:val="fr-CA"/>
        </w:rPr>
        <w:t>’</w:t>
      </w:r>
      <w:r w:rsidRPr="00CA4523">
        <w:rPr>
          <w:rFonts w:cs="Times New Roman"/>
          <w:lang w:val="fr-CA"/>
        </w:rPr>
        <w:t>a pas tenté d</w:t>
      </w:r>
      <w:r>
        <w:rPr>
          <w:rFonts w:cs="Times New Roman"/>
          <w:lang w:val="fr-CA"/>
        </w:rPr>
        <w:t>’</w:t>
      </w:r>
      <w:r w:rsidRPr="00CA4523">
        <w:rPr>
          <w:rFonts w:cs="Times New Roman"/>
          <w:lang w:val="fr-CA"/>
        </w:rPr>
        <w:t>établir la teneur des règles de procédure de l</w:t>
      </w:r>
      <w:r>
        <w:rPr>
          <w:rFonts w:cs="Times New Roman"/>
          <w:lang w:val="fr-CA"/>
        </w:rPr>
        <w:t>’</w:t>
      </w:r>
      <w:r w:rsidRPr="00CA4523">
        <w:rPr>
          <w:rFonts w:cs="Times New Roman"/>
          <w:lang w:val="fr-CA"/>
        </w:rPr>
        <w:t>Utah concernant la présentation de moyens préliminaires</w:t>
      </w:r>
      <w:r>
        <w:rPr>
          <w:rFonts w:cs="Times New Roman"/>
          <w:lang w:val="fr-CA"/>
        </w:rPr>
        <w:t>. I</w:t>
      </w:r>
      <w:r w:rsidRPr="00CA4523">
        <w:rPr>
          <w:rFonts w:cs="Times New Roman"/>
          <w:lang w:val="fr-CA"/>
        </w:rPr>
        <w:t>l soutient plutôt qu</w:t>
      </w:r>
      <w:r>
        <w:rPr>
          <w:rFonts w:cs="Times New Roman"/>
          <w:lang w:val="fr-CA"/>
        </w:rPr>
        <w:t>’</w:t>
      </w:r>
      <w:r w:rsidRPr="00CA4523">
        <w:rPr>
          <w:rFonts w:cs="Times New Roman"/>
          <w:lang w:val="fr-CA"/>
        </w:rPr>
        <w:t xml:space="preserve">il y a lieu de présumer que ces règles sont </w:t>
      </w:r>
      <w:r>
        <w:rPr>
          <w:rFonts w:cs="Times New Roman"/>
          <w:lang w:val="fr-CA"/>
        </w:rPr>
        <w:t>identiques à celles du Québec où, selon lui,</w:t>
      </w:r>
      <w:r w:rsidRPr="00CA4523">
        <w:rPr>
          <w:rFonts w:cs="Times New Roman"/>
          <w:lang w:val="fr-CA"/>
        </w:rPr>
        <w:t xml:space="preserve"> les parties doivent présenter tous leurs moyens préliminaires </w:t>
      </w:r>
      <w:r>
        <w:rPr>
          <w:rFonts w:cs="Times New Roman"/>
          <w:lang w:val="fr-CA"/>
        </w:rPr>
        <w:t>ensemble</w:t>
      </w:r>
      <w:r w:rsidRPr="00CA4523">
        <w:rPr>
          <w:rFonts w:cs="Times New Roman"/>
          <w:szCs w:val="24"/>
          <w:lang w:val="fr-CA"/>
        </w:rPr>
        <w:t>.</w:t>
      </w:r>
    </w:p>
    <w:p w:rsidR="00AF6697" w:rsidRPr="009029C8" w:rsidRDefault="00AF6697" w:rsidP="00AF6697">
      <w:pPr>
        <w:pStyle w:val="ParaNoNdepar-AltN"/>
        <w:tabs>
          <w:tab w:val="clear" w:pos="1166"/>
          <w:tab w:val="num" w:pos="1152"/>
        </w:tabs>
        <w:rPr>
          <w:rFonts w:cs="Times New Roman"/>
          <w:lang w:val="fr-CA"/>
        </w:rPr>
      </w:pPr>
      <w:r w:rsidRPr="009029C8">
        <w:rPr>
          <w:rFonts w:cs="Times New Roman"/>
          <w:szCs w:val="24"/>
          <w:lang w:val="fr-CA"/>
        </w:rPr>
        <w:t>Je reconnais que, dans certains cas, l</w:t>
      </w:r>
      <w:r>
        <w:rPr>
          <w:rFonts w:cs="Times New Roman"/>
          <w:szCs w:val="24"/>
          <w:lang w:val="fr-CA"/>
        </w:rPr>
        <w:t>’</w:t>
      </w:r>
      <w:r w:rsidRPr="009029C8">
        <w:rPr>
          <w:rFonts w:cs="Times New Roman"/>
          <w:szCs w:val="24"/>
          <w:lang w:val="fr-CA"/>
        </w:rPr>
        <w:t>obligation pour une partie de présenter tous ses arguments ensemble pourrait avoir une certaine incidence sur l</w:t>
      </w:r>
      <w:r>
        <w:rPr>
          <w:rFonts w:cs="Times New Roman"/>
          <w:szCs w:val="24"/>
          <w:lang w:val="fr-CA"/>
        </w:rPr>
        <w:t>’</w:t>
      </w:r>
      <w:r w:rsidRPr="009029C8">
        <w:rPr>
          <w:rFonts w:cs="Times New Roman"/>
          <w:szCs w:val="24"/>
          <w:lang w:val="fr-CA"/>
        </w:rPr>
        <w:t>analyse de la reconnaissance</w:t>
      </w:r>
      <w:r>
        <w:rPr>
          <w:rFonts w:cs="Times New Roman"/>
          <w:szCs w:val="24"/>
          <w:lang w:val="fr-CA"/>
        </w:rPr>
        <w:t xml:space="preserve"> de la compétence</w:t>
      </w:r>
      <w:r w:rsidRPr="009029C8">
        <w:rPr>
          <w:rFonts w:cs="Times New Roman"/>
          <w:szCs w:val="24"/>
          <w:lang w:val="fr-CA"/>
        </w:rPr>
        <w:t xml:space="preserve">. Comme le souligne le professeur Talpis, il se peut que certains défendeurs se trouvent dans une situation où ils </w:t>
      </w:r>
      <w:r w:rsidRPr="009029C8">
        <w:rPr>
          <w:rFonts w:cs="Times New Roman"/>
          <w:i/>
          <w:szCs w:val="24"/>
          <w:lang w:val="fr-CA"/>
        </w:rPr>
        <w:t>doivent</w:t>
      </w:r>
      <w:r w:rsidRPr="009029C8">
        <w:rPr>
          <w:rFonts w:cs="Times New Roman"/>
          <w:szCs w:val="24"/>
          <w:lang w:val="fr-CA"/>
        </w:rPr>
        <w:t xml:space="preserve"> prendre certaines mesures pour pouvoir contester en bonne et due forme la compétence du tribunal (Talpis</w:t>
      </w:r>
      <w:r w:rsidRPr="009029C8">
        <w:rPr>
          <w:rFonts w:cs="Times New Roman"/>
          <w:lang w:val="fr-CA"/>
        </w:rPr>
        <w:t>,</w:t>
      </w:r>
      <w:r w:rsidRPr="009029C8">
        <w:rPr>
          <w:rFonts w:cs="Times New Roman"/>
          <w:i/>
          <w:lang w:val="fr-CA"/>
        </w:rPr>
        <w:t xml:space="preserve"> </w:t>
      </w:r>
      <w:r>
        <w:rPr>
          <w:rFonts w:cs="Times New Roman"/>
          <w:lang w:val="fr-CA"/>
        </w:rPr>
        <w:t>p. </w:t>
      </w:r>
      <w:r w:rsidRPr="009029C8">
        <w:rPr>
          <w:rFonts w:cs="Times New Roman"/>
          <w:lang w:val="fr-CA"/>
        </w:rPr>
        <w:t>115</w:t>
      </w:r>
      <w:r w:rsidRPr="009029C8">
        <w:rPr>
          <w:rFonts w:cs="Times New Roman"/>
          <w:szCs w:val="24"/>
          <w:lang w:val="fr-CA"/>
        </w:rPr>
        <w:t>). Les règles de procédure judiciaire varient grandement d</w:t>
      </w:r>
      <w:r>
        <w:rPr>
          <w:rFonts w:cs="Times New Roman"/>
          <w:szCs w:val="24"/>
          <w:lang w:val="fr-CA"/>
        </w:rPr>
        <w:t>’</w:t>
      </w:r>
      <w:r w:rsidRPr="009029C8">
        <w:rPr>
          <w:rFonts w:cs="Times New Roman"/>
          <w:szCs w:val="24"/>
          <w:lang w:val="fr-CA"/>
        </w:rPr>
        <w:t>un État à l</w:t>
      </w:r>
      <w:r>
        <w:rPr>
          <w:rFonts w:cs="Times New Roman"/>
          <w:szCs w:val="24"/>
          <w:lang w:val="fr-CA"/>
        </w:rPr>
        <w:t>’</w:t>
      </w:r>
      <w:r w:rsidRPr="009029C8">
        <w:rPr>
          <w:rFonts w:cs="Times New Roman"/>
          <w:szCs w:val="24"/>
          <w:lang w:val="fr-CA"/>
        </w:rPr>
        <w:t xml:space="preserve">autre et ne distinguent pas toujours de la même manière les questions de compétence </w:t>
      </w:r>
      <w:r>
        <w:rPr>
          <w:rFonts w:cs="Times New Roman"/>
          <w:szCs w:val="24"/>
          <w:lang w:val="fr-CA"/>
        </w:rPr>
        <w:t>d</w:t>
      </w:r>
      <w:r w:rsidRPr="009029C8">
        <w:rPr>
          <w:rFonts w:cs="Times New Roman"/>
          <w:szCs w:val="24"/>
          <w:lang w:val="fr-CA"/>
        </w:rPr>
        <w:t>es questions de fond. Ces considérations ne sont toutefois d</w:t>
      </w:r>
      <w:r>
        <w:rPr>
          <w:rFonts w:cs="Times New Roman"/>
          <w:szCs w:val="24"/>
          <w:lang w:val="fr-CA"/>
        </w:rPr>
        <w:t>’</w:t>
      </w:r>
      <w:r w:rsidRPr="009029C8">
        <w:rPr>
          <w:rFonts w:cs="Times New Roman"/>
          <w:szCs w:val="24"/>
          <w:lang w:val="fr-CA"/>
        </w:rPr>
        <w:t>aucun secours pour M. Barer en l</w:t>
      </w:r>
      <w:r>
        <w:rPr>
          <w:rFonts w:cs="Times New Roman"/>
          <w:szCs w:val="24"/>
          <w:lang w:val="fr-CA"/>
        </w:rPr>
        <w:t>’</w:t>
      </w:r>
      <w:r w:rsidRPr="009029C8">
        <w:rPr>
          <w:rFonts w:cs="Times New Roman"/>
          <w:szCs w:val="24"/>
          <w:lang w:val="fr-CA"/>
        </w:rPr>
        <w:t>espèce. D</w:t>
      </w:r>
      <w:r>
        <w:rPr>
          <w:rFonts w:cs="Times New Roman"/>
          <w:szCs w:val="24"/>
          <w:lang w:val="fr-CA"/>
        </w:rPr>
        <w:t>’</w:t>
      </w:r>
      <w:r w:rsidRPr="009029C8">
        <w:rPr>
          <w:rFonts w:cs="Times New Roman"/>
          <w:szCs w:val="24"/>
          <w:lang w:val="fr-CA"/>
        </w:rPr>
        <w:t>abord, il n</w:t>
      </w:r>
      <w:r>
        <w:rPr>
          <w:rFonts w:cs="Times New Roman"/>
          <w:szCs w:val="24"/>
          <w:lang w:val="fr-CA"/>
        </w:rPr>
        <w:t>’</w:t>
      </w:r>
      <w:r w:rsidRPr="009029C8">
        <w:rPr>
          <w:rFonts w:cs="Times New Roman"/>
          <w:szCs w:val="24"/>
          <w:lang w:val="fr-CA"/>
        </w:rPr>
        <w:t xml:space="preserve">a pas établi que, </w:t>
      </w:r>
      <w:r>
        <w:rPr>
          <w:rFonts w:cs="Times New Roman"/>
          <w:szCs w:val="24"/>
          <w:lang w:val="fr-CA"/>
        </w:rPr>
        <w:t>en dépit de</w:t>
      </w:r>
      <w:r w:rsidRPr="009029C8">
        <w:rPr>
          <w:rFonts w:cs="Times New Roman"/>
          <w:szCs w:val="24"/>
          <w:lang w:val="fr-CA"/>
        </w:rPr>
        <w:t xml:space="preserve"> </w:t>
      </w:r>
      <w:r w:rsidRPr="009029C8">
        <w:rPr>
          <w:rFonts w:cs="Times New Roman"/>
          <w:szCs w:val="24"/>
          <w:lang w:val="fr-CA"/>
        </w:rPr>
        <w:lastRenderedPageBreak/>
        <w:t>cette reconnaissance de la compétence du tribunal de l</w:t>
      </w:r>
      <w:r>
        <w:rPr>
          <w:rFonts w:cs="Times New Roman"/>
          <w:szCs w:val="24"/>
          <w:lang w:val="fr-CA"/>
        </w:rPr>
        <w:t>’</w:t>
      </w:r>
      <w:r w:rsidRPr="009029C8">
        <w:rPr>
          <w:rFonts w:cs="Times New Roman"/>
          <w:szCs w:val="24"/>
          <w:lang w:val="fr-CA"/>
        </w:rPr>
        <w:t>Utah</w:t>
      </w:r>
      <w:r>
        <w:rPr>
          <w:rFonts w:cs="Times New Roman"/>
          <w:szCs w:val="24"/>
          <w:lang w:val="fr-CA"/>
        </w:rPr>
        <w:t xml:space="preserve"> qui allait en découler</w:t>
      </w:r>
      <w:r w:rsidRPr="009029C8">
        <w:rPr>
          <w:rFonts w:cs="Times New Roman"/>
          <w:szCs w:val="24"/>
          <w:lang w:val="fr-CA"/>
        </w:rPr>
        <w:t>, il n</w:t>
      </w:r>
      <w:r>
        <w:rPr>
          <w:rFonts w:cs="Times New Roman"/>
          <w:szCs w:val="24"/>
          <w:lang w:val="fr-CA"/>
        </w:rPr>
        <w:t>’</w:t>
      </w:r>
      <w:r w:rsidRPr="009029C8">
        <w:rPr>
          <w:rFonts w:cs="Times New Roman"/>
          <w:szCs w:val="24"/>
          <w:lang w:val="fr-CA"/>
        </w:rPr>
        <w:t>avait effectivement d</w:t>
      </w:r>
      <w:r>
        <w:rPr>
          <w:rFonts w:cs="Times New Roman"/>
          <w:szCs w:val="24"/>
          <w:lang w:val="fr-CA"/>
        </w:rPr>
        <w:t>’</w:t>
      </w:r>
      <w:r w:rsidRPr="009029C8">
        <w:rPr>
          <w:rFonts w:cs="Times New Roman"/>
          <w:szCs w:val="24"/>
          <w:lang w:val="fr-CA"/>
        </w:rPr>
        <w:t>autre choix que de procéder comme il l</w:t>
      </w:r>
      <w:r>
        <w:rPr>
          <w:rFonts w:cs="Times New Roman"/>
          <w:szCs w:val="24"/>
          <w:lang w:val="fr-CA"/>
        </w:rPr>
        <w:t>’</w:t>
      </w:r>
      <w:r w:rsidRPr="009029C8">
        <w:rPr>
          <w:rFonts w:cs="Times New Roman"/>
          <w:szCs w:val="24"/>
          <w:lang w:val="fr-CA"/>
        </w:rPr>
        <w:t xml:space="preserve">a fait dans cet État. </w:t>
      </w:r>
      <w:r>
        <w:rPr>
          <w:rFonts w:cs="Times New Roman"/>
          <w:szCs w:val="24"/>
          <w:lang w:val="fr-CA"/>
        </w:rPr>
        <w:t>Ensuite</w:t>
      </w:r>
      <w:r w:rsidRPr="009029C8">
        <w:rPr>
          <w:rFonts w:cs="Times New Roman"/>
          <w:szCs w:val="24"/>
          <w:lang w:val="fr-CA"/>
        </w:rPr>
        <w:t xml:space="preserve">, en tout état de cause, je rejetterais son argument même si le droit </w:t>
      </w:r>
      <w:r w:rsidRPr="009029C8">
        <w:rPr>
          <w:rFonts w:cs="Times New Roman"/>
          <w:lang w:val="fr-CA"/>
        </w:rPr>
        <w:t>québéc</w:t>
      </w:r>
      <w:r w:rsidRPr="009029C8">
        <w:rPr>
          <w:rFonts w:cs="Times New Roman"/>
          <w:szCs w:val="24"/>
          <w:lang w:val="fr-CA"/>
        </w:rPr>
        <w:t>ois s</w:t>
      </w:r>
      <w:r>
        <w:rPr>
          <w:rFonts w:cs="Times New Roman"/>
          <w:szCs w:val="24"/>
          <w:lang w:val="fr-CA"/>
        </w:rPr>
        <w:t>’</w:t>
      </w:r>
      <w:r w:rsidRPr="009029C8">
        <w:rPr>
          <w:rFonts w:cs="Times New Roman"/>
          <w:szCs w:val="24"/>
          <w:lang w:val="fr-CA"/>
        </w:rPr>
        <w:t xml:space="preserve">appliquait. </w:t>
      </w:r>
    </w:p>
    <w:p w:rsidR="00AF6697" w:rsidRPr="009029C8" w:rsidRDefault="00AF6697" w:rsidP="00AF6697">
      <w:pPr>
        <w:pStyle w:val="ParaNoNdepar-AltN"/>
        <w:tabs>
          <w:tab w:val="clear" w:pos="1166"/>
          <w:tab w:val="num" w:pos="1152"/>
        </w:tabs>
        <w:rPr>
          <w:rFonts w:cs="Times New Roman"/>
          <w:lang w:val="fr-CA"/>
        </w:rPr>
      </w:pPr>
      <w:r w:rsidRPr="009029C8">
        <w:rPr>
          <w:rFonts w:cs="Times New Roman"/>
          <w:lang w:val="fr-CA"/>
        </w:rPr>
        <w:t>Il est vrai que, selon l</w:t>
      </w:r>
      <w:r>
        <w:rPr>
          <w:rFonts w:cs="Times New Roman"/>
          <w:lang w:val="fr-CA"/>
        </w:rPr>
        <w:t>’art. </w:t>
      </w:r>
      <w:r w:rsidRPr="009029C8">
        <w:rPr>
          <w:rFonts w:cs="Times New Roman"/>
          <w:lang w:val="fr-CA"/>
        </w:rPr>
        <w:t xml:space="preserve">2809 </w:t>
      </w:r>
      <w:r>
        <w:rPr>
          <w:rFonts w:cs="Times New Roman"/>
          <w:lang w:val="fr-CA"/>
        </w:rPr>
        <w:t>al. </w:t>
      </w:r>
      <w:r w:rsidRPr="009029C8">
        <w:rPr>
          <w:rFonts w:cs="Times New Roman"/>
          <w:lang w:val="fr-CA"/>
        </w:rPr>
        <w:t>2 </w:t>
      </w:r>
      <w:r w:rsidRPr="009029C8">
        <w:rPr>
          <w:rFonts w:cs="Times New Roman"/>
          <w:i/>
          <w:lang w:val="fr-CA"/>
        </w:rPr>
        <w:t>C.c.Q.</w:t>
      </w:r>
      <w:r w:rsidRPr="00464A4A">
        <w:rPr>
          <w:rFonts w:cs="Times New Roman"/>
          <w:lang w:val="fr-CA"/>
        </w:rPr>
        <w:t>,</w:t>
      </w:r>
      <w:r w:rsidRPr="009029C8">
        <w:rPr>
          <w:rFonts w:cs="Times New Roman"/>
          <w:i/>
          <w:lang w:val="fr-CA"/>
        </w:rPr>
        <w:t xml:space="preserve"> </w:t>
      </w:r>
      <w:r w:rsidRPr="009029C8">
        <w:rPr>
          <w:rFonts w:cs="Times New Roman"/>
          <w:lang w:val="fr-CA"/>
        </w:rPr>
        <w:t>lorsque le droit étranger applicable n</w:t>
      </w:r>
      <w:r>
        <w:rPr>
          <w:rFonts w:cs="Times New Roman"/>
          <w:lang w:val="fr-CA"/>
        </w:rPr>
        <w:t>’</w:t>
      </w:r>
      <w:r w:rsidRPr="009029C8">
        <w:rPr>
          <w:rFonts w:cs="Times New Roman"/>
          <w:lang w:val="fr-CA"/>
        </w:rPr>
        <w:t>a pas été allégué ou que sa teneur n</w:t>
      </w:r>
      <w:r>
        <w:rPr>
          <w:rFonts w:cs="Times New Roman"/>
          <w:lang w:val="fr-CA"/>
        </w:rPr>
        <w:t>’</w:t>
      </w:r>
      <w:r w:rsidRPr="009029C8">
        <w:rPr>
          <w:rFonts w:cs="Times New Roman"/>
          <w:lang w:val="fr-CA"/>
        </w:rPr>
        <w:t>a pas été établie, les tribunaux appliquent le droit en vigueur au Québec (Emanuelli</w:t>
      </w:r>
      <w:r>
        <w:rPr>
          <w:rFonts w:cs="Times New Roman"/>
          <w:lang w:val="fr-CA"/>
        </w:rPr>
        <w:t> (</w:t>
      </w:r>
      <w:r w:rsidRPr="009029C8">
        <w:rPr>
          <w:rFonts w:cs="Times New Roman"/>
          <w:lang w:val="fr-CA"/>
        </w:rPr>
        <w:t>2011</w:t>
      </w:r>
      <w:r>
        <w:rPr>
          <w:rFonts w:cs="Times New Roman"/>
          <w:lang w:val="fr-CA"/>
        </w:rPr>
        <w:t>)</w:t>
      </w:r>
      <w:r w:rsidRPr="009029C8">
        <w:rPr>
          <w:rFonts w:cs="Times New Roman"/>
          <w:lang w:val="fr-CA"/>
        </w:rPr>
        <w:t xml:space="preserve">, </w:t>
      </w:r>
      <w:r w:rsidR="00F5682B">
        <w:rPr>
          <w:rFonts w:cs="Times New Roman"/>
          <w:lang w:val="fr-CA"/>
        </w:rPr>
        <w:t>n</w:t>
      </w:r>
      <w:r w:rsidR="00F5682B" w:rsidRPr="00F5682B">
        <w:rPr>
          <w:rFonts w:cs="Times New Roman"/>
          <w:vertAlign w:val="superscript"/>
          <w:lang w:val="fr-CA"/>
        </w:rPr>
        <w:t>o</w:t>
      </w:r>
      <w:r>
        <w:rPr>
          <w:rFonts w:cs="Times New Roman"/>
          <w:lang w:val="fr-CA"/>
        </w:rPr>
        <w:t> 444</w:t>
      </w:r>
      <w:r w:rsidRPr="009029C8">
        <w:rPr>
          <w:rFonts w:cs="Times New Roman"/>
          <w:lang w:val="fr-CA"/>
        </w:rPr>
        <w:t xml:space="preserve">; Goldstein et Groffier, </w:t>
      </w:r>
      <w:r>
        <w:rPr>
          <w:rFonts w:cs="Times New Roman"/>
          <w:lang w:val="fr-CA"/>
        </w:rPr>
        <w:t>n</w:t>
      </w:r>
      <w:r w:rsidRPr="00B64350">
        <w:rPr>
          <w:rFonts w:cs="Times New Roman"/>
          <w:vertAlign w:val="superscript"/>
          <w:lang w:val="fr-CA"/>
        </w:rPr>
        <w:t>o</w:t>
      </w:r>
      <w:r w:rsidRPr="009029C8">
        <w:rPr>
          <w:rFonts w:cs="Times New Roman"/>
          <w:lang w:val="fr-CA"/>
        </w:rPr>
        <w:t> 100). Cette règle est justifiée par la nécessité de clarifier la norme juridique à appliquer pour trancher le litige dont est saisi</w:t>
      </w:r>
      <w:r>
        <w:rPr>
          <w:rFonts w:cs="Times New Roman"/>
          <w:lang w:val="fr-CA"/>
        </w:rPr>
        <w:t xml:space="preserve">e la cour plutôt que de recourir à </w:t>
      </w:r>
      <w:r w:rsidRPr="009029C8">
        <w:rPr>
          <w:rFonts w:cs="Times New Roman"/>
          <w:lang w:val="fr-CA"/>
        </w:rPr>
        <w:t xml:space="preserve">la présomption douteuse et critiquée que prévoyait le </w:t>
      </w:r>
      <w:r w:rsidRPr="009029C8">
        <w:rPr>
          <w:rFonts w:cs="Times New Roman"/>
          <w:i/>
          <w:lang w:val="fr-CA"/>
        </w:rPr>
        <w:t>Code civil du Bas</w:t>
      </w:r>
      <w:r>
        <w:rPr>
          <w:rFonts w:cs="Times New Roman"/>
          <w:i/>
          <w:lang w:val="fr-CA"/>
        </w:rPr>
        <w:noBreakHyphen/>
      </w:r>
      <w:r w:rsidRPr="009029C8">
        <w:rPr>
          <w:rFonts w:cs="Times New Roman"/>
          <w:i/>
          <w:lang w:val="fr-CA"/>
        </w:rPr>
        <w:t>Canada</w:t>
      </w:r>
      <w:r w:rsidRPr="009029C8">
        <w:rPr>
          <w:rFonts w:cs="Times New Roman"/>
          <w:lang w:val="fr-CA"/>
        </w:rPr>
        <w:t xml:space="preserve"> et selon laquelle le droit étranger non établi était réputé identique à celui du Québec (voir </w:t>
      </w:r>
      <w:r w:rsidRPr="009029C8">
        <w:rPr>
          <w:rFonts w:cs="Times New Roman"/>
          <w:i/>
          <w:szCs w:val="24"/>
          <w:lang w:val="fr-CA"/>
        </w:rPr>
        <w:t>Bégin c. Bilodeau</w:t>
      </w:r>
      <w:r w:rsidRPr="009029C8">
        <w:rPr>
          <w:rFonts w:cs="Times New Roman"/>
          <w:szCs w:val="24"/>
          <w:lang w:val="fr-CA"/>
        </w:rPr>
        <w:t>, [1951] R.C.S.</w:t>
      </w:r>
      <w:r>
        <w:rPr>
          <w:rFonts w:cs="Times New Roman"/>
          <w:szCs w:val="24"/>
          <w:lang w:val="fr-CA"/>
        </w:rPr>
        <w:t> </w:t>
      </w:r>
      <w:r w:rsidRPr="009029C8">
        <w:rPr>
          <w:rFonts w:cs="Times New Roman"/>
          <w:szCs w:val="24"/>
          <w:lang w:val="fr-CA"/>
        </w:rPr>
        <w:t xml:space="preserve">699; </w:t>
      </w:r>
      <w:r w:rsidRPr="009029C8">
        <w:rPr>
          <w:rFonts w:cs="Times New Roman"/>
          <w:lang w:val="fr-CA"/>
        </w:rPr>
        <w:t>J.</w:t>
      </w:r>
      <w:r>
        <w:rPr>
          <w:rFonts w:cs="Times New Roman"/>
          <w:lang w:val="fr-CA"/>
        </w:rPr>
        <w:noBreakHyphen/>
      </w:r>
      <w:r w:rsidRPr="009029C8">
        <w:rPr>
          <w:rFonts w:cs="Times New Roman"/>
          <w:lang w:val="fr-CA"/>
        </w:rPr>
        <w:t>G. Castel, « La preuve de la loi étrangère et des actes publics étrangers au Québec » (1972)</w:t>
      </w:r>
      <w:r>
        <w:rPr>
          <w:rFonts w:cs="Times New Roman"/>
          <w:lang w:val="fr-CA"/>
        </w:rPr>
        <w:t>,</w:t>
      </w:r>
      <w:r w:rsidRPr="009029C8">
        <w:rPr>
          <w:rFonts w:cs="Times New Roman"/>
          <w:lang w:val="fr-CA"/>
        </w:rPr>
        <w:t xml:space="preserve"> 32 </w:t>
      </w:r>
      <w:r w:rsidRPr="009029C8">
        <w:rPr>
          <w:rFonts w:cs="Times New Roman"/>
          <w:i/>
          <w:lang w:val="fr-CA"/>
        </w:rPr>
        <w:t xml:space="preserve">R. du B. </w:t>
      </w:r>
      <w:r w:rsidRPr="009029C8">
        <w:rPr>
          <w:rFonts w:cs="Times New Roman"/>
          <w:lang w:val="fr-CA"/>
        </w:rPr>
        <w:t xml:space="preserve">338, </w:t>
      </w:r>
      <w:r>
        <w:rPr>
          <w:rFonts w:cs="Times New Roman"/>
          <w:lang w:val="fr-CA"/>
        </w:rPr>
        <w:t>p. </w:t>
      </w:r>
      <w:r w:rsidRPr="009029C8">
        <w:rPr>
          <w:rFonts w:cs="Times New Roman"/>
          <w:lang w:val="fr-CA"/>
        </w:rPr>
        <w:t>35</w:t>
      </w:r>
      <w:r w:rsidR="00FA7147">
        <w:rPr>
          <w:rFonts w:cs="Times New Roman"/>
          <w:lang w:val="fr-CA"/>
        </w:rPr>
        <w:t>4 et suiv</w:t>
      </w:r>
      <w:r>
        <w:rPr>
          <w:rFonts w:cs="Times New Roman"/>
          <w:lang w:val="fr-CA"/>
        </w:rPr>
        <w:t>.</w:t>
      </w:r>
      <w:r w:rsidRPr="009029C8">
        <w:rPr>
          <w:rFonts w:cs="Times New Roman"/>
          <w:lang w:val="fr-CA"/>
        </w:rPr>
        <w:t xml:space="preserve">; Emanuelli </w:t>
      </w:r>
      <w:r>
        <w:rPr>
          <w:rFonts w:cs="Times New Roman"/>
          <w:lang w:val="fr-CA"/>
        </w:rPr>
        <w:t>(</w:t>
      </w:r>
      <w:r w:rsidRPr="009029C8">
        <w:rPr>
          <w:rFonts w:cs="Times New Roman"/>
          <w:lang w:val="fr-CA"/>
        </w:rPr>
        <w:t>2011</w:t>
      </w:r>
      <w:r>
        <w:rPr>
          <w:rFonts w:cs="Times New Roman"/>
          <w:lang w:val="fr-CA"/>
        </w:rPr>
        <w:t>)</w:t>
      </w:r>
      <w:r w:rsidRPr="009029C8">
        <w:rPr>
          <w:rFonts w:cs="Times New Roman"/>
          <w:lang w:val="fr-CA"/>
        </w:rPr>
        <w:t xml:space="preserve">, </w:t>
      </w:r>
      <w:r w:rsidR="00F5682B">
        <w:rPr>
          <w:rFonts w:cs="Times New Roman"/>
          <w:lang w:val="fr-CA"/>
        </w:rPr>
        <w:t>n</w:t>
      </w:r>
      <w:r w:rsidR="00F5682B" w:rsidRPr="00F5682B">
        <w:rPr>
          <w:rFonts w:cs="Times New Roman"/>
          <w:vertAlign w:val="superscript"/>
          <w:lang w:val="fr-CA"/>
        </w:rPr>
        <w:t>o</w:t>
      </w:r>
      <w:r w:rsidR="00F5682B">
        <w:rPr>
          <w:rFonts w:cs="Times New Roman"/>
          <w:lang w:val="fr-CA"/>
        </w:rPr>
        <w:t xml:space="preserve"> </w:t>
      </w:r>
      <w:r>
        <w:rPr>
          <w:rFonts w:cs="Times New Roman"/>
          <w:lang w:val="fr-CA"/>
        </w:rPr>
        <w:t>444</w:t>
      </w:r>
      <w:r w:rsidRPr="009029C8">
        <w:rPr>
          <w:rFonts w:cs="Times New Roman"/>
          <w:lang w:val="fr-CA"/>
        </w:rPr>
        <w:t xml:space="preserve">; Goldstein et Groffier, </w:t>
      </w:r>
      <w:r>
        <w:rPr>
          <w:rFonts w:cs="Times New Roman"/>
          <w:lang w:val="fr-CA"/>
        </w:rPr>
        <w:t>n</w:t>
      </w:r>
      <w:r w:rsidRPr="009029C8">
        <w:rPr>
          <w:rFonts w:cs="Times New Roman"/>
          <w:vertAlign w:val="superscript"/>
          <w:lang w:val="fr-CA"/>
        </w:rPr>
        <w:t>o</w:t>
      </w:r>
      <w:r w:rsidRPr="009029C8">
        <w:rPr>
          <w:rFonts w:cs="Times New Roman"/>
          <w:lang w:val="fr-CA"/>
        </w:rPr>
        <w:t> 99; I</w:t>
      </w:r>
      <w:r>
        <w:rPr>
          <w:rFonts w:cs="Times New Roman"/>
          <w:lang w:val="fr-CA"/>
        </w:rPr>
        <w:t>.</w:t>
      </w:r>
      <w:r w:rsidRPr="009029C8">
        <w:rPr>
          <w:rFonts w:cs="Times New Roman"/>
          <w:lang w:val="fr-CA"/>
        </w:rPr>
        <w:t xml:space="preserve"> Zajtay, « L</w:t>
      </w:r>
      <w:r>
        <w:rPr>
          <w:rFonts w:cs="Times New Roman"/>
          <w:lang w:val="fr-CA"/>
        </w:rPr>
        <w:t>’</w:t>
      </w:r>
      <w:r w:rsidRPr="009029C8">
        <w:rPr>
          <w:rFonts w:cs="Times New Roman"/>
          <w:lang w:val="fr-CA"/>
        </w:rPr>
        <w:t>application du droit étranger</w:t>
      </w:r>
      <w:r>
        <w:rPr>
          <w:rFonts w:cs="Times New Roman"/>
          <w:lang w:val="fr-CA"/>
        </w:rPr>
        <w:t> :</w:t>
      </w:r>
      <w:r w:rsidRPr="009029C8">
        <w:rPr>
          <w:rFonts w:cs="Times New Roman"/>
          <w:lang w:val="fr-CA"/>
        </w:rPr>
        <w:t xml:space="preserve"> </w:t>
      </w:r>
      <w:r>
        <w:rPr>
          <w:rFonts w:cs="Times New Roman"/>
          <w:lang w:val="fr-CA"/>
        </w:rPr>
        <w:t>s</w:t>
      </w:r>
      <w:r w:rsidRPr="009029C8">
        <w:rPr>
          <w:rFonts w:cs="Times New Roman"/>
          <w:lang w:val="fr-CA"/>
        </w:rPr>
        <w:t>cience et fictions » (1971)</w:t>
      </w:r>
      <w:r>
        <w:rPr>
          <w:rFonts w:cs="Times New Roman"/>
          <w:lang w:val="fr-CA"/>
        </w:rPr>
        <w:t xml:space="preserve">, 23 </w:t>
      </w:r>
      <w:r w:rsidRPr="009029C8">
        <w:rPr>
          <w:rFonts w:cs="Times New Roman"/>
          <w:i/>
          <w:lang w:val="fr-CA"/>
        </w:rPr>
        <w:t>R.I.D.C.</w:t>
      </w:r>
      <w:r>
        <w:rPr>
          <w:rFonts w:cs="Times New Roman"/>
          <w:i/>
          <w:lang w:val="fr-CA"/>
        </w:rPr>
        <w:t> </w:t>
      </w:r>
      <w:r w:rsidRPr="009029C8">
        <w:rPr>
          <w:rFonts w:cs="Times New Roman"/>
          <w:lang w:val="fr-CA"/>
        </w:rPr>
        <w:t xml:space="preserve">49, </w:t>
      </w:r>
      <w:r>
        <w:rPr>
          <w:rFonts w:cs="Times New Roman"/>
          <w:lang w:val="fr-CA"/>
        </w:rPr>
        <w:t>p. </w:t>
      </w:r>
      <w:r w:rsidRPr="009029C8">
        <w:rPr>
          <w:rFonts w:cs="Times New Roman"/>
          <w:lang w:val="fr-CA"/>
        </w:rPr>
        <w:t>58</w:t>
      </w:r>
      <w:r>
        <w:rPr>
          <w:rFonts w:cs="Times New Roman"/>
          <w:lang w:val="fr-CA"/>
        </w:rPr>
        <w:noBreakHyphen/>
      </w:r>
      <w:r w:rsidRPr="009029C8">
        <w:rPr>
          <w:rFonts w:cs="Times New Roman"/>
          <w:lang w:val="fr-CA"/>
        </w:rPr>
        <w:t>59).</w:t>
      </w:r>
    </w:p>
    <w:p w:rsidR="00AF6697" w:rsidRPr="00CA4523" w:rsidRDefault="00AF6697" w:rsidP="00AF6697">
      <w:pPr>
        <w:pStyle w:val="ParaNoNdepar-AltN"/>
        <w:tabs>
          <w:tab w:val="clear" w:pos="1166"/>
          <w:tab w:val="num" w:pos="1152"/>
        </w:tabs>
        <w:rPr>
          <w:rFonts w:cs="Times New Roman"/>
          <w:sz w:val="22"/>
          <w:lang w:val="fr-CA"/>
        </w:rPr>
      </w:pPr>
      <w:r>
        <w:rPr>
          <w:rFonts w:cs="Times New Roman"/>
          <w:lang w:val="fr-CA"/>
        </w:rPr>
        <w:t>Cela dit</w:t>
      </w:r>
      <w:r w:rsidRPr="00CA4523">
        <w:rPr>
          <w:rFonts w:cs="Times New Roman"/>
          <w:lang w:val="fr-CA"/>
        </w:rPr>
        <w:t xml:space="preserve">, dans la présente affaire, les </w:t>
      </w:r>
      <w:r>
        <w:rPr>
          <w:rFonts w:cs="Times New Roman"/>
          <w:lang w:val="fr-CA"/>
        </w:rPr>
        <w:t>cours</w:t>
      </w:r>
      <w:r w:rsidRPr="00CA4523">
        <w:rPr>
          <w:rFonts w:cs="Times New Roman"/>
          <w:lang w:val="fr-CA"/>
        </w:rPr>
        <w:t xml:space="preserve"> du Québec ne sont pas appelé</w:t>
      </w:r>
      <w:r>
        <w:rPr>
          <w:rFonts w:cs="Times New Roman"/>
          <w:lang w:val="fr-CA"/>
        </w:rPr>
        <w:t>es</w:t>
      </w:r>
      <w:r w:rsidRPr="00CA4523">
        <w:rPr>
          <w:rFonts w:cs="Times New Roman"/>
          <w:lang w:val="fr-CA"/>
        </w:rPr>
        <w:t xml:space="preserve"> à appliquer les règles de procédure de l</w:t>
      </w:r>
      <w:r>
        <w:rPr>
          <w:rFonts w:cs="Times New Roman"/>
          <w:lang w:val="fr-CA"/>
        </w:rPr>
        <w:t>’</w:t>
      </w:r>
      <w:r w:rsidRPr="00CA4523">
        <w:rPr>
          <w:rFonts w:cs="Times New Roman"/>
          <w:lang w:val="fr-CA"/>
        </w:rPr>
        <w:t>Utah. D</w:t>
      </w:r>
      <w:r>
        <w:rPr>
          <w:rFonts w:cs="Times New Roman"/>
          <w:lang w:val="fr-CA"/>
        </w:rPr>
        <w:t>’</w:t>
      </w:r>
      <w:r w:rsidRPr="00CA4523">
        <w:rPr>
          <w:rFonts w:cs="Times New Roman"/>
          <w:lang w:val="fr-CA"/>
        </w:rPr>
        <w:t xml:space="preserve">ailleurs, </w:t>
      </w:r>
      <w:r>
        <w:rPr>
          <w:rFonts w:cs="Times New Roman"/>
          <w:lang w:val="fr-CA"/>
        </w:rPr>
        <w:t>elle</w:t>
      </w:r>
      <w:r w:rsidRPr="00CA4523">
        <w:rPr>
          <w:rFonts w:cs="Times New Roman"/>
          <w:lang w:val="fr-CA"/>
        </w:rPr>
        <w:t xml:space="preserve">s ne sont </w:t>
      </w:r>
      <w:r>
        <w:rPr>
          <w:rFonts w:cs="Times New Roman"/>
          <w:lang w:val="fr-CA"/>
        </w:rPr>
        <w:t>jamais</w:t>
      </w:r>
      <w:r w:rsidRPr="00CA4523">
        <w:rPr>
          <w:rFonts w:cs="Times New Roman"/>
          <w:lang w:val="fr-CA"/>
        </w:rPr>
        <w:t xml:space="preserve"> tenu</w:t>
      </w:r>
      <w:r>
        <w:rPr>
          <w:rFonts w:cs="Times New Roman"/>
          <w:lang w:val="fr-CA"/>
        </w:rPr>
        <w:t>e</w:t>
      </w:r>
      <w:r w:rsidRPr="00CA4523">
        <w:rPr>
          <w:rFonts w:cs="Times New Roman"/>
          <w:lang w:val="fr-CA"/>
        </w:rPr>
        <w:t>s d</w:t>
      </w:r>
      <w:r>
        <w:rPr>
          <w:rFonts w:cs="Times New Roman"/>
          <w:lang w:val="fr-CA"/>
        </w:rPr>
        <w:t>’</w:t>
      </w:r>
      <w:r w:rsidRPr="00CA4523">
        <w:rPr>
          <w:rFonts w:cs="Times New Roman"/>
          <w:lang w:val="fr-CA"/>
        </w:rPr>
        <w:t>appliquer les règles de procédure d</w:t>
      </w:r>
      <w:r>
        <w:rPr>
          <w:rFonts w:cs="Times New Roman"/>
          <w:lang w:val="fr-CA"/>
        </w:rPr>
        <w:t>’</w:t>
      </w:r>
      <w:r w:rsidRPr="00CA4523">
        <w:rPr>
          <w:rFonts w:cs="Times New Roman"/>
          <w:lang w:val="fr-CA"/>
        </w:rPr>
        <w:t xml:space="preserve">un </w:t>
      </w:r>
      <w:r>
        <w:rPr>
          <w:rFonts w:cs="Times New Roman"/>
          <w:lang w:val="fr-CA"/>
        </w:rPr>
        <w:t>ressort</w:t>
      </w:r>
      <w:r w:rsidRPr="00CA4523">
        <w:rPr>
          <w:rFonts w:cs="Times New Roman"/>
          <w:lang w:val="fr-CA"/>
        </w:rPr>
        <w:t xml:space="preserve"> étranger, car l</w:t>
      </w:r>
      <w:r>
        <w:rPr>
          <w:rFonts w:cs="Times New Roman"/>
          <w:lang w:val="fr-CA"/>
        </w:rPr>
        <w:t>’art. </w:t>
      </w:r>
      <w:r w:rsidRPr="00CA4523">
        <w:rPr>
          <w:rFonts w:cs="Times New Roman"/>
          <w:lang w:val="fr-CA"/>
        </w:rPr>
        <w:t>3132 </w:t>
      </w:r>
      <w:r w:rsidRPr="00CA4523">
        <w:rPr>
          <w:rFonts w:cs="Times New Roman"/>
          <w:i/>
          <w:lang w:val="fr-CA"/>
        </w:rPr>
        <w:t>C.c.Q.</w:t>
      </w:r>
      <w:r w:rsidRPr="00CA4523">
        <w:rPr>
          <w:rFonts w:cs="Times New Roman"/>
          <w:lang w:val="fr-CA"/>
        </w:rPr>
        <w:t xml:space="preserve"> énonce que </w:t>
      </w:r>
      <w:r w:rsidRPr="00464A4A">
        <w:rPr>
          <w:rFonts w:cs="Times New Roman"/>
          <w:lang w:val="fr-CA"/>
        </w:rPr>
        <w:t>« [l]a procédure est régie par la loi du tribunal saisi ».</w:t>
      </w:r>
      <w:r w:rsidRPr="00CA4523">
        <w:rPr>
          <w:rFonts w:cs="Times New Roman"/>
          <w:lang w:val="fr-CA"/>
        </w:rPr>
        <w:t xml:space="preserve"> </w:t>
      </w:r>
      <w:r>
        <w:rPr>
          <w:rFonts w:cs="Times New Roman"/>
          <w:lang w:val="fr-CA"/>
        </w:rPr>
        <w:t>Lorsqu’on se penche sur la question de savoir</w:t>
      </w:r>
      <w:r w:rsidRPr="00CA4523">
        <w:rPr>
          <w:rFonts w:cs="Times New Roman"/>
          <w:lang w:val="fr-CA"/>
        </w:rPr>
        <w:t xml:space="preserve"> si M. Barer était, comme il l</w:t>
      </w:r>
      <w:r>
        <w:rPr>
          <w:rFonts w:cs="Times New Roman"/>
          <w:lang w:val="fr-CA"/>
        </w:rPr>
        <w:t>’</w:t>
      </w:r>
      <w:r w:rsidRPr="00CA4523">
        <w:rPr>
          <w:rFonts w:cs="Times New Roman"/>
          <w:lang w:val="fr-CA"/>
        </w:rPr>
        <w:t>affirme, tenu de présenter ensemble tous ses moyens préliminaires devant le tribunal de l</w:t>
      </w:r>
      <w:r>
        <w:rPr>
          <w:rFonts w:cs="Times New Roman"/>
          <w:lang w:val="fr-CA"/>
        </w:rPr>
        <w:t>’</w:t>
      </w:r>
      <w:r w:rsidRPr="00CA4523">
        <w:rPr>
          <w:rFonts w:cs="Times New Roman"/>
          <w:lang w:val="fr-CA"/>
        </w:rPr>
        <w:t xml:space="preserve">Utah en 2010, </w:t>
      </w:r>
      <w:r>
        <w:rPr>
          <w:rFonts w:cs="Times New Roman"/>
          <w:lang w:val="fr-CA"/>
        </w:rPr>
        <w:t>il faut en fait décider s’il</w:t>
      </w:r>
      <w:r w:rsidRPr="00CA4523">
        <w:rPr>
          <w:rFonts w:cs="Times New Roman"/>
          <w:lang w:val="fr-CA"/>
        </w:rPr>
        <w:t xml:space="preserve"> se trouvait effectivement dans une situation où il n</w:t>
      </w:r>
      <w:r>
        <w:rPr>
          <w:rFonts w:cs="Times New Roman"/>
          <w:lang w:val="fr-CA"/>
        </w:rPr>
        <w:t>’</w:t>
      </w:r>
      <w:r w:rsidRPr="00CA4523">
        <w:rPr>
          <w:rFonts w:cs="Times New Roman"/>
          <w:lang w:val="fr-CA"/>
        </w:rPr>
        <w:t>avait d</w:t>
      </w:r>
      <w:r>
        <w:rPr>
          <w:rFonts w:cs="Times New Roman"/>
          <w:lang w:val="fr-CA"/>
        </w:rPr>
        <w:t>’</w:t>
      </w:r>
      <w:r w:rsidRPr="00CA4523">
        <w:rPr>
          <w:rFonts w:cs="Times New Roman"/>
          <w:lang w:val="fr-CA"/>
        </w:rPr>
        <w:t>autre choix que d</w:t>
      </w:r>
      <w:r>
        <w:rPr>
          <w:rFonts w:cs="Times New Roman"/>
          <w:lang w:val="fr-CA"/>
        </w:rPr>
        <w:t>’</w:t>
      </w:r>
      <w:r w:rsidRPr="00CA4523">
        <w:rPr>
          <w:rFonts w:cs="Times New Roman"/>
          <w:lang w:val="fr-CA"/>
        </w:rPr>
        <w:t>agir comme il l</w:t>
      </w:r>
      <w:r>
        <w:rPr>
          <w:rFonts w:cs="Times New Roman"/>
          <w:lang w:val="fr-CA"/>
        </w:rPr>
        <w:t>’</w:t>
      </w:r>
      <w:r w:rsidRPr="00CA4523">
        <w:rPr>
          <w:rFonts w:cs="Times New Roman"/>
          <w:lang w:val="fr-CA"/>
        </w:rPr>
        <w:t>a fait. Le tribunal de l</w:t>
      </w:r>
      <w:r>
        <w:rPr>
          <w:rFonts w:cs="Times New Roman"/>
          <w:lang w:val="fr-CA"/>
        </w:rPr>
        <w:t>’</w:t>
      </w:r>
      <w:r w:rsidRPr="00CA4523">
        <w:rPr>
          <w:rFonts w:cs="Times New Roman"/>
          <w:lang w:val="fr-CA"/>
        </w:rPr>
        <w:t xml:space="preserve">Utah </w:t>
      </w:r>
      <w:r w:rsidRPr="00F22D51">
        <w:rPr>
          <w:rFonts w:cs="Times New Roman"/>
          <w:lang w:val="fr-CA"/>
        </w:rPr>
        <w:t>a d</w:t>
      </w:r>
      <w:r w:rsidRPr="00CA4523">
        <w:rPr>
          <w:rFonts w:cs="Times New Roman"/>
          <w:lang w:val="fr-CA"/>
        </w:rPr>
        <w:t xml:space="preserve">éjà appliqué la règle de procédure </w:t>
      </w:r>
      <w:r w:rsidRPr="00CA4523">
        <w:rPr>
          <w:rFonts w:cs="Times New Roman"/>
          <w:lang w:val="fr-CA"/>
        </w:rPr>
        <w:lastRenderedPageBreak/>
        <w:t xml:space="preserve">pertinente en 2010. La </w:t>
      </w:r>
      <w:r>
        <w:rPr>
          <w:rFonts w:cs="Times New Roman"/>
          <w:lang w:val="fr-CA"/>
        </w:rPr>
        <w:t xml:space="preserve">seule </w:t>
      </w:r>
      <w:r w:rsidRPr="00CA4523">
        <w:rPr>
          <w:rFonts w:cs="Times New Roman"/>
          <w:lang w:val="fr-CA"/>
        </w:rPr>
        <w:t>question que le</w:t>
      </w:r>
      <w:r>
        <w:rPr>
          <w:rFonts w:cs="Times New Roman"/>
          <w:lang w:val="fr-CA"/>
        </w:rPr>
        <w:t>s cours</w:t>
      </w:r>
      <w:r w:rsidRPr="00CA4523">
        <w:rPr>
          <w:rFonts w:cs="Times New Roman"/>
          <w:lang w:val="fr-CA"/>
        </w:rPr>
        <w:t xml:space="preserve"> du Québec doi</w:t>
      </w:r>
      <w:r>
        <w:rPr>
          <w:rFonts w:cs="Times New Roman"/>
          <w:lang w:val="fr-CA"/>
        </w:rPr>
        <w:t>ven</w:t>
      </w:r>
      <w:r w:rsidRPr="00CA4523">
        <w:rPr>
          <w:rFonts w:cs="Times New Roman"/>
          <w:lang w:val="fr-CA"/>
        </w:rPr>
        <w:t>t maintenant se poser</w:t>
      </w:r>
      <w:r>
        <w:rPr>
          <w:rFonts w:cs="Times New Roman"/>
          <w:lang w:val="fr-CA"/>
        </w:rPr>
        <w:t xml:space="preserve"> est celle</w:t>
      </w:r>
      <w:r w:rsidRPr="00CA4523">
        <w:rPr>
          <w:rFonts w:cs="Times New Roman"/>
          <w:lang w:val="fr-CA"/>
        </w:rPr>
        <w:t xml:space="preserve"> de savoir si, </w:t>
      </w:r>
      <w:r w:rsidRPr="00CA4523">
        <w:rPr>
          <w:rFonts w:cs="Times New Roman"/>
          <w:i/>
          <w:lang w:val="fr-CA"/>
        </w:rPr>
        <w:t>en fait</w:t>
      </w:r>
      <w:r w:rsidRPr="00CA4523">
        <w:rPr>
          <w:rFonts w:cs="Times New Roman"/>
          <w:lang w:val="fr-CA"/>
        </w:rPr>
        <w:t>, M. Barer n</w:t>
      </w:r>
      <w:r>
        <w:rPr>
          <w:rFonts w:cs="Times New Roman"/>
          <w:lang w:val="fr-CA"/>
        </w:rPr>
        <w:t>’</w:t>
      </w:r>
      <w:r w:rsidRPr="00CA4523">
        <w:rPr>
          <w:rFonts w:cs="Times New Roman"/>
          <w:lang w:val="fr-CA"/>
        </w:rPr>
        <w:t>avait d</w:t>
      </w:r>
      <w:r>
        <w:rPr>
          <w:rFonts w:cs="Times New Roman"/>
          <w:lang w:val="fr-CA"/>
        </w:rPr>
        <w:t>’</w:t>
      </w:r>
      <w:r w:rsidRPr="00CA4523">
        <w:rPr>
          <w:rFonts w:cs="Times New Roman"/>
          <w:lang w:val="fr-CA"/>
        </w:rPr>
        <w:t>autre choix que de présenter certains arguments en raison de l</w:t>
      </w:r>
      <w:r>
        <w:rPr>
          <w:rFonts w:cs="Times New Roman"/>
          <w:lang w:val="fr-CA"/>
        </w:rPr>
        <w:t>’</w:t>
      </w:r>
      <w:r w:rsidRPr="00CA4523">
        <w:rPr>
          <w:rFonts w:cs="Times New Roman"/>
          <w:lang w:val="fr-CA"/>
        </w:rPr>
        <w:t xml:space="preserve">application de certaines règles de procédure. </w:t>
      </w:r>
      <w:r>
        <w:rPr>
          <w:rFonts w:cs="Times New Roman"/>
          <w:lang w:val="fr-CA"/>
        </w:rPr>
        <w:t>Elles doivent</w:t>
      </w:r>
      <w:r w:rsidRPr="00CA4523">
        <w:rPr>
          <w:rFonts w:cs="Times New Roman"/>
          <w:lang w:val="fr-CA"/>
        </w:rPr>
        <w:t xml:space="preserve"> ensuite se demander si ce fait a une incidence sur l</w:t>
      </w:r>
      <w:r>
        <w:rPr>
          <w:rFonts w:cs="Times New Roman"/>
          <w:lang w:val="fr-CA"/>
        </w:rPr>
        <w:t>’</w:t>
      </w:r>
      <w:r w:rsidRPr="00CA4523">
        <w:rPr>
          <w:rFonts w:cs="Times New Roman"/>
          <w:lang w:val="fr-CA"/>
        </w:rPr>
        <w:t>analyse de la reconnaissance de la compétence. Dans ce contexte, la règle de l</w:t>
      </w:r>
      <w:r>
        <w:rPr>
          <w:rFonts w:cs="Times New Roman"/>
          <w:lang w:val="fr-CA"/>
        </w:rPr>
        <w:t>’</w:t>
      </w:r>
      <w:r w:rsidRPr="00CA4523">
        <w:rPr>
          <w:rFonts w:cs="Times New Roman"/>
          <w:lang w:val="fr-CA"/>
        </w:rPr>
        <w:t>application subsidiaire du droit du Québec que prévoit l</w:t>
      </w:r>
      <w:r>
        <w:rPr>
          <w:rFonts w:cs="Times New Roman"/>
          <w:lang w:val="fr-CA"/>
        </w:rPr>
        <w:t>’art. </w:t>
      </w:r>
      <w:r w:rsidRPr="00CA4523">
        <w:rPr>
          <w:rFonts w:cs="Times New Roman"/>
          <w:lang w:val="fr-CA"/>
        </w:rPr>
        <w:t>2809</w:t>
      </w:r>
      <w:r>
        <w:rPr>
          <w:rFonts w:cs="Times New Roman"/>
          <w:lang w:val="fr-CA"/>
        </w:rPr>
        <w:t> al. </w:t>
      </w:r>
      <w:r w:rsidRPr="00CA4523">
        <w:rPr>
          <w:rFonts w:cs="Times New Roman"/>
          <w:lang w:val="fr-CA"/>
        </w:rPr>
        <w:t>2 </w:t>
      </w:r>
      <w:r w:rsidRPr="00CA4523">
        <w:rPr>
          <w:rFonts w:cs="Times New Roman"/>
          <w:i/>
          <w:lang w:val="fr-CA"/>
        </w:rPr>
        <w:t>C.c.Q.</w:t>
      </w:r>
      <w:r w:rsidRPr="00CA4523">
        <w:rPr>
          <w:rFonts w:cs="Times New Roman"/>
          <w:lang w:val="fr-CA"/>
        </w:rPr>
        <w:t xml:space="preserve"> ne s</w:t>
      </w:r>
      <w:r>
        <w:rPr>
          <w:rFonts w:cs="Times New Roman"/>
          <w:lang w:val="fr-CA"/>
        </w:rPr>
        <w:t>’</w:t>
      </w:r>
      <w:r w:rsidRPr="00CA4523">
        <w:rPr>
          <w:rFonts w:cs="Times New Roman"/>
          <w:lang w:val="fr-CA"/>
        </w:rPr>
        <w:t>applique pas.</w:t>
      </w:r>
    </w:p>
    <w:p w:rsidR="00AF6697" w:rsidRPr="00CA4523" w:rsidRDefault="00AF6697" w:rsidP="00AF6697">
      <w:pPr>
        <w:pStyle w:val="ParaNoNdepar-AltN"/>
        <w:tabs>
          <w:tab w:val="clear" w:pos="1166"/>
          <w:tab w:val="num" w:pos="1152"/>
        </w:tabs>
        <w:rPr>
          <w:rFonts w:cs="Times New Roman"/>
          <w:sz w:val="22"/>
          <w:lang w:val="fr-CA"/>
        </w:rPr>
      </w:pPr>
      <w:r w:rsidRPr="00CA4523">
        <w:rPr>
          <w:rFonts w:cs="Times New Roman"/>
          <w:lang w:val="fr-CA"/>
        </w:rPr>
        <w:t xml:space="preserve">Essentiellement, M. Barer cherche à éviter les conséquences qui devraient normalement découler </w:t>
      </w:r>
      <w:r>
        <w:rPr>
          <w:rFonts w:cs="Times New Roman"/>
          <w:lang w:val="fr-CA"/>
        </w:rPr>
        <w:t>des mesures qu’il a prises à l’étranger</w:t>
      </w:r>
      <w:r w:rsidRPr="00CA4523">
        <w:rPr>
          <w:rFonts w:cs="Times New Roman"/>
          <w:lang w:val="fr-CA"/>
        </w:rPr>
        <w:t xml:space="preserve"> et de ce qu</w:t>
      </w:r>
      <w:r>
        <w:rPr>
          <w:rFonts w:cs="Times New Roman"/>
          <w:lang w:val="fr-CA"/>
        </w:rPr>
        <w:t xml:space="preserve">i a par ailleurs </w:t>
      </w:r>
      <w:r w:rsidRPr="00CA4523">
        <w:rPr>
          <w:rFonts w:cs="Times New Roman"/>
          <w:lang w:val="fr-CA"/>
        </w:rPr>
        <w:t xml:space="preserve">établi sa reconnaissance de la compétence. Il soulève en réalité </w:t>
      </w:r>
      <w:r>
        <w:rPr>
          <w:rFonts w:cs="Times New Roman"/>
          <w:lang w:val="fr-CA"/>
        </w:rPr>
        <w:t>une exception</w:t>
      </w:r>
      <w:r w:rsidRPr="00CA4523">
        <w:rPr>
          <w:rFonts w:cs="Times New Roman"/>
          <w:lang w:val="fr-CA"/>
        </w:rPr>
        <w:t xml:space="preserve"> et c</w:t>
      </w:r>
      <w:r>
        <w:rPr>
          <w:rFonts w:cs="Times New Roman"/>
          <w:lang w:val="fr-CA"/>
        </w:rPr>
        <w:t>’</w:t>
      </w:r>
      <w:r w:rsidRPr="00CA4523">
        <w:rPr>
          <w:rFonts w:cs="Times New Roman"/>
          <w:lang w:val="fr-CA"/>
        </w:rPr>
        <w:t>est donc à lui qu</w:t>
      </w:r>
      <w:r>
        <w:rPr>
          <w:rFonts w:cs="Times New Roman"/>
          <w:lang w:val="fr-CA"/>
        </w:rPr>
        <w:t>’</w:t>
      </w:r>
      <w:r w:rsidRPr="00CA4523">
        <w:rPr>
          <w:rFonts w:cs="Times New Roman"/>
          <w:lang w:val="fr-CA"/>
        </w:rPr>
        <w:t>incombe le fardeau de l</w:t>
      </w:r>
      <w:r>
        <w:rPr>
          <w:rFonts w:cs="Times New Roman"/>
          <w:lang w:val="fr-CA"/>
        </w:rPr>
        <w:t>’</w:t>
      </w:r>
      <w:r w:rsidRPr="00CA4523">
        <w:rPr>
          <w:rFonts w:cs="Times New Roman"/>
          <w:lang w:val="fr-CA"/>
        </w:rPr>
        <w:t>établir (</w:t>
      </w:r>
      <w:r>
        <w:rPr>
          <w:rFonts w:cs="Times New Roman"/>
          <w:lang w:val="fr-CA"/>
        </w:rPr>
        <w:t>art. </w:t>
      </w:r>
      <w:r w:rsidRPr="00CA4523">
        <w:rPr>
          <w:rFonts w:cs="Times New Roman"/>
          <w:lang w:val="fr-CA"/>
        </w:rPr>
        <w:t xml:space="preserve">2803 </w:t>
      </w:r>
      <w:r>
        <w:rPr>
          <w:rFonts w:cs="Times New Roman"/>
          <w:lang w:val="fr-CA"/>
        </w:rPr>
        <w:t>al. </w:t>
      </w:r>
      <w:r w:rsidRPr="00CA4523">
        <w:rPr>
          <w:rFonts w:cs="Times New Roman"/>
          <w:lang w:val="fr-CA"/>
        </w:rPr>
        <w:t>2 </w:t>
      </w:r>
      <w:r w:rsidRPr="00CA4523">
        <w:rPr>
          <w:rFonts w:cs="Times New Roman"/>
          <w:i/>
          <w:lang w:val="fr-CA"/>
        </w:rPr>
        <w:t>C.c.Q.</w:t>
      </w:r>
      <w:r w:rsidRPr="00CA4523">
        <w:rPr>
          <w:rFonts w:cs="Times New Roman"/>
          <w:lang w:val="fr-CA"/>
        </w:rPr>
        <w:t xml:space="preserve">). </w:t>
      </w:r>
      <w:r>
        <w:rPr>
          <w:rFonts w:cs="Times New Roman"/>
          <w:lang w:val="fr-CA"/>
        </w:rPr>
        <w:t>Or</w:t>
      </w:r>
      <w:r w:rsidRPr="00CA4523">
        <w:rPr>
          <w:rFonts w:cs="Times New Roman"/>
          <w:lang w:val="fr-CA"/>
        </w:rPr>
        <w:t>, il n</w:t>
      </w:r>
      <w:r>
        <w:rPr>
          <w:rFonts w:cs="Times New Roman"/>
          <w:lang w:val="fr-CA"/>
        </w:rPr>
        <w:t>’</w:t>
      </w:r>
      <w:r w:rsidRPr="00CA4523">
        <w:rPr>
          <w:rFonts w:cs="Times New Roman"/>
          <w:lang w:val="fr-CA"/>
        </w:rPr>
        <w:t>a pas démontr</w:t>
      </w:r>
      <w:r>
        <w:rPr>
          <w:rFonts w:cs="Times New Roman"/>
          <w:lang w:val="fr-CA"/>
        </w:rPr>
        <w:t>é</w:t>
      </w:r>
      <w:r w:rsidRPr="00CA4523">
        <w:rPr>
          <w:rFonts w:cs="Times New Roman"/>
          <w:lang w:val="fr-CA"/>
        </w:rPr>
        <w:t xml:space="preserve"> qu</w:t>
      </w:r>
      <w:r>
        <w:rPr>
          <w:rFonts w:cs="Times New Roman"/>
          <w:lang w:val="fr-CA"/>
        </w:rPr>
        <w:t xml:space="preserve">e, </w:t>
      </w:r>
      <w:r w:rsidRPr="00CA4523">
        <w:rPr>
          <w:rFonts w:cs="Times New Roman"/>
          <w:lang w:val="fr-CA"/>
        </w:rPr>
        <w:t>en raison de l</w:t>
      </w:r>
      <w:r>
        <w:rPr>
          <w:rFonts w:cs="Times New Roman"/>
          <w:lang w:val="fr-CA"/>
        </w:rPr>
        <w:t>’</w:t>
      </w:r>
      <w:r w:rsidRPr="00CA4523">
        <w:rPr>
          <w:rFonts w:cs="Times New Roman"/>
          <w:lang w:val="fr-CA"/>
        </w:rPr>
        <w:t>application des règles de procédure de l</w:t>
      </w:r>
      <w:r>
        <w:rPr>
          <w:rFonts w:cs="Times New Roman"/>
          <w:lang w:val="fr-CA"/>
        </w:rPr>
        <w:t>’</w:t>
      </w:r>
      <w:r w:rsidRPr="00CA4523">
        <w:rPr>
          <w:rFonts w:cs="Times New Roman"/>
          <w:lang w:val="fr-CA"/>
        </w:rPr>
        <w:t>Utah, il n</w:t>
      </w:r>
      <w:r>
        <w:rPr>
          <w:rFonts w:cs="Times New Roman"/>
          <w:lang w:val="fr-CA"/>
        </w:rPr>
        <w:t>’</w:t>
      </w:r>
      <w:r w:rsidRPr="00CA4523">
        <w:rPr>
          <w:rFonts w:cs="Times New Roman"/>
          <w:lang w:val="fr-CA"/>
        </w:rPr>
        <w:t>avait d</w:t>
      </w:r>
      <w:r>
        <w:rPr>
          <w:rFonts w:cs="Times New Roman"/>
          <w:lang w:val="fr-CA"/>
        </w:rPr>
        <w:t>’</w:t>
      </w:r>
      <w:r w:rsidRPr="00CA4523">
        <w:rPr>
          <w:rFonts w:cs="Times New Roman"/>
          <w:lang w:val="fr-CA"/>
        </w:rPr>
        <w:t>autre choix que de procéder comme il l</w:t>
      </w:r>
      <w:r>
        <w:rPr>
          <w:rFonts w:cs="Times New Roman"/>
          <w:lang w:val="fr-CA"/>
        </w:rPr>
        <w:t>’</w:t>
      </w:r>
      <w:r w:rsidRPr="00CA4523">
        <w:rPr>
          <w:rFonts w:cs="Times New Roman"/>
          <w:lang w:val="fr-CA"/>
        </w:rPr>
        <w:t xml:space="preserve">a fait en 2010 en invoquant des arguments de fond dans </w:t>
      </w:r>
      <w:r>
        <w:rPr>
          <w:rFonts w:cs="Times New Roman"/>
          <w:lang w:val="fr-CA"/>
        </w:rPr>
        <w:t xml:space="preserve">le cadre de </w:t>
      </w:r>
      <w:r w:rsidRPr="00CA4523">
        <w:rPr>
          <w:rFonts w:cs="Times New Roman"/>
          <w:lang w:val="fr-CA"/>
        </w:rPr>
        <w:t>la requête en irrecevabilité dont il a saisi le tribunal de l</w:t>
      </w:r>
      <w:r>
        <w:rPr>
          <w:rFonts w:cs="Times New Roman"/>
          <w:lang w:val="fr-CA"/>
        </w:rPr>
        <w:t>’</w:t>
      </w:r>
      <w:r w:rsidRPr="00CA4523">
        <w:rPr>
          <w:rFonts w:cs="Times New Roman"/>
          <w:lang w:val="fr-CA"/>
        </w:rPr>
        <w:t>Utah. Aucun des éléments de preuve qu</w:t>
      </w:r>
      <w:r>
        <w:rPr>
          <w:rFonts w:cs="Times New Roman"/>
          <w:lang w:val="fr-CA"/>
        </w:rPr>
        <w:t>’</w:t>
      </w:r>
      <w:r w:rsidRPr="00CA4523">
        <w:rPr>
          <w:rFonts w:cs="Times New Roman"/>
          <w:lang w:val="fr-CA"/>
        </w:rPr>
        <w:t>il a présentés devant la Cour supérieure n</w:t>
      </w:r>
      <w:r>
        <w:rPr>
          <w:rFonts w:cs="Times New Roman"/>
          <w:lang w:val="fr-CA"/>
        </w:rPr>
        <w:t>’</w:t>
      </w:r>
      <w:r w:rsidRPr="00CA4523">
        <w:rPr>
          <w:rFonts w:cs="Times New Roman"/>
          <w:lang w:val="fr-CA"/>
        </w:rPr>
        <w:t>appuie cette affirmation. Ce n</w:t>
      </w:r>
      <w:r>
        <w:rPr>
          <w:rFonts w:cs="Times New Roman"/>
          <w:lang w:val="fr-CA"/>
        </w:rPr>
        <w:t>’</w:t>
      </w:r>
      <w:r w:rsidRPr="00CA4523">
        <w:rPr>
          <w:rFonts w:cs="Times New Roman"/>
          <w:lang w:val="fr-CA"/>
        </w:rPr>
        <w:t>est d</w:t>
      </w:r>
      <w:r>
        <w:rPr>
          <w:rFonts w:cs="Times New Roman"/>
          <w:lang w:val="fr-CA"/>
        </w:rPr>
        <w:t>’</w:t>
      </w:r>
      <w:r w:rsidRPr="00CA4523">
        <w:rPr>
          <w:rFonts w:cs="Times New Roman"/>
          <w:lang w:val="fr-CA"/>
        </w:rPr>
        <w:t>ailleurs pas ce que dit l</w:t>
      </w:r>
      <w:r>
        <w:rPr>
          <w:rFonts w:cs="Times New Roman"/>
          <w:lang w:val="fr-CA"/>
        </w:rPr>
        <w:t>’</w:t>
      </w:r>
      <w:r w:rsidRPr="00CA4523">
        <w:rPr>
          <w:rFonts w:cs="Times New Roman"/>
          <w:lang w:val="fr-CA"/>
        </w:rPr>
        <w:t>affidavit de son avocat de l</w:t>
      </w:r>
      <w:r>
        <w:rPr>
          <w:rFonts w:cs="Times New Roman"/>
          <w:lang w:val="fr-CA"/>
        </w:rPr>
        <w:t>’</w:t>
      </w:r>
      <w:r w:rsidRPr="00CA4523">
        <w:rPr>
          <w:rFonts w:cs="Times New Roman"/>
          <w:lang w:val="fr-CA"/>
        </w:rPr>
        <w:t xml:space="preserve">Utah. En conséquence, son argument ne peut </w:t>
      </w:r>
      <w:r>
        <w:rPr>
          <w:rFonts w:cs="Times New Roman"/>
          <w:lang w:val="fr-CA"/>
        </w:rPr>
        <w:t xml:space="preserve">pas </w:t>
      </w:r>
      <w:r w:rsidRPr="00CA4523">
        <w:rPr>
          <w:rFonts w:cs="Times New Roman"/>
          <w:lang w:val="fr-CA"/>
        </w:rPr>
        <w:t>être retenu. La Cour supérieure n</w:t>
      </w:r>
      <w:r>
        <w:rPr>
          <w:rFonts w:cs="Times New Roman"/>
          <w:lang w:val="fr-CA"/>
        </w:rPr>
        <w:t>’</w:t>
      </w:r>
      <w:r w:rsidRPr="00CA4523">
        <w:rPr>
          <w:rFonts w:cs="Times New Roman"/>
          <w:lang w:val="fr-CA"/>
        </w:rPr>
        <w:t>a commis aucune erreur manifeste et déterminante en jugeant que</w:t>
      </w:r>
      <w:r>
        <w:rPr>
          <w:rFonts w:cs="Times New Roman"/>
          <w:lang w:val="fr-CA"/>
        </w:rPr>
        <w:t xml:space="preserve">, à la lumière de ce dossier, </w:t>
      </w:r>
      <w:r w:rsidRPr="00CA4523">
        <w:rPr>
          <w:rFonts w:cs="Times New Roman"/>
          <w:lang w:val="fr-CA"/>
        </w:rPr>
        <w:t xml:space="preserve">la reconnaissance de la compétence avait été établie.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En tout état de cause, même si M. Barer avait raison d</w:t>
      </w:r>
      <w:r>
        <w:rPr>
          <w:rFonts w:cs="Times New Roman"/>
          <w:lang w:val="fr-CA"/>
        </w:rPr>
        <w:t>’</w:t>
      </w:r>
      <w:r w:rsidRPr="00CA4523">
        <w:rPr>
          <w:rFonts w:cs="Times New Roman"/>
          <w:lang w:val="fr-CA"/>
        </w:rPr>
        <w:t>affirmer que nous devrions présumer que les règles de procédure appliquées en 2010 par le tribunal de l</w:t>
      </w:r>
      <w:r>
        <w:rPr>
          <w:rFonts w:cs="Times New Roman"/>
          <w:lang w:val="fr-CA"/>
        </w:rPr>
        <w:t>’</w:t>
      </w:r>
      <w:r w:rsidRPr="00CA4523">
        <w:rPr>
          <w:rFonts w:cs="Times New Roman"/>
          <w:lang w:val="fr-CA"/>
        </w:rPr>
        <w:t>Utah étaient les mêmes que celles qui se seraient appliquées au Québec à l</w:t>
      </w:r>
      <w:r>
        <w:rPr>
          <w:rFonts w:cs="Times New Roman"/>
          <w:lang w:val="fr-CA"/>
        </w:rPr>
        <w:t>’</w:t>
      </w:r>
      <w:r w:rsidRPr="00CA4523">
        <w:rPr>
          <w:rFonts w:cs="Times New Roman"/>
          <w:lang w:val="fr-CA"/>
        </w:rPr>
        <w:t>époque, son argument ne pourrait pas être retenu. L</w:t>
      </w:r>
      <w:r>
        <w:rPr>
          <w:rFonts w:cs="Times New Roman"/>
          <w:lang w:val="fr-CA"/>
        </w:rPr>
        <w:t>’</w:t>
      </w:r>
      <w:r w:rsidRPr="00CA4523">
        <w:rPr>
          <w:rFonts w:cs="Times New Roman"/>
          <w:lang w:val="fr-CA"/>
        </w:rPr>
        <w:t>ancien</w:t>
      </w:r>
      <w:r w:rsidRPr="00CA4523">
        <w:rPr>
          <w:rFonts w:cs="Times New Roman"/>
          <w:i/>
          <w:lang w:val="fr-CA"/>
        </w:rPr>
        <w:t xml:space="preserve"> </w:t>
      </w:r>
      <w:r>
        <w:rPr>
          <w:rFonts w:cs="Times New Roman"/>
          <w:i/>
          <w:lang w:val="fr-CA"/>
        </w:rPr>
        <w:t>C.p.c.</w:t>
      </w:r>
      <w:r w:rsidRPr="00CA4523">
        <w:rPr>
          <w:rFonts w:cs="Times New Roman"/>
          <w:lang w:val="fr-CA"/>
        </w:rPr>
        <w:t xml:space="preserve">, en vigueur en 2010, </w:t>
      </w:r>
      <w:r>
        <w:rPr>
          <w:rFonts w:cs="Times New Roman"/>
          <w:lang w:val="fr-CA"/>
        </w:rPr>
        <w:t>prévoyait</w:t>
      </w:r>
      <w:r w:rsidRPr="00CA4523">
        <w:rPr>
          <w:rFonts w:cs="Times New Roman"/>
          <w:lang w:val="fr-CA"/>
        </w:rPr>
        <w:t xml:space="preserve"> simplement ce qui suit</w:t>
      </w:r>
      <w:r>
        <w:rPr>
          <w:rFonts w:cs="Times New Roman"/>
          <w:lang w:val="fr-CA"/>
        </w:rPr>
        <w:t> :</w:t>
      </w:r>
    </w:p>
    <w:p w:rsidR="00AF6697" w:rsidRDefault="00AF6697" w:rsidP="007962E4">
      <w:pPr>
        <w:pStyle w:val="Citation-AltC"/>
        <w:spacing w:after="240"/>
        <w:ind w:left="1168" w:hanging="1168"/>
        <w:contextualSpacing w:val="0"/>
        <w:rPr>
          <w:lang w:val="fr-CA"/>
        </w:rPr>
      </w:pPr>
      <w:r>
        <w:rPr>
          <w:b/>
          <w:lang w:val="fr-CA"/>
        </w:rPr>
        <w:lastRenderedPageBreak/>
        <w:tab/>
      </w:r>
      <w:r w:rsidRPr="009029C8">
        <w:rPr>
          <w:b/>
          <w:lang w:val="fr-CA"/>
        </w:rPr>
        <w:t>151.5.</w:t>
      </w:r>
      <w:r>
        <w:rPr>
          <w:lang w:val="fr-CA"/>
        </w:rPr>
        <w:t> </w:t>
      </w:r>
      <w:r w:rsidRPr="00CA4523">
        <w:rPr>
          <w:lang w:val="fr-CA"/>
        </w:rPr>
        <w:t>Lors de la présentation de la demande et sous réserve de l</w:t>
      </w:r>
      <w:r>
        <w:rPr>
          <w:lang w:val="fr-CA"/>
        </w:rPr>
        <w:t>’</w:t>
      </w:r>
      <w:r w:rsidRPr="00CA4523">
        <w:rPr>
          <w:lang w:val="fr-CA"/>
        </w:rPr>
        <w:t>article 159 et d</w:t>
      </w:r>
      <w:r>
        <w:rPr>
          <w:lang w:val="fr-CA"/>
        </w:rPr>
        <w:t>’</w:t>
      </w:r>
      <w:r w:rsidRPr="00CA4523">
        <w:rPr>
          <w:lang w:val="fr-CA"/>
        </w:rPr>
        <w:t>une entente entre elles, les parties doivent proposer ensemble et oralement les moyens préliminaires qu</w:t>
      </w:r>
      <w:r>
        <w:rPr>
          <w:lang w:val="fr-CA"/>
        </w:rPr>
        <w:t>’</w:t>
      </w:r>
      <w:r w:rsidR="00FA7147">
        <w:rPr>
          <w:lang w:val="fr-CA"/>
        </w:rPr>
        <w:t>elles entendent faire valoir</w:t>
      </w:r>
      <w:r>
        <w:rPr>
          <w:lang w:val="fr-CA"/>
        </w:rPr>
        <w:t>. . .</w:t>
      </w:r>
    </w:p>
    <w:p w:rsidR="00AF6697" w:rsidRPr="00CA4523" w:rsidRDefault="00AF6697" w:rsidP="007962E4">
      <w:pPr>
        <w:pStyle w:val="Citation-AltC"/>
        <w:spacing w:after="240"/>
        <w:ind w:left="1168" w:hanging="1168"/>
        <w:contextualSpacing w:val="0"/>
        <w:jc w:val="center"/>
        <w:rPr>
          <w:lang w:val="fr-CA"/>
        </w:rPr>
      </w:pPr>
      <w:r>
        <w:rPr>
          <w:lang w:val="fr-CA"/>
        </w:rPr>
        <w:tab/>
        <w:t>. . .</w:t>
      </w:r>
    </w:p>
    <w:p w:rsidR="00AF6697" w:rsidRPr="00CA4523" w:rsidRDefault="00AF6697" w:rsidP="007962E4">
      <w:pPr>
        <w:pStyle w:val="Citation-AltC"/>
        <w:ind w:hanging="1166"/>
        <w:contextualSpacing w:val="0"/>
        <w:rPr>
          <w:lang w:val="fr-CA"/>
        </w:rPr>
      </w:pPr>
      <w:r>
        <w:rPr>
          <w:b/>
          <w:lang w:val="fr-CA"/>
        </w:rPr>
        <w:tab/>
      </w:r>
      <w:r w:rsidRPr="009029C8">
        <w:rPr>
          <w:b/>
          <w:lang w:val="fr-CA"/>
        </w:rPr>
        <w:t>159.</w:t>
      </w:r>
      <w:r>
        <w:rPr>
          <w:lang w:val="fr-CA"/>
        </w:rPr>
        <w:t> </w:t>
      </w:r>
      <w:r w:rsidRPr="00CA4523">
        <w:rPr>
          <w:lang w:val="fr-CA"/>
        </w:rPr>
        <w:t>Sauf entente entre les parties conformément à l</w:t>
      </w:r>
      <w:r>
        <w:rPr>
          <w:lang w:val="fr-CA"/>
        </w:rPr>
        <w:t>’</w:t>
      </w:r>
      <w:r w:rsidRPr="00CA4523">
        <w:rPr>
          <w:lang w:val="fr-CA"/>
        </w:rPr>
        <w:t>article 151.1, les moyens préliminaires et leurs conclusions doivent être dénoncés par écrit à la partie adverse avant la date de présentation de la demande introductive d</w:t>
      </w:r>
      <w:r>
        <w:rPr>
          <w:lang w:val="fr-CA"/>
        </w:rPr>
        <w:t>’</w:t>
      </w:r>
      <w:r w:rsidRPr="00CA4523">
        <w:rPr>
          <w:lang w:val="fr-CA"/>
        </w:rPr>
        <w:t xml:space="preserve">instance; à défaut de ce faire, le tribunal peut refuser la présentation de ces moyens. </w:t>
      </w:r>
    </w:p>
    <w:p w:rsidR="00AF6697" w:rsidRPr="00CA4523" w:rsidRDefault="00AF6697" w:rsidP="00AF6697">
      <w:pPr>
        <w:pStyle w:val="ParaNoNdepar-AltN"/>
        <w:tabs>
          <w:tab w:val="clear" w:pos="1166"/>
          <w:tab w:val="num" w:pos="1152"/>
        </w:tabs>
        <w:rPr>
          <w:rFonts w:cs="Times New Roman"/>
          <w:lang w:val="fr-CA"/>
        </w:rPr>
      </w:pPr>
      <w:r>
        <w:rPr>
          <w:rFonts w:cs="Times New Roman"/>
          <w:lang w:val="fr-CA"/>
        </w:rPr>
        <w:t>Bien que c</w:t>
      </w:r>
      <w:r w:rsidRPr="00CA4523">
        <w:rPr>
          <w:rFonts w:cs="Times New Roman"/>
          <w:lang w:val="fr-CA"/>
        </w:rPr>
        <w:t xml:space="preserve">es dispositions </w:t>
      </w:r>
      <w:r>
        <w:rPr>
          <w:rFonts w:cs="Times New Roman"/>
          <w:lang w:val="fr-CA"/>
        </w:rPr>
        <w:t>exigeaie</w:t>
      </w:r>
      <w:r w:rsidRPr="00CA4523">
        <w:rPr>
          <w:rFonts w:cs="Times New Roman"/>
          <w:lang w:val="fr-CA"/>
        </w:rPr>
        <w:t xml:space="preserve">nt que les moyens préliminaires </w:t>
      </w:r>
      <w:r>
        <w:rPr>
          <w:rFonts w:cs="Times New Roman"/>
          <w:lang w:val="fr-CA"/>
        </w:rPr>
        <w:t>soient</w:t>
      </w:r>
      <w:r w:rsidRPr="00CA4523">
        <w:rPr>
          <w:rFonts w:cs="Times New Roman"/>
          <w:lang w:val="fr-CA"/>
        </w:rPr>
        <w:t xml:space="preserve"> invoqués à un moment précis, elles </w:t>
      </w:r>
      <w:r>
        <w:rPr>
          <w:rFonts w:cs="Times New Roman"/>
          <w:lang w:val="fr-CA"/>
        </w:rPr>
        <w:t xml:space="preserve">ne prescrivaient </w:t>
      </w:r>
      <w:r w:rsidRPr="00CA4523">
        <w:rPr>
          <w:rFonts w:cs="Times New Roman"/>
          <w:lang w:val="fr-CA"/>
        </w:rPr>
        <w:t>pas qu</w:t>
      </w:r>
      <w:r>
        <w:rPr>
          <w:rFonts w:cs="Times New Roman"/>
          <w:lang w:val="fr-CA"/>
        </w:rPr>
        <w:t>’</w:t>
      </w:r>
      <w:r w:rsidRPr="00CA4523">
        <w:rPr>
          <w:rFonts w:cs="Times New Roman"/>
          <w:lang w:val="fr-CA"/>
        </w:rPr>
        <w:t xml:space="preserve">ils </w:t>
      </w:r>
      <w:r>
        <w:rPr>
          <w:rFonts w:cs="Times New Roman"/>
          <w:lang w:val="fr-CA"/>
        </w:rPr>
        <w:t>soie</w:t>
      </w:r>
      <w:r w:rsidRPr="00CA4523">
        <w:rPr>
          <w:rFonts w:cs="Times New Roman"/>
          <w:lang w:val="fr-CA"/>
        </w:rPr>
        <w:t>nt toujours présentés ou invoqués ensemble. Même lorsque les parties n</w:t>
      </w:r>
      <w:r>
        <w:rPr>
          <w:rFonts w:cs="Times New Roman"/>
          <w:lang w:val="fr-CA"/>
        </w:rPr>
        <w:t>’</w:t>
      </w:r>
      <w:r w:rsidRPr="00CA4523">
        <w:rPr>
          <w:rFonts w:cs="Times New Roman"/>
          <w:lang w:val="fr-CA"/>
        </w:rPr>
        <w:t>arrivaient pas à s</w:t>
      </w:r>
      <w:r>
        <w:rPr>
          <w:rFonts w:cs="Times New Roman"/>
          <w:lang w:val="fr-CA"/>
        </w:rPr>
        <w:t>’</w:t>
      </w:r>
      <w:r w:rsidRPr="00CA4523">
        <w:rPr>
          <w:rFonts w:cs="Times New Roman"/>
          <w:lang w:val="fr-CA"/>
        </w:rPr>
        <w:t>entendre sur un échéancier donné, elles pouvaient présenter leurs moyens préliminaires en temps opportun et plaider certains d</w:t>
      </w:r>
      <w:r>
        <w:rPr>
          <w:rFonts w:cs="Times New Roman"/>
          <w:lang w:val="fr-CA"/>
        </w:rPr>
        <w:t>’</w:t>
      </w:r>
      <w:r w:rsidRPr="00CA4523">
        <w:rPr>
          <w:rFonts w:cs="Times New Roman"/>
          <w:lang w:val="fr-CA"/>
        </w:rPr>
        <w:t>entre eux après la « présentation de la demande » avec la permission du tribunal (</w:t>
      </w:r>
      <w:r w:rsidR="00147DED">
        <w:rPr>
          <w:rFonts w:cs="Times New Roman"/>
          <w:lang w:val="fr-CA"/>
        </w:rPr>
        <w:t>par</w:t>
      </w:r>
      <w:r>
        <w:rPr>
          <w:rFonts w:cs="Times New Roman"/>
          <w:lang w:val="fr-CA"/>
        </w:rPr>
        <w:t>. </w:t>
      </w:r>
      <w:r w:rsidRPr="00CA4523">
        <w:rPr>
          <w:rFonts w:cs="Times New Roman"/>
          <w:lang w:val="fr-CA"/>
        </w:rPr>
        <w:t>151</w:t>
      </w:r>
      <w:r>
        <w:rPr>
          <w:rFonts w:cs="Times New Roman"/>
          <w:lang w:val="fr-CA"/>
        </w:rPr>
        <w:t>.</w:t>
      </w:r>
      <w:r w:rsidRPr="00CA4523">
        <w:rPr>
          <w:rFonts w:cs="Times New Roman"/>
          <w:lang w:val="fr-CA"/>
        </w:rPr>
        <w:t>6</w:t>
      </w:r>
      <w:r>
        <w:rPr>
          <w:rFonts w:cs="Times New Roman"/>
          <w:lang w:val="fr-CA"/>
        </w:rPr>
        <w:t>(</w:t>
      </w:r>
      <w:r w:rsidRPr="00CA4523">
        <w:rPr>
          <w:rFonts w:cs="Times New Roman"/>
          <w:lang w:val="fr-CA"/>
        </w:rPr>
        <w:t>2</w:t>
      </w:r>
      <w:r>
        <w:rPr>
          <w:rFonts w:cs="Times New Roman"/>
          <w:lang w:val="fr-CA"/>
        </w:rPr>
        <w:t>)</w:t>
      </w:r>
      <w:r w:rsidRPr="00CA4523">
        <w:rPr>
          <w:rFonts w:cs="Times New Roman"/>
          <w:lang w:val="fr-CA"/>
        </w:rPr>
        <w:t xml:space="preserve"> </w:t>
      </w:r>
      <w:r w:rsidR="005D1F4B">
        <w:rPr>
          <w:rFonts w:cs="Times New Roman"/>
          <w:lang w:val="fr-CA"/>
        </w:rPr>
        <w:t>de l’</w:t>
      </w:r>
      <w:r w:rsidR="00FA7147">
        <w:rPr>
          <w:rFonts w:cs="Times New Roman"/>
          <w:lang w:val="fr-CA"/>
        </w:rPr>
        <w:t xml:space="preserve">ancien </w:t>
      </w:r>
      <w:r w:rsidRPr="00CA4523">
        <w:rPr>
          <w:rFonts w:cs="Times New Roman"/>
          <w:i/>
          <w:lang w:val="fr-CA"/>
        </w:rPr>
        <w:t>C.p.c.</w:t>
      </w:r>
      <w:r w:rsidRPr="00CC1412">
        <w:rPr>
          <w:rFonts w:cs="Times New Roman"/>
          <w:lang w:val="fr-CA"/>
        </w:rPr>
        <w:t>;</w:t>
      </w:r>
      <w:r w:rsidRPr="00CA4523">
        <w:rPr>
          <w:rFonts w:cs="Times New Roman"/>
          <w:i/>
          <w:lang w:val="fr-CA"/>
        </w:rPr>
        <w:t xml:space="preserve"> Québecor World </w:t>
      </w:r>
      <w:r>
        <w:rPr>
          <w:rFonts w:cs="Times New Roman"/>
          <w:i/>
          <w:lang w:val="fr-CA"/>
        </w:rPr>
        <w:t>i</w:t>
      </w:r>
      <w:r w:rsidRPr="00CA4523">
        <w:rPr>
          <w:rFonts w:cs="Times New Roman"/>
          <w:i/>
          <w:lang w:val="fr-CA"/>
        </w:rPr>
        <w:t>nc. c. Gravel</w:t>
      </w:r>
      <w:r w:rsidRPr="00CA4523">
        <w:rPr>
          <w:rFonts w:cs="Times New Roman"/>
          <w:lang w:val="fr-CA"/>
        </w:rPr>
        <w:t>, 2003 CanLII 36991 (</w:t>
      </w:r>
      <w:r>
        <w:rPr>
          <w:rFonts w:cs="Times New Roman"/>
          <w:lang w:val="fr-CA"/>
        </w:rPr>
        <w:t>C.Q.</w:t>
      </w:r>
      <w:r w:rsidRPr="00CA4523">
        <w:rPr>
          <w:rFonts w:cs="Times New Roman"/>
          <w:lang w:val="fr-CA"/>
        </w:rPr>
        <w:t>)). Bien entendu, elles pouvaient aussi décider de les présenter séparément. Qui plus est, il est reconnu que les questions de compétence doivent toujours être tranchées en tout premier lieu (</w:t>
      </w:r>
      <w:r w:rsidRPr="00CA4523">
        <w:rPr>
          <w:rFonts w:cs="Times New Roman"/>
          <w:i/>
          <w:lang w:val="fr-CA"/>
        </w:rPr>
        <w:t>Marcoux c. Banque Laurentienne du Canada</w:t>
      </w:r>
      <w:r w:rsidRPr="00CA4523">
        <w:rPr>
          <w:rFonts w:cs="Times New Roman"/>
          <w:lang w:val="fr-CA"/>
        </w:rPr>
        <w:t xml:space="preserve">, 2011 QCCA 2034, </w:t>
      </w:r>
      <w:r>
        <w:rPr>
          <w:rFonts w:cs="Times New Roman"/>
          <w:lang w:val="fr-CA"/>
        </w:rPr>
        <w:t>par. </w:t>
      </w:r>
      <w:r w:rsidRPr="00CA4523">
        <w:rPr>
          <w:rFonts w:cs="Times New Roman"/>
          <w:lang w:val="fr-CA"/>
        </w:rPr>
        <w:t>20</w:t>
      </w:r>
      <w:r>
        <w:rPr>
          <w:rFonts w:cs="Times New Roman"/>
          <w:lang w:val="fr-CA"/>
        </w:rPr>
        <w:t xml:space="preserve"> (CanLII)</w:t>
      </w:r>
      <w:r w:rsidRPr="00CA4523">
        <w:rPr>
          <w:rFonts w:cs="Times New Roman"/>
          <w:lang w:val="fr-CA"/>
        </w:rPr>
        <w:t xml:space="preserve">; </w:t>
      </w:r>
      <w:r w:rsidRPr="00CA4523">
        <w:rPr>
          <w:rFonts w:cs="Times New Roman"/>
          <w:i/>
          <w:lang w:val="fr-CA"/>
        </w:rPr>
        <w:t>Lagassé</w:t>
      </w:r>
      <w:r w:rsidRPr="00CA4523">
        <w:rPr>
          <w:rFonts w:cs="Times New Roman"/>
          <w:lang w:val="fr-CA"/>
        </w:rPr>
        <w:t xml:space="preserve">, </w:t>
      </w:r>
      <w:r>
        <w:rPr>
          <w:rFonts w:cs="Times New Roman"/>
          <w:lang w:val="fr-CA"/>
        </w:rPr>
        <w:t>par. </w:t>
      </w:r>
      <w:r w:rsidRPr="00CA4523">
        <w:rPr>
          <w:rFonts w:cs="Times New Roman"/>
          <w:lang w:val="fr-CA"/>
        </w:rPr>
        <w:t xml:space="preserve">15). En conséquence, même </w:t>
      </w:r>
      <w:r>
        <w:rPr>
          <w:rFonts w:cs="Times New Roman"/>
          <w:lang w:val="fr-CA"/>
        </w:rPr>
        <w:t>en droit québécois</w:t>
      </w:r>
      <w:r w:rsidRPr="00CA4523">
        <w:rPr>
          <w:rFonts w:cs="Times New Roman"/>
          <w:lang w:val="fr-CA"/>
        </w:rPr>
        <w:t>, l</w:t>
      </w:r>
      <w:r>
        <w:rPr>
          <w:rFonts w:cs="Times New Roman"/>
          <w:lang w:val="fr-CA"/>
        </w:rPr>
        <w:t>’</w:t>
      </w:r>
      <w:r w:rsidRPr="00CA4523">
        <w:rPr>
          <w:rFonts w:cs="Times New Roman"/>
          <w:lang w:val="fr-CA"/>
        </w:rPr>
        <w:t xml:space="preserve">allégation selon laquelle M. Barer aurait été tenu de présenter tous ses moyens préliminaires ensemble </w:t>
      </w:r>
      <w:r>
        <w:rPr>
          <w:rFonts w:cs="Times New Roman"/>
          <w:lang w:val="fr-CA"/>
        </w:rPr>
        <w:t xml:space="preserve">et </w:t>
      </w:r>
      <w:r w:rsidRPr="00CA4523">
        <w:rPr>
          <w:rFonts w:cs="Times New Roman"/>
          <w:lang w:val="fr-CA"/>
        </w:rPr>
        <w:t>en même temps comme il l</w:t>
      </w:r>
      <w:r>
        <w:rPr>
          <w:rFonts w:cs="Times New Roman"/>
          <w:lang w:val="fr-CA"/>
        </w:rPr>
        <w:t>’</w:t>
      </w:r>
      <w:r w:rsidRPr="00CA4523">
        <w:rPr>
          <w:rFonts w:cs="Times New Roman"/>
          <w:lang w:val="fr-CA"/>
        </w:rPr>
        <w:t>a fait devant le tribunal de l</w:t>
      </w:r>
      <w:r>
        <w:rPr>
          <w:rFonts w:cs="Times New Roman"/>
          <w:lang w:val="fr-CA"/>
        </w:rPr>
        <w:t>’</w:t>
      </w:r>
      <w:r w:rsidRPr="00CA4523">
        <w:rPr>
          <w:rFonts w:cs="Times New Roman"/>
          <w:lang w:val="fr-CA"/>
        </w:rPr>
        <w:t>Utah, sans faire de distinction quant à leur importance ou quant à leur ordre de priorité, n</w:t>
      </w:r>
      <w:r>
        <w:rPr>
          <w:rFonts w:cs="Times New Roman"/>
          <w:lang w:val="fr-CA"/>
        </w:rPr>
        <w:t>’</w:t>
      </w:r>
      <w:r w:rsidRPr="00CA4523">
        <w:rPr>
          <w:rFonts w:cs="Times New Roman"/>
          <w:lang w:val="fr-CA"/>
        </w:rPr>
        <w:t xml:space="preserve">a pas été établie. </w:t>
      </w:r>
    </w:p>
    <w:p w:rsidR="00AF6697" w:rsidRDefault="00AF6697" w:rsidP="00AF6697">
      <w:pPr>
        <w:pStyle w:val="ParaNoNdepar-AltN"/>
        <w:tabs>
          <w:tab w:val="clear" w:pos="1166"/>
          <w:tab w:val="num" w:pos="1152"/>
        </w:tabs>
        <w:rPr>
          <w:rFonts w:cs="Times New Roman"/>
          <w:lang w:val="fr-CA"/>
        </w:rPr>
      </w:pPr>
      <w:r w:rsidRPr="00CC1412">
        <w:rPr>
          <w:rFonts w:cs="Times New Roman"/>
          <w:lang w:val="fr-CA"/>
        </w:rPr>
        <w:t>J</w:t>
      </w:r>
      <w:r>
        <w:rPr>
          <w:rFonts w:cs="Times New Roman"/>
          <w:lang w:val="fr-CA"/>
        </w:rPr>
        <w:t>’</w:t>
      </w:r>
      <w:r w:rsidRPr="00CC1412">
        <w:rPr>
          <w:rFonts w:cs="Times New Roman"/>
          <w:lang w:val="fr-CA"/>
        </w:rPr>
        <w:t xml:space="preserve">en </w:t>
      </w:r>
      <w:r>
        <w:rPr>
          <w:rFonts w:cs="Times New Roman"/>
          <w:lang w:val="fr-CA"/>
        </w:rPr>
        <w:t>conclus</w:t>
      </w:r>
      <w:r w:rsidRPr="00CC1412">
        <w:rPr>
          <w:rFonts w:cs="Times New Roman"/>
          <w:lang w:val="fr-CA"/>
        </w:rPr>
        <w:t xml:space="preserve"> que M. Barer a reconnu la compétence du tribunal de l</w:t>
      </w:r>
      <w:r>
        <w:rPr>
          <w:rFonts w:cs="Times New Roman"/>
          <w:lang w:val="fr-CA"/>
        </w:rPr>
        <w:t>’</w:t>
      </w:r>
      <w:r w:rsidRPr="00CC1412">
        <w:rPr>
          <w:rFonts w:cs="Times New Roman"/>
          <w:lang w:val="fr-CA"/>
        </w:rPr>
        <w:t xml:space="preserve">Utah comme le prévoit </w:t>
      </w:r>
      <w:r w:rsidR="00147DED">
        <w:rPr>
          <w:rFonts w:cs="Times New Roman"/>
          <w:lang w:val="fr-CA"/>
        </w:rPr>
        <w:t>le par</w:t>
      </w:r>
      <w:r>
        <w:rPr>
          <w:rFonts w:cs="Times New Roman"/>
          <w:lang w:val="fr-CA"/>
        </w:rPr>
        <w:t>. </w:t>
      </w:r>
      <w:r w:rsidRPr="00CC1412">
        <w:rPr>
          <w:rFonts w:cs="Times New Roman"/>
          <w:lang w:val="fr-CA"/>
        </w:rPr>
        <w:t>3168</w:t>
      </w:r>
      <w:r>
        <w:rPr>
          <w:rFonts w:cs="Times New Roman"/>
          <w:lang w:val="fr-CA"/>
        </w:rPr>
        <w:t>(</w:t>
      </w:r>
      <w:r w:rsidRPr="00CC1412">
        <w:rPr>
          <w:rFonts w:cs="Times New Roman"/>
          <w:lang w:val="fr-CA"/>
        </w:rPr>
        <w:t>6</w:t>
      </w:r>
      <w:r>
        <w:rPr>
          <w:rFonts w:cs="Times New Roman"/>
          <w:lang w:val="fr-CA"/>
        </w:rPr>
        <w:t>)</w:t>
      </w:r>
      <w:r w:rsidRPr="00CC1412">
        <w:rPr>
          <w:rFonts w:cs="Times New Roman"/>
          <w:lang w:val="fr-CA"/>
        </w:rPr>
        <w:t> </w:t>
      </w:r>
      <w:r w:rsidRPr="00CC1412">
        <w:rPr>
          <w:rFonts w:cs="Times New Roman"/>
          <w:i/>
          <w:lang w:val="fr-CA"/>
        </w:rPr>
        <w:t xml:space="preserve">C.c.Q. </w:t>
      </w:r>
      <w:r w:rsidRPr="00CC1412">
        <w:rPr>
          <w:rFonts w:cs="Times New Roman"/>
          <w:lang w:val="fr-CA"/>
        </w:rPr>
        <w:t>en présentant des arguments de fond dans sa requête en irrecevabilité, qui, s</w:t>
      </w:r>
      <w:r>
        <w:rPr>
          <w:rFonts w:cs="Times New Roman"/>
          <w:lang w:val="fr-CA"/>
        </w:rPr>
        <w:t>’</w:t>
      </w:r>
      <w:r w:rsidRPr="00CC1412">
        <w:rPr>
          <w:rFonts w:cs="Times New Roman"/>
          <w:lang w:val="fr-CA"/>
        </w:rPr>
        <w:t>ils avaient été retenus, aurai</w:t>
      </w:r>
      <w:r>
        <w:rPr>
          <w:rFonts w:cs="Times New Roman"/>
          <w:lang w:val="fr-CA"/>
        </w:rPr>
        <w:t>en</w:t>
      </w:r>
      <w:r w:rsidRPr="00CC1412">
        <w:rPr>
          <w:rFonts w:cs="Times New Roman"/>
          <w:lang w:val="fr-CA"/>
        </w:rPr>
        <w:t xml:space="preserve">t résolu le litige en tout </w:t>
      </w:r>
      <w:r w:rsidRPr="00CC1412">
        <w:rPr>
          <w:rFonts w:cs="Times New Roman"/>
          <w:lang w:val="fr-CA"/>
        </w:rPr>
        <w:lastRenderedPageBreak/>
        <w:t xml:space="preserve">ou en partie. </w:t>
      </w:r>
      <w:r>
        <w:rPr>
          <w:rFonts w:cs="Times New Roman"/>
          <w:lang w:val="fr-CA"/>
        </w:rPr>
        <w:t>Cela</w:t>
      </w:r>
      <w:r w:rsidRPr="00CC1412">
        <w:rPr>
          <w:rFonts w:cs="Times New Roman"/>
          <w:lang w:val="fr-CA"/>
        </w:rPr>
        <w:t xml:space="preserve"> suffit pour justifier de reconnaître la décision de l</w:t>
      </w:r>
      <w:r>
        <w:rPr>
          <w:rFonts w:cs="Times New Roman"/>
          <w:lang w:val="fr-CA"/>
        </w:rPr>
        <w:t>’</w:t>
      </w:r>
      <w:r w:rsidRPr="00CC1412">
        <w:rPr>
          <w:rFonts w:cs="Times New Roman"/>
          <w:lang w:val="fr-CA"/>
        </w:rPr>
        <w:t xml:space="preserve">Utah au Québec et de la lui opposer. </w:t>
      </w:r>
    </w:p>
    <w:p w:rsidR="00AF6697" w:rsidRPr="00CC1412" w:rsidRDefault="00AF6697" w:rsidP="00AF6697">
      <w:pPr>
        <w:pStyle w:val="ParaNoNdepar-AltN"/>
        <w:tabs>
          <w:tab w:val="clear" w:pos="1166"/>
          <w:tab w:val="num" w:pos="1152"/>
        </w:tabs>
        <w:rPr>
          <w:rFonts w:cs="Times New Roman"/>
          <w:lang w:val="fr-CA"/>
        </w:rPr>
      </w:pPr>
      <w:r>
        <w:rPr>
          <w:rFonts w:cs="Times New Roman"/>
          <w:lang w:val="fr-CA"/>
        </w:rPr>
        <w:t>C</w:t>
      </w:r>
      <w:r w:rsidRPr="00CC1412">
        <w:rPr>
          <w:rFonts w:cs="Times New Roman"/>
          <w:lang w:val="fr-CA"/>
        </w:rPr>
        <w:t xml:space="preserve">ette conclusion </w:t>
      </w:r>
      <w:r>
        <w:rPr>
          <w:rFonts w:cs="Times New Roman"/>
          <w:lang w:val="fr-CA"/>
        </w:rPr>
        <w:t>est par ailleurs étayée par le</w:t>
      </w:r>
      <w:r w:rsidRPr="00CC1412">
        <w:rPr>
          <w:rFonts w:cs="Times New Roman"/>
          <w:lang w:val="fr-CA"/>
        </w:rPr>
        <w:t xml:space="preserve"> comportement</w:t>
      </w:r>
      <w:r>
        <w:rPr>
          <w:rFonts w:cs="Times New Roman"/>
          <w:lang w:val="fr-CA"/>
        </w:rPr>
        <w:t xml:space="preserve"> qu’a adopté M. Barer </w:t>
      </w:r>
      <w:r w:rsidRPr="00CC1412">
        <w:rPr>
          <w:rFonts w:cs="Times New Roman"/>
          <w:lang w:val="fr-CA"/>
        </w:rPr>
        <w:t xml:space="preserve">même après avoir été débouté de sa requête en irrecevabilité. </w:t>
      </w:r>
      <w:r>
        <w:rPr>
          <w:rFonts w:cs="Times New Roman"/>
          <w:lang w:val="fr-CA"/>
        </w:rPr>
        <w:t>En effet, à</w:t>
      </w:r>
      <w:r w:rsidRPr="00CC1412">
        <w:rPr>
          <w:rFonts w:cs="Times New Roman"/>
          <w:lang w:val="fr-CA"/>
        </w:rPr>
        <w:t xml:space="preserve"> la suite du rejet de </w:t>
      </w:r>
      <w:r>
        <w:rPr>
          <w:rFonts w:cs="Times New Roman"/>
          <w:lang w:val="fr-CA"/>
        </w:rPr>
        <w:t>cette procédure</w:t>
      </w:r>
      <w:r w:rsidRPr="00CC1412">
        <w:rPr>
          <w:rFonts w:cs="Times New Roman"/>
          <w:lang w:val="fr-CA"/>
        </w:rPr>
        <w:t xml:space="preserve">, il a obtenu </w:t>
      </w:r>
      <w:r>
        <w:rPr>
          <w:rFonts w:cs="Times New Roman"/>
          <w:lang w:val="fr-CA"/>
        </w:rPr>
        <w:t>une prorogation du délai qui lui était imparti pour</w:t>
      </w:r>
      <w:r w:rsidRPr="00CC1412">
        <w:rPr>
          <w:rFonts w:cs="Times New Roman"/>
          <w:lang w:val="fr-CA"/>
        </w:rPr>
        <w:t xml:space="preserve"> répondre à la demande de Knight et il a pris part à une conférence de règlement</w:t>
      </w:r>
      <w:r>
        <w:rPr>
          <w:rFonts w:cs="Times New Roman"/>
          <w:lang w:val="fr-CA"/>
        </w:rPr>
        <w:t xml:space="preserve"> à l’amiable</w:t>
      </w:r>
      <w:r w:rsidRPr="00CC1412">
        <w:rPr>
          <w:rFonts w:cs="Times New Roman"/>
          <w:lang w:val="fr-CA"/>
        </w:rPr>
        <w:t>. Comme je l</w:t>
      </w:r>
      <w:r>
        <w:rPr>
          <w:rFonts w:cs="Times New Roman"/>
          <w:lang w:val="fr-CA"/>
        </w:rPr>
        <w:t>’</w:t>
      </w:r>
      <w:r w:rsidRPr="00CC1412">
        <w:rPr>
          <w:rFonts w:cs="Times New Roman"/>
          <w:lang w:val="fr-CA"/>
        </w:rPr>
        <w:t xml:space="preserve">ai déjà expliqué, ces gestes ne sont généralement pas considérés </w:t>
      </w:r>
      <w:r>
        <w:rPr>
          <w:rFonts w:cs="Times New Roman"/>
          <w:lang w:val="fr-CA"/>
        </w:rPr>
        <w:t xml:space="preserve">en soi </w:t>
      </w:r>
      <w:r w:rsidRPr="00CC1412">
        <w:rPr>
          <w:rFonts w:cs="Times New Roman"/>
          <w:lang w:val="fr-CA"/>
        </w:rPr>
        <w:t xml:space="preserve">comme </w:t>
      </w:r>
      <w:r>
        <w:rPr>
          <w:rFonts w:cs="Times New Roman"/>
          <w:lang w:val="fr-CA"/>
        </w:rPr>
        <w:t>une reconnaissance de</w:t>
      </w:r>
      <w:r w:rsidRPr="00CC1412">
        <w:rPr>
          <w:rFonts w:cs="Times New Roman"/>
          <w:lang w:val="fr-CA"/>
        </w:rPr>
        <w:t xml:space="preserve"> la compétence en droit québécois. Ils ne révèlent pas nécessairement une reconnaissance tacite que le tribunal est </w:t>
      </w:r>
      <w:r>
        <w:rPr>
          <w:rFonts w:cs="Times New Roman"/>
          <w:lang w:val="fr-CA"/>
        </w:rPr>
        <w:t>le forum</w:t>
      </w:r>
      <w:r w:rsidRPr="00CC1412">
        <w:rPr>
          <w:rFonts w:cs="Times New Roman"/>
          <w:lang w:val="fr-CA"/>
        </w:rPr>
        <w:t xml:space="preserve"> approprié pour trancher le litige. S</w:t>
      </w:r>
      <w:r>
        <w:rPr>
          <w:rFonts w:cs="Times New Roman"/>
          <w:lang w:val="fr-CA"/>
        </w:rPr>
        <w:t>’</w:t>
      </w:r>
      <w:r w:rsidRPr="00CC1412">
        <w:rPr>
          <w:rFonts w:cs="Times New Roman"/>
          <w:lang w:val="fr-CA"/>
        </w:rPr>
        <w:t>il s</w:t>
      </w:r>
      <w:r>
        <w:rPr>
          <w:rFonts w:cs="Times New Roman"/>
          <w:lang w:val="fr-CA"/>
        </w:rPr>
        <w:t>’</w:t>
      </w:r>
      <w:r w:rsidRPr="00CC1412">
        <w:rPr>
          <w:rFonts w:cs="Times New Roman"/>
          <w:lang w:val="fr-CA"/>
        </w:rPr>
        <w:t>agissait là des seules démarches invoquées par Knight pour soutenir que M. Barer a reconnu la compétence</w:t>
      </w:r>
      <w:r>
        <w:rPr>
          <w:rFonts w:cs="Times New Roman"/>
          <w:lang w:val="fr-CA"/>
        </w:rPr>
        <w:t xml:space="preserve"> du tribunal de l’Utah</w:t>
      </w:r>
      <w:r w:rsidRPr="00CC1412">
        <w:rPr>
          <w:rFonts w:cs="Times New Roman"/>
          <w:lang w:val="fr-CA"/>
        </w:rPr>
        <w:t xml:space="preserve">, elles ne </w:t>
      </w:r>
      <w:r>
        <w:rPr>
          <w:rFonts w:cs="Times New Roman"/>
          <w:lang w:val="fr-CA"/>
        </w:rPr>
        <w:t>suffiraient pas</w:t>
      </w:r>
      <w:r w:rsidRPr="00CC1412">
        <w:rPr>
          <w:rFonts w:cs="Times New Roman"/>
          <w:lang w:val="fr-CA"/>
        </w:rPr>
        <w:t xml:space="preserve">. Cependant, dans la présente affaire, ces deux démarches ont été </w:t>
      </w:r>
      <w:r>
        <w:rPr>
          <w:rFonts w:cs="Times New Roman"/>
          <w:lang w:val="fr-CA"/>
        </w:rPr>
        <w:t>entre</w:t>
      </w:r>
      <w:r w:rsidRPr="00CC1412">
        <w:rPr>
          <w:rFonts w:cs="Times New Roman"/>
          <w:lang w:val="fr-CA"/>
        </w:rPr>
        <w:t xml:space="preserve">prises après la présentation des arguments de fond de M. Barer et leur rejet </w:t>
      </w:r>
      <w:r>
        <w:rPr>
          <w:rFonts w:cs="Times New Roman"/>
          <w:lang w:val="fr-CA"/>
        </w:rPr>
        <w:t xml:space="preserve">subséquent </w:t>
      </w:r>
      <w:r w:rsidRPr="00CC1412">
        <w:rPr>
          <w:rFonts w:cs="Times New Roman"/>
          <w:lang w:val="fr-CA"/>
        </w:rPr>
        <w:t>par le tribunal de l</w:t>
      </w:r>
      <w:r>
        <w:rPr>
          <w:rFonts w:cs="Times New Roman"/>
          <w:lang w:val="fr-CA"/>
        </w:rPr>
        <w:t>’</w:t>
      </w:r>
      <w:r w:rsidRPr="00CC1412">
        <w:rPr>
          <w:rFonts w:cs="Times New Roman"/>
          <w:lang w:val="fr-CA"/>
        </w:rPr>
        <w:t xml:space="preserve">Utah. En ce sens, elles contredisent </w:t>
      </w:r>
      <w:r>
        <w:rPr>
          <w:rFonts w:cs="Times New Roman"/>
          <w:lang w:val="fr-CA"/>
        </w:rPr>
        <w:t>la prétention</w:t>
      </w:r>
      <w:r w:rsidRPr="00CC1412">
        <w:rPr>
          <w:rFonts w:cs="Times New Roman"/>
          <w:lang w:val="fr-CA"/>
        </w:rPr>
        <w:t xml:space="preserve"> de M. Barer selon laquelle il n</w:t>
      </w:r>
      <w:r>
        <w:rPr>
          <w:rFonts w:cs="Times New Roman"/>
          <w:lang w:val="fr-CA"/>
        </w:rPr>
        <w:t>’</w:t>
      </w:r>
      <w:r w:rsidRPr="00CC1412">
        <w:rPr>
          <w:rFonts w:cs="Times New Roman"/>
          <w:lang w:val="fr-CA"/>
        </w:rPr>
        <w:t xml:space="preserve">a présenté </w:t>
      </w:r>
      <w:r>
        <w:rPr>
          <w:rFonts w:cs="Times New Roman"/>
          <w:lang w:val="fr-CA"/>
        </w:rPr>
        <w:t>c</w:t>
      </w:r>
      <w:r w:rsidRPr="00CC1412">
        <w:rPr>
          <w:rFonts w:cs="Times New Roman"/>
          <w:lang w:val="fr-CA"/>
        </w:rPr>
        <w:t>es arguments que parce qu</w:t>
      </w:r>
      <w:r>
        <w:rPr>
          <w:rFonts w:cs="Times New Roman"/>
          <w:lang w:val="fr-CA"/>
        </w:rPr>
        <w:t>’</w:t>
      </w:r>
      <w:r w:rsidRPr="00CC1412">
        <w:rPr>
          <w:rFonts w:cs="Times New Roman"/>
          <w:lang w:val="fr-CA"/>
        </w:rPr>
        <w:t>il était tenu de le faire suivant les règles de procédure de l</w:t>
      </w:r>
      <w:r>
        <w:rPr>
          <w:rFonts w:cs="Times New Roman"/>
          <w:lang w:val="fr-CA"/>
        </w:rPr>
        <w:t>’</w:t>
      </w:r>
      <w:r w:rsidRPr="00CC1412">
        <w:rPr>
          <w:rFonts w:cs="Times New Roman"/>
          <w:lang w:val="fr-CA"/>
        </w:rPr>
        <w:t xml:space="preserve">Utah. </w:t>
      </w:r>
      <w:r>
        <w:rPr>
          <w:rFonts w:cs="Times New Roman"/>
          <w:lang w:val="fr-CA"/>
        </w:rPr>
        <w:t>Il</w:t>
      </w:r>
      <w:r w:rsidRPr="00CC1412">
        <w:rPr>
          <w:rFonts w:cs="Times New Roman"/>
          <w:lang w:val="fr-CA"/>
        </w:rPr>
        <w:t xml:space="preserve"> aurait pu cesser de participer à l</w:t>
      </w:r>
      <w:r>
        <w:rPr>
          <w:rFonts w:cs="Times New Roman"/>
          <w:lang w:val="fr-CA"/>
        </w:rPr>
        <w:t>’</w:t>
      </w:r>
      <w:r w:rsidRPr="00CC1412">
        <w:rPr>
          <w:rFonts w:cs="Times New Roman"/>
          <w:lang w:val="fr-CA"/>
        </w:rPr>
        <w:t>instance devant le tribunal de l</w:t>
      </w:r>
      <w:r>
        <w:rPr>
          <w:rFonts w:cs="Times New Roman"/>
          <w:lang w:val="fr-CA"/>
        </w:rPr>
        <w:t>’</w:t>
      </w:r>
      <w:r w:rsidRPr="00CC1412">
        <w:rPr>
          <w:rFonts w:cs="Times New Roman"/>
          <w:lang w:val="fr-CA"/>
        </w:rPr>
        <w:t xml:space="preserve">Utah après </w:t>
      </w:r>
      <w:r>
        <w:rPr>
          <w:rFonts w:cs="Times New Roman"/>
          <w:lang w:val="fr-CA"/>
        </w:rPr>
        <w:t>que celui</w:t>
      </w:r>
      <w:r>
        <w:rPr>
          <w:rFonts w:cs="Times New Roman"/>
          <w:lang w:val="fr-CA"/>
        </w:rPr>
        <w:noBreakHyphen/>
        <w:t>ci eut rejeté</w:t>
      </w:r>
      <w:r w:rsidRPr="00CC1412">
        <w:rPr>
          <w:rFonts w:cs="Times New Roman"/>
          <w:lang w:val="fr-CA"/>
        </w:rPr>
        <w:t xml:space="preserve"> </w:t>
      </w:r>
      <w:r>
        <w:rPr>
          <w:rFonts w:cs="Times New Roman"/>
          <w:lang w:val="fr-CA"/>
        </w:rPr>
        <w:t>son moyen</w:t>
      </w:r>
      <w:r w:rsidRPr="00BD5C64">
        <w:rPr>
          <w:rFonts w:cs="Times New Roman"/>
          <w:lang w:val="fr-CA"/>
        </w:rPr>
        <w:t xml:space="preserve"> déclinatoire. Or, </w:t>
      </w:r>
      <w:r>
        <w:rPr>
          <w:rFonts w:cs="Times New Roman"/>
          <w:lang w:val="fr-CA"/>
        </w:rPr>
        <w:t>ce n’est pas ce qu’il a</w:t>
      </w:r>
      <w:r w:rsidRPr="00CC1412">
        <w:rPr>
          <w:rFonts w:cs="Times New Roman"/>
          <w:lang w:val="fr-CA"/>
        </w:rPr>
        <w:t xml:space="preserve"> fait. Dans cette mesure, je conviens avec Knight que ce comportement renforce la conclusion selon laquelle M. Barer a reconnu la compétence du tribunal de l</w:t>
      </w:r>
      <w:r>
        <w:rPr>
          <w:rFonts w:cs="Times New Roman"/>
          <w:lang w:val="fr-CA"/>
        </w:rPr>
        <w:t>’</w:t>
      </w:r>
      <w:r w:rsidRPr="00CC1412">
        <w:rPr>
          <w:rFonts w:cs="Times New Roman"/>
          <w:lang w:val="fr-CA"/>
        </w:rPr>
        <w:t>Utah en décidant de procéder comme il l</w:t>
      </w:r>
      <w:r>
        <w:rPr>
          <w:rFonts w:cs="Times New Roman"/>
          <w:lang w:val="fr-CA"/>
        </w:rPr>
        <w:t>’</w:t>
      </w:r>
      <w:r w:rsidRPr="00CC1412">
        <w:rPr>
          <w:rFonts w:cs="Times New Roman"/>
          <w:lang w:val="fr-CA"/>
        </w:rPr>
        <w:t>a fait et en présentant des arguments de fond en même temps qu</w:t>
      </w:r>
      <w:r>
        <w:rPr>
          <w:rFonts w:cs="Times New Roman"/>
          <w:lang w:val="fr-CA"/>
        </w:rPr>
        <w:t>’</w:t>
      </w:r>
      <w:r w:rsidRPr="00CC1412">
        <w:rPr>
          <w:rFonts w:cs="Times New Roman"/>
          <w:lang w:val="fr-CA"/>
        </w:rPr>
        <w:t xml:space="preserve">il contestait la compétence. </w:t>
      </w:r>
    </w:p>
    <w:p w:rsidR="00AF6697" w:rsidRPr="009029C8" w:rsidRDefault="00AF6697" w:rsidP="002970A2">
      <w:pPr>
        <w:pStyle w:val="Title2LevelTitre2Niveau"/>
        <w:numPr>
          <w:ilvl w:val="0"/>
          <w:numId w:val="17"/>
        </w:numPr>
        <w:rPr>
          <w:rFonts w:cs="Times New Roman"/>
          <w:i w:val="0"/>
          <w:lang w:val="fr-CA"/>
        </w:rPr>
      </w:pPr>
      <w:r w:rsidRPr="00CA4523">
        <w:rPr>
          <w:rFonts w:cs="Times New Roman"/>
          <w:lang w:val="fr-CA"/>
        </w:rPr>
        <w:t>Article</w:t>
      </w:r>
      <w:r>
        <w:rPr>
          <w:rFonts w:cs="Times New Roman"/>
          <w:lang w:val="fr-CA"/>
        </w:rPr>
        <w:t> </w:t>
      </w:r>
      <w:r w:rsidRPr="00CA4523">
        <w:rPr>
          <w:rFonts w:cs="Times New Roman"/>
          <w:lang w:val="fr-CA"/>
        </w:rPr>
        <w:t xml:space="preserve">3164 </w:t>
      </w:r>
      <w:r w:rsidRPr="00BD68C8">
        <w:rPr>
          <w:rFonts w:cs="Times New Roman"/>
          <w:lang w:val="fr-CA"/>
        </w:rPr>
        <w:t>C.c.Q.</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lastRenderedPageBreak/>
        <w:t xml:space="preserve">En dernier lieu, M. Barer soutient que le juge de première instance a mal interprété </w:t>
      </w:r>
      <w:r>
        <w:rPr>
          <w:rFonts w:cs="Times New Roman"/>
          <w:lang w:val="fr-CA"/>
        </w:rPr>
        <w:t>l’arrêt rendu par notre</w:t>
      </w:r>
      <w:r w:rsidRPr="00CA4523">
        <w:rPr>
          <w:rFonts w:cs="Times New Roman"/>
          <w:lang w:val="fr-CA"/>
        </w:rPr>
        <w:t xml:space="preserve"> Cour dans </w:t>
      </w:r>
      <w:r w:rsidRPr="00CA4523">
        <w:rPr>
          <w:rFonts w:cs="Times New Roman"/>
          <w:i/>
          <w:lang w:val="fr-CA"/>
        </w:rPr>
        <w:t>Spar Aerospace Lt</w:t>
      </w:r>
      <w:r w:rsidR="00496B2E">
        <w:rPr>
          <w:rFonts w:cs="Times New Roman"/>
          <w:i/>
          <w:lang w:val="fr-CA"/>
        </w:rPr>
        <w:t>ée</w:t>
      </w:r>
      <w:r w:rsidRPr="00CA4523">
        <w:rPr>
          <w:rFonts w:cs="Times New Roman"/>
          <w:i/>
          <w:lang w:val="fr-CA"/>
        </w:rPr>
        <w:t xml:space="preserve"> c. American Mobile Satellite Corp.</w:t>
      </w:r>
      <w:r w:rsidRPr="00CA4523">
        <w:rPr>
          <w:rFonts w:cs="Times New Roman"/>
          <w:lang w:val="fr-CA"/>
        </w:rPr>
        <w:t>, 2002 CSC 78, [2002] 4 R.C.S.</w:t>
      </w:r>
      <w:r>
        <w:rPr>
          <w:rFonts w:cs="Times New Roman"/>
          <w:lang w:val="fr-CA"/>
        </w:rPr>
        <w:t> </w:t>
      </w:r>
      <w:r w:rsidRPr="00CA4523">
        <w:rPr>
          <w:rFonts w:cs="Times New Roman"/>
          <w:lang w:val="fr-CA"/>
        </w:rPr>
        <w:t>205, et qu</w:t>
      </w:r>
      <w:r>
        <w:rPr>
          <w:rFonts w:cs="Times New Roman"/>
          <w:lang w:val="fr-CA"/>
        </w:rPr>
        <w:t>’</w:t>
      </w:r>
      <w:r w:rsidRPr="00CA4523">
        <w:rPr>
          <w:rFonts w:cs="Times New Roman"/>
          <w:lang w:val="fr-CA"/>
        </w:rPr>
        <w:t xml:space="preserve">il a commis une erreur en concluant que le facteur du rattachement important </w:t>
      </w:r>
      <w:r>
        <w:rPr>
          <w:rFonts w:cs="Times New Roman"/>
          <w:lang w:val="fr-CA"/>
        </w:rPr>
        <w:t>énoncé</w:t>
      </w:r>
      <w:r w:rsidRPr="00CA4523">
        <w:rPr>
          <w:rFonts w:cs="Times New Roman"/>
          <w:lang w:val="fr-CA"/>
        </w:rPr>
        <w:t xml:space="preserve"> à l</w:t>
      </w:r>
      <w:r>
        <w:rPr>
          <w:rFonts w:cs="Times New Roman"/>
          <w:lang w:val="fr-CA"/>
        </w:rPr>
        <w:t>’art. </w:t>
      </w:r>
      <w:r w:rsidRPr="00CA4523">
        <w:rPr>
          <w:rFonts w:cs="Times New Roman"/>
          <w:lang w:val="fr-CA"/>
        </w:rPr>
        <w:t xml:space="preserve">3164 </w:t>
      </w:r>
      <w:r w:rsidRPr="00CA4523">
        <w:rPr>
          <w:rFonts w:cs="Times New Roman"/>
          <w:i/>
          <w:lang w:val="fr-CA"/>
        </w:rPr>
        <w:t>C.c.Q.</w:t>
      </w:r>
      <w:r w:rsidRPr="00CA4523">
        <w:rPr>
          <w:rFonts w:cs="Times New Roman"/>
          <w:lang w:val="fr-CA"/>
        </w:rPr>
        <w:t xml:space="preserve"> </w:t>
      </w:r>
      <w:r>
        <w:rPr>
          <w:rFonts w:cs="Times New Roman"/>
          <w:lang w:val="fr-CA"/>
        </w:rPr>
        <w:t xml:space="preserve">ne </w:t>
      </w:r>
      <w:r w:rsidRPr="00CA4523">
        <w:rPr>
          <w:rFonts w:cs="Times New Roman"/>
          <w:lang w:val="fr-CA"/>
        </w:rPr>
        <w:t xml:space="preserve">constitue </w:t>
      </w:r>
      <w:r>
        <w:rPr>
          <w:rFonts w:cs="Times New Roman"/>
          <w:lang w:val="fr-CA"/>
        </w:rPr>
        <w:t xml:space="preserve">pas </w:t>
      </w:r>
      <w:r w:rsidRPr="00CA4523">
        <w:rPr>
          <w:rFonts w:cs="Times New Roman"/>
          <w:lang w:val="fr-CA"/>
        </w:rPr>
        <w:t>un critère additionnel que doit respecter la partie qui sollicite la reconnaissance d</w:t>
      </w:r>
      <w:r>
        <w:rPr>
          <w:rFonts w:cs="Times New Roman"/>
          <w:lang w:val="fr-CA"/>
        </w:rPr>
        <w:t>’</w:t>
      </w:r>
      <w:r w:rsidRPr="00CA4523">
        <w:rPr>
          <w:rFonts w:cs="Times New Roman"/>
          <w:lang w:val="fr-CA"/>
        </w:rPr>
        <w:t xml:space="preserve">un jugement étranger. Selon M. Barer, le </w:t>
      </w:r>
      <w:r>
        <w:rPr>
          <w:rFonts w:cs="Times New Roman"/>
          <w:lang w:val="fr-CA"/>
        </w:rPr>
        <w:t xml:space="preserve">simple </w:t>
      </w:r>
      <w:r w:rsidRPr="00CA4523">
        <w:rPr>
          <w:rFonts w:cs="Times New Roman"/>
          <w:lang w:val="fr-CA"/>
        </w:rPr>
        <w:t>fait qu</w:t>
      </w:r>
      <w:r>
        <w:rPr>
          <w:rFonts w:cs="Times New Roman"/>
          <w:lang w:val="fr-CA"/>
        </w:rPr>
        <w:t>’</w:t>
      </w:r>
      <w:r w:rsidRPr="00CA4523">
        <w:rPr>
          <w:rFonts w:cs="Times New Roman"/>
          <w:lang w:val="fr-CA"/>
        </w:rPr>
        <w:t>il a lui</w:t>
      </w:r>
      <w:r>
        <w:rPr>
          <w:rFonts w:cs="Times New Roman"/>
          <w:lang w:val="fr-CA"/>
        </w:rPr>
        <w:noBreakHyphen/>
      </w:r>
      <w:r w:rsidRPr="00CA4523">
        <w:rPr>
          <w:rFonts w:cs="Times New Roman"/>
          <w:lang w:val="fr-CA"/>
        </w:rPr>
        <w:t xml:space="preserve">même </w:t>
      </w:r>
      <w:r w:rsidRPr="00640415">
        <w:rPr>
          <w:rFonts w:cs="Times New Roman"/>
          <w:lang w:val="fr-CA"/>
        </w:rPr>
        <w:t>reconnu la compétence ne suffit pas à lui seul pour emporter reconnaissance si Knight</w:t>
      </w:r>
      <w:r w:rsidRPr="00CA4523">
        <w:rPr>
          <w:rFonts w:cs="Times New Roman"/>
          <w:lang w:val="fr-CA"/>
        </w:rPr>
        <w:t xml:space="preserve"> ne peut </w:t>
      </w:r>
      <w:r>
        <w:rPr>
          <w:rFonts w:cs="Times New Roman"/>
          <w:lang w:val="fr-CA"/>
        </w:rPr>
        <w:t xml:space="preserve">pas </w:t>
      </w:r>
      <w:r w:rsidRPr="00CA4523">
        <w:rPr>
          <w:rFonts w:cs="Times New Roman"/>
          <w:lang w:val="fr-CA"/>
        </w:rPr>
        <w:t xml:space="preserve">démontrer </w:t>
      </w:r>
      <w:r>
        <w:rPr>
          <w:rFonts w:cs="Times New Roman"/>
          <w:lang w:val="fr-CA"/>
        </w:rPr>
        <w:t xml:space="preserve">en outre </w:t>
      </w:r>
      <w:r w:rsidRPr="00CA4523">
        <w:rPr>
          <w:rFonts w:cs="Times New Roman"/>
          <w:lang w:val="fr-CA"/>
        </w:rPr>
        <w:t>que le litige se rattachait de façon importante à l</w:t>
      </w:r>
      <w:r>
        <w:rPr>
          <w:rFonts w:cs="Times New Roman"/>
          <w:lang w:val="fr-CA"/>
        </w:rPr>
        <w:t>’</w:t>
      </w:r>
      <w:r w:rsidRPr="00CA4523">
        <w:rPr>
          <w:rFonts w:cs="Times New Roman"/>
          <w:lang w:val="fr-CA"/>
        </w:rPr>
        <w:t xml:space="preserve">Utah.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 xml:space="preserve">Ce dernier argument de M. Barer ne peut </w:t>
      </w:r>
      <w:r>
        <w:rPr>
          <w:rFonts w:cs="Times New Roman"/>
          <w:lang w:val="fr-CA"/>
        </w:rPr>
        <w:t xml:space="preserve">pas </w:t>
      </w:r>
      <w:r w:rsidRPr="00CA4523">
        <w:rPr>
          <w:rFonts w:cs="Times New Roman"/>
          <w:lang w:val="fr-CA"/>
        </w:rPr>
        <w:t xml:space="preserve">non plus </w:t>
      </w:r>
      <w:r>
        <w:rPr>
          <w:rFonts w:cs="Times New Roman"/>
          <w:lang w:val="fr-CA"/>
        </w:rPr>
        <w:t>être retenu</w:t>
      </w:r>
      <w:r w:rsidRPr="00CA4523">
        <w:rPr>
          <w:rFonts w:cs="Times New Roman"/>
          <w:lang w:val="fr-CA"/>
        </w:rPr>
        <w:t>. L</w:t>
      </w:r>
      <w:r>
        <w:rPr>
          <w:rFonts w:cs="Times New Roman"/>
          <w:lang w:val="fr-CA"/>
        </w:rPr>
        <w:t>’</w:t>
      </w:r>
      <w:r w:rsidRPr="00CA4523">
        <w:rPr>
          <w:rFonts w:cs="Times New Roman"/>
          <w:lang w:val="fr-CA"/>
        </w:rPr>
        <w:t>article 3164, dont le texte est reproduit ci</w:t>
      </w:r>
      <w:r>
        <w:rPr>
          <w:rFonts w:cs="Times New Roman"/>
          <w:lang w:val="fr-CA"/>
        </w:rPr>
        <w:noBreakHyphen/>
      </w:r>
      <w:r w:rsidRPr="00CA4523">
        <w:rPr>
          <w:rFonts w:cs="Times New Roman"/>
          <w:lang w:val="fr-CA"/>
        </w:rPr>
        <w:t>après, énonce le principe général qui sous</w:t>
      </w:r>
      <w:r>
        <w:rPr>
          <w:rFonts w:cs="Times New Roman"/>
          <w:lang w:val="fr-CA"/>
        </w:rPr>
        <w:noBreakHyphen/>
      </w:r>
      <w:r w:rsidRPr="00CA4523">
        <w:rPr>
          <w:rFonts w:cs="Times New Roman"/>
          <w:lang w:val="fr-CA"/>
        </w:rPr>
        <w:t xml:space="preserve">tend la reconnaissance </w:t>
      </w:r>
      <w:r>
        <w:rPr>
          <w:rFonts w:cs="Times New Roman"/>
          <w:lang w:val="fr-CA"/>
        </w:rPr>
        <w:t xml:space="preserve">de la compétence </w:t>
      </w:r>
      <w:r w:rsidRPr="00CA4523">
        <w:rPr>
          <w:rFonts w:cs="Times New Roman"/>
          <w:lang w:val="fr-CA"/>
        </w:rPr>
        <w:t>des autorités étrangères</w:t>
      </w:r>
      <w:r>
        <w:rPr>
          <w:rFonts w:cs="Times New Roman"/>
          <w:lang w:val="fr-CA"/>
        </w:rPr>
        <w:t> :</w:t>
      </w:r>
    </w:p>
    <w:p w:rsidR="00AF6697" w:rsidRPr="00CA4523" w:rsidRDefault="00AF6697" w:rsidP="00AF6697">
      <w:pPr>
        <w:pStyle w:val="Citation-AltC"/>
        <w:ind w:hanging="1166"/>
        <w:rPr>
          <w:lang w:val="fr-CA"/>
        </w:rPr>
      </w:pPr>
      <w:r>
        <w:rPr>
          <w:b/>
          <w:lang w:val="fr-CA"/>
        </w:rPr>
        <w:tab/>
      </w:r>
      <w:r w:rsidRPr="00CA4523">
        <w:rPr>
          <w:b/>
          <w:lang w:val="fr-CA"/>
        </w:rPr>
        <w:t>3164.</w:t>
      </w:r>
      <w:r>
        <w:rPr>
          <w:lang w:val="fr-CA"/>
        </w:rPr>
        <w:t> </w:t>
      </w:r>
      <w:r w:rsidRPr="00CC1412">
        <w:rPr>
          <w:lang w:val="fr-CA"/>
        </w:rPr>
        <w:t xml:space="preserve">La compétence des autorités étrangères est établie suivant les règles de compétence applicables aux autorités québécoises en vertu du titre troisième du présent livre </w:t>
      </w:r>
      <w:r w:rsidRPr="00CC1412">
        <w:rPr>
          <w:u w:val="single"/>
          <w:lang w:val="fr-CA"/>
        </w:rPr>
        <w:t>dans la mesure où le litige se rattache d</w:t>
      </w:r>
      <w:r>
        <w:rPr>
          <w:u w:val="single"/>
          <w:lang w:val="fr-CA"/>
        </w:rPr>
        <w:t>’</w:t>
      </w:r>
      <w:r w:rsidRPr="00CC1412">
        <w:rPr>
          <w:u w:val="single"/>
          <w:lang w:val="fr-CA"/>
        </w:rPr>
        <w:t>une façon importante à l</w:t>
      </w:r>
      <w:r>
        <w:rPr>
          <w:u w:val="single"/>
          <w:lang w:val="fr-CA"/>
        </w:rPr>
        <w:t>’</w:t>
      </w:r>
      <w:r w:rsidRPr="00CC1412">
        <w:rPr>
          <w:u w:val="single"/>
          <w:lang w:val="fr-CA"/>
        </w:rPr>
        <w:t>État dont l</w:t>
      </w:r>
      <w:r>
        <w:rPr>
          <w:u w:val="single"/>
          <w:lang w:val="fr-CA"/>
        </w:rPr>
        <w:t>’</w:t>
      </w:r>
      <w:r w:rsidRPr="00CC1412">
        <w:rPr>
          <w:u w:val="single"/>
          <w:lang w:val="fr-CA"/>
        </w:rPr>
        <w:t>autorité a été saisie</w:t>
      </w:r>
      <w:r w:rsidRPr="00CC1412">
        <w:rPr>
          <w:lang w:val="fr-CA"/>
        </w:rPr>
        <w:t>.</w:t>
      </w:r>
    </w:p>
    <w:p w:rsidR="00AF6697" w:rsidRPr="008A3950" w:rsidRDefault="00AF6697" w:rsidP="008A3950">
      <w:pPr>
        <w:pStyle w:val="ParaNoNdepar-AltN"/>
        <w:tabs>
          <w:tab w:val="clear" w:pos="1166"/>
          <w:tab w:val="num" w:pos="1152"/>
        </w:tabs>
        <w:rPr>
          <w:rFonts w:cs="Times New Roman"/>
          <w:lang w:val="fr-CA"/>
        </w:rPr>
      </w:pPr>
      <w:r>
        <w:rPr>
          <w:rFonts w:cs="Times New Roman"/>
          <w:lang w:val="fr-CA"/>
        </w:rPr>
        <w:t>L’arrêt de notre</w:t>
      </w:r>
      <w:r w:rsidRPr="00CA4523">
        <w:rPr>
          <w:rFonts w:cs="Times New Roman"/>
          <w:lang w:val="fr-CA"/>
        </w:rPr>
        <w:t xml:space="preserve"> Cour dans l</w:t>
      </w:r>
      <w:r>
        <w:rPr>
          <w:rFonts w:cs="Times New Roman"/>
          <w:lang w:val="fr-CA"/>
        </w:rPr>
        <w:t>’</w:t>
      </w:r>
      <w:r w:rsidRPr="00CA4523">
        <w:rPr>
          <w:rFonts w:cs="Times New Roman"/>
          <w:lang w:val="fr-CA"/>
        </w:rPr>
        <w:t xml:space="preserve">affaire </w:t>
      </w:r>
      <w:r w:rsidRPr="00CA4523">
        <w:rPr>
          <w:rFonts w:cs="Times New Roman"/>
          <w:i/>
          <w:lang w:val="fr-CA"/>
        </w:rPr>
        <w:t xml:space="preserve">Spar </w:t>
      </w:r>
      <w:r w:rsidRPr="00CA4523">
        <w:rPr>
          <w:rFonts w:cs="Times New Roman"/>
          <w:lang w:val="fr-CA"/>
        </w:rPr>
        <w:t>est peu utile à cet égard</w:t>
      </w:r>
      <w:r>
        <w:rPr>
          <w:rFonts w:cs="Times New Roman"/>
          <w:lang w:val="fr-CA"/>
        </w:rPr>
        <w:t>. Cette affaire soulevait la question</w:t>
      </w:r>
      <w:r w:rsidRPr="00CA4523">
        <w:rPr>
          <w:rFonts w:cs="Times New Roman"/>
          <w:lang w:val="fr-CA"/>
        </w:rPr>
        <w:t xml:space="preserve"> de savoir si les </w:t>
      </w:r>
      <w:r>
        <w:rPr>
          <w:rFonts w:cs="Times New Roman"/>
          <w:lang w:val="fr-CA"/>
        </w:rPr>
        <w:t>cours</w:t>
      </w:r>
      <w:r w:rsidRPr="00CA4523">
        <w:rPr>
          <w:rFonts w:cs="Times New Roman"/>
          <w:lang w:val="fr-CA"/>
        </w:rPr>
        <w:t xml:space="preserve"> du Québec avaient compétence pour connaître d</w:t>
      </w:r>
      <w:r>
        <w:rPr>
          <w:rFonts w:cs="Times New Roman"/>
          <w:lang w:val="fr-CA"/>
        </w:rPr>
        <w:t>’</w:t>
      </w:r>
      <w:r w:rsidRPr="00CA4523">
        <w:rPr>
          <w:rFonts w:cs="Times New Roman"/>
          <w:lang w:val="fr-CA"/>
        </w:rPr>
        <w:t>un litige. Elle ne portait ni sur la compétence internationale indirecte des tribunaux étrangers ni sur la reconnaissance des décisions rendues à l</w:t>
      </w:r>
      <w:r>
        <w:rPr>
          <w:rFonts w:cs="Times New Roman"/>
          <w:lang w:val="fr-CA"/>
        </w:rPr>
        <w:t>’</w:t>
      </w:r>
      <w:r w:rsidRPr="00CA4523">
        <w:rPr>
          <w:rFonts w:cs="Times New Roman"/>
          <w:lang w:val="fr-CA"/>
        </w:rPr>
        <w:t xml:space="preserve">étranger. Le passage que le juge de première instance a invoqué au </w:t>
      </w:r>
      <w:r>
        <w:rPr>
          <w:rFonts w:cs="Times New Roman"/>
          <w:lang w:val="fr-CA"/>
        </w:rPr>
        <w:t>par. </w:t>
      </w:r>
      <w:r w:rsidRPr="00CA4523">
        <w:rPr>
          <w:rFonts w:cs="Times New Roman"/>
          <w:lang w:val="fr-CA"/>
        </w:rPr>
        <w:t xml:space="preserve">12 de ses motifs ne concernait pas le facteur du </w:t>
      </w:r>
      <w:r>
        <w:rPr>
          <w:rFonts w:cs="Times New Roman"/>
          <w:lang w:val="fr-CA"/>
        </w:rPr>
        <w:t>« </w:t>
      </w:r>
      <w:r w:rsidRPr="00640415">
        <w:rPr>
          <w:rFonts w:cs="Times New Roman"/>
          <w:lang w:val="fr-CA"/>
        </w:rPr>
        <w:t>rattache[ment] important</w:t>
      </w:r>
      <w:r w:rsidR="001B7B20">
        <w:rPr>
          <w:rFonts w:cs="Times New Roman"/>
          <w:lang w:val="fr-CA"/>
        </w:rPr>
        <w:t> </w:t>
      </w:r>
      <w:r>
        <w:rPr>
          <w:rFonts w:cs="Times New Roman"/>
          <w:lang w:val="fr-CA"/>
        </w:rPr>
        <w:t>»</w:t>
      </w:r>
      <w:r w:rsidRPr="00CA4523">
        <w:rPr>
          <w:rFonts w:cs="Times New Roman"/>
          <w:lang w:val="fr-CA"/>
        </w:rPr>
        <w:t xml:space="preserve"> énoncé à l</w:t>
      </w:r>
      <w:r>
        <w:rPr>
          <w:rFonts w:cs="Times New Roman"/>
          <w:lang w:val="fr-CA"/>
        </w:rPr>
        <w:t>’art. </w:t>
      </w:r>
      <w:r w:rsidRPr="00CA4523">
        <w:rPr>
          <w:rFonts w:cs="Times New Roman"/>
          <w:lang w:val="fr-CA"/>
        </w:rPr>
        <w:t>3164 </w:t>
      </w:r>
      <w:r w:rsidRPr="00CA4523">
        <w:rPr>
          <w:rFonts w:cs="Times New Roman"/>
          <w:i/>
          <w:lang w:val="fr-CA"/>
        </w:rPr>
        <w:t>C.c.Q.</w:t>
      </w:r>
      <w:r w:rsidRPr="00CA4523">
        <w:rPr>
          <w:rFonts w:cs="Times New Roman"/>
          <w:lang w:val="fr-CA"/>
        </w:rPr>
        <w:t>, mais plutôt la doctrine de la simple reconnaissance de compétence appliquée en common law, qui exige elle au</w:t>
      </w:r>
      <w:r w:rsidRPr="008A3950">
        <w:rPr>
          <w:rFonts w:cs="Times New Roman"/>
          <w:lang w:val="fr-CA"/>
        </w:rPr>
        <w:t xml:space="preserve">ssi un rattachement important entre l’objet du litige et l’État étranger. </w:t>
      </w:r>
    </w:p>
    <w:p w:rsidR="00AF6697" w:rsidRPr="00CA4523" w:rsidRDefault="00AF6697" w:rsidP="00AF6697">
      <w:pPr>
        <w:pStyle w:val="ParaNoNdepar-AltN"/>
        <w:tabs>
          <w:tab w:val="clear" w:pos="1166"/>
          <w:tab w:val="num" w:pos="1152"/>
        </w:tabs>
        <w:rPr>
          <w:rFonts w:cs="Times New Roman"/>
          <w:lang w:val="fr-CA"/>
        </w:rPr>
      </w:pPr>
      <w:r>
        <w:rPr>
          <w:rFonts w:cs="Times New Roman"/>
          <w:lang w:val="fr-CA"/>
        </w:rPr>
        <w:lastRenderedPageBreak/>
        <w:t>Quoi qu’il en soit</w:t>
      </w:r>
      <w:r w:rsidRPr="00CA4523">
        <w:rPr>
          <w:rFonts w:cs="Times New Roman"/>
          <w:lang w:val="fr-CA"/>
        </w:rPr>
        <w:t xml:space="preserve">, </w:t>
      </w:r>
      <w:r>
        <w:rPr>
          <w:rFonts w:cs="Times New Roman"/>
          <w:lang w:val="fr-CA"/>
        </w:rPr>
        <w:t>notre Cour s’est subséquemment penchée sur</w:t>
      </w:r>
      <w:r w:rsidRPr="00CA4523">
        <w:rPr>
          <w:rFonts w:cs="Times New Roman"/>
          <w:lang w:val="fr-CA"/>
        </w:rPr>
        <w:t xml:space="preserve"> l</w:t>
      </w:r>
      <w:r>
        <w:rPr>
          <w:rFonts w:cs="Times New Roman"/>
          <w:lang w:val="fr-CA"/>
        </w:rPr>
        <w:t>’</w:t>
      </w:r>
      <w:r w:rsidRPr="00CA4523">
        <w:rPr>
          <w:rFonts w:cs="Times New Roman"/>
          <w:lang w:val="fr-CA"/>
        </w:rPr>
        <w:t xml:space="preserve">interaction entre les </w:t>
      </w:r>
      <w:r>
        <w:rPr>
          <w:rFonts w:cs="Times New Roman"/>
          <w:lang w:val="fr-CA"/>
        </w:rPr>
        <w:t>art. </w:t>
      </w:r>
      <w:r w:rsidRPr="00CA4523">
        <w:rPr>
          <w:rFonts w:cs="Times New Roman"/>
          <w:lang w:val="fr-CA"/>
        </w:rPr>
        <w:t xml:space="preserve">3164 et 3168 </w:t>
      </w:r>
      <w:r w:rsidRPr="00CA4523">
        <w:rPr>
          <w:rFonts w:cs="Times New Roman"/>
          <w:i/>
          <w:lang w:val="fr-CA"/>
        </w:rPr>
        <w:t xml:space="preserve">C.c.Q. </w:t>
      </w:r>
      <w:r w:rsidR="00FA7147">
        <w:rPr>
          <w:rFonts w:cs="Times New Roman"/>
          <w:lang w:val="fr-CA"/>
        </w:rPr>
        <w:t>En effet, d</w:t>
      </w:r>
      <w:r>
        <w:rPr>
          <w:rFonts w:cs="Times New Roman"/>
          <w:lang w:val="fr-CA"/>
        </w:rPr>
        <w:t xml:space="preserve">ans l’arrêt </w:t>
      </w:r>
      <w:r w:rsidRPr="0033569D">
        <w:rPr>
          <w:rFonts w:cs="Times New Roman"/>
          <w:i/>
          <w:lang w:val="fr-CA"/>
        </w:rPr>
        <w:t>Lépine</w:t>
      </w:r>
      <w:r>
        <w:rPr>
          <w:rFonts w:cs="Times New Roman"/>
          <w:lang w:val="fr-CA"/>
        </w:rPr>
        <w:t xml:space="preserve"> rendu en 2009, l</w:t>
      </w:r>
      <w:r w:rsidRPr="00CA4523">
        <w:rPr>
          <w:rFonts w:cs="Times New Roman"/>
          <w:lang w:val="fr-CA"/>
        </w:rPr>
        <w:t>e juge LeBel a formulé les remarques suivantes</w:t>
      </w:r>
      <w:r>
        <w:rPr>
          <w:rFonts w:cs="Times New Roman"/>
          <w:lang w:val="fr-CA"/>
        </w:rPr>
        <w:t> :</w:t>
      </w:r>
    </w:p>
    <w:p w:rsidR="00AF6697" w:rsidRPr="00420486" w:rsidRDefault="00AF6697" w:rsidP="001B7B20">
      <w:pPr>
        <w:pStyle w:val="Citation-AltC"/>
        <w:tabs>
          <w:tab w:val="left" w:pos="1530"/>
        </w:tabs>
        <w:ind w:left="1168" w:hanging="1168"/>
        <w:contextualSpacing w:val="0"/>
        <w:rPr>
          <w:lang w:val="fr-CA"/>
        </w:rPr>
      </w:pPr>
      <w:r>
        <w:rPr>
          <w:lang w:val="fr-FR"/>
        </w:rPr>
        <w:tab/>
      </w:r>
      <w:r w:rsidR="001B7B20">
        <w:rPr>
          <w:lang w:val="fr-FR"/>
        </w:rPr>
        <w:tab/>
      </w:r>
      <w:r w:rsidRPr="00420486">
        <w:rPr>
          <w:lang w:val="fr-FR"/>
        </w:rPr>
        <w:t>L’</w:t>
      </w:r>
      <w:hyperlink r:id="rId11" w:anchor="art3164_smooth" w:history="1">
        <w:r w:rsidRPr="00420486">
          <w:rPr>
            <w:rStyle w:val="Hyperlink"/>
            <w:color w:val="auto"/>
            <w:u w:val="none"/>
            <w:lang w:val="fr-FR"/>
          </w:rPr>
          <w:t>article 3164</w:t>
        </w:r>
      </w:hyperlink>
      <w:r w:rsidRPr="00420486">
        <w:rPr>
          <w:lang w:val="fr-FR"/>
        </w:rPr>
        <w:t xml:space="preserve"> </w:t>
      </w:r>
      <w:hyperlink r:id="rId12" w:history="1">
        <w:r w:rsidRPr="00420486">
          <w:rPr>
            <w:rStyle w:val="Hyperlink"/>
            <w:i/>
            <w:iCs/>
            <w:color w:val="auto"/>
            <w:u w:val="none"/>
            <w:lang w:val="fr-FR"/>
          </w:rPr>
          <w:t>C.c.Q</w:t>
        </w:r>
      </w:hyperlink>
      <w:r w:rsidRPr="00420486">
        <w:rPr>
          <w:rStyle w:val="Hyperlink"/>
          <w:i/>
          <w:iCs/>
          <w:color w:val="auto"/>
          <w:u w:val="none"/>
          <w:lang w:val="fr-FR"/>
        </w:rPr>
        <w:t>.</w:t>
      </w:r>
      <w:r w:rsidRPr="00420486">
        <w:rPr>
          <w:lang w:val="fr-FR"/>
        </w:rPr>
        <w:t xml:space="preserve"> établit comme condition fondamentale de la reconnaissance d’un jugement au Québec l’existence d’un lien important entre le litige et le tribunal d’origine. Les </w:t>
      </w:r>
      <w:hyperlink r:id="rId13" w:anchor="art3165_smooth" w:history="1">
        <w:r w:rsidRPr="00420486">
          <w:rPr>
            <w:rStyle w:val="Hyperlink"/>
            <w:color w:val="auto"/>
            <w:u w:val="none"/>
            <w:lang w:val="fr-FR"/>
          </w:rPr>
          <w:t>articles 3165</w:t>
        </w:r>
      </w:hyperlink>
      <w:r w:rsidRPr="00420486">
        <w:rPr>
          <w:lang w:val="fr-FR"/>
        </w:rPr>
        <w:t xml:space="preserve"> à</w:t>
      </w:r>
      <w:hyperlink r:id="rId14" w:anchor="art3168_smooth" w:history="1">
        <w:r w:rsidRPr="00420486">
          <w:rPr>
            <w:rStyle w:val="Hyperlink"/>
            <w:color w:val="auto"/>
            <w:u w:val="none"/>
            <w:lang w:val="fr-FR"/>
          </w:rPr>
          <w:t xml:space="preserve"> 3168</w:t>
        </w:r>
      </w:hyperlink>
      <w:r w:rsidRPr="00420486">
        <w:rPr>
          <w:lang w:val="fr-FR"/>
        </w:rPr>
        <w:t xml:space="preserve"> énoncent ensuite de manière plus spécifique des facteurs de rattachement permettant de conclure à la présence d’un lien suffisant entre le litige et l’autorité étrangère dans certaines situations</w:t>
      </w:r>
      <w:r w:rsidRPr="00420486">
        <w:rPr>
          <w:i/>
          <w:iCs/>
          <w:lang w:val="fr-FR"/>
        </w:rPr>
        <w:t xml:space="preserve">. </w:t>
      </w:r>
      <w:r w:rsidRPr="008E7F81">
        <w:rPr>
          <w:u w:val="single"/>
          <w:lang w:val="fr-FR"/>
        </w:rPr>
        <w:t>En général</w:t>
      </w:r>
      <w:r w:rsidRPr="00420486">
        <w:rPr>
          <w:lang w:val="fr-FR"/>
        </w:rPr>
        <w:t>, le recours à des règles spécifiques, comme celles de l’</w:t>
      </w:r>
      <w:hyperlink r:id="rId15" w:anchor="art3168_smooth" w:history="1">
        <w:r w:rsidRPr="00420486">
          <w:rPr>
            <w:rStyle w:val="Hyperlink"/>
            <w:color w:val="auto"/>
            <w:u w:val="none"/>
            <w:lang w:val="fr-FR"/>
          </w:rPr>
          <w:t>art. 3168</w:t>
        </w:r>
      </w:hyperlink>
      <w:r w:rsidRPr="00420486">
        <w:rPr>
          <w:lang w:val="fr-FR"/>
        </w:rPr>
        <w:t xml:space="preserve"> applicable aux actions personnelles à caractère patrimonial, </w:t>
      </w:r>
      <w:r w:rsidRPr="008E7F81">
        <w:rPr>
          <w:u w:val="single"/>
          <w:lang w:val="fr-FR"/>
        </w:rPr>
        <w:t>permettra</w:t>
      </w:r>
      <w:r w:rsidRPr="00420486">
        <w:rPr>
          <w:lang w:val="fr-FR"/>
        </w:rPr>
        <w:t xml:space="preserve"> de statuer sur la compétence du tribunal étranger. Cependant, il se peut qu’une situation juridique complexe où plusieurs parties se trouvent dans des fors différents impose le recours au principe général de l’</w:t>
      </w:r>
      <w:r w:rsidRPr="00420486">
        <w:rPr>
          <w:rStyle w:val="Hyperlink"/>
          <w:color w:val="auto"/>
          <w:u w:val="none"/>
          <w:lang w:val="fr-FR"/>
        </w:rPr>
        <w:t>art. 3164</w:t>
      </w:r>
      <w:r w:rsidRPr="00420486">
        <w:rPr>
          <w:lang w:val="fr-FR"/>
        </w:rPr>
        <w:t xml:space="preserve"> pour déterminer la compétence et recourir par exemple au for de nécessité.</w:t>
      </w:r>
      <w:r w:rsidR="001B7B20">
        <w:rPr>
          <w:lang w:val="fr-FR"/>
        </w:rPr>
        <w:t xml:space="preserve"> . .</w:t>
      </w:r>
      <w:r w:rsidRPr="00420486">
        <w:rPr>
          <w:lang w:val="fr-CA"/>
        </w:rPr>
        <w:t xml:space="preserve"> [Je souligne; par. 36.] </w:t>
      </w:r>
    </w:p>
    <w:p w:rsidR="00AF6697" w:rsidRPr="008F2665" w:rsidRDefault="00AF6697" w:rsidP="00AF6697">
      <w:pPr>
        <w:pStyle w:val="ContinueParaSuitedupar-AltP"/>
        <w:rPr>
          <w:lang w:val="fr-CA"/>
        </w:rPr>
      </w:pPr>
      <w:r w:rsidRPr="008F2665">
        <w:rPr>
          <w:lang w:val="fr-CA"/>
        </w:rPr>
        <w:t xml:space="preserve">Ce passage de l’arrêt </w:t>
      </w:r>
      <w:r w:rsidRPr="008F2665">
        <w:rPr>
          <w:i/>
          <w:lang w:val="fr-CA"/>
        </w:rPr>
        <w:t>Lépine</w:t>
      </w:r>
      <w:r w:rsidRPr="008F2665">
        <w:rPr>
          <w:lang w:val="fr-CA"/>
        </w:rPr>
        <w:t xml:space="preserve"> peut être interprété de deux façons. D’une part, il peut vouloir dire que, dans certains cas, il est possible que les règles spécifiques décrites à l’art. 3168 </w:t>
      </w:r>
      <w:r w:rsidRPr="008F2665">
        <w:rPr>
          <w:i/>
          <w:lang w:val="fr-CA"/>
        </w:rPr>
        <w:t xml:space="preserve">C.c.Q. </w:t>
      </w:r>
      <w:r w:rsidRPr="008F2665">
        <w:rPr>
          <w:lang w:val="fr-CA"/>
        </w:rPr>
        <w:t>ne confirment pas le principe général du rattachement important énoncé à l’art. 3164 </w:t>
      </w:r>
      <w:r w:rsidRPr="008F2665">
        <w:rPr>
          <w:i/>
          <w:lang w:val="fr-CA"/>
        </w:rPr>
        <w:t>C.c.Q.</w:t>
      </w:r>
      <w:r w:rsidRPr="008F2665">
        <w:rPr>
          <w:lang w:val="fr-CA"/>
        </w:rPr>
        <w:t xml:space="preserve"> Par exemple, il pourrait y avoir des situations inhabituelles ou particulières dans lesquelles aucun rattachement important n’existe entre le litige et l’État qui a rendu la décision, et ce, même si l’un des critères de l’art. 3168 est établi. Il pourrait en être ainsi dans les cas manifestes de recherche du tribunal le plus favorable (voir Goldstein et Groffier, n</w:t>
      </w:r>
      <w:r w:rsidRPr="008F2665">
        <w:rPr>
          <w:vertAlign w:val="superscript"/>
          <w:lang w:val="fr-CA"/>
        </w:rPr>
        <w:t>o</w:t>
      </w:r>
      <w:r w:rsidRPr="008F2665">
        <w:rPr>
          <w:lang w:val="fr-CA"/>
        </w:rPr>
        <w:t xml:space="preserve"> 175; </w:t>
      </w:r>
      <w:r w:rsidRPr="008F2665">
        <w:rPr>
          <w:szCs w:val="24"/>
          <w:lang w:val="fr-CA"/>
        </w:rPr>
        <w:t>Goldstein, fasc. </w:t>
      </w:r>
      <w:r w:rsidRPr="009813A5">
        <w:rPr>
          <w:szCs w:val="24"/>
          <w:lang w:val="fr-CA"/>
        </w:rPr>
        <w:t xml:space="preserve">11, par. 53; </w:t>
      </w:r>
      <w:r w:rsidRPr="009813A5">
        <w:rPr>
          <w:i/>
          <w:lang w:val="fr-CA"/>
        </w:rPr>
        <w:t>Cortas Canning</w:t>
      </w:r>
      <w:r w:rsidRPr="009813A5">
        <w:rPr>
          <w:lang w:val="fr-CA"/>
        </w:rPr>
        <w:t>, p. 1237</w:t>
      </w:r>
      <w:r w:rsidRPr="009813A5">
        <w:rPr>
          <w:lang w:val="fr-CA"/>
        </w:rPr>
        <w:noBreakHyphen/>
        <w:t xml:space="preserve">1239). </w:t>
      </w:r>
      <w:r w:rsidRPr="008F2665">
        <w:rPr>
          <w:lang w:val="fr-CA"/>
        </w:rPr>
        <w:t>Dans un tel cas de figure, une analyse distincte fondée sur l’art. 3164 </w:t>
      </w:r>
      <w:r w:rsidRPr="008F2665">
        <w:rPr>
          <w:i/>
          <w:lang w:val="fr-CA"/>
        </w:rPr>
        <w:t>C.c.Q.</w:t>
      </w:r>
      <w:r w:rsidRPr="008F2665">
        <w:rPr>
          <w:lang w:val="fr-CA"/>
        </w:rPr>
        <w:t xml:space="preserve"> pourrait s’avérer nécessaire pour vérifier qu’il existe bel et bien un rattachement important entre le tribunal étranger et le litige. D’autre part, le passage pourrait être interprété comme admettant qu’il est possible de recourir à l’art. 3164 </w:t>
      </w:r>
      <w:r w:rsidRPr="008F2665">
        <w:rPr>
          <w:i/>
          <w:lang w:val="fr-CA"/>
        </w:rPr>
        <w:t>C.c.Q.</w:t>
      </w:r>
      <w:r w:rsidRPr="008F2665">
        <w:rPr>
          <w:lang w:val="fr-CA"/>
        </w:rPr>
        <w:t xml:space="preserve"> à titre de fondement indépendant pour la reconnaissance de la compétence des </w:t>
      </w:r>
      <w:r w:rsidRPr="008F2665">
        <w:rPr>
          <w:lang w:val="fr-CA"/>
        </w:rPr>
        <w:lastRenderedPageBreak/>
        <w:t xml:space="preserve">tribunaux étrangers, sans qu’il crée pour autant une exigence supplémentaire lorsqu’il a par ailleurs été satisfait à l’une des conditions énoncées à l’art. 3168 </w:t>
      </w:r>
      <w:r w:rsidRPr="008F2665">
        <w:rPr>
          <w:i/>
          <w:lang w:val="fr-CA"/>
        </w:rPr>
        <w:t>C.c.Q.</w:t>
      </w:r>
    </w:p>
    <w:p w:rsidR="00AF6697" w:rsidRPr="00CC1412" w:rsidRDefault="00AF6697" w:rsidP="00AF6697">
      <w:pPr>
        <w:pStyle w:val="ParaNoNdepar-AltN"/>
        <w:tabs>
          <w:tab w:val="clear" w:pos="1166"/>
          <w:tab w:val="num" w:pos="1152"/>
        </w:tabs>
        <w:rPr>
          <w:lang w:val="fr-CA"/>
        </w:rPr>
      </w:pPr>
      <w:r w:rsidRPr="00CA4523">
        <w:rPr>
          <w:lang w:val="fr-CA"/>
        </w:rPr>
        <w:t>Je reconna</w:t>
      </w:r>
      <w:r>
        <w:rPr>
          <w:lang w:val="fr-CA"/>
        </w:rPr>
        <w:t>is</w:t>
      </w:r>
      <w:r w:rsidRPr="00CA4523">
        <w:rPr>
          <w:lang w:val="fr-CA"/>
        </w:rPr>
        <w:t xml:space="preserve"> que, selon les professeurs Emanuelli, Talpis et Castel, </w:t>
      </w:r>
      <w:r>
        <w:rPr>
          <w:lang w:val="fr-CA"/>
        </w:rPr>
        <w:t xml:space="preserve">et selon </w:t>
      </w:r>
      <w:r w:rsidRPr="00CA4523">
        <w:rPr>
          <w:lang w:val="fr-CA"/>
        </w:rPr>
        <w:t>certains arrêts, l</w:t>
      </w:r>
      <w:r>
        <w:rPr>
          <w:lang w:val="fr-CA"/>
        </w:rPr>
        <w:t>’art. </w:t>
      </w:r>
      <w:r w:rsidRPr="00CA4523">
        <w:rPr>
          <w:lang w:val="fr-CA"/>
        </w:rPr>
        <w:t>3164 </w:t>
      </w:r>
      <w:r w:rsidRPr="00CA4523">
        <w:rPr>
          <w:i/>
          <w:lang w:val="fr-CA"/>
        </w:rPr>
        <w:t xml:space="preserve">C.c.Q. </w:t>
      </w:r>
      <w:r w:rsidRPr="00CA4523">
        <w:rPr>
          <w:lang w:val="fr-CA"/>
        </w:rPr>
        <w:t>exige qu</w:t>
      </w:r>
      <w:r>
        <w:rPr>
          <w:lang w:val="fr-CA"/>
        </w:rPr>
        <w:t>’</w:t>
      </w:r>
      <w:r w:rsidRPr="00CA4523">
        <w:rPr>
          <w:lang w:val="fr-CA"/>
        </w:rPr>
        <w:t xml:space="preserve">il existe un rattachement important entre le litige et le </w:t>
      </w:r>
      <w:r>
        <w:rPr>
          <w:lang w:val="fr-CA"/>
        </w:rPr>
        <w:t>for saisi</w:t>
      </w:r>
      <w:r w:rsidRPr="00CA4523">
        <w:rPr>
          <w:lang w:val="fr-CA"/>
        </w:rPr>
        <w:t>, même lorsqu</w:t>
      </w:r>
      <w:r>
        <w:rPr>
          <w:lang w:val="fr-CA"/>
        </w:rPr>
        <w:t>’</w:t>
      </w:r>
      <w:r w:rsidRPr="00CA4523">
        <w:rPr>
          <w:lang w:val="fr-CA"/>
        </w:rPr>
        <w:t>un des critères de la reconnaissance de la compétence du tribunal étranger énoncés à l</w:t>
      </w:r>
      <w:r>
        <w:rPr>
          <w:lang w:val="fr-CA"/>
        </w:rPr>
        <w:t>’art. </w:t>
      </w:r>
      <w:r w:rsidRPr="00CA4523">
        <w:rPr>
          <w:lang w:val="fr-CA"/>
        </w:rPr>
        <w:t>3168 </w:t>
      </w:r>
      <w:r w:rsidRPr="00CA4523">
        <w:rPr>
          <w:i/>
          <w:lang w:val="fr-CA"/>
        </w:rPr>
        <w:t>C.c.Q.</w:t>
      </w:r>
      <w:r w:rsidRPr="00CA4523">
        <w:rPr>
          <w:lang w:val="fr-CA"/>
        </w:rPr>
        <w:t xml:space="preserve"> est établi (Emanuelli</w:t>
      </w:r>
      <w:r>
        <w:rPr>
          <w:lang w:val="fr-CA"/>
        </w:rPr>
        <w:t> (</w:t>
      </w:r>
      <w:r w:rsidRPr="00CA4523">
        <w:rPr>
          <w:lang w:val="fr-CA"/>
        </w:rPr>
        <w:t>2011</w:t>
      </w:r>
      <w:r>
        <w:rPr>
          <w:lang w:val="fr-CA"/>
        </w:rPr>
        <w:t>)</w:t>
      </w:r>
      <w:r w:rsidRPr="00CA4523">
        <w:rPr>
          <w:lang w:val="fr-CA"/>
        </w:rPr>
        <w:t xml:space="preserve">, </w:t>
      </w:r>
      <w:r w:rsidR="00964475">
        <w:rPr>
          <w:lang w:val="fr-CA"/>
        </w:rPr>
        <w:t>n</w:t>
      </w:r>
      <w:r w:rsidR="00964475" w:rsidRPr="00964475">
        <w:rPr>
          <w:vertAlign w:val="superscript"/>
          <w:lang w:val="fr-CA"/>
        </w:rPr>
        <w:t>o</w:t>
      </w:r>
      <w:r>
        <w:rPr>
          <w:lang w:val="fr-CA"/>
        </w:rPr>
        <w:t> </w:t>
      </w:r>
      <w:r w:rsidRPr="00CA4523">
        <w:rPr>
          <w:lang w:val="fr-CA"/>
        </w:rPr>
        <w:t xml:space="preserve">290; Talpis et Castel, </w:t>
      </w:r>
      <w:r>
        <w:rPr>
          <w:lang w:val="fr-CA"/>
        </w:rPr>
        <w:t>n</w:t>
      </w:r>
      <w:r w:rsidRPr="00F62409">
        <w:rPr>
          <w:vertAlign w:val="superscript"/>
          <w:lang w:val="fr-CA"/>
        </w:rPr>
        <w:t>o</w:t>
      </w:r>
      <w:r w:rsidRPr="00CA4523">
        <w:rPr>
          <w:lang w:val="fr-CA"/>
        </w:rPr>
        <w:t xml:space="preserve"> 485; </w:t>
      </w:r>
      <w:r w:rsidRPr="00CA4523">
        <w:rPr>
          <w:i/>
          <w:lang w:val="fr-CA"/>
        </w:rPr>
        <w:t>Zimmermann</w:t>
      </w:r>
      <w:r w:rsidR="00FA7147" w:rsidRPr="00FA7147">
        <w:rPr>
          <w:lang w:val="fr-CA"/>
        </w:rPr>
        <w:t xml:space="preserve"> </w:t>
      </w:r>
      <w:r w:rsidR="00FA7147">
        <w:rPr>
          <w:lang w:val="fr-CA"/>
        </w:rPr>
        <w:t>(C.A. Qc)</w:t>
      </w:r>
      <w:r w:rsidR="00F611A0">
        <w:rPr>
          <w:lang w:val="fr-CA"/>
        </w:rPr>
        <w:t>,</w:t>
      </w:r>
      <w:r w:rsidRPr="00CA4523">
        <w:rPr>
          <w:lang w:val="fr-CA"/>
        </w:rPr>
        <w:t xml:space="preserve"> </w:t>
      </w:r>
      <w:r>
        <w:rPr>
          <w:lang w:val="fr-CA"/>
        </w:rPr>
        <w:t>par. </w:t>
      </w:r>
      <w:r w:rsidRPr="00CA4523">
        <w:rPr>
          <w:lang w:val="fr-CA"/>
        </w:rPr>
        <w:t xml:space="preserve">12; </w:t>
      </w:r>
      <w:r w:rsidRPr="00CA4523">
        <w:rPr>
          <w:i/>
          <w:lang w:val="fr-CA"/>
        </w:rPr>
        <w:t>Heerema</w:t>
      </w:r>
      <w:r w:rsidRPr="00CA4523">
        <w:rPr>
          <w:lang w:val="fr-CA"/>
        </w:rPr>
        <w:t xml:space="preserve">, </w:t>
      </w:r>
      <w:r>
        <w:rPr>
          <w:lang w:val="fr-CA"/>
        </w:rPr>
        <w:t>par. </w:t>
      </w:r>
      <w:r w:rsidRPr="00CA4523">
        <w:rPr>
          <w:lang w:val="fr-CA"/>
        </w:rPr>
        <w:t xml:space="preserve">23 et 26; </w:t>
      </w:r>
      <w:r w:rsidRPr="00CA4523">
        <w:rPr>
          <w:i/>
          <w:lang w:val="fr-CA"/>
        </w:rPr>
        <w:t>Hocking</w:t>
      </w:r>
      <w:r w:rsidRPr="00CA4523">
        <w:rPr>
          <w:lang w:val="fr-CA"/>
        </w:rPr>
        <w:t xml:space="preserve">, </w:t>
      </w:r>
      <w:r>
        <w:rPr>
          <w:lang w:val="fr-CA"/>
        </w:rPr>
        <w:t>par. </w:t>
      </w:r>
      <w:r w:rsidRPr="00CA4523">
        <w:rPr>
          <w:lang w:val="fr-CA"/>
        </w:rPr>
        <w:t>181</w:t>
      </w:r>
      <w:r>
        <w:rPr>
          <w:lang w:val="fr-CA"/>
        </w:rPr>
        <w:noBreakHyphen/>
      </w:r>
      <w:r w:rsidRPr="00CA4523">
        <w:rPr>
          <w:lang w:val="fr-CA"/>
        </w:rPr>
        <w:t xml:space="preserve">184; </w:t>
      </w:r>
      <w:r w:rsidRPr="00CA4523">
        <w:rPr>
          <w:i/>
          <w:lang w:val="fr-CA"/>
        </w:rPr>
        <w:t>Jules Jordan Video</w:t>
      </w:r>
      <w:r w:rsidRPr="00CA4523">
        <w:rPr>
          <w:lang w:val="fr-CA"/>
        </w:rPr>
        <w:t xml:space="preserve">, </w:t>
      </w:r>
      <w:r>
        <w:rPr>
          <w:lang w:val="fr-CA"/>
        </w:rPr>
        <w:t>par. </w:t>
      </w:r>
      <w:r w:rsidRPr="00CA4523">
        <w:rPr>
          <w:lang w:val="fr-CA"/>
        </w:rPr>
        <w:t>54</w:t>
      </w:r>
      <w:r>
        <w:rPr>
          <w:lang w:val="fr-CA"/>
        </w:rPr>
        <w:noBreakHyphen/>
      </w:r>
      <w:r w:rsidRPr="00CA4523">
        <w:rPr>
          <w:lang w:val="fr-CA"/>
        </w:rPr>
        <w:t xml:space="preserve">55; </w:t>
      </w:r>
      <w:r w:rsidRPr="00CA4523">
        <w:rPr>
          <w:i/>
          <w:lang w:val="fr-CA"/>
        </w:rPr>
        <w:t>Bil</w:t>
      </w:r>
      <w:r>
        <w:rPr>
          <w:i/>
          <w:lang w:val="fr-CA"/>
        </w:rPr>
        <w:t>’</w:t>
      </w:r>
      <w:r w:rsidRPr="00CA4523">
        <w:rPr>
          <w:i/>
          <w:lang w:val="fr-CA"/>
        </w:rPr>
        <w:t>In (Village Council) c. Green Park International Inc.</w:t>
      </w:r>
      <w:r w:rsidRPr="00CA4523">
        <w:rPr>
          <w:lang w:val="fr-CA"/>
        </w:rPr>
        <w:t xml:space="preserve">, 2009 QCCS 4151, </w:t>
      </w:r>
      <w:r w:rsidRPr="003921EE">
        <w:rPr>
          <w:lang w:val="fr-CA"/>
        </w:rPr>
        <w:t xml:space="preserve">[2009] R.J.Q. 2579, </w:t>
      </w:r>
      <w:r>
        <w:rPr>
          <w:lang w:val="fr-CA"/>
        </w:rPr>
        <w:t>par. </w:t>
      </w:r>
      <w:r w:rsidRPr="00CA4523">
        <w:rPr>
          <w:lang w:val="fr-CA"/>
        </w:rPr>
        <w:t>61 et 74</w:t>
      </w:r>
      <w:r>
        <w:rPr>
          <w:lang w:val="fr-CA"/>
        </w:rPr>
        <w:noBreakHyphen/>
      </w:r>
      <w:r w:rsidRPr="00CA4523">
        <w:rPr>
          <w:lang w:val="fr-CA"/>
        </w:rPr>
        <w:t xml:space="preserve">75; </w:t>
      </w:r>
      <w:r w:rsidRPr="00CA4523">
        <w:rPr>
          <w:i/>
          <w:lang w:val="fr-CA"/>
        </w:rPr>
        <w:t>Labs of Virginia Inc.</w:t>
      </w:r>
      <w:r w:rsidRPr="00CA4523">
        <w:rPr>
          <w:lang w:val="fr-CA"/>
        </w:rPr>
        <w:t xml:space="preserve">, </w:t>
      </w:r>
      <w:r>
        <w:rPr>
          <w:lang w:val="fr-CA"/>
        </w:rPr>
        <w:t>par. </w:t>
      </w:r>
      <w:r w:rsidRPr="00CA4523">
        <w:rPr>
          <w:lang w:val="fr-CA"/>
        </w:rPr>
        <w:t>30 et 40</w:t>
      </w:r>
      <w:r>
        <w:rPr>
          <w:lang w:val="fr-CA"/>
        </w:rPr>
        <w:t>).</w:t>
      </w:r>
      <w:r w:rsidRPr="00CA4523">
        <w:rPr>
          <w:lang w:val="fr-CA"/>
        </w:rPr>
        <w:t xml:space="preserve"> Cependant, </w:t>
      </w:r>
      <w:r>
        <w:rPr>
          <w:lang w:val="fr-CA"/>
        </w:rPr>
        <w:t>comme</w:t>
      </w:r>
      <w:r w:rsidRPr="00CA4523">
        <w:rPr>
          <w:lang w:val="fr-CA"/>
        </w:rPr>
        <w:t xml:space="preserve"> l</w:t>
      </w:r>
      <w:r>
        <w:rPr>
          <w:lang w:val="fr-CA"/>
        </w:rPr>
        <w:t>’</w:t>
      </w:r>
      <w:r w:rsidRPr="00CA4523">
        <w:rPr>
          <w:lang w:val="fr-CA"/>
        </w:rPr>
        <w:t>a expliqué le juge LeBel dans l</w:t>
      </w:r>
      <w:r>
        <w:rPr>
          <w:lang w:val="fr-CA"/>
        </w:rPr>
        <w:t>’</w:t>
      </w:r>
      <w:r w:rsidRPr="00CA4523">
        <w:rPr>
          <w:lang w:val="fr-CA"/>
        </w:rPr>
        <w:t xml:space="preserve">arrêt </w:t>
      </w:r>
      <w:r w:rsidRPr="00CA4523">
        <w:rPr>
          <w:i/>
          <w:lang w:val="fr-CA"/>
        </w:rPr>
        <w:t>Lépine</w:t>
      </w:r>
      <w:r w:rsidRPr="00CA4523">
        <w:rPr>
          <w:lang w:val="fr-CA"/>
        </w:rPr>
        <w:t xml:space="preserve">, il </w:t>
      </w:r>
      <w:r>
        <w:rPr>
          <w:lang w:val="fr-CA"/>
        </w:rPr>
        <w:t xml:space="preserve">n’en </w:t>
      </w:r>
      <w:r w:rsidRPr="00CA4523">
        <w:rPr>
          <w:lang w:val="fr-CA"/>
        </w:rPr>
        <w:t xml:space="preserve">demeure </w:t>
      </w:r>
      <w:r>
        <w:rPr>
          <w:lang w:val="fr-CA"/>
        </w:rPr>
        <w:t xml:space="preserve">pas moins </w:t>
      </w:r>
      <w:r w:rsidRPr="00CA4523">
        <w:rPr>
          <w:lang w:val="fr-CA"/>
        </w:rPr>
        <w:t xml:space="preserve">que, de manière générale, les </w:t>
      </w:r>
      <w:r>
        <w:rPr>
          <w:lang w:val="fr-CA"/>
        </w:rPr>
        <w:t>art. </w:t>
      </w:r>
      <w:r w:rsidRPr="00CA4523">
        <w:rPr>
          <w:lang w:val="fr-CA"/>
        </w:rPr>
        <w:t xml:space="preserve">3164 et 3168 </w:t>
      </w:r>
      <w:r w:rsidRPr="00CA4523">
        <w:rPr>
          <w:i/>
          <w:lang w:val="fr-CA"/>
        </w:rPr>
        <w:t>C.c.Q.</w:t>
      </w:r>
      <w:r w:rsidRPr="00CA4523">
        <w:rPr>
          <w:lang w:val="fr-CA"/>
        </w:rPr>
        <w:t xml:space="preserve"> se chevauchent et sont en parfaite harmonie l</w:t>
      </w:r>
      <w:r>
        <w:rPr>
          <w:lang w:val="fr-CA"/>
        </w:rPr>
        <w:t>’</w:t>
      </w:r>
      <w:r w:rsidRPr="00CA4523">
        <w:rPr>
          <w:lang w:val="fr-CA"/>
        </w:rPr>
        <w:t>un avec l</w:t>
      </w:r>
      <w:r>
        <w:rPr>
          <w:lang w:val="fr-CA"/>
        </w:rPr>
        <w:t>’</w:t>
      </w:r>
      <w:r w:rsidRPr="00CA4523">
        <w:rPr>
          <w:lang w:val="fr-CA"/>
        </w:rPr>
        <w:t>autre. Les deux dispositions énoncent des principes similaires, à des degrés de précision différents. Dès qu</w:t>
      </w:r>
      <w:r>
        <w:rPr>
          <w:lang w:val="fr-CA"/>
        </w:rPr>
        <w:t>’il est satisfait à l’</w:t>
      </w:r>
      <w:r w:rsidRPr="00CA4523">
        <w:rPr>
          <w:lang w:val="fr-CA"/>
        </w:rPr>
        <w:t>une des conditions prévues à l</w:t>
      </w:r>
      <w:r>
        <w:rPr>
          <w:lang w:val="fr-CA"/>
        </w:rPr>
        <w:t>’art. </w:t>
      </w:r>
      <w:r w:rsidRPr="00CA4523">
        <w:rPr>
          <w:lang w:val="fr-CA"/>
        </w:rPr>
        <w:t xml:space="preserve">3168 </w:t>
      </w:r>
      <w:r w:rsidRPr="00CA4523">
        <w:rPr>
          <w:i/>
          <w:lang w:val="fr-CA"/>
        </w:rPr>
        <w:t>C.c.Q.</w:t>
      </w:r>
      <w:r w:rsidRPr="00CA4523">
        <w:rPr>
          <w:lang w:val="fr-CA"/>
        </w:rPr>
        <w:t xml:space="preserve">, </w:t>
      </w:r>
      <w:r>
        <w:rPr>
          <w:lang w:val="fr-CA"/>
        </w:rPr>
        <w:t>il est, dans la plupart des cas, également satisfait au</w:t>
      </w:r>
      <w:r w:rsidRPr="00CA4523">
        <w:rPr>
          <w:lang w:val="fr-CA"/>
        </w:rPr>
        <w:t xml:space="preserve"> critère du rattachement important </w:t>
      </w:r>
      <w:r>
        <w:rPr>
          <w:lang w:val="fr-CA"/>
        </w:rPr>
        <w:t>énoncé</w:t>
      </w:r>
      <w:r w:rsidRPr="00CA4523">
        <w:rPr>
          <w:lang w:val="fr-CA"/>
        </w:rPr>
        <w:t xml:space="preserve"> à l</w:t>
      </w:r>
      <w:r>
        <w:rPr>
          <w:lang w:val="fr-CA"/>
        </w:rPr>
        <w:t>’art. </w:t>
      </w:r>
      <w:r w:rsidRPr="00CA4523">
        <w:rPr>
          <w:lang w:val="fr-CA"/>
        </w:rPr>
        <w:t xml:space="preserve">3164 </w:t>
      </w:r>
      <w:r w:rsidRPr="00CA4523">
        <w:rPr>
          <w:i/>
          <w:lang w:val="fr-CA"/>
        </w:rPr>
        <w:t>C.c.Q</w:t>
      </w:r>
      <w:r w:rsidRPr="00CA4523">
        <w:rPr>
          <w:lang w:val="fr-CA"/>
        </w:rPr>
        <w:t xml:space="preserve">. Je souligne à cet égard que le juge LeBel </w:t>
      </w:r>
      <w:r>
        <w:rPr>
          <w:lang w:val="fr-CA"/>
        </w:rPr>
        <w:t>a employé</w:t>
      </w:r>
      <w:r w:rsidRPr="00CA4523">
        <w:rPr>
          <w:lang w:val="fr-CA"/>
        </w:rPr>
        <w:t xml:space="preserve"> une formulation souple </w:t>
      </w:r>
      <w:r w:rsidRPr="00BD68C8">
        <w:rPr>
          <w:lang w:val="fr-CA"/>
        </w:rPr>
        <w:t>(</w:t>
      </w:r>
      <w:r>
        <w:rPr>
          <w:lang w:val="fr-CA"/>
        </w:rPr>
        <w:t>« </w:t>
      </w:r>
      <w:r w:rsidRPr="00BD68C8">
        <w:rPr>
          <w:lang w:val="fr-CA"/>
        </w:rPr>
        <w:t>[e]n général [</w:t>
      </w:r>
      <w:r>
        <w:rPr>
          <w:lang w:val="fr-CA"/>
        </w:rPr>
        <w:t>. . .</w:t>
      </w:r>
      <w:r w:rsidRPr="00BD68C8">
        <w:rPr>
          <w:lang w:val="fr-CA"/>
        </w:rPr>
        <w:t>] permettra</w:t>
      </w:r>
      <w:r>
        <w:rPr>
          <w:lang w:val="fr-CA"/>
        </w:rPr>
        <w:t> »</w:t>
      </w:r>
      <w:r w:rsidRPr="00BD68C8">
        <w:rPr>
          <w:lang w:val="fr-CA"/>
        </w:rPr>
        <w:t>),</w:t>
      </w:r>
      <w:r w:rsidRPr="00CA4523">
        <w:rPr>
          <w:lang w:val="fr-CA"/>
        </w:rPr>
        <w:t xml:space="preserve"> moins catégorique que certain</w:t>
      </w:r>
      <w:r>
        <w:rPr>
          <w:lang w:val="fr-CA"/>
        </w:rPr>
        <w:t>e</w:t>
      </w:r>
      <w:r w:rsidRPr="00CA4523">
        <w:rPr>
          <w:lang w:val="fr-CA"/>
        </w:rPr>
        <w:t xml:space="preserve">s </w:t>
      </w:r>
      <w:r>
        <w:rPr>
          <w:lang w:val="fr-CA"/>
        </w:rPr>
        <w:t>autres</w:t>
      </w:r>
      <w:r w:rsidRPr="00CA4523">
        <w:rPr>
          <w:lang w:val="fr-CA"/>
        </w:rPr>
        <w:t xml:space="preserve"> </w:t>
      </w:r>
      <w:r>
        <w:rPr>
          <w:lang w:val="fr-CA"/>
        </w:rPr>
        <w:t xml:space="preserve">utilisées dans des textes </w:t>
      </w:r>
      <w:r w:rsidRPr="00CA4523">
        <w:rPr>
          <w:lang w:val="fr-CA"/>
        </w:rPr>
        <w:t>publiés avant l</w:t>
      </w:r>
      <w:r>
        <w:rPr>
          <w:lang w:val="fr-CA"/>
        </w:rPr>
        <w:t>’</w:t>
      </w:r>
      <w:r w:rsidRPr="00CA4523">
        <w:rPr>
          <w:lang w:val="fr-CA"/>
        </w:rPr>
        <w:t xml:space="preserve">arrêt </w:t>
      </w:r>
      <w:r w:rsidRPr="00CA4523">
        <w:rPr>
          <w:i/>
          <w:lang w:val="fr-CA"/>
        </w:rPr>
        <w:t>Lépine</w:t>
      </w:r>
      <w:r w:rsidRPr="00CA4523">
        <w:rPr>
          <w:lang w:val="fr-CA"/>
        </w:rPr>
        <w:t xml:space="preserve"> (par exemple [</w:t>
      </w:r>
      <w:r w:rsidRPr="00CA4523">
        <w:rPr>
          <w:smallCaps/>
          <w:lang w:val="fr-CA"/>
        </w:rPr>
        <w:t>traduction</w:t>
      </w:r>
      <w:r w:rsidRPr="00CA4523">
        <w:rPr>
          <w:lang w:val="fr-CA"/>
        </w:rPr>
        <w:t xml:space="preserve">] </w:t>
      </w:r>
      <w:r w:rsidRPr="00CC1412">
        <w:rPr>
          <w:lang w:val="fr-CA"/>
        </w:rPr>
        <w:t>« toujours suffisant »</w:t>
      </w:r>
      <w:r>
        <w:rPr>
          <w:lang w:val="fr-CA"/>
        </w:rPr>
        <w:t>) (voir G. </w:t>
      </w:r>
      <w:r w:rsidRPr="00CA4523">
        <w:rPr>
          <w:lang w:val="fr-CA"/>
        </w:rPr>
        <w:t xml:space="preserve">Saumier, « The </w:t>
      </w:r>
      <w:r>
        <w:rPr>
          <w:lang w:val="fr-CA"/>
        </w:rPr>
        <w:t xml:space="preserve">Recognition of Foreign Judgments in Quebec </w:t>
      </w:r>
      <w:r>
        <w:rPr>
          <w:rFonts w:cs="Times New Roman"/>
          <w:lang w:val="fr-CA"/>
        </w:rPr>
        <w:t>—</w:t>
      </w:r>
      <w:r w:rsidR="00FA7147">
        <w:rPr>
          <w:lang w:val="fr-CA"/>
        </w:rPr>
        <w:t xml:space="preserve"> The M</w:t>
      </w:r>
      <w:r>
        <w:rPr>
          <w:lang w:val="fr-CA"/>
        </w:rPr>
        <w:t xml:space="preserve">irror Crack’d? » (2002), 81 </w:t>
      </w:r>
      <w:r w:rsidR="00FA7147">
        <w:rPr>
          <w:i/>
          <w:lang w:val="fr-CA"/>
        </w:rPr>
        <w:t>R. du B</w:t>
      </w:r>
      <w:r w:rsidR="007962E4">
        <w:rPr>
          <w:i/>
          <w:lang w:val="fr-CA"/>
        </w:rPr>
        <w:t>. c</w:t>
      </w:r>
      <w:r w:rsidRPr="00334352">
        <w:rPr>
          <w:i/>
          <w:lang w:val="fr-CA"/>
        </w:rPr>
        <w:t>an.</w:t>
      </w:r>
      <w:r w:rsidRPr="00334352">
        <w:rPr>
          <w:lang w:val="fr-CA"/>
        </w:rPr>
        <w:t xml:space="preserve"> 677</w:t>
      </w:r>
      <w:r>
        <w:rPr>
          <w:lang w:val="fr-CA"/>
        </w:rPr>
        <w:t>, p. 689</w:t>
      </w:r>
      <w:r w:rsidRPr="00CA4523">
        <w:rPr>
          <w:lang w:val="fr-CA"/>
        </w:rPr>
        <w:t xml:space="preserve">). </w:t>
      </w:r>
    </w:p>
    <w:p w:rsidR="00AF6697" w:rsidRPr="00624ACE" w:rsidRDefault="00AF6697" w:rsidP="00AF6697">
      <w:pPr>
        <w:pStyle w:val="ParaNoNdepar-AltN"/>
        <w:tabs>
          <w:tab w:val="clear" w:pos="1166"/>
          <w:tab w:val="num" w:pos="1152"/>
        </w:tabs>
        <w:rPr>
          <w:lang w:val="fr-CA"/>
        </w:rPr>
      </w:pPr>
      <w:r>
        <w:rPr>
          <w:lang w:val="fr-CA"/>
        </w:rPr>
        <w:t>Cela dit, i</w:t>
      </w:r>
      <w:r w:rsidRPr="00624ACE">
        <w:rPr>
          <w:lang w:val="fr-CA"/>
        </w:rPr>
        <w:t>l n</w:t>
      </w:r>
      <w:r>
        <w:rPr>
          <w:lang w:val="fr-CA"/>
        </w:rPr>
        <w:t>’</w:t>
      </w:r>
      <w:r w:rsidRPr="00624ACE">
        <w:rPr>
          <w:lang w:val="fr-CA"/>
        </w:rPr>
        <w:t xml:space="preserve">est pas nécessaire de résoudre cette question dans le présent </w:t>
      </w:r>
      <w:r>
        <w:rPr>
          <w:lang w:val="fr-CA"/>
        </w:rPr>
        <w:t>arrêt</w:t>
      </w:r>
      <w:r w:rsidRPr="00624ACE">
        <w:rPr>
          <w:lang w:val="fr-CA"/>
        </w:rPr>
        <w:t xml:space="preserve">. Quelle que soit </w:t>
      </w:r>
      <w:r>
        <w:rPr>
          <w:lang w:val="fr-CA"/>
        </w:rPr>
        <w:t>l’</w:t>
      </w:r>
      <w:r w:rsidRPr="00624ACE">
        <w:rPr>
          <w:lang w:val="fr-CA"/>
        </w:rPr>
        <w:t xml:space="preserve">interprétation </w:t>
      </w:r>
      <w:r>
        <w:rPr>
          <w:lang w:val="fr-CA"/>
        </w:rPr>
        <w:t>donnée au</w:t>
      </w:r>
      <w:r w:rsidRPr="00624ACE">
        <w:rPr>
          <w:lang w:val="fr-CA"/>
        </w:rPr>
        <w:t xml:space="preserve"> passage </w:t>
      </w:r>
      <w:r>
        <w:rPr>
          <w:lang w:val="fr-CA"/>
        </w:rPr>
        <w:t xml:space="preserve">précité </w:t>
      </w:r>
      <w:r w:rsidRPr="00624ACE">
        <w:rPr>
          <w:lang w:val="fr-CA"/>
        </w:rPr>
        <w:t>de l</w:t>
      </w:r>
      <w:r>
        <w:rPr>
          <w:lang w:val="fr-CA"/>
        </w:rPr>
        <w:t>’</w:t>
      </w:r>
      <w:r w:rsidRPr="00624ACE">
        <w:rPr>
          <w:lang w:val="fr-CA"/>
        </w:rPr>
        <w:t xml:space="preserve">arrêt </w:t>
      </w:r>
      <w:r w:rsidRPr="00624ACE">
        <w:rPr>
          <w:i/>
          <w:lang w:val="fr-CA"/>
        </w:rPr>
        <w:t>Lépine</w:t>
      </w:r>
      <w:r w:rsidRPr="00624ACE">
        <w:rPr>
          <w:lang w:val="fr-CA"/>
        </w:rPr>
        <w:t>, l</w:t>
      </w:r>
      <w:r>
        <w:rPr>
          <w:lang w:val="fr-CA"/>
        </w:rPr>
        <w:t>’</w:t>
      </w:r>
      <w:r w:rsidRPr="00624ACE">
        <w:rPr>
          <w:lang w:val="fr-CA"/>
        </w:rPr>
        <w:t xml:space="preserve">issue </w:t>
      </w:r>
      <w:r>
        <w:rPr>
          <w:lang w:val="fr-CA"/>
        </w:rPr>
        <w:t>reste</w:t>
      </w:r>
      <w:r w:rsidRPr="00624ACE">
        <w:rPr>
          <w:lang w:val="fr-CA"/>
        </w:rPr>
        <w:t xml:space="preserve"> la même en l</w:t>
      </w:r>
      <w:r>
        <w:rPr>
          <w:lang w:val="fr-CA"/>
        </w:rPr>
        <w:t>’</w:t>
      </w:r>
      <w:r w:rsidRPr="00624ACE">
        <w:rPr>
          <w:lang w:val="fr-CA"/>
        </w:rPr>
        <w:t xml:space="preserve">espèce. </w:t>
      </w:r>
      <w:r w:rsidRPr="00CA4523">
        <w:rPr>
          <w:lang w:val="fr-CA"/>
        </w:rPr>
        <w:t>Dans les circonstances, j</w:t>
      </w:r>
      <w:r>
        <w:rPr>
          <w:lang w:val="fr-CA"/>
        </w:rPr>
        <w:t>’</w:t>
      </w:r>
      <w:r w:rsidRPr="00CA4523">
        <w:rPr>
          <w:lang w:val="fr-CA"/>
        </w:rPr>
        <w:t>estime qu</w:t>
      </w:r>
      <w:r>
        <w:rPr>
          <w:lang w:val="fr-CA"/>
        </w:rPr>
        <w:t>’</w:t>
      </w:r>
      <w:r w:rsidRPr="00CA4523">
        <w:rPr>
          <w:lang w:val="fr-CA"/>
        </w:rPr>
        <w:t xml:space="preserve">il est plus </w:t>
      </w:r>
      <w:r w:rsidRPr="00CA4523">
        <w:rPr>
          <w:lang w:val="fr-CA"/>
        </w:rPr>
        <w:lastRenderedPageBreak/>
        <w:t xml:space="preserve">judicieux que </w:t>
      </w:r>
      <w:r>
        <w:rPr>
          <w:lang w:val="fr-CA"/>
        </w:rPr>
        <w:t>notre</w:t>
      </w:r>
      <w:r w:rsidRPr="00CA4523">
        <w:rPr>
          <w:lang w:val="fr-CA"/>
        </w:rPr>
        <w:t xml:space="preserve"> Cour reporte c</w:t>
      </w:r>
      <w:r>
        <w:rPr>
          <w:lang w:val="fr-CA"/>
        </w:rPr>
        <w:t>ette question précise à un autre jour, d’</w:t>
      </w:r>
      <w:r w:rsidRPr="00CA4523">
        <w:rPr>
          <w:lang w:val="fr-CA"/>
        </w:rPr>
        <w:t xml:space="preserve">autant plus </w:t>
      </w:r>
      <w:r>
        <w:rPr>
          <w:lang w:val="fr-CA"/>
        </w:rPr>
        <w:t>qu’</w:t>
      </w:r>
      <w:r w:rsidRPr="00CA4523">
        <w:rPr>
          <w:lang w:val="fr-CA"/>
        </w:rPr>
        <w:t xml:space="preserve">ici, </w:t>
      </w:r>
      <w:r>
        <w:rPr>
          <w:lang w:val="fr-CA"/>
        </w:rPr>
        <w:t>elle</w:t>
      </w:r>
      <w:r w:rsidRPr="00CA4523">
        <w:rPr>
          <w:lang w:val="fr-CA"/>
        </w:rPr>
        <w:t xml:space="preserve"> n</w:t>
      </w:r>
      <w:r>
        <w:rPr>
          <w:lang w:val="fr-CA"/>
        </w:rPr>
        <w:t>’</w:t>
      </w:r>
      <w:r w:rsidRPr="00CA4523">
        <w:rPr>
          <w:lang w:val="fr-CA"/>
        </w:rPr>
        <w:t>a fait l</w:t>
      </w:r>
      <w:r>
        <w:rPr>
          <w:lang w:val="fr-CA"/>
        </w:rPr>
        <w:t>’</w:t>
      </w:r>
      <w:r w:rsidRPr="00CA4523">
        <w:rPr>
          <w:lang w:val="fr-CA"/>
        </w:rPr>
        <w:t>objet d</w:t>
      </w:r>
      <w:r>
        <w:rPr>
          <w:lang w:val="fr-CA"/>
        </w:rPr>
        <w:t>’aucun</w:t>
      </w:r>
      <w:r w:rsidRPr="00CA4523">
        <w:rPr>
          <w:lang w:val="fr-CA"/>
        </w:rPr>
        <w:t xml:space="preserve"> examen et d</w:t>
      </w:r>
      <w:r>
        <w:rPr>
          <w:lang w:val="fr-CA"/>
        </w:rPr>
        <w:t>’auc</w:t>
      </w:r>
      <w:r w:rsidRPr="00CA4523">
        <w:rPr>
          <w:lang w:val="fr-CA"/>
        </w:rPr>
        <w:t xml:space="preserve">une discussion approfondis par les parties et les </w:t>
      </w:r>
      <w:r>
        <w:rPr>
          <w:lang w:val="fr-CA"/>
        </w:rPr>
        <w:t>cours</w:t>
      </w:r>
      <w:r w:rsidRPr="00CA4523">
        <w:rPr>
          <w:lang w:val="fr-CA"/>
        </w:rPr>
        <w:t xml:space="preserve"> </w:t>
      </w:r>
      <w:r>
        <w:rPr>
          <w:lang w:val="fr-CA"/>
        </w:rPr>
        <w:t xml:space="preserve">d’instances </w:t>
      </w:r>
      <w:r w:rsidRPr="00CA4523">
        <w:rPr>
          <w:lang w:val="fr-CA"/>
        </w:rPr>
        <w:t>inférieur</w:t>
      </w:r>
      <w:r>
        <w:rPr>
          <w:lang w:val="fr-CA"/>
        </w:rPr>
        <w:t>es</w:t>
      </w:r>
      <w:r w:rsidRPr="00CA4523">
        <w:rPr>
          <w:lang w:val="fr-CA"/>
        </w:rPr>
        <w:t>. Lorsque les juges majoritair</w:t>
      </w:r>
      <w:r>
        <w:rPr>
          <w:lang w:val="fr-CA"/>
        </w:rPr>
        <w:t>es de notre</w:t>
      </w:r>
      <w:r w:rsidRPr="00CA4523">
        <w:rPr>
          <w:lang w:val="fr-CA"/>
        </w:rPr>
        <w:t xml:space="preserve"> Cour décident de reporter une question à un autre jour, cela ne remet pas en </w:t>
      </w:r>
      <w:r>
        <w:rPr>
          <w:lang w:val="fr-CA"/>
        </w:rPr>
        <w:t xml:space="preserve">cause </w:t>
      </w:r>
      <w:r w:rsidRPr="00CA4523">
        <w:rPr>
          <w:lang w:val="fr-CA"/>
        </w:rPr>
        <w:t>la force ou l</w:t>
      </w:r>
      <w:r>
        <w:rPr>
          <w:lang w:val="fr-CA"/>
        </w:rPr>
        <w:t>’</w:t>
      </w:r>
      <w:r w:rsidRPr="00CA4523">
        <w:rPr>
          <w:lang w:val="fr-CA"/>
        </w:rPr>
        <w:t>autorité de la jurisprudence de</w:t>
      </w:r>
      <w:r>
        <w:rPr>
          <w:lang w:val="fr-CA"/>
        </w:rPr>
        <w:t xml:space="preserve">s </w:t>
      </w:r>
      <w:r w:rsidRPr="00CA4523">
        <w:rPr>
          <w:lang w:val="fr-CA"/>
        </w:rPr>
        <w:t>cour</w:t>
      </w:r>
      <w:r>
        <w:rPr>
          <w:lang w:val="fr-CA"/>
        </w:rPr>
        <w:t>s</w:t>
      </w:r>
      <w:r w:rsidRPr="00CA4523">
        <w:rPr>
          <w:lang w:val="fr-CA"/>
        </w:rPr>
        <w:t xml:space="preserve"> d</w:t>
      </w:r>
      <w:r>
        <w:rPr>
          <w:lang w:val="fr-CA"/>
        </w:rPr>
        <w:t>’</w:t>
      </w:r>
      <w:r w:rsidRPr="00CA4523">
        <w:rPr>
          <w:lang w:val="fr-CA"/>
        </w:rPr>
        <w:t xml:space="preserve">appel sur </w:t>
      </w:r>
      <w:r>
        <w:rPr>
          <w:lang w:val="fr-CA"/>
        </w:rPr>
        <w:t>la</w:t>
      </w:r>
      <w:r w:rsidRPr="00CA4523">
        <w:rPr>
          <w:lang w:val="fr-CA"/>
        </w:rPr>
        <w:t xml:space="preserve"> question. Le simple fait que les opinions concordantes ou dissidentes choisissent d</w:t>
      </w:r>
      <w:r>
        <w:rPr>
          <w:lang w:val="fr-CA"/>
        </w:rPr>
        <w:t>’</w:t>
      </w:r>
      <w:r w:rsidRPr="00CA4523">
        <w:rPr>
          <w:lang w:val="fr-CA"/>
        </w:rPr>
        <w:t>aborder ce point n</w:t>
      </w:r>
      <w:r>
        <w:rPr>
          <w:lang w:val="fr-CA"/>
        </w:rPr>
        <w:t>’</w:t>
      </w:r>
      <w:r w:rsidRPr="00CA4523">
        <w:rPr>
          <w:lang w:val="fr-CA"/>
        </w:rPr>
        <w:t xml:space="preserve">y change rien non plus. </w:t>
      </w:r>
      <w:r w:rsidRPr="00624ACE">
        <w:rPr>
          <w:lang w:val="fr-CA"/>
        </w:rPr>
        <w:t>En l</w:t>
      </w:r>
      <w:r>
        <w:rPr>
          <w:lang w:val="fr-CA"/>
        </w:rPr>
        <w:t>’</w:t>
      </w:r>
      <w:r w:rsidRPr="00624ACE">
        <w:rPr>
          <w:lang w:val="fr-CA"/>
        </w:rPr>
        <w:t>espèce, la position de M. Barer n</w:t>
      </w:r>
      <w:r>
        <w:rPr>
          <w:lang w:val="fr-CA"/>
        </w:rPr>
        <w:t>’</w:t>
      </w:r>
      <w:r w:rsidRPr="00624ACE">
        <w:rPr>
          <w:lang w:val="fr-CA"/>
        </w:rPr>
        <w:t>est clairement pas étayée par l</w:t>
      </w:r>
      <w:r>
        <w:rPr>
          <w:lang w:val="fr-CA"/>
        </w:rPr>
        <w:t>’</w:t>
      </w:r>
      <w:r w:rsidRPr="00624ACE">
        <w:rPr>
          <w:lang w:val="fr-CA"/>
        </w:rPr>
        <w:t>une ou l</w:t>
      </w:r>
      <w:r>
        <w:rPr>
          <w:lang w:val="fr-CA"/>
        </w:rPr>
        <w:t>’</w:t>
      </w:r>
      <w:r w:rsidRPr="00624ACE">
        <w:rPr>
          <w:lang w:val="fr-CA"/>
        </w:rPr>
        <w:t>autre des interprétations de</w:t>
      </w:r>
      <w:r>
        <w:rPr>
          <w:lang w:val="fr-CA"/>
        </w:rPr>
        <w:t xml:space="preserve"> l’arrêt</w:t>
      </w:r>
      <w:r w:rsidRPr="00624ACE">
        <w:rPr>
          <w:lang w:val="fr-CA"/>
        </w:rPr>
        <w:t xml:space="preserve"> </w:t>
      </w:r>
      <w:r w:rsidRPr="00624ACE">
        <w:rPr>
          <w:i/>
          <w:lang w:val="fr-CA"/>
        </w:rPr>
        <w:t>Lépine</w:t>
      </w:r>
      <w:r w:rsidRPr="00624ACE">
        <w:rPr>
          <w:lang w:val="fr-CA"/>
        </w:rPr>
        <w:t xml:space="preserve"> décrites précédemment. Sa reconnaissance de la compétence du tribunal de l</w:t>
      </w:r>
      <w:r>
        <w:rPr>
          <w:lang w:val="fr-CA"/>
        </w:rPr>
        <w:t>’</w:t>
      </w:r>
      <w:r w:rsidRPr="00624ACE">
        <w:rPr>
          <w:lang w:val="fr-CA"/>
        </w:rPr>
        <w:t xml:space="preserve">Utah comme le prévoit </w:t>
      </w:r>
      <w:r w:rsidR="00964475">
        <w:rPr>
          <w:lang w:val="fr-CA"/>
        </w:rPr>
        <w:t>le par.</w:t>
      </w:r>
      <w:r>
        <w:rPr>
          <w:lang w:val="fr-CA"/>
        </w:rPr>
        <w:t> </w:t>
      </w:r>
      <w:r w:rsidRPr="00624ACE">
        <w:rPr>
          <w:lang w:val="fr-CA"/>
        </w:rPr>
        <w:t>3168</w:t>
      </w:r>
      <w:r>
        <w:rPr>
          <w:lang w:val="fr-CA"/>
        </w:rPr>
        <w:t>(</w:t>
      </w:r>
      <w:r w:rsidRPr="00624ACE">
        <w:rPr>
          <w:lang w:val="fr-CA"/>
        </w:rPr>
        <w:t>6</w:t>
      </w:r>
      <w:r>
        <w:rPr>
          <w:lang w:val="fr-CA"/>
        </w:rPr>
        <w:t>)</w:t>
      </w:r>
      <w:r w:rsidRPr="00624ACE">
        <w:rPr>
          <w:lang w:val="fr-CA"/>
        </w:rPr>
        <w:t xml:space="preserve"> </w:t>
      </w:r>
      <w:r w:rsidRPr="00624ACE">
        <w:rPr>
          <w:i/>
          <w:lang w:val="fr-CA"/>
        </w:rPr>
        <w:t>C.c.Q.</w:t>
      </w:r>
      <w:r w:rsidRPr="00624ACE">
        <w:rPr>
          <w:lang w:val="fr-CA"/>
        </w:rPr>
        <w:t xml:space="preserve"> établit </w:t>
      </w:r>
      <w:r>
        <w:rPr>
          <w:lang w:val="fr-CA"/>
        </w:rPr>
        <w:t>clairement</w:t>
      </w:r>
      <w:r w:rsidRPr="00624ACE">
        <w:rPr>
          <w:lang w:val="fr-CA"/>
        </w:rPr>
        <w:t xml:space="preserve"> un rattachement important entre ce tribunal et le litige (</w:t>
      </w:r>
      <w:r w:rsidRPr="00CC1412">
        <w:rPr>
          <w:i/>
          <w:lang w:val="fr-CA"/>
        </w:rPr>
        <w:t>Jules Jordan Video</w:t>
      </w:r>
      <w:r w:rsidRPr="00624ACE">
        <w:rPr>
          <w:lang w:val="fr-CA"/>
        </w:rPr>
        <w:t xml:space="preserve">, </w:t>
      </w:r>
      <w:r>
        <w:rPr>
          <w:lang w:val="fr-CA"/>
        </w:rPr>
        <w:t>par. </w:t>
      </w:r>
      <w:r w:rsidRPr="00624ACE">
        <w:rPr>
          <w:lang w:val="fr-CA"/>
        </w:rPr>
        <w:t>55). Même l</w:t>
      </w:r>
      <w:r>
        <w:rPr>
          <w:lang w:val="fr-CA"/>
        </w:rPr>
        <w:t>’</w:t>
      </w:r>
      <w:r w:rsidRPr="00624ACE">
        <w:rPr>
          <w:lang w:val="fr-CA"/>
        </w:rPr>
        <w:t>interprétation de l</w:t>
      </w:r>
      <w:r>
        <w:rPr>
          <w:lang w:val="fr-CA"/>
        </w:rPr>
        <w:t>’</w:t>
      </w:r>
      <w:r w:rsidRPr="00624ACE">
        <w:rPr>
          <w:lang w:val="fr-CA"/>
        </w:rPr>
        <w:t xml:space="preserve">arrêt </w:t>
      </w:r>
      <w:r w:rsidRPr="00624ACE">
        <w:rPr>
          <w:i/>
          <w:lang w:val="fr-CA"/>
        </w:rPr>
        <w:t>Lépine</w:t>
      </w:r>
      <w:r w:rsidRPr="00624ACE">
        <w:rPr>
          <w:lang w:val="fr-CA"/>
        </w:rPr>
        <w:t xml:space="preserve"> qui exigerait une analyse distincte au titre de l</w:t>
      </w:r>
      <w:r>
        <w:rPr>
          <w:lang w:val="fr-CA"/>
        </w:rPr>
        <w:t>’art. </w:t>
      </w:r>
      <w:r w:rsidRPr="00624ACE">
        <w:rPr>
          <w:lang w:val="fr-CA"/>
        </w:rPr>
        <w:t xml:space="preserve">3164 </w:t>
      </w:r>
      <w:r w:rsidRPr="00624ACE">
        <w:rPr>
          <w:i/>
          <w:lang w:val="fr-CA"/>
        </w:rPr>
        <w:t xml:space="preserve">C.c.Q. </w:t>
      </w:r>
      <w:r>
        <w:rPr>
          <w:lang w:val="fr-CA"/>
        </w:rPr>
        <w:t xml:space="preserve">n’y </w:t>
      </w:r>
      <w:r w:rsidRPr="00624ACE">
        <w:rPr>
          <w:lang w:val="fr-CA"/>
        </w:rPr>
        <w:t>donnerait lieu que dans des circonstances inhabituelles et particulières puisque « [e]</w:t>
      </w:r>
      <w:r w:rsidRPr="00CA4523">
        <w:rPr>
          <w:lang w:val="fr-FR"/>
        </w:rPr>
        <w:t>n général, le recours à [. . .] l</w:t>
      </w:r>
      <w:r>
        <w:rPr>
          <w:lang w:val="fr-FR"/>
        </w:rPr>
        <w:t>’</w:t>
      </w:r>
      <w:hyperlink r:id="rId16" w:anchor="art3168_smooth" w:history="1">
        <w:r w:rsidRPr="005D0D87">
          <w:rPr>
            <w:rStyle w:val="Hyperlink"/>
            <w:color w:val="auto"/>
            <w:u w:val="none"/>
            <w:lang w:val="fr-FR"/>
          </w:rPr>
          <w:t>art. 3168</w:t>
        </w:r>
      </w:hyperlink>
      <w:r w:rsidRPr="00CA4523">
        <w:rPr>
          <w:lang w:val="fr-FR"/>
        </w:rPr>
        <w:t xml:space="preserve"> [. . .] permettra de statuer sur la compétence du tribunal étranger</w:t>
      </w:r>
      <w:r>
        <w:rPr>
          <w:lang w:val="fr-FR"/>
        </w:rPr>
        <w:t> »</w:t>
      </w:r>
      <w:r w:rsidRPr="00CA4523">
        <w:rPr>
          <w:lang w:val="fr-FR"/>
        </w:rPr>
        <w:t xml:space="preserve"> (</w:t>
      </w:r>
      <w:r w:rsidRPr="00CA4523">
        <w:rPr>
          <w:i/>
          <w:lang w:val="fr-FR"/>
        </w:rPr>
        <w:t>Lépine</w:t>
      </w:r>
      <w:r w:rsidRPr="00CA4523">
        <w:rPr>
          <w:lang w:val="fr-FR"/>
        </w:rPr>
        <w:t xml:space="preserve">, </w:t>
      </w:r>
      <w:r>
        <w:rPr>
          <w:lang w:val="fr-FR"/>
        </w:rPr>
        <w:t>par. </w:t>
      </w:r>
      <w:r w:rsidRPr="00CA4523">
        <w:rPr>
          <w:lang w:val="fr-FR"/>
        </w:rPr>
        <w:t>36).</w:t>
      </w:r>
      <w:r w:rsidRPr="00624ACE">
        <w:rPr>
          <w:lang w:val="fr-CA"/>
        </w:rPr>
        <w:t xml:space="preserve"> En l</w:t>
      </w:r>
      <w:r>
        <w:rPr>
          <w:lang w:val="fr-CA"/>
        </w:rPr>
        <w:t>’</w:t>
      </w:r>
      <w:r w:rsidRPr="00624ACE">
        <w:rPr>
          <w:lang w:val="fr-CA"/>
        </w:rPr>
        <w:t xml:space="preserve">espèce, le fait que M. Barer a participé à </w:t>
      </w:r>
      <w:r w:rsidRPr="00BD5C64">
        <w:rPr>
          <w:lang w:val="fr-CA"/>
        </w:rPr>
        <w:t>l</w:t>
      </w:r>
      <w:r>
        <w:rPr>
          <w:lang w:val="fr-CA"/>
        </w:rPr>
        <w:t>’</w:t>
      </w:r>
      <w:r w:rsidRPr="00BD5C64">
        <w:rPr>
          <w:lang w:val="fr-CA"/>
        </w:rPr>
        <w:t xml:space="preserve">instance </w:t>
      </w:r>
      <w:r w:rsidRPr="00484228">
        <w:rPr>
          <w:lang w:val="fr-CA"/>
        </w:rPr>
        <w:t>dans l</w:t>
      </w:r>
      <w:r>
        <w:rPr>
          <w:lang w:val="fr-CA"/>
        </w:rPr>
        <w:t>’</w:t>
      </w:r>
      <w:r w:rsidRPr="00484228">
        <w:rPr>
          <w:lang w:val="fr-CA"/>
        </w:rPr>
        <w:t>Utah</w:t>
      </w:r>
      <w:r w:rsidRPr="00BD5C64">
        <w:rPr>
          <w:lang w:val="fr-CA"/>
        </w:rPr>
        <w:t xml:space="preserve"> au point où il a reconnu la compétence du tribunal de cet État suffit amplement</w:t>
      </w:r>
      <w:r w:rsidRPr="00624ACE">
        <w:rPr>
          <w:lang w:val="fr-CA"/>
        </w:rPr>
        <w:t xml:space="preserve"> et ne soulève aucune question quant au rattachement important du litige avec ce</w:t>
      </w:r>
      <w:r>
        <w:rPr>
          <w:lang w:val="fr-CA"/>
        </w:rPr>
        <w:t>t État et avec ce</w:t>
      </w:r>
      <w:r w:rsidRPr="00624ACE">
        <w:rPr>
          <w:lang w:val="fr-CA"/>
        </w:rPr>
        <w:t xml:space="preserve"> tribun</w:t>
      </w:r>
      <w:r>
        <w:rPr>
          <w:lang w:val="fr-CA"/>
        </w:rPr>
        <w:t>al. </w:t>
      </w:r>
      <w:r w:rsidRPr="00624ACE">
        <w:rPr>
          <w:lang w:val="fr-CA"/>
        </w:rPr>
        <w:t>Bien au contraire, ainsi que l</w:t>
      </w:r>
      <w:r>
        <w:rPr>
          <w:lang w:val="fr-CA"/>
        </w:rPr>
        <w:t>’</w:t>
      </w:r>
      <w:r w:rsidRPr="00624ACE">
        <w:rPr>
          <w:lang w:val="fr-CA"/>
        </w:rPr>
        <w:t xml:space="preserve">a </w:t>
      </w:r>
      <w:r>
        <w:rPr>
          <w:lang w:val="fr-CA"/>
        </w:rPr>
        <w:t>soulign</w:t>
      </w:r>
      <w:r w:rsidRPr="00624ACE">
        <w:rPr>
          <w:lang w:val="fr-CA"/>
        </w:rPr>
        <w:t>é le juge de l</w:t>
      </w:r>
      <w:r>
        <w:rPr>
          <w:lang w:val="fr-CA"/>
        </w:rPr>
        <w:t>’</w:t>
      </w:r>
      <w:r w:rsidRPr="00624ACE">
        <w:rPr>
          <w:lang w:val="fr-CA"/>
        </w:rPr>
        <w:t>Utah dans les motifs qu</w:t>
      </w:r>
      <w:r>
        <w:rPr>
          <w:lang w:val="fr-CA"/>
        </w:rPr>
        <w:t>’</w:t>
      </w:r>
      <w:r w:rsidRPr="00624ACE">
        <w:rPr>
          <w:lang w:val="fr-CA"/>
        </w:rPr>
        <w:t>il a exposés pour rejeter la requête en irrecevabilité de M. Barer, il est dans l</w:t>
      </w:r>
      <w:r>
        <w:rPr>
          <w:lang w:val="fr-CA"/>
        </w:rPr>
        <w:t>’</w:t>
      </w:r>
      <w:r w:rsidRPr="00624ACE">
        <w:rPr>
          <w:lang w:val="fr-CA"/>
        </w:rPr>
        <w:t>intérêt de la justice que [</w:t>
      </w:r>
      <w:r w:rsidRPr="00624ACE">
        <w:rPr>
          <w:smallCaps/>
          <w:lang w:val="fr-CA"/>
        </w:rPr>
        <w:t>traduction</w:t>
      </w:r>
      <w:r w:rsidRPr="00624ACE">
        <w:rPr>
          <w:lang w:val="fr-CA"/>
        </w:rPr>
        <w:t>] « l</w:t>
      </w:r>
      <w:r>
        <w:rPr>
          <w:lang w:val="fr-CA"/>
        </w:rPr>
        <w:t>’</w:t>
      </w:r>
      <w:r w:rsidRPr="00624ACE">
        <w:rPr>
          <w:lang w:val="fr-CA"/>
        </w:rPr>
        <w:t xml:space="preserve">ensemble du litige, y compris les allégations </w:t>
      </w:r>
      <w:r w:rsidRPr="00CC1412">
        <w:rPr>
          <w:lang w:val="fr-CA"/>
        </w:rPr>
        <w:t>d</w:t>
      </w:r>
      <w:r>
        <w:rPr>
          <w:lang w:val="fr-CA"/>
        </w:rPr>
        <w:t>’</w:t>
      </w:r>
      <w:r w:rsidRPr="00CC1412">
        <w:rPr>
          <w:lang w:val="fr-CA"/>
        </w:rPr>
        <w:t>alter ego</w:t>
      </w:r>
      <w:r w:rsidRPr="00624ACE">
        <w:rPr>
          <w:lang w:val="fr-CA"/>
        </w:rPr>
        <w:t xml:space="preserve"> », soit tranché par un seul tribunal </w:t>
      </w:r>
      <w:r w:rsidRPr="00BD68C8">
        <w:rPr>
          <w:lang w:val="fr-CA"/>
        </w:rPr>
        <w:t xml:space="preserve">(d.a., </w:t>
      </w:r>
      <w:r>
        <w:rPr>
          <w:lang w:val="fr-CA"/>
        </w:rPr>
        <w:t>vol. </w:t>
      </w:r>
      <w:r w:rsidRPr="00BD68C8">
        <w:rPr>
          <w:lang w:val="fr-CA"/>
        </w:rPr>
        <w:t xml:space="preserve">II, </w:t>
      </w:r>
      <w:r>
        <w:rPr>
          <w:lang w:val="fr-CA"/>
        </w:rPr>
        <w:t>p. </w:t>
      </w:r>
      <w:r w:rsidRPr="00BD68C8">
        <w:rPr>
          <w:lang w:val="fr-CA"/>
        </w:rPr>
        <w:t>103).</w:t>
      </w:r>
      <w:r w:rsidRPr="00624ACE">
        <w:rPr>
          <w:lang w:val="fr-CA"/>
        </w:rPr>
        <w:t xml:space="preserve"> </w:t>
      </w:r>
    </w:p>
    <w:p w:rsidR="00AF6697" w:rsidRPr="00CA4523" w:rsidRDefault="00AF6697" w:rsidP="00AF6697">
      <w:pPr>
        <w:pStyle w:val="ParaNoNdepar-AltN"/>
        <w:tabs>
          <w:tab w:val="clear" w:pos="1166"/>
          <w:tab w:val="num" w:pos="1152"/>
        </w:tabs>
        <w:rPr>
          <w:rFonts w:cs="Times New Roman"/>
          <w:lang w:val="fr-CA"/>
        </w:rPr>
      </w:pPr>
      <w:r w:rsidRPr="00CA4523">
        <w:rPr>
          <w:rFonts w:cs="Times New Roman"/>
          <w:lang w:val="fr-CA"/>
        </w:rPr>
        <w:t>S</w:t>
      </w:r>
      <w:r>
        <w:rPr>
          <w:rFonts w:cs="Times New Roman"/>
          <w:lang w:val="fr-CA"/>
        </w:rPr>
        <w:t>’</w:t>
      </w:r>
      <w:r w:rsidRPr="00CA4523">
        <w:rPr>
          <w:rFonts w:cs="Times New Roman"/>
          <w:lang w:val="fr-CA"/>
        </w:rPr>
        <w:t xml:space="preserve">appuyant sur le principe </w:t>
      </w:r>
      <w:r>
        <w:rPr>
          <w:rFonts w:cs="Times New Roman"/>
          <w:lang w:val="fr-CA"/>
        </w:rPr>
        <w:t>équivalent énoncé</w:t>
      </w:r>
      <w:r w:rsidRPr="00CA4523">
        <w:rPr>
          <w:rFonts w:cs="Times New Roman"/>
          <w:lang w:val="fr-CA"/>
        </w:rPr>
        <w:t xml:space="preserve"> à l</w:t>
      </w:r>
      <w:r>
        <w:rPr>
          <w:rFonts w:cs="Times New Roman"/>
          <w:lang w:val="fr-CA"/>
        </w:rPr>
        <w:t>’art. </w:t>
      </w:r>
      <w:r w:rsidRPr="00CA4523">
        <w:rPr>
          <w:rFonts w:cs="Times New Roman"/>
          <w:lang w:val="fr-CA"/>
        </w:rPr>
        <w:t xml:space="preserve">3164 </w:t>
      </w:r>
      <w:r w:rsidRPr="00CA4523">
        <w:rPr>
          <w:rFonts w:cs="Times New Roman"/>
          <w:i/>
          <w:lang w:val="fr-CA"/>
        </w:rPr>
        <w:t>C.c.Q.</w:t>
      </w:r>
      <w:r w:rsidRPr="00CA4523">
        <w:rPr>
          <w:rFonts w:cs="Times New Roman"/>
          <w:lang w:val="fr-CA"/>
        </w:rPr>
        <w:t>, mon collègue le juge Brown exprime l</w:t>
      </w:r>
      <w:r>
        <w:rPr>
          <w:rFonts w:cs="Times New Roman"/>
          <w:lang w:val="fr-CA"/>
        </w:rPr>
        <w:t>’</w:t>
      </w:r>
      <w:r w:rsidRPr="00CA4523">
        <w:rPr>
          <w:rFonts w:cs="Times New Roman"/>
          <w:lang w:val="fr-CA"/>
        </w:rPr>
        <w:t>avis que la compétence du tribunal de l</w:t>
      </w:r>
      <w:r>
        <w:rPr>
          <w:rFonts w:cs="Times New Roman"/>
          <w:lang w:val="fr-CA"/>
        </w:rPr>
        <w:t>’</w:t>
      </w:r>
      <w:r w:rsidRPr="00CA4523">
        <w:rPr>
          <w:rFonts w:cs="Times New Roman"/>
          <w:lang w:val="fr-CA"/>
        </w:rPr>
        <w:t xml:space="preserve">Utah est </w:t>
      </w:r>
      <w:r w:rsidRPr="00CA4523">
        <w:rPr>
          <w:rFonts w:cs="Times New Roman"/>
          <w:lang w:val="fr-CA"/>
        </w:rPr>
        <w:lastRenderedPageBreak/>
        <w:t>ancrée en l</w:t>
      </w:r>
      <w:r>
        <w:rPr>
          <w:rFonts w:cs="Times New Roman"/>
          <w:lang w:val="fr-CA"/>
        </w:rPr>
        <w:t>’</w:t>
      </w:r>
      <w:r w:rsidRPr="00CA4523">
        <w:rPr>
          <w:rFonts w:cs="Times New Roman"/>
          <w:lang w:val="fr-CA"/>
        </w:rPr>
        <w:t xml:space="preserve">espèce dans </w:t>
      </w:r>
      <w:r>
        <w:rPr>
          <w:rFonts w:cs="Times New Roman"/>
          <w:lang w:val="fr-CA"/>
        </w:rPr>
        <w:t>l’</w:t>
      </w:r>
      <w:r w:rsidRPr="00CA4523">
        <w:rPr>
          <w:rFonts w:cs="Times New Roman"/>
          <w:lang w:val="fr-CA"/>
        </w:rPr>
        <w:t xml:space="preserve">une des dispositions générales du titre </w:t>
      </w:r>
      <w:r w:rsidRPr="009C2323">
        <w:rPr>
          <w:rFonts w:cs="Times New Roman"/>
          <w:lang w:val="fr-CA"/>
        </w:rPr>
        <w:t>tro</w:t>
      </w:r>
      <w:r w:rsidRPr="00CA4523">
        <w:rPr>
          <w:rFonts w:cs="Times New Roman"/>
          <w:lang w:val="fr-CA"/>
        </w:rPr>
        <w:t xml:space="preserve">isième du </w:t>
      </w:r>
      <w:r>
        <w:rPr>
          <w:rFonts w:cs="Times New Roman"/>
          <w:lang w:val="fr-CA"/>
        </w:rPr>
        <w:t>l</w:t>
      </w:r>
      <w:r w:rsidRPr="00CA4523">
        <w:rPr>
          <w:rFonts w:cs="Times New Roman"/>
          <w:lang w:val="fr-CA"/>
        </w:rPr>
        <w:t xml:space="preserve">ivre sur le droit international privé du </w:t>
      </w:r>
      <w:r w:rsidRPr="00CA4523">
        <w:rPr>
          <w:rFonts w:cs="Times New Roman"/>
          <w:i/>
          <w:lang w:val="fr-CA"/>
        </w:rPr>
        <w:t>C.c.Q.</w:t>
      </w:r>
      <w:r w:rsidRPr="00CA4523">
        <w:rPr>
          <w:rFonts w:cs="Times New Roman"/>
          <w:lang w:val="fr-CA"/>
        </w:rPr>
        <w:t>, à savoir l</w:t>
      </w:r>
      <w:r>
        <w:rPr>
          <w:rFonts w:cs="Times New Roman"/>
          <w:lang w:val="fr-CA"/>
        </w:rPr>
        <w:t>’art. </w:t>
      </w:r>
      <w:r w:rsidRPr="00CA4523">
        <w:rPr>
          <w:rFonts w:cs="Times New Roman"/>
          <w:lang w:val="fr-CA"/>
        </w:rPr>
        <w:t>3139</w:t>
      </w:r>
      <w:r>
        <w:rPr>
          <w:rFonts w:cs="Times New Roman"/>
          <w:lang w:val="fr-CA"/>
        </w:rPr>
        <w:t> :</w:t>
      </w:r>
    </w:p>
    <w:p w:rsidR="00AF6697" w:rsidRPr="00CA4523" w:rsidRDefault="00AF6697" w:rsidP="00AF6697">
      <w:pPr>
        <w:pStyle w:val="Citation-AltC"/>
        <w:ind w:hanging="1166"/>
        <w:rPr>
          <w:lang w:val="fr-CA"/>
        </w:rPr>
      </w:pPr>
      <w:r>
        <w:rPr>
          <w:b/>
          <w:lang w:val="fr-CA"/>
        </w:rPr>
        <w:tab/>
      </w:r>
      <w:r w:rsidRPr="00CC1412">
        <w:rPr>
          <w:b/>
          <w:lang w:val="fr-CA"/>
        </w:rPr>
        <w:t>3139.</w:t>
      </w:r>
      <w:r>
        <w:rPr>
          <w:b/>
          <w:lang w:val="fr-CA"/>
        </w:rPr>
        <w:t> </w:t>
      </w:r>
      <w:r w:rsidRPr="00940695">
        <w:rPr>
          <w:lang w:val="fr-CA"/>
        </w:rPr>
        <w:t>L’autorité québécoise, compétente pour la demande principale, est aussi compétente pour la demande incidente ou reconventionnelle.</w:t>
      </w:r>
    </w:p>
    <w:p w:rsidR="00AF6697" w:rsidRPr="00CA4523" w:rsidRDefault="00AF6697" w:rsidP="00AF6697">
      <w:pPr>
        <w:pStyle w:val="ParaNoNdepar-AltN"/>
        <w:numPr>
          <w:ilvl w:val="0"/>
          <w:numId w:val="0"/>
        </w:numPr>
        <w:rPr>
          <w:rFonts w:cs="Times New Roman"/>
          <w:lang w:val="fr-CA"/>
        </w:rPr>
      </w:pPr>
      <w:r w:rsidRPr="00CA4523">
        <w:rPr>
          <w:rFonts w:cs="Times New Roman"/>
          <w:lang w:val="fr-CA"/>
        </w:rPr>
        <w:t>Selon mon collègue, il faut s</w:t>
      </w:r>
      <w:r>
        <w:rPr>
          <w:rFonts w:cs="Times New Roman"/>
          <w:lang w:val="fr-CA"/>
        </w:rPr>
        <w:t>’</w:t>
      </w:r>
      <w:r w:rsidRPr="00CA4523">
        <w:rPr>
          <w:rFonts w:cs="Times New Roman"/>
          <w:lang w:val="fr-CA"/>
        </w:rPr>
        <w:t>appuyer sur l</w:t>
      </w:r>
      <w:r>
        <w:rPr>
          <w:rFonts w:cs="Times New Roman"/>
          <w:lang w:val="fr-CA"/>
        </w:rPr>
        <w:t>’art. </w:t>
      </w:r>
      <w:r w:rsidRPr="00CA4523">
        <w:rPr>
          <w:rFonts w:cs="Times New Roman"/>
          <w:lang w:val="fr-CA"/>
        </w:rPr>
        <w:t xml:space="preserve">3164 </w:t>
      </w:r>
      <w:r w:rsidRPr="00CA4523">
        <w:rPr>
          <w:rFonts w:cs="Times New Roman"/>
          <w:i/>
          <w:lang w:val="fr-CA"/>
        </w:rPr>
        <w:t>C.c.Q.</w:t>
      </w:r>
      <w:r>
        <w:rPr>
          <w:rFonts w:cs="Times New Roman"/>
          <w:lang w:val="fr-CA"/>
        </w:rPr>
        <w:t>, puis</w:t>
      </w:r>
      <w:r w:rsidRPr="00CA4523">
        <w:rPr>
          <w:rFonts w:cs="Times New Roman"/>
          <w:lang w:val="fr-CA"/>
        </w:rPr>
        <w:t xml:space="preserve">que ni </w:t>
      </w:r>
      <w:r w:rsidR="00964475">
        <w:rPr>
          <w:rFonts w:cs="Times New Roman"/>
          <w:lang w:val="fr-CA"/>
        </w:rPr>
        <w:t>le par.</w:t>
      </w:r>
      <w:r>
        <w:rPr>
          <w:rFonts w:cs="Times New Roman"/>
          <w:lang w:val="fr-CA"/>
        </w:rPr>
        <w:t> </w:t>
      </w:r>
      <w:r w:rsidRPr="00CA4523">
        <w:rPr>
          <w:rFonts w:cs="Times New Roman"/>
          <w:lang w:val="fr-CA"/>
        </w:rPr>
        <w:t>3168</w:t>
      </w:r>
      <w:r>
        <w:rPr>
          <w:rFonts w:cs="Times New Roman"/>
          <w:lang w:val="fr-CA"/>
        </w:rPr>
        <w:t>(</w:t>
      </w:r>
      <w:r w:rsidRPr="00CA4523">
        <w:rPr>
          <w:rFonts w:cs="Times New Roman"/>
          <w:lang w:val="fr-CA"/>
        </w:rPr>
        <w:t>6</w:t>
      </w:r>
      <w:r>
        <w:rPr>
          <w:rFonts w:cs="Times New Roman"/>
          <w:lang w:val="fr-CA"/>
        </w:rPr>
        <w:t>) </w:t>
      </w:r>
      <w:r w:rsidRPr="00CA4523">
        <w:rPr>
          <w:rFonts w:cs="Times New Roman"/>
          <w:i/>
          <w:lang w:val="fr-CA"/>
        </w:rPr>
        <w:t>C.c.Q.</w:t>
      </w:r>
      <w:r>
        <w:rPr>
          <w:rFonts w:cs="Times New Roman"/>
          <w:lang w:val="fr-CA"/>
        </w:rPr>
        <w:t xml:space="preserve"> —</w:t>
      </w:r>
      <w:r w:rsidRPr="00F22D51">
        <w:rPr>
          <w:rFonts w:cs="Times New Roman"/>
          <w:lang w:val="fr-CA"/>
        </w:rPr>
        <w:t xml:space="preserve"> </w:t>
      </w:r>
      <w:r>
        <w:rPr>
          <w:rFonts w:cs="Times New Roman"/>
          <w:lang w:val="fr-CA"/>
        </w:rPr>
        <w:t>ni</w:t>
      </w:r>
      <w:r w:rsidRPr="00CA4523">
        <w:rPr>
          <w:rFonts w:cs="Times New Roman"/>
          <w:lang w:val="fr-CA"/>
        </w:rPr>
        <w:t xml:space="preserve"> </w:t>
      </w:r>
      <w:r>
        <w:rPr>
          <w:rFonts w:cs="Times New Roman"/>
          <w:lang w:val="fr-CA"/>
        </w:rPr>
        <w:t>d’ailleurs</w:t>
      </w:r>
      <w:r w:rsidRPr="00CA4523">
        <w:rPr>
          <w:rFonts w:cs="Times New Roman"/>
          <w:lang w:val="fr-CA"/>
        </w:rPr>
        <w:t xml:space="preserve"> </w:t>
      </w:r>
      <w:r w:rsidR="00964475">
        <w:rPr>
          <w:rFonts w:cs="Times New Roman"/>
          <w:lang w:val="fr-CA"/>
        </w:rPr>
        <w:t>le par.</w:t>
      </w:r>
      <w:r>
        <w:rPr>
          <w:rFonts w:cs="Times New Roman"/>
          <w:lang w:val="fr-CA"/>
        </w:rPr>
        <w:t> </w:t>
      </w:r>
      <w:r w:rsidRPr="00CA4523">
        <w:rPr>
          <w:rFonts w:cs="Times New Roman"/>
          <w:lang w:val="fr-CA"/>
        </w:rPr>
        <w:t>3168</w:t>
      </w:r>
      <w:r>
        <w:rPr>
          <w:rFonts w:cs="Times New Roman"/>
          <w:lang w:val="fr-CA"/>
        </w:rPr>
        <w:t>(</w:t>
      </w:r>
      <w:r w:rsidRPr="00CA4523">
        <w:rPr>
          <w:rFonts w:cs="Times New Roman"/>
          <w:lang w:val="fr-CA"/>
        </w:rPr>
        <w:t>4</w:t>
      </w:r>
      <w:r>
        <w:rPr>
          <w:rFonts w:cs="Times New Roman"/>
          <w:lang w:val="fr-CA"/>
        </w:rPr>
        <w:t>)</w:t>
      </w:r>
      <w:r w:rsidRPr="00CA4523">
        <w:rPr>
          <w:rFonts w:cs="Times New Roman"/>
          <w:lang w:val="fr-CA"/>
        </w:rPr>
        <w:t xml:space="preserve"> </w:t>
      </w:r>
      <w:r w:rsidRPr="00CA4523">
        <w:rPr>
          <w:rFonts w:cs="Times New Roman"/>
          <w:i/>
          <w:lang w:val="fr-CA"/>
        </w:rPr>
        <w:t>C.c.Q.</w:t>
      </w:r>
      <w:r>
        <w:rPr>
          <w:rFonts w:cs="Times New Roman"/>
          <w:lang w:val="fr-CA"/>
        </w:rPr>
        <w:t xml:space="preserve"> —</w:t>
      </w:r>
      <w:r w:rsidRPr="00CA4523">
        <w:rPr>
          <w:rFonts w:cs="Times New Roman"/>
          <w:lang w:val="fr-CA"/>
        </w:rPr>
        <w:t xml:space="preserve"> </w:t>
      </w:r>
      <w:r w:rsidRPr="00DA2EF4">
        <w:rPr>
          <w:rFonts w:cs="Times New Roman"/>
          <w:lang w:val="fr-CA"/>
        </w:rPr>
        <w:t>ne suffit à son</w:t>
      </w:r>
      <w:r w:rsidRPr="00CA4523">
        <w:rPr>
          <w:rFonts w:cs="Times New Roman"/>
          <w:lang w:val="fr-CA"/>
        </w:rPr>
        <w:t xml:space="preserve"> avis </w:t>
      </w:r>
      <w:r>
        <w:rPr>
          <w:rFonts w:cs="Times New Roman"/>
          <w:lang w:val="fr-CA"/>
        </w:rPr>
        <w:t>pour</w:t>
      </w:r>
      <w:r w:rsidRPr="00CA4523">
        <w:rPr>
          <w:rFonts w:cs="Times New Roman"/>
          <w:lang w:val="fr-CA"/>
        </w:rPr>
        <w:t xml:space="preserve"> établir la compétence internationale indirecte du tribunal de l</w:t>
      </w:r>
      <w:r>
        <w:rPr>
          <w:rFonts w:cs="Times New Roman"/>
          <w:lang w:val="fr-CA"/>
        </w:rPr>
        <w:t>’</w:t>
      </w:r>
      <w:r w:rsidRPr="00CA4523">
        <w:rPr>
          <w:rFonts w:cs="Times New Roman"/>
          <w:lang w:val="fr-CA"/>
        </w:rPr>
        <w:t xml:space="preserve">Utah </w:t>
      </w:r>
      <w:r>
        <w:rPr>
          <w:rFonts w:cs="Times New Roman"/>
          <w:lang w:val="fr-CA"/>
        </w:rPr>
        <w:t xml:space="preserve">au sens où il faut l’entendre pour l’application du </w:t>
      </w:r>
      <w:r w:rsidRPr="000F0B83">
        <w:rPr>
          <w:rFonts w:cs="Times New Roman"/>
          <w:i/>
          <w:lang w:val="fr-CA"/>
        </w:rPr>
        <w:t>Code civil</w:t>
      </w:r>
      <w:r>
        <w:rPr>
          <w:rFonts w:cs="Times New Roman"/>
          <w:lang w:val="fr-CA"/>
        </w:rPr>
        <w:t>.</w:t>
      </w:r>
      <w:r w:rsidRPr="00CA4523">
        <w:rPr>
          <w:rFonts w:cs="Times New Roman"/>
          <w:lang w:val="fr-CA"/>
        </w:rPr>
        <w:t xml:space="preserve"> De fait, si </w:t>
      </w:r>
      <w:r>
        <w:rPr>
          <w:rFonts w:cs="Times New Roman"/>
          <w:lang w:val="fr-CA"/>
        </w:rPr>
        <w:t>l’</w:t>
      </w:r>
      <w:r w:rsidRPr="00CA4523">
        <w:rPr>
          <w:rFonts w:cs="Times New Roman"/>
          <w:lang w:val="fr-CA"/>
        </w:rPr>
        <w:t xml:space="preserve">une </w:t>
      </w:r>
      <w:r>
        <w:rPr>
          <w:rFonts w:cs="Times New Roman"/>
          <w:lang w:val="fr-CA"/>
        </w:rPr>
        <w:t xml:space="preserve">ou l’autre </w:t>
      </w:r>
      <w:r w:rsidRPr="00CA4523">
        <w:rPr>
          <w:rFonts w:cs="Times New Roman"/>
          <w:lang w:val="fr-CA"/>
        </w:rPr>
        <w:t>de ces dispositions s</w:t>
      </w:r>
      <w:r>
        <w:rPr>
          <w:rFonts w:cs="Times New Roman"/>
          <w:lang w:val="fr-CA"/>
        </w:rPr>
        <w:t>’</w:t>
      </w:r>
      <w:r w:rsidRPr="00CA4523">
        <w:rPr>
          <w:rFonts w:cs="Times New Roman"/>
          <w:lang w:val="fr-CA"/>
        </w:rPr>
        <w:t>appliquait, mon collègue estime qu</w:t>
      </w:r>
      <w:r>
        <w:rPr>
          <w:rFonts w:cs="Times New Roman"/>
          <w:lang w:val="fr-CA"/>
        </w:rPr>
        <w:t>’</w:t>
      </w:r>
      <w:r w:rsidRPr="00CA4523">
        <w:rPr>
          <w:rFonts w:cs="Times New Roman"/>
          <w:lang w:val="fr-CA"/>
        </w:rPr>
        <w:t>il serait inutile d</w:t>
      </w:r>
      <w:r>
        <w:rPr>
          <w:rFonts w:cs="Times New Roman"/>
          <w:lang w:val="fr-CA"/>
        </w:rPr>
        <w:t>e</w:t>
      </w:r>
      <w:r w:rsidRPr="00CA4523">
        <w:rPr>
          <w:rFonts w:cs="Times New Roman"/>
          <w:lang w:val="fr-CA"/>
        </w:rPr>
        <w:t xml:space="preserve"> recour</w:t>
      </w:r>
      <w:r>
        <w:rPr>
          <w:rFonts w:cs="Times New Roman"/>
          <w:lang w:val="fr-CA"/>
        </w:rPr>
        <w:t>ir</w:t>
      </w:r>
      <w:r w:rsidRPr="00CA4523">
        <w:rPr>
          <w:rFonts w:cs="Times New Roman"/>
          <w:lang w:val="fr-CA"/>
        </w:rPr>
        <w:t xml:space="preserve"> à l</w:t>
      </w:r>
      <w:r>
        <w:rPr>
          <w:rFonts w:cs="Times New Roman"/>
          <w:lang w:val="fr-CA"/>
        </w:rPr>
        <w:t>’art. </w:t>
      </w:r>
      <w:r w:rsidRPr="00CA4523">
        <w:rPr>
          <w:rFonts w:cs="Times New Roman"/>
          <w:lang w:val="fr-CA"/>
        </w:rPr>
        <w:t xml:space="preserve">3164 </w:t>
      </w:r>
      <w:r w:rsidRPr="00CA4523">
        <w:rPr>
          <w:rFonts w:cs="Times New Roman"/>
          <w:i/>
          <w:lang w:val="fr-CA"/>
        </w:rPr>
        <w:t>C.c.Q.</w:t>
      </w:r>
      <w:r w:rsidRPr="00CA4523">
        <w:rPr>
          <w:rFonts w:cs="Times New Roman"/>
          <w:lang w:val="fr-CA"/>
        </w:rPr>
        <w:t xml:space="preserve"> (voir les motifs du juge Brown, </w:t>
      </w:r>
      <w:r>
        <w:rPr>
          <w:rFonts w:cs="Times New Roman"/>
          <w:lang w:val="fr-CA"/>
        </w:rPr>
        <w:t>par. 122</w:t>
      </w:r>
      <w:r w:rsidRPr="00CA4523">
        <w:rPr>
          <w:rFonts w:cs="Times New Roman"/>
          <w:lang w:val="fr-CA"/>
        </w:rPr>
        <w:t>).</w:t>
      </w:r>
    </w:p>
    <w:p w:rsidR="00AF6697" w:rsidRPr="00BD68C8" w:rsidRDefault="00AF6697" w:rsidP="00AF6697">
      <w:pPr>
        <w:pStyle w:val="ParaNoNdepar-AltN"/>
        <w:tabs>
          <w:tab w:val="clear" w:pos="1166"/>
          <w:tab w:val="num" w:pos="1152"/>
        </w:tabs>
        <w:rPr>
          <w:rFonts w:cs="Times New Roman"/>
          <w:lang w:val="fr-CA"/>
        </w:rPr>
      </w:pPr>
      <w:r>
        <w:rPr>
          <w:rFonts w:cs="Times New Roman"/>
          <w:lang w:val="fr-CA"/>
        </w:rPr>
        <w:t>Compte tenu</w:t>
      </w:r>
      <w:r w:rsidRPr="00CA4523">
        <w:rPr>
          <w:rFonts w:cs="Times New Roman"/>
          <w:lang w:val="fr-CA"/>
        </w:rPr>
        <w:t xml:space="preserve"> de la conclusion à laquelle je suis arrivé et des explications que j</w:t>
      </w:r>
      <w:r>
        <w:rPr>
          <w:rFonts w:cs="Times New Roman"/>
          <w:lang w:val="fr-CA"/>
        </w:rPr>
        <w:t>’</w:t>
      </w:r>
      <w:r w:rsidRPr="00CA4523">
        <w:rPr>
          <w:rFonts w:cs="Times New Roman"/>
          <w:lang w:val="fr-CA"/>
        </w:rPr>
        <w:t xml:space="preserve">ai déjà fournies, il </w:t>
      </w:r>
      <w:r>
        <w:rPr>
          <w:rFonts w:cs="Times New Roman"/>
          <w:lang w:val="fr-CA"/>
        </w:rPr>
        <w:t>n’</w:t>
      </w:r>
      <w:r w:rsidRPr="00CA4523">
        <w:rPr>
          <w:rFonts w:cs="Times New Roman"/>
          <w:lang w:val="fr-CA"/>
        </w:rPr>
        <w:t xml:space="preserve">est pas nécessaire </w:t>
      </w:r>
      <w:r>
        <w:rPr>
          <w:rFonts w:cs="Times New Roman"/>
          <w:lang w:val="fr-CA"/>
        </w:rPr>
        <w:t>que j’</w:t>
      </w:r>
      <w:r w:rsidRPr="00CA4523">
        <w:rPr>
          <w:rFonts w:cs="Times New Roman"/>
          <w:lang w:val="fr-CA"/>
        </w:rPr>
        <w:t>examine la question de savoir si l</w:t>
      </w:r>
      <w:r>
        <w:rPr>
          <w:rFonts w:cs="Times New Roman"/>
          <w:lang w:val="fr-CA"/>
        </w:rPr>
        <w:t>’art. </w:t>
      </w:r>
      <w:r w:rsidRPr="00CA4523">
        <w:rPr>
          <w:rFonts w:cs="Times New Roman"/>
          <w:lang w:val="fr-CA"/>
        </w:rPr>
        <w:t xml:space="preserve">3164 </w:t>
      </w:r>
      <w:r w:rsidRPr="00CA4523">
        <w:rPr>
          <w:rFonts w:cs="Times New Roman"/>
          <w:i/>
          <w:lang w:val="fr-CA"/>
        </w:rPr>
        <w:t>C.c.Q.</w:t>
      </w:r>
      <w:r w:rsidRPr="00CA4523">
        <w:rPr>
          <w:rFonts w:cs="Times New Roman"/>
          <w:lang w:val="fr-CA"/>
        </w:rPr>
        <w:t xml:space="preserve"> </w:t>
      </w:r>
      <w:r>
        <w:rPr>
          <w:rFonts w:cs="Times New Roman"/>
          <w:lang w:val="fr-CA"/>
        </w:rPr>
        <w:t>aurait pu</w:t>
      </w:r>
      <w:r w:rsidRPr="00CA4523">
        <w:rPr>
          <w:rFonts w:cs="Times New Roman"/>
          <w:lang w:val="fr-CA"/>
        </w:rPr>
        <w:t>, en l</w:t>
      </w:r>
      <w:r>
        <w:rPr>
          <w:rFonts w:cs="Times New Roman"/>
          <w:lang w:val="fr-CA"/>
        </w:rPr>
        <w:t>’</w:t>
      </w:r>
      <w:r w:rsidRPr="00CA4523">
        <w:rPr>
          <w:rFonts w:cs="Times New Roman"/>
          <w:lang w:val="fr-CA"/>
        </w:rPr>
        <w:t>espèce, établir un fondement indépendant de la compétence d</w:t>
      </w:r>
      <w:r>
        <w:rPr>
          <w:rFonts w:cs="Times New Roman"/>
          <w:lang w:val="fr-CA"/>
        </w:rPr>
        <w:t>’</w:t>
      </w:r>
      <w:r w:rsidRPr="00CA4523">
        <w:rPr>
          <w:rFonts w:cs="Times New Roman"/>
          <w:lang w:val="fr-CA"/>
        </w:rPr>
        <w:t>un tribunal étranger</w:t>
      </w:r>
      <w:r>
        <w:rPr>
          <w:rFonts w:cs="Times New Roman"/>
          <w:lang w:val="fr-CA"/>
        </w:rPr>
        <w:t xml:space="preserve"> </w:t>
      </w:r>
      <w:r w:rsidRPr="00484228">
        <w:rPr>
          <w:rFonts w:cs="Times New Roman"/>
          <w:lang w:val="fr-CA"/>
        </w:rPr>
        <w:t>s</w:t>
      </w:r>
      <w:r>
        <w:rPr>
          <w:rFonts w:cs="Times New Roman"/>
          <w:lang w:val="fr-CA"/>
        </w:rPr>
        <w:t>’</w:t>
      </w:r>
      <w:r w:rsidRPr="00484228">
        <w:rPr>
          <w:rFonts w:cs="Times New Roman"/>
          <w:lang w:val="fr-CA"/>
        </w:rPr>
        <w:t>il n</w:t>
      </w:r>
      <w:r>
        <w:rPr>
          <w:rFonts w:cs="Times New Roman"/>
          <w:lang w:val="fr-CA"/>
        </w:rPr>
        <w:t>’</w:t>
      </w:r>
      <w:r w:rsidRPr="00484228">
        <w:rPr>
          <w:rFonts w:cs="Times New Roman"/>
          <w:lang w:val="fr-CA"/>
        </w:rPr>
        <w:t>avait été satisfait à aucune des conditions énumérées à l</w:t>
      </w:r>
      <w:r>
        <w:rPr>
          <w:rFonts w:cs="Times New Roman"/>
          <w:lang w:val="fr-CA"/>
        </w:rPr>
        <w:t>’art. </w:t>
      </w:r>
      <w:r w:rsidRPr="00484228">
        <w:rPr>
          <w:rFonts w:cs="Times New Roman"/>
          <w:lang w:val="fr-CA"/>
        </w:rPr>
        <w:t xml:space="preserve">3168 </w:t>
      </w:r>
      <w:r w:rsidRPr="00484228">
        <w:rPr>
          <w:rFonts w:cs="Times New Roman"/>
          <w:i/>
          <w:lang w:val="fr-CA"/>
        </w:rPr>
        <w:t>C.c.Q.</w:t>
      </w:r>
      <w:r w:rsidRPr="00484228">
        <w:rPr>
          <w:rFonts w:cs="Times New Roman"/>
          <w:lang w:val="fr-CA"/>
        </w:rPr>
        <w:t xml:space="preserve"> Néan</w:t>
      </w:r>
      <w:r>
        <w:rPr>
          <w:rFonts w:cs="Times New Roman"/>
          <w:lang w:val="fr-CA"/>
        </w:rPr>
        <w:t>moins</w:t>
      </w:r>
      <w:r w:rsidRPr="00CA4523">
        <w:rPr>
          <w:rFonts w:cs="Times New Roman"/>
          <w:lang w:val="fr-CA"/>
        </w:rPr>
        <w:t>, je souligne que Knight n</w:t>
      </w:r>
      <w:r>
        <w:rPr>
          <w:rFonts w:cs="Times New Roman"/>
          <w:lang w:val="fr-CA"/>
        </w:rPr>
        <w:t>’</w:t>
      </w:r>
      <w:r w:rsidRPr="00CA4523">
        <w:rPr>
          <w:rFonts w:cs="Times New Roman"/>
          <w:lang w:val="fr-CA"/>
        </w:rPr>
        <w:t xml:space="preserve">a invoqué </w:t>
      </w:r>
      <w:r>
        <w:rPr>
          <w:rFonts w:cs="Times New Roman"/>
          <w:lang w:val="fr-CA"/>
        </w:rPr>
        <w:t xml:space="preserve">ni </w:t>
      </w:r>
      <w:r w:rsidRPr="00CA4523">
        <w:rPr>
          <w:rFonts w:cs="Times New Roman"/>
          <w:lang w:val="fr-CA"/>
        </w:rPr>
        <w:t>l</w:t>
      </w:r>
      <w:r>
        <w:rPr>
          <w:rFonts w:cs="Times New Roman"/>
          <w:lang w:val="fr-CA"/>
        </w:rPr>
        <w:t>’art. </w:t>
      </w:r>
      <w:r w:rsidRPr="00CA4523">
        <w:rPr>
          <w:rFonts w:cs="Times New Roman"/>
          <w:lang w:val="fr-CA"/>
        </w:rPr>
        <w:t xml:space="preserve">3164 </w:t>
      </w:r>
      <w:r>
        <w:rPr>
          <w:rFonts w:cs="Times New Roman"/>
          <w:lang w:val="fr-CA"/>
        </w:rPr>
        <w:t>ni</w:t>
      </w:r>
      <w:r w:rsidRPr="00CA4523">
        <w:rPr>
          <w:rFonts w:cs="Times New Roman"/>
          <w:lang w:val="fr-CA"/>
        </w:rPr>
        <w:t xml:space="preserve"> l</w:t>
      </w:r>
      <w:r>
        <w:rPr>
          <w:rFonts w:cs="Times New Roman"/>
          <w:lang w:val="fr-CA"/>
        </w:rPr>
        <w:t>’art. </w:t>
      </w:r>
      <w:r w:rsidRPr="00CA4523">
        <w:rPr>
          <w:rFonts w:cs="Times New Roman"/>
          <w:lang w:val="fr-CA"/>
        </w:rPr>
        <w:t>3139 du</w:t>
      </w:r>
      <w:r w:rsidRPr="00CA4523">
        <w:rPr>
          <w:rFonts w:eastAsiaTheme="minorHAnsi" w:cs="Times New Roman"/>
          <w:i/>
          <w:lang w:val="fr-CA" w:bidi="en-US"/>
        </w:rPr>
        <w:t xml:space="preserve"> </w:t>
      </w:r>
      <w:r w:rsidRPr="00CA4523">
        <w:rPr>
          <w:rFonts w:cs="Times New Roman"/>
          <w:i/>
          <w:lang w:val="fr-CA"/>
        </w:rPr>
        <w:t>C.c.Q.</w:t>
      </w:r>
      <w:r w:rsidRPr="00CA4523">
        <w:rPr>
          <w:rFonts w:cs="Times New Roman"/>
          <w:lang w:val="fr-CA"/>
        </w:rPr>
        <w:t xml:space="preserve"> pour établir la compétence dans sa demande de reconnaissance et pour s</w:t>
      </w:r>
      <w:r>
        <w:rPr>
          <w:rFonts w:cs="Times New Roman"/>
          <w:lang w:val="fr-CA"/>
        </w:rPr>
        <w:t>’</w:t>
      </w:r>
      <w:r w:rsidRPr="00CA4523">
        <w:rPr>
          <w:rFonts w:cs="Times New Roman"/>
          <w:lang w:val="fr-CA"/>
        </w:rPr>
        <w:t>acquitter de son fardeau à cet égard</w:t>
      </w:r>
      <w:r>
        <w:rPr>
          <w:rFonts w:cs="Times New Roman"/>
          <w:lang w:val="fr-CA"/>
        </w:rPr>
        <w:t xml:space="preserve">. Elle </w:t>
      </w:r>
      <w:r w:rsidRPr="00CA4523">
        <w:rPr>
          <w:rFonts w:cs="Times New Roman"/>
          <w:lang w:val="fr-CA"/>
        </w:rPr>
        <w:t>ne s</w:t>
      </w:r>
      <w:r>
        <w:rPr>
          <w:rFonts w:cs="Times New Roman"/>
          <w:lang w:val="fr-CA"/>
        </w:rPr>
        <w:t>’</w:t>
      </w:r>
      <w:r w:rsidRPr="00CA4523">
        <w:rPr>
          <w:rFonts w:cs="Times New Roman"/>
          <w:lang w:val="fr-CA"/>
        </w:rPr>
        <w:t xml:space="preserve">est pas fondée sur ces dispositions. Les </w:t>
      </w:r>
      <w:r>
        <w:rPr>
          <w:rFonts w:cs="Times New Roman"/>
          <w:lang w:val="fr-CA"/>
        </w:rPr>
        <w:t>cours d’instances</w:t>
      </w:r>
      <w:r w:rsidRPr="00CA4523">
        <w:rPr>
          <w:rFonts w:cs="Times New Roman"/>
          <w:lang w:val="fr-CA"/>
        </w:rPr>
        <w:t xml:space="preserve"> inférieures ne l</w:t>
      </w:r>
      <w:r>
        <w:rPr>
          <w:rFonts w:cs="Times New Roman"/>
          <w:lang w:val="fr-CA"/>
        </w:rPr>
        <w:t>’</w:t>
      </w:r>
      <w:r w:rsidRPr="00CA4523">
        <w:rPr>
          <w:rFonts w:cs="Times New Roman"/>
          <w:lang w:val="fr-CA"/>
        </w:rPr>
        <w:t xml:space="preserve">ont pas fait non plus. À mon avis, cela est logique. Sans commenter sur </w:t>
      </w:r>
      <w:r>
        <w:rPr>
          <w:rFonts w:cs="Times New Roman"/>
          <w:lang w:val="fr-CA"/>
        </w:rPr>
        <w:t xml:space="preserve">l’ensemble de </w:t>
      </w:r>
      <w:r w:rsidRPr="00CA4523">
        <w:rPr>
          <w:rFonts w:cs="Times New Roman"/>
          <w:lang w:val="fr-CA"/>
        </w:rPr>
        <w:t>la portée de l</w:t>
      </w:r>
      <w:r>
        <w:rPr>
          <w:rFonts w:cs="Times New Roman"/>
          <w:lang w:val="fr-CA"/>
        </w:rPr>
        <w:t>’art. </w:t>
      </w:r>
      <w:r w:rsidRPr="00CA4523">
        <w:rPr>
          <w:rFonts w:cs="Times New Roman"/>
          <w:lang w:val="fr-CA"/>
        </w:rPr>
        <w:t>3139</w:t>
      </w:r>
      <w:r>
        <w:rPr>
          <w:rFonts w:cs="Times New Roman"/>
          <w:lang w:val="fr-CA"/>
        </w:rPr>
        <w:t> </w:t>
      </w:r>
      <w:r w:rsidRPr="00CA4523">
        <w:rPr>
          <w:rFonts w:cs="Times New Roman"/>
          <w:i/>
          <w:lang w:val="fr-CA"/>
        </w:rPr>
        <w:t>C.c.Q.</w:t>
      </w:r>
      <w:r>
        <w:rPr>
          <w:rFonts w:cs="Times New Roman"/>
          <w:i/>
          <w:lang w:val="fr-CA"/>
        </w:rPr>
        <w:t xml:space="preserve"> </w:t>
      </w:r>
      <w:r w:rsidRPr="00CA4523">
        <w:rPr>
          <w:rFonts w:cs="Times New Roman"/>
          <w:lang w:val="fr-CA"/>
        </w:rPr>
        <w:t xml:space="preserve">faute de plaidoirie sur ce point par quiconque, </w:t>
      </w:r>
      <w:r>
        <w:rPr>
          <w:rFonts w:cs="Times New Roman"/>
          <w:lang w:val="fr-CA"/>
        </w:rPr>
        <w:t>je signale qu’</w:t>
      </w:r>
      <w:r w:rsidRPr="00CA4523">
        <w:rPr>
          <w:rFonts w:cs="Times New Roman"/>
          <w:lang w:val="fr-CA"/>
        </w:rPr>
        <w:t>il est fort douteux que cette disposition puisse même s</w:t>
      </w:r>
      <w:r>
        <w:rPr>
          <w:rFonts w:cs="Times New Roman"/>
          <w:lang w:val="fr-CA"/>
        </w:rPr>
        <w:t>’</w:t>
      </w:r>
      <w:r w:rsidRPr="00CA4523">
        <w:rPr>
          <w:rFonts w:cs="Times New Roman"/>
          <w:lang w:val="fr-CA"/>
        </w:rPr>
        <w:t xml:space="preserve">appliquer dans le présent contexte. </w:t>
      </w:r>
      <w:r w:rsidRPr="00484228">
        <w:rPr>
          <w:rFonts w:cs="Times New Roman"/>
          <w:lang w:val="fr-CA"/>
        </w:rPr>
        <w:t>Knight a présenté une « demande principale » contre trois défendeurs conjointement,</w:t>
      </w:r>
      <w:r w:rsidRPr="00CA4523">
        <w:rPr>
          <w:rFonts w:cs="Times New Roman"/>
          <w:lang w:val="fr-CA"/>
        </w:rPr>
        <w:t xml:space="preserve"> BEC, </w:t>
      </w:r>
      <w:r w:rsidRPr="000F0B83">
        <w:rPr>
          <w:rFonts w:cs="Times New Roman"/>
          <w:lang w:val="fr-CA"/>
        </w:rPr>
        <w:t>CBC</w:t>
      </w:r>
      <w:r w:rsidRPr="00CA4523">
        <w:rPr>
          <w:rFonts w:cs="Times New Roman"/>
          <w:lang w:val="fr-CA"/>
        </w:rPr>
        <w:t xml:space="preserve"> et M.</w:t>
      </w:r>
      <w:r>
        <w:rPr>
          <w:rFonts w:cs="Times New Roman"/>
          <w:lang w:val="fr-CA"/>
        </w:rPr>
        <w:t> </w:t>
      </w:r>
      <w:r w:rsidRPr="00CA4523">
        <w:rPr>
          <w:rFonts w:cs="Times New Roman"/>
          <w:lang w:val="fr-CA"/>
        </w:rPr>
        <w:t>Barer. Il n</w:t>
      </w:r>
      <w:r>
        <w:rPr>
          <w:rFonts w:cs="Times New Roman"/>
          <w:lang w:val="fr-CA"/>
        </w:rPr>
        <w:t>’</w:t>
      </w:r>
      <w:r w:rsidRPr="00CA4523">
        <w:rPr>
          <w:rFonts w:cs="Times New Roman"/>
          <w:lang w:val="fr-CA"/>
        </w:rPr>
        <w:t xml:space="preserve">y a </w:t>
      </w:r>
      <w:r>
        <w:rPr>
          <w:rFonts w:cs="Times New Roman"/>
          <w:lang w:val="fr-CA"/>
        </w:rPr>
        <w:t xml:space="preserve">toutefois </w:t>
      </w:r>
      <w:r w:rsidRPr="00CA4523">
        <w:rPr>
          <w:rFonts w:cs="Times New Roman"/>
          <w:lang w:val="fr-CA"/>
        </w:rPr>
        <w:t>aucune « demande reconventionnelle » en l</w:t>
      </w:r>
      <w:r>
        <w:rPr>
          <w:rFonts w:cs="Times New Roman"/>
          <w:lang w:val="fr-CA"/>
        </w:rPr>
        <w:t>’</w:t>
      </w:r>
      <w:r w:rsidRPr="00CA4523">
        <w:rPr>
          <w:rFonts w:cs="Times New Roman"/>
          <w:lang w:val="fr-CA"/>
        </w:rPr>
        <w:t>espèce</w:t>
      </w:r>
      <w:r>
        <w:rPr>
          <w:rFonts w:cs="Times New Roman"/>
          <w:lang w:val="fr-CA"/>
        </w:rPr>
        <w:t>, et</w:t>
      </w:r>
      <w:r w:rsidRPr="00CA4523">
        <w:rPr>
          <w:rFonts w:cs="Times New Roman"/>
          <w:lang w:val="fr-CA"/>
        </w:rPr>
        <w:t xml:space="preserve"> la procédure </w:t>
      </w:r>
      <w:r w:rsidRPr="00CA4523">
        <w:rPr>
          <w:rFonts w:cs="Times New Roman"/>
          <w:lang w:val="fr-CA"/>
        </w:rPr>
        <w:lastRenderedPageBreak/>
        <w:t>intentée par Knight contre M.</w:t>
      </w:r>
      <w:r>
        <w:rPr>
          <w:rFonts w:cs="Times New Roman"/>
          <w:lang w:val="fr-CA"/>
        </w:rPr>
        <w:t> </w:t>
      </w:r>
      <w:r w:rsidRPr="00CA4523">
        <w:rPr>
          <w:rFonts w:cs="Times New Roman"/>
          <w:lang w:val="fr-CA"/>
        </w:rPr>
        <w:t>Barer n</w:t>
      </w:r>
      <w:r>
        <w:rPr>
          <w:rFonts w:cs="Times New Roman"/>
          <w:lang w:val="fr-CA"/>
        </w:rPr>
        <w:t>’</w:t>
      </w:r>
      <w:r w:rsidRPr="00CA4523">
        <w:rPr>
          <w:rFonts w:cs="Times New Roman"/>
          <w:lang w:val="fr-CA"/>
        </w:rPr>
        <w:t>est pas une « demande incidente » au regard du droit civil ou du droit de la procédure du Québec. En droit québécois, une « demande incidente » s</w:t>
      </w:r>
      <w:r>
        <w:rPr>
          <w:rFonts w:cs="Times New Roman"/>
          <w:lang w:val="fr-CA"/>
        </w:rPr>
        <w:t>’</w:t>
      </w:r>
      <w:r w:rsidRPr="00CA4523">
        <w:rPr>
          <w:rFonts w:cs="Times New Roman"/>
          <w:lang w:val="fr-CA"/>
        </w:rPr>
        <w:t>entend de l</w:t>
      </w:r>
      <w:r>
        <w:rPr>
          <w:rFonts w:cs="Times New Roman"/>
          <w:lang w:val="fr-CA"/>
        </w:rPr>
        <w:t>’</w:t>
      </w:r>
      <w:r w:rsidRPr="00CA4523">
        <w:rPr>
          <w:rFonts w:cs="Times New Roman"/>
          <w:lang w:val="fr-CA"/>
        </w:rPr>
        <w:t xml:space="preserve">intervention forcée ou volontaire </w:t>
      </w:r>
      <w:r>
        <w:rPr>
          <w:rFonts w:cs="Times New Roman"/>
          <w:lang w:val="fr-CA"/>
        </w:rPr>
        <w:t>d’un tiers</w:t>
      </w:r>
      <w:r w:rsidRPr="00CA4523">
        <w:rPr>
          <w:rFonts w:cs="Times New Roman"/>
          <w:lang w:val="fr-CA"/>
        </w:rPr>
        <w:t xml:space="preserve"> lorsque </w:t>
      </w:r>
      <w:r>
        <w:rPr>
          <w:rFonts w:cs="Times New Roman"/>
          <w:lang w:val="fr-CA"/>
        </w:rPr>
        <w:t>s</w:t>
      </w:r>
      <w:r w:rsidRPr="00CA4523">
        <w:rPr>
          <w:rFonts w:cs="Times New Roman"/>
          <w:lang w:val="fr-CA"/>
        </w:rPr>
        <w:t>a présence est nécessaire à la résolution du litige principal (</w:t>
      </w:r>
      <w:r w:rsidR="00964475">
        <w:rPr>
          <w:rFonts w:cs="Times New Roman"/>
          <w:lang w:val="fr-CA"/>
        </w:rPr>
        <w:t xml:space="preserve">art. 184 à </w:t>
      </w:r>
      <w:r w:rsidR="00FA7147">
        <w:rPr>
          <w:rFonts w:cs="Times New Roman"/>
          <w:lang w:val="fr-CA"/>
        </w:rPr>
        <w:t xml:space="preserve">190 nouveau </w:t>
      </w:r>
      <w:r w:rsidRPr="00CA4523">
        <w:rPr>
          <w:rFonts w:cs="Times New Roman"/>
          <w:i/>
          <w:lang w:val="fr-CA"/>
        </w:rPr>
        <w:t>C.p.c.</w:t>
      </w:r>
      <w:r w:rsidRPr="00CA4523">
        <w:rPr>
          <w:rFonts w:cs="Times New Roman"/>
          <w:lang w:val="fr-CA"/>
        </w:rPr>
        <w:t xml:space="preserve">; </w:t>
      </w:r>
      <w:r w:rsidRPr="00CA4523">
        <w:rPr>
          <w:rFonts w:cs="Times New Roman"/>
          <w:i/>
          <w:lang w:val="fr-CA"/>
        </w:rPr>
        <w:t>Transcore Linklogistics c. Mike</w:t>
      </w:r>
      <w:r>
        <w:rPr>
          <w:rFonts w:cs="Times New Roman"/>
          <w:i/>
          <w:lang w:val="fr-CA"/>
        </w:rPr>
        <w:t>’</w:t>
      </w:r>
      <w:r w:rsidRPr="00CA4523">
        <w:rPr>
          <w:rFonts w:cs="Times New Roman"/>
          <w:i/>
          <w:lang w:val="fr-CA"/>
        </w:rPr>
        <w:t>s Transport and Auto Haul Inc.</w:t>
      </w:r>
      <w:r w:rsidRPr="00CA4523">
        <w:rPr>
          <w:rFonts w:cs="Times New Roman"/>
          <w:lang w:val="fr-CA"/>
        </w:rPr>
        <w:t xml:space="preserve">, 2014 QCCA 776, </w:t>
      </w:r>
      <w:r>
        <w:rPr>
          <w:rFonts w:cs="Times New Roman"/>
          <w:lang w:val="fr-CA"/>
        </w:rPr>
        <w:t>par. </w:t>
      </w:r>
      <w:r w:rsidRPr="00CA4523">
        <w:rPr>
          <w:rFonts w:cs="Times New Roman"/>
          <w:lang w:val="fr-CA"/>
        </w:rPr>
        <w:t>29</w:t>
      </w:r>
      <w:r w:rsidR="00FE0D99">
        <w:rPr>
          <w:rFonts w:cs="Times New Roman"/>
          <w:lang w:val="fr-CA"/>
        </w:rPr>
        <w:t xml:space="preserve"> (CanLII)</w:t>
      </w:r>
      <w:r>
        <w:rPr>
          <w:rFonts w:cs="Times New Roman"/>
          <w:lang w:val="fr-CA"/>
        </w:rPr>
        <w:t xml:space="preserve"> (qui r</w:t>
      </w:r>
      <w:r w:rsidR="00FA7147">
        <w:rPr>
          <w:rFonts w:cs="Times New Roman"/>
          <w:lang w:val="fr-CA"/>
        </w:rPr>
        <w:t xml:space="preserve">envoie aux art. 216 et 217 ancien </w:t>
      </w:r>
      <w:r w:rsidRPr="004D5632">
        <w:rPr>
          <w:rFonts w:cs="Times New Roman"/>
          <w:i/>
          <w:lang w:val="fr-CA"/>
        </w:rPr>
        <w:t>C.p.c.</w:t>
      </w:r>
      <w:r>
        <w:rPr>
          <w:rFonts w:cs="Times New Roman"/>
          <w:lang w:val="fr-CA"/>
        </w:rPr>
        <w:t>)</w:t>
      </w:r>
      <w:r w:rsidRPr="00CA4523">
        <w:rPr>
          <w:rFonts w:cs="Times New Roman"/>
          <w:lang w:val="fr-CA"/>
        </w:rPr>
        <w:t>; H.</w:t>
      </w:r>
      <w:r>
        <w:rPr>
          <w:rFonts w:cs="Times New Roman"/>
          <w:lang w:val="fr-CA"/>
        </w:rPr>
        <w:t> </w:t>
      </w:r>
      <w:r w:rsidRPr="00CA4523">
        <w:rPr>
          <w:rFonts w:cs="Times New Roman"/>
          <w:lang w:val="fr-CA"/>
        </w:rPr>
        <w:t xml:space="preserve">Kélada, </w:t>
      </w:r>
      <w:r w:rsidRPr="00F62409">
        <w:rPr>
          <w:rFonts w:cs="Times New Roman"/>
          <w:i/>
          <w:lang w:val="fr-CA"/>
        </w:rPr>
        <w:t>Les incidents</w:t>
      </w:r>
      <w:r w:rsidRPr="00CA4523">
        <w:rPr>
          <w:rFonts w:cs="Times New Roman"/>
          <w:lang w:val="fr-CA"/>
        </w:rPr>
        <w:t xml:space="preserve"> (2</w:t>
      </w:r>
      <w:r w:rsidRPr="00CA4523">
        <w:rPr>
          <w:rFonts w:cs="Times New Roman"/>
          <w:vertAlign w:val="superscript"/>
          <w:lang w:val="fr-CA"/>
        </w:rPr>
        <w:t>e</w:t>
      </w:r>
      <w:r w:rsidRPr="00CA4523">
        <w:rPr>
          <w:rFonts w:cs="Times New Roman"/>
          <w:lang w:val="fr-CA"/>
        </w:rPr>
        <w:t xml:space="preserve"> éd</w:t>
      </w:r>
      <w:r>
        <w:rPr>
          <w:rFonts w:cs="Times New Roman"/>
          <w:lang w:val="fr-CA"/>
        </w:rPr>
        <w:t>. 2003</w:t>
      </w:r>
      <w:r w:rsidRPr="00CA4523">
        <w:rPr>
          <w:rFonts w:cs="Times New Roman"/>
          <w:lang w:val="fr-CA"/>
        </w:rPr>
        <w:t xml:space="preserve">)). </w:t>
      </w:r>
      <w:r>
        <w:rPr>
          <w:rFonts w:cs="Times New Roman"/>
          <w:lang w:val="fr-CA"/>
        </w:rPr>
        <w:t>Deux</w:t>
      </w:r>
      <w:r w:rsidRPr="00CA4523">
        <w:rPr>
          <w:rFonts w:cs="Times New Roman"/>
          <w:lang w:val="fr-CA"/>
        </w:rPr>
        <w:t xml:space="preserve"> exemple</w:t>
      </w:r>
      <w:r>
        <w:rPr>
          <w:rFonts w:cs="Times New Roman"/>
          <w:lang w:val="fr-CA"/>
        </w:rPr>
        <w:t>s</w:t>
      </w:r>
      <w:r w:rsidRPr="00CA4523">
        <w:rPr>
          <w:rFonts w:cs="Times New Roman"/>
          <w:lang w:val="fr-CA"/>
        </w:rPr>
        <w:t xml:space="preserve"> courant</w:t>
      </w:r>
      <w:r>
        <w:rPr>
          <w:rFonts w:cs="Times New Roman"/>
          <w:lang w:val="fr-CA"/>
        </w:rPr>
        <w:t>s</w:t>
      </w:r>
      <w:r w:rsidRPr="00CA4523">
        <w:rPr>
          <w:rFonts w:cs="Times New Roman"/>
          <w:lang w:val="fr-CA"/>
        </w:rPr>
        <w:t xml:space="preserve"> de </w:t>
      </w:r>
      <w:r>
        <w:rPr>
          <w:rFonts w:cs="Times New Roman"/>
          <w:lang w:val="fr-CA"/>
        </w:rPr>
        <w:t>ce type de demandes sont la demande</w:t>
      </w:r>
      <w:r w:rsidRPr="00CA4523">
        <w:rPr>
          <w:rFonts w:cs="Times New Roman"/>
          <w:lang w:val="fr-CA"/>
        </w:rPr>
        <w:t xml:space="preserve"> en garantie (voir, </w:t>
      </w:r>
      <w:r>
        <w:rPr>
          <w:rFonts w:cs="Times New Roman"/>
          <w:lang w:val="fr-CA"/>
        </w:rPr>
        <w:t>p. </w:t>
      </w:r>
      <w:r w:rsidRPr="00CA4523">
        <w:rPr>
          <w:rFonts w:cs="Times New Roman"/>
          <w:lang w:val="fr-CA"/>
        </w:rPr>
        <w:t>ex.</w:t>
      </w:r>
      <w:r w:rsidR="007962E4">
        <w:rPr>
          <w:rFonts w:cs="Times New Roman"/>
          <w:lang w:val="fr-CA"/>
        </w:rPr>
        <w:t>,</w:t>
      </w:r>
      <w:r w:rsidRPr="00CA4523">
        <w:rPr>
          <w:rFonts w:cs="Times New Roman"/>
          <w:lang w:val="fr-CA"/>
        </w:rPr>
        <w:t xml:space="preserve"> </w:t>
      </w:r>
      <w:r w:rsidR="0021651C">
        <w:rPr>
          <w:rFonts w:cs="Times New Roman"/>
          <w:i/>
          <w:lang w:val="fr-CA"/>
        </w:rPr>
        <w:t>GreCon Dimter inc. c. J.</w:t>
      </w:r>
      <w:r w:rsidRPr="00CA4523">
        <w:rPr>
          <w:rFonts w:cs="Times New Roman"/>
          <w:i/>
          <w:lang w:val="fr-CA"/>
        </w:rPr>
        <w:t>R. Normand inc.</w:t>
      </w:r>
      <w:r w:rsidRPr="00CA4523">
        <w:rPr>
          <w:rFonts w:cs="Times New Roman"/>
          <w:lang w:val="fr-CA"/>
        </w:rPr>
        <w:t>, 2005 CSC 46</w:t>
      </w:r>
      <w:r>
        <w:rPr>
          <w:rFonts w:cs="Times New Roman"/>
          <w:lang w:val="fr-CA"/>
        </w:rPr>
        <w:t>, [2005] 2 R.C.S. 401</w:t>
      </w:r>
      <w:r w:rsidRPr="00CA4523">
        <w:rPr>
          <w:rFonts w:cs="Times New Roman"/>
          <w:lang w:val="fr-CA"/>
        </w:rPr>
        <w:t xml:space="preserve">) ou </w:t>
      </w:r>
      <w:r>
        <w:rPr>
          <w:rFonts w:cs="Times New Roman"/>
          <w:lang w:val="fr-CA"/>
        </w:rPr>
        <w:t>celle</w:t>
      </w:r>
      <w:r w:rsidRPr="00CA4523">
        <w:rPr>
          <w:rFonts w:cs="Times New Roman"/>
          <w:lang w:val="fr-CA"/>
        </w:rPr>
        <w:t xml:space="preserve"> de mise en cause (</w:t>
      </w:r>
      <w:r w:rsidRPr="00CA4523">
        <w:rPr>
          <w:rFonts w:cs="Times New Roman"/>
          <w:i/>
          <w:lang w:val="fr-CA"/>
        </w:rPr>
        <w:t xml:space="preserve">Lapointe </w:t>
      </w:r>
      <w:r w:rsidR="00FA7147">
        <w:rPr>
          <w:rFonts w:cs="Times New Roman"/>
          <w:i/>
          <w:lang w:val="fr-CA"/>
        </w:rPr>
        <w:t>Rosenstein Marchand Melançon S.E.N.C.R.L.</w:t>
      </w:r>
      <w:r w:rsidRPr="00CA4523">
        <w:rPr>
          <w:rFonts w:cs="Times New Roman"/>
          <w:i/>
          <w:lang w:val="fr-CA"/>
        </w:rPr>
        <w:t xml:space="preserve"> c. Cassels Brock &amp; Blackwell LLP</w:t>
      </w:r>
      <w:r w:rsidRPr="00CA4523">
        <w:rPr>
          <w:rFonts w:cs="Times New Roman"/>
          <w:lang w:val="fr-CA"/>
        </w:rPr>
        <w:t xml:space="preserve">, 2016 CSC 30, </w:t>
      </w:r>
      <w:r w:rsidR="00FA7147">
        <w:rPr>
          <w:rFonts w:cs="Times New Roman"/>
          <w:lang w:val="fr-CA"/>
        </w:rPr>
        <w:t>[2016] 1</w:t>
      </w:r>
      <w:r>
        <w:rPr>
          <w:rFonts w:cs="Times New Roman"/>
          <w:lang w:val="fr-CA"/>
        </w:rPr>
        <w:t xml:space="preserve"> R.C.S. 851, par. </w:t>
      </w:r>
      <w:r w:rsidRPr="00CA4523">
        <w:rPr>
          <w:rFonts w:cs="Times New Roman"/>
          <w:lang w:val="fr-CA"/>
        </w:rPr>
        <w:t>33). Il ne s</w:t>
      </w:r>
      <w:r>
        <w:rPr>
          <w:rFonts w:cs="Times New Roman"/>
          <w:lang w:val="fr-CA"/>
        </w:rPr>
        <w:t>’</w:t>
      </w:r>
      <w:r w:rsidRPr="00CA4523">
        <w:rPr>
          <w:rFonts w:cs="Times New Roman"/>
          <w:lang w:val="fr-CA"/>
        </w:rPr>
        <w:t xml:space="preserve">agit pas non plus </w:t>
      </w:r>
      <w:r>
        <w:rPr>
          <w:rFonts w:cs="Times New Roman"/>
          <w:lang w:val="fr-CA"/>
        </w:rPr>
        <w:t xml:space="preserve">ici </w:t>
      </w:r>
      <w:r w:rsidRPr="00CA4523">
        <w:rPr>
          <w:rFonts w:cs="Times New Roman"/>
          <w:lang w:val="fr-CA"/>
        </w:rPr>
        <w:t>d</w:t>
      </w:r>
      <w:r>
        <w:rPr>
          <w:rFonts w:cs="Times New Roman"/>
          <w:lang w:val="fr-CA"/>
        </w:rPr>
        <w:t>’</w:t>
      </w:r>
      <w:r w:rsidRPr="00CA4523">
        <w:rPr>
          <w:rFonts w:cs="Times New Roman"/>
          <w:lang w:val="fr-CA"/>
        </w:rPr>
        <w:t>une jonction d</w:t>
      </w:r>
      <w:r>
        <w:rPr>
          <w:rFonts w:cs="Times New Roman"/>
          <w:lang w:val="fr-CA"/>
        </w:rPr>
        <w:t>’</w:t>
      </w:r>
      <w:r w:rsidRPr="00CA4523">
        <w:rPr>
          <w:rFonts w:cs="Times New Roman"/>
          <w:lang w:val="fr-CA"/>
        </w:rPr>
        <w:t>instances au sens de l</w:t>
      </w:r>
      <w:r>
        <w:rPr>
          <w:rFonts w:cs="Times New Roman"/>
          <w:lang w:val="fr-CA"/>
        </w:rPr>
        <w:t>’art. </w:t>
      </w:r>
      <w:r w:rsidRPr="00CA4523">
        <w:rPr>
          <w:rFonts w:cs="Times New Roman"/>
          <w:lang w:val="fr-CA"/>
        </w:rPr>
        <w:t xml:space="preserve">210 </w:t>
      </w:r>
      <w:r w:rsidR="0021651C">
        <w:rPr>
          <w:rFonts w:cs="Times New Roman"/>
          <w:lang w:val="fr-CA"/>
        </w:rPr>
        <w:t xml:space="preserve">du </w:t>
      </w:r>
      <w:r>
        <w:rPr>
          <w:rFonts w:cs="Times New Roman"/>
          <w:lang w:val="fr-CA"/>
        </w:rPr>
        <w:t>n</w:t>
      </w:r>
      <w:r w:rsidR="00FA7147">
        <w:rPr>
          <w:rFonts w:cs="Times New Roman"/>
          <w:lang w:val="fr-CA"/>
        </w:rPr>
        <w:t xml:space="preserve">ouveau </w:t>
      </w:r>
      <w:r w:rsidRPr="00CA4523">
        <w:rPr>
          <w:rFonts w:cs="Times New Roman"/>
          <w:i/>
          <w:lang w:val="fr-CA"/>
        </w:rPr>
        <w:t>C.p.c.</w:t>
      </w:r>
      <w:r w:rsidRPr="00CA4523">
        <w:rPr>
          <w:rFonts w:cs="Times New Roman"/>
          <w:lang w:val="fr-CA"/>
        </w:rPr>
        <w:t xml:space="preserve"> </w:t>
      </w:r>
      <w:r>
        <w:rPr>
          <w:rFonts w:cs="Times New Roman"/>
          <w:lang w:val="fr-CA"/>
        </w:rPr>
        <w:t>Celle</w:t>
      </w:r>
      <w:r>
        <w:rPr>
          <w:rFonts w:cs="Times New Roman"/>
          <w:lang w:val="fr-CA"/>
        </w:rPr>
        <w:noBreakHyphen/>
        <w:t xml:space="preserve">ci </w:t>
      </w:r>
      <w:r w:rsidRPr="00CA4523">
        <w:rPr>
          <w:rFonts w:cs="Times New Roman"/>
          <w:lang w:val="fr-CA"/>
        </w:rPr>
        <w:t>survient lorsqu</w:t>
      </w:r>
      <w:r>
        <w:rPr>
          <w:rFonts w:cs="Times New Roman"/>
          <w:lang w:val="fr-CA"/>
        </w:rPr>
        <w:t>’</w:t>
      </w:r>
      <w:r w:rsidRPr="00CA4523">
        <w:rPr>
          <w:rFonts w:cs="Times New Roman"/>
          <w:lang w:val="fr-CA"/>
        </w:rPr>
        <w:t>il est question de deux instances (ou actions) ou plus, et non pas en présence simplement d</w:t>
      </w:r>
      <w:r>
        <w:rPr>
          <w:rFonts w:cs="Times New Roman"/>
          <w:lang w:val="fr-CA"/>
        </w:rPr>
        <w:t>’</w:t>
      </w:r>
      <w:r w:rsidRPr="00CA4523">
        <w:rPr>
          <w:rFonts w:cs="Times New Roman"/>
          <w:lang w:val="fr-CA"/>
        </w:rPr>
        <w:t>une instance visan</w:t>
      </w:r>
      <w:r w:rsidR="00FA7147">
        <w:rPr>
          <w:rFonts w:cs="Times New Roman"/>
          <w:lang w:val="fr-CA"/>
        </w:rPr>
        <w:t>t plusieurs défendeurs. M.</w:t>
      </w:r>
      <w:r w:rsidRPr="00CA4523">
        <w:rPr>
          <w:rFonts w:cs="Times New Roman"/>
          <w:lang w:val="fr-CA"/>
        </w:rPr>
        <w:t xml:space="preserve"> Barer n</w:t>
      </w:r>
      <w:r>
        <w:rPr>
          <w:rFonts w:cs="Times New Roman"/>
          <w:lang w:val="fr-CA"/>
        </w:rPr>
        <w:t>’</w:t>
      </w:r>
      <w:r w:rsidRPr="00CA4523">
        <w:rPr>
          <w:rFonts w:cs="Times New Roman"/>
          <w:lang w:val="fr-CA"/>
        </w:rPr>
        <w:t>est pas un tiers mis en cause contre son gré dans le cadre d</w:t>
      </w:r>
      <w:r>
        <w:rPr>
          <w:rFonts w:cs="Times New Roman"/>
          <w:lang w:val="fr-CA"/>
        </w:rPr>
        <w:t>’</w:t>
      </w:r>
      <w:r w:rsidRPr="00CA4523">
        <w:rPr>
          <w:rFonts w:cs="Times New Roman"/>
          <w:lang w:val="fr-CA"/>
        </w:rPr>
        <w:t>une procédure qui pourrait être qualifiée de « demande incidente ». Il est un codéfendeur poursuivi directement dans le cadre d</w:t>
      </w:r>
      <w:r>
        <w:rPr>
          <w:rFonts w:cs="Times New Roman"/>
          <w:lang w:val="fr-CA"/>
        </w:rPr>
        <w:t>’</w:t>
      </w:r>
      <w:r w:rsidRPr="00CA4523">
        <w:rPr>
          <w:rFonts w:cs="Times New Roman"/>
          <w:lang w:val="fr-CA"/>
        </w:rPr>
        <w:t xml:space="preserve">une « demande principale ». Dans la mesure où </w:t>
      </w:r>
      <w:r>
        <w:rPr>
          <w:rFonts w:cs="Times New Roman"/>
          <w:lang w:val="fr-CA"/>
        </w:rPr>
        <w:t>la décision</w:t>
      </w:r>
      <w:r w:rsidRPr="00CA4523">
        <w:rPr>
          <w:rFonts w:cs="Times New Roman"/>
          <w:lang w:val="fr-CA"/>
        </w:rPr>
        <w:t xml:space="preserve"> </w:t>
      </w:r>
      <w:r w:rsidRPr="00CA4523">
        <w:rPr>
          <w:rFonts w:cs="Times New Roman"/>
          <w:i/>
          <w:lang w:val="fr-CA"/>
        </w:rPr>
        <w:t>Insta Holding Limited</w:t>
      </w:r>
      <w:r>
        <w:rPr>
          <w:rFonts w:cs="Times New Roman"/>
          <w:i/>
          <w:lang w:val="fr-CA"/>
        </w:rPr>
        <w:t xml:space="preserve"> c. 9247</w:t>
      </w:r>
      <w:r>
        <w:rPr>
          <w:rFonts w:cs="Times New Roman"/>
          <w:i/>
          <w:lang w:val="fr-CA"/>
        </w:rPr>
        <w:noBreakHyphen/>
        <w:t>5334 Québec inc.</w:t>
      </w:r>
      <w:r>
        <w:rPr>
          <w:rFonts w:cs="Times New Roman"/>
          <w:lang w:val="fr-CA"/>
        </w:rPr>
        <w:t>, 2017 QCCS 432, sur la</w:t>
      </w:r>
      <w:r w:rsidRPr="00CA4523">
        <w:rPr>
          <w:rFonts w:cs="Times New Roman"/>
          <w:lang w:val="fr-CA"/>
        </w:rPr>
        <w:t>quel</w:t>
      </w:r>
      <w:r>
        <w:rPr>
          <w:rFonts w:cs="Times New Roman"/>
          <w:lang w:val="fr-CA"/>
        </w:rPr>
        <w:t>le</w:t>
      </w:r>
      <w:r w:rsidRPr="00CA4523">
        <w:rPr>
          <w:rFonts w:cs="Times New Roman"/>
          <w:lang w:val="fr-CA"/>
        </w:rPr>
        <w:t xml:space="preserve"> se fonde </w:t>
      </w:r>
      <w:r w:rsidRPr="00F22D51">
        <w:rPr>
          <w:rFonts w:cs="Times New Roman"/>
          <w:lang w:val="fr-CA"/>
        </w:rPr>
        <w:t>mon c</w:t>
      </w:r>
      <w:r w:rsidRPr="00CA4523">
        <w:rPr>
          <w:rFonts w:cs="Times New Roman"/>
          <w:lang w:val="fr-CA"/>
        </w:rPr>
        <w:t>ollègue suggérerait qu</w:t>
      </w:r>
      <w:r>
        <w:rPr>
          <w:rFonts w:cs="Times New Roman"/>
          <w:lang w:val="fr-CA"/>
        </w:rPr>
        <w:t>’</w:t>
      </w:r>
      <w:r w:rsidRPr="00CA4523">
        <w:rPr>
          <w:rFonts w:cs="Times New Roman"/>
          <w:lang w:val="fr-CA"/>
        </w:rPr>
        <w:t xml:space="preserve">il en est autrement, je </w:t>
      </w:r>
      <w:r>
        <w:rPr>
          <w:rFonts w:cs="Times New Roman"/>
          <w:lang w:val="fr-CA"/>
        </w:rPr>
        <w:t>n’y souscris pas</w:t>
      </w:r>
      <w:r w:rsidRPr="00BD68C8">
        <w:rPr>
          <w:rFonts w:cs="Times New Roman"/>
          <w:lang w:val="fr-CA"/>
        </w:rPr>
        <w:t>. Je souligne par ailleurs que</w:t>
      </w:r>
      <w:r>
        <w:rPr>
          <w:rFonts w:cs="Times New Roman"/>
          <w:lang w:val="fr-CA"/>
        </w:rPr>
        <w:t>,</w:t>
      </w:r>
      <w:r w:rsidRPr="00BD68C8">
        <w:rPr>
          <w:rFonts w:cs="Times New Roman"/>
          <w:lang w:val="fr-CA"/>
        </w:rPr>
        <w:t xml:space="preserve"> dans cette cause, la cour avait </w:t>
      </w:r>
      <w:r>
        <w:rPr>
          <w:rFonts w:cs="Times New Roman"/>
          <w:lang w:val="fr-CA"/>
        </w:rPr>
        <w:t xml:space="preserve">de toute façon </w:t>
      </w:r>
      <w:r w:rsidRPr="00BD68C8">
        <w:rPr>
          <w:rFonts w:cs="Times New Roman"/>
          <w:lang w:val="fr-CA"/>
        </w:rPr>
        <w:t xml:space="preserve">conclu que la compétence du tribunal </w:t>
      </w:r>
      <w:r>
        <w:rPr>
          <w:rFonts w:cs="Times New Roman"/>
          <w:lang w:val="fr-CA"/>
        </w:rPr>
        <w:t>sur</w:t>
      </w:r>
      <w:r w:rsidRPr="00BD68C8">
        <w:rPr>
          <w:rFonts w:cs="Times New Roman"/>
          <w:lang w:val="fr-CA"/>
        </w:rPr>
        <w:t xml:space="preserve"> le codéfendeur poursui</w:t>
      </w:r>
      <w:r>
        <w:rPr>
          <w:rFonts w:cs="Times New Roman"/>
          <w:lang w:val="fr-CA"/>
        </w:rPr>
        <w:t>vi</w:t>
      </w:r>
      <w:r w:rsidRPr="00BD68C8">
        <w:rPr>
          <w:rFonts w:cs="Times New Roman"/>
          <w:lang w:val="fr-CA"/>
        </w:rPr>
        <w:t xml:space="preserve"> directement par le demandeur était fondée sur l</w:t>
      </w:r>
      <w:r>
        <w:rPr>
          <w:rFonts w:cs="Times New Roman"/>
          <w:lang w:val="fr-CA"/>
        </w:rPr>
        <w:t>’art. </w:t>
      </w:r>
      <w:r w:rsidRPr="00BD68C8">
        <w:rPr>
          <w:rFonts w:cs="Times New Roman"/>
          <w:lang w:val="fr-CA"/>
        </w:rPr>
        <w:t xml:space="preserve">3148 </w:t>
      </w:r>
      <w:r>
        <w:rPr>
          <w:rFonts w:cs="Times New Roman"/>
          <w:lang w:val="fr-CA"/>
        </w:rPr>
        <w:t>al. 1(</w:t>
      </w:r>
      <w:r w:rsidRPr="00BD68C8">
        <w:rPr>
          <w:rFonts w:cs="Times New Roman"/>
          <w:lang w:val="fr-CA"/>
        </w:rPr>
        <w:t>3</w:t>
      </w:r>
      <w:r>
        <w:rPr>
          <w:rFonts w:cs="Times New Roman"/>
          <w:lang w:val="fr-CA"/>
        </w:rPr>
        <w:t>)</w:t>
      </w:r>
      <w:r w:rsidRPr="00BD68C8">
        <w:rPr>
          <w:rFonts w:cs="Times New Roman"/>
          <w:lang w:val="fr-CA"/>
        </w:rPr>
        <w:t xml:space="preserve"> </w:t>
      </w:r>
      <w:r w:rsidRPr="00BD68C8">
        <w:rPr>
          <w:rFonts w:cs="Times New Roman"/>
          <w:i/>
          <w:lang w:val="fr-CA"/>
        </w:rPr>
        <w:t>C.c.Q.</w:t>
      </w:r>
    </w:p>
    <w:p w:rsidR="00AF6697" w:rsidRPr="00CA4523" w:rsidRDefault="00AF6697" w:rsidP="00AF6697">
      <w:pPr>
        <w:pStyle w:val="ParaNoNdepar-AltN"/>
        <w:tabs>
          <w:tab w:val="clear" w:pos="1166"/>
          <w:tab w:val="num" w:pos="1152"/>
        </w:tabs>
        <w:rPr>
          <w:rFonts w:cs="Times New Roman"/>
          <w:lang w:val="fr-CA"/>
        </w:rPr>
      </w:pPr>
      <w:r>
        <w:rPr>
          <w:rFonts w:cs="Times New Roman"/>
          <w:lang w:val="fr-CA"/>
        </w:rPr>
        <w:t>À tous égards</w:t>
      </w:r>
      <w:r w:rsidRPr="00CA4523">
        <w:rPr>
          <w:rFonts w:cs="Times New Roman"/>
          <w:lang w:val="fr-CA"/>
        </w:rPr>
        <w:t>, même si l</w:t>
      </w:r>
      <w:r>
        <w:rPr>
          <w:rFonts w:cs="Times New Roman"/>
          <w:lang w:val="fr-CA"/>
        </w:rPr>
        <w:t>’art. </w:t>
      </w:r>
      <w:r w:rsidRPr="00CA4523">
        <w:rPr>
          <w:rFonts w:cs="Times New Roman"/>
          <w:lang w:val="fr-CA"/>
        </w:rPr>
        <w:t xml:space="preserve">3139 </w:t>
      </w:r>
      <w:r w:rsidRPr="00CA4523">
        <w:rPr>
          <w:rFonts w:cs="Times New Roman"/>
          <w:i/>
          <w:lang w:val="fr-CA"/>
        </w:rPr>
        <w:t>C.c.Q.</w:t>
      </w:r>
      <w:r w:rsidRPr="00CA4523">
        <w:rPr>
          <w:rFonts w:cs="Times New Roman"/>
          <w:lang w:val="fr-CA"/>
        </w:rPr>
        <w:t xml:space="preserve"> pouvait s</w:t>
      </w:r>
      <w:r>
        <w:rPr>
          <w:rFonts w:cs="Times New Roman"/>
          <w:lang w:val="fr-CA"/>
        </w:rPr>
        <w:t>’</w:t>
      </w:r>
      <w:r w:rsidRPr="00CA4523">
        <w:rPr>
          <w:rFonts w:cs="Times New Roman"/>
          <w:lang w:val="fr-CA"/>
        </w:rPr>
        <w:t xml:space="preserve">appliquer </w:t>
      </w:r>
      <w:r>
        <w:rPr>
          <w:rFonts w:cs="Times New Roman"/>
          <w:lang w:val="fr-CA"/>
        </w:rPr>
        <w:t>comme le suggère mon collègue</w:t>
      </w:r>
      <w:r w:rsidRPr="00CA4523">
        <w:rPr>
          <w:rFonts w:cs="Times New Roman"/>
          <w:lang w:val="fr-CA"/>
        </w:rPr>
        <w:t>, Knight n</w:t>
      </w:r>
      <w:r>
        <w:rPr>
          <w:rFonts w:cs="Times New Roman"/>
          <w:lang w:val="fr-CA"/>
        </w:rPr>
        <w:t>’</w:t>
      </w:r>
      <w:r w:rsidRPr="00CA4523">
        <w:rPr>
          <w:rFonts w:cs="Times New Roman"/>
          <w:lang w:val="fr-CA"/>
        </w:rPr>
        <w:t xml:space="preserve">a présenté aucune preuve pour étayer le </w:t>
      </w:r>
      <w:r>
        <w:rPr>
          <w:rFonts w:cs="Times New Roman"/>
          <w:lang w:val="fr-CA"/>
        </w:rPr>
        <w:t>degré</w:t>
      </w:r>
      <w:r w:rsidRPr="00640415">
        <w:rPr>
          <w:rFonts w:cs="Times New Roman"/>
          <w:lang w:val="fr-CA"/>
        </w:rPr>
        <w:t xml:space="preserve"> de « connexité » nécessaire entre BEC et M. Barer (</w:t>
      </w:r>
      <w:r w:rsidRPr="00640415">
        <w:rPr>
          <w:rFonts w:cs="Times New Roman"/>
          <w:i/>
          <w:lang w:val="fr-CA"/>
        </w:rPr>
        <w:t>GreCon</w:t>
      </w:r>
      <w:r w:rsidRPr="00640415">
        <w:rPr>
          <w:rFonts w:cs="Times New Roman"/>
          <w:lang w:val="fr-CA"/>
        </w:rPr>
        <w:t xml:space="preserve">, </w:t>
      </w:r>
      <w:r>
        <w:rPr>
          <w:rFonts w:cs="Times New Roman"/>
          <w:lang w:val="fr-CA"/>
        </w:rPr>
        <w:t>par. </w:t>
      </w:r>
      <w:r w:rsidRPr="00640415">
        <w:rPr>
          <w:rFonts w:cs="Times New Roman"/>
          <w:lang w:val="fr-CA"/>
        </w:rPr>
        <w:t xml:space="preserve">31). Le seul fait que ce </w:t>
      </w:r>
      <w:r w:rsidRPr="00640415">
        <w:rPr>
          <w:rFonts w:cs="Times New Roman"/>
          <w:lang w:val="fr-CA"/>
        </w:rPr>
        <w:lastRenderedPageBreak/>
        <w:t>dernier a joué un rôle clé dans les négociations avec Knight ne suffit pas.</w:t>
      </w:r>
      <w:r w:rsidRPr="00CA4523">
        <w:rPr>
          <w:rFonts w:cs="Times New Roman"/>
          <w:lang w:val="fr-CA"/>
        </w:rPr>
        <w:t xml:space="preserve"> Prétendre que ce fait à lui seul rend la demande « incidente » revient à faire fi de la responsabilité limitée et équivaut à interpréter l</w:t>
      </w:r>
      <w:r>
        <w:rPr>
          <w:rFonts w:cs="Times New Roman"/>
          <w:lang w:val="fr-CA"/>
        </w:rPr>
        <w:t>’art. </w:t>
      </w:r>
      <w:r w:rsidRPr="00CA4523">
        <w:rPr>
          <w:rFonts w:cs="Times New Roman"/>
          <w:lang w:val="fr-CA"/>
        </w:rPr>
        <w:t xml:space="preserve">3139 </w:t>
      </w:r>
      <w:r w:rsidRPr="00CA4523">
        <w:rPr>
          <w:rFonts w:cs="Times New Roman"/>
          <w:i/>
          <w:lang w:val="fr-CA"/>
        </w:rPr>
        <w:t>C.c.Q.</w:t>
      </w:r>
      <w:r w:rsidRPr="00CA4523">
        <w:rPr>
          <w:rFonts w:cs="Times New Roman"/>
          <w:lang w:val="fr-CA"/>
        </w:rPr>
        <w:t xml:space="preserve"> comme un laissez</w:t>
      </w:r>
      <w:r>
        <w:rPr>
          <w:rFonts w:cs="Times New Roman"/>
          <w:lang w:val="fr-CA"/>
        </w:rPr>
        <w:noBreakHyphen/>
      </w:r>
      <w:r w:rsidRPr="00BD5C64">
        <w:rPr>
          <w:rFonts w:cs="Times New Roman"/>
          <w:lang w:val="fr-CA"/>
        </w:rPr>
        <w:t xml:space="preserve">passer pour </w:t>
      </w:r>
      <w:r w:rsidRPr="00484228">
        <w:rPr>
          <w:rFonts w:cs="Times New Roman"/>
          <w:lang w:val="fr-CA"/>
        </w:rPr>
        <w:t>lever le voile de la personnalité morale, ce qu</w:t>
      </w:r>
      <w:r>
        <w:rPr>
          <w:rFonts w:cs="Times New Roman"/>
          <w:lang w:val="fr-CA"/>
        </w:rPr>
        <w:t>’</w:t>
      </w:r>
      <w:r w:rsidRPr="00484228">
        <w:rPr>
          <w:rFonts w:cs="Times New Roman"/>
          <w:lang w:val="fr-CA"/>
        </w:rPr>
        <w:t>il n</w:t>
      </w:r>
      <w:r>
        <w:rPr>
          <w:rFonts w:cs="Times New Roman"/>
          <w:lang w:val="fr-CA"/>
        </w:rPr>
        <w:t>’</w:t>
      </w:r>
      <w:r w:rsidRPr="00484228">
        <w:rPr>
          <w:rFonts w:cs="Times New Roman"/>
          <w:lang w:val="fr-CA"/>
        </w:rPr>
        <w:t>est pas</w:t>
      </w:r>
      <w:r w:rsidRPr="00CA4523">
        <w:rPr>
          <w:rFonts w:cs="Times New Roman"/>
          <w:lang w:val="fr-CA"/>
        </w:rPr>
        <w:t xml:space="preserve">. </w:t>
      </w:r>
    </w:p>
    <w:p w:rsidR="00AF6697" w:rsidRDefault="00AF6697" w:rsidP="00AF6697">
      <w:pPr>
        <w:pStyle w:val="ParaNoNdepar-AltN"/>
        <w:tabs>
          <w:tab w:val="clear" w:pos="1166"/>
          <w:tab w:val="num" w:pos="1152"/>
        </w:tabs>
        <w:rPr>
          <w:rFonts w:cs="Times New Roman"/>
          <w:lang w:val="fr-CA"/>
        </w:rPr>
      </w:pPr>
      <w:r w:rsidRPr="004D5632">
        <w:rPr>
          <w:rFonts w:cs="Times New Roman"/>
          <w:lang w:val="fr-CA"/>
        </w:rPr>
        <w:t>J</w:t>
      </w:r>
      <w:r>
        <w:rPr>
          <w:rFonts w:cs="Times New Roman"/>
          <w:lang w:val="fr-CA"/>
        </w:rPr>
        <w:t>’</w:t>
      </w:r>
      <w:r w:rsidRPr="004D5632">
        <w:rPr>
          <w:rFonts w:cs="Times New Roman"/>
          <w:lang w:val="fr-CA"/>
        </w:rPr>
        <w:t>ajouterai ce qui suit. Si la personne qui s</w:t>
      </w:r>
      <w:r>
        <w:rPr>
          <w:rFonts w:cs="Times New Roman"/>
          <w:lang w:val="fr-CA"/>
        </w:rPr>
        <w:t>’</w:t>
      </w:r>
      <w:r w:rsidRPr="004D5632">
        <w:rPr>
          <w:rFonts w:cs="Times New Roman"/>
          <w:lang w:val="fr-CA"/>
        </w:rPr>
        <w:t>appuie sur l</w:t>
      </w:r>
      <w:r>
        <w:rPr>
          <w:rFonts w:cs="Times New Roman"/>
          <w:lang w:val="fr-CA"/>
        </w:rPr>
        <w:t>’art. </w:t>
      </w:r>
      <w:r w:rsidRPr="004D5632">
        <w:rPr>
          <w:rFonts w:cs="Times New Roman"/>
          <w:lang w:val="fr-CA"/>
        </w:rPr>
        <w:t xml:space="preserve">3164 </w:t>
      </w:r>
      <w:r w:rsidRPr="004D5632">
        <w:rPr>
          <w:rFonts w:cs="Times New Roman"/>
          <w:i/>
          <w:lang w:val="fr-CA"/>
        </w:rPr>
        <w:t>C.c.Q.</w:t>
      </w:r>
      <w:r w:rsidRPr="004D5632">
        <w:rPr>
          <w:rFonts w:cs="Times New Roman"/>
          <w:lang w:val="fr-CA"/>
        </w:rPr>
        <w:t xml:space="preserve"> ne peut pas d</w:t>
      </w:r>
      <w:r>
        <w:rPr>
          <w:rFonts w:cs="Times New Roman"/>
          <w:lang w:val="fr-CA"/>
        </w:rPr>
        <w:t>’</w:t>
      </w:r>
      <w:r w:rsidRPr="004D5632">
        <w:rPr>
          <w:rFonts w:cs="Times New Roman"/>
          <w:lang w:val="fr-CA"/>
        </w:rPr>
        <w:t xml:space="preserve">abord démontrer que la compétence du tribunal étranger est établie suivant les règles énoncées au titre troisième du livre sur le droit international privé du </w:t>
      </w:r>
      <w:r w:rsidRPr="004D5632">
        <w:rPr>
          <w:rFonts w:cs="Times New Roman"/>
          <w:i/>
          <w:lang w:val="fr-CA"/>
        </w:rPr>
        <w:t>C</w:t>
      </w:r>
      <w:r>
        <w:rPr>
          <w:rFonts w:cs="Times New Roman"/>
          <w:i/>
          <w:lang w:val="fr-CA"/>
        </w:rPr>
        <w:t>ode civil</w:t>
      </w:r>
      <w:r w:rsidRPr="004D5632">
        <w:rPr>
          <w:rFonts w:cs="Times New Roman"/>
          <w:lang w:val="fr-CA"/>
        </w:rPr>
        <w:t xml:space="preserve">, le facteur du rattachement important prévu dans cette disposition demeurera insuffisant à lui seul. Toute analyse de ce facteur serait </w:t>
      </w:r>
      <w:r>
        <w:rPr>
          <w:rFonts w:cs="Times New Roman"/>
          <w:lang w:val="fr-CA"/>
        </w:rPr>
        <w:t>alors</w:t>
      </w:r>
      <w:r w:rsidRPr="004D5632">
        <w:rPr>
          <w:rFonts w:cs="Times New Roman"/>
          <w:lang w:val="fr-CA"/>
        </w:rPr>
        <w:t xml:space="preserve"> inutile.</w:t>
      </w:r>
    </w:p>
    <w:p w:rsidR="00AF6697" w:rsidRPr="004D5632" w:rsidRDefault="00AF6697" w:rsidP="002970A2">
      <w:pPr>
        <w:pStyle w:val="Title1LevelTitre1Niveau-AltL"/>
        <w:numPr>
          <w:ilvl w:val="0"/>
          <w:numId w:val="14"/>
        </w:numPr>
        <w:tabs>
          <w:tab w:val="left" w:pos="720"/>
        </w:tabs>
        <w:ind w:left="720"/>
      </w:pPr>
      <w:r w:rsidRPr="004D5632">
        <w:t>Conclusion</w:t>
      </w:r>
    </w:p>
    <w:p w:rsidR="00AF6697" w:rsidRPr="00CA4523" w:rsidRDefault="00AF6697" w:rsidP="00AF6697">
      <w:pPr>
        <w:pStyle w:val="ParaNoNdepar-AltN"/>
        <w:tabs>
          <w:tab w:val="clear" w:pos="1166"/>
          <w:tab w:val="num" w:pos="1152"/>
        </w:tabs>
        <w:rPr>
          <w:lang w:val="fr-CA"/>
        </w:rPr>
      </w:pPr>
      <w:r w:rsidRPr="00CA4523">
        <w:rPr>
          <w:lang w:val="fr-CA"/>
        </w:rPr>
        <w:t xml:space="preserve">En résumé, je conviens avec les </w:t>
      </w:r>
      <w:r>
        <w:rPr>
          <w:lang w:val="fr-CA"/>
        </w:rPr>
        <w:t>cours d’instances</w:t>
      </w:r>
      <w:r w:rsidRPr="00CA4523">
        <w:rPr>
          <w:lang w:val="fr-CA"/>
        </w:rPr>
        <w:t xml:space="preserve"> inférieures que M. Barer a reconnu la compétence du tribunal de l</w:t>
      </w:r>
      <w:r>
        <w:rPr>
          <w:lang w:val="fr-CA"/>
        </w:rPr>
        <w:t>’</w:t>
      </w:r>
      <w:r w:rsidRPr="00CA4523">
        <w:rPr>
          <w:lang w:val="fr-CA"/>
        </w:rPr>
        <w:t xml:space="preserve">Utah </w:t>
      </w:r>
      <w:r>
        <w:rPr>
          <w:lang w:val="fr-CA"/>
        </w:rPr>
        <w:t xml:space="preserve">au sens où il faut l’entendre pour l’application </w:t>
      </w:r>
      <w:r w:rsidR="00964475">
        <w:rPr>
          <w:lang w:val="fr-CA"/>
        </w:rPr>
        <w:t>du par.</w:t>
      </w:r>
      <w:r>
        <w:rPr>
          <w:lang w:val="fr-CA"/>
        </w:rPr>
        <w:t> </w:t>
      </w:r>
      <w:r w:rsidRPr="00CA4523">
        <w:rPr>
          <w:lang w:val="fr-CA"/>
        </w:rPr>
        <w:t>3168</w:t>
      </w:r>
      <w:r>
        <w:rPr>
          <w:lang w:val="fr-CA"/>
        </w:rPr>
        <w:t>(</w:t>
      </w:r>
      <w:r w:rsidRPr="00CA4523">
        <w:rPr>
          <w:lang w:val="fr-CA"/>
        </w:rPr>
        <w:t>6</w:t>
      </w:r>
      <w:r>
        <w:rPr>
          <w:lang w:val="fr-CA"/>
        </w:rPr>
        <w:t>)</w:t>
      </w:r>
      <w:r w:rsidRPr="00CA4523">
        <w:rPr>
          <w:lang w:val="fr-CA"/>
        </w:rPr>
        <w:t> </w:t>
      </w:r>
      <w:r w:rsidRPr="00CA4523">
        <w:rPr>
          <w:i/>
          <w:lang w:val="fr-CA"/>
        </w:rPr>
        <w:t>C.c.Q.</w:t>
      </w:r>
      <w:r w:rsidRPr="00CA4523">
        <w:rPr>
          <w:lang w:val="fr-CA"/>
        </w:rPr>
        <w:t xml:space="preserve"> La présentation d</w:t>
      </w:r>
      <w:r>
        <w:rPr>
          <w:lang w:val="fr-CA"/>
        </w:rPr>
        <w:t>’</w:t>
      </w:r>
      <w:r w:rsidRPr="00CA4523">
        <w:rPr>
          <w:lang w:val="fr-CA"/>
        </w:rPr>
        <w:t>arguments de fond qui, s</w:t>
      </w:r>
      <w:r>
        <w:rPr>
          <w:lang w:val="fr-CA"/>
        </w:rPr>
        <w:t>’</w:t>
      </w:r>
      <w:r w:rsidRPr="00CA4523">
        <w:rPr>
          <w:lang w:val="fr-CA"/>
        </w:rPr>
        <w:t>ils étaient retenus par le tribunal, permettraient de trancher définitivement le litige sur le fond est foncièrement incompatible avec l</w:t>
      </w:r>
      <w:r>
        <w:rPr>
          <w:lang w:val="fr-CA"/>
        </w:rPr>
        <w:t>’</w:t>
      </w:r>
      <w:r w:rsidRPr="00CA4523">
        <w:rPr>
          <w:lang w:val="fr-CA"/>
        </w:rPr>
        <w:t xml:space="preserve">argument </w:t>
      </w:r>
      <w:r>
        <w:rPr>
          <w:lang w:val="fr-CA"/>
        </w:rPr>
        <w:t>selon lequel</w:t>
      </w:r>
      <w:r w:rsidRPr="00CA4523">
        <w:rPr>
          <w:lang w:val="fr-CA"/>
        </w:rPr>
        <w:t xml:space="preserve"> le tribunal n</w:t>
      </w:r>
      <w:r>
        <w:rPr>
          <w:lang w:val="fr-CA"/>
        </w:rPr>
        <w:t>’</w:t>
      </w:r>
      <w:r w:rsidRPr="00CA4523">
        <w:rPr>
          <w:lang w:val="fr-CA"/>
        </w:rPr>
        <w:t>a pas compétence sur le litige. La reconnaissance par M. Barer de la compétence du tribunal de l</w:t>
      </w:r>
      <w:r>
        <w:rPr>
          <w:lang w:val="fr-CA"/>
        </w:rPr>
        <w:t>’</w:t>
      </w:r>
      <w:r w:rsidRPr="00CA4523">
        <w:rPr>
          <w:lang w:val="fr-CA"/>
        </w:rPr>
        <w:t xml:space="preserve">Utah suffit à établir la compétence de ce tribunal selon les principes </w:t>
      </w:r>
      <w:r>
        <w:rPr>
          <w:lang w:val="fr-CA"/>
        </w:rPr>
        <w:t xml:space="preserve">du droit </w:t>
      </w:r>
      <w:r w:rsidRPr="00CA4523">
        <w:rPr>
          <w:lang w:val="fr-CA"/>
        </w:rPr>
        <w:t xml:space="preserve">québécois en matière de compétence internationale indirecte. Le fait que Knight ne </w:t>
      </w:r>
      <w:r>
        <w:rPr>
          <w:lang w:val="fr-CA"/>
        </w:rPr>
        <w:t>se soit</w:t>
      </w:r>
      <w:r w:rsidRPr="00CA4523">
        <w:rPr>
          <w:lang w:val="fr-CA"/>
        </w:rPr>
        <w:t xml:space="preserve"> pas acquittée du fardeau de la preuve qui lui incombait </w:t>
      </w:r>
      <w:r>
        <w:rPr>
          <w:lang w:val="fr-CA"/>
        </w:rPr>
        <w:t xml:space="preserve">en application des </w:t>
      </w:r>
      <w:r w:rsidR="00964475">
        <w:rPr>
          <w:lang w:val="fr-CA"/>
        </w:rPr>
        <w:t>par</w:t>
      </w:r>
      <w:r>
        <w:rPr>
          <w:lang w:val="fr-CA"/>
        </w:rPr>
        <w:t>. </w:t>
      </w:r>
      <w:r w:rsidRPr="00CA4523">
        <w:rPr>
          <w:lang w:val="fr-CA"/>
        </w:rPr>
        <w:t>3168</w:t>
      </w:r>
      <w:r>
        <w:rPr>
          <w:lang w:val="fr-CA"/>
        </w:rPr>
        <w:t>(</w:t>
      </w:r>
      <w:r w:rsidRPr="00CA4523">
        <w:rPr>
          <w:lang w:val="fr-CA"/>
        </w:rPr>
        <w:t>3</w:t>
      </w:r>
      <w:r>
        <w:rPr>
          <w:lang w:val="fr-CA"/>
        </w:rPr>
        <w:t>)</w:t>
      </w:r>
      <w:r w:rsidRPr="00CA4523">
        <w:rPr>
          <w:lang w:val="fr-CA"/>
        </w:rPr>
        <w:t xml:space="preserve"> et </w:t>
      </w:r>
      <w:r>
        <w:rPr>
          <w:lang w:val="fr-CA"/>
        </w:rPr>
        <w:t>(</w:t>
      </w:r>
      <w:r w:rsidRPr="00CA4523">
        <w:rPr>
          <w:lang w:val="fr-CA"/>
        </w:rPr>
        <w:t>4</w:t>
      </w:r>
      <w:r>
        <w:rPr>
          <w:lang w:val="fr-CA"/>
        </w:rPr>
        <w:t>)</w:t>
      </w:r>
      <w:r w:rsidRPr="00CA4523">
        <w:rPr>
          <w:lang w:val="fr-CA"/>
        </w:rPr>
        <w:t> </w:t>
      </w:r>
      <w:r w:rsidRPr="00CA4523">
        <w:rPr>
          <w:i/>
          <w:lang w:val="fr-CA"/>
        </w:rPr>
        <w:t>C.c.Q.</w:t>
      </w:r>
      <w:r w:rsidRPr="00CA4523">
        <w:rPr>
          <w:lang w:val="fr-CA"/>
        </w:rPr>
        <w:t xml:space="preserve"> n</w:t>
      </w:r>
      <w:r>
        <w:rPr>
          <w:lang w:val="fr-CA"/>
        </w:rPr>
        <w:t>’</w:t>
      </w:r>
      <w:r w:rsidRPr="00CA4523">
        <w:rPr>
          <w:lang w:val="fr-CA"/>
        </w:rPr>
        <w:t>est pas déterminant. Qui plus est, étant donné qu</w:t>
      </w:r>
      <w:r>
        <w:rPr>
          <w:lang w:val="fr-CA"/>
        </w:rPr>
        <w:t>’</w:t>
      </w:r>
      <w:r w:rsidRPr="00CA4523">
        <w:rPr>
          <w:lang w:val="fr-CA"/>
        </w:rPr>
        <w:t xml:space="preserve">il existe un rattachement </w:t>
      </w:r>
      <w:r>
        <w:rPr>
          <w:lang w:val="fr-CA"/>
        </w:rPr>
        <w:t>important</w:t>
      </w:r>
      <w:r w:rsidRPr="00CA4523">
        <w:rPr>
          <w:lang w:val="fr-CA"/>
        </w:rPr>
        <w:t xml:space="preserve"> entre le litige et l</w:t>
      </w:r>
      <w:r>
        <w:rPr>
          <w:lang w:val="fr-CA"/>
        </w:rPr>
        <w:t>’</w:t>
      </w:r>
      <w:r w:rsidRPr="00CA4523">
        <w:rPr>
          <w:lang w:val="fr-CA"/>
        </w:rPr>
        <w:t>Utah</w:t>
      </w:r>
      <w:r>
        <w:rPr>
          <w:lang w:val="fr-CA"/>
        </w:rPr>
        <w:t xml:space="preserve"> compte tenu de la reconnaissance de la compétence du tribunal de cet État par M. Barer</w:t>
      </w:r>
      <w:r w:rsidRPr="00CA4523">
        <w:rPr>
          <w:lang w:val="fr-CA"/>
        </w:rPr>
        <w:t>, l</w:t>
      </w:r>
      <w:r>
        <w:rPr>
          <w:lang w:val="fr-CA"/>
        </w:rPr>
        <w:t>’art. </w:t>
      </w:r>
      <w:r w:rsidRPr="00CA4523">
        <w:rPr>
          <w:lang w:val="fr-CA"/>
        </w:rPr>
        <w:t>3164 </w:t>
      </w:r>
      <w:r w:rsidRPr="00CA4523">
        <w:rPr>
          <w:i/>
          <w:lang w:val="fr-CA"/>
        </w:rPr>
        <w:t xml:space="preserve">C.c.Q. </w:t>
      </w:r>
      <w:r w:rsidRPr="00CA4523">
        <w:rPr>
          <w:lang w:val="fr-CA"/>
        </w:rPr>
        <w:t>n</w:t>
      </w:r>
      <w:r>
        <w:rPr>
          <w:lang w:val="fr-CA"/>
        </w:rPr>
        <w:t>’</w:t>
      </w:r>
      <w:r w:rsidRPr="00CA4523">
        <w:rPr>
          <w:lang w:val="fr-CA"/>
        </w:rPr>
        <w:t xml:space="preserve">empêche pas </w:t>
      </w:r>
      <w:r w:rsidRPr="00CA4523">
        <w:rPr>
          <w:lang w:val="fr-CA"/>
        </w:rPr>
        <w:lastRenderedPageBreak/>
        <w:t xml:space="preserve">la reconnaissance du jugement par défaut rendu contre </w:t>
      </w:r>
      <w:r>
        <w:rPr>
          <w:lang w:val="fr-CA"/>
        </w:rPr>
        <w:t>lui</w:t>
      </w:r>
      <w:r w:rsidRPr="00CA4523">
        <w:rPr>
          <w:lang w:val="fr-CA"/>
        </w:rPr>
        <w:t xml:space="preserve"> par </w:t>
      </w:r>
      <w:r>
        <w:rPr>
          <w:lang w:val="fr-CA"/>
        </w:rPr>
        <w:t>ce tribunal. J</w:t>
      </w:r>
      <w:r w:rsidRPr="00CA4523">
        <w:rPr>
          <w:lang w:val="fr-CA"/>
        </w:rPr>
        <w:t xml:space="preserve">e suis </w:t>
      </w:r>
      <w:r>
        <w:rPr>
          <w:lang w:val="fr-CA"/>
        </w:rPr>
        <w:t xml:space="preserve">donc </w:t>
      </w:r>
      <w:r w:rsidRPr="00CA4523">
        <w:rPr>
          <w:lang w:val="fr-CA"/>
        </w:rPr>
        <w:t>d</w:t>
      </w:r>
      <w:r>
        <w:rPr>
          <w:lang w:val="fr-CA"/>
        </w:rPr>
        <w:t>’</w:t>
      </w:r>
      <w:r w:rsidRPr="00CA4523">
        <w:rPr>
          <w:lang w:val="fr-CA"/>
        </w:rPr>
        <w:t xml:space="preserve">avis de rejeter le pourvoi avec dépens. </w:t>
      </w:r>
    </w:p>
    <w:p w:rsidR="00AF6697" w:rsidRDefault="00AF6697" w:rsidP="00F5682B">
      <w:pPr>
        <w:spacing w:after="480" w:line="480" w:lineRule="auto"/>
        <w:ind w:firstLine="1260"/>
        <w:rPr>
          <w:lang w:val="fr-CA"/>
        </w:rPr>
      </w:pPr>
      <w:r w:rsidRPr="00624CEC">
        <w:rPr>
          <w:lang w:val="fr-CA"/>
        </w:rPr>
        <w:t>Version française des motifs rendus par</w:t>
      </w:r>
    </w:p>
    <w:p w:rsidR="00AF6697" w:rsidRPr="009F420B" w:rsidRDefault="00AF6697" w:rsidP="00AF6697">
      <w:pPr>
        <w:pStyle w:val="JudgeJuge"/>
        <w:spacing w:before="480"/>
        <w:rPr>
          <w:lang w:val="fr-CA"/>
        </w:rPr>
      </w:pPr>
      <w:r w:rsidRPr="009F420B">
        <w:rPr>
          <w:lang w:val="fr-CA"/>
        </w:rPr>
        <w:tab/>
        <w:t xml:space="preserve">Le juge Brown — </w:t>
      </w:r>
    </w:p>
    <w:p w:rsidR="00AF6697" w:rsidRPr="00561464" w:rsidRDefault="00AF6697" w:rsidP="00AF6697">
      <w:pPr>
        <w:pStyle w:val="Title1LevelTitre1Niveau-AltL"/>
        <w:numPr>
          <w:ilvl w:val="0"/>
          <w:numId w:val="9"/>
        </w:numPr>
        <w:jc w:val="both"/>
        <w:rPr>
          <w:rFonts w:cs="Times New Roman"/>
          <w:lang w:val="fr-CA"/>
        </w:rPr>
      </w:pPr>
      <w:bookmarkStart w:id="4" w:name="_Toc528239563"/>
      <w:r w:rsidRPr="00561464">
        <w:rPr>
          <w:rFonts w:cs="Times New Roman"/>
          <w:lang w:val="fr-CA"/>
        </w:rPr>
        <w:t>Introduction</w:t>
      </w:r>
      <w:bookmarkEnd w:id="4"/>
    </w:p>
    <w:p w:rsidR="00AF6697" w:rsidRPr="009F420B" w:rsidRDefault="00AF6697" w:rsidP="00AF6697">
      <w:pPr>
        <w:pStyle w:val="ParaNoNdepar-AltN"/>
        <w:tabs>
          <w:tab w:val="clear" w:pos="1166"/>
          <w:tab w:val="num" w:pos="1152"/>
        </w:tabs>
        <w:rPr>
          <w:rFonts w:cs="Times New Roman"/>
          <w:lang w:val="fr-CA"/>
        </w:rPr>
      </w:pPr>
      <w:r w:rsidRPr="009F420B">
        <w:rPr>
          <w:rFonts w:cs="Times New Roman"/>
          <w:lang w:val="fr-CA"/>
        </w:rPr>
        <w:t>Bien que je partage l</w:t>
      </w:r>
      <w:r>
        <w:rPr>
          <w:rFonts w:cs="Times New Roman"/>
          <w:lang w:val="fr-CA"/>
        </w:rPr>
        <w:t>’</w:t>
      </w:r>
      <w:r w:rsidRPr="009F420B">
        <w:rPr>
          <w:rFonts w:cs="Times New Roman"/>
          <w:lang w:val="fr-CA"/>
        </w:rPr>
        <w:t>avis de mon collègue le juge Gascon suivant lequel le présent pourvoi devrait être rejeté, j</w:t>
      </w:r>
      <w:r>
        <w:rPr>
          <w:rFonts w:cs="Times New Roman"/>
          <w:lang w:val="fr-CA"/>
        </w:rPr>
        <w:t>’</w:t>
      </w:r>
      <w:r w:rsidRPr="009F420B">
        <w:rPr>
          <w:rFonts w:cs="Times New Roman"/>
          <w:lang w:val="fr-CA"/>
        </w:rPr>
        <w:t xml:space="preserve">arrive à cette conclusion par un chemin différent. À mon avis, et pour les raisons exposées par ma collègue la juge Côté aux </w:t>
      </w:r>
      <w:r>
        <w:rPr>
          <w:rFonts w:cs="Times New Roman"/>
          <w:lang w:val="fr-CA"/>
        </w:rPr>
        <w:t>par. </w:t>
      </w:r>
      <w:r w:rsidRPr="009F420B">
        <w:rPr>
          <w:rFonts w:cs="Times New Roman"/>
          <w:lang w:val="fr-CA"/>
        </w:rPr>
        <w:t>210</w:t>
      </w:r>
      <w:r w:rsidR="0021651C">
        <w:rPr>
          <w:rFonts w:cs="Times New Roman"/>
          <w:lang w:val="fr-CA"/>
        </w:rPr>
        <w:t xml:space="preserve"> à </w:t>
      </w:r>
      <w:r w:rsidRPr="009F420B">
        <w:rPr>
          <w:rFonts w:cs="Times New Roman"/>
          <w:lang w:val="fr-CA"/>
        </w:rPr>
        <w:t>232</w:t>
      </w:r>
      <w:r w:rsidR="00737C18">
        <w:rPr>
          <w:rFonts w:cs="Times New Roman"/>
          <w:lang w:val="fr-CA"/>
        </w:rPr>
        <w:t xml:space="preserve"> de ses motifs</w:t>
      </w:r>
      <w:r w:rsidRPr="009F420B">
        <w:rPr>
          <w:rFonts w:cs="Times New Roman"/>
          <w:lang w:val="fr-CA"/>
        </w:rPr>
        <w:t>, M. Barer n</w:t>
      </w:r>
      <w:r>
        <w:rPr>
          <w:rFonts w:cs="Times New Roman"/>
          <w:lang w:val="fr-CA"/>
        </w:rPr>
        <w:t>’</w:t>
      </w:r>
      <w:r w:rsidRPr="009F420B">
        <w:rPr>
          <w:rFonts w:cs="Times New Roman"/>
          <w:lang w:val="fr-CA"/>
        </w:rPr>
        <w:t>a pas reconnu la compétence du tribunal de l</w:t>
      </w:r>
      <w:r>
        <w:rPr>
          <w:rFonts w:cs="Times New Roman"/>
          <w:lang w:val="fr-CA"/>
        </w:rPr>
        <w:t>’</w:t>
      </w:r>
      <w:r w:rsidRPr="009F420B">
        <w:rPr>
          <w:rFonts w:cs="Times New Roman"/>
          <w:lang w:val="fr-CA"/>
        </w:rPr>
        <w:t>Utah au sens où il faut l</w:t>
      </w:r>
      <w:r>
        <w:rPr>
          <w:rFonts w:cs="Times New Roman"/>
          <w:lang w:val="fr-CA"/>
        </w:rPr>
        <w:t>’</w:t>
      </w:r>
      <w:r w:rsidRPr="009F420B">
        <w:rPr>
          <w:rFonts w:cs="Times New Roman"/>
          <w:lang w:val="fr-CA"/>
        </w:rPr>
        <w:t>entendre pour l</w:t>
      </w:r>
      <w:r>
        <w:rPr>
          <w:rFonts w:cs="Times New Roman"/>
          <w:lang w:val="fr-CA"/>
        </w:rPr>
        <w:t>’</w:t>
      </w:r>
      <w:r w:rsidRPr="009F420B">
        <w:rPr>
          <w:rFonts w:cs="Times New Roman"/>
          <w:lang w:val="fr-CA"/>
        </w:rPr>
        <w:t xml:space="preserve">application </w:t>
      </w:r>
      <w:r w:rsidR="00964475">
        <w:rPr>
          <w:rFonts w:cs="Times New Roman"/>
          <w:lang w:val="fr-CA"/>
        </w:rPr>
        <w:t>du par.</w:t>
      </w:r>
      <w:r>
        <w:rPr>
          <w:rFonts w:cs="Times New Roman"/>
          <w:lang w:val="fr-CA"/>
        </w:rPr>
        <w:t> </w:t>
      </w:r>
      <w:r w:rsidRPr="009F420B">
        <w:rPr>
          <w:rFonts w:cs="Times New Roman"/>
          <w:lang w:val="fr-CA"/>
        </w:rPr>
        <w:t xml:space="preserve">3168(6) du </w:t>
      </w:r>
      <w:r w:rsidRPr="009F420B">
        <w:rPr>
          <w:rFonts w:cs="Times New Roman"/>
          <w:i/>
          <w:lang w:val="fr-CA"/>
        </w:rPr>
        <w:t>Code civil du Québec</w:t>
      </w:r>
      <w:r w:rsidRPr="009F420B">
        <w:rPr>
          <w:rFonts w:cs="Times New Roman"/>
          <w:lang w:val="fr-CA"/>
        </w:rPr>
        <w:t xml:space="preserve"> (« </w:t>
      </w:r>
      <w:r w:rsidRPr="009F420B">
        <w:rPr>
          <w:rFonts w:cs="Times New Roman"/>
          <w:i/>
          <w:lang w:val="fr-CA"/>
        </w:rPr>
        <w:t>C.c.Q.</w:t>
      </w:r>
      <w:r w:rsidRPr="009F420B">
        <w:rPr>
          <w:rFonts w:cs="Times New Roman"/>
          <w:lang w:val="fr-CA"/>
        </w:rPr>
        <w:t> » ou « </w:t>
      </w:r>
      <w:r w:rsidRPr="009F420B">
        <w:rPr>
          <w:rFonts w:cs="Times New Roman"/>
          <w:i/>
          <w:lang w:val="fr-CA"/>
        </w:rPr>
        <w:t>Code civil</w:t>
      </w:r>
      <w:r w:rsidRPr="009F420B">
        <w:rPr>
          <w:rFonts w:cs="Times New Roman"/>
          <w:lang w:val="fr-CA"/>
        </w:rPr>
        <w:t xml:space="preserve"> »). Je suis toutefois persuadé que la compétence de ce tribunal a été établie au titre </w:t>
      </w:r>
      <w:r w:rsidR="00964475">
        <w:rPr>
          <w:rFonts w:cs="Times New Roman"/>
          <w:lang w:val="fr-CA"/>
        </w:rPr>
        <w:t>du par</w:t>
      </w:r>
      <w:r>
        <w:rPr>
          <w:rFonts w:cs="Times New Roman"/>
          <w:lang w:val="fr-CA"/>
        </w:rPr>
        <w:t>. </w:t>
      </w:r>
      <w:r w:rsidRPr="009F420B">
        <w:rPr>
          <w:rFonts w:cs="Times New Roman"/>
          <w:lang w:val="fr-CA"/>
        </w:rPr>
        <w:t xml:space="preserve">3168(4), </w:t>
      </w:r>
      <w:r w:rsidR="00964475">
        <w:rPr>
          <w:rFonts w:cs="Times New Roman"/>
          <w:lang w:val="fr-CA"/>
        </w:rPr>
        <w:t xml:space="preserve">et des art. </w:t>
      </w:r>
      <w:r w:rsidRPr="009F420B">
        <w:rPr>
          <w:rFonts w:cs="Times New Roman"/>
          <w:lang w:val="fr-CA"/>
        </w:rPr>
        <w:t xml:space="preserve">3164 et 3139 </w:t>
      </w:r>
      <w:r w:rsidRPr="009F420B">
        <w:rPr>
          <w:rFonts w:cs="Times New Roman"/>
          <w:i/>
          <w:lang w:val="fr-CA"/>
        </w:rPr>
        <w:t>C.c.Q.</w:t>
      </w:r>
      <w:r w:rsidRPr="009F420B">
        <w:rPr>
          <w:rFonts w:cs="Times New Roman"/>
          <w:lang w:val="fr-CA"/>
        </w:rPr>
        <w:t>, et je vais expliquer pourquoi.</w:t>
      </w:r>
    </w:p>
    <w:p w:rsidR="00AF6697" w:rsidRPr="009F420B" w:rsidRDefault="00AF6697" w:rsidP="00AF6697">
      <w:pPr>
        <w:pStyle w:val="Title1LevelTitre1Niveau-AltL"/>
        <w:jc w:val="both"/>
        <w:rPr>
          <w:rFonts w:cs="Times New Roman"/>
          <w:lang w:val="fr-CA"/>
        </w:rPr>
      </w:pPr>
      <w:bookmarkStart w:id="5" w:name="_Toc528239564"/>
      <w:r w:rsidRPr="009F420B">
        <w:rPr>
          <w:rFonts w:cs="Times New Roman"/>
          <w:lang w:val="fr-CA"/>
        </w:rPr>
        <w:t>Analys</w:t>
      </w:r>
      <w:bookmarkEnd w:id="5"/>
      <w:r w:rsidRPr="009F420B">
        <w:rPr>
          <w:rFonts w:cs="Times New Roman"/>
          <w:lang w:val="fr-CA"/>
        </w:rPr>
        <w:t>e</w:t>
      </w:r>
    </w:p>
    <w:p w:rsidR="00AF6697" w:rsidRPr="009F420B" w:rsidRDefault="0062187A" w:rsidP="00AF6697">
      <w:pPr>
        <w:pStyle w:val="Title2LevelTitre2Niveau"/>
        <w:jc w:val="both"/>
        <w:rPr>
          <w:rFonts w:cs="Times New Roman"/>
          <w:lang w:val="fr-CA"/>
        </w:rPr>
      </w:pPr>
      <w:bookmarkStart w:id="6" w:name="_Toc528239565"/>
      <w:r>
        <w:rPr>
          <w:rFonts w:cs="Times New Roman"/>
          <w:lang w:val="fr-CA"/>
        </w:rPr>
        <w:t>Paragraphe</w:t>
      </w:r>
      <w:r w:rsidR="00AF6697" w:rsidRPr="009F420B">
        <w:rPr>
          <w:rFonts w:cs="Times New Roman"/>
          <w:lang w:val="fr-CA"/>
        </w:rPr>
        <w:t> 3168(4) C.c.Q.</w:t>
      </w:r>
      <w:bookmarkEnd w:id="6"/>
    </w:p>
    <w:p w:rsidR="00AF6697" w:rsidRPr="009F420B" w:rsidRDefault="00AF6697" w:rsidP="00AF6697">
      <w:pPr>
        <w:pStyle w:val="ParaNoNdepar-AltN"/>
        <w:rPr>
          <w:rFonts w:cs="Times New Roman"/>
          <w:lang w:val="fr-CA"/>
        </w:rPr>
      </w:pPr>
      <w:r w:rsidRPr="009F420B">
        <w:rPr>
          <w:rFonts w:cs="Times New Roman"/>
          <w:lang w:val="fr-CA"/>
        </w:rPr>
        <w:t>Comme mes collègues, je suis d</w:t>
      </w:r>
      <w:r>
        <w:rPr>
          <w:rFonts w:cs="Times New Roman"/>
          <w:lang w:val="fr-CA"/>
        </w:rPr>
        <w:t>’</w:t>
      </w:r>
      <w:r w:rsidRPr="009F420B">
        <w:rPr>
          <w:rFonts w:cs="Times New Roman"/>
          <w:lang w:val="fr-CA"/>
        </w:rPr>
        <w:t>avis que, lorsqu</w:t>
      </w:r>
      <w:r>
        <w:rPr>
          <w:rFonts w:cs="Times New Roman"/>
          <w:lang w:val="fr-CA"/>
        </w:rPr>
        <w:t>’</w:t>
      </w:r>
      <w:r w:rsidRPr="009F420B">
        <w:rPr>
          <w:rFonts w:cs="Times New Roman"/>
          <w:lang w:val="fr-CA"/>
        </w:rPr>
        <w:t>il est appelé à décider s</w:t>
      </w:r>
      <w:r>
        <w:rPr>
          <w:rFonts w:cs="Times New Roman"/>
          <w:lang w:val="fr-CA"/>
        </w:rPr>
        <w:t>’</w:t>
      </w:r>
      <w:r w:rsidRPr="009F420B">
        <w:rPr>
          <w:rFonts w:cs="Times New Roman"/>
          <w:lang w:val="fr-CA"/>
        </w:rPr>
        <w:t>il doit reconnaître ou non une décision rendue par une autorité étrangère, le tribunal québécois doit examiner la preuve soumise pour s</w:t>
      </w:r>
      <w:r>
        <w:rPr>
          <w:rFonts w:cs="Times New Roman"/>
          <w:lang w:val="fr-CA"/>
        </w:rPr>
        <w:t>’</w:t>
      </w:r>
      <w:r w:rsidRPr="009F420B">
        <w:rPr>
          <w:rFonts w:cs="Times New Roman"/>
          <w:lang w:val="fr-CA"/>
        </w:rPr>
        <w:t>assurer que l</w:t>
      </w:r>
      <w:r>
        <w:rPr>
          <w:rFonts w:cs="Times New Roman"/>
          <w:lang w:val="fr-CA"/>
        </w:rPr>
        <w:t>’</w:t>
      </w:r>
      <w:r w:rsidRPr="009F420B">
        <w:rPr>
          <w:rFonts w:cs="Times New Roman"/>
          <w:lang w:val="fr-CA"/>
        </w:rPr>
        <w:t xml:space="preserve">autorité en question avait compétence suivant les règles du </w:t>
      </w:r>
      <w:r w:rsidRPr="009F420B">
        <w:rPr>
          <w:rFonts w:cs="Times New Roman"/>
          <w:i/>
          <w:lang w:val="fr-CA"/>
        </w:rPr>
        <w:t>Code civil</w:t>
      </w:r>
      <w:r>
        <w:rPr>
          <w:rFonts w:cs="Times New Roman"/>
          <w:i/>
          <w:szCs w:val="24"/>
          <w:lang w:val="fr-CA"/>
        </w:rPr>
        <w:t> </w:t>
      </w:r>
      <w:r w:rsidRPr="00DB2AF0">
        <w:rPr>
          <w:rFonts w:cs="Times New Roman"/>
          <w:szCs w:val="24"/>
          <w:lang w:val="fr-CA"/>
        </w:rPr>
        <w:t>:</w:t>
      </w:r>
      <w:r w:rsidRPr="009F420B">
        <w:rPr>
          <w:rFonts w:cs="Times New Roman"/>
          <w:i/>
          <w:szCs w:val="24"/>
          <w:lang w:val="fr-CA"/>
        </w:rPr>
        <w:t xml:space="preserve"> </w:t>
      </w:r>
      <w:r w:rsidRPr="009F420B">
        <w:rPr>
          <w:rFonts w:cs="Times New Roman"/>
          <w:lang w:val="fr-CA"/>
        </w:rPr>
        <w:t xml:space="preserve">motifs du juge Gascon, </w:t>
      </w:r>
      <w:r>
        <w:rPr>
          <w:rFonts w:cs="Times New Roman"/>
          <w:lang w:val="fr-CA"/>
        </w:rPr>
        <w:t>par. </w:t>
      </w:r>
      <w:r w:rsidRPr="009F420B">
        <w:rPr>
          <w:rFonts w:cs="Times New Roman"/>
          <w:lang w:val="fr-CA"/>
        </w:rPr>
        <w:t xml:space="preserve">41; </w:t>
      </w:r>
      <w:r w:rsidRPr="009F420B">
        <w:rPr>
          <w:rFonts w:cs="Times New Roman"/>
          <w:lang w:val="fr-CA"/>
        </w:rPr>
        <w:lastRenderedPageBreak/>
        <w:t xml:space="preserve">motifs de la juge Côté, </w:t>
      </w:r>
      <w:r>
        <w:rPr>
          <w:rFonts w:cs="Times New Roman"/>
          <w:lang w:val="fr-CA"/>
        </w:rPr>
        <w:t>par. </w:t>
      </w:r>
      <w:r w:rsidRPr="009F420B">
        <w:rPr>
          <w:rFonts w:cs="Times New Roman"/>
          <w:lang w:val="fr-CA"/>
        </w:rPr>
        <w:t xml:space="preserve">186; </w:t>
      </w:r>
      <w:r w:rsidRPr="009F420B">
        <w:rPr>
          <w:rFonts w:cs="Times New Roman"/>
          <w:i/>
          <w:lang w:val="fr-CA"/>
        </w:rPr>
        <w:t>Iraq (State</w:t>
      </w:r>
      <w:r w:rsidR="0062187A">
        <w:rPr>
          <w:rFonts w:cs="Times New Roman"/>
          <w:i/>
          <w:lang w:val="fr-CA"/>
        </w:rPr>
        <w:t xml:space="preserve"> of) c. Heerema Zwijndrecht, b.</w:t>
      </w:r>
      <w:r w:rsidRPr="009F420B">
        <w:rPr>
          <w:rFonts w:cs="Times New Roman"/>
          <w:i/>
          <w:lang w:val="fr-CA"/>
        </w:rPr>
        <w:t>v.</w:t>
      </w:r>
      <w:r w:rsidRPr="009F420B">
        <w:rPr>
          <w:rFonts w:cs="Times New Roman"/>
          <w:lang w:val="fr-CA"/>
        </w:rPr>
        <w:t xml:space="preserve">, 2013 QCCA 1112, </w:t>
      </w:r>
      <w:r>
        <w:rPr>
          <w:rFonts w:cs="Times New Roman"/>
          <w:lang w:val="fr-CA"/>
        </w:rPr>
        <w:t>par. </w:t>
      </w:r>
      <w:r w:rsidRPr="009F420B">
        <w:rPr>
          <w:rFonts w:cs="Times New Roman"/>
          <w:lang w:val="fr-CA"/>
        </w:rPr>
        <w:t xml:space="preserve">15 (CanLII); </w:t>
      </w:r>
      <w:r w:rsidRPr="009F420B">
        <w:rPr>
          <w:rFonts w:cs="Times New Roman"/>
          <w:i/>
          <w:lang w:val="fr-CA"/>
        </w:rPr>
        <w:t>Zimmermann inc. c. Barer</w:t>
      </w:r>
      <w:r w:rsidRPr="009F420B">
        <w:rPr>
          <w:rFonts w:cs="Times New Roman"/>
          <w:lang w:val="fr-CA"/>
        </w:rPr>
        <w:t xml:space="preserve">, 2016 QCCA 260, </w:t>
      </w:r>
      <w:r>
        <w:rPr>
          <w:rFonts w:cs="Times New Roman"/>
          <w:lang w:val="fr-CA"/>
        </w:rPr>
        <w:t>par. </w:t>
      </w:r>
      <w:r w:rsidRPr="009F420B">
        <w:rPr>
          <w:rFonts w:cs="Times New Roman"/>
          <w:lang w:val="fr-CA"/>
        </w:rPr>
        <w:t>13 (CanLII). Toutefois, à la différence de mes collègues, j</w:t>
      </w:r>
      <w:r>
        <w:rPr>
          <w:rFonts w:cs="Times New Roman"/>
          <w:lang w:val="fr-CA"/>
        </w:rPr>
        <w:t>’</w:t>
      </w:r>
      <w:r w:rsidRPr="009F420B">
        <w:rPr>
          <w:rFonts w:cs="Times New Roman"/>
          <w:lang w:val="fr-CA"/>
        </w:rPr>
        <w:t>estime que le dossier dont nous sommes saisis est suffisant pour nous permettre de trancher cette question.</w:t>
      </w:r>
    </w:p>
    <w:p w:rsidR="00AF6697" w:rsidRPr="009F420B" w:rsidRDefault="00AF6697" w:rsidP="00AF6697">
      <w:pPr>
        <w:pStyle w:val="ParaNoNdepar-AltN"/>
        <w:rPr>
          <w:rFonts w:cs="Times New Roman"/>
          <w:lang w:val="fr-CA"/>
        </w:rPr>
      </w:pPr>
      <w:r w:rsidRPr="009F420B">
        <w:rPr>
          <w:rFonts w:cs="Times New Roman"/>
          <w:lang w:val="fr-CA"/>
        </w:rPr>
        <w:t>En effet, le dossier comprend des documents déposés par M. Barer qui renferment certains aveux utiles</w:t>
      </w:r>
      <w:r>
        <w:rPr>
          <w:rFonts w:cs="Times New Roman"/>
          <w:lang w:val="fr-CA"/>
        </w:rPr>
        <w:t> :</w:t>
      </w:r>
      <w:r w:rsidRPr="009F420B">
        <w:rPr>
          <w:rFonts w:cs="Times New Roman"/>
          <w:lang w:val="fr-CA"/>
        </w:rPr>
        <w:t xml:space="preserve"> voir </w:t>
      </w:r>
      <w:r>
        <w:rPr>
          <w:rFonts w:cs="Times New Roman"/>
          <w:lang w:val="fr-CA"/>
        </w:rPr>
        <w:t>art. </w:t>
      </w:r>
      <w:r w:rsidRPr="009F420B">
        <w:rPr>
          <w:rFonts w:cs="Times New Roman"/>
          <w:lang w:val="fr-CA"/>
        </w:rPr>
        <w:t xml:space="preserve">2850 et </w:t>
      </w:r>
      <w:r w:rsidR="00DB2AF0">
        <w:rPr>
          <w:rFonts w:cs="Times New Roman"/>
          <w:lang w:val="fr-CA"/>
        </w:rPr>
        <w:t>suiv</w:t>
      </w:r>
      <w:r>
        <w:rPr>
          <w:rFonts w:cs="Times New Roman"/>
          <w:lang w:val="fr-CA"/>
        </w:rPr>
        <w:t>. </w:t>
      </w:r>
      <w:r w:rsidRPr="009F420B">
        <w:rPr>
          <w:rFonts w:cs="Times New Roman"/>
          <w:i/>
          <w:lang w:val="fr-CA"/>
        </w:rPr>
        <w:t>C.c.Q.</w:t>
      </w:r>
      <w:r w:rsidRPr="009F420B">
        <w:rPr>
          <w:rFonts w:cs="Times New Roman"/>
          <w:lang w:val="fr-CA"/>
        </w:rPr>
        <w:t xml:space="preserve">; C. Piché, </w:t>
      </w:r>
      <w:r w:rsidRPr="009F420B">
        <w:rPr>
          <w:rFonts w:cs="Times New Roman"/>
          <w:i/>
          <w:lang w:val="fr-CA"/>
        </w:rPr>
        <w:t>La preuve civile</w:t>
      </w:r>
      <w:r w:rsidRPr="009F420B">
        <w:rPr>
          <w:rFonts w:cs="Times New Roman"/>
          <w:lang w:val="fr-CA"/>
        </w:rPr>
        <w:t xml:space="preserve"> (5</w:t>
      </w:r>
      <w:r w:rsidRPr="009F420B">
        <w:rPr>
          <w:rFonts w:cs="Times New Roman"/>
          <w:vertAlign w:val="superscript"/>
          <w:lang w:val="fr-CA"/>
        </w:rPr>
        <w:t>e</w:t>
      </w:r>
      <w:r w:rsidRPr="009F420B">
        <w:rPr>
          <w:rFonts w:cs="Times New Roman"/>
          <w:lang w:val="fr-CA"/>
        </w:rPr>
        <w:t> éd. 2016), n</w:t>
      </w:r>
      <w:r w:rsidRPr="009F420B">
        <w:rPr>
          <w:rFonts w:cs="Times New Roman"/>
          <w:vertAlign w:val="superscript"/>
          <w:lang w:val="fr-CA"/>
        </w:rPr>
        <w:t>os</w:t>
      </w:r>
      <w:r w:rsidRPr="009F420B">
        <w:rPr>
          <w:rFonts w:cs="Times New Roman"/>
          <w:lang w:val="fr-CA"/>
        </w:rPr>
        <w:t xml:space="preserve"> 1043 et </w:t>
      </w:r>
      <w:r w:rsidR="00DB2AF0">
        <w:rPr>
          <w:rFonts w:cs="Times New Roman"/>
          <w:lang w:val="fr-CA"/>
        </w:rPr>
        <w:t>suiv</w:t>
      </w:r>
      <w:r>
        <w:rPr>
          <w:rFonts w:cs="Times New Roman"/>
          <w:lang w:val="fr-CA"/>
        </w:rPr>
        <w:t>. </w:t>
      </w:r>
      <w:r w:rsidRPr="009F420B">
        <w:rPr>
          <w:rFonts w:cs="Times New Roman"/>
          <w:lang w:val="fr-CA"/>
        </w:rPr>
        <w:t>Sur la foi de ces aveux, je tiens pour avérés les faits suivants</w:t>
      </w:r>
      <w:r>
        <w:rPr>
          <w:rFonts w:cs="Times New Roman"/>
          <w:lang w:val="fr-CA"/>
        </w:rPr>
        <w:t> :</w:t>
      </w:r>
    </w:p>
    <w:p w:rsidR="00AF6697" w:rsidRPr="009F420B" w:rsidRDefault="00AF6697" w:rsidP="00420486">
      <w:pPr>
        <w:pStyle w:val="Citation-AltC"/>
        <w:numPr>
          <w:ilvl w:val="0"/>
          <w:numId w:val="5"/>
        </w:numPr>
        <w:spacing w:after="480" w:line="480" w:lineRule="auto"/>
        <w:ind w:left="1170" w:hanging="1170"/>
        <w:contextualSpacing w:val="0"/>
        <w:rPr>
          <w:lang w:val="fr-CA"/>
        </w:rPr>
      </w:pPr>
      <w:r w:rsidRPr="009F420B">
        <w:rPr>
          <w:lang w:val="fr-CA"/>
        </w:rPr>
        <w:t xml:space="preserve">M. Barer réside à Montréal (Québec) (d.a., </w:t>
      </w:r>
      <w:r>
        <w:rPr>
          <w:lang w:val="fr-CA"/>
        </w:rPr>
        <w:t>vol. </w:t>
      </w:r>
      <w:r w:rsidRPr="009F420B">
        <w:rPr>
          <w:lang w:val="fr-CA"/>
        </w:rPr>
        <w:t xml:space="preserve">II, </w:t>
      </w:r>
      <w:r>
        <w:rPr>
          <w:lang w:val="fr-CA"/>
        </w:rPr>
        <w:t>p. </w:t>
      </w:r>
      <w:r w:rsidRPr="009F420B">
        <w:rPr>
          <w:lang w:val="fr-CA"/>
        </w:rPr>
        <w:t>90);</w:t>
      </w:r>
    </w:p>
    <w:p w:rsidR="00AF6697" w:rsidRPr="0002253B" w:rsidRDefault="00AF6697" w:rsidP="00420486">
      <w:pPr>
        <w:pStyle w:val="Citation-AltC"/>
        <w:numPr>
          <w:ilvl w:val="0"/>
          <w:numId w:val="5"/>
        </w:numPr>
        <w:spacing w:after="480" w:line="480" w:lineRule="auto"/>
        <w:ind w:left="1170" w:hanging="1170"/>
        <w:contextualSpacing w:val="0"/>
        <w:rPr>
          <w:lang w:val="fr-CA"/>
        </w:rPr>
      </w:pPr>
      <w:r w:rsidRPr="0002253B">
        <w:rPr>
          <w:lang w:val="fr-CA"/>
        </w:rPr>
        <w:t>En 2007, la Barer Engineering Company of America (« BEC ») a obtenu un contrat en vue de l’installation de machinerie sur une base militaire, dans l’Utah (d.a., vol. II, p. 75)</w:t>
      </w:r>
      <w:r w:rsidRPr="00F5682B">
        <w:rPr>
          <w:rStyle w:val="Hyperlink"/>
          <w:u w:val="none"/>
          <w:vertAlign w:val="superscript"/>
        </w:rPr>
        <w:footnoteReference w:id="2"/>
      </w:r>
      <w:r w:rsidR="007962E4">
        <w:rPr>
          <w:rStyle w:val="Hyperlink"/>
          <w:u w:val="none"/>
          <w:lang w:val="fr-CA"/>
        </w:rPr>
        <w:t>;</w:t>
      </w:r>
    </w:p>
    <w:p w:rsidR="00AF6697" w:rsidRPr="0002253B" w:rsidRDefault="00AF6697" w:rsidP="00420486">
      <w:pPr>
        <w:pStyle w:val="Citation-AltC"/>
        <w:numPr>
          <w:ilvl w:val="0"/>
          <w:numId w:val="5"/>
        </w:numPr>
        <w:spacing w:after="480" w:line="480" w:lineRule="auto"/>
        <w:ind w:left="1170" w:hanging="1170"/>
        <w:contextualSpacing w:val="0"/>
        <w:rPr>
          <w:lang w:val="fr-CA"/>
        </w:rPr>
      </w:pPr>
      <w:r w:rsidRPr="0002253B">
        <w:rPr>
          <w:lang w:val="fr-CA"/>
        </w:rPr>
        <w:t>En 2008, BEC a sous</w:t>
      </w:r>
      <w:r w:rsidRPr="0002253B">
        <w:rPr>
          <w:lang w:val="fr-CA"/>
        </w:rPr>
        <w:noBreakHyphen/>
        <w:t xml:space="preserve">traité une partie des travaux à Knight Brothers LLC (« Knight »), à qui elle a notamment confié la tâche d’installer de nouvelles fondations (d.a., vol. II, p. 75); </w:t>
      </w:r>
      <w:r w:rsidR="00DB2AF0">
        <w:rPr>
          <w:lang w:val="fr-CA"/>
        </w:rPr>
        <w:t>et</w:t>
      </w:r>
    </w:p>
    <w:p w:rsidR="00AF6697" w:rsidRPr="009F420B" w:rsidRDefault="00AF6697" w:rsidP="00420486">
      <w:pPr>
        <w:pStyle w:val="Citation-AltC"/>
        <w:numPr>
          <w:ilvl w:val="0"/>
          <w:numId w:val="5"/>
        </w:numPr>
        <w:spacing w:after="480" w:line="480" w:lineRule="auto"/>
        <w:ind w:left="1170" w:hanging="1170"/>
        <w:contextualSpacing w:val="0"/>
        <w:rPr>
          <w:lang w:val="fr-CA"/>
        </w:rPr>
      </w:pPr>
      <w:r w:rsidRPr="009F420B">
        <w:rPr>
          <w:lang w:val="fr-CA"/>
        </w:rPr>
        <w:lastRenderedPageBreak/>
        <w:t xml:space="preserve">M. Barer a joué un « rôle clé » dans les échanges avec Knight, en sa qualité de président de BEC (d.a., </w:t>
      </w:r>
      <w:r>
        <w:rPr>
          <w:lang w:val="fr-CA"/>
        </w:rPr>
        <w:t>vol. </w:t>
      </w:r>
      <w:r w:rsidRPr="009F420B">
        <w:rPr>
          <w:lang w:val="fr-CA"/>
        </w:rPr>
        <w:t xml:space="preserve">II, </w:t>
      </w:r>
      <w:r>
        <w:rPr>
          <w:lang w:val="fr-CA"/>
        </w:rPr>
        <w:t>p. </w:t>
      </w:r>
      <w:r w:rsidRPr="009F420B">
        <w:rPr>
          <w:lang w:val="fr-CA"/>
        </w:rPr>
        <w:t>81</w:t>
      </w:r>
      <w:r>
        <w:rPr>
          <w:lang w:val="fr-CA"/>
        </w:rPr>
        <w:noBreakHyphen/>
      </w:r>
      <w:r w:rsidRPr="009F420B">
        <w:rPr>
          <w:lang w:val="fr-CA"/>
        </w:rPr>
        <w:t xml:space="preserve">82). </w:t>
      </w:r>
    </w:p>
    <w:p w:rsidR="00AF6697" w:rsidRPr="009F420B" w:rsidRDefault="00AF6697" w:rsidP="00AF6697">
      <w:pPr>
        <w:pStyle w:val="ParaNoNdepar-AltN"/>
        <w:rPr>
          <w:rFonts w:cs="Times New Roman"/>
          <w:lang w:val="fr-CA"/>
        </w:rPr>
      </w:pPr>
      <w:r w:rsidRPr="009F420B">
        <w:rPr>
          <w:rFonts w:cs="Times New Roman"/>
          <w:lang w:val="fr-CA"/>
        </w:rPr>
        <w:t>Je tiens également pour avérés les faits suivants, qui ont été admis dans les documents déposés par BEC</w:t>
      </w:r>
      <w:r>
        <w:rPr>
          <w:rFonts w:cs="Times New Roman"/>
          <w:lang w:val="fr-CA"/>
        </w:rPr>
        <w:t> :</w:t>
      </w:r>
    </w:p>
    <w:p w:rsidR="00AF6697" w:rsidRPr="009F420B" w:rsidRDefault="00AF6697" w:rsidP="00420486">
      <w:pPr>
        <w:pStyle w:val="Citation-AltC"/>
        <w:numPr>
          <w:ilvl w:val="0"/>
          <w:numId w:val="5"/>
        </w:numPr>
        <w:spacing w:after="480" w:line="480" w:lineRule="auto"/>
        <w:ind w:left="1260" w:hanging="1260"/>
        <w:contextualSpacing w:val="0"/>
        <w:rPr>
          <w:lang w:val="fr-CA"/>
        </w:rPr>
      </w:pPr>
      <w:r w:rsidRPr="009F420B">
        <w:rPr>
          <w:lang w:val="fr-CA"/>
        </w:rPr>
        <w:t xml:space="preserve">BEC est une société du Vermont dont le bureau principal est situé à Burlington, au Vermont (d.a., </w:t>
      </w:r>
      <w:r>
        <w:rPr>
          <w:lang w:val="fr-CA"/>
        </w:rPr>
        <w:t>vol. </w:t>
      </w:r>
      <w:r w:rsidRPr="009F420B">
        <w:rPr>
          <w:lang w:val="fr-CA"/>
        </w:rPr>
        <w:t xml:space="preserve">II, </w:t>
      </w:r>
      <w:r>
        <w:rPr>
          <w:lang w:val="fr-CA"/>
        </w:rPr>
        <w:t>p. </w:t>
      </w:r>
      <w:r w:rsidRPr="009F420B">
        <w:rPr>
          <w:lang w:val="fr-CA"/>
        </w:rPr>
        <w:t xml:space="preserve">123 et 131); </w:t>
      </w:r>
      <w:r w:rsidR="00DB2AF0">
        <w:rPr>
          <w:lang w:val="fr-CA"/>
        </w:rPr>
        <w:t>et</w:t>
      </w:r>
    </w:p>
    <w:p w:rsidR="00AF6697" w:rsidRPr="009F420B" w:rsidRDefault="00AF6697" w:rsidP="00420486">
      <w:pPr>
        <w:pStyle w:val="Citation-AltC"/>
        <w:numPr>
          <w:ilvl w:val="0"/>
          <w:numId w:val="5"/>
        </w:numPr>
        <w:spacing w:after="480" w:line="480" w:lineRule="auto"/>
        <w:ind w:left="1260" w:hanging="1260"/>
        <w:contextualSpacing w:val="0"/>
        <w:rPr>
          <w:lang w:val="fr-CA"/>
        </w:rPr>
      </w:pPr>
      <w:r w:rsidRPr="009F420B">
        <w:rPr>
          <w:lang w:val="fr-CA"/>
        </w:rPr>
        <w:t>M. Barer est le secrétaire et président par intérim de BEC, comme il l</w:t>
      </w:r>
      <w:r>
        <w:rPr>
          <w:lang w:val="fr-CA"/>
        </w:rPr>
        <w:t>’</w:t>
      </w:r>
      <w:r w:rsidRPr="009F420B">
        <w:rPr>
          <w:lang w:val="fr-CA"/>
        </w:rPr>
        <w:t>a lui</w:t>
      </w:r>
      <w:r>
        <w:rPr>
          <w:lang w:val="fr-CA"/>
        </w:rPr>
        <w:noBreakHyphen/>
      </w:r>
      <w:r w:rsidRPr="009F420B">
        <w:rPr>
          <w:lang w:val="fr-CA"/>
        </w:rPr>
        <w:t xml:space="preserve">même admis (d.a., </w:t>
      </w:r>
      <w:r>
        <w:rPr>
          <w:lang w:val="fr-CA"/>
        </w:rPr>
        <w:t>vol. </w:t>
      </w:r>
      <w:r w:rsidRPr="009F420B">
        <w:rPr>
          <w:lang w:val="fr-CA"/>
        </w:rPr>
        <w:t xml:space="preserve">II, </w:t>
      </w:r>
      <w:r>
        <w:rPr>
          <w:lang w:val="fr-CA"/>
        </w:rPr>
        <w:t>p. </w:t>
      </w:r>
      <w:r w:rsidRPr="009F420B">
        <w:rPr>
          <w:lang w:val="fr-CA"/>
        </w:rPr>
        <w:t xml:space="preserve">123). </w:t>
      </w:r>
    </w:p>
    <w:p w:rsidR="00AF6697" w:rsidRPr="009F420B" w:rsidRDefault="00AF6697" w:rsidP="00AF6697">
      <w:pPr>
        <w:pStyle w:val="ParaNoNdepar-AltN"/>
        <w:rPr>
          <w:rFonts w:cs="Times New Roman"/>
          <w:lang w:val="fr-CA"/>
        </w:rPr>
      </w:pPr>
      <w:r w:rsidRPr="009F420B">
        <w:rPr>
          <w:rFonts w:cs="Times New Roman"/>
          <w:lang w:val="fr-CA"/>
        </w:rPr>
        <w:t>Knight, [</w:t>
      </w:r>
      <w:r w:rsidRPr="009F420B">
        <w:rPr>
          <w:rFonts w:cs="Times New Roman"/>
          <w:smallCaps/>
          <w:lang w:val="fr-CA"/>
        </w:rPr>
        <w:t>traduction</w:t>
      </w:r>
      <w:r w:rsidRPr="009F420B">
        <w:rPr>
          <w:rFonts w:cs="Times New Roman"/>
          <w:lang w:val="fr-CA"/>
        </w:rPr>
        <w:t>] « une société à responsabilité limitée et une entreprise détenant un permis d</w:t>
      </w:r>
      <w:r>
        <w:rPr>
          <w:rFonts w:cs="Times New Roman"/>
          <w:lang w:val="fr-CA"/>
        </w:rPr>
        <w:t>’</w:t>
      </w:r>
      <w:r w:rsidRPr="009F420B">
        <w:rPr>
          <w:rFonts w:cs="Times New Roman"/>
          <w:lang w:val="fr-CA"/>
        </w:rPr>
        <w:t>exploitation délivré par l</w:t>
      </w:r>
      <w:r>
        <w:rPr>
          <w:rFonts w:cs="Times New Roman"/>
          <w:lang w:val="fr-CA"/>
        </w:rPr>
        <w:t>’</w:t>
      </w:r>
      <w:r w:rsidRPr="009F420B">
        <w:rPr>
          <w:rFonts w:cs="Times New Roman"/>
          <w:lang w:val="fr-CA"/>
        </w:rPr>
        <w:t>État de l</w:t>
      </w:r>
      <w:r>
        <w:rPr>
          <w:rFonts w:cs="Times New Roman"/>
          <w:lang w:val="fr-CA"/>
        </w:rPr>
        <w:t>’</w:t>
      </w:r>
      <w:r w:rsidRPr="009F420B">
        <w:rPr>
          <w:rFonts w:cs="Times New Roman"/>
          <w:lang w:val="fr-CA"/>
        </w:rPr>
        <w:t>Utah et dont le principal lieu d</w:t>
      </w:r>
      <w:r>
        <w:rPr>
          <w:rFonts w:cs="Times New Roman"/>
          <w:lang w:val="fr-CA"/>
        </w:rPr>
        <w:t>’</w:t>
      </w:r>
      <w:r w:rsidRPr="009F420B">
        <w:rPr>
          <w:rFonts w:cs="Times New Roman"/>
          <w:lang w:val="fr-CA"/>
        </w:rPr>
        <w:t>affaires est situé dans le comté de Salt Lake, dans l</w:t>
      </w:r>
      <w:r>
        <w:rPr>
          <w:rFonts w:cs="Times New Roman"/>
          <w:lang w:val="fr-CA"/>
        </w:rPr>
        <w:t>’</w:t>
      </w:r>
      <w:r w:rsidRPr="009F420B">
        <w:rPr>
          <w:rFonts w:cs="Times New Roman"/>
          <w:lang w:val="fr-CA"/>
        </w:rPr>
        <w:t>Utah</w:t>
      </w:r>
      <w:r w:rsidR="0062187A">
        <w:rPr>
          <w:rFonts w:cs="Times New Roman"/>
          <w:lang w:val="fr-CA"/>
        </w:rPr>
        <w:t> </w:t>
      </w:r>
      <w:r w:rsidR="005C0F19" w:rsidRPr="007962E4">
        <w:rPr>
          <w:rStyle w:val="Hyperlink"/>
          <w:u w:val="none"/>
          <w:vertAlign w:val="superscript"/>
        </w:rPr>
        <w:footnoteReference w:id="3"/>
      </w:r>
      <w:r w:rsidR="00D778EA" w:rsidRPr="0059174F">
        <w:rPr>
          <w:rFonts w:cs="Times New Roman"/>
          <w:lang w:val="fr-CA"/>
        </w:rPr>
        <w:t>»</w:t>
      </w:r>
      <w:r w:rsidR="00D778EA">
        <w:rPr>
          <w:rFonts w:cs="Times New Roman"/>
          <w:lang w:val="fr-CA"/>
        </w:rPr>
        <w:t xml:space="preserve"> </w:t>
      </w:r>
      <w:r w:rsidRPr="009F420B">
        <w:rPr>
          <w:rFonts w:cs="Times New Roman"/>
          <w:lang w:val="fr-CA"/>
        </w:rPr>
        <w:t>a intenté un recours contre BEC, Central Bearing Corporation Ltd. (« CBC ») et M. Barer personnellement devant le tribunal de l</w:t>
      </w:r>
      <w:r>
        <w:rPr>
          <w:rFonts w:cs="Times New Roman"/>
          <w:lang w:val="fr-CA"/>
        </w:rPr>
        <w:t>’</w:t>
      </w:r>
      <w:r w:rsidRPr="009F420B">
        <w:rPr>
          <w:rFonts w:cs="Times New Roman"/>
          <w:lang w:val="fr-CA"/>
        </w:rPr>
        <w:t>Utah pour recouvrer le solde qu</w:t>
      </w:r>
      <w:r>
        <w:rPr>
          <w:rFonts w:cs="Times New Roman"/>
          <w:lang w:val="fr-CA"/>
        </w:rPr>
        <w:t>’</w:t>
      </w:r>
      <w:r w:rsidRPr="009F420B">
        <w:rPr>
          <w:rFonts w:cs="Times New Roman"/>
          <w:lang w:val="fr-CA"/>
        </w:rPr>
        <w:t>elle estimait lui être dû aux termes du contrat intervenu entre elle et BEC. Il ne fait aucun doute que le tribunal de l</w:t>
      </w:r>
      <w:r>
        <w:rPr>
          <w:rFonts w:cs="Times New Roman"/>
          <w:lang w:val="fr-CA"/>
        </w:rPr>
        <w:t>’</w:t>
      </w:r>
      <w:r w:rsidRPr="009F420B">
        <w:rPr>
          <w:rFonts w:cs="Times New Roman"/>
          <w:lang w:val="fr-CA"/>
        </w:rPr>
        <w:t xml:space="preserve">Utah avait compétence, à tout le moins sur ce « litige » contractuel, au titre </w:t>
      </w:r>
      <w:r w:rsidR="00964475">
        <w:rPr>
          <w:rFonts w:cs="Times New Roman"/>
          <w:lang w:val="fr-CA"/>
        </w:rPr>
        <w:t>du par.</w:t>
      </w:r>
      <w:r>
        <w:rPr>
          <w:rFonts w:cs="Times New Roman"/>
          <w:lang w:val="fr-CA"/>
        </w:rPr>
        <w:t> </w:t>
      </w:r>
      <w:r w:rsidRPr="009F420B">
        <w:rPr>
          <w:rFonts w:cs="Times New Roman"/>
          <w:lang w:val="fr-CA"/>
        </w:rPr>
        <w:t xml:space="preserve">3168(4) </w:t>
      </w:r>
      <w:r w:rsidRPr="009F420B">
        <w:rPr>
          <w:rFonts w:cs="Times New Roman"/>
          <w:i/>
          <w:lang w:val="fr-CA"/>
        </w:rPr>
        <w:t>C.c.Q.</w:t>
      </w:r>
      <w:r w:rsidRPr="009F420B">
        <w:rPr>
          <w:rFonts w:cs="Times New Roman"/>
          <w:lang w:val="fr-CA"/>
        </w:rPr>
        <w:t>, qui dispose</w:t>
      </w:r>
      <w:r>
        <w:rPr>
          <w:rFonts w:cs="Times New Roman"/>
          <w:lang w:val="fr-CA"/>
        </w:rPr>
        <w:t> :</w:t>
      </w:r>
    </w:p>
    <w:p w:rsidR="00AF6697" w:rsidRPr="009F420B" w:rsidRDefault="00AF6697" w:rsidP="00AF6697">
      <w:pPr>
        <w:pStyle w:val="Citation-AltC"/>
        <w:spacing w:after="240"/>
        <w:ind w:left="1168" w:hanging="1168"/>
        <w:contextualSpacing w:val="0"/>
        <w:rPr>
          <w:lang w:val="fr-CA"/>
        </w:rPr>
      </w:pPr>
      <w:r>
        <w:rPr>
          <w:b/>
          <w:lang w:val="fr-CA"/>
        </w:rPr>
        <w:tab/>
      </w:r>
      <w:r w:rsidRPr="009F420B">
        <w:rPr>
          <w:b/>
          <w:lang w:val="fr-CA"/>
        </w:rPr>
        <w:t>3168.</w:t>
      </w:r>
      <w:r>
        <w:rPr>
          <w:b/>
          <w:lang w:val="fr-CA"/>
        </w:rPr>
        <w:t> </w:t>
      </w:r>
      <w:r w:rsidRPr="009F420B">
        <w:rPr>
          <w:lang w:val="fr-CA"/>
        </w:rPr>
        <w:t>Dans les actions personnelles à caractère patrimonial, la compétence des autorités étrangères n</w:t>
      </w:r>
      <w:r>
        <w:rPr>
          <w:lang w:val="fr-CA"/>
        </w:rPr>
        <w:t>’</w:t>
      </w:r>
      <w:r w:rsidRPr="009F420B">
        <w:rPr>
          <w:lang w:val="fr-CA"/>
        </w:rPr>
        <w:t>est reconnue que dans les cas suivants</w:t>
      </w:r>
      <w:r>
        <w:rPr>
          <w:lang w:val="fr-CA"/>
        </w:rPr>
        <w:t> :</w:t>
      </w:r>
    </w:p>
    <w:p w:rsidR="00AF6697" w:rsidRPr="009F420B" w:rsidRDefault="00DB2AF0" w:rsidP="00AF6697">
      <w:pPr>
        <w:pStyle w:val="Citation-AltC"/>
        <w:spacing w:after="240"/>
        <w:ind w:left="1168" w:hanging="1168"/>
        <w:contextualSpacing w:val="0"/>
        <w:jc w:val="center"/>
        <w:rPr>
          <w:lang w:val="fr-CA"/>
        </w:rPr>
      </w:pPr>
      <w:r>
        <w:rPr>
          <w:lang w:val="fr-CA"/>
        </w:rPr>
        <w:tab/>
      </w:r>
      <w:r w:rsidR="00AF6697" w:rsidRPr="009F420B">
        <w:rPr>
          <w:lang w:val="fr-CA"/>
        </w:rPr>
        <w:t>. . .</w:t>
      </w:r>
    </w:p>
    <w:p w:rsidR="00AF6697" w:rsidRPr="009F420B" w:rsidRDefault="00AF6697" w:rsidP="00AF6697">
      <w:pPr>
        <w:pStyle w:val="Citation-AltC"/>
        <w:spacing w:after="240"/>
        <w:ind w:left="1168"/>
        <w:contextualSpacing w:val="0"/>
        <w:rPr>
          <w:lang w:val="fr-CA"/>
        </w:rPr>
      </w:pPr>
      <w:r>
        <w:rPr>
          <w:lang w:val="fr-CA"/>
        </w:rPr>
        <w:tab/>
      </w:r>
      <w:r w:rsidRPr="009F420B">
        <w:rPr>
          <w:lang w:val="fr-CA"/>
        </w:rPr>
        <w:t>4</w:t>
      </w:r>
      <w:r w:rsidRPr="009F420B">
        <w:rPr>
          <w:vertAlign w:val="superscript"/>
          <w:lang w:val="fr-CA"/>
        </w:rPr>
        <w:t>o</w:t>
      </w:r>
      <w:r w:rsidRPr="009F420B">
        <w:rPr>
          <w:lang w:val="fr-CA"/>
        </w:rPr>
        <w:t xml:space="preserve"> Les obligations découlant d</w:t>
      </w:r>
      <w:r>
        <w:rPr>
          <w:lang w:val="fr-CA"/>
        </w:rPr>
        <w:t>’</w:t>
      </w:r>
      <w:r w:rsidRPr="009F420B">
        <w:rPr>
          <w:lang w:val="fr-CA"/>
        </w:rPr>
        <w:t>un contrat devaient y être exécutées;</w:t>
      </w:r>
    </w:p>
    <w:p w:rsidR="00AF6697" w:rsidRPr="009F420B" w:rsidRDefault="00AF6697" w:rsidP="00AF6697">
      <w:pPr>
        <w:pStyle w:val="ParaNoNdepar-AltN"/>
        <w:rPr>
          <w:rFonts w:cs="Times New Roman"/>
          <w:lang w:val="fr-CA"/>
        </w:rPr>
      </w:pPr>
      <w:r w:rsidRPr="009F420B">
        <w:rPr>
          <w:rFonts w:cs="Times New Roman"/>
          <w:lang w:val="fr-CA"/>
        </w:rPr>
        <w:lastRenderedPageBreak/>
        <w:t xml:space="preserve">Knight a fait valoir </w:t>
      </w:r>
      <w:r w:rsidRPr="009F420B">
        <w:rPr>
          <w:rFonts w:cs="Times New Roman"/>
          <w:i/>
          <w:lang w:val="fr-CA"/>
        </w:rPr>
        <w:t>cinq</w:t>
      </w:r>
      <w:r w:rsidRPr="009F420B">
        <w:rPr>
          <w:rFonts w:cs="Times New Roman"/>
          <w:lang w:val="fr-CA"/>
        </w:rPr>
        <w:t xml:space="preserve"> causes d</w:t>
      </w:r>
      <w:r>
        <w:rPr>
          <w:rFonts w:cs="Times New Roman"/>
          <w:lang w:val="fr-CA"/>
        </w:rPr>
        <w:t>’</w:t>
      </w:r>
      <w:r w:rsidRPr="009F420B">
        <w:rPr>
          <w:rFonts w:cs="Times New Roman"/>
          <w:lang w:val="fr-CA"/>
        </w:rPr>
        <w:t xml:space="preserve">action contre </w:t>
      </w:r>
      <w:r w:rsidRPr="009F420B">
        <w:rPr>
          <w:rFonts w:cs="Times New Roman"/>
          <w:i/>
          <w:lang w:val="fr-CA"/>
        </w:rPr>
        <w:t>trois</w:t>
      </w:r>
      <w:r w:rsidRPr="009F420B">
        <w:rPr>
          <w:rFonts w:cs="Times New Roman"/>
          <w:lang w:val="fr-CA"/>
        </w:rPr>
        <w:t xml:space="preserve"> codéfendeurs. Elle a soutenu que</w:t>
      </w:r>
      <w:r>
        <w:rPr>
          <w:rFonts w:cs="Times New Roman"/>
          <w:lang w:val="fr-CA"/>
        </w:rPr>
        <w:t> :</w:t>
      </w:r>
      <w:r w:rsidRPr="009F420B">
        <w:rPr>
          <w:rFonts w:cs="Times New Roman"/>
          <w:lang w:val="fr-CA"/>
        </w:rPr>
        <w:t xml:space="preserve"> </w:t>
      </w:r>
      <w:r w:rsidR="00DB2AF0">
        <w:rPr>
          <w:rFonts w:cs="Times New Roman"/>
          <w:lang w:val="fr-CA"/>
        </w:rPr>
        <w:t>(</w:t>
      </w:r>
      <w:r w:rsidRPr="009F420B">
        <w:rPr>
          <w:rFonts w:cs="Times New Roman"/>
          <w:lang w:val="fr-CA"/>
        </w:rPr>
        <w:t>1) BEC et CBC n</w:t>
      </w:r>
      <w:r>
        <w:rPr>
          <w:rFonts w:cs="Times New Roman"/>
          <w:lang w:val="fr-CA"/>
        </w:rPr>
        <w:t>’</w:t>
      </w:r>
      <w:r w:rsidRPr="009F420B">
        <w:rPr>
          <w:rFonts w:cs="Times New Roman"/>
          <w:lang w:val="fr-CA"/>
        </w:rPr>
        <w:t xml:space="preserve">avaient pas respecté le contrat; </w:t>
      </w:r>
      <w:r w:rsidR="007962E4">
        <w:rPr>
          <w:rFonts w:cs="Times New Roman"/>
          <w:lang w:val="fr-CA"/>
        </w:rPr>
        <w:t>(</w:t>
      </w:r>
      <w:r w:rsidRPr="009F420B">
        <w:rPr>
          <w:rFonts w:cs="Times New Roman"/>
          <w:lang w:val="fr-CA"/>
        </w:rPr>
        <w:t>2) les défendeurs s</w:t>
      </w:r>
      <w:r>
        <w:rPr>
          <w:rFonts w:cs="Times New Roman"/>
          <w:lang w:val="fr-CA"/>
        </w:rPr>
        <w:t>’</w:t>
      </w:r>
      <w:r w:rsidRPr="009F420B">
        <w:rPr>
          <w:rFonts w:cs="Times New Roman"/>
          <w:lang w:val="fr-CA"/>
        </w:rPr>
        <w:t xml:space="preserve">étaient enrichis injustement; </w:t>
      </w:r>
      <w:r w:rsidR="00DB2AF0">
        <w:rPr>
          <w:rFonts w:cs="Times New Roman"/>
          <w:lang w:val="fr-CA"/>
        </w:rPr>
        <w:t>(</w:t>
      </w:r>
      <w:r w:rsidRPr="009F420B">
        <w:rPr>
          <w:rFonts w:cs="Times New Roman"/>
          <w:lang w:val="fr-CA"/>
        </w:rPr>
        <w:t>3) BEC était l</w:t>
      </w:r>
      <w:r>
        <w:rPr>
          <w:rFonts w:cs="Times New Roman"/>
          <w:lang w:val="fr-CA"/>
        </w:rPr>
        <w:t>’</w:t>
      </w:r>
      <w:r w:rsidRPr="009F420B">
        <w:rPr>
          <w:rFonts w:cs="Times New Roman"/>
          <w:lang w:val="fr-CA"/>
        </w:rPr>
        <w:t xml:space="preserve">alter ego de CBC; </w:t>
      </w:r>
      <w:r w:rsidR="00DB2AF0">
        <w:rPr>
          <w:rFonts w:cs="Times New Roman"/>
          <w:lang w:val="fr-CA"/>
        </w:rPr>
        <w:t>(</w:t>
      </w:r>
      <w:r w:rsidRPr="009F420B">
        <w:rPr>
          <w:rFonts w:cs="Times New Roman"/>
          <w:lang w:val="fr-CA"/>
        </w:rPr>
        <w:t xml:space="preserve">4) BEC et CBC étaient les alter ego de M. Barer; </w:t>
      </w:r>
      <w:r>
        <w:rPr>
          <w:rFonts w:cs="Times New Roman"/>
          <w:lang w:val="fr-CA"/>
        </w:rPr>
        <w:t xml:space="preserve">et </w:t>
      </w:r>
      <w:r w:rsidR="00DB2AF0">
        <w:rPr>
          <w:rFonts w:cs="Times New Roman"/>
          <w:lang w:val="fr-CA"/>
        </w:rPr>
        <w:t>(</w:t>
      </w:r>
      <w:r w:rsidRPr="009F420B">
        <w:rPr>
          <w:rFonts w:cs="Times New Roman"/>
          <w:lang w:val="fr-CA"/>
        </w:rPr>
        <w:t>5) M. Barer avait affirmé de manière inexacte et frauduleuse que les défendeurs paieraient le prix majoré pour les travaux de fondations</w:t>
      </w:r>
      <w:r>
        <w:rPr>
          <w:rFonts w:cs="Times New Roman"/>
          <w:lang w:val="fr-CA"/>
        </w:rPr>
        <w:t> :</w:t>
      </w:r>
      <w:r w:rsidRPr="009F420B">
        <w:rPr>
          <w:rFonts w:cs="Times New Roman"/>
          <w:lang w:val="fr-CA"/>
        </w:rPr>
        <w:t xml:space="preserve"> motifs du juge Gascon, </w:t>
      </w:r>
      <w:r>
        <w:rPr>
          <w:rFonts w:cs="Times New Roman"/>
          <w:lang w:val="fr-CA"/>
        </w:rPr>
        <w:t>par. </w:t>
      </w:r>
      <w:r w:rsidRPr="009F420B">
        <w:rPr>
          <w:rFonts w:cs="Times New Roman"/>
          <w:lang w:val="fr-CA"/>
        </w:rPr>
        <w:t>9. De toute évidence, ces cinq réclamations sont toutes si étroitement liées qu</w:t>
      </w:r>
      <w:r>
        <w:rPr>
          <w:rFonts w:cs="Times New Roman"/>
          <w:lang w:val="fr-CA"/>
        </w:rPr>
        <w:t>’</w:t>
      </w:r>
      <w:r w:rsidRPr="009F420B">
        <w:rPr>
          <w:rFonts w:cs="Times New Roman"/>
          <w:lang w:val="fr-CA"/>
        </w:rPr>
        <w:t>il serait possible de soutenir — indépendamment de l</w:t>
      </w:r>
      <w:r>
        <w:rPr>
          <w:rFonts w:cs="Times New Roman"/>
          <w:lang w:val="fr-CA"/>
        </w:rPr>
        <w:t>’</w:t>
      </w:r>
      <w:r w:rsidRPr="009F420B">
        <w:rPr>
          <w:rFonts w:cs="Times New Roman"/>
          <w:lang w:val="fr-CA"/>
        </w:rPr>
        <w:t>identité de chaque défendeur eu égard à chaque réclamation — qu</w:t>
      </w:r>
      <w:r>
        <w:rPr>
          <w:rFonts w:cs="Times New Roman"/>
          <w:lang w:val="fr-CA"/>
        </w:rPr>
        <w:t>’</w:t>
      </w:r>
      <w:r w:rsidRPr="009F420B">
        <w:rPr>
          <w:rFonts w:cs="Times New Roman"/>
          <w:lang w:val="fr-CA"/>
        </w:rPr>
        <w:t xml:space="preserve">elles consistent simplement en différents </w:t>
      </w:r>
      <w:r w:rsidRPr="009F420B">
        <w:rPr>
          <w:rFonts w:cs="Times New Roman"/>
          <w:i/>
          <w:lang w:val="fr-CA"/>
        </w:rPr>
        <w:t>aspects</w:t>
      </w:r>
      <w:r w:rsidRPr="009F420B">
        <w:rPr>
          <w:rFonts w:cs="Times New Roman"/>
          <w:lang w:val="fr-CA"/>
        </w:rPr>
        <w:t xml:space="preserve"> d</w:t>
      </w:r>
      <w:r>
        <w:rPr>
          <w:rFonts w:cs="Times New Roman"/>
          <w:lang w:val="fr-CA"/>
        </w:rPr>
        <w:t>’</w:t>
      </w:r>
      <w:r w:rsidRPr="009F420B">
        <w:rPr>
          <w:rFonts w:cs="Times New Roman"/>
          <w:lang w:val="fr-CA"/>
        </w:rPr>
        <w:t xml:space="preserve">un </w:t>
      </w:r>
      <w:r w:rsidRPr="009F420B">
        <w:rPr>
          <w:rFonts w:cs="Times New Roman"/>
          <w:i/>
          <w:lang w:val="fr-CA"/>
        </w:rPr>
        <w:t>seul</w:t>
      </w:r>
      <w:r w:rsidRPr="009F420B">
        <w:rPr>
          <w:rFonts w:cs="Times New Roman"/>
          <w:lang w:val="fr-CA"/>
        </w:rPr>
        <w:t xml:space="preserve"> « litige » contractuel, à l</w:t>
      </w:r>
      <w:r>
        <w:rPr>
          <w:rFonts w:cs="Times New Roman"/>
          <w:lang w:val="fr-CA"/>
        </w:rPr>
        <w:t>’</w:t>
      </w:r>
      <w:r w:rsidRPr="009F420B">
        <w:rPr>
          <w:rFonts w:cs="Times New Roman"/>
          <w:lang w:val="fr-CA"/>
        </w:rPr>
        <w:t>égard duquel il ne fait aucun doute que le tribunal de l</w:t>
      </w:r>
      <w:r>
        <w:rPr>
          <w:rFonts w:cs="Times New Roman"/>
          <w:lang w:val="fr-CA"/>
        </w:rPr>
        <w:t>’</w:t>
      </w:r>
      <w:r w:rsidRPr="009F420B">
        <w:rPr>
          <w:rFonts w:cs="Times New Roman"/>
          <w:lang w:val="fr-CA"/>
        </w:rPr>
        <w:t xml:space="preserve">Utah avait compétence au titre </w:t>
      </w:r>
      <w:r w:rsidR="0062187A">
        <w:rPr>
          <w:rFonts w:cs="Times New Roman"/>
          <w:lang w:val="fr-CA"/>
        </w:rPr>
        <w:t>d</w:t>
      </w:r>
      <w:r w:rsidR="00D968C7">
        <w:rPr>
          <w:rFonts w:cs="Times New Roman"/>
          <w:lang w:val="fr-CA"/>
        </w:rPr>
        <w:t xml:space="preserve">u par. </w:t>
      </w:r>
      <w:r w:rsidRPr="009F420B">
        <w:rPr>
          <w:rFonts w:cs="Times New Roman"/>
          <w:lang w:val="fr-CA"/>
        </w:rPr>
        <w:t xml:space="preserve">3168(4) </w:t>
      </w:r>
      <w:r w:rsidRPr="009F420B">
        <w:rPr>
          <w:rFonts w:cs="Times New Roman"/>
          <w:i/>
          <w:lang w:val="fr-CA"/>
        </w:rPr>
        <w:t>C.c.Q.</w:t>
      </w:r>
      <w:r w:rsidRPr="009F420B">
        <w:rPr>
          <w:rFonts w:cs="Times New Roman"/>
          <w:lang w:val="fr-CA"/>
        </w:rPr>
        <w:t xml:space="preserve"> Il convient de noter, à cet égard, que l</w:t>
      </w:r>
      <w:r>
        <w:rPr>
          <w:rFonts w:cs="Times New Roman"/>
          <w:lang w:val="fr-CA"/>
        </w:rPr>
        <w:t>’art. </w:t>
      </w:r>
      <w:r w:rsidRPr="009F420B">
        <w:rPr>
          <w:rFonts w:cs="Times New Roman"/>
          <w:lang w:val="fr-CA"/>
        </w:rPr>
        <w:t xml:space="preserve">3168 </w:t>
      </w:r>
      <w:r w:rsidRPr="009F420B">
        <w:rPr>
          <w:rFonts w:cs="Times New Roman"/>
          <w:i/>
          <w:lang w:val="fr-CA"/>
        </w:rPr>
        <w:t>C.c.Q.</w:t>
      </w:r>
      <w:r w:rsidRPr="009F420B">
        <w:rPr>
          <w:rFonts w:cs="Times New Roman"/>
          <w:lang w:val="fr-CA"/>
        </w:rPr>
        <w:t xml:space="preserve"> [</w:t>
      </w:r>
      <w:r w:rsidRPr="009F420B">
        <w:rPr>
          <w:rFonts w:cs="Times New Roman"/>
          <w:smallCaps/>
          <w:lang w:val="fr-CA"/>
        </w:rPr>
        <w:t>traduction</w:t>
      </w:r>
      <w:r w:rsidRPr="009F420B">
        <w:rPr>
          <w:rFonts w:cs="Times New Roman"/>
          <w:lang w:val="fr-CA"/>
        </w:rPr>
        <w:t xml:space="preserve">] « énonce expressément six </w:t>
      </w:r>
      <w:r>
        <w:rPr>
          <w:rFonts w:cs="Times New Roman"/>
          <w:lang w:val="fr-CA"/>
        </w:rPr>
        <w:t xml:space="preserve">facteurs </w:t>
      </w:r>
      <w:r w:rsidRPr="009F420B">
        <w:rPr>
          <w:rFonts w:cs="Times New Roman"/>
          <w:lang w:val="fr-CA"/>
        </w:rPr>
        <w:t xml:space="preserve">justifiant la reconnaissance de la compétence de tribunaux étrangers qui rendent des jugements dans des actions personnelles à caractère patrimonial » et « se rapporte tour à tour à la </w:t>
      </w:r>
      <w:r w:rsidRPr="009F420B">
        <w:rPr>
          <w:rFonts w:cs="Times New Roman"/>
          <w:u w:val="single"/>
          <w:lang w:val="fr-CA"/>
        </w:rPr>
        <w:t>compétence fondée sur des liens avec le défendeur</w:t>
      </w:r>
      <w:r w:rsidRPr="009F420B">
        <w:rPr>
          <w:rFonts w:cs="Times New Roman"/>
          <w:lang w:val="fr-CA"/>
        </w:rPr>
        <w:t xml:space="preserve"> et </w:t>
      </w:r>
      <w:r w:rsidRPr="009F420B">
        <w:rPr>
          <w:rFonts w:cs="Times New Roman"/>
          <w:u w:val="single"/>
          <w:lang w:val="fr-CA"/>
        </w:rPr>
        <w:t>celle fondée sur des liens avec l</w:t>
      </w:r>
      <w:r>
        <w:rPr>
          <w:rFonts w:cs="Times New Roman"/>
          <w:u w:val="single"/>
          <w:lang w:val="fr-CA"/>
        </w:rPr>
        <w:t>’</w:t>
      </w:r>
      <w:r w:rsidRPr="009F420B">
        <w:rPr>
          <w:rFonts w:cs="Times New Roman"/>
          <w:u w:val="single"/>
          <w:lang w:val="fr-CA"/>
        </w:rPr>
        <w:t>objet du litige</w:t>
      </w:r>
      <w:r w:rsidRPr="009F420B">
        <w:rPr>
          <w:rFonts w:cs="Times New Roman"/>
          <w:lang w:val="fr-CA"/>
        </w:rPr>
        <w:t> »</w:t>
      </w:r>
      <w:r>
        <w:rPr>
          <w:rFonts w:cs="Times New Roman"/>
          <w:lang w:val="fr-CA"/>
        </w:rPr>
        <w:t> :</w:t>
      </w:r>
      <w:r w:rsidRPr="009F420B">
        <w:rPr>
          <w:rFonts w:cs="Times New Roman"/>
          <w:lang w:val="fr-CA"/>
        </w:rPr>
        <w:t xml:space="preserve"> G. Saumier, « The Recognition of Foreign Judgments in Quebec — The Mirror Crack</w:t>
      </w:r>
      <w:r>
        <w:rPr>
          <w:rFonts w:cs="Times New Roman"/>
          <w:lang w:val="fr-CA"/>
        </w:rPr>
        <w:t>’</w:t>
      </w:r>
      <w:r w:rsidRPr="009F420B">
        <w:rPr>
          <w:rFonts w:cs="Times New Roman"/>
          <w:lang w:val="fr-CA"/>
        </w:rPr>
        <w:t xml:space="preserve">d? » (2002), 81 </w:t>
      </w:r>
      <w:r w:rsidRPr="009F420B">
        <w:rPr>
          <w:rFonts w:cs="Times New Roman"/>
          <w:i/>
          <w:iCs/>
          <w:lang w:val="fr-FR"/>
        </w:rPr>
        <w:t xml:space="preserve">R. du B. can. </w:t>
      </w:r>
      <w:r w:rsidRPr="009F420B">
        <w:rPr>
          <w:rFonts w:cs="Times New Roman"/>
          <w:lang w:val="fr-CA"/>
        </w:rPr>
        <w:t xml:space="preserve">677, </w:t>
      </w:r>
      <w:r>
        <w:rPr>
          <w:rFonts w:cs="Times New Roman"/>
          <w:lang w:val="fr-CA"/>
        </w:rPr>
        <w:t>p. 687 (je souligne); C. </w:t>
      </w:r>
      <w:r w:rsidRPr="009F420B">
        <w:rPr>
          <w:rFonts w:cs="Times New Roman"/>
          <w:lang w:val="fr-CA"/>
        </w:rPr>
        <w:t xml:space="preserve">Emanuelli, </w:t>
      </w:r>
      <w:r w:rsidRPr="009F420B">
        <w:rPr>
          <w:rFonts w:cs="Times New Roman"/>
          <w:i/>
          <w:lang w:val="fr-CA"/>
        </w:rPr>
        <w:t>Droit international privé québécois</w:t>
      </w:r>
      <w:r w:rsidRPr="009F420B">
        <w:rPr>
          <w:rFonts w:cs="Times New Roman"/>
          <w:lang w:val="fr-CA"/>
        </w:rPr>
        <w:t xml:space="preserve"> (3</w:t>
      </w:r>
      <w:r w:rsidRPr="009F420B">
        <w:rPr>
          <w:rFonts w:cs="Times New Roman"/>
          <w:vertAlign w:val="superscript"/>
          <w:lang w:val="fr-CA"/>
        </w:rPr>
        <w:t>e</w:t>
      </w:r>
      <w:r w:rsidRPr="009F420B">
        <w:rPr>
          <w:rFonts w:cs="Times New Roman"/>
          <w:lang w:val="fr-CA"/>
        </w:rPr>
        <w:t> éd. 2011), n</w:t>
      </w:r>
      <w:r w:rsidRPr="009F420B">
        <w:rPr>
          <w:rFonts w:cs="Times New Roman"/>
          <w:vertAlign w:val="superscript"/>
          <w:lang w:val="fr-CA"/>
        </w:rPr>
        <w:t>o</w:t>
      </w:r>
      <w:r w:rsidRPr="009F420B">
        <w:rPr>
          <w:rFonts w:cs="Times New Roman"/>
          <w:lang w:val="fr-CA"/>
        </w:rPr>
        <w:t> 397. L</w:t>
      </w:r>
      <w:r w:rsidR="00D968C7">
        <w:rPr>
          <w:rFonts w:cs="Times New Roman"/>
          <w:lang w:val="fr-CA"/>
        </w:rPr>
        <w:t>e paragraphe</w:t>
      </w:r>
      <w:r w:rsidRPr="009F420B">
        <w:rPr>
          <w:rFonts w:cs="Times New Roman"/>
          <w:lang w:val="fr-CA"/>
        </w:rPr>
        <w:t xml:space="preserve"> 3168(4) </w:t>
      </w:r>
      <w:r w:rsidRPr="009F420B">
        <w:rPr>
          <w:rFonts w:cs="Times New Roman"/>
          <w:i/>
          <w:lang w:val="fr-CA"/>
        </w:rPr>
        <w:t>C.c.Q.</w:t>
      </w:r>
      <w:r w:rsidRPr="009F420B">
        <w:rPr>
          <w:rFonts w:cs="Times New Roman"/>
          <w:lang w:val="fr-CA"/>
        </w:rPr>
        <w:t xml:space="preserve"> vise la compétence fondée sur des liens avec l</w:t>
      </w:r>
      <w:r>
        <w:rPr>
          <w:rFonts w:cs="Times New Roman"/>
          <w:lang w:val="fr-CA"/>
        </w:rPr>
        <w:t>’</w:t>
      </w:r>
      <w:r w:rsidRPr="009F420B">
        <w:rPr>
          <w:rFonts w:cs="Times New Roman"/>
          <w:lang w:val="fr-CA"/>
        </w:rPr>
        <w:t xml:space="preserve">objet du litige, et </w:t>
      </w:r>
      <w:r w:rsidRPr="009F420B">
        <w:rPr>
          <w:rFonts w:cs="Times New Roman"/>
          <w:i/>
          <w:lang w:val="fr-CA"/>
        </w:rPr>
        <w:t>non</w:t>
      </w:r>
      <w:r w:rsidRPr="009F420B">
        <w:rPr>
          <w:rFonts w:cs="Times New Roman"/>
          <w:lang w:val="fr-CA"/>
        </w:rPr>
        <w:t xml:space="preserve"> celle fondée sur des liens avec le défendeur. En l</w:t>
      </w:r>
      <w:r>
        <w:rPr>
          <w:rFonts w:cs="Times New Roman"/>
          <w:lang w:val="fr-CA"/>
        </w:rPr>
        <w:t>’</w:t>
      </w:r>
      <w:r w:rsidRPr="009F420B">
        <w:rPr>
          <w:rFonts w:cs="Times New Roman"/>
          <w:lang w:val="fr-CA"/>
        </w:rPr>
        <w:t xml:space="preserve">espèce, </w:t>
      </w:r>
      <w:r w:rsidRPr="009F420B">
        <w:rPr>
          <w:rFonts w:cs="Times New Roman"/>
          <w:i/>
          <w:lang w:val="fr-CA"/>
        </w:rPr>
        <w:t>tous</w:t>
      </w:r>
      <w:r w:rsidRPr="009F420B">
        <w:rPr>
          <w:rFonts w:cs="Times New Roman"/>
          <w:lang w:val="fr-CA"/>
        </w:rPr>
        <w:t xml:space="preserve"> les codéfendeurs semblent clairement « liés » à l</w:t>
      </w:r>
      <w:r>
        <w:rPr>
          <w:rFonts w:cs="Times New Roman"/>
          <w:lang w:val="fr-CA"/>
        </w:rPr>
        <w:t>’</w:t>
      </w:r>
      <w:r w:rsidRPr="009F420B">
        <w:rPr>
          <w:rFonts w:cs="Times New Roman"/>
          <w:lang w:val="fr-CA"/>
        </w:rPr>
        <w:t>objet du litige, qui est de nature contractuelle, et qui relève carrément de la compétence du tribunal de l</w:t>
      </w:r>
      <w:r>
        <w:rPr>
          <w:rFonts w:cs="Times New Roman"/>
          <w:lang w:val="fr-CA"/>
        </w:rPr>
        <w:t>’</w:t>
      </w:r>
      <w:r w:rsidRPr="009F420B">
        <w:rPr>
          <w:rFonts w:cs="Times New Roman"/>
          <w:lang w:val="fr-CA"/>
        </w:rPr>
        <w:t xml:space="preserve">Utah en application </w:t>
      </w:r>
      <w:r w:rsidR="00D968C7">
        <w:rPr>
          <w:rFonts w:cs="Times New Roman"/>
          <w:lang w:val="fr-CA"/>
        </w:rPr>
        <w:t>du par.</w:t>
      </w:r>
      <w:r>
        <w:rPr>
          <w:rFonts w:cs="Times New Roman"/>
          <w:lang w:val="fr-CA"/>
        </w:rPr>
        <w:t> </w:t>
      </w:r>
      <w:r w:rsidRPr="009F420B">
        <w:rPr>
          <w:rFonts w:cs="Times New Roman"/>
          <w:lang w:val="fr-CA"/>
        </w:rPr>
        <w:t xml:space="preserve">3168(4) </w:t>
      </w:r>
      <w:r w:rsidRPr="009F420B">
        <w:rPr>
          <w:rFonts w:cs="Times New Roman"/>
          <w:i/>
          <w:lang w:val="fr-CA"/>
        </w:rPr>
        <w:t>C.c.Q.</w:t>
      </w:r>
      <w:r w:rsidRPr="009F420B">
        <w:rPr>
          <w:rFonts w:cs="Times New Roman"/>
          <w:lang w:val="fr-CA"/>
        </w:rPr>
        <w:t xml:space="preserve"> </w:t>
      </w:r>
    </w:p>
    <w:p w:rsidR="00AF6697" w:rsidRPr="009F420B" w:rsidRDefault="00AF6697" w:rsidP="00AF6697">
      <w:pPr>
        <w:pStyle w:val="ParaNoNdepar-AltN"/>
        <w:rPr>
          <w:rFonts w:cs="Times New Roman"/>
          <w:lang w:val="fr-CA"/>
        </w:rPr>
      </w:pPr>
      <w:r w:rsidRPr="009F420B">
        <w:rPr>
          <w:rFonts w:cs="Times New Roman"/>
          <w:lang w:val="fr-CA"/>
        </w:rPr>
        <w:t>Mes collègues tiennent toutefois pour acquis que, en ce qui concerne les allégations d</w:t>
      </w:r>
      <w:r>
        <w:rPr>
          <w:rFonts w:cs="Times New Roman"/>
          <w:lang w:val="fr-CA"/>
        </w:rPr>
        <w:t>’</w:t>
      </w:r>
      <w:r w:rsidRPr="009F420B">
        <w:rPr>
          <w:rFonts w:cs="Times New Roman"/>
          <w:lang w:val="fr-CA"/>
        </w:rPr>
        <w:t xml:space="preserve">alter ego et de fraude, </w:t>
      </w:r>
      <w:r w:rsidR="00D968C7">
        <w:rPr>
          <w:rFonts w:cs="Times New Roman"/>
          <w:lang w:val="fr-CA"/>
        </w:rPr>
        <w:t>le par.</w:t>
      </w:r>
      <w:r>
        <w:rPr>
          <w:rFonts w:cs="Times New Roman"/>
          <w:lang w:val="fr-CA"/>
        </w:rPr>
        <w:t> </w:t>
      </w:r>
      <w:r w:rsidRPr="009F420B">
        <w:rPr>
          <w:rFonts w:cs="Times New Roman"/>
          <w:lang w:val="fr-CA"/>
        </w:rPr>
        <w:t xml:space="preserve">3168(4) </w:t>
      </w:r>
      <w:r w:rsidRPr="009F420B">
        <w:rPr>
          <w:rFonts w:cs="Times New Roman"/>
          <w:i/>
          <w:lang w:val="fr-CA"/>
        </w:rPr>
        <w:t>C.c.Q.</w:t>
      </w:r>
      <w:r w:rsidRPr="009F420B">
        <w:rPr>
          <w:rFonts w:cs="Times New Roman"/>
          <w:lang w:val="fr-CA"/>
        </w:rPr>
        <w:t xml:space="preserve"> ne confère aucune </w:t>
      </w:r>
      <w:r w:rsidRPr="009F420B">
        <w:rPr>
          <w:rFonts w:cs="Times New Roman"/>
          <w:lang w:val="fr-CA"/>
        </w:rPr>
        <w:lastRenderedPageBreak/>
        <w:t>compétence au tribunal de l</w:t>
      </w:r>
      <w:r>
        <w:rPr>
          <w:rFonts w:cs="Times New Roman"/>
          <w:lang w:val="fr-CA"/>
        </w:rPr>
        <w:t>’</w:t>
      </w:r>
      <w:r w:rsidRPr="009F420B">
        <w:rPr>
          <w:rFonts w:cs="Times New Roman"/>
          <w:lang w:val="fr-CA"/>
        </w:rPr>
        <w:t xml:space="preserve">Utah </w:t>
      </w:r>
      <w:r w:rsidRPr="009F420B">
        <w:rPr>
          <w:rFonts w:cs="Times New Roman"/>
          <w:i/>
          <w:lang w:val="fr-CA"/>
        </w:rPr>
        <w:t>sur le codéfendeur</w:t>
      </w:r>
      <w:r w:rsidRPr="009F420B">
        <w:rPr>
          <w:rFonts w:cs="Times New Roman"/>
          <w:lang w:val="fr-CA"/>
        </w:rPr>
        <w:t>, M. Barer, personnellement, parce qu</w:t>
      </w:r>
      <w:r>
        <w:rPr>
          <w:rFonts w:cs="Times New Roman"/>
          <w:lang w:val="fr-CA"/>
        </w:rPr>
        <w:t>’</w:t>
      </w:r>
      <w:r w:rsidRPr="009F420B">
        <w:rPr>
          <w:rFonts w:cs="Times New Roman"/>
          <w:lang w:val="fr-CA"/>
        </w:rPr>
        <w:t>il n</w:t>
      </w:r>
      <w:r>
        <w:rPr>
          <w:rFonts w:cs="Times New Roman"/>
          <w:lang w:val="fr-CA"/>
        </w:rPr>
        <w:t>’</w:t>
      </w:r>
      <w:r w:rsidRPr="009F420B">
        <w:rPr>
          <w:rFonts w:cs="Times New Roman"/>
          <w:lang w:val="fr-CA"/>
        </w:rPr>
        <w:t xml:space="preserve">était pas </w:t>
      </w:r>
      <w:r w:rsidRPr="009F420B">
        <w:rPr>
          <w:rFonts w:cs="Times New Roman"/>
          <w:i/>
          <w:lang w:val="fr-CA"/>
        </w:rPr>
        <w:t>parti</w:t>
      </w:r>
      <w:r w:rsidRPr="009F420B">
        <w:rPr>
          <w:rFonts w:cs="Times New Roman"/>
          <w:lang w:val="fr-CA"/>
        </w:rPr>
        <w:t>e au contrat. Je leur opposerais deux remarques.</w:t>
      </w:r>
    </w:p>
    <w:p w:rsidR="00AF6697" w:rsidRPr="009F420B" w:rsidRDefault="00AF6697" w:rsidP="00AF6697">
      <w:pPr>
        <w:pStyle w:val="ParaNoNdepar-AltN"/>
        <w:rPr>
          <w:rFonts w:cs="Times New Roman"/>
          <w:lang w:val="fr-CA"/>
        </w:rPr>
      </w:pPr>
      <w:r w:rsidRPr="009F420B">
        <w:rPr>
          <w:rFonts w:cs="Times New Roman"/>
          <w:lang w:val="fr-CA"/>
        </w:rPr>
        <w:t>Premièrement, restreindre l</w:t>
      </w:r>
      <w:r>
        <w:rPr>
          <w:rFonts w:cs="Times New Roman"/>
          <w:lang w:val="fr-CA"/>
        </w:rPr>
        <w:t>’</w:t>
      </w:r>
      <w:r w:rsidRPr="009F420B">
        <w:rPr>
          <w:rFonts w:cs="Times New Roman"/>
          <w:lang w:val="fr-CA"/>
        </w:rPr>
        <w:t xml:space="preserve">application </w:t>
      </w:r>
      <w:r w:rsidR="00D968C7">
        <w:rPr>
          <w:rFonts w:cs="Times New Roman"/>
          <w:lang w:val="fr-CA"/>
        </w:rPr>
        <w:t>du par.</w:t>
      </w:r>
      <w:r>
        <w:rPr>
          <w:rFonts w:cs="Times New Roman"/>
          <w:lang w:val="fr-CA"/>
        </w:rPr>
        <w:t> </w:t>
      </w:r>
      <w:r w:rsidRPr="009F420B">
        <w:rPr>
          <w:rFonts w:cs="Times New Roman"/>
          <w:lang w:val="fr-CA"/>
        </w:rPr>
        <w:t xml:space="preserve">3168(4) </w:t>
      </w:r>
      <w:r w:rsidRPr="009F420B">
        <w:rPr>
          <w:rFonts w:cs="Times New Roman"/>
          <w:i/>
          <w:lang w:val="fr-CA"/>
        </w:rPr>
        <w:t>C.c.Q</w:t>
      </w:r>
      <w:r w:rsidRPr="009F420B">
        <w:rPr>
          <w:rFonts w:cs="Times New Roman"/>
          <w:lang w:val="fr-CA"/>
        </w:rPr>
        <w:t>. aux seuls cas où le défendeur est partie au contrat pourrait, du moins dans certaines circonstances, avoir l</w:t>
      </w:r>
      <w:r>
        <w:rPr>
          <w:rFonts w:cs="Times New Roman"/>
          <w:lang w:val="fr-CA"/>
        </w:rPr>
        <w:t>’</w:t>
      </w:r>
      <w:r w:rsidRPr="009F420B">
        <w:rPr>
          <w:rFonts w:cs="Times New Roman"/>
          <w:lang w:val="fr-CA"/>
        </w:rPr>
        <w:t>effet inacceptable d</w:t>
      </w:r>
      <w:r>
        <w:rPr>
          <w:rFonts w:cs="Times New Roman"/>
          <w:lang w:val="fr-CA"/>
        </w:rPr>
        <w:t>’</w:t>
      </w:r>
      <w:r w:rsidRPr="009F420B">
        <w:rPr>
          <w:rFonts w:cs="Times New Roman"/>
          <w:lang w:val="fr-CA"/>
        </w:rPr>
        <w:t>obliger le demandeur à prouver devant le tribunal québécois ses allégations d</w:t>
      </w:r>
      <w:r>
        <w:rPr>
          <w:rFonts w:cs="Times New Roman"/>
          <w:lang w:val="fr-CA"/>
        </w:rPr>
        <w:t>’</w:t>
      </w:r>
      <w:r w:rsidRPr="009F420B">
        <w:rPr>
          <w:rFonts w:cs="Times New Roman"/>
          <w:lang w:val="fr-CA"/>
        </w:rPr>
        <w:t xml:space="preserve">alter ego </w:t>
      </w:r>
      <w:r w:rsidR="00040FD2">
        <w:rPr>
          <w:rFonts w:cs="Times New Roman"/>
          <w:lang w:val="fr-CA"/>
        </w:rPr>
        <w:t>ou</w:t>
      </w:r>
      <w:r w:rsidRPr="009F420B">
        <w:rPr>
          <w:rFonts w:cs="Times New Roman"/>
          <w:lang w:val="fr-CA"/>
        </w:rPr>
        <w:t xml:space="preserve"> de fraude pour justifier la levée du voile de la personnalité morale en application de l</w:t>
      </w:r>
      <w:r>
        <w:rPr>
          <w:rFonts w:cs="Times New Roman"/>
          <w:lang w:val="fr-CA"/>
        </w:rPr>
        <w:t>’art. </w:t>
      </w:r>
      <w:r w:rsidRPr="009F420B">
        <w:rPr>
          <w:rFonts w:cs="Times New Roman"/>
          <w:lang w:val="fr-CA"/>
        </w:rPr>
        <w:t xml:space="preserve">317 </w:t>
      </w:r>
      <w:r w:rsidRPr="009F420B">
        <w:rPr>
          <w:rFonts w:cs="Times New Roman"/>
          <w:i/>
          <w:lang w:val="fr-CA"/>
        </w:rPr>
        <w:t>C.c.Q</w:t>
      </w:r>
      <w:r w:rsidRPr="009F420B">
        <w:rPr>
          <w:rFonts w:cs="Times New Roman"/>
          <w:lang w:val="fr-CA"/>
        </w:rPr>
        <w:t>.</w:t>
      </w:r>
      <w:r>
        <w:rPr>
          <w:rFonts w:cs="Times New Roman"/>
          <w:lang w:val="fr-CA"/>
        </w:rPr>
        <w:t> :</w:t>
      </w:r>
      <w:r w:rsidR="002F52C2">
        <w:rPr>
          <w:rFonts w:cs="Times New Roman"/>
          <w:lang w:val="fr-CA"/>
        </w:rPr>
        <w:t xml:space="preserve"> voir, p.</w:t>
      </w:r>
      <w:r w:rsidRPr="009F420B">
        <w:rPr>
          <w:rFonts w:cs="Times New Roman"/>
          <w:lang w:val="fr-CA"/>
        </w:rPr>
        <w:t xml:space="preserve"> ex., </w:t>
      </w:r>
      <w:r w:rsidRPr="009F420B">
        <w:rPr>
          <w:rFonts w:cs="Times New Roman"/>
          <w:i/>
          <w:lang w:val="fr-CA"/>
        </w:rPr>
        <w:t>Zimmerma</w:t>
      </w:r>
      <w:r>
        <w:rPr>
          <w:rFonts w:cs="Times New Roman"/>
          <w:i/>
          <w:lang w:val="fr-CA"/>
        </w:rPr>
        <w:t>n</w:t>
      </w:r>
      <w:r w:rsidRPr="009F420B">
        <w:rPr>
          <w:rFonts w:cs="Times New Roman"/>
          <w:i/>
          <w:lang w:val="fr-CA"/>
        </w:rPr>
        <w:t>n</w:t>
      </w:r>
      <w:r w:rsidRPr="009F420B">
        <w:rPr>
          <w:rFonts w:cs="Times New Roman"/>
          <w:lang w:val="fr-CA"/>
        </w:rPr>
        <w:t xml:space="preserve">, </w:t>
      </w:r>
      <w:r>
        <w:rPr>
          <w:rFonts w:cs="Times New Roman"/>
          <w:lang w:val="fr-CA"/>
        </w:rPr>
        <w:t>par. </w:t>
      </w:r>
      <w:r w:rsidRPr="009F420B">
        <w:rPr>
          <w:rFonts w:cs="Times New Roman"/>
          <w:lang w:val="fr-CA"/>
        </w:rPr>
        <w:t>22. J</w:t>
      </w:r>
      <w:r>
        <w:rPr>
          <w:rFonts w:cs="Times New Roman"/>
          <w:lang w:val="fr-CA"/>
        </w:rPr>
        <w:t>’</w:t>
      </w:r>
      <w:r w:rsidRPr="009F420B">
        <w:rPr>
          <w:rFonts w:cs="Times New Roman"/>
          <w:lang w:val="fr-CA"/>
        </w:rPr>
        <w:t>emploie le qualificatif « inacceptable », parce que la question de savoir s</w:t>
      </w:r>
      <w:r>
        <w:rPr>
          <w:rFonts w:cs="Times New Roman"/>
          <w:lang w:val="fr-CA"/>
        </w:rPr>
        <w:t>’</w:t>
      </w:r>
      <w:r w:rsidRPr="009F420B">
        <w:rPr>
          <w:rFonts w:cs="Times New Roman"/>
          <w:lang w:val="fr-CA"/>
        </w:rPr>
        <w:t>il y a lieu ou non de lever le voile de la personnalité morale est une question juridique de fond (et non une question de compétence) qui concerne « l</w:t>
      </w:r>
      <w:r>
        <w:rPr>
          <w:rFonts w:cs="Times New Roman"/>
          <w:lang w:val="fr-CA"/>
        </w:rPr>
        <w:t>’</w:t>
      </w:r>
      <w:r w:rsidRPr="009F420B">
        <w:rPr>
          <w:rFonts w:cs="Times New Roman"/>
          <w:lang w:val="fr-CA"/>
        </w:rPr>
        <w:t>état et la capacité d</w:t>
      </w:r>
      <w:r>
        <w:rPr>
          <w:rFonts w:cs="Times New Roman"/>
          <w:lang w:val="fr-CA"/>
        </w:rPr>
        <w:t>’</w:t>
      </w:r>
      <w:r w:rsidRPr="009F420B">
        <w:rPr>
          <w:rFonts w:cs="Times New Roman"/>
          <w:lang w:val="fr-CA"/>
        </w:rPr>
        <w:t>une personne morale » et qui est par conséquent régie par « la loi de l</w:t>
      </w:r>
      <w:r>
        <w:rPr>
          <w:rFonts w:cs="Times New Roman"/>
          <w:lang w:val="fr-CA"/>
        </w:rPr>
        <w:t>’</w:t>
      </w:r>
      <w:r w:rsidRPr="009F420B">
        <w:rPr>
          <w:rFonts w:cs="Times New Roman"/>
          <w:lang w:val="fr-CA"/>
        </w:rPr>
        <w:t>État en vertu de laquelle elle est constituée, sous réserve, quant à son activité, de la loi du lieu où elle s</w:t>
      </w:r>
      <w:r>
        <w:rPr>
          <w:rFonts w:cs="Times New Roman"/>
          <w:lang w:val="fr-CA"/>
        </w:rPr>
        <w:t>’</w:t>
      </w:r>
      <w:r w:rsidRPr="009F420B">
        <w:rPr>
          <w:rFonts w:cs="Times New Roman"/>
          <w:lang w:val="fr-CA"/>
        </w:rPr>
        <w:t>exerce »</w:t>
      </w:r>
      <w:r>
        <w:rPr>
          <w:rFonts w:cs="Times New Roman"/>
          <w:lang w:val="fr-CA"/>
        </w:rPr>
        <w:t> :</w:t>
      </w:r>
      <w:r w:rsidRPr="009F420B">
        <w:rPr>
          <w:rFonts w:cs="Times New Roman"/>
          <w:lang w:val="fr-CA"/>
        </w:rPr>
        <w:t xml:space="preserve"> </w:t>
      </w:r>
      <w:r>
        <w:rPr>
          <w:rFonts w:cs="Times New Roman"/>
          <w:lang w:val="fr-CA"/>
        </w:rPr>
        <w:t>art. </w:t>
      </w:r>
      <w:r w:rsidRPr="009F420B">
        <w:rPr>
          <w:rFonts w:cs="Times New Roman"/>
          <w:lang w:val="fr-CA"/>
        </w:rPr>
        <w:t xml:space="preserve">3083 </w:t>
      </w:r>
      <w:r>
        <w:rPr>
          <w:rFonts w:cs="Times New Roman"/>
          <w:lang w:val="fr-CA"/>
        </w:rPr>
        <w:t>al. </w:t>
      </w:r>
      <w:r w:rsidRPr="009F420B">
        <w:rPr>
          <w:rFonts w:cs="Times New Roman"/>
          <w:lang w:val="fr-CA"/>
        </w:rPr>
        <w:t xml:space="preserve">2 </w:t>
      </w:r>
      <w:r w:rsidRPr="009F420B">
        <w:rPr>
          <w:rFonts w:cs="Times New Roman"/>
          <w:i/>
          <w:lang w:val="fr-CA"/>
        </w:rPr>
        <w:t>C.c.Q.</w:t>
      </w:r>
      <w:r w:rsidRPr="009F420B">
        <w:rPr>
          <w:rFonts w:cs="Times New Roman"/>
          <w:lang w:val="fr-CA"/>
        </w:rPr>
        <w:t xml:space="preserve">; voir </w:t>
      </w:r>
      <w:r>
        <w:rPr>
          <w:rFonts w:cs="Times New Roman"/>
          <w:lang w:val="fr-CA"/>
        </w:rPr>
        <w:t>P. </w:t>
      </w:r>
      <w:r w:rsidRPr="009F420B">
        <w:rPr>
          <w:rFonts w:cs="Times New Roman"/>
          <w:lang w:val="fr-CA"/>
        </w:rPr>
        <w:t xml:space="preserve">Martel, </w:t>
      </w:r>
      <w:r w:rsidRPr="009F420B">
        <w:rPr>
          <w:rFonts w:cs="Times New Roman"/>
          <w:i/>
          <w:lang w:val="fr-CA"/>
        </w:rPr>
        <w:t>La société par actions au Québec</w:t>
      </w:r>
      <w:r w:rsidRPr="009F420B">
        <w:rPr>
          <w:rFonts w:cs="Times New Roman"/>
          <w:lang w:val="fr-CA"/>
        </w:rPr>
        <w:t xml:space="preserve">, </w:t>
      </w:r>
      <w:r>
        <w:rPr>
          <w:rFonts w:cs="Times New Roman"/>
          <w:lang w:val="fr-CA"/>
        </w:rPr>
        <w:t>vol. </w:t>
      </w:r>
      <w:r w:rsidRPr="009F420B">
        <w:rPr>
          <w:rFonts w:cs="Times New Roman"/>
          <w:lang w:val="fr-CA"/>
        </w:rPr>
        <w:t>I</w:t>
      </w:r>
      <w:r w:rsidR="00A929D2">
        <w:rPr>
          <w:rFonts w:cs="Times New Roman"/>
          <w:lang w:val="fr-CA"/>
        </w:rPr>
        <w:t xml:space="preserve">, </w:t>
      </w:r>
      <w:r w:rsidR="00A929D2" w:rsidRPr="00A929D2">
        <w:rPr>
          <w:rFonts w:cs="Times New Roman"/>
          <w:i/>
          <w:lang w:val="fr-CA"/>
        </w:rPr>
        <w:t>Les aspects juridiques</w:t>
      </w:r>
      <w:r w:rsidR="00A929D2">
        <w:rPr>
          <w:rFonts w:cs="Times New Roman"/>
          <w:lang w:val="fr-CA"/>
        </w:rPr>
        <w:t xml:space="preserve"> </w:t>
      </w:r>
      <w:r w:rsidRPr="009F420B">
        <w:rPr>
          <w:rFonts w:cs="Times New Roman"/>
          <w:lang w:val="fr-CA"/>
        </w:rPr>
        <w:t xml:space="preserve">(feuilles mobiles), </w:t>
      </w:r>
      <w:r>
        <w:rPr>
          <w:rFonts w:cs="Times New Roman"/>
          <w:lang w:val="fr-CA"/>
        </w:rPr>
        <w:t>par. </w:t>
      </w:r>
      <w:r w:rsidRPr="009F420B">
        <w:rPr>
          <w:rFonts w:cs="Times New Roman"/>
          <w:lang w:val="fr-CA"/>
        </w:rPr>
        <w:t>1</w:t>
      </w:r>
      <w:r>
        <w:rPr>
          <w:rFonts w:cs="Times New Roman"/>
          <w:lang w:val="fr-CA"/>
        </w:rPr>
        <w:noBreakHyphen/>
      </w:r>
      <w:r w:rsidRPr="009F420B">
        <w:rPr>
          <w:rFonts w:cs="Times New Roman"/>
          <w:lang w:val="fr-CA"/>
        </w:rPr>
        <w:t>290.3. Et pourtant, l</w:t>
      </w:r>
      <w:r>
        <w:rPr>
          <w:rFonts w:cs="Times New Roman"/>
          <w:lang w:val="fr-CA"/>
        </w:rPr>
        <w:t>’art. </w:t>
      </w:r>
      <w:r w:rsidRPr="009F420B">
        <w:rPr>
          <w:rFonts w:cs="Times New Roman"/>
          <w:lang w:val="fr-CA"/>
        </w:rPr>
        <w:t>3158 </w:t>
      </w:r>
      <w:r w:rsidRPr="009F420B">
        <w:rPr>
          <w:rFonts w:cs="Times New Roman"/>
          <w:i/>
          <w:lang w:val="fr-CA"/>
        </w:rPr>
        <w:t>C.c.Q.</w:t>
      </w:r>
      <w:r w:rsidRPr="009F420B">
        <w:rPr>
          <w:rFonts w:cs="Times New Roman"/>
          <w:lang w:val="fr-CA"/>
        </w:rPr>
        <w:t xml:space="preserve"> prévoit que le tribunal québécois appelé à se prononcer sur l</w:t>
      </w:r>
      <w:r>
        <w:rPr>
          <w:rFonts w:cs="Times New Roman"/>
          <w:lang w:val="fr-CA"/>
        </w:rPr>
        <w:t>’</w:t>
      </w:r>
      <w:r w:rsidRPr="009F420B">
        <w:rPr>
          <w:rFonts w:cs="Times New Roman"/>
          <w:lang w:val="fr-CA"/>
        </w:rPr>
        <w:t>opportunité de reconnaître et de déclarer exécutoire la décision d</w:t>
      </w:r>
      <w:r>
        <w:rPr>
          <w:rFonts w:cs="Times New Roman"/>
          <w:lang w:val="fr-CA"/>
        </w:rPr>
        <w:t>’</w:t>
      </w:r>
      <w:r w:rsidRPr="009F420B">
        <w:rPr>
          <w:rFonts w:cs="Times New Roman"/>
          <w:lang w:val="fr-CA"/>
        </w:rPr>
        <w:t>un tribunal étranger doit « se limite[r] à vérifier si la décision dont la reconnaissance ou l</w:t>
      </w:r>
      <w:r>
        <w:rPr>
          <w:rFonts w:cs="Times New Roman"/>
          <w:lang w:val="fr-CA"/>
        </w:rPr>
        <w:t>’</w:t>
      </w:r>
      <w:r w:rsidRPr="009F420B">
        <w:rPr>
          <w:rFonts w:cs="Times New Roman"/>
          <w:lang w:val="fr-CA"/>
        </w:rPr>
        <w:t>exécution est demandée remplit les conditions prévues [au titre quatrième] », c</w:t>
      </w:r>
      <w:r>
        <w:rPr>
          <w:rFonts w:cs="Times New Roman"/>
          <w:lang w:val="fr-CA"/>
        </w:rPr>
        <w:t>’</w:t>
      </w:r>
      <w:r w:rsidRPr="009F420B">
        <w:rPr>
          <w:rFonts w:cs="Times New Roman"/>
          <w:lang w:val="fr-CA"/>
        </w:rPr>
        <w:t>est</w:t>
      </w:r>
      <w:r>
        <w:rPr>
          <w:rFonts w:cs="Times New Roman"/>
          <w:lang w:val="fr-CA"/>
        </w:rPr>
        <w:noBreakHyphen/>
      </w:r>
      <w:r w:rsidRPr="009F420B">
        <w:rPr>
          <w:rFonts w:cs="Times New Roman"/>
          <w:lang w:val="fr-CA"/>
        </w:rPr>
        <w:t>à</w:t>
      </w:r>
      <w:r>
        <w:rPr>
          <w:rFonts w:cs="Times New Roman"/>
          <w:lang w:val="fr-CA"/>
        </w:rPr>
        <w:noBreakHyphen/>
      </w:r>
      <w:r w:rsidRPr="009F420B">
        <w:rPr>
          <w:rFonts w:cs="Times New Roman"/>
          <w:lang w:val="fr-CA"/>
        </w:rPr>
        <w:t>dire à vérifier s</w:t>
      </w:r>
      <w:r>
        <w:rPr>
          <w:rFonts w:cs="Times New Roman"/>
          <w:lang w:val="fr-CA"/>
        </w:rPr>
        <w:t>’</w:t>
      </w:r>
      <w:r w:rsidRPr="009F420B">
        <w:rPr>
          <w:rFonts w:cs="Times New Roman"/>
          <w:lang w:val="fr-CA"/>
        </w:rPr>
        <w:t xml:space="preserve">il a été satisfait aux exigences prévues au </w:t>
      </w:r>
      <w:r w:rsidRPr="009F420B">
        <w:rPr>
          <w:rFonts w:cs="Times New Roman"/>
          <w:i/>
          <w:lang w:val="fr-CA"/>
        </w:rPr>
        <w:t xml:space="preserve">C.c.Q. </w:t>
      </w:r>
      <w:r w:rsidRPr="009F420B">
        <w:rPr>
          <w:rFonts w:cs="Times New Roman"/>
          <w:lang w:val="fr-CA"/>
        </w:rPr>
        <w:t xml:space="preserve">en matière de reconnaissance de la décision étrangère. Le </w:t>
      </w:r>
      <w:r w:rsidRPr="009F420B">
        <w:rPr>
          <w:rFonts w:cs="Times New Roman"/>
          <w:lang w:val="fr-CA" w:bidi="en-US"/>
        </w:rPr>
        <w:t>tribunal québécois ne peut pas examiner le fond du litige ni rejuger l</w:t>
      </w:r>
      <w:r>
        <w:rPr>
          <w:rFonts w:cs="Times New Roman"/>
          <w:lang w:val="fr-CA" w:bidi="en-US"/>
        </w:rPr>
        <w:t>’</w:t>
      </w:r>
      <w:r w:rsidRPr="009F420B">
        <w:rPr>
          <w:rFonts w:cs="Times New Roman"/>
          <w:lang w:val="fr-CA" w:bidi="en-US"/>
        </w:rPr>
        <w:t>affaire, que ce soit en tout ou en partie. Le défendeur ne devrait donc normalement pas pouvoir contester la reconnaissance et l</w:t>
      </w:r>
      <w:r>
        <w:rPr>
          <w:rFonts w:cs="Times New Roman"/>
          <w:lang w:val="fr-CA" w:bidi="en-US"/>
        </w:rPr>
        <w:t>’</w:t>
      </w:r>
      <w:r w:rsidRPr="009F420B">
        <w:rPr>
          <w:rFonts w:cs="Times New Roman"/>
          <w:lang w:val="fr-CA" w:bidi="en-US"/>
        </w:rPr>
        <w:t>exécution du jugement étranger au motif que l</w:t>
      </w:r>
      <w:r>
        <w:rPr>
          <w:rFonts w:cs="Times New Roman"/>
          <w:lang w:val="fr-CA" w:bidi="en-US"/>
        </w:rPr>
        <w:t>’</w:t>
      </w:r>
      <w:r w:rsidRPr="009F420B">
        <w:rPr>
          <w:rFonts w:cs="Times New Roman"/>
          <w:lang w:val="fr-CA" w:bidi="en-US"/>
        </w:rPr>
        <w:t>autorité étrangère n</w:t>
      </w:r>
      <w:r>
        <w:rPr>
          <w:rFonts w:cs="Times New Roman"/>
          <w:lang w:val="fr-CA" w:bidi="en-US"/>
        </w:rPr>
        <w:t>’</w:t>
      </w:r>
      <w:r w:rsidRPr="009F420B">
        <w:rPr>
          <w:rFonts w:cs="Times New Roman"/>
          <w:lang w:val="fr-CA" w:bidi="en-US"/>
        </w:rPr>
        <w:t>aurait pas dû lever le voile. Comme l</w:t>
      </w:r>
      <w:r>
        <w:rPr>
          <w:rFonts w:cs="Times New Roman"/>
          <w:lang w:val="fr-CA" w:bidi="en-US"/>
        </w:rPr>
        <w:t>’</w:t>
      </w:r>
      <w:r w:rsidRPr="009F420B">
        <w:rPr>
          <w:rFonts w:cs="Times New Roman"/>
          <w:lang w:val="fr-CA" w:bidi="en-US"/>
        </w:rPr>
        <w:t xml:space="preserve">explique </w:t>
      </w:r>
      <w:r w:rsidR="007962E4">
        <w:rPr>
          <w:rFonts w:cs="Times New Roman"/>
          <w:lang w:val="fr-CA" w:bidi="en-US"/>
        </w:rPr>
        <w:t>le professeur</w:t>
      </w:r>
      <w:r w:rsidRPr="009F420B">
        <w:rPr>
          <w:rFonts w:cs="Times New Roman"/>
          <w:lang w:val="fr-CA" w:bidi="en-US"/>
        </w:rPr>
        <w:t xml:space="preserve"> Talpis</w:t>
      </w:r>
      <w:r>
        <w:rPr>
          <w:rFonts w:cs="Times New Roman"/>
          <w:lang w:val="fr-CA" w:bidi="en-US"/>
        </w:rPr>
        <w:t> :</w:t>
      </w:r>
    </w:p>
    <w:p w:rsidR="00AF6697" w:rsidRPr="009F420B" w:rsidRDefault="00AF6697" w:rsidP="00AF6697">
      <w:pPr>
        <w:pStyle w:val="Citation-AltC"/>
        <w:spacing w:after="240"/>
        <w:ind w:left="1168" w:hanging="1166"/>
        <w:contextualSpacing w:val="0"/>
        <w:rPr>
          <w:lang w:val="fr-CA"/>
        </w:rPr>
      </w:pPr>
      <w:r>
        <w:rPr>
          <w:lang w:val="fr-CA"/>
        </w:rPr>
        <w:lastRenderedPageBreak/>
        <w:tab/>
      </w:r>
      <w:r>
        <w:rPr>
          <w:lang w:val="fr-CA"/>
        </w:rPr>
        <w:tab/>
      </w:r>
      <w:r w:rsidRPr="009F420B">
        <w:rPr>
          <w:lang w:val="fr-CA"/>
        </w:rPr>
        <w:t>[</w:t>
      </w:r>
      <w:r w:rsidRPr="009F420B">
        <w:rPr>
          <w:smallCaps/>
          <w:lang w:val="fr-CA"/>
        </w:rPr>
        <w:t>traduction</w:t>
      </w:r>
      <w:r w:rsidRPr="009F420B">
        <w:rPr>
          <w:lang w:val="fr-CA"/>
        </w:rPr>
        <w:t>] Lorsqu</w:t>
      </w:r>
      <w:r>
        <w:rPr>
          <w:lang w:val="fr-CA"/>
        </w:rPr>
        <w:t>’</w:t>
      </w:r>
      <w:r w:rsidRPr="009F420B">
        <w:rPr>
          <w:lang w:val="fr-CA"/>
        </w:rPr>
        <w:t>un jugement étranger a été obtenu contre une société mère québécoise à la suite d</w:t>
      </w:r>
      <w:r>
        <w:rPr>
          <w:lang w:val="fr-CA"/>
        </w:rPr>
        <w:t>’</w:t>
      </w:r>
      <w:r w:rsidRPr="009F420B">
        <w:rPr>
          <w:lang w:val="fr-CA"/>
        </w:rPr>
        <w:t>un acte, d</w:t>
      </w:r>
      <w:r>
        <w:rPr>
          <w:lang w:val="fr-CA"/>
        </w:rPr>
        <w:t>’</w:t>
      </w:r>
      <w:r w:rsidRPr="009F420B">
        <w:rPr>
          <w:lang w:val="fr-CA"/>
        </w:rPr>
        <w:t>une faute, d</w:t>
      </w:r>
      <w:r>
        <w:rPr>
          <w:lang w:val="fr-CA"/>
        </w:rPr>
        <w:t>’</w:t>
      </w:r>
      <w:r w:rsidRPr="009F420B">
        <w:rPr>
          <w:lang w:val="fr-CA"/>
        </w:rPr>
        <w:t>un préjudice ou d</w:t>
      </w:r>
      <w:r>
        <w:rPr>
          <w:lang w:val="fr-CA"/>
        </w:rPr>
        <w:t>’</w:t>
      </w:r>
      <w:r w:rsidRPr="009F420B">
        <w:rPr>
          <w:lang w:val="fr-CA"/>
        </w:rPr>
        <w:t>une obligation de sa filiale sur le territoire du for, la question cruciale est celle de savoir si le tribunal étranger a compétence sur la société mère aux yeux du droit québécois. Face à une requête en exécution du jugement étranger au Québec, la société mère ne pourra pas s</w:t>
      </w:r>
      <w:r>
        <w:rPr>
          <w:lang w:val="fr-CA"/>
        </w:rPr>
        <w:t>’</w:t>
      </w:r>
      <w:r w:rsidRPr="009F420B">
        <w:rPr>
          <w:lang w:val="fr-CA"/>
        </w:rPr>
        <w:t>opposer à la reconnaissance et à l</w:t>
      </w:r>
      <w:r>
        <w:rPr>
          <w:lang w:val="fr-CA"/>
        </w:rPr>
        <w:t>’</w:t>
      </w:r>
      <w:r w:rsidRPr="009F420B">
        <w:rPr>
          <w:lang w:val="fr-CA"/>
        </w:rPr>
        <w:t>exécution de ce jugement en faisant valoir que le tribunal d</w:t>
      </w:r>
      <w:r>
        <w:rPr>
          <w:lang w:val="fr-CA"/>
        </w:rPr>
        <w:t>’</w:t>
      </w:r>
      <w:r w:rsidRPr="009F420B">
        <w:rPr>
          <w:lang w:val="fr-CA"/>
        </w:rPr>
        <w:t>origine n</w:t>
      </w:r>
      <w:r>
        <w:rPr>
          <w:lang w:val="fr-CA"/>
        </w:rPr>
        <w:t>’</w:t>
      </w:r>
      <w:r w:rsidRPr="009F420B">
        <w:rPr>
          <w:lang w:val="fr-CA"/>
        </w:rPr>
        <w:t>aurait pas dû lever le voile de la personnalité morale de sa filiale. Même lorsque le tribunal étranger a commis une erreur, il n</w:t>
      </w:r>
      <w:r>
        <w:rPr>
          <w:lang w:val="fr-CA"/>
        </w:rPr>
        <w:t>’</w:t>
      </w:r>
      <w:r w:rsidRPr="009F420B">
        <w:rPr>
          <w:lang w:val="fr-CA"/>
        </w:rPr>
        <w:t>est plus possible d</w:t>
      </w:r>
      <w:r>
        <w:rPr>
          <w:lang w:val="fr-CA"/>
        </w:rPr>
        <w:t>’</w:t>
      </w:r>
      <w:r w:rsidRPr="009F420B">
        <w:rPr>
          <w:lang w:val="fr-CA"/>
        </w:rPr>
        <w:t>examiner le fond de la décision (</w:t>
      </w:r>
      <w:r>
        <w:rPr>
          <w:lang w:val="fr-CA"/>
        </w:rPr>
        <w:t>art. </w:t>
      </w:r>
      <w:r w:rsidRPr="009F420B">
        <w:rPr>
          <w:lang w:val="fr-CA"/>
        </w:rPr>
        <w:t xml:space="preserve">3158 </w:t>
      </w:r>
      <w:r w:rsidRPr="00E23957">
        <w:rPr>
          <w:lang w:val="fr-CA"/>
        </w:rPr>
        <w:t>C.c.Q.</w:t>
      </w:r>
      <w:r w:rsidRPr="009F420B">
        <w:rPr>
          <w:lang w:val="fr-CA"/>
        </w:rPr>
        <w:t>), ni d</w:t>
      </w:r>
      <w:r>
        <w:rPr>
          <w:lang w:val="fr-CA"/>
        </w:rPr>
        <w:t>’</w:t>
      </w:r>
      <w:r w:rsidRPr="009F420B">
        <w:rPr>
          <w:lang w:val="fr-CA"/>
        </w:rPr>
        <w:t>invoquer de moyen de défense tiré de l</w:t>
      </w:r>
      <w:r>
        <w:rPr>
          <w:lang w:val="fr-CA"/>
        </w:rPr>
        <w:t>’</w:t>
      </w:r>
      <w:r w:rsidRPr="009F420B">
        <w:rPr>
          <w:lang w:val="fr-CA"/>
        </w:rPr>
        <w:t>argument que le tribunal étranger a appliqué des règles de droit différentes de celles qui auraient été appliquées par le tribunal québécois, comme, par exemple, celles concernant la qualité d</w:t>
      </w:r>
      <w:r>
        <w:rPr>
          <w:lang w:val="fr-CA"/>
        </w:rPr>
        <w:t>’</w:t>
      </w:r>
      <w:r w:rsidRPr="009F420B">
        <w:rPr>
          <w:lang w:val="fr-CA"/>
        </w:rPr>
        <w:t>alter ego (</w:t>
      </w:r>
      <w:r>
        <w:rPr>
          <w:lang w:val="fr-CA"/>
        </w:rPr>
        <w:t>art. </w:t>
      </w:r>
      <w:r w:rsidRPr="009F420B">
        <w:rPr>
          <w:lang w:val="fr-CA"/>
        </w:rPr>
        <w:t xml:space="preserve">3157 </w:t>
      </w:r>
      <w:r w:rsidRPr="00E23957">
        <w:rPr>
          <w:lang w:val="fr-CA"/>
        </w:rPr>
        <w:t>C.c.Q.</w:t>
      </w:r>
      <w:r w:rsidRPr="009F420B">
        <w:rPr>
          <w:lang w:val="fr-CA"/>
        </w:rPr>
        <w:t>). La décision de lever le voile de la personnalité morale n</w:t>
      </w:r>
      <w:r>
        <w:rPr>
          <w:lang w:val="fr-CA"/>
        </w:rPr>
        <w:t>’</w:t>
      </w:r>
      <w:r w:rsidRPr="009F420B">
        <w:rPr>
          <w:lang w:val="fr-CA"/>
        </w:rPr>
        <w:t>est pas non plus manifestement incompatible avec l</w:t>
      </w:r>
      <w:r>
        <w:rPr>
          <w:lang w:val="fr-CA"/>
        </w:rPr>
        <w:t>’</w:t>
      </w:r>
      <w:r w:rsidRPr="009F420B">
        <w:rPr>
          <w:lang w:val="fr-CA"/>
        </w:rPr>
        <w:t xml:space="preserve">ordre public selon la conception qui a cours dans les échanges internationaux. </w:t>
      </w:r>
    </w:p>
    <w:p w:rsidR="00AF6697" w:rsidRPr="009F420B" w:rsidRDefault="00AF6697" w:rsidP="007962E4">
      <w:pPr>
        <w:pStyle w:val="Citation-AltC"/>
        <w:ind w:left="0"/>
        <w:rPr>
          <w:lang w:val="en-US"/>
        </w:rPr>
      </w:pPr>
      <w:r w:rsidRPr="009F420B">
        <w:rPr>
          <w:lang w:val="en-US"/>
        </w:rPr>
        <w:t>(</w:t>
      </w:r>
      <w:r w:rsidR="00420486">
        <w:rPr>
          <w:lang w:val="en-US"/>
        </w:rPr>
        <w:t>J. A. Talpis</w:t>
      </w:r>
      <w:r w:rsidR="007962E4">
        <w:rPr>
          <w:lang w:val="en-US"/>
        </w:rPr>
        <w:t>,</w:t>
      </w:r>
      <w:r w:rsidR="00420486">
        <w:rPr>
          <w:lang w:val="en-US"/>
        </w:rPr>
        <w:t xml:space="preserve"> a</w:t>
      </w:r>
      <w:r>
        <w:rPr>
          <w:lang w:val="en-US"/>
        </w:rPr>
        <w:t xml:space="preserve">vec la </w:t>
      </w:r>
      <w:r w:rsidRPr="009F420B">
        <w:rPr>
          <w:lang w:val="en-US"/>
        </w:rPr>
        <w:t xml:space="preserve">collaboration </w:t>
      </w:r>
      <w:r>
        <w:rPr>
          <w:lang w:val="en-US"/>
        </w:rPr>
        <w:t xml:space="preserve">de </w:t>
      </w:r>
      <w:r w:rsidRPr="009F420B">
        <w:rPr>
          <w:lang w:val="en-US"/>
        </w:rPr>
        <w:t xml:space="preserve">S. L. Kath, </w:t>
      </w:r>
      <w:r w:rsidRPr="009F420B">
        <w:rPr>
          <w:i/>
          <w:lang w:val="en-US"/>
        </w:rPr>
        <w:t>«</w:t>
      </w:r>
      <w:r w:rsidRPr="009F420B">
        <w:rPr>
          <w:lang w:val="en-US"/>
        </w:rPr>
        <w:t> </w:t>
      </w:r>
      <w:r w:rsidRPr="009F420B">
        <w:rPr>
          <w:i/>
          <w:lang w:val="en-US"/>
        </w:rPr>
        <w:t>If I am from Grand</w:t>
      </w:r>
      <w:r>
        <w:rPr>
          <w:i/>
          <w:lang w:val="en-US"/>
        </w:rPr>
        <w:noBreakHyphen/>
      </w:r>
      <w:r w:rsidRPr="009F420B">
        <w:rPr>
          <w:i/>
          <w:lang w:val="en-US"/>
        </w:rPr>
        <w:t>Mère, Why Am I Being Sued in Texas? » Responding to Inappropriate F</w:t>
      </w:r>
      <w:r w:rsidR="002F52C2">
        <w:rPr>
          <w:i/>
          <w:lang w:val="en-US"/>
        </w:rPr>
        <w:t>oreign Jurisdiction in Quebec-</w:t>
      </w:r>
      <w:r w:rsidRPr="009F420B">
        <w:rPr>
          <w:i/>
          <w:lang w:val="en-US"/>
        </w:rPr>
        <w:t>United States Crossborder Litigation</w:t>
      </w:r>
      <w:r w:rsidRPr="009F420B">
        <w:rPr>
          <w:lang w:val="en-US"/>
        </w:rPr>
        <w:t xml:space="preserve"> (2001), </w:t>
      </w:r>
      <w:r>
        <w:rPr>
          <w:lang w:val="en-US"/>
        </w:rPr>
        <w:t>p. </w:t>
      </w:r>
      <w:r w:rsidRPr="009F420B">
        <w:rPr>
          <w:lang w:val="en-US"/>
        </w:rPr>
        <w:t xml:space="preserve">117) </w:t>
      </w:r>
    </w:p>
    <w:p w:rsidR="00AF6697" w:rsidRPr="009F420B" w:rsidRDefault="00AF6697" w:rsidP="00AF6697">
      <w:pPr>
        <w:pStyle w:val="ContinueParaSuitedupar-AltP"/>
        <w:rPr>
          <w:lang w:val="en-US"/>
        </w:rPr>
      </w:pPr>
      <w:r w:rsidRPr="009F420B">
        <w:rPr>
          <w:lang w:val="en-US"/>
        </w:rPr>
        <w:t xml:space="preserve">Voir aussi </w:t>
      </w:r>
      <w:r w:rsidRPr="00EE0473">
        <w:rPr>
          <w:i/>
          <w:lang w:val="en-US"/>
        </w:rPr>
        <w:t>Cortas Canning and Ref</w:t>
      </w:r>
      <w:r w:rsidR="00040FD2">
        <w:rPr>
          <w:i/>
          <w:lang w:val="en-US"/>
        </w:rPr>
        <w:t>rigerating Co. c. Suidan Bros. i</w:t>
      </w:r>
      <w:r w:rsidRPr="00EE0473">
        <w:rPr>
          <w:i/>
          <w:lang w:val="en-US"/>
        </w:rPr>
        <w:t>nc./Suidan Frères inc.</w:t>
      </w:r>
      <w:r w:rsidRPr="009F420B">
        <w:rPr>
          <w:lang w:val="en-US"/>
        </w:rPr>
        <w:t xml:space="preserve">, [1999] R.J.Q. 1227 (C.S.), </w:t>
      </w:r>
      <w:r>
        <w:rPr>
          <w:lang w:val="en-US"/>
        </w:rPr>
        <w:t>p. </w:t>
      </w:r>
      <w:r w:rsidRPr="009F420B">
        <w:rPr>
          <w:lang w:val="en-US"/>
        </w:rPr>
        <w:t>1233</w:t>
      </w:r>
      <w:r>
        <w:rPr>
          <w:lang w:val="en-US"/>
        </w:rPr>
        <w:t> :</w:t>
      </w:r>
      <w:r w:rsidRPr="009F420B">
        <w:rPr>
          <w:lang w:val="en-US"/>
        </w:rPr>
        <w:t xml:space="preserve"> </w:t>
      </w:r>
    </w:p>
    <w:p w:rsidR="00AF6697" w:rsidRPr="009F420B" w:rsidRDefault="00AF6697" w:rsidP="00E23957">
      <w:pPr>
        <w:pStyle w:val="Citation-AltC"/>
        <w:tabs>
          <w:tab w:val="left" w:pos="1530"/>
        </w:tabs>
        <w:spacing w:after="240"/>
        <w:ind w:left="1168" w:hanging="1168"/>
        <w:contextualSpacing w:val="0"/>
        <w:rPr>
          <w:lang w:val="fr-CA"/>
        </w:rPr>
      </w:pPr>
      <w:r w:rsidRPr="00AE6789">
        <w:rPr>
          <w:lang w:val="en-US"/>
        </w:rPr>
        <w:tab/>
      </w:r>
      <w:r w:rsidR="00E23957">
        <w:rPr>
          <w:lang w:val="en-US"/>
        </w:rPr>
        <w:tab/>
      </w:r>
      <w:r w:rsidRPr="009F420B">
        <w:rPr>
          <w:lang w:val="fr-CA"/>
        </w:rPr>
        <w:t>[</w:t>
      </w:r>
      <w:r w:rsidRPr="009F420B">
        <w:rPr>
          <w:smallCaps/>
          <w:lang w:val="fr-CA"/>
        </w:rPr>
        <w:t>traduction</w:t>
      </w:r>
      <w:r w:rsidRPr="009F420B">
        <w:rPr>
          <w:lang w:val="fr-CA"/>
        </w:rPr>
        <w:t>] Lever le voile de la personnalité morale n</w:t>
      </w:r>
      <w:r>
        <w:rPr>
          <w:lang w:val="fr-CA"/>
        </w:rPr>
        <w:t>’</w:t>
      </w:r>
      <w:r w:rsidRPr="009F420B">
        <w:rPr>
          <w:lang w:val="fr-CA"/>
        </w:rPr>
        <w:t>est pas contraire à l</w:t>
      </w:r>
      <w:r>
        <w:rPr>
          <w:lang w:val="fr-CA"/>
        </w:rPr>
        <w:t>’</w:t>
      </w:r>
      <w:r w:rsidRPr="009F420B">
        <w:rPr>
          <w:lang w:val="fr-CA"/>
        </w:rPr>
        <w:t>ordre public tel qu</w:t>
      </w:r>
      <w:r>
        <w:rPr>
          <w:lang w:val="fr-CA"/>
        </w:rPr>
        <w:t>’</w:t>
      </w:r>
      <w:r w:rsidRPr="009F420B">
        <w:rPr>
          <w:lang w:val="fr-CA"/>
        </w:rPr>
        <w:t xml:space="preserve">il est entendu dans le contexte international, et une décision à cet égard prise par une cour compétente devrait être maintenue au Québec. </w:t>
      </w:r>
    </w:p>
    <w:p w:rsidR="00AF6697" w:rsidRPr="009F420B" w:rsidRDefault="002F52C2" w:rsidP="00AF6697">
      <w:pPr>
        <w:pStyle w:val="Citation-AltC"/>
        <w:spacing w:after="240"/>
        <w:ind w:left="1168" w:hanging="1168"/>
        <w:contextualSpacing w:val="0"/>
        <w:jc w:val="center"/>
        <w:rPr>
          <w:lang w:val="fr-CA"/>
        </w:rPr>
      </w:pPr>
      <w:r>
        <w:rPr>
          <w:lang w:val="fr-CA"/>
        </w:rPr>
        <w:tab/>
      </w:r>
      <w:r w:rsidR="00AF6697" w:rsidRPr="009F420B">
        <w:rPr>
          <w:lang w:val="fr-CA"/>
        </w:rPr>
        <w:t>. . .</w:t>
      </w:r>
    </w:p>
    <w:p w:rsidR="00AF6697" w:rsidRPr="009F420B" w:rsidRDefault="00AF6697" w:rsidP="00E23957">
      <w:pPr>
        <w:pStyle w:val="Citation-AltC"/>
        <w:tabs>
          <w:tab w:val="left" w:pos="1530"/>
        </w:tabs>
        <w:spacing w:after="240"/>
        <w:ind w:left="1168" w:hanging="1168"/>
        <w:contextualSpacing w:val="0"/>
        <w:rPr>
          <w:lang w:val="fr-CA"/>
        </w:rPr>
      </w:pPr>
      <w:r>
        <w:rPr>
          <w:lang w:val="fr-CA"/>
        </w:rPr>
        <w:tab/>
      </w:r>
      <w:r w:rsidR="00E23957">
        <w:rPr>
          <w:lang w:val="fr-CA"/>
        </w:rPr>
        <w:tab/>
        <w:t xml:space="preserve">. . . </w:t>
      </w:r>
      <w:r w:rsidRPr="009F420B">
        <w:rPr>
          <w:lang w:val="fr-CA"/>
        </w:rPr>
        <w:t>Il est possible de lever le voile de la personnalité morale en droit québécois et une décision à cet égard demeure, à bien des égards, une question d</w:t>
      </w:r>
      <w:r>
        <w:rPr>
          <w:lang w:val="fr-CA"/>
        </w:rPr>
        <w:t>’</w:t>
      </w:r>
      <w:r w:rsidRPr="009F420B">
        <w:rPr>
          <w:lang w:val="fr-CA"/>
        </w:rPr>
        <w:t>appréciation des faits qui relève des tribunaux. Dans la présente affaire, il est difficile de soutenir qu</w:t>
      </w:r>
      <w:r>
        <w:rPr>
          <w:lang w:val="fr-CA"/>
        </w:rPr>
        <w:t>’</w:t>
      </w:r>
      <w:r w:rsidRPr="009F420B">
        <w:rPr>
          <w:lang w:val="fr-CA"/>
        </w:rPr>
        <w:t>une telle décision, même prise dans le cadre d</w:t>
      </w:r>
      <w:r>
        <w:rPr>
          <w:lang w:val="fr-CA"/>
        </w:rPr>
        <w:t>’</w:t>
      </w:r>
      <w:r w:rsidRPr="009F420B">
        <w:rPr>
          <w:lang w:val="fr-CA"/>
        </w:rPr>
        <w:t>un jugement rendu par défaut, viole les règles d</w:t>
      </w:r>
      <w:r>
        <w:rPr>
          <w:lang w:val="fr-CA"/>
        </w:rPr>
        <w:t>’</w:t>
      </w:r>
      <w:r w:rsidRPr="009F420B">
        <w:rPr>
          <w:lang w:val="fr-CA"/>
        </w:rPr>
        <w:t>ordre public telles qu</w:t>
      </w:r>
      <w:r>
        <w:rPr>
          <w:lang w:val="fr-CA"/>
        </w:rPr>
        <w:t>’</w:t>
      </w:r>
      <w:r w:rsidRPr="009F420B">
        <w:rPr>
          <w:lang w:val="fr-CA"/>
        </w:rPr>
        <w:t>on les entend dans le contexte international.</w:t>
      </w:r>
    </w:p>
    <w:p w:rsidR="00AF6697" w:rsidRPr="009F420B" w:rsidRDefault="00AF6697" w:rsidP="00AF6697">
      <w:pPr>
        <w:pStyle w:val="ParaNoNdepar-AltN"/>
        <w:tabs>
          <w:tab w:val="clear" w:pos="1166"/>
          <w:tab w:val="num" w:pos="1152"/>
        </w:tabs>
        <w:rPr>
          <w:rFonts w:cs="Times New Roman"/>
          <w:lang w:val="fr-CA"/>
        </w:rPr>
      </w:pPr>
      <w:r w:rsidRPr="009F420B">
        <w:rPr>
          <w:rFonts w:cs="Times New Roman"/>
          <w:lang w:val="fr-CA"/>
        </w:rPr>
        <w:t xml:space="preserve">Autrement dit, le voile de la personnalité morale offre une protection </w:t>
      </w:r>
      <w:r w:rsidRPr="009F420B">
        <w:rPr>
          <w:rFonts w:cs="Times New Roman"/>
          <w:i/>
          <w:lang w:val="fr-CA"/>
        </w:rPr>
        <w:t>contre la responsabilité</w:t>
      </w:r>
      <w:r w:rsidRPr="009F420B">
        <w:rPr>
          <w:rFonts w:cs="Times New Roman"/>
          <w:lang w:val="fr-CA"/>
        </w:rPr>
        <w:t xml:space="preserve">, et non </w:t>
      </w:r>
      <w:r w:rsidRPr="009F420B">
        <w:rPr>
          <w:rFonts w:cs="Times New Roman"/>
          <w:i/>
          <w:lang w:val="fr-CA"/>
        </w:rPr>
        <w:t>contre la compétence</w:t>
      </w:r>
      <w:r w:rsidRPr="009F420B">
        <w:rPr>
          <w:rFonts w:cs="Times New Roman"/>
          <w:lang w:val="fr-CA"/>
        </w:rPr>
        <w:t xml:space="preserve"> d</w:t>
      </w:r>
      <w:r>
        <w:rPr>
          <w:rFonts w:cs="Times New Roman"/>
          <w:lang w:val="fr-CA"/>
        </w:rPr>
        <w:t>’</w:t>
      </w:r>
      <w:r w:rsidRPr="009F420B">
        <w:rPr>
          <w:rFonts w:cs="Times New Roman"/>
          <w:lang w:val="fr-CA"/>
        </w:rPr>
        <w:t>une autorité étrangère</w:t>
      </w:r>
      <w:r>
        <w:rPr>
          <w:rFonts w:cs="Times New Roman"/>
          <w:lang w:val="fr-CA"/>
        </w:rPr>
        <w:t> :</w:t>
      </w:r>
      <w:r w:rsidRPr="009F420B">
        <w:rPr>
          <w:rFonts w:cs="Times New Roman"/>
          <w:lang w:val="fr-CA"/>
        </w:rPr>
        <w:t xml:space="preserve"> voir l</w:t>
      </w:r>
      <w:r>
        <w:rPr>
          <w:rFonts w:cs="Times New Roman"/>
          <w:lang w:val="fr-CA"/>
        </w:rPr>
        <w:t>’art. </w:t>
      </w:r>
      <w:r w:rsidRPr="009F420B">
        <w:rPr>
          <w:rFonts w:cs="Times New Roman"/>
          <w:lang w:val="fr-CA"/>
        </w:rPr>
        <w:t>309 </w:t>
      </w:r>
      <w:r w:rsidRPr="009F420B">
        <w:rPr>
          <w:rFonts w:cs="Times New Roman"/>
          <w:i/>
          <w:lang w:val="fr-CA"/>
        </w:rPr>
        <w:t>C.c.Q.</w:t>
      </w:r>
      <w:r w:rsidRPr="009F420B">
        <w:rPr>
          <w:rFonts w:cs="Times New Roman"/>
          <w:lang w:val="fr-CA"/>
        </w:rPr>
        <w:t xml:space="preserve">; </w:t>
      </w:r>
      <w:r w:rsidRPr="009F420B">
        <w:rPr>
          <w:rFonts w:cs="Times New Roman"/>
          <w:i/>
          <w:lang w:val="fr-CA"/>
        </w:rPr>
        <w:t>Houle c. Banque Canadienne Nationale</w:t>
      </w:r>
      <w:r w:rsidRPr="009F420B">
        <w:rPr>
          <w:rFonts w:cs="Times New Roman"/>
          <w:lang w:val="fr-CA"/>
        </w:rPr>
        <w:t xml:space="preserve">, [1990] 3 R.C.S. 122, </w:t>
      </w:r>
      <w:r>
        <w:rPr>
          <w:rFonts w:cs="Times New Roman"/>
          <w:lang w:val="fr-CA"/>
        </w:rPr>
        <w:t>p. </w:t>
      </w:r>
      <w:r w:rsidRPr="009F420B">
        <w:rPr>
          <w:rFonts w:cs="Times New Roman"/>
          <w:lang w:val="fr-CA"/>
        </w:rPr>
        <w:t xml:space="preserve">178; </w:t>
      </w:r>
      <w:r w:rsidRPr="009F420B">
        <w:rPr>
          <w:rFonts w:cs="Times New Roman"/>
          <w:i/>
          <w:lang w:val="fr-CA"/>
        </w:rPr>
        <w:lastRenderedPageBreak/>
        <w:t>Brunette c. Legault Joly Thiffault, s.e.n.c.r.l.</w:t>
      </w:r>
      <w:r w:rsidRPr="009F420B">
        <w:rPr>
          <w:rFonts w:cs="Times New Roman"/>
          <w:lang w:val="fr-CA"/>
        </w:rPr>
        <w:t xml:space="preserve">, 2018 CSC 55, </w:t>
      </w:r>
      <w:r w:rsidR="00057B97">
        <w:rPr>
          <w:rFonts w:cs="Times New Roman"/>
          <w:lang w:val="fr-CA"/>
        </w:rPr>
        <w:t xml:space="preserve">[2018] 3 R.C.S. 481, </w:t>
      </w:r>
      <w:r>
        <w:rPr>
          <w:rFonts w:cs="Times New Roman"/>
          <w:lang w:val="fr-CA"/>
        </w:rPr>
        <w:t>par. </w:t>
      </w:r>
      <w:r w:rsidRPr="009F420B">
        <w:rPr>
          <w:rFonts w:cs="Times New Roman"/>
          <w:lang w:val="fr-CA"/>
        </w:rPr>
        <w:t xml:space="preserve">27; </w:t>
      </w:r>
      <w:r w:rsidRPr="009F420B">
        <w:rPr>
          <w:rFonts w:cs="Times New Roman"/>
          <w:i/>
          <w:lang w:val="fr-CA"/>
        </w:rPr>
        <w:t>Salomon c. Salomon &amp; Co.</w:t>
      </w:r>
      <w:r w:rsidRPr="009F420B">
        <w:rPr>
          <w:rFonts w:cs="Times New Roman"/>
          <w:lang w:val="fr-CA"/>
        </w:rPr>
        <w:t>, [1897] A.C</w:t>
      </w:r>
      <w:r>
        <w:rPr>
          <w:rFonts w:cs="Times New Roman"/>
          <w:lang w:val="fr-CA"/>
        </w:rPr>
        <w:t xml:space="preserve">. </w:t>
      </w:r>
      <w:r w:rsidRPr="009F420B">
        <w:rPr>
          <w:rFonts w:cs="Times New Roman"/>
          <w:lang w:val="fr-CA"/>
        </w:rPr>
        <w:t>22 (H.L.). Je le répète, la question de savoir s</w:t>
      </w:r>
      <w:r>
        <w:rPr>
          <w:rFonts w:cs="Times New Roman"/>
          <w:lang w:val="fr-CA"/>
        </w:rPr>
        <w:t>’</w:t>
      </w:r>
      <w:r w:rsidRPr="009F420B">
        <w:rPr>
          <w:rFonts w:cs="Times New Roman"/>
          <w:lang w:val="fr-CA"/>
        </w:rPr>
        <w:t>il y a lieu ou non de lever le voile de la personnalité morale est une question juridique de fond qui doit être tranchée par l</w:t>
      </w:r>
      <w:r>
        <w:rPr>
          <w:rFonts w:cs="Times New Roman"/>
          <w:lang w:val="fr-CA"/>
        </w:rPr>
        <w:t>’</w:t>
      </w:r>
      <w:r w:rsidRPr="009F420B">
        <w:rPr>
          <w:rFonts w:cs="Times New Roman"/>
          <w:lang w:val="fr-CA"/>
        </w:rPr>
        <w:t>autorité compétente conformément au droit applicable. Il ne s</w:t>
      </w:r>
      <w:r>
        <w:rPr>
          <w:rFonts w:cs="Times New Roman"/>
          <w:lang w:val="fr-CA"/>
        </w:rPr>
        <w:t>’</w:t>
      </w:r>
      <w:r w:rsidRPr="009F420B">
        <w:rPr>
          <w:rFonts w:cs="Times New Roman"/>
          <w:lang w:val="fr-CA"/>
        </w:rPr>
        <w:t>agit pas d</w:t>
      </w:r>
      <w:r>
        <w:rPr>
          <w:rFonts w:cs="Times New Roman"/>
          <w:lang w:val="fr-CA"/>
        </w:rPr>
        <w:t>’</w:t>
      </w:r>
      <w:r w:rsidRPr="009F420B">
        <w:rPr>
          <w:rFonts w:cs="Times New Roman"/>
          <w:lang w:val="fr-CA"/>
        </w:rPr>
        <w:t>une question de compétence. Il s</w:t>
      </w:r>
      <w:r>
        <w:rPr>
          <w:rFonts w:cs="Times New Roman"/>
          <w:lang w:val="fr-CA"/>
        </w:rPr>
        <w:t>’</w:t>
      </w:r>
      <w:r w:rsidRPr="009F420B">
        <w:rPr>
          <w:rFonts w:cs="Times New Roman"/>
          <w:lang w:val="fr-CA"/>
        </w:rPr>
        <w:t>ensuit que le défendeur domicilié dans l</w:t>
      </w:r>
      <w:r>
        <w:rPr>
          <w:rFonts w:cs="Times New Roman"/>
          <w:lang w:val="fr-CA"/>
        </w:rPr>
        <w:t>’</w:t>
      </w:r>
      <w:r w:rsidRPr="009F420B">
        <w:rPr>
          <w:rFonts w:cs="Times New Roman"/>
          <w:lang w:val="fr-CA"/>
        </w:rPr>
        <w:t>État de l</w:t>
      </w:r>
      <w:r>
        <w:rPr>
          <w:rFonts w:cs="Times New Roman"/>
          <w:lang w:val="fr-CA"/>
        </w:rPr>
        <w:t>’</w:t>
      </w:r>
      <w:r w:rsidRPr="009F420B">
        <w:rPr>
          <w:rFonts w:cs="Times New Roman"/>
          <w:lang w:val="fr-CA"/>
        </w:rPr>
        <w:t xml:space="preserve">autorité étrangère ne peut pas échapper à la </w:t>
      </w:r>
      <w:r w:rsidRPr="009F420B">
        <w:rPr>
          <w:rFonts w:cs="Times New Roman"/>
          <w:i/>
          <w:lang w:val="fr-CA"/>
        </w:rPr>
        <w:t>compétence</w:t>
      </w:r>
      <w:r w:rsidRPr="009F420B">
        <w:rPr>
          <w:rFonts w:cs="Times New Roman"/>
          <w:lang w:val="fr-CA"/>
        </w:rPr>
        <w:t xml:space="preserve"> de cette autorité en invoquant le voile de la personnalité morale — et ce, même s</w:t>
      </w:r>
      <w:r>
        <w:rPr>
          <w:rFonts w:cs="Times New Roman"/>
          <w:lang w:val="fr-CA"/>
        </w:rPr>
        <w:t>’</w:t>
      </w:r>
      <w:r w:rsidRPr="009F420B">
        <w:rPr>
          <w:rFonts w:cs="Times New Roman"/>
          <w:lang w:val="fr-CA"/>
        </w:rPr>
        <w:t xml:space="preserve">il peut au bout du compte échapper à toute </w:t>
      </w:r>
      <w:r w:rsidRPr="009F420B">
        <w:rPr>
          <w:rFonts w:cs="Times New Roman"/>
          <w:i/>
          <w:lang w:val="fr-CA"/>
        </w:rPr>
        <w:t>responsabilité</w:t>
      </w:r>
      <w:r w:rsidRPr="009F420B">
        <w:rPr>
          <w:rFonts w:cs="Times New Roman"/>
          <w:lang w:val="fr-CA"/>
        </w:rPr>
        <w:t xml:space="preserve"> selon le droit applicable</w:t>
      </w:r>
      <w:r>
        <w:rPr>
          <w:rFonts w:cs="Times New Roman"/>
          <w:lang w:val="fr-CA"/>
        </w:rPr>
        <w:t> :</w:t>
      </w:r>
      <w:r w:rsidRPr="009F420B">
        <w:rPr>
          <w:rFonts w:cs="Times New Roman"/>
          <w:lang w:val="fr-CA"/>
        </w:rPr>
        <w:t xml:space="preserve"> </w:t>
      </w:r>
      <w:r w:rsidR="00D968C7">
        <w:rPr>
          <w:rFonts w:cs="Times New Roman"/>
          <w:lang w:val="fr-CA"/>
        </w:rPr>
        <w:t>par</w:t>
      </w:r>
      <w:r>
        <w:rPr>
          <w:rFonts w:cs="Times New Roman"/>
          <w:lang w:val="fr-CA"/>
        </w:rPr>
        <w:t>. </w:t>
      </w:r>
      <w:r w:rsidRPr="009F420B">
        <w:rPr>
          <w:rFonts w:cs="Times New Roman"/>
          <w:lang w:val="fr-CA"/>
        </w:rPr>
        <w:t xml:space="preserve">3168(1) </w:t>
      </w:r>
      <w:r w:rsidRPr="009F420B">
        <w:rPr>
          <w:rFonts w:cs="Times New Roman"/>
          <w:i/>
          <w:lang w:val="fr-CA"/>
        </w:rPr>
        <w:t>C.c.Q.</w:t>
      </w:r>
      <w:r w:rsidRPr="009F420B">
        <w:rPr>
          <w:rFonts w:cs="Times New Roman"/>
          <w:lang w:val="fr-CA"/>
        </w:rPr>
        <w:t xml:space="preserve"> Comme je l</w:t>
      </w:r>
      <w:r>
        <w:rPr>
          <w:rFonts w:cs="Times New Roman"/>
          <w:lang w:val="fr-CA"/>
        </w:rPr>
        <w:t>’</w:t>
      </w:r>
      <w:r w:rsidRPr="009F420B">
        <w:rPr>
          <w:rFonts w:cs="Times New Roman"/>
          <w:lang w:val="fr-CA"/>
        </w:rPr>
        <w:t>expliquerai plus loin, le défendeur ne peut pas non plus échapper à la compétence de l</w:t>
      </w:r>
      <w:r>
        <w:rPr>
          <w:rFonts w:cs="Times New Roman"/>
          <w:lang w:val="fr-CA"/>
        </w:rPr>
        <w:t>’</w:t>
      </w:r>
      <w:r w:rsidRPr="009F420B">
        <w:rPr>
          <w:rFonts w:cs="Times New Roman"/>
          <w:lang w:val="fr-CA"/>
        </w:rPr>
        <w:t xml:space="preserve">autorité étrangère si une allégation formulée contre lui est </w:t>
      </w:r>
      <w:r w:rsidR="00040FD2" w:rsidRPr="009F420B">
        <w:rPr>
          <w:rFonts w:cs="Times New Roman"/>
          <w:lang w:val="fr-CA"/>
        </w:rPr>
        <w:t>« </w:t>
      </w:r>
      <w:r w:rsidRPr="009F420B">
        <w:rPr>
          <w:rFonts w:cs="Times New Roman"/>
          <w:lang w:val="fr-CA"/>
        </w:rPr>
        <w:t>liée » à un litige de nature contractuelle à l</w:t>
      </w:r>
      <w:r>
        <w:rPr>
          <w:rFonts w:cs="Times New Roman"/>
          <w:lang w:val="fr-CA"/>
        </w:rPr>
        <w:t>’</w:t>
      </w:r>
      <w:r w:rsidRPr="009F420B">
        <w:rPr>
          <w:rFonts w:cs="Times New Roman"/>
          <w:lang w:val="fr-CA"/>
        </w:rPr>
        <w:t>égard duquel l</w:t>
      </w:r>
      <w:r>
        <w:rPr>
          <w:rFonts w:cs="Times New Roman"/>
          <w:lang w:val="fr-CA"/>
        </w:rPr>
        <w:t>’</w:t>
      </w:r>
      <w:r w:rsidRPr="009F420B">
        <w:rPr>
          <w:rFonts w:cs="Times New Roman"/>
          <w:lang w:val="fr-CA"/>
        </w:rPr>
        <w:t>autorité étrangère a compétence et si cette allégation ou ce défendeur se rattache de façon « importante » à l</w:t>
      </w:r>
      <w:r>
        <w:rPr>
          <w:rFonts w:cs="Times New Roman"/>
          <w:lang w:val="fr-CA"/>
        </w:rPr>
        <w:t>’</w:t>
      </w:r>
      <w:r w:rsidRPr="009F420B">
        <w:rPr>
          <w:rFonts w:cs="Times New Roman"/>
          <w:lang w:val="fr-CA"/>
        </w:rPr>
        <w:t>État de l</w:t>
      </w:r>
      <w:r>
        <w:rPr>
          <w:rFonts w:cs="Times New Roman"/>
          <w:lang w:val="fr-CA"/>
        </w:rPr>
        <w:t>’</w:t>
      </w:r>
      <w:r w:rsidRPr="009F420B">
        <w:rPr>
          <w:rFonts w:cs="Times New Roman"/>
          <w:lang w:val="fr-CA"/>
        </w:rPr>
        <w:t>autorité étrangère</w:t>
      </w:r>
      <w:r>
        <w:rPr>
          <w:rFonts w:cs="Times New Roman"/>
          <w:lang w:val="fr-CA"/>
        </w:rPr>
        <w:t> :</w:t>
      </w:r>
      <w:r w:rsidRPr="009F420B">
        <w:rPr>
          <w:rFonts w:cs="Times New Roman"/>
          <w:lang w:val="fr-CA"/>
        </w:rPr>
        <w:t xml:space="preserve"> </w:t>
      </w:r>
      <w:r w:rsidR="00D968C7">
        <w:rPr>
          <w:rFonts w:cs="Times New Roman"/>
          <w:lang w:val="fr-CA"/>
        </w:rPr>
        <w:t>par</w:t>
      </w:r>
      <w:r>
        <w:rPr>
          <w:rFonts w:cs="Times New Roman"/>
          <w:lang w:val="fr-CA"/>
        </w:rPr>
        <w:t>. </w:t>
      </w:r>
      <w:r w:rsidRPr="009F420B">
        <w:rPr>
          <w:rFonts w:cs="Times New Roman"/>
          <w:lang w:val="fr-CA"/>
        </w:rPr>
        <w:t>3168(4)</w:t>
      </w:r>
      <w:r w:rsidR="00D968C7">
        <w:rPr>
          <w:rFonts w:cs="Times New Roman"/>
          <w:lang w:val="fr-CA"/>
        </w:rPr>
        <w:t xml:space="preserve"> et art.</w:t>
      </w:r>
      <w:r w:rsidRPr="009F420B">
        <w:rPr>
          <w:rFonts w:cs="Times New Roman"/>
          <w:lang w:val="fr-CA"/>
        </w:rPr>
        <w:t xml:space="preserve"> 3164 et 3139 </w:t>
      </w:r>
      <w:r w:rsidRPr="009F420B">
        <w:rPr>
          <w:rFonts w:cs="Times New Roman"/>
          <w:i/>
          <w:lang w:val="fr-CA"/>
        </w:rPr>
        <w:t>C.c.Q.</w:t>
      </w:r>
    </w:p>
    <w:p w:rsidR="00AF6697" w:rsidRPr="009F420B" w:rsidRDefault="00AF6697" w:rsidP="00AF6697">
      <w:pPr>
        <w:pStyle w:val="ParaNoNdepar-AltN"/>
        <w:tabs>
          <w:tab w:val="clear" w:pos="1166"/>
          <w:tab w:val="num" w:pos="1152"/>
        </w:tabs>
        <w:rPr>
          <w:rFonts w:cs="Times New Roman"/>
          <w:lang w:val="fr-CA"/>
        </w:rPr>
      </w:pPr>
      <w:r w:rsidRPr="009F420B">
        <w:rPr>
          <w:rFonts w:cs="Times New Roman"/>
          <w:lang w:val="fr-CA"/>
        </w:rPr>
        <w:t xml:space="preserve">Par exemple, dans la décision </w:t>
      </w:r>
      <w:r w:rsidRPr="009F420B">
        <w:rPr>
          <w:rFonts w:cs="Times New Roman"/>
          <w:i/>
          <w:lang w:val="fr-CA"/>
        </w:rPr>
        <w:t>Marble Point Energy Ltd. c. Stonecroft Resources Inc.</w:t>
      </w:r>
      <w:r w:rsidRPr="009F420B">
        <w:rPr>
          <w:rFonts w:cs="Times New Roman"/>
          <w:lang w:val="fr-CA"/>
        </w:rPr>
        <w:t>, 2009 QCCS 3478, conf. par 2011 QCCA 141, la Cour supérieure du Québec a reconnu la compétence d</w:t>
      </w:r>
      <w:r>
        <w:rPr>
          <w:rFonts w:cs="Times New Roman"/>
          <w:lang w:val="fr-CA"/>
        </w:rPr>
        <w:t>’</w:t>
      </w:r>
      <w:r w:rsidRPr="009F420B">
        <w:rPr>
          <w:rFonts w:cs="Times New Roman"/>
          <w:lang w:val="fr-CA"/>
        </w:rPr>
        <w:t>une autorité étrangère (la Cour suprême des Caraïbes orientales) sur deux défendeurs domiciliés au Québec, à qui cette dernière avait ordonné de payer des dépens dans le cadre d</w:t>
      </w:r>
      <w:r>
        <w:rPr>
          <w:rFonts w:cs="Times New Roman"/>
          <w:lang w:val="fr-CA"/>
        </w:rPr>
        <w:t>’</w:t>
      </w:r>
      <w:r w:rsidRPr="009F420B">
        <w:rPr>
          <w:rFonts w:cs="Times New Roman"/>
          <w:lang w:val="fr-CA"/>
        </w:rPr>
        <w:t>une action principale intentée contre des sociétés dont ils étaient actionnaires et administrateurs</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2, 4, 47, 53</w:t>
      </w:r>
      <w:r>
        <w:rPr>
          <w:rFonts w:cs="Times New Roman"/>
          <w:lang w:val="fr-CA"/>
        </w:rPr>
        <w:noBreakHyphen/>
      </w:r>
      <w:r w:rsidRPr="009F420B">
        <w:rPr>
          <w:rFonts w:cs="Times New Roman"/>
          <w:lang w:val="fr-CA"/>
        </w:rPr>
        <w:t>54 et 57</w:t>
      </w:r>
      <w:r>
        <w:rPr>
          <w:rFonts w:cs="Times New Roman"/>
          <w:lang w:val="fr-CA"/>
        </w:rPr>
        <w:noBreakHyphen/>
      </w:r>
      <w:r w:rsidRPr="009F420B">
        <w:rPr>
          <w:rFonts w:cs="Times New Roman"/>
          <w:lang w:val="fr-CA"/>
        </w:rPr>
        <w:t>62 (CanLII). La Cour supérieure a souligné que la décision de l</w:t>
      </w:r>
      <w:r>
        <w:rPr>
          <w:rFonts w:cs="Times New Roman"/>
          <w:lang w:val="fr-CA"/>
        </w:rPr>
        <w:t>’</w:t>
      </w:r>
      <w:r w:rsidRPr="009F420B">
        <w:rPr>
          <w:rFonts w:cs="Times New Roman"/>
          <w:lang w:val="fr-CA"/>
        </w:rPr>
        <w:t xml:space="preserve">autorité étrangère de lever le voile de la personnalité morale </w:t>
      </w:r>
      <w:r w:rsidRPr="009F420B">
        <w:rPr>
          <w:rFonts w:cs="Times New Roman"/>
          <w:i/>
          <w:lang w:val="fr-CA"/>
        </w:rPr>
        <w:t>n</w:t>
      </w:r>
      <w:r>
        <w:rPr>
          <w:rFonts w:cs="Times New Roman"/>
          <w:i/>
          <w:lang w:val="fr-CA"/>
        </w:rPr>
        <w:t>’</w:t>
      </w:r>
      <w:r w:rsidRPr="009F420B">
        <w:rPr>
          <w:rFonts w:cs="Times New Roman"/>
          <w:lang w:val="fr-CA"/>
        </w:rPr>
        <w:t xml:space="preserve">était </w:t>
      </w:r>
      <w:r w:rsidRPr="009F420B">
        <w:rPr>
          <w:rFonts w:cs="Times New Roman"/>
          <w:i/>
          <w:lang w:val="fr-CA"/>
        </w:rPr>
        <w:t>pas</w:t>
      </w:r>
      <w:r w:rsidRPr="009F420B">
        <w:rPr>
          <w:rFonts w:cs="Times New Roman"/>
          <w:lang w:val="fr-CA"/>
        </w:rPr>
        <w:t xml:space="preserve"> contraire à l</w:t>
      </w:r>
      <w:r>
        <w:rPr>
          <w:rFonts w:cs="Times New Roman"/>
          <w:lang w:val="fr-CA"/>
        </w:rPr>
        <w:t>’</w:t>
      </w:r>
      <w:r w:rsidRPr="009F420B">
        <w:rPr>
          <w:rFonts w:cs="Times New Roman"/>
          <w:lang w:val="fr-CA"/>
        </w:rPr>
        <w:t>ordre public</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62</w:t>
      </w:r>
      <w:r>
        <w:rPr>
          <w:rFonts w:cs="Times New Roman"/>
          <w:lang w:val="fr-CA"/>
        </w:rPr>
        <w:noBreakHyphen/>
      </w:r>
      <w:r w:rsidRPr="009F420B">
        <w:rPr>
          <w:rFonts w:cs="Times New Roman"/>
          <w:lang w:val="fr-CA"/>
        </w:rPr>
        <w:t>73. Elle a aussi rappelé que l</w:t>
      </w:r>
      <w:r>
        <w:rPr>
          <w:rFonts w:cs="Times New Roman"/>
          <w:lang w:val="fr-CA"/>
        </w:rPr>
        <w:t>’</w:t>
      </w:r>
      <w:r w:rsidRPr="009F420B">
        <w:rPr>
          <w:rFonts w:cs="Times New Roman"/>
          <w:lang w:val="fr-CA"/>
        </w:rPr>
        <w:t>adjudication des dépens était « accessoire » à l</w:t>
      </w:r>
      <w:r>
        <w:rPr>
          <w:rFonts w:cs="Times New Roman"/>
          <w:lang w:val="fr-CA"/>
        </w:rPr>
        <w:t>’</w:t>
      </w:r>
      <w:r w:rsidRPr="009F420B">
        <w:rPr>
          <w:rFonts w:cs="Times New Roman"/>
          <w:lang w:val="fr-CA"/>
        </w:rPr>
        <w:t>action principale à l</w:t>
      </w:r>
      <w:r>
        <w:rPr>
          <w:rFonts w:cs="Times New Roman"/>
          <w:lang w:val="fr-CA"/>
        </w:rPr>
        <w:t>’</w:t>
      </w:r>
      <w:r w:rsidRPr="009F420B">
        <w:rPr>
          <w:rFonts w:cs="Times New Roman"/>
          <w:lang w:val="fr-CA"/>
        </w:rPr>
        <w:t>égard de laquelle l</w:t>
      </w:r>
      <w:r>
        <w:rPr>
          <w:rFonts w:cs="Times New Roman"/>
          <w:lang w:val="fr-CA"/>
        </w:rPr>
        <w:t>’</w:t>
      </w:r>
      <w:r w:rsidRPr="009F420B">
        <w:rPr>
          <w:rFonts w:cs="Times New Roman"/>
          <w:lang w:val="fr-CA"/>
        </w:rPr>
        <w:t>autorité étrangère avait manifestement compétence (</w:t>
      </w:r>
      <w:r>
        <w:rPr>
          <w:rFonts w:cs="Times New Roman"/>
          <w:lang w:val="fr-CA"/>
        </w:rPr>
        <w:t>par. </w:t>
      </w:r>
      <w:r w:rsidRPr="009F420B">
        <w:rPr>
          <w:rFonts w:cs="Times New Roman"/>
          <w:lang w:val="fr-CA"/>
        </w:rPr>
        <w:t>57) et elle s</w:t>
      </w:r>
      <w:r>
        <w:rPr>
          <w:rFonts w:cs="Times New Roman"/>
          <w:lang w:val="fr-CA"/>
        </w:rPr>
        <w:t>’</w:t>
      </w:r>
      <w:r w:rsidRPr="009F420B">
        <w:rPr>
          <w:rFonts w:cs="Times New Roman"/>
          <w:lang w:val="fr-CA"/>
        </w:rPr>
        <w:t xml:space="preserve">est fondée sur les </w:t>
      </w:r>
      <w:r>
        <w:rPr>
          <w:rFonts w:cs="Times New Roman"/>
          <w:lang w:val="fr-CA"/>
        </w:rPr>
        <w:t>art. </w:t>
      </w:r>
      <w:r w:rsidRPr="009F420B">
        <w:rPr>
          <w:rFonts w:cs="Times New Roman"/>
          <w:lang w:val="fr-CA"/>
        </w:rPr>
        <w:t xml:space="preserve">3164 et 3139 </w:t>
      </w:r>
      <w:r w:rsidRPr="009F420B">
        <w:rPr>
          <w:rFonts w:cs="Times New Roman"/>
          <w:i/>
          <w:lang w:val="fr-CA"/>
        </w:rPr>
        <w:t>C.c.Q.</w:t>
      </w:r>
      <w:r w:rsidRPr="009F420B">
        <w:rPr>
          <w:rFonts w:cs="Times New Roman"/>
          <w:lang w:val="fr-CA"/>
        </w:rPr>
        <w:t xml:space="preserve"> pour reconnaître la compétence de </w:t>
      </w:r>
      <w:r w:rsidRPr="009F420B">
        <w:rPr>
          <w:rFonts w:cs="Times New Roman"/>
          <w:lang w:val="fr-CA"/>
        </w:rPr>
        <w:lastRenderedPageBreak/>
        <w:t>cette autorité étrangère sur les deux actionnaires et administrateurs domiciliés au Québec</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59 et 61. Comme l</w:t>
      </w:r>
      <w:r>
        <w:rPr>
          <w:rFonts w:cs="Times New Roman"/>
          <w:lang w:val="fr-CA"/>
        </w:rPr>
        <w:t>’</w:t>
      </w:r>
      <w:r w:rsidRPr="009F420B">
        <w:rPr>
          <w:rFonts w:cs="Times New Roman"/>
          <w:lang w:val="fr-CA"/>
        </w:rPr>
        <w:t>autorité étrangère pouvait statuer sur l</w:t>
      </w:r>
      <w:r>
        <w:rPr>
          <w:rFonts w:cs="Times New Roman"/>
          <w:lang w:val="fr-CA"/>
        </w:rPr>
        <w:t>’</w:t>
      </w:r>
      <w:r w:rsidRPr="009F420B">
        <w:rPr>
          <w:rFonts w:cs="Times New Roman"/>
          <w:lang w:val="fr-CA"/>
        </w:rPr>
        <w:t xml:space="preserve">action principale, elle avait aussi compétence pour appliquer ses </w:t>
      </w:r>
      <w:r w:rsidRPr="009F420B">
        <w:rPr>
          <w:rFonts w:cs="Times New Roman"/>
          <w:i/>
          <w:lang w:val="fr-CA"/>
        </w:rPr>
        <w:t>propres</w:t>
      </w:r>
      <w:r w:rsidRPr="009F420B">
        <w:rPr>
          <w:rFonts w:cs="Times New Roman"/>
          <w:lang w:val="fr-CA"/>
        </w:rPr>
        <w:t xml:space="preserve"> règles de procédure concernant la condamnation aux dépens de personnes qui ne sont pas partie à l</w:t>
      </w:r>
      <w:r>
        <w:rPr>
          <w:rFonts w:cs="Times New Roman"/>
          <w:lang w:val="fr-CA"/>
        </w:rPr>
        <w:t>’</w:t>
      </w:r>
      <w:r w:rsidRPr="009F420B">
        <w:rPr>
          <w:rFonts w:cs="Times New Roman"/>
          <w:lang w:val="fr-CA"/>
        </w:rPr>
        <w:t>action (les « </w:t>
      </w:r>
      <w:r w:rsidRPr="009F420B">
        <w:rPr>
          <w:rFonts w:cs="Times New Roman"/>
          <w:i/>
          <w:lang w:val="fr-CA"/>
        </w:rPr>
        <w:t>non</w:t>
      </w:r>
      <w:r>
        <w:rPr>
          <w:rFonts w:cs="Times New Roman"/>
          <w:i/>
          <w:lang w:val="fr-CA"/>
        </w:rPr>
        <w:noBreakHyphen/>
      </w:r>
      <w:r w:rsidRPr="009F420B">
        <w:rPr>
          <w:rFonts w:cs="Times New Roman"/>
          <w:i/>
          <w:lang w:val="fr-CA"/>
        </w:rPr>
        <w:t>party costs</w:t>
      </w:r>
      <w:r w:rsidRPr="009F420B">
        <w:rPr>
          <w:rFonts w:cs="Times New Roman"/>
          <w:lang w:val="fr-CA"/>
        </w:rPr>
        <w:t> »)</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58. Cela découle de l</w:t>
      </w:r>
      <w:r>
        <w:rPr>
          <w:rFonts w:cs="Times New Roman"/>
          <w:lang w:val="fr-CA"/>
        </w:rPr>
        <w:t>’art. </w:t>
      </w:r>
      <w:r w:rsidRPr="009F420B">
        <w:rPr>
          <w:rFonts w:cs="Times New Roman"/>
          <w:lang w:val="fr-CA"/>
        </w:rPr>
        <w:t xml:space="preserve">3132 </w:t>
      </w:r>
      <w:r w:rsidRPr="009F420B">
        <w:rPr>
          <w:rFonts w:cs="Times New Roman"/>
          <w:i/>
          <w:lang w:val="fr-CA"/>
        </w:rPr>
        <w:t>C.c.Q.</w:t>
      </w:r>
      <w:r w:rsidRPr="009F420B">
        <w:rPr>
          <w:rFonts w:cs="Times New Roman"/>
          <w:lang w:val="fr-CA"/>
        </w:rPr>
        <w:t>, qui prévoit que la procédure est régie par la loi du tribunal saisi — tout comme l</w:t>
      </w:r>
      <w:r>
        <w:rPr>
          <w:rFonts w:cs="Times New Roman"/>
          <w:lang w:val="fr-CA"/>
        </w:rPr>
        <w:t>’art. </w:t>
      </w:r>
      <w:r w:rsidRPr="009F420B">
        <w:rPr>
          <w:rFonts w:cs="Times New Roman"/>
          <w:lang w:val="fr-CA"/>
        </w:rPr>
        <w:t>3083 </w:t>
      </w:r>
      <w:r w:rsidRPr="009F420B">
        <w:rPr>
          <w:rFonts w:cs="Times New Roman"/>
          <w:i/>
          <w:lang w:val="fr-CA"/>
        </w:rPr>
        <w:t>C.c.Q.</w:t>
      </w:r>
      <w:r w:rsidRPr="009F420B">
        <w:rPr>
          <w:rFonts w:cs="Times New Roman"/>
          <w:lang w:val="fr-CA"/>
        </w:rPr>
        <w:t xml:space="preserve"> prévoit que la décision de lever le voile de la personnalité morale est régie par la loi de l</w:t>
      </w:r>
      <w:r>
        <w:rPr>
          <w:rFonts w:cs="Times New Roman"/>
          <w:lang w:val="fr-CA"/>
        </w:rPr>
        <w:t>’</w:t>
      </w:r>
      <w:r w:rsidRPr="009F420B">
        <w:rPr>
          <w:rFonts w:cs="Times New Roman"/>
          <w:lang w:val="fr-CA"/>
        </w:rPr>
        <w:t xml:space="preserve">État où la personne morale exerce ses activités. Voir G. Goldstein et E. Groffier, </w:t>
      </w:r>
      <w:r w:rsidRPr="009F420B">
        <w:rPr>
          <w:rFonts w:cs="Times New Roman"/>
          <w:i/>
          <w:lang w:val="fr-CA"/>
        </w:rPr>
        <w:t>Droit international privé</w:t>
      </w:r>
      <w:r w:rsidRPr="009F420B">
        <w:rPr>
          <w:rFonts w:cs="Times New Roman"/>
          <w:lang w:val="fr-CA"/>
        </w:rPr>
        <w:t xml:space="preserve">, </w:t>
      </w:r>
      <w:r w:rsidR="002F52C2">
        <w:rPr>
          <w:rFonts w:cs="Times New Roman"/>
          <w:lang w:val="fr-CA"/>
        </w:rPr>
        <w:t>t</w:t>
      </w:r>
      <w:r>
        <w:rPr>
          <w:rFonts w:cs="Times New Roman"/>
          <w:lang w:val="fr-CA"/>
        </w:rPr>
        <w:t>. </w:t>
      </w:r>
      <w:r w:rsidRPr="009F420B">
        <w:rPr>
          <w:rFonts w:cs="Times New Roman"/>
          <w:lang w:val="fr-CA"/>
        </w:rPr>
        <w:t xml:space="preserve">II, </w:t>
      </w:r>
      <w:r w:rsidRPr="009F420B">
        <w:rPr>
          <w:rFonts w:cs="Times New Roman"/>
          <w:i/>
          <w:lang w:val="fr-CA"/>
        </w:rPr>
        <w:t>Règles spécifiques</w:t>
      </w:r>
      <w:r w:rsidRPr="009F420B">
        <w:rPr>
          <w:rFonts w:cs="Times New Roman"/>
          <w:lang w:val="fr-CA"/>
        </w:rPr>
        <w:t xml:space="preserve"> (2003), n</w:t>
      </w:r>
      <w:r w:rsidRPr="009F420B">
        <w:rPr>
          <w:rFonts w:cs="Times New Roman"/>
          <w:vertAlign w:val="superscript"/>
          <w:lang w:val="fr-CA"/>
        </w:rPr>
        <w:t>o</w:t>
      </w:r>
      <w:r w:rsidRPr="009F420B">
        <w:rPr>
          <w:rFonts w:cs="Times New Roman"/>
          <w:lang w:val="fr-CA"/>
        </w:rPr>
        <w:t> 485</w:t>
      </w:r>
      <w:r>
        <w:rPr>
          <w:rFonts w:cs="Times New Roman"/>
          <w:lang w:val="fr-CA"/>
        </w:rPr>
        <w:t> :</w:t>
      </w:r>
    </w:p>
    <w:p w:rsidR="00AF6697" w:rsidRPr="009F420B" w:rsidRDefault="00AF6697" w:rsidP="00AF6697">
      <w:pPr>
        <w:pStyle w:val="Citation-AltC"/>
        <w:ind w:hanging="1166"/>
        <w:rPr>
          <w:lang w:val="fr-CA"/>
        </w:rPr>
      </w:pPr>
      <w:r>
        <w:rPr>
          <w:lang w:val="fr-CA"/>
        </w:rPr>
        <w:tab/>
      </w:r>
      <w:r w:rsidR="001D3168">
        <w:rPr>
          <w:lang w:val="fr-CA"/>
        </w:rPr>
        <w:t>. . . l</w:t>
      </w:r>
      <w:r w:rsidRPr="009F420B">
        <w:rPr>
          <w:lang w:val="fr-CA"/>
        </w:rPr>
        <w:t>es effets du jugement, en tant que procédure, dépendent de la loi du tribunal saisi, comme la nécessité d</w:t>
      </w:r>
      <w:r>
        <w:rPr>
          <w:lang w:val="fr-CA"/>
        </w:rPr>
        <w:t>’</w:t>
      </w:r>
      <w:r w:rsidRPr="009F420B">
        <w:rPr>
          <w:lang w:val="fr-CA"/>
        </w:rPr>
        <w:t>une signification, l</w:t>
      </w:r>
      <w:r>
        <w:rPr>
          <w:lang w:val="fr-CA"/>
        </w:rPr>
        <w:t>’</w:t>
      </w:r>
      <w:r w:rsidRPr="009F420B">
        <w:rPr>
          <w:lang w:val="fr-CA"/>
        </w:rPr>
        <w:t>étendue de l</w:t>
      </w:r>
      <w:r>
        <w:rPr>
          <w:lang w:val="fr-CA"/>
        </w:rPr>
        <w:t>’</w:t>
      </w:r>
      <w:r w:rsidRPr="009F420B">
        <w:rPr>
          <w:lang w:val="fr-CA"/>
        </w:rPr>
        <w:t>autorité de chose jugée, la force exécutoire, les voies de recours (appel, tierce</w:t>
      </w:r>
      <w:r>
        <w:rPr>
          <w:lang w:val="fr-CA"/>
        </w:rPr>
        <w:noBreakHyphen/>
      </w:r>
      <w:r w:rsidRPr="009F420B">
        <w:rPr>
          <w:lang w:val="fr-CA"/>
        </w:rPr>
        <w:t xml:space="preserve">opposition), leurs délais, les demandes incidentes et </w:t>
      </w:r>
      <w:r w:rsidRPr="009F420B">
        <w:rPr>
          <w:u w:val="single"/>
          <w:lang w:val="fr-CA"/>
        </w:rPr>
        <w:t>les dépens</w:t>
      </w:r>
      <w:r>
        <w:rPr>
          <w:lang w:val="fr-CA"/>
        </w:rPr>
        <w:t> :</w:t>
      </w:r>
      <w:r w:rsidRPr="009F420B">
        <w:rPr>
          <w:lang w:val="fr-CA"/>
        </w:rPr>
        <w:t xml:space="preserve"> tout ceci relève, non de la nature des droits litigieux, mais de l</w:t>
      </w:r>
      <w:r>
        <w:rPr>
          <w:lang w:val="fr-CA"/>
        </w:rPr>
        <w:t>’</w:t>
      </w:r>
      <w:r w:rsidRPr="009F420B">
        <w:rPr>
          <w:lang w:val="fr-CA"/>
        </w:rPr>
        <w:t>organisation du tribunal et de l</w:t>
      </w:r>
      <w:r>
        <w:rPr>
          <w:lang w:val="fr-CA"/>
        </w:rPr>
        <w:t>’</w:t>
      </w:r>
      <w:r w:rsidRPr="009F420B">
        <w:rPr>
          <w:lang w:val="fr-CA"/>
        </w:rPr>
        <w:t xml:space="preserve">administration de la justice étatique. [Je souligne; note en bas de page omise.] </w:t>
      </w:r>
    </w:p>
    <w:p w:rsidR="00AF6697" w:rsidRPr="009F420B" w:rsidRDefault="00AF6697" w:rsidP="00AF6697">
      <w:pPr>
        <w:pStyle w:val="ParaNoNdepar-AltN"/>
        <w:tabs>
          <w:tab w:val="clear" w:pos="1166"/>
          <w:tab w:val="num" w:pos="1152"/>
        </w:tabs>
        <w:rPr>
          <w:rFonts w:cs="Times New Roman"/>
          <w:lang w:val="fr-CA"/>
        </w:rPr>
      </w:pPr>
      <w:r w:rsidRPr="009F420B">
        <w:rPr>
          <w:rFonts w:cs="Times New Roman"/>
          <w:lang w:val="fr-CA"/>
        </w:rPr>
        <w:t>Soit dit en tout respect, je suis donc en désaccord avec la déclaration de ma collègue la juge Côté, selon laquelle, s</w:t>
      </w:r>
      <w:r>
        <w:rPr>
          <w:rFonts w:cs="Times New Roman"/>
          <w:lang w:val="fr-CA"/>
        </w:rPr>
        <w:t>’</w:t>
      </w:r>
      <w:r w:rsidRPr="009F420B">
        <w:rPr>
          <w:rFonts w:cs="Times New Roman"/>
          <w:lang w:val="fr-CA"/>
        </w:rPr>
        <w:t>il est saisi d</w:t>
      </w:r>
      <w:r>
        <w:rPr>
          <w:rFonts w:cs="Times New Roman"/>
          <w:lang w:val="fr-CA"/>
        </w:rPr>
        <w:t>’</w:t>
      </w:r>
      <w:r w:rsidRPr="009F420B">
        <w:rPr>
          <w:rFonts w:cs="Times New Roman"/>
          <w:lang w:val="fr-CA"/>
        </w:rPr>
        <w:t xml:space="preserve">une décision rendue au fond par une autorité étrangère, « le tribunal québécois appliquerait le droit </w:t>
      </w:r>
      <w:r w:rsidRPr="009F420B">
        <w:rPr>
          <w:rFonts w:cs="Times New Roman"/>
          <w:i/>
          <w:lang w:val="fr-CA"/>
        </w:rPr>
        <w:t xml:space="preserve">québécois </w:t>
      </w:r>
      <w:r w:rsidRPr="009F420B">
        <w:rPr>
          <w:rFonts w:cs="Times New Roman"/>
          <w:lang w:val="fr-CA"/>
        </w:rPr>
        <w:t>aux conclusions de fait de l</w:t>
      </w:r>
      <w:r>
        <w:rPr>
          <w:rFonts w:cs="Times New Roman"/>
          <w:lang w:val="fr-CA"/>
        </w:rPr>
        <w:t>’</w:t>
      </w:r>
      <w:r w:rsidRPr="009F420B">
        <w:rPr>
          <w:rFonts w:cs="Times New Roman"/>
          <w:lang w:val="fr-CA"/>
        </w:rPr>
        <w:t>autorité étrangère pour déterminer s</w:t>
      </w:r>
      <w:r>
        <w:rPr>
          <w:rFonts w:cs="Times New Roman"/>
          <w:lang w:val="fr-CA"/>
        </w:rPr>
        <w:t>’</w:t>
      </w:r>
      <w:r w:rsidRPr="009F420B">
        <w:rPr>
          <w:rFonts w:cs="Times New Roman"/>
          <w:lang w:val="fr-CA"/>
        </w:rPr>
        <w:t xml:space="preserve">il convient de percer le </w:t>
      </w:r>
      <w:r>
        <w:rPr>
          <w:rFonts w:cs="Times New Roman"/>
          <w:lang w:val="fr-CA"/>
        </w:rPr>
        <w:t xml:space="preserve">voile </w:t>
      </w:r>
      <w:r w:rsidRPr="009F420B">
        <w:rPr>
          <w:rFonts w:cs="Times New Roman"/>
          <w:lang w:val="fr-CA"/>
        </w:rPr>
        <w:t xml:space="preserve">corporatif afin de reconnaître la décision au titre </w:t>
      </w:r>
      <w:r w:rsidR="00D968C7">
        <w:rPr>
          <w:rFonts w:cs="Times New Roman"/>
          <w:lang w:val="fr-CA"/>
        </w:rPr>
        <w:t>du par.</w:t>
      </w:r>
      <w:r>
        <w:rPr>
          <w:rFonts w:cs="Times New Roman"/>
          <w:lang w:val="fr-CA"/>
        </w:rPr>
        <w:t> </w:t>
      </w:r>
      <w:r w:rsidRPr="009F420B">
        <w:rPr>
          <w:rFonts w:cs="Times New Roman"/>
          <w:lang w:val="fr-CA"/>
        </w:rPr>
        <w:t xml:space="preserve">3168(4) </w:t>
      </w:r>
      <w:r w:rsidRPr="009F420B">
        <w:rPr>
          <w:rFonts w:cs="Times New Roman"/>
          <w:i/>
          <w:lang w:val="fr-CA"/>
        </w:rPr>
        <w:t>C.c.Q.</w:t>
      </w:r>
      <w:r w:rsidRPr="009F420B">
        <w:rPr>
          <w:rFonts w:cs="Times New Roman"/>
          <w:lang w:val="fr-CA"/>
        </w:rPr>
        <w:t> »</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208 (</w:t>
      </w:r>
      <w:r w:rsidR="007962E4">
        <w:rPr>
          <w:rFonts w:cs="Times New Roman"/>
          <w:lang w:val="fr-CA"/>
        </w:rPr>
        <w:t xml:space="preserve">en </w:t>
      </w:r>
      <w:r w:rsidRPr="009F420B">
        <w:rPr>
          <w:rFonts w:cs="Times New Roman"/>
          <w:lang w:val="fr-CA"/>
        </w:rPr>
        <w:t>italique dans l</w:t>
      </w:r>
      <w:r>
        <w:rPr>
          <w:rFonts w:cs="Times New Roman"/>
          <w:lang w:val="fr-CA"/>
        </w:rPr>
        <w:t>’</w:t>
      </w:r>
      <w:r w:rsidRPr="009F420B">
        <w:rPr>
          <w:rFonts w:cs="Times New Roman"/>
          <w:lang w:val="fr-CA"/>
        </w:rPr>
        <w:t>original). L</w:t>
      </w:r>
      <w:r w:rsidR="00D968C7">
        <w:rPr>
          <w:rFonts w:cs="Times New Roman"/>
          <w:lang w:val="fr-CA"/>
        </w:rPr>
        <w:t>’article</w:t>
      </w:r>
      <w:r>
        <w:rPr>
          <w:rFonts w:cs="Times New Roman"/>
          <w:lang w:val="fr-CA"/>
        </w:rPr>
        <w:t> </w:t>
      </w:r>
      <w:r w:rsidRPr="009F420B">
        <w:rPr>
          <w:rFonts w:cs="Times New Roman"/>
          <w:lang w:val="fr-CA"/>
        </w:rPr>
        <w:t xml:space="preserve">3158 </w:t>
      </w:r>
      <w:r w:rsidRPr="009F420B">
        <w:rPr>
          <w:rFonts w:cs="Times New Roman"/>
          <w:i/>
          <w:lang w:val="fr-CA"/>
        </w:rPr>
        <w:t>C.c.Q.</w:t>
      </w:r>
      <w:r w:rsidRPr="009F420B">
        <w:rPr>
          <w:rFonts w:cs="Times New Roman"/>
          <w:lang w:val="fr-CA"/>
        </w:rPr>
        <w:t>, qui prévoit qu</w:t>
      </w:r>
      <w:r>
        <w:rPr>
          <w:rFonts w:cs="Times New Roman"/>
          <w:lang w:val="fr-CA"/>
        </w:rPr>
        <w:t>’</w:t>
      </w:r>
      <w:r w:rsidRPr="009F420B">
        <w:rPr>
          <w:rFonts w:cs="Times New Roman"/>
          <w:lang w:val="fr-CA"/>
        </w:rPr>
        <w:t>un tribunal québécois ne peut « procéder à l</w:t>
      </w:r>
      <w:r>
        <w:rPr>
          <w:rFonts w:cs="Times New Roman"/>
          <w:lang w:val="fr-CA"/>
        </w:rPr>
        <w:t>’</w:t>
      </w:r>
      <w:r w:rsidRPr="009F420B">
        <w:rPr>
          <w:rFonts w:cs="Times New Roman"/>
          <w:lang w:val="fr-CA"/>
        </w:rPr>
        <w:t>examen au fond de cette décision »,</w:t>
      </w:r>
      <w:r w:rsidRPr="009F420B">
        <w:rPr>
          <w:rFonts w:cs="Times New Roman"/>
          <w:i/>
          <w:lang w:val="fr-CA"/>
        </w:rPr>
        <w:t xml:space="preserve"> </w:t>
      </w:r>
      <w:r w:rsidRPr="009F420B">
        <w:rPr>
          <w:rFonts w:cs="Times New Roman"/>
          <w:lang w:val="fr-CA"/>
        </w:rPr>
        <w:t>interdirait une telle pratique</w:t>
      </w:r>
      <w:r>
        <w:rPr>
          <w:rFonts w:cs="Times New Roman"/>
          <w:lang w:val="fr-CA"/>
        </w:rPr>
        <w:t> :</w:t>
      </w:r>
      <w:r w:rsidRPr="009F420B">
        <w:rPr>
          <w:rFonts w:cs="Times New Roman"/>
          <w:lang w:val="fr-CA"/>
        </w:rPr>
        <w:t xml:space="preserve"> voir aussi l</w:t>
      </w:r>
      <w:r>
        <w:rPr>
          <w:rFonts w:cs="Times New Roman"/>
          <w:lang w:val="fr-CA"/>
        </w:rPr>
        <w:t>’art. </w:t>
      </w:r>
      <w:r w:rsidRPr="009F420B">
        <w:rPr>
          <w:rFonts w:cs="Times New Roman"/>
          <w:lang w:val="fr-CA"/>
        </w:rPr>
        <w:t xml:space="preserve">3157 </w:t>
      </w:r>
      <w:r w:rsidRPr="009F420B">
        <w:rPr>
          <w:rFonts w:cs="Times New Roman"/>
          <w:i/>
          <w:lang w:val="fr-CA"/>
        </w:rPr>
        <w:t>C.c.Q.</w:t>
      </w:r>
      <w:r w:rsidRPr="009F420B">
        <w:rPr>
          <w:rFonts w:cs="Times New Roman"/>
          <w:lang w:val="fr-CA"/>
        </w:rPr>
        <w:t xml:space="preserve">; Talpis, </w:t>
      </w:r>
      <w:r>
        <w:rPr>
          <w:rFonts w:cs="Times New Roman"/>
          <w:lang w:val="fr-CA"/>
        </w:rPr>
        <w:t>p. </w:t>
      </w:r>
      <w:r w:rsidRPr="009F420B">
        <w:rPr>
          <w:rFonts w:cs="Times New Roman"/>
          <w:lang w:val="fr-CA"/>
        </w:rPr>
        <w:t>117. L</w:t>
      </w:r>
      <w:r>
        <w:rPr>
          <w:rFonts w:cs="Times New Roman"/>
          <w:lang w:val="fr-CA"/>
        </w:rPr>
        <w:t>’</w:t>
      </w:r>
      <w:r w:rsidRPr="009F420B">
        <w:rPr>
          <w:rFonts w:cs="Times New Roman"/>
          <w:lang w:val="fr-CA"/>
        </w:rPr>
        <w:t xml:space="preserve">article 3083 </w:t>
      </w:r>
      <w:r w:rsidRPr="009F420B">
        <w:rPr>
          <w:rFonts w:cs="Times New Roman"/>
          <w:i/>
          <w:lang w:val="fr-CA"/>
        </w:rPr>
        <w:t>C.c.Q.</w:t>
      </w:r>
      <w:r w:rsidRPr="009F420B">
        <w:rPr>
          <w:rFonts w:cs="Times New Roman"/>
          <w:lang w:val="fr-CA"/>
        </w:rPr>
        <w:t xml:space="preserve"> l</w:t>
      </w:r>
      <w:r>
        <w:rPr>
          <w:rFonts w:cs="Times New Roman"/>
          <w:lang w:val="fr-CA"/>
        </w:rPr>
        <w:t>’</w:t>
      </w:r>
      <w:r w:rsidRPr="009F420B">
        <w:rPr>
          <w:rFonts w:cs="Times New Roman"/>
          <w:lang w:val="fr-CA"/>
        </w:rPr>
        <w:t>interdirait aussi, de sorte que, dans l</w:t>
      </w:r>
      <w:r>
        <w:rPr>
          <w:rFonts w:cs="Times New Roman"/>
          <w:lang w:val="fr-CA"/>
        </w:rPr>
        <w:t>’</w:t>
      </w:r>
      <w:r w:rsidRPr="009F420B">
        <w:rPr>
          <w:rFonts w:cs="Times New Roman"/>
          <w:lang w:val="fr-CA"/>
        </w:rPr>
        <w:t>affaire qui nous occupe, la décision de lever le voile de la personnalité morale est donc régie par la loi de l</w:t>
      </w:r>
      <w:r>
        <w:rPr>
          <w:rFonts w:cs="Times New Roman"/>
          <w:lang w:val="fr-CA"/>
        </w:rPr>
        <w:t>’</w:t>
      </w:r>
      <w:r w:rsidRPr="009F420B">
        <w:rPr>
          <w:rFonts w:cs="Times New Roman"/>
          <w:i/>
          <w:lang w:val="fr-CA"/>
        </w:rPr>
        <w:t>Utah</w:t>
      </w:r>
      <w:r w:rsidRPr="009F420B">
        <w:rPr>
          <w:rFonts w:cs="Times New Roman"/>
          <w:lang w:val="fr-CA"/>
        </w:rPr>
        <w:t xml:space="preserve">. En fait, ma collègue </w:t>
      </w:r>
      <w:r w:rsidRPr="009F420B">
        <w:rPr>
          <w:rFonts w:cs="Times New Roman"/>
          <w:lang w:val="fr-CA"/>
        </w:rPr>
        <w:lastRenderedPageBreak/>
        <w:t>nierait la reconnaissance de la compétence au motif que le tribunal de l</w:t>
      </w:r>
      <w:r>
        <w:rPr>
          <w:rFonts w:cs="Times New Roman"/>
          <w:lang w:val="fr-CA"/>
        </w:rPr>
        <w:t>’</w:t>
      </w:r>
      <w:r w:rsidRPr="009F420B">
        <w:rPr>
          <w:rFonts w:cs="Times New Roman"/>
          <w:lang w:val="fr-CA"/>
        </w:rPr>
        <w:t>Utah n</w:t>
      </w:r>
      <w:r>
        <w:rPr>
          <w:rFonts w:cs="Times New Roman"/>
          <w:lang w:val="fr-CA"/>
        </w:rPr>
        <w:t>’</w:t>
      </w:r>
      <w:r w:rsidRPr="009F420B">
        <w:rPr>
          <w:rFonts w:cs="Times New Roman"/>
          <w:lang w:val="fr-CA"/>
        </w:rPr>
        <w:t>a pas appliqué la loi du Québec, même si [</w:t>
      </w:r>
      <w:r w:rsidRPr="009F420B">
        <w:rPr>
          <w:rFonts w:cs="Times New Roman"/>
          <w:smallCaps/>
          <w:lang w:val="fr-CA"/>
        </w:rPr>
        <w:t>traduction</w:t>
      </w:r>
      <w:r w:rsidRPr="009F420B">
        <w:rPr>
          <w:rFonts w:cs="Times New Roman"/>
          <w:lang w:val="fr-CA"/>
        </w:rPr>
        <w:t>] « </w:t>
      </w:r>
      <w:r w:rsidR="00E23957">
        <w:rPr>
          <w:rFonts w:cs="Times New Roman"/>
          <w:lang w:val="fr-CA"/>
        </w:rPr>
        <w:t>[</w:t>
      </w:r>
      <w:r w:rsidRPr="009F420B">
        <w:rPr>
          <w:rFonts w:cs="Times New Roman"/>
          <w:lang w:val="fr-CA"/>
        </w:rPr>
        <w:t>l</w:t>
      </w:r>
      <w:r w:rsidR="00E23957">
        <w:rPr>
          <w:rFonts w:cs="Times New Roman"/>
          <w:lang w:val="fr-CA"/>
        </w:rPr>
        <w:t>]</w:t>
      </w:r>
      <w:r w:rsidRPr="009F420B">
        <w:rPr>
          <w:rFonts w:cs="Times New Roman"/>
          <w:lang w:val="fr-CA"/>
        </w:rPr>
        <w:t>a non</w:t>
      </w:r>
      <w:r>
        <w:rPr>
          <w:rFonts w:cs="Times New Roman"/>
          <w:lang w:val="fr-CA"/>
        </w:rPr>
        <w:noBreakHyphen/>
      </w:r>
      <w:r w:rsidRPr="009F420B">
        <w:rPr>
          <w:rFonts w:cs="Times New Roman"/>
          <w:lang w:val="fr-CA"/>
        </w:rPr>
        <w:t>adhésion à la loi du Québec par le tribunal étranger, même lorsqu</w:t>
      </w:r>
      <w:r>
        <w:rPr>
          <w:rFonts w:cs="Times New Roman"/>
          <w:lang w:val="fr-CA"/>
        </w:rPr>
        <w:t>’</w:t>
      </w:r>
      <w:r w:rsidRPr="009F420B">
        <w:rPr>
          <w:rFonts w:cs="Times New Roman"/>
          <w:lang w:val="fr-CA"/>
        </w:rPr>
        <w:t>elle a un caractère impératif, ne justifie pas la non</w:t>
      </w:r>
      <w:r>
        <w:rPr>
          <w:rFonts w:cs="Times New Roman"/>
          <w:lang w:val="fr-CA"/>
        </w:rPr>
        <w:noBreakHyphen/>
      </w:r>
      <w:r w:rsidRPr="009F420B">
        <w:rPr>
          <w:rFonts w:cs="Times New Roman"/>
          <w:lang w:val="fr-CA"/>
        </w:rPr>
        <w:t>reconnaissance de la compétence pour des motifs d</w:t>
      </w:r>
      <w:r>
        <w:rPr>
          <w:rFonts w:cs="Times New Roman"/>
          <w:lang w:val="fr-CA"/>
        </w:rPr>
        <w:t>’</w:t>
      </w:r>
      <w:r w:rsidRPr="009F420B">
        <w:rPr>
          <w:rFonts w:cs="Times New Roman"/>
          <w:lang w:val="fr-CA"/>
        </w:rPr>
        <w:t>ordre public »</w:t>
      </w:r>
      <w:r>
        <w:rPr>
          <w:rFonts w:cs="Times New Roman"/>
          <w:lang w:val="fr-CA"/>
        </w:rPr>
        <w:t> :</w:t>
      </w:r>
      <w:r w:rsidRPr="009F420B">
        <w:rPr>
          <w:rFonts w:cs="Times New Roman"/>
          <w:lang w:val="fr-CA"/>
        </w:rPr>
        <w:t xml:space="preserve"> H. </w:t>
      </w:r>
      <w:r>
        <w:rPr>
          <w:rFonts w:cs="Times New Roman"/>
          <w:lang w:val="fr-CA"/>
        </w:rPr>
        <w:t>P. </w:t>
      </w:r>
      <w:r w:rsidRPr="009F420B">
        <w:rPr>
          <w:rFonts w:cs="Times New Roman"/>
          <w:lang w:val="fr-CA"/>
        </w:rPr>
        <w:t xml:space="preserve">Glenn, « Recognition of Foreign Judgments in Quebec » (1997), 28 </w:t>
      </w:r>
      <w:r w:rsidR="00D147D6">
        <w:rPr>
          <w:rFonts w:cs="Times New Roman"/>
          <w:i/>
          <w:lang w:val="fr-CA"/>
        </w:rPr>
        <w:t>Rev. can. dr. c</w:t>
      </w:r>
      <w:r w:rsidR="002F52C2">
        <w:rPr>
          <w:rFonts w:cs="Times New Roman"/>
          <w:i/>
          <w:lang w:val="fr-CA"/>
        </w:rPr>
        <w:t>omm</w:t>
      </w:r>
      <w:r w:rsidRPr="009F420B">
        <w:rPr>
          <w:rFonts w:cs="Times New Roman"/>
          <w:i/>
          <w:lang w:val="fr-CA"/>
        </w:rPr>
        <w:t>.</w:t>
      </w:r>
      <w:r w:rsidRPr="009F420B">
        <w:rPr>
          <w:rFonts w:cs="Times New Roman"/>
          <w:lang w:val="fr-CA"/>
        </w:rPr>
        <w:t xml:space="preserve"> 404, </w:t>
      </w:r>
      <w:r>
        <w:rPr>
          <w:rFonts w:cs="Times New Roman"/>
          <w:lang w:val="fr-CA"/>
        </w:rPr>
        <w:t>p. </w:t>
      </w:r>
      <w:r w:rsidRPr="009F420B">
        <w:rPr>
          <w:rFonts w:cs="Times New Roman"/>
          <w:lang w:val="fr-CA"/>
        </w:rPr>
        <w:t>407.</w:t>
      </w:r>
    </w:p>
    <w:p w:rsidR="00AF6697" w:rsidRPr="009F420B" w:rsidRDefault="00AF6697" w:rsidP="00AF6697">
      <w:pPr>
        <w:pStyle w:val="ParaNoNdepar-AltN"/>
        <w:tabs>
          <w:tab w:val="clear" w:pos="1166"/>
          <w:tab w:val="num" w:pos="1152"/>
        </w:tabs>
        <w:rPr>
          <w:rFonts w:cs="Times New Roman"/>
          <w:lang w:val="fr-CA"/>
        </w:rPr>
      </w:pPr>
      <w:r w:rsidRPr="009F420B">
        <w:rPr>
          <w:rFonts w:cs="Times New Roman"/>
          <w:lang w:val="fr-CA"/>
        </w:rPr>
        <w:t xml:space="preserve">Ma seconde observation en réponse à la prémisse de mes collègues suivant laquelle </w:t>
      </w:r>
      <w:r w:rsidR="00D968C7">
        <w:rPr>
          <w:rFonts w:cs="Times New Roman"/>
          <w:lang w:val="fr-CA"/>
        </w:rPr>
        <w:t>le par.</w:t>
      </w:r>
      <w:r>
        <w:rPr>
          <w:rFonts w:cs="Times New Roman"/>
          <w:lang w:val="fr-CA"/>
        </w:rPr>
        <w:t> </w:t>
      </w:r>
      <w:r w:rsidRPr="009F420B">
        <w:rPr>
          <w:rFonts w:cs="Times New Roman"/>
          <w:lang w:val="fr-CA"/>
        </w:rPr>
        <w:t xml:space="preserve">3168(4) </w:t>
      </w:r>
      <w:r w:rsidRPr="009F420B">
        <w:rPr>
          <w:rFonts w:cs="Times New Roman"/>
          <w:i/>
          <w:lang w:val="fr-CA"/>
        </w:rPr>
        <w:t>C.c.Q.</w:t>
      </w:r>
      <w:r w:rsidRPr="009F420B">
        <w:rPr>
          <w:rFonts w:cs="Times New Roman"/>
          <w:lang w:val="fr-CA"/>
        </w:rPr>
        <w:t xml:space="preserve"> ne s</w:t>
      </w:r>
      <w:r>
        <w:rPr>
          <w:rFonts w:cs="Times New Roman"/>
          <w:lang w:val="fr-CA"/>
        </w:rPr>
        <w:t>’</w:t>
      </w:r>
      <w:r w:rsidRPr="009F420B">
        <w:rPr>
          <w:rFonts w:cs="Times New Roman"/>
          <w:lang w:val="fr-CA"/>
        </w:rPr>
        <w:t>applique pas si le défendeur n</w:t>
      </w:r>
      <w:r>
        <w:rPr>
          <w:rFonts w:cs="Times New Roman"/>
          <w:lang w:val="fr-CA"/>
        </w:rPr>
        <w:t>’</w:t>
      </w:r>
      <w:r w:rsidRPr="009F420B">
        <w:rPr>
          <w:rFonts w:cs="Times New Roman"/>
          <w:lang w:val="fr-CA"/>
        </w:rPr>
        <w:t xml:space="preserve">est pas </w:t>
      </w:r>
      <w:r w:rsidRPr="009F420B">
        <w:rPr>
          <w:rFonts w:cs="Times New Roman"/>
          <w:i/>
          <w:lang w:val="fr-CA"/>
        </w:rPr>
        <w:t>partie</w:t>
      </w:r>
      <w:r w:rsidRPr="009F420B">
        <w:rPr>
          <w:rFonts w:cs="Times New Roman"/>
          <w:lang w:val="fr-CA"/>
        </w:rPr>
        <w:t xml:space="preserve"> au contrat tient au fait que, selon moi, cette prémisse est incompatible avec la décision récente de la Cour dans la cause </w:t>
      </w:r>
      <w:r w:rsidRPr="009F420B">
        <w:rPr>
          <w:rFonts w:cs="Times New Roman"/>
          <w:i/>
          <w:lang w:val="fr-CA"/>
        </w:rPr>
        <w:t xml:space="preserve">Lapointe Rosenstein Marchand Melançon </w:t>
      </w:r>
      <w:r w:rsidR="00040FD2">
        <w:rPr>
          <w:rFonts w:cs="Times New Roman"/>
          <w:i/>
          <w:lang w:val="fr-CA"/>
        </w:rPr>
        <w:t>S.E.N.C.R.L.</w:t>
      </w:r>
      <w:r w:rsidRPr="009F420B">
        <w:rPr>
          <w:rFonts w:cs="Times New Roman"/>
          <w:i/>
          <w:lang w:val="fr-CA"/>
        </w:rPr>
        <w:t xml:space="preserve"> c. Cassels Brock &amp; Blackwell LLP</w:t>
      </w:r>
      <w:r w:rsidRPr="009F420B">
        <w:rPr>
          <w:rFonts w:cs="Times New Roman"/>
          <w:lang w:val="fr-CA"/>
        </w:rPr>
        <w:t>, 2016 CSC 30, [2016] 1 R.C.S. 851. Dans cette affaire, des centaines de concessionnaires GM du Canada avaient intenté un recours collectif en Ontario « contre GM Canada</w:t>
      </w:r>
      <w:r w:rsidR="002F52C2">
        <w:rPr>
          <w:rFonts w:cs="Times New Roman"/>
          <w:lang w:val="fr-CA"/>
        </w:rPr>
        <w:t xml:space="preserve"> en Ontario</w:t>
      </w:r>
      <w:r w:rsidRPr="009F420B">
        <w:rPr>
          <w:rFonts w:cs="Times New Roman"/>
          <w:lang w:val="fr-CA"/>
        </w:rPr>
        <w:t>, alléguant que [cette dernière] les avait forcés à signer le contrat de retrait progressif en violation des lois provinciales sur les franchises »</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10. Ils alléguaient également qu</w:t>
      </w:r>
      <w:r>
        <w:rPr>
          <w:rFonts w:cs="Times New Roman"/>
          <w:lang w:val="fr-CA"/>
        </w:rPr>
        <w:t>’</w:t>
      </w:r>
      <w:r w:rsidRPr="009F420B">
        <w:rPr>
          <w:rFonts w:cs="Times New Roman"/>
          <w:lang w:val="fr-CA"/>
        </w:rPr>
        <w:t>un cabinet d</w:t>
      </w:r>
      <w:r>
        <w:rPr>
          <w:rFonts w:cs="Times New Roman"/>
          <w:lang w:val="fr-CA"/>
        </w:rPr>
        <w:t>’</w:t>
      </w:r>
      <w:r w:rsidRPr="009F420B">
        <w:rPr>
          <w:rFonts w:cs="Times New Roman"/>
          <w:lang w:val="fr-CA"/>
        </w:rPr>
        <w:t>avocats ontarien leur avait donné des avis juridiques entachés de négligence</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10. Le cabinet d</w:t>
      </w:r>
      <w:r>
        <w:rPr>
          <w:rFonts w:cs="Times New Roman"/>
          <w:lang w:val="fr-CA"/>
        </w:rPr>
        <w:t>’</w:t>
      </w:r>
      <w:r w:rsidRPr="009F420B">
        <w:rPr>
          <w:rFonts w:cs="Times New Roman"/>
          <w:lang w:val="fr-CA"/>
        </w:rPr>
        <w:t>avocats a présenté une demande de mise en cause contre plusieurs cabinets d</w:t>
      </w:r>
      <w:r>
        <w:rPr>
          <w:rFonts w:cs="Times New Roman"/>
          <w:lang w:val="fr-CA"/>
        </w:rPr>
        <w:t>’</w:t>
      </w:r>
      <w:r w:rsidRPr="009F420B">
        <w:rPr>
          <w:rFonts w:cs="Times New Roman"/>
          <w:lang w:val="fr-CA"/>
        </w:rPr>
        <w:t>avocats québécois en vue d</w:t>
      </w:r>
      <w:r>
        <w:rPr>
          <w:rFonts w:cs="Times New Roman"/>
          <w:lang w:val="fr-CA"/>
        </w:rPr>
        <w:t>’</w:t>
      </w:r>
      <w:r w:rsidRPr="009F420B">
        <w:rPr>
          <w:rFonts w:cs="Times New Roman"/>
          <w:lang w:val="fr-CA"/>
        </w:rPr>
        <w:t>obtenir de leur part une contribution et une indemnité au motif qu</w:t>
      </w:r>
      <w:r>
        <w:rPr>
          <w:rFonts w:cs="Times New Roman"/>
          <w:lang w:val="fr-CA"/>
        </w:rPr>
        <w:t>’</w:t>
      </w:r>
      <w:r w:rsidRPr="009F420B">
        <w:rPr>
          <w:rFonts w:cs="Times New Roman"/>
          <w:lang w:val="fr-CA"/>
        </w:rPr>
        <w:t>ils avaient fourni des avis juridiques indépendants aux concessionnaires</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15. Il s</w:t>
      </w:r>
      <w:r>
        <w:rPr>
          <w:rFonts w:cs="Times New Roman"/>
          <w:lang w:val="fr-CA"/>
        </w:rPr>
        <w:t>’</w:t>
      </w:r>
      <w:r w:rsidRPr="009F420B">
        <w:rPr>
          <w:rFonts w:cs="Times New Roman"/>
          <w:lang w:val="fr-CA"/>
        </w:rPr>
        <w:t>agissait de « savoir si les tribunaux ontariens [devaient] se déclarer compétents à l</w:t>
      </w:r>
      <w:r>
        <w:rPr>
          <w:rFonts w:cs="Times New Roman"/>
          <w:lang w:val="fr-CA"/>
        </w:rPr>
        <w:t>’</w:t>
      </w:r>
      <w:r w:rsidRPr="009F420B">
        <w:rPr>
          <w:rFonts w:cs="Times New Roman"/>
          <w:lang w:val="fr-CA"/>
        </w:rPr>
        <w:t>égard d</w:t>
      </w:r>
      <w:r>
        <w:rPr>
          <w:rFonts w:cs="Times New Roman"/>
          <w:lang w:val="fr-CA"/>
        </w:rPr>
        <w:t>’</w:t>
      </w:r>
      <w:r w:rsidRPr="009F420B">
        <w:rPr>
          <w:rFonts w:cs="Times New Roman"/>
          <w:lang w:val="fr-CA"/>
        </w:rPr>
        <w:t>une demande de mise en cause »</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 xml:space="preserve">2. </w:t>
      </w:r>
    </w:p>
    <w:p w:rsidR="00AF6697" w:rsidRPr="009F420B" w:rsidRDefault="00AF6697" w:rsidP="00AF6697">
      <w:pPr>
        <w:pStyle w:val="ParaNoNdepar-AltN"/>
        <w:rPr>
          <w:rFonts w:cs="Times New Roman"/>
          <w:lang w:val="fr-CA"/>
        </w:rPr>
      </w:pPr>
      <w:r w:rsidRPr="009F420B">
        <w:rPr>
          <w:rFonts w:cs="Times New Roman"/>
          <w:lang w:val="fr-CA"/>
        </w:rPr>
        <w:t>Les cabinets d</w:t>
      </w:r>
      <w:r>
        <w:rPr>
          <w:rFonts w:cs="Times New Roman"/>
          <w:lang w:val="fr-CA"/>
        </w:rPr>
        <w:t>’</w:t>
      </w:r>
      <w:r w:rsidRPr="009F420B">
        <w:rPr>
          <w:rFonts w:cs="Times New Roman"/>
          <w:lang w:val="fr-CA"/>
        </w:rPr>
        <w:t>avocats québécois ont plaidé que, comme ils n</w:t>
      </w:r>
      <w:r>
        <w:rPr>
          <w:rFonts w:cs="Times New Roman"/>
          <w:lang w:val="fr-CA"/>
        </w:rPr>
        <w:t>’</w:t>
      </w:r>
      <w:r w:rsidRPr="009F420B">
        <w:rPr>
          <w:rFonts w:cs="Times New Roman"/>
          <w:lang w:val="fr-CA"/>
        </w:rPr>
        <w:t>étaient ni domiciliés ni résidents en Ontario et qu</w:t>
      </w:r>
      <w:r>
        <w:rPr>
          <w:rFonts w:cs="Times New Roman"/>
          <w:lang w:val="fr-CA"/>
        </w:rPr>
        <w:t>’</w:t>
      </w:r>
      <w:r w:rsidRPr="009F420B">
        <w:rPr>
          <w:rFonts w:cs="Times New Roman"/>
          <w:lang w:val="fr-CA"/>
        </w:rPr>
        <w:t>ils n</w:t>
      </w:r>
      <w:r>
        <w:rPr>
          <w:rFonts w:cs="Times New Roman"/>
          <w:lang w:val="fr-CA"/>
        </w:rPr>
        <w:t>’</w:t>
      </w:r>
      <w:r w:rsidRPr="009F420B">
        <w:rPr>
          <w:rFonts w:cs="Times New Roman"/>
          <w:lang w:val="fr-CA"/>
        </w:rPr>
        <w:t>y faisaient pas affaires, il n</w:t>
      </w:r>
      <w:r>
        <w:rPr>
          <w:rFonts w:cs="Times New Roman"/>
          <w:lang w:val="fr-CA"/>
        </w:rPr>
        <w:t>’</w:t>
      </w:r>
      <w:r w:rsidRPr="009F420B">
        <w:rPr>
          <w:rFonts w:cs="Times New Roman"/>
          <w:lang w:val="fr-CA"/>
        </w:rPr>
        <w:t xml:space="preserve">y avait pas de </w:t>
      </w:r>
      <w:r w:rsidRPr="009F420B">
        <w:rPr>
          <w:rFonts w:cs="Times New Roman"/>
          <w:lang w:val="fr-CA"/>
        </w:rPr>
        <w:lastRenderedPageBreak/>
        <w:t>rattachement suffisant entre les demandes de mise en cause et les tribunaux de l</w:t>
      </w:r>
      <w:r>
        <w:rPr>
          <w:rFonts w:cs="Times New Roman"/>
          <w:lang w:val="fr-CA"/>
        </w:rPr>
        <w:t>’</w:t>
      </w:r>
      <w:r w:rsidRPr="009F420B">
        <w:rPr>
          <w:rFonts w:cs="Times New Roman"/>
          <w:lang w:val="fr-CA"/>
        </w:rPr>
        <w:t>Ontario</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16. La Cour a rejeté cet argument. Signalant que « [t]out comme les demandes de mise en cause introduites par [le cabinet d</w:t>
      </w:r>
      <w:r>
        <w:rPr>
          <w:rFonts w:cs="Times New Roman"/>
          <w:lang w:val="fr-CA"/>
        </w:rPr>
        <w:t>’</w:t>
      </w:r>
      <w:r w:rsidRPr="009F420B">
        <w:rPr>
          <w:rFonts w:cs="Times New Roman"/>
          <w:lang w:val="fr-CA"/>
        </w:rPr>
        <w:t>avocats ontarien] contre les avocats [québécois] [. . .], la réclamation contre [le cabinet d</w:t>
      </w:r>
      <w:r>
        <w:rPr>
          <w:rFonts w:cs="Times New Roman"/>
          <w:lang w:val="fr-CA"/>
        </w:rPr>
        <w:t>’</w:t>
      </w:r>
      <w:r w:rsidRPr="009F420B">
        <w:rPr>
          <w:rFonts w:cs="Times New Roman"/>
          <w:lang w:val="fr-CA"/>
        </w:rPr>
        <w:t>avocats ontarien] consiste en une action en responsabilité délictuelle fondée sur la négligence professionnelle » (</w:t>
      </w:r>
      <w:r>
        <w:rPr>
          <w:rFonts w:cs="Times New Roman"/>
          <w:lang w:val="fr-CA"/>
        </w:rPr>
        <w:t>par. </w:t>
      </w:r>
      <w:r w:rsidRPr="009F420B">
        <w:rPr>
          <w:rFonts w:cs="Times New Roman"/>
          <w:lang w:val="fr-CA"/>
        </w:rPr>
        <w:t xml:space="preserve">38), la Cour a expliqué, au </w:t>
      </w:r>
      <w:r>
        <w:rPr>
          <w:rFonts w:cs="Times New Roman"/>
          <w:lang w:val="fr-CA"/>
        </w:rPr>
        <w:t>par. </w:t>
      </w:r>
      <w:r w:rsidRPr="009F420B">
        <w:rPr>
          <w:rFonts w:cs="Times New Roman"/>
          <w:lang w:val="fr-CA"/>
        </w:rPr>
        <w:t>39 de ses motifs, qu</w:t>
      </w:r>
      <w:r>
        <w:rPr>
          <w:rFonts w:cs="Times New Roman"/>
          <w:lang w:val="fr-CA"/>
        </w:rPr>
        <w:t>’</w:t>
      </w:r>
      <w:r w:rsidRPr="009F420B">
        <w:rPr>
          <w:rFonts w:cs="Times New Roman"/>
          <w:lang w:val="fr-CA"/>
        </w:rPr>
        <w:t>il s</w:t>
      </w:r>
      <w:r>
        <w:rPr>
          <w:rFonts w:cs="Times New Roman"/>
          <w:lang w:val="fr-CA"/>
        </w:rPr>
        <w:t>’</w:t>
      </w:r>
      <w:r w:rsidRPr="009F420B">
        <w:rPr>
          <w:rFonts w:cs="Times New Roman"/>
          <w:lang w:val="fr-CA"/>
        </w:rPr>
        <w:t>agissait de déterminer « si un contrat lié à ce litige a été conclu en Ontario » au sens du quatrième facteur de rattachement défini dans l</w:t>
      </w:r>
      <w:r>
        <w:rPr>
          <w:rFonts w:cs="Times New Roman"/>
          <w:lang w:val="fr-CA"/>
        </w:rPr>
        <w:t>’</w:t>
      </w:r>
      <w:r w:rsidRPr="009F420B">
        <w:rPr>
          <w:rFonts w:cs="Times New Roman"/>
          <w:lang w:val="fr-CA"/>
        </w:rPr>
        <w:t xml:space="preserve">arrêt </w:t>
      </w:r>
      <w:r w:rsidRPr="009F420B">
        <w:rPr>
          <w:rFonts w:cs="Times New Roman"/>
          <w:i/>
          <w:lang w:val="fr-CA"/>
        </w:rPr>
        <w:t>Club Resorts Ltd. c. Van Breda</w:t>
      </w:r>
      <w:r w:rsidRPr="009F420B">
        <w:rPr>
          <w:rFonts w:cs="Times New Roman"/>
          <w:lang w:val="fr-CA"/>
        </w:rPr>
        <w:t>, 2012 CSC 17, [2012] 1 R.C.S. 572. Dans l</w:t>
      </w:r>
      <w:r>
        <w:rPr>
          <w:rFonts w:cs="Times New Roman"/>
          <w:lang w:val="fr-CA"/>
        </w:rPr>
        <w:t>’</w:t>
      </w:r>
      <w:r w:rsidRPr="009F420B">
        <w:rPr>
          <w:rFonts w:cs="Times New Roman"/>
          <w:lang w:val="fr-CA"/>
        </w:rPr>
        <w:t xml:space="preserve">arrêt </w:t>
      </w:r>
      <w:r w:rsidRPr="009F420B">
        <w:rPr>
          <w:rFonts w:cs="Times New Roman"/>
          <w:i/>
          <w:lang w:val="fr-CA"/>
        </w:rPr>
        <w:t>Lapointe</w:t>
      </w:r>
      <w:r w:rsidRPr="009F420B">
        <w:rPr>
          <w:rFonts w:cs="Times New Roman"/>
          <w:lang w:val="fr-CA"/>
        </w:rPr>
        <w:t>, la Cour a répondu par l</w:t>
      </w:r>
      <w:r>
        <w:rPr>
          <w:rFonts w:cs="Times New Roman"/>
          <w:lang w:val="fr-CA"/>
        </w:rPr>
        <w:t>’</w:t>
      </w:r>
      <w:r w:rsidRPr="009F420B">
        <w:rPr>
          <w:rFonts w:cs="Times New Roman"/>
          <w:lang w:val="fr-CA"/>
        </w:rPr>
        <w:t xml:space="preserve">affirmative à cette question, en soulignant ce qui suit aux </w:t>
      </w:r>
      <w:r>
        <w:rPr>
          <w:rFonts w:cs="Times New Roman"/>
          <w:lang w:val="fr-CA"/>
        </w:rPr>
        <w:t>par. </w:t>
      </w:r>
      <w:r w:rsidRPr="009F420B">
        <w:rPr>
          <w:rFonts w:cs="Times New Roman"/>
          <w:lang w:val="fr-CA"/>
        </w:rPr>
        <w:t>32 et 44</w:t>
      </w:r>
      <w:r>
        <w:rPr>
          <w:rFonts w:cs="Times New Roman"/>
          <w:lang w:val="fr-CA"/>
        </w:rPr>
        <w:t> :</w:t>
      </w:r>
    </w:p>
    <w:p w:rsidR="00AF6697" w:rsidRPr="009F420B" w:rsidRDefault="00AF6697" w:rsidP="00AF6697">
      <w:pPr>
        <w:pStyle w:val="Citation-AltC"/>
        <w:spacing w:after="240"/>
        <w:ind w:left="1168" w:hanging="1168"/>
        <w:contextualSpacing w:val="0"/>
        <w:rPr>
          <w:lang w:val="fr-CA"/>
        </w:rPr>
      </w:pPr>
      <w:r>
        <w:rPr>
          <w:lang w:val="fr-CA"/>
        </w:rPr>
        <w:tab/>
      </w:r>
      <w:r>
        <w:rPr>
          <w:lang w:val="fr-CA"/>
        </w:rPr>
        <w:tab/>
      </w:r>
      <w:r w:rsidRPr="009F420B">
        <w:rPr>
          <w:lang w:val="fr-CA"/>
        </w:rPr>
        <w:t>Le quatrième facteur favorise également la souplesse et l</w:t>
      </w:r>
      <w:r>
        <w:rPr>
          <w:lang w:val="fr-CA"/>
        </w:rPr>
        <w:t>’</w:t>
      </w:r>
      <w:r w:rsidRPr="009F420B">
        <w:rPr>
          <w:lang w:val="fr-CA"/>
        </w:rPr>
        <w:t xml:space="preserve">efficacité commerciale. Nous avons vu dans </w:t>
      </w:r>
      <w:r w:rsidRPr="009F420B">
        <w:rPr>
          <w:i/>
          <w:iCs/>
          <w:lang w:val="fr-CA"/>
        </w:rPr>
        <w:t>Van Breda</w:t>
      </w:r>
      <w:r w:rsidRPr="009F420B">
        <w:rPr>
          <w:lang w:val="fr-CA"/>
        </w:rPr>
        <w:t xml:space="preserve"> qu</w:t>
      </w:r>
      <w:r>
        <w:rPr>
          <w:lang w:val="fr-CA"/>
        </w:rPr>
        <w:t>’</w:t>
      </w:r>
      <w:r w:rsidRPr="009F420B">
        <w:rPr>
          <w:lang w:val="fr-CA"/>
        </w:rPr>
        <w:t>il suffit qu</w:t>
      </w:r>
      <w:r>
        <w:rPr>
          <w:lang w:val="fr-CA"/>
        </w:rPr>
        <w:t>’</w:t>
      </w:r>
      <w:r w:rsidRPr="009F420B">
        <w:rPr>
          <w:lang w:val="fr-CA"/>
        </w:rPr>
        <w:t xml:space="preserve">il existe un lien entre la demande et le contrat conclu dans la province où le tribunal est prié de se déclarer compétent. </w:t>
      </w:r>
      <w:r w:rsidRPr="009F420B">
        <w:rPr>
          <w:u w:val="single"/>
          <w:lang w:val="fr-CA"/>
        </w:rPr>
        <w:t>Pour qu</w:t>
      </w:r>
      <w:r>
        <w:rPr>
          <w:u w:val="single"/>
          <w:lang w:val="fr-CA"/>
        </w:rPr>
        <w:t>’</w:t>
      </w:r>
      <w:r w:rsidRPr="009F420B">
        <w:rPr>
          <w:u w:val="single"/>
          <w:lang w:val="fr-CA"/>
        </w:rPr>
        <w:t>il y ait un « lien », il n</w:t>
      </w:r>
      <w:r>
        <w:rPr>
          <w:u w:val="single"/>
          <w:lang w:val="fr-CA"/>
        </w:rPr>
        <w:t>’</w:t>
      </w:r>
      <w:r w:rsidRPr="009F420B">
        <w:rPr>
          <w:u w:val="single"/>
          <w:lang w:val="fr-CA"/>
        </w:rPr>
        <w:t>est pas nécessaire que le prétendu auteur du délit soit une partie au contrat. Le fait de circonscrire ainsi le quatrième facteur de rattachement créant une présomption aurait pour effet de restreindre indûment la portée de l</w:t>
      </w:r>
      <w:r>
        <w:rPr>
          <w:u w:val="single"/>
          <w:lang w:val="fr-CA"/>
        </w:rPr>
        <w:t>’</w:t>
      </w:r>
      <w:r w:rsidRPr="009F420B">
        <w:rPr>
          <w:u w:val="single"/>
          <w:lang w:val="fr-CA"/>
        </w:rPr>
        <w:t xml:space="preserve">arrêt </w:t>
      </w:r>
      <w:r w:rsidRPr="009F420B">
        <w:rPr>
          <w:i/>
          <w:iCs/>
          <w:u w:val="single"/>
          <w:lang w:val="fr-CA"/>
        </w:rPr>
        <w:t>Van Breda</w:t>
      </w:r>
      <w:r w:rsidRPr="009F420B">
        <w:rPr>
          <w:u w:val="single"/>
          <w:lang w:val="fr-CA"/>
        </w:rPr>
        <w:t xml:space="preserve"> et mine la souplesse qu</w:t>
      </w:r>
      <w:r>
        <w:rPr>
          <w:u w:val="single"/>
          <w:lang w:val="fr-CA"/>
        </w:rPr>
        <w:t>’</w:t>
      </w:r>
      <w:r w:rsidRPr="009F420B">
        <w:rPr>
          <w:u w:val="single"/>
          <w:lang w:val="fr-CA"/>
        </w:rPr>
        <w:t xml:space="preserve">exige le droit international privé. </w:t>
      </w:r>
    </w:p>
    <w:p w:rsidR="00AF6697" w:rsidRPr="009F420B" w:rsidRDefault="002F52C2" w:rsidP="00AF6697">
      <w:pPr>
        <w:pStyle w:val="Citation-AltC"/>
        <w:spacing w:after="240"/>
        <w:ind w:left="1168" w:hanging="1168"/>
        <w:contextualSpacing w:val="0"/>
        <w:jc w:val="center"/>
        <w:rPr>
          <w:lang w:val="fr-CA"/>
        </w:rPr>
      </w:pPr>
      <w:r>
        <w:rPr>
          <w:lang w:val="fr-CA"/>
        </w:rPr>
        <w:tab/>
      </w:r>
      <w:r w:rsidR="00AF6697" w:rsidRPr="009F420B">
        <w:rPr>
          <w:lang w:val="fr-CA"/>
        </w:rPr>
        <w:t>. . .</w:t>
      </w:r>
    </w:p>
    <w:p w:rsidR="00AF6697" w:rsidRPr="009F420B" w:rsidRDefault="00AF6697" w:rsidP="00AF6697">
      <w:pPr>
        <w:pStyle w:val="Citation-AltC"/>
        <w:ind w:hanging="1166"/>
        <w:rPr>
          <w:lang w:val="fr-CA"/>
        </w:rPr>
      </w:pPr>
      <w:r>
        <w:rPr>
          <w:lang w:val="fr-CA"/>
        </w:rPr>
        <w:tab/>
      </w:r>
      <w:r>
        <w:rPr>
          <w:lang w:val="fr-CA"/>
        </w:rPr>
        <w:tab/>
      </w:r>
      <w:r w:rsidRPr="009F420B">
        <w:rPr>
          <w:lang w:val="fr-CA"/>
        </w:rPr>
        <w:t xml:space="preserve">Il convient de faire remarquer que rien dans </w:t>
      </w:r>
      <w:r w:rsidRPr="009F420B">
        <w:rPr>
          <w:i/>
          <w:iCs/>
          <w:lang w:val="fr-CA"/>
        </w:rPr>
        <w:t>Van Breda</w:t>
      </w:r>
      <w:r w:rsidRPr="009F420B">
        <w:rPr>
          <w:lang w:val="fr-CA"/>
        </w:rPr>
        <w:t xml:space="preserve"> ne laisse croire que l</w:t>
      </w:r>
      <w:r>
        <w:rPr>
          <w:lang w:val="fr-CA"/>
        </w:rPr>
        <w:t>’</w:t>
      </w:r>
      <w:r w:rsidRPr="009F420B">
        <w:rPr>
          <w:lang w:val="fr-CA"/>
        </w:rPr>
        <w:t>on ne peut se prévaloir du quatrième facteur lorsque plus d</w:t>
      </w:r>
      <w:r>
        <w:rPr>
          <w:lang w:val="fr-CA"/>
        </w:rPr>
        <w:t>’</w:t>
      </w:r>
      <w:r w:rsidRPr="009F420B">
        <w:rPr>
          <w:lang w:val="fr-CA"/>
        </w:rPr>
        <w:t>un contrat est en cause, ou qu</w:t>
      </w:r>
      <w:r>
        <w:rPr>
          <w:lang w:val="fr-CA"/>
        </w:rPr>
        <w:t>’</w:t>
      </w:r>
      <w:r w:rsidRPr="009F420B">
        <w:rPr>
          <w:lang w:val="fr-CA"/>
        </w:rPr>
        <w:t>une analyse différente s</w:t>
      </w:r>
      <w:r>
        <w:rPr>
          <w:lang w:val="fr-CA"/>
        </w:rPr>
        <w:t>’</w:t>
      </w:r>
      <w:r w:rsidRPr="009F420B">
        <w:rPr>
          <w:lang w:val="fr-CA"/>
        </w:rPr>
        <w:t xml:space="preserve">applique dans ces circonstances. </w:t>
      </w:r>
      <w:r w:rsidRPr="009F420B">
        <w:rPr>
          <w:u w:val="single"/>
          <w:lang w:val="fr-CA"/>
        </w:rPr>
        <w:t>Cet arrêt ne limite pas non plus l</w:t>
      </w:r>
      <w:r>
        <w:rPr>
          <w:u w:val="single"/>
          <w:lang w:val="fr-CA"/>
        </w:rPr>
        <w:t>’</w:t>
      </w:r>
      <w:r w:rsidRPr="009F420B">
        <w:rPr>
          <w:u w:val="single"/>
          <w:lang w:val="fr-CA"/>
        </w:rPr>
        <w:t>application de ce facteur aux situations où la responsabilité du défendeur découle immédiatement de ses obligations contractuelles, et il n</w:t>
      </w:r>
      <w:r>
        <w:rPr>
          <w:u w:val="single"/>
          <w:lang w:val="fr-CA"/>
        </w:rPr>
        <w:t>’</w:t>
      </w:r>
      <w:r w:rsidRPr="009F420B">
        <w:rPr>
          <w:u w:val="single"/>
          <w:lang w:val="fr-CA"/>
        </w:rPr>
        <w:t xml:space="preserve">exige pas que les défendeurs soient des </w:t>
      </w:r>
      <w:r w:rsidRPr="009F420B">
        <w:rPr>
          <w:i/>
          <w:iCs/>
          <w:u w:val="single"/>
          <w:lang w:val="fr-CA"/>
        </w:rPr>
        <w:t>parties</w:t>
      </w:r>
      <w:r w:rsidRPr="009F420B">
        <w:rPr>
          <w:u w:val="single"/>
          <w:lang w:val="fr-CA"/>
        </w:rPr>
        <w:t xml:space="preserve"> au contrat</w:t>
      </w:r>
      <w:r>
        <w:rPr>
          <w:u w:val="single"/>
          <w:lang w:val="fr-CA"/>
        </w:rPr>
        <w:t> :</w:t>
      </w:r>
      <w:r w:rsidRPr="009F420B">
        <w:rPr>
          <w:u w:val="single"/>
          <w:lang w:val="fr-CA"/>
        </w:rPr>
        <w:t xml:space="preserve"> </w:t>
      </w:r>
      <w:r w:rsidRPr="009F420B">
        <w:rPr>
          <w:i/>
          <w:iCs/>
          <w:u w:val="single"/>
          <w:lang w:val="fr-CA"/>
        </w:rPr>
        <w:t>Pixiu Solutions Inc. c. Canadian General</w:t>
      </w:r>
      <w:r>
        <w:rPr>
          <w:i/>
          <w:iCs/>
          <w:u w:val="single"/>
          <w:lang w:val="fr-CA"/>
        </w:rPr>
        <w:noBreakHyphen/>
      </w:r>
      <w:r w:rsidRPr="009F420B">
        <w:rPr>
          <w:i/>
          <w:iCs/>
          <w:u w:val="single"/>
          <w:lang w:val="fr-CA"/>
        </w:rPr>
        <w:t>Tower Ltd.</w:t>
      </w:r>
      <w:r w:rsidRPr="009F420B">
        <w:rPr>
          <w:u w:val="single"/>
          <w:lang w:val="fr-CA"/>
        </w:rPr>
        <w:t>,</w:t>
      </w:r>
      <w:r w:rsidRPr="009F420B">
        <w:rPr>
          <w:i/>
          <w:iCs/>
          <w:u w:val="single"/>
          <w:lang w:val="fr-CA"/>
        </w:rPr>
        <w:t xml:space="preserve"> </w:t>
      </w:r>
      <w:r w:rsidRPr="009F420B">
        <w:rPr>
          <w:rStyle w:val="reflex3-alt"/>
          <w:u w:val="single"/>
          <w:lang w:val="fr-CA"/>
        </w:rPr>
        <w:t>2016 ONSC 906</w:t>
      </w:r>
      <w:r w:rsidRPr="009F420B">
        <w:rPr>
          <w:u w:val="single"/>
          <w:lang w:val="fr-CA"/>
        </w:rPr>
        <w:t xml:space="preserve">, </w:t>
      </w:r>
      <w:r>
        <w:rPr>
          <w:u w:val="single"/>
          <w:lang w:val="fr-CA"/>
        </w:rPr>
        <w:t>par. </w:t>
      </w:r>
      <w:r w:rsidRPr="009F420B">
        <w:rPr>
          <w:u w:val="single"/>
          <w:lang w:val="fr-CA"/>
        </w:rPr>
        <w:t>28 (CanLII).</w:t>
      </w:r>
      <w:r w:rsidRPr="009F420B">
        <w:rPr>
          <w:lang w:val="fr-CA"/>
        </w:rPr>
        <w:t xml:space="preserve"> Il suffit qu</w:t>
      </w:r>
      <w:r>
        <w:rPr>
          <w:lang w:val="fr-CA"/>
        </w:rPr>
        <w:t>’</w:t>
      </w:r>
      <w:r w:rsidRPr="009F420B">
        <w:rPr>
          <w:lang w:val="fr-CA"/>
        </w:rPr>
        <w:t>il « existe un lien » entre le litige et un contrat conclu dans la province ou le territoire où un tribunal entend se déclarer compétent</w:t>
      </w:r>
      <w:r>
        <w:rPr>
          <w:lang w:val="fr-CA"/>
        </w:rPr>
        <w:t> :</w:t>
      </w:r>
      <w:r w:rsidRPr="009F420B">
        <w:rPr>
          <w:lang w:val="fr-CA"/>
        </w:rPr>
        <w:t xml:space="preserve"> </w:t>
      </w:r>
      <w:r w:rsidRPr="009F420B">
        <w:rPr>
          <w:i/>
          <w:iCs/>
          <w:lang w:val="fr-CA"/>
        </w:rPr>
        <w:t>Van Breda</w:t>
      </w:r>
      <w:r w:rsidRPr="009F420B">
        <w:rPr>
          <w:lang w:val="fr-CA"/>
        </w:rPr>
        <w:t xml:space="preserve">, </w:t>
      </w:r>
      <w:r>
        <w:rPr>
          <w:lang w:val="fr-CA"/>
        </w:rPr>
        <w:t>par. </w:t>
      </w:r>
      <w:r w:rsidRPr="009F420B">
        <w:rPr>
          <w:lang w:val="fr-CA"/>
        </w:rPr>
        <w:t>117. Il faut simplement que la relation contractuelle s</w:t>
      </w:r>
      <w:r>
        <w:rPr>
          <w:lang w:val="fr-CA"/>
        </w:rPr>
        <w:t>’</w:t>
      </w:r>
      <w:r w:rsidRPr="009F420B">
        <w:rPr>
          <w:lang w:val="fr-CA"/>
        </w:rPr>
        <w:t>étende à la conduite d</w:t>
      </w:r>
      <w:r>
        <w:rPr>
          <w:lang w:val="fr-CA"/>
        </w:rPr>
        <w:t>’</w:t>
      </w:r>
      <w:r w:rsidRPr="009F420B">
        <w:rPr>
          <w:lang w:val="fr-CA"/>
        </w:rPr>
        <w:t>un défendeur et que les faits qui donnent ouverture à la demande découlent de la relation créée par le contrat</w:t>
      </w:r>
      <w:r>
        <w:rPr>
          <w:lang w:val="fr-CA"/>
        </w:rPr>
        <w:t> :</w:t>
      </w:r>
      <w:r w:rsidRPr="009F420B">
        <w:rPr>
          <w:lang w:val="fr-CA"/>
        </w:rPr>
        <w:t xml:space="preserve"> </w:t>
      </w:r>
      <w:r>
        <w:rPr>
          <w:lang w:val="fr-CA"/>
        </w:rPr>
        <w:t>par. </w:t>
      </w:r>
      <w:r w:rsidRPr="009F420B">
        <w:rPr>
          <w:lang w:val="fr-CA"/>
        </w:rPr>
        <w:t>116</w:t>
      </w:r>
      <w:r>
        <w:rPr>
          <w:lang w:val="fr-CA"/>
        </w:rPr>
        <w:noBreakHyphen/>
      </w:r>
      <w:r w:rsidRPr="009F420B">
        <w:rPr>
          <w:lang w:val="fr-CA"/>
        </w:rPr>
        <w:t>117. [Je souligne.]</w:t>
      </w:r>
    </w:p>
    <w:p w:rsidR="00AF6697" w:rsidRPr="009F420B" w:rsidRDefault="00AF6697" w:rsidP="00AF6697">
      <w:pPr>
        <w:pStyle w:val="ParaNoNdepar-AltN"/>
        <w:tabs>
          <w:tab w:val="clear" w:pos="1166"/>
          <w:tab w:val="num" w:pos="1152"/>
        </w:tabs>
        <w:rPr>
          <w:rFonts w:cs="Times New Roman"/>
          <w:lang w:val="fr-CA"/>
        </w:rPr>
      </w:pPr>
      <w:r w:rsidRPr="009F420B">
        <w:rPr>
          <w:rFonts w:cs="Times New Roman"/>
          <w:lang w:val="fr-CA"/>
        </w:rPr>
        <w:lastRenderedPageBreak/>
        <w:t>Fait important, pour étayer cette conclusion, la Cour a établi une analogie avec l</w:t>
      </w:r>
      <w:r>
        <w:rPr>
          <w:rFonts w:cs="Times New Roman"/>
          <w:lang w:val="fr-CA"/>
        </w:rPr>
        <w:t>’art. </w:t>
      </w:r>
      <w:r w:rsidRPr="009F420B">
        <w:rPr>
          <w:rFonts w:cs="Times New Roman"/>
          <w:lang w:val="fr-CA"/>
        </w:rPr>
        <w:t xml:space="preserve">3139 </w:t>
      </w:r>
      <w:r w:rsidRPr="009F420B">
        <w:rPr>
          <w:rFonts w:cs="Times New Roman"/>
          <w:i/>
          <w:lang w:val="fr-CA"/>
        </w:rPr>
        <w:t>C.c.Q.</w:t>
      </w:r>
      <w:r w:rsidRPr="009F420B">
        <w:rPr>
          <w:rFonts w:cs="Times New Roman"/>
          <w:lang w:val="fr-CA"/>
        </w:rPr>
        <w:t xml:space="preserve"> (</w:t>
      </w:r>
      <w:r>
        <w:rPr>
          <w:rFonts w:cs="Times New Roman"/>
          <w:lang w:val="fr-CA"/>
        </w:rPr>
        <w:t>par. </w:t>
      </w:r>
      <w:r w:rsidRPr="009F420B">
        <w:rPr>
          <w:rFonts w:cs="Times New Roman"/>
          <w:lang w:val="fr-CA"/>
        </w:rPr>
        <w:t>33)</w:t>
      </w:r>
      <w:r>
        <w:rPr>
          <w:rFonts w:cs="Times New Roman"/>
          <w:lang w:val="fr-CA"/>
        </w:rPr>
        <w:t> :</w:t>
      </w:r>
      <w:r w:rsidRPr="009F420B">
        <w:rPr>
          <w:rFonts w:cs="Times New Roman"/>
          <w:lang w:val="fr-CA"/>
        </w:rPr>
        <w:t xml:space="preserve"> </w:t>
      </w:r>
    </w:p>
    <w:p w:rsidR="00AF6697" w:rsidRPr="009F420B" w:rsidRDefault="00AF6697" w:rsidP="00AF6697">
      <w:pPr>
        <w:pStyle w:val="Citation-AltC"/>
        <w:ind w:hanging="1166"/>
        <w:rPr>
          <w:lang w:val="fr-CA"/>
        </w:rPr>
      </w:pPr>
      <w:r>
        <w:rPr>
          <w:lang w:val="fr-CA"/>
        </w:rPr>
        <w:tab/>
      </w:r>
      <w:r>
        <w:rPr>
          <w:lang w:val="fr-CA"/>
        </w:rPr>
        <w:tab/>
      </w:r>
      <w:r w:rsidRPr="009F420B">
        <w:rPr>
          <w:lang w:val="fr-CA"/>
        </w:rPr>
        <w:t>L</w:t>
      </w:r>
      <w:r>
        <w:rPr>
          <w:lang w:val="fr-CA"/>
        </w:rPr>
        <w:t>’</w:t>
      </w:r>
      <w:r w:rsidRPr="009F420B">
        <w:rPr>
          <w:lang w:val="fr-CA"/>
        </w:rPr>
        <w:t>application souple du quatrième facteur n</w:t>
      </w:r>
      <w:r>
        <w:rPr>
          <w:lang w:val="fr-CA"/>
        </w:rPr>
        <w:t>’</w:t>
      </w:r>
      <w:r w:rsidRPr="009F420B">
        <w:rPr>
          <w:lang w:val="fr-CA"/>
        </w:rPr>
        <w:t>équivaut pas à un excès de compétence. Les règles de droit international privé varient d</w:t>
      </w:r>
      <w:r>
        <w:rPr>
          <w:lang w:val="fr-CA"/>
        </w:rPr>
        <w:t>’</w:t>
      </w:r>
      <w:r w:rsidRPr="009F420B">
        <w:rPr>
          <w:lang w:val="fr-CA"/>
        </w:rPr>
        <w:t>une province à l</w:t>
      </w:r>
      <w:r>
        <w:rPr>
          <w:lang w:val="fr-CA"/>
        </w:rPr>
        <w:t>’</w:t>
      </w:r>
      <w:r w:rsidRPr="009F420B">
        <w:rPr>
          <w:lang w:val="fr-CA"/>
        </w:rPr>
        <w:t>autre. Au Québec, par exemple, aux termes de l</w:t>
      </w:r>
      <w:r>
        <w:rPr>
          <w:lang w:val="fr-CA"/>
        </w:rPr>
        <w:t>’art. </w:t>
      </w:r>
      <w:r w:rsidRPr="009F420B">
        <w:rPr>
          <w:lang w:val="fr-CA"/>
        </w:rPr>
        <w:t xml:space="preserve">3148 du </w:t>
      </w:r>
      <w:r w:rsidRPr="009F420B">
        <w:rPr>
          <w:i/>
          <w:iCs/>
          <w:lang w:val="fr-CA"/>
        </w:rPr>
        <w:t>Code civil du Québec</w:t>
      </w:r>
      <w:r w:rsidRPr="009F420B">
        <w:rPr>
          <w:lang w:val="fr-CA"/>
        </w:rPr>
        <w:t>, les autorités québécoises sont compétentes dans le cas d</w:t>
      </w:r>
      <w:r>
        <w:rPr>
          <w:lang w:val="fr-CA"/>
        </w:rPr>
        <w:t>’</w:t>
      </w:r>
      <w:r w:rsidRPr="009F420B">
        <w:rPr>
          <w:lang w:val="fr-CA"/>
        </w:rPr>
        <w:t>une action en responsabilité extracontractuelle lorsqu</w:t>
      </w:r>
      <w:r>
        <w:rPr>
          <w:lang w:val="fr-CA"/>
        </w:rPr>
        <w:t>’</w:t>
      </w:r>
      <w:r w:rsidRPr="009F420B">
        <w:rPr>
          <w:lang w:val="fr-CA"/>
        </w:rPr>
        <w:t>une faute a été commise au Québec ou qu</w:t>
      </w:r>
      <w:r>
        <w:rPr>
          <w:lang w:val="fr-CA"/>
        </w:rPr>
        <w:t>’</w:t>
      </w:r>
      <w:r w:rsidRPr="009F420B">
        <w:rPr>
          <w:lang w:val="fr-CA"/>
        </w:rPr>
        <w:t xml:space="preserve">un préjudice y a été subi. </w:t>
      </w:r>
      <w:r w:rsidRPr="009F420B">
        <w:rPr>
          <w:u w:val="single"/>
          <w:lang w:val="fr-CA"/>
        </w:rPr>
        <w:t>Cependant, aux termes de l</w:t>
      </w:r>
      <w:r>
        <w:rPr>
          <w:u w:val="single"/>
          <w:lang w:val="fr-CA"/>
        </w:rPr>
        <w:t>’art. </w:t>
      </w:r>
      <w:r w:rsidRPr="009F420B">
        <w:rPr>
          <w:u w:val="single"/>
          <w:lang w:val="fr-CA"/>
        </w:rPr>
        <w:t>3139, l</w:t>
      </w:r>
      <w:r>
        <w:rPr>
          <w:u w:val="single"/>
          <w:lang w:val="fr-CA"/>
        </w:rPr>
        <w:t>’</w:t>
      </w:r>
      <w:r w:rsidRPr="009F420B">
        <w:rPr>
          <w:u w:val="single"/>
          <w:lang w:val="fr-CA"/>
        </w:rPr>
        <w:t>autorité québécoise compétente pour la demande principale est aussi compétente pour la demande incidente, ce qui inclut une demande de mise en cause.</w:t>
      </w:r>
      <w:r w:rsidRPr="009F420B">
        <w:rPr>
          <w:lang w:val="fr-CA"/>
        </w:rPr>
        <w:t xml:space="preserve"> Ainsi, dans un cas comme celui qui nous occupe — et sous réserve de tout argument relatif à la doctrine du </w:t>
      </w:r>
      <w:r w:rsidRPr="009F420B">
        <w:rPr>
          <w:i/>
          <w:iCs/>
          <w:lang w:val="fr-CA"/>
        </w:rPr>
        <w:t>forum non conveniens</w:t>
      </w:r>
      <w:r w:rsidRPr="009F420B">
        <w:rPr>
          <w:lang w:val="fr-CA"/>
        </w:rPr>
        <w:t xml:space="preserve"> — </w:t>
      </w:r>
      <w:r w:rsidRPr="009F420B">
        <w:rPr>
          <w:u w:val="single"/>
          <w:lang w:val="fr-CA"/>
        </w:rPr>
        <w:t>si le contrat principal avait été conclu au Québec et était régi par les lois québécoises, les autorités québécoises auraient compétence non seulement sur les avocats québécois poursuivis dans la demande principale, mais aussi sur les avocats de l</w:t>
      </w:r>
      <w:r>
        <w:rPr>
          <w:u w:val="single"/>
          <w:lang w:val="fr-CA"/>
        </w:rPr>
        <w:t>’</w:t>
      </w:r>
      <w:r w:rsidRPr="009F420B">
        <w:rPr>
          <w:u w:val="single"/>
          <w:lang w:val="fr-CA"/>
        </w:rPr>
        <w:t>Ontario poursuivis par les avocats du Québec dans des demandes de mise en cause pour toute faute professionnelle commise en Ontario par les avocats ontariens</w:t>
      </w:r>
      <w:r w:rsidRPr="009F420B">
        <w:rPr>
          <w:lang w:val="fr-CA"/>
        </w:rPr>
        <w:t>. [Je souligne.]</w:t>
      </w:r>
    </w:p>
    <w:p w:rsidR="00AF6697" w:rsidRPr="009F420B" w:rsidRDefault="00AF6697" w:rsidP="00AF6697">
      <w:pPr>
        <w:pStyle w:val="ParaNoNdepar-AltN"/>
        <w:rPr>
          <w:rFonts w:cs="Times New Roman"/>
          <w:lang w:val="fr-CA"/>
        </w:rPr>
      </w:pPr>
      <w:r w:rsidRPr="009F420B">
        <w:rPr>
          <w:rFonts w:cs="Times New Roman"/>
          <w:lang w:val="fr-CA"/>
        </w:rPr>
        <w:t>Cela m</w:t>
      </w:r>
      <w:r>
        <w:rPr>
          <w:rFonts w:cs="Times New Roman"/>
          <w:lang w:val="fr-CA"/>
        </w:rPr>
        <w:t>’</w:t>
      </w:r>
      <w:r w:rsidRPr="009F420B">
        <w:rPr>
          <w:rFonts w:cs="Times New Roman"/>
          <w:lang w:val="fr-CA"/>
        </w:rPr>
        <w:t xml:space="preserve">amène à me demander </w:t>
      </w:r>
      <w:r w:rsidRPr="009F420B">
        <w:rPr>
          <w:rFonts w:cs="Times New Roman"/>
          <w:i/>
          <w:lang w:val="fr-CA"/>
        </w:rPr>
        <w:t>si</w:t>
      </w:r>
      <w:r w:rsidRPr="009F420B">
        <w:rPr>
          <w:rFonts w:cs="Times New Roman"/>
          <w:lang w:val="fr-CA"/>
        </w:rPr>
        <w:t xml:space="preserve"> et </w:t>
      </w:r>
      <w:r w:rsidRPr="009F420B">
        <w:rPr>
          <w:rFonts w:cs="Times New Roman"/>
          <w:i/>
          <w:lang w:val="fr-CA"/>
        </w:rPr>
        <w:t>à quelles conditions</w:t>
      </w:r>
      <w:r w:rsidRPr="009F420B">
        <w:rPr>
          <w:rFonts w:cs="Times New Roman"/>
          <w:lang w:val="fr-CA"/>
        </w:rPr>
        <w:t xml:space="preserve"> l</w:t>
      </w:r>
      <w:r>
        <w:rPr>
          <w:rFonts w:cs="Times New Roman"/>
          <w:lang w:val="fr-CA"/>
        </w:rPr>
        <w:t>’art. </w:t>
      </w:r>
      <w:r w:rsidRPr="009F420B">
        <w:rPr>
          <w:rFonts w:cs="Times New Roman"/>
          <w:lang w:val="fr-CA"/>
        </w:rPr>
        <w:t xml:space="preserve">3139 </w:t>
      </w:r>
      <w:r w:rsidRPr="009F420B">
        <w:rPr>
          <w:rFonts w:cs="Times New Roman"/>
          <w:i/>
          <w:lang w:val="fr-CA"/>
        </w:rPr>
        <w:t>C.c.Q.</w:t>
      </w:r>
      <w:r w:rsidRPr="009F420B">
        <w:rPr>
          <w:rFonts w:cs="Times New Roman"/>
          <w:lang w:val="fr-CA"/>
        </w:rPr>
        <w:t xml:space="preserve"> peut être invoqué pour </w:t>
      </w:r>
      <w:r w:rsidRPr="009F420B">
        <w:rPr>
          <w:rFonts w:cs="Times New Roman"/>
          <w:i/>
          <w:lang w:val="fr-CA"/>
        </w:rPr>
        <w:t>opposer</w:t>
      </w:r>
      <w:r w:rsidRPr="009F420B">
        <w:rPr>
          <w:rFonts w:cs="Times New Roman"/>
          <w:lang w:val="fr-CA"/>
        </w:rPr>
        <w:t xml:space="preserve"> la compétence d</w:t>
      </w:r>
      <w:r>
        <w:rPr>
          <w:rFonts w:cs="Times New Roman"/>
          <w:lang w:val="fr-CA"/>
        </w:rPr>
        <w:t>’</w:t>
      </w:r>
      <w:r w:rsidRPr="009F420B">
        <w:rPr>
          <w:rFonts w:cs="Times New Roman"/>
          <w:lang w:val="fr-CA"/>
        </w:rPr>
        <w:t xml:space="preserve">une autorité étrangère </w:t>
      </w:r>
      <w:r w:rsidRPr="009F420B">
        <w:rPr>
          <w:rFonts w:cs="Times New Roman"/>
          <w:i/>
          <w:lang w:val="fr-CA"/>
        </w:rPr>
        <w:t xml:space="preserve">à un codéfendeur en particulier. </w:t>
      </w:r>
      <w:r w:rsidRPr="009F420B">
        <w:rPr>
          <w:rFonts w:cs="Times New Roman"/>
          <w:lang w:val="fr-CA"/>
        </w:rPr>
        <w:t>Comme je l</w:t>
      </w:r>
      <w:r>
        <w:rPr>
          <w:rFonts w:cs="Times New Roman"/>
          <w:lang w:val="fr-CA"/>
        </w:rPr>
        <w:t>’</w:t>
      </w:r>
      <w:r w:rsidRPr="009F420B">
        <w:rPr>
          <w:rFonts w:cs="Times New Roman"/>
          <w:lang w:val="fr-CA"/>
        </w:rPr>
        <w:t>expliquerai plus en détail ultérieurement, pour répondre à cette question, il faut interpréter 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xml:space="preserve">, car on ne peut pas circonscrire de façon isolée la portée </w:t>
      </w:r>
      <w:r w:rsidR="00D968C7">
        <w:rPr>
          <w:rFonts w:cs="Times New Roman"/>
          <w:lang w:val="fr-CA"/>
        </w:rPr>
        <w:t>du par.</w:t>
      </w:r>
      <w:r>
        <w:rPr>
          <w:rFonts w:cs="Times New Roman"/>
          <w:lang w:val="fr-CA"/>
        </w:rPr>
        <w:t> </w:t>
      </w:r>
      <w:r w:rsidRPr="009F420B">
        <w:rPr>
          <w:rFonts w:cs="Times New Roman"/>
          <w:lang w:val="fr-CA"/>
        </w:rPr>
        <w:t xml:space="preserve">3168(4) </w:t>
      </w:r>
      <w:r w:rsidRPr="009F420B">
        <w:rPr>
          <w:rFonts w:cs="Times New Roman"/>
          <w:i/>
          <w:lang w:val="fr-CA"/>
        </w:rPr>
        <w:t>C.c.Q.</w:t>
      </w:r>
      <w:r w:rsidRPr="009F420B">
        <w:rPr>
          <w:rFonts w:cs="Times New Roman"/>
          <w:lang w:val="fr-CA"/>
        </w:rPr>
        <w:t xml:space="preserve"> (En ce sens, je suis d</w:t>
      </w:r>
      <w:r>
        <w:rPr>
          <w:rFonts w:cs="Times New Roman"/>
          <w:lang w:val="fr-CA"/>
        </w:rPr>
        <w:t>’</w:t>
      </w:r>
      <w:r w:rsidRPr="009F420B">
        <w:rPr>
          <w:rFonts w:cs="Times New Roman"/>
          <w:lang w:val="fr-CA"/>
        </w:rPr>
        <w:t xml:space="preserve">accord avec ma collègue la juge Côté, qui écrit « que </w:t>
      </w:r>
      <w:r w:rsidR="00386765">
        <w:rPr>
          <w:rFonts w:cs="Times New Roman"/>
          <w:lang w:val="fr-CA"/>
        </w:rPr>
        <w:t>le par.</w:t>
      </w:r>
      <w:r>
        <w:rPr>
          <w:rFonts w:cs="Times New Roman"/>
          <w:lang w:val="fr-CA"/>
        </w:rPr>
        <w:t> </w:t>
      </w:r>
      <w:r w:rsidRPr="009F420B">
        <w:rPr>
          <w:rFonts w:cs="Times New Roman"/>
          <w:lang w:val="fr-CA"/>
        </w:rPr>
        <w:t xml:space="preserve">3168(4) </w:t>
      </w:r>
      <w:r w:rsidRPr="009F420B">
        <w:rPr>
          <w:rFonts w:cs="Times New Roman"/>
          <w:i/>
          <w:lang w:val="fr-CA"/>
        </w:rPr>
        <w:t>C.c.Q.</w:t>
      </w:r>
      <w:r w:rsidRPr="009F420B">
        <w:rPr>
          <w:rFonts w:cs="Times New Roman"/>
          <w:lang w:val="fr-CA"/>
        </w:rPr>
        <w:t xml:space="preserve"> ne permet pas en soi d</w:t>
      </w:r>
      <w:r>
        <w:rPr>
          <w:rFonts w:cs="Times New Roman"/>
          <w:lang w:val="fr-CA"/>
        </w:rPr>
        <w:t>’</w:t>
      </w:r>
      <w:r w:rsidRPr="009F420B">
        <w:rPr>
          <w:rFonts w:cs="Times New Roman"/>
          <w:lang w:val="fr-CA"/>
        </w:rPr>
        <w:t>établir la compétence à l</w:t>
      </w:r>
      <w:r>
        <w:rPr>
          <w:rFonts w:cs="Times New Roman"/>
          <w:lang w:val="fr-CA"/>
        </w:rPr>
        <w:t>’</w:t>
      </w:r>
      <w:r w:rsidRPr="009F420B">
        <w:rPr>
          <w:rFonts w:cs="Times New Roman"/>
          <w:lang w:val="fr-CA"/>
        </w:rPr>
        <w:t>égard de M. Barer »</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209.) Cela ne signifie toutefois pas que le simple fait que M. Barer ne soit pas partie au contrat empêche l</w:t>
      </w:r>
      <w:r>
        <w:rPr>
          <w:rFonts w:cs="Times New Roman"/>
          <w:lang w:val="fr-CA"/>
        </w:rPr>
        <w:t>’</w:t>
      </w:r>
      <w:r w:rsidRPr="009F420B">
        <w:rPr>
          <w:rFonts w:cs="Times New Roman"/>
          <w:lang w:val="fr-CA"/>
        </w:rPr>
        <w:t xml:space="preserve">application </w:t>
      </w:r>
      <w:r w:rsidR="00D968C7">
        <w:rPr>
          <w:rFonts w:cs="Times New Roman"/>
          <w:lang w:val="fr-CA"/>
        </w:rPr>
        <w:t>du par.</w:t>
      </w:r>
      <w:r>
        <w:rPr>
          <w:rFonts w:cs="Times New Roman"/>
          <w:lang w:val="fr-CA"/>
        </w:rPr>
        <w:t> </w:t>
      </w:r>
      <w:r w:rsidRPr="009F420B">
        <w:rPr>
          <w:rFonts w:cs="Times New Roman"/>
          <w:lang w:val="fr-CA"/>
        </w:rPr>
        <w:t xml:space="preserve">3168(4) </w:t>
      </w:r>
      <w:r w:rsidRPr="009F420B">
        <w:rPr>
          <w:rFonts w:cs="Times New Roman"/>
          <w:i/>
          <w:lang w:val="fr-CA"/>
        </w:rPr>
        <w:t>C.c.Q.</w:t>
      </w:r>
      <w:r w:rsidRPr="009F420B">
        <w:rPr>
          <w:rFonts w:cs="Times New Roman"/>
          <w:lang w:val="fr-CA"/>
        </w:rPr>
        <w:t xml:space="preserve"> en l</w:t>
      </w:r>
      <w:r>
        <w:rPr>
          <w:rFonts w:cs="Times New Roman"/>
          <w:lang w:val="fr-CA"/>
        </w:rPr>
        <w:t>’</w:t>
      </w:r>
      <w:r w:rsidRPr="009F420B">
        <w:rPr>
          <w:rFonts w:cs="Times New Roman"/>
          <w:lang w:val="fr-CA"/>
        </w:rPr>
        <w:t>espèce. Je suis d</w:t>
      </w:r>
      <w:r>
        <w:rPr>
          <w:rFonts w:cs="Times New Roman"/>
          <w:lang w:val="fr-CA"/>
        </w:rPr>
        <w:t>’</w:t>
      </w:r>
      <w:r w:rsidRPr="009F420B">
        <w:rPr>
          <w:rFonts w:cs="Times New Roman"/>
          <w:lang w:val="fr-CA"/>
        </w:rPr>
        <w:t>avis que cette disposition peut s</w:t>
      </w:r>
      <w:r>
        <w:rPr>
          <w:rFonts w:cs="Times New Roman"/>
          <w:lang w:val="fr-CA"/>
        </w:rPr>
        <w:t>’</w:t>
      </w:r>
      <w:r w:rsidRPr="009F420B">
        <w:rPr>
          <w:rFonts w:cs="Times New Roman"/>
          <w:lang w:val="fr-CA"/>
        </w:rPr>
        <w:t>appliquer et qu</w:t>
      </w:r>
      <w:r>
        <w:rPr>
          <w:rFonts w:cs="Times New Roman"/>
          <w:lang w:val="fr-CA"/>
        </w:rPr>
        <w:t>’</w:t>
      </w:r>
      <w:r w:rsidRPr="009F420B">
        <w:rPr>
          <w:rFonts w:cs="Times New Roman"/>
          <w:lang w:val="fr-CA"/>
        </w:rPr>
        <w:t>elle peut étayer une conclusion reconnaissant la compétence du tribunal de l</w:t>
      </w:r>
      <w:r>
        <w:rPr>
          <w:rFonts w:cs="Times New Roman"/>
          <w:lang w:val="fr-CA"/>
        </w:rPr>
        <w:t>’</w:t>
      </w:r>
      <w:r w:rsidRPr="009F420B">
        <w:rPr>
          <w:rFonts w:cs="Times New Roman"/>
          <w:lang w:val="fr-CA"/>
        </w:rPr>
        <w:t>Utah à l</w:t>
      </w:r>
      <w:r>
        <w:rPr>
          <w:rFonts w:cs="Times New Roman"/>
          <w:lang w:val="fr-CA"/>
        </w:rPr>
        <w:t>’</w:t>
      </w:r>
      <w:r w:rsidRPr="009F420B">
        <w:rPr>
          <w:rFonts w:cs="Times New Roman"/>
          <w:lang w:val="fr-CA"/>
        </w:rPr>
        <w:t xml:space="preserve">égard de </w:t>
      </w:r>
      <w:r w:rsidRPr="009F420B">
        <w:rPr>
          <w:rFonts w:cs="Times New Roman"/>
          <w:i/>
          <w:lang w:val="fr-CA"/>
        </w:rPr>
        <w:t>l</w:t>
      </w:r>
      <w:r>
        <w:rPr>
          <w:rFonts w:cs="Times New Roman"/>
          <w:i/>
          <w:lang w:val="fr-CA"/>
        </w:rPr>
        <w:t>’</w:t>
      </w:r>
      <w:r w:rsidRPr="009F420B">
        <w:rPr>
          <w:rFonts w:cs="Times New Roman"/>
          <w:i/>
          <w:lang w:val="fr-CA"/>
        </w:rPr>
        <w:t>ensemble</w:t>
      </w:r>
      <w:r w:rsidRPr="009F420B">
        <w:rPr>
          <w:rFonts w:cs="Times New Roman"/>
          <w:lang w:val="fr-CA"/>
        </w:rPr>
        <w:t xml:space="preserve"> du litige — c.</w:t>
      </w:r>
      <w:r>
        <w:rPr>
          <w:rFonts w:cs="Times New Roman"/>
          <w:lang w:val="fr-CA"/>
        </w:rPr>
        <w:noBreakHyphen/>
      </w:r>
      <w:r w:rsidRPr="009F420B">
        <w:rPr>
          <w:rFonts w:cs="Times New Roman"/>
          <w:lang w:val="fr-CA"/>
        </w:rPr>
        <w:t>à</w:t>
      </w:r>
      <w:r>
        <w:rPr>
          <w:rFonts w:cs="Times New Roman"/>
          <w:lang w:val="fr-CA"/>
        </w:rPr>
        <w:noBreakHyphen/>
      </w:r>
      <w:r w:rsidRPr="009F420B">
        <w:rPr>
          <w:rFonts w:cs="Times New Roman"/>
          <w:lang w:val="fr-CA"/>
        </w:rPr>
        <w:t>d. à l</w:t>
      </w:r>
      <w:r>
        <w:rPr>
          <w:rFonts w:cs="Times New Roman"/>
          <w:lang w:val="fr-CA"/>
        </w:rPr>
        <w:t>’</w:t>
      </w:r>
      <w:r w:rsidRPr="009F420B">
        <w:rPr>
          <w:rFonts w:cs="Times New Roman"/>
          <w:lang w:val="fr-CA"/>
        </w:rPr>
        <w:t xml:space="preserve">égard tant de son </w:t>
      </w:r>
      <w:r w:rsidRPr="009F420B">
        <w:rPr>
          <w:rFonts w:cs="Times New Roman"/>
          <w:i/>
          <w:lang w:val="fr-CA"/>
        </w:rPr>
        <w:t>objet</w:t>
      </w:r>
      <w:r w:rsidRPr="009F420B">
        <w:rPr>
          <w:rFonts w:cs="Times New Roman"/>
          <w:lang w:val="fr-CA"/>
        </w:rPr>
        <w:t xml:space="preserve"> que des </w:t>
      </w:r>
      <w:r w:rsidRPr="009F420B">
        <w:rPr>
          <w:rFonts w:cs="Times New Roman"/>
          <w:i/>
          <w:lang w:val="fr-CA"/>
        </w:rPr>
        <w:t>parties</w:t>
      </w:r>
      <w:r>
        <w:rPr>
          <w:rFonts w:cs="Times New Roman"/>
          <w:lang w:val="fr-CA"/>
        </w:rPr>
        <w:t> :</w:t>
      </w:r>
      <w:r w:rsidRPr="009F420B">
        <w:rPr>
          <w:rFonts w:cs="Times New Roman"/>
          <w:lang w:val="fr-CA"/>
        </w:rPr>
        <w:t xml:space="preserve"> J. A. Talpis et J.</w:t>
      </w:r>
      <w:r>
        <w:rPr>
          <w:rFonts w:cs="Times New Roman"/>
          <w:lang w:val="fr-CA"/>
        </w:rPr>
        <w:noBreakHyphen/>
      </w:r>
      <w:r w:rsidRPr="009F420B">
        <w:rPr>
          <w:rFonts w:cs="Times New Roman"/>
          <w:lang w:val="fr-CA"/>
        </w:rPr>
        <w:t xml:space="preserve">G. Castel, « Interprétation des règles du droit international privé », dans </w:t>
      </w:r>
      <w:r w:rsidRPr="009F420B">
        <w:rPr>
          <w:rFonts w:cs="Times New Roman"/>
          <w:i/>
          <w:lang w:val="fr-CA"/>
        </w:rPr>
        <w:t>La réforme du Code civil</w:t>
      </w:r>
      <w:r w:rsidRPr="009F420B">
        <w:rPr>
          <w:rFonts w:cs="Times New Roman"/>
          <w:lang w:val="fr-CA"/>
        </w:rPr>
        <w:t xml:space="preserve"> (1993), </w:t>
      </w:r>
      <w:r w:rsidR="002F52C2">
        <w:rPr>
          <w:rFonts w:cs="Times New Roman"/>
          <w:lang w:val="fr-CA"/>
        </w:rPr>
        <w:t>t. 3</w:t>
      </w:r>
      <w:r w:rsidRPr="009F420B">
        <w:rPr>
          <w:rFonts w:cs="Times New Roman"/>
          <w:lang w:val="fr-CA"/>
        </w:rPr>
        <w:t>, n</w:t>
      </w:r>
      <w:r w:rsidRPr="009F420B">
        <w:rPr>
          <w:rFonts w:cs="Times New Roman"/>
          <w:vertAlign w:val="superscript"/>
          <w:lang w:val="fr-CA"/>
        </w:rPr>
        <w:t>o</w:t>
      </w:r>
      <w:r w:rsidRPr="009F420B">
        <w:rPr>
          <w:rFonts w:cs="Times New Roman"/>
          <w:lang w:val="fr-CA"/>
        </w:rPr>
        <w:t xml:space="preserve"> 486; </w:t>
      </w:r>
      <w:r w:rsidRPr="009F420B">
        <w:rPr>
          <w:rFonts w:cs="Times New Roman"/>
          <w:i/>
          <w:lang w:val="fr-CA"/>
        </w:rPr>
        <w:t>Van Breda</w:t>
      </w:r>
      <w:r w:rsidRPr="009F420B">
        <w:rPr>
          <w:rFonts w:cs="Times New Roman"/>
          <w:lang w:val="fr-CA"/>
        </w:rPr>
        <w:t xml:space="preserve">, </w:t>
      </w:r>
      <w:r>
        <w:rPr>
          <w:rFonts w:cs="Times New Roman"/>
          <w:lang w:val="fr-CA"/>
        </w:rPr>
        <w:lastRenderedPageBreak/>
        <w:t>par. </w:t>
      </w:r>
      <w:r w:rsidRPr="009F420B">
        <w:rPr>
          <w:rFonts w:cs="Times New Roman"/>
          <w:lang w:val="fr-CA"/>
        </w:rPr>
        <w:t xml:space="preserve">79 et 99. Il en est ainsi, même si </w:t>
      </w:r>
      <w:r w:rsidR="00D968C7">
        <w:rPr>
          <w:rFonts w:cs="Times New Roman"/>
          <w:lang w:val="fr-CA"/>
        </w:rPr>
        <w:t>le par.</w:t>
      </w:r>
      <w:r w:rsidRPr="009F420B">
        <w:rPr>
          <w:rFonts w:cs="Times New Roman"/>
          <w:lang w:val="fr-CA"/>
        </w:rPr>
        <w:t xml:space="preserve"> 3168(4) </w:t>
      </w:r>
      <w:r w:rsidRPr="009F420B">
        <w:rPr>
          <w:rFonts w:cs="Times New Roman"/>
          <w:i/>
          <w:lang w:val="fr-CA"/>
        </w:rPr>
        <w:t>C.c.Q.</w:t>
      </w:r>
      <w:r w:rsidRPr="009F420B">
        <w:rPr>
          <w:rFonts w:cs="Times New Roman"/>
          <w:lang w:val="fr-CA"/>
        </w:rPr>
        <w:t xml:space="preserve"> porte sur la compétence fondée sur l</w:t>
      </w:r>
      <w:r>
        <w:rPr>
          <w:rFonts w:cs="Times New Roman"/>
          <w:lang w:val="fr-CA"/>
        </w:rPr>
        <w:t>’</w:t>
      </w:r>
      <w:r w:rsidRPr="009F420B">
        <w:rPr>
          <w:rFonts w:cs="Times New Roman"/>
          <w:lang w:val="fr-CA"/>
        </w:rPr>
        <w:t>existence de rattachements avec l</w:t>
      </w:r>
      <w:r>
        <w:rPr>
          <w:rFonts w:cs="Times New Roman"/>
          <w:lang w:val="fr-CA"/>
        </w:rPr>
        <w:t>’</w:t>
      </w:r>
      <w:r w:rsidRPr="009F420B">
        <w:rPr>
          <w:rFonts w:cs="Times New Roman"/>
          <w:lang w:val="fr-CA"/>
        </w:rPr>
        <w:t>objet du litige, et non sur celle fondée sur l</w:t>
      </w:r>
      <w:r>
        <w:rPr>
          <w:rFonts w:cs="Times New Roman"/>
          <w:lang w:val="fr-CA"/>
        </w:rPr>
        <w:t>’</w:t>
      </w:r>
      <w:r w:rsidRPr="009F420B">
        <w:rPr>
          <w:rFonts w:cs="Times New Roman"/>
          <w:lang w:val="fr-CA"/>
        </w:rPr>
        <w:t>existence de rattachements avec le défendeur — dans la mesure où d</w:t>
      </w:r>
      <w:r>
        <w:rPr>
          <w:rFonts w:cs="Times New Roman"/>
          <w:lang w:val="fr-CA"/>
        </w:rPr>
        <w:t>’</w:t>
      </w:r>
      <w:r w:rsidRPr="009F420B">
        <w:rPr>
          <w:rFonts w:cs="Times New Roman"/>
          <w:lang w:val="fr-CA"/>
        </w:rPr>
        <w:t xml:space="preserve">autres dispositions du </w:t>
      </w:r>
      <w:r w:rsidRPr="009F420B">
        <w:rPr>
          <w:rFonts w:cs="Times New Roman"/>
          <w:i/>
          <w:lang w:val="fr-CA"/>
        </w:rPr>
        <w:t>Code civil</w:t>
      </w:r>
      <w:r w:rsidRPr="009F420B">
        <w:rPr>
          <w:rFonts w:cs="Times New Roman"/>
          <w:lang w:val="fr-CA"/>
        </w:rPr>
        <w:t xml:space="preserve">, comme les </w:t>
      </w:r>
      <w:r>
        <w:rPr>
          <w:rFonts w:cs="Times New Roman"/>
          <w:lang w:val="fr-CA"/>
        </w:rPr>
        <w:t>art. </w:t>
      </w:r>
      <w:r w:rsidRPr="009F420B">
        <w:rPr>
          <w:rFonts w:cs="Times New Roman"/>
          <w:lang w:val="fr-CA"/>
        </w:rPr>
        <w:t>3164 et 3139, confirment que le tribunal de l</w:t>
      </w:r>
      <w:r>
        <w:rPr>
          <w:rFonts w:cs="Times New Roman"/>
          <w:lang w:val="fr-CA"/>
        </w:rPr>
        <w:t>’</w:t>
      </w:r>
      <w:r w:rsidRPr="009F420B">
        <w:rPr>
          <w:rFonts w:cs="Times New Roman"/>
          <w:lang w:val="fr-CA"/>
        </w:rPr>
        <w:t xml:space="preserve">Utah pouvait se déclarer compétent </w:t>
      </w:r>
      <w:r w:rsidRPr="009F420B">
        <w:rPr>
          <w:rFonts w:cs="Times New Roman"/>
          <w:i/>
          <w:lang w:val="fr-CA"/>
        </w:rPr>
        <w:t>à l</w:t>
      </w:r>
      <w:r>
        <w:rPr>
          <w:rFonts w:cs="Times New Roman"/>
          <w:i/>
          <w:lang w:val="fr-CA"/>
        </w:rPr>
        <w:t>’</w:t>
      </w:r>
      <w:r w:rsidRPr="009F420B">
        <w:rPr>
          <w:rFonts w:cs="Times New Roman"/>
          <w:i/>
          <w:lang w:val="fr-CA"/>
        </w:rPr>
        <w:t>égard de M. Barer personnellement</w:t>
      </w:r>
      <w:r w:rsidRPr="009F420B">
        <w:rPr>
          <w:rFonts w:cs="Times New Roman"/>
          <w:lang w:val="fr-CA"/>
        </w:rPr>
        <w:t>. Ainsi que la Cour l</w:t>
      </w:r>
      <w:r>
        <w:rPr>
          <w:rFonts w:cs="Times New Roman"/>
          <w:lang w:val="fr-CA"/>
        </w:rPr>
        <w:t>’</w:t>
      </w:r>
      <w:r w:rsidRPr="009F420B">
        <w:rPr>
          <w:rFonts w:cs="Times New Roman"/>
          <w:lang w:val="fr-CA"/>
        </w:rPr>
        <w:t>a expliqué dans l</w:t>
      </w:r>
      <w:r>
        <w:rPr>
          <w:rFonts w:cs="Times New Roman"/>
          <w:lang w:val="fr-CA"/>
        </w:rPr>
        <w:t>’</w:t>
      </w:r>
      <w:r w:rsidRPr="009F420B">
        <w:rPr>
          <w:rFonts w:cs="Times New Roman"/>
          <w:lang w:val="fr-CA"/>
        </w:rPr>
        <w:t xml:space="preserve">arrêt </w:t>
      </w:r>
      <w:r w:rsidRPr="009F420B">
        <w:rPr>
          <w:rFonts w:cs="Times New Roman"/>
          <w:i/>
          <w:lang w:val="fr-CA"/>
        </w:rPr>
        <w:t>GreCon Dimter inc. c. J.R. Normand inc.</w:t>
      </w:r>
      <w:r w:rsidRPr="009F420B">
        <w:rPr>
          <w:rFonts w:cs="Times New Roman"/>
          <w:lang w:val="fr-CA"/>
        </w:rPr>
        <w:t xml:space="preserve">, 2005 CSC 46, [2005] 2 R.C.S. 401, </w:t>
      </w:r>
      <w:r>
        <w:rPr>
          <w:rFonts w:cs="Times New Roman"/>
          <w:lang w:val="fr-CA"/>
        </w:rPr>
        <w:t>par. </w:t>
      </w:r>
      <w:r w:rsidRPr="009F420B">
        <w:rPr>
          <w:rFonts w:cs="Times New Roman"/>
          <w:lang w:val="fr-CA"/>
        </w:rPr>
        <w:t>19, puisque le droit international privé québécois est codifié, « les principes généraux d</w:t>
      </w:r>
      <w:r>
        <w:rPr>
          <w:rFonts w:cs="Times New Roman"/>
          <w:lang w:val="fr-CA"/>
        </w:rPr>
        <w:t>’</w:t>
      </w:r>
      <w:r w:rsidRPr="009F420B">
        <w:rPr>
          <w:rFonts w:cs="Times New Roman"/>
          <w:lang w:val="fr-CA"/>
        </w:rPr>
        <w:t xml:space="preserve">interprétation du </w:t>
      </w:r>
      <w:r w:rsidRPr="009F420B">
        <w:rPr>
          <w:rFonts w:cs="Times New Roman"/>
          <w:i/>
          <w:lang w:val="fr-CA"/>
        </w:rPr>
        <w:t>Code civil</w:t>
      </w:r>
      <w:r w:rsidRPr="009F420B">
        <w:rPr>
          <w:rFonts w:cs="Times New Roman"/>
          <w:lang w:val="fr-CA"/>
        </w:rPr>
        <w:t xml:space="preserve"> s</w:t>
      </w:r>
      <w:r>
        <w:rPr>
          <w:rFonts w:cs="Times New Roman"/>
          <w:lang w:val="fr-CA"/>
        </w:rPr>
        <w:t>’</w:t>
      </w:r>
      <w:r w:rsidRPr="009F420B">
        <w:rPr>
          <w:rFonts w:cs="Times New Roman"/>
          <w:lang w:val="fr-CA"/>
        </w:rPr>
        <w:t>appliquent à la détermination de la portée de ses dispositions » et « [l]es tribunaux doivent donc interpréter les règles comme un tout cohérent » à la lumière des principes de courtoisie, d</w:t>
      </w:r>
      <w:r>
        <w:rPr>
          <w:rFonts w:cs="Times New Roman"/>
          <w:lang w:val="fr-CA"/>
        </w:rPr>
        <w:t>’</w:t>
      </w:r>
      <w:r w:rsidRPr="009F420B">
        <w:rPr>
          <w:rFonts w:cs="Times New Roman"/>
          <w:lang w:val="fr-CA"/>
        </w:rPr>
        <w:t>ordre et d</w:t>
      </w:r>
      <w:r>
        <w:rPr>
          <w:rFonts w:cs="Times New Roman"/>
          <w:lang w:val="fr-CA"/>
        </w:rPr>
        <w:t>’</w:t>
      </w:r>
      <w:r w:rsidRPr="009F420B">
        <w:rPr>
          <w:rFonts w:cs="Times New Roman"/>
          <w:lang w:val="fr-CA"/>
        </w:rPr>
        <w:t>équité qui servent de guide à l</w:t>
      </w:r>
      <w:r>
        <w:rPr>
          <w:rFonts w:cs="Times New Roman"/>
          <w:lang w:val="fr-CA"/>
        </w:rPr>
        <w:t>’</w:t>
      </w:r>
      <w:r w:rsidRPr="009F420B">
        <w:rPr>
          <w:rFonts w:cs="Times New Roman"/>
          <w:lang w:val="fr-CA"/>
        </w:rPr>
        <w:t>interprétation des différentes règles de droit international privé</w:t>
      </w:r>
      <w:r>
        <w:rPr>
          <w:rFonts w:cs="Times New Roman"/>
          <w:lang w:val="fr-CA"/>
        </w:rPr>
        <w:t> :</w:t>
      </w:r>
      <w:r w:rsidRPr="009F420B">
        <w:rPr>
          <w:rFonts w:cs="Times New Roman"/>
          <w:lang w:val="fr-CA"/>
        </w:rPr>
        <w:t xml:space="preserve"> voir aussi </w:t>
      </w:r>
      <w:r w:rsidRPr="009F420B">
        <w:rPr>
          <w:rFonts w:cs="Times New Roman"/>
          <w:i/>
          <w:lang w:val="fr-CA"/>
        </w:rPr>
        <w:t xml:space="preserve">Spar Aerospace Ltée </w:t>
      </w:r>
      <w:r w:rsidRPr="009F420B">
        <w:rPr>
          <w:rFonts w:cs="Times New Roman"/>
          <w:i/>
          <w:iCs/>
          <w:lang w:val="fr-CA"/>
        </w:rPr>
        <w:t xml:space="preserve">c. </w:t>
      </w:r>
      <w:r w:rsidRPr="009F420B">
        <w:rPr>
          <w:rFonts w:cs="Times New Roman"/>
          <w:i/>
          <w:lang w:val="fr-CA"/>
        </w:rPr>
        <w:t>American Mobile Satellite Corp.</w:t>
      </w:r>
      <w:r w:rsidRPr="009F420B">
        <w:rPr>
          <w:rFonts w:cs="Times New Roman"/>
          <w:lang w:val="fr-CA"/>
        </w:rPr>
        <w:t xml:space="preserve">, 2002 CSC 78, [2002] 4 R.C.S. 205, </w:t>
      </w:r>
      <w:r>
        <w:rPr>
          <w:rFonts w:cs="Times New Roman"/>
          <w:lang w:val="fr-CA"/>
        </w:rPr>
        <w:t>par. </w:t>
      </w:r>
      <w:r w:rsidRPr="009F420B">
        <w:rPr>
          <w:rFonts w:cs="Times New Roman"/>
          <w:lang w:val="fr-CA"/>
        </w:rPr>
        <w:t>23.</w:t>
      </w:r>
    </w:p>
    <w:p w:rsidR="00AF6697" w:rsidRPr="009F420B" w:rsidRDefault="00AF6697" w:rsidP="00AF6697">
      <w:pPr>
        <w:pStyle w:val="Title2LevelTitre2Niveau"/>
        <w:jc w:val="both"/>
        <w:rPr>
          <w:rFonts w:cs="Times New Roman"/>
          <w:lang w:val="fr-CA"/>
        </w:rPr>
      </w:pPr>
      <w:bookmarkStart w:id="7" w:name="_Toc528239566"/>
      <w:r w:rsidRPr="009F420B">
        <w:rPr>
          <w:rFonts w:cs="Times New Roman"/>
          <w:lang w:val="fr-CA"/>
        </w:rPr>
        <w:t>Article 3164</w:t>
      </w:r>
      <w:r w:rsidRPr="009F420B">
        <w:rPr>
          <w:rFonts w:cs="Times New Roman"/>
          <w:i w:val="0"/>
          <w:lang w:val="fr-CA"/>
        </w:rPr>
        <w:t xml:space="preserve"> </w:t>
      </w:r>
      <w:r w:rsidRPr="009F420B">
        <w:rPr>
          <w:rFonts w:cs="Times New Roman"/>
          <w:lang w:val="fr-CA"/>
        </w:rPr>
        <w:t>C.c.Q.</w:t>
      </w:r>
      <w:bookmarkEnd w:id="7"/>
    </w:p>
    <w:p w:rsidR="00AF6697" w:rsidRPr="009F420B" w:rsidRDefault="00AF6697" w:rsidP="00AF6697">
      <w:pPr>
        <w:pStyle w:val="ParaNoNdepar-AltN"/>
        <w:rPr>
          <w:rFonts w:cs="Times New Roman"/>
          <w:lang w:val="fr-CA"/>
        </w:rPr>
      </w:pPr>
      <w:r w:rsidRPr="009F420B">
        <w:rPr>
          <w:rFonts w:cs="Times New Roman"/>
          <w:lang w:val="fr-CA"/>
        </w:rPr>
        <w:t>J</w:t>
      </w:r>
      <w:r>
        <w:rPr>
          <w:rFonts w:cs="Times New Roman"/>
          <w:lang w:val="fr-CA"/>
        </w:rPr>
        <w:t>’</w:t>
      </w:r>
      <w:r w:rsidRPr="009F420B">
        <w:rPr>
          <w:rFonts w:cs="Times New Roman"/>
          <w:lang w:val="fr-CA"/>
        </w:rPr>
        <w:t>admets, au moment où je m</w:t>
      </w:r>
      <w:r>
        <w:rPr>
          <w:rFonts w:cs="Times New Roman"/>
          <w:lang w:val="fr-CA"/>
        </w:rPr>
        <w:t>’</w:t>
      </w:r>
      <w:r w:rsidRPr="009F420B">
        <w:rPr>
          <w:rFonts w:cs="Times New Roman"/>
          <w:lang w:val="fr-CA"/>
        </w:rPr>
        <w:t>apprête à aborder de front 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xml:space="preserve"> que, comme il fait partie du titre quatrième du livre dixième du </w:t>
      </w:r>
      <w:r w:rsidRPr="009F420B">
        <w:rPr>
          <w:rFonts w:cs="Times New Roman"/>
          <w:i/>
          <w:lang w:val="fr-CA"/>
        </w:rPr>
        <w:t>Code civil</w:t>
      </w:r>
      <w:r w:rsidRPr="009F420B">
        <w:rPr>
          <w:rFonts w:cs="Times New Roman"/>
          <w:lang w:val="fr-CA"/>
        </w:rPr>
        <w:t>, il est « étroitement lié » au titre troisième, dans la mesure où l</w:t>
      </w:r>
      <w:r>
        <w:rPr>
          <w:rFonts w:cs="Times New Roman"/>
          <w:lang w:val="fr-CA"/>
        </w:rPr>
        <w:t>’</w:t>
      </w:r>
      <w:r w:rsidRPr="009F420B">
        <w:rPr>
          <w:rFonts w:cs="Times New Roman"/>
          <w:lang w:val="fr-CA"/>
        </w:rPr>
        <w:t>on trouve dans ces deux titres des règles qui ont trait à la compétence internationale des autorités québécoises et à la reconnaissance des jugements étrangers</w:t>
      </w:r>
      <w:r>
        <w:rPr>
          <w:rFonts w:cs="Times New Roman"/>
          <w:lang w:val="fr-CA"/>
        </w:rPr>
        <w:t> :</w:t>
      </w:r>
      <w:r w:rsidRPr="009F420B">
        <w:rPr>
          <w:rFonts w:cs="Times New Roman"/>
          <w:lang w:val="fr-CA"/>
        </w:rPr>
        <w:t xml:space="preserve"> </w:t>
      </w:r>
      <w:r w:rsidRPr="009F420B">
        <w:rPr>
          <w:rFonts w:cs="Times New Roman"/>
          <w:i/>
          <w:lang w:val="fr-CA"/>
        </w:rPr>
        <w:t>Société canadienne des postes </w:t>
      </w:r>
      <w:r w:rsidRPr="009F420B">
        <w:rPr>
          <w:rFonts w:cs="Times New Roman"/>
          <w:i/>
          <w:iCs/>
          <w:lang w:val="fr-CA"/>
        </w:rPr>
        <w:t xml:space="preserve">c. </w:t>
      </w:r>
      <w:r w:rsidRPr="009F420B">
        <w:rPr>
          <w:rFonts w:cs="Times New Roman"/>
          <w:i/>
          <w:lang w:val="fr-CA"/>
        </w:rPr>
        <w:t>Lépine</w:t>
      </w:r>
      <w:r w:rsidRPr="009F420B">
        <w:rPr>
          <w:rFonts w:cs="Times New Roman"/>
          <w:lang w:val="fr-CA"/>
        </w:rPr>
        <w:t xml:space="preserve">, 2009 CSC 16, [2009] 1 R.C.S. 549, </w:t>
      </w:r>
      <w:r>
        <w:rPr>
          <w:rFonts w:cs="Times New Roman"/>
          <w:lang w:val="fr-CA"/>
        </w:rPr>
        <w:t>par. </w:t>
      </w:r>
      <w:r w:rsidRPr="009F420B">
        <w:rPr>
          <w:rFonts w:cs="Times New Roman"/>
          <w:lang w:val="fr-CA"/>
        </w:rPr>
        <w:t xml:space="preserve">18. </w:t>
      </w:r>
    </w:p>
    <w:p w:rsidR="00AF6697" w:rsidRPr="009F420B" w:rsidRDefault="00AF6697" w:rsidP="00AF6697">
      <w:pPr>
        <w:pStyle w:val="ParaNoNdepar-AltN"/>
        <w:rPr>
          <w:rFonts w:cs="Times New Roman"/>
          <w:lang w:val="fr-CA"/>
        </w:rPr>
      </w:pPr>
      <w:r w:rsidRPr="009F420B">
        <w:rPr>
          <w:rFonts w:cs="Times New Roman"/>
          <w:lang w:val="fr-CA"/>
        </w:rPr>
        <w:t>L</w:t>
      </w:r>
      <w:r>
        <w:rPr>
          <w:rFonts w:cs="Times New Roman"/>
          <w:lang w:val="fr-CA"/>
        </w:rPr>
        <w:t>’</w:t>
      </w:r>
      <w:r w:rsidRPr="009F420B">
        <w:rPr>
          <w:rFonts w:cs="Times New Roman"/>
          <w:lang w:val="fr-CA"/>
        </w:rPr>
        <w:t xml:space="preserve">article 3164 </w:t>
      </w:r>
      <w:r w:rsidRPr="009F420B">
        <w:rPr>
          <w:rFonts w:cs="Times New Roman"/>
          <w:i/>
          <w:lang w:val="fr-CA"/>
        </w:rPr>
        <w:t>C.c.Q.</w:t>
      </w:r>
      <w:r w:rsidRPr="009F420B">
        <w:rPr>
          <w:rFonts w:cs="Times New Roman"/>
          <w:lang w:val="fr-CA"/>
        </w:rPr>
        <w:t xml:space="preserve"> est le premier du chapitre deuxième du titre quatrième intitulé « De la compétence des autorités étrangères ». Il est ainsi libellé</w:t>
      </w:r>
      <w:r>
        <w:rPr>
          <w:rFonts w:cs="Times New Roman"/>
          <w:lang w:val="fr-CA"/>
        </w:rPr>
        <w:t> :</w:t>
      </w:r>
      <w:r w:rsidRPr="009F420B">
        <w:rPr>
          <w:rFonts w:cs="Times New Roman"/>
          <w:lang w:val="fr-CA"/>
        </w:rPr>
        <w:t xml:space="preserve"> </w:t>
      </w:r>
    </w:p>
    <w:p w:rsidR="00AF6697" w:rsidRPr="009F420B" w:rsidRDefault="00AF6697" w:rsidP="00AF6697">
      <w:pPr>
        <w:pStyle w:val="Citation-AltC"/>
        <w:rPr>
          <w:lang w:val="fr-CA"/>
        </w:rPr>
      </w:pPr>
      <w:r w:rsidRPr="00EF7102">
        <w:rPr>
          <w:rStyle w:val="texte-courant1"/>
          <w:rFonts w:eastAsiaTheme="minorHAnsi"/>
          <w:b/>
          <w:lang w:val="fr-CA"/>
        </w:rPr>
        <w:lastRenderedPageBreak/>
        <w:t>3164.</w:t>
      </w:r>
      <w:r>
        <w:rPr>
          <w:rStyle w:val="texte-courant1"/>
          <w:rFonts w:eastAsiaTheme="minorHAnsi"/>
          <w:lang w:val="fr-CA"/>
        </w:rPr>
        <w:t> </w:t>
      </w:r>
      <w:r w:rsidRPr="009F420B">
        <w:rPr>
          <w:rStyle w:val="texte-courant1"/>
          <w:rFonts w:eastAsiaTheme="minorHAnsi"/>
          <w:lang w:val="fr-CA"/>
        </w:rPr>
        <w:t xml:space="preserve">La compétence des autorités </w:t>
      </w:r>
      <w:r w:rsidR="002F52C2">
        <w:rPr>
          <w:rStyle w:val="texte-courant1"/>
          <w:rFonts w:eastAsiaTheme="minorHAnsi"/>
          <w:lang w:val="fr-CA"/>
        </w:rPr>
        <w:t xml:space="preserve">étrangères est établie suivant </w:t>
      </w:r>
      <w:r w:rsidRPr="009F420B">
        <w:rPr>
          <w:rStyle w:val="texte-courant1"/>
          <w:rFonts w:eastAsiaTheme="minorHAnsi"/>
          <w:lang w:val="fr-CA"/>
        </w:rPr>
        <w:t>les règles de compétence applicables aux autorités québécoi</w:t>
      </w:r>
      <w:r w:rsidR="002F52C2">
        <w:rPr>
          <w:rStyle w:val="texte-courant1"/>
          <w:rFonts w:eastAsiaTheme="minorHAnsi"/>
          <w:lang w:val="fr-CA"/>
        </w:rPr>
        <w:t>ses en vertu du titre troisième</w:t>
      </w:r>
      <w:r w:rsidRPr="009F420B">
        <w:rPr>
          <w:rStyle w:val="texte-courant1"/>
          <w:rFonts w:eastAsiaTheme="minorHAnsi"/>
          <w:lang w:val="fr-CA"/>
        </w:rPr>
        <w:t xml:space="preserve"> du présent livre dans la mesure où le litige se rattache d</w:t>
      </w:r>
      <w:r>
        <w:rPr>
          <w:rStyle w:val="texte-courant1"/>
          <w:rFonts w:eastAsiaTheme="minorHAnsi"/>
          <w:lang w:val="fr-CA"/>
        </w:rPr>
        <w:t>’</w:t>
      </w:r>
      <w:r w:rsidRPr="009F420B">
        <w:rPr>
          <w:rStyle w:val="texte-courant1"/>
          <w:rFonts w:eastAsiaTheme="minorHAnsi"/>
          <w:lang w:val="fr-CA"/>
        </w:rPr>
        <w:t>une façon importante à l</w:t>
      </w:r>
      <w:r>
        <w:rPr>
          <w:rStyle w:val="texte-courant1"/>
          <w:rFonts w:eastAsiaTheme="minorHAnsi"/>
          <w:lang w:val="fr-CA"/>
        </w:rPr>
        <w:t>’</w:t>
      </w:r>
      <w:r w:rsidRPr="009F420B">
        <w:rPr>
          <w:rStyle w:val="texte-courant1"/>
          <w:rFonts w:eastAsiaTheme="minorHAnsi"/>
          <w:lang w:val="fr-CA"/>
        </w:rPr>
        <w:t>État dont l</w:t>
      </w:r>
      <w:r>
        <w:rPr>
          <w:rStyle w:val="texte-courant1"/>
          <w:rFonts w:eastAsiaTheme="minorHAnsi"/>
          <w:lang w:val="fr-CA"/>
        </w:rPr>
        <w:t>’</w:t>
      </w:r>
      <w:r w:rsidRPr="009F420B">
        <w:rPr>
          <w:rStyle w:val="texte-courant1"/>
          <w:rFonts w:eastAsiaTheme="minorHAnsi"/>
          <w:lang w:val="fr-CA"/>
        </w:rPr>
        <w:t>autorité a été saisie.</w:t>
      </w:r>
    </w:p>
    <w:p w:rsidR="00AF6697" w:rsidRPr="009F420B" w:rsidRDefault="00AF6697" w:rsidP="00AF6697">
      <w:pPr>
        <w:pStyle w:val="ParaNoNdepar-AltN"/>
        <w:rPr>
          <w:rFonts w:cs="Times New Roman"/>
          <w:lang w:val="fr-CA"/>
        </w:rPr>
      </w:pPr>
      <w:r w:rsidRPr="009F420B">
        <w:rPr>
          <w:rFonts w:cs="Times New Roman"/>
          <w:lang w:val="fr-CA"/>
        </w:rPr>
        <w:t>Il ressort de l</w:t>
      </w:r>
      <w:r>
        <w:rPr>
          <w:rFonts w:cs="Times New Roman"/>
          <w:lang w:val="fr-CA"/>
        </w:rPr>
        <w:t>’</w:t>
      </w:r>
      <w:r w:rsidRPr="009F420B">
        <w:rPr>
          <w:rFonts w:cs="Times New Roman"/>
          <w:lang w:val="fr-CA"/>
        </w:rPr>
        <w:t>abondante doctrine qui existe sur le sujet que le texte de 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xml:space="preserve"> soulève deux questions d</w:t>
      </w:r>
      <w:r>
        <w:rPr>
          <w:rFonts w:cs="Times New Roman"/>
          <w:lang w:val="fr-CA"/>
        </w:rPr>
        <w:t>’</w:t>
      </w:r>
      <w:r w:rsidRPr="009F420B">
        <w:rPr>
          <w:rFonts w:cs="Times New Roman"/>
          <w:lang w:val="fr-CA"/>
        </w:rPr>
        <w:t>interprétation distinctes, mais connexes. En premier lieu, en mentionnant de façon générale les « </w:t>
      </w:r>
      <w:r w:rsidRPr="009F420B">
        <w:rPr>
          <w:rStyle w:val="texte-courant1"/>
          <w:rFonts w:eastAsiaTheme="minorHAnsi"/>
          <w:szCs w:val="24"/>
          <w:lang w:val="fr-CA"/>
        </w:rPr>
        <w:t>règles de compétence applicables aux autorités québécoises</w:t>
      </w:r>
      <w:r w:rsidRPr="009F420B">
        <w:rPr>
          <w:rFonts w:cs="Times New Roman"/>
          <w:lang w:val="fr-CA"/>
        </w:rPr>
        <w:t xml:space="preserve"> </w:t>
      </w:r>
      <w:r w:rsidRPr="009F420B">
        <w:rPr>
          <w:rStyle w:val="texte-courant1"/>
          <w:rFonts w:eastAsiaTheme="minorHAnsi"/>
          <w:szCs w:val="24"/>
          <w:lang w:val="fr-CA"/>
        </w:rPr>
        <w:t xml:space="preserve">en vertu du titre troisième », </w:t>
      </w:r>
      <w:r w:rsidRPr="009F420B">
        <w:rPr>
          <w:rFonts w:cs="Times New Roman"/>
          <w:lang w:val="fr-CA"/>
        </w:rPr>
        <w:t>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xml:space="preserve"> autorise</w:t>
      </w:r>
      <w:r>
        <w:rPr>
          <w:rFonts w:cs="Times New Roman"/>
          <w:lang w:val="fr-CA"/>
        </w:rPr>
        <w:noBreakHyphen/>
      </w:r>
      <w:r w:rsidRPr="009F420B">
        <w:rPr>
          <w:rFonts w:cs="Times New Roman"/>
          <w:lang w:val="fr-CA"/>
        </w:rPr>
        <w:t>t</w:t>
      </w:r>
      <w:r>
        <w:rPr>
          <w:rFonts w:cs="Times New Roman"/>
          <w:lang w:val="fr-CA"/>
        </w:rPr>
        <w:noBreakHyphen/>
      </w:r>
      <w:r w:rsidRPr="009F420B">
        <w:rPr>
          <w:rFonts w:cs="Times New Roman"/>
          <w:lang w:val="fr-CA"/>
        </w:rPr>
        <w:t>il un tribunal québécois à reconnaître la compétence d</w:t>
      </w:r>
      <w:r>
        <w:rPr>
          <w:rFonts w:cs="Times New Roman"/>
          <w:lang w:val="fr-CA"/>
        </w:rPr>
        <w:t>’</w:t>
      </w:r>
      <w:r w:rsidRPr="009F420B">
        <w:rPr>
          <w:rFonts w:cs="Times New Roman"/>
          <w:lang w:val="fr-CA"/>
        </w:rPr>
        <w:t>une autorité étrangère en application d</w:t>
      </w:r>
      <w:r>
        <w:rPr>
          <w:rFonts w:cs="Times New Roman"/>
          <w:lang w:val="fr-CA"/>
        </w:rPr>
        <w:t>’</w:t>
      </w:r>
      <w:r w:rsidRPr="009F420B">
        <w:rPr>
          <w:rFonts w:cs="Times New Roman"/>
          <w:lang w:val="fr-CA"/>
        </w:rPr>
        <w:t>une des « dispositions générales » du chapitre premier du titre en question, telle que celle qui confère la compétence à l</w:t>
      </w:r>
      <w:r>
        <w:rPr>
          <w:rFonts w:cs="Times New Roman"/>
          <w:lang w:val="fr-CA"/>
        </w:rPr>
        <w:t>’</w:t>
      </w:r>
      <w:r w:rsidRPr="009F420B">
        <w:rPr>
          <w:rFonts w:cs="Times New Roman"/>
          <w:lang w:val="fr-CA"/>
        </w:rPr>
        <w:t>autorité québécoise pour des raisons de commodité administrative (c.</w:t>
      </w:r>
      <w:r>
        <w:rPr>
          <w:rFonts w:cs="Times New Roman"/>
          <w:lang w:val="fr-CA"/>
        </w:rPr>
        <w:noBreakHyphen/>
      </w:r>
      <w:r w:rsidRPr="009F420B">
        <w:rPr>
          <w:rFonts w:cs="Times New Roman"/>
          <w:lang w:val="fr-CA"/>
        </w:rPr>
        <w:t>à</w:t>
      </w:r>
      <w:r>
        <w:rPr>
          <w:rFonts w:cs="Times New Roman"/>
          <w:lang w:val="fr-CA"/>
        </w:rPr>
        <w:noBreakHyphen/>
      </w:r>
      <w:r w:rsidRPr="009F420B">
        <w:rPr>
          <w:rFonts w:cs="Times New Roman"/>
          <w:lang w:val="fr-CA"/>
        </w:rPr>
        <w:t>d., la disposition qui prévoit que l</w:t>
      </w:r>
      <w:r>
        <w:rPr>
          <w:rFonts w:cs="Times New Roman"/>
          <w:lang w:val="fr-CA"/>
        </w:rPr>
        <w:t>’</w:t>
      </w:r>
      <w:r w:rsidRPr="009F420B">
        <w:rPr>
          <w:rFonts w:cs="Times New Roman"/>
          <w:lang w:val="fr-CA"/>
        </w:rPr>
        <w:t>autorité québécoise peut connaître de la « demande incidente ou reconventionnelle » lorsqu</w:t>
      </w:r>
      <w:r>
        <w:rPr>
          <w:rFonts w:cs="Times New Roman"/>
          <w:lang w:val="fr-CA"/>
        </w:rPr>
        <w:t>’</w:t>
      </w:r>
      <w:r w:rsidRPr="009F420B">
        <w:rPr>
          <w:rFonts w:cs="Times New Roman"/>
          <w:lang w:val="fr-CA"/>
        </w:rPr>
        <w:t>elle est « compétente pour la demande principale »?</w:t>
      </w:r>
      <w:r>
        <w:rPr>
          <w:rFonts w:cs="Times New Roman"/>
          <w:lang w:val="fr-CA"/>
        </w:rPr>
        <w:t> :</w:t>
      </w:r>
      <w:r w:rsidRPr="009F420B">
        <w:rPr>
          <w:rFonts w:cs="Times New Roman"/>
          <w:lang w:val="fr-CA"/>
        </w:rPr>
        <w:t xml:space="preserve"> </w:t>
      </w:r>
      <w:r>
        <w:rPr>
          <w:rFonts w:cs="Times New Roman"/>
          <w:lang w:val="fr-CA"/>
        </w:rPr>
        <w:t>art. </w:t>
      </w:r>
      <w:r w:rsidRPr="009F420B">
        <w:rPr>
          <w:rFonts w:cs="Times New Roman"/>
          <w:lang w:val="fr-CA"/>
        </w:rPr>
        <w:t xml:space="preserve">3139 </w:t>
      </w:r>
      <w:r w:rsidRPr="009F420B">
        <w:rPr>
          <w:rFonts w:cs="Times New Roman"/>
          <w:i/>
          <w:lang w:val="fr-CA"/>
        </w:rPr>
        <w:t>C.c.Q.</w:t>
      </w:r>
      <w:r w:rsidRPr="009F420B">
        <w:rPr>
          <w:rFonts w:cs="Times New Roman"/>
          <w:lang w:val="fr-CA"/>
        </w:rPr>
        <w:t>). En second lieu, le tribunal québécois peut</w:t>
      </w:r>
      <w:r>
        <w:rPr>
          <w:rFonts w:cs="Times New Roman"/>
          <w:lang w:val="fr-CA"/>
        </w:rPr>
        <w:noBreakHyphen/>
      </w:r>
      <w:r w:rsidRPr="009F420B">
        <w:rPr>
          <w:rFonts w:cs="Times New Roman"/>
          <w:lang w:val="fr-CA"/>
        </w:rPr>
        <w:t>il appliquer le critère du « rattachement important » entre le litige et l</w:t>
      </w:r>
      <w:r>
        <w:rPr>
          <w:rFonts w:cs="Times New Roman"/>
          <w:lang w:val="fr-CA"/>
        </w:rPr>
        <w:t>’</w:t>
      </w:r>
      <w:r w:rsidRPr="009F420B">
        <w:rPr>
          <w:rFonts w:cs="Times New Roman"/>
          <w:lang w:val="fr-CA"/>
        </w:rPr>
        <w:t xml:space="preserve">État du tribunal étranger de manière à refuser de reconnaître la compétence de ce tribunal étranger </w:t>
      </w:r>
      <w:r w:rsidRPr="009F420B">
        <w:rPr>
          <w:rFonts w:cs="Times New Roman"/>
          <w:i/>
          <w:lang w:val="fr-CA"/>
        </w:rPr>
        <w:t xml:space="preserve">même </w:t>
      </w:r>
      <w:r w:rsidRPr="009F420B">
        <w:rPr>
          <w:rFonts w:cs="Times New Roman"/>
          <w:lang w:val="fr-CA"/>
        </w:rPr>
        <w:t>s</w:t>
      </w:r>
      <w:r>
        <w:rPr>
          <w:rFonts w:cs="Times New Roman"/>
          <w:lang w:val="fr-CA"/>
        </w:rPr>
        <w:t>’</w:t>
      </w:r>
      <w:r w:rsidRPr="009F420B">
        <w:rPr>
          <w:rFonts w:cs="Times New Roman"/>
          <w:lang w:val="fr-CA"/>
        </w:rPr>
        <w:t>il est satisfait à l</w:t>
      </w:r>
      <w:r>
        <w:rPr>
          <w:rFonts w:cs="Times New Roman"/>
          <w:lang w:val="fr-CA"/>
        </w:rPr>
        <w:t>’</w:t>
      </w:r>
      <w:r w:rsidRPr="009F420B">
        <w:rPr>
          <w:rFonts w:cs="Times New Roman"/>
          <w:lang w:val="fr-CA"/>
        </w:rPr>
        <w:t>un des critères de compétence prévus à l</w:t>
      </w:r>
      <w:r>
        <w:rPr>
          <w:rFonts w:cs="Times New Roman"/>
          <w:lang w:val="fr-CA"/>
        </w:rPr>
        <w:t>’art. </w:t>
      </w:r>
      <w:r w:rsidRPr="009F420B">
        <w:rPr>
          <w:rFonts w:cs="Times New Roman"/>
          <w:lang w:val="fr-CA"/>
        </w:rPr>
        <w:t xml:space="preserve">3168 </w:t>
      </w:r>
      <w:r w:rsidRPr="009F420B">
        <w:rPr>
          <w:rFonts w:cs="Times New Roman"/>
          <w:i/>
          <w:lang w:val="fr-CA"/>
        </w:rPr>
        <w:t>C.c.Q.</w:t>
      </w:r>
      <w:r w:rsidRPr="009F420B">
        <w:rPr>
          <w:rFonts w:cs="Times New Roman"/>
          <w:lang w:val="fr-CA"/>
        </w:rPr>
        <w:t>?</w:t>
      </w:r>
    </w:p>
    <w:p w:rsidR="00AF6697" w:rsidRPr="009F420B" w:rsidRDefault="00AF6697" w:rsidP="00AF6697">
      <w:pPr>
        <w:pStyle w:val="ParaNoNdepar-AltN"/>
        <w:rPr>
          <w:rFonts w:cs="Times New Roman"/>
          <w:lang w:val="fr-CA"/>
        </w:rPr>
      </w:pPr>
      <w:r w:rsidRPr="009F420B">
        <w:rPr>
          <w:rFonts w:cs="Times New Roman"/>
          <w:lang w:val="fr-CA"/>
        </w:rPr>
        <w:t>Pour les motifs qui suivent, je suis d</w:t>
      </w:r>
      <w:r>
        <w:rPr>
          <w:rFonts w:cs="Times New Roman"/>
          <w:lang w:val="fr-CA"/>
        </w:rPr>
        <w:t>’</w:t>
      </w:r>
      <w:r w:rsidRPr="009F420B">
        <w:rPr>
          <w:rFonts w:cs="Times New Roman"/>
          <w:lang w:val="fr-CA"/>
        </w:rPr>
        <w:t>avis de répondre par l</w:t>
      </w:r>
      <w:r>
        <w:rPr>
          <w:rFonts w:cs="Times New Roman"/>
          <w:lang w:val="fr-CA"/>
        </w:rPr>
        <w:t>’</w:t>
      </w:r>
      <w:r w:rsidRPr="009F420B">
        <w:rPr>
          <w:rFonts w:cs="Times New Roman"/>
          <w:lang w:val="fr-CA"/>
        </w:rPr>
        <w:t>affirmative à la première question, d</w:t>
      </w:r>
      <w:r>
        <w:rPr>
          <w:rFonts w:cs="Times New Roman"/>
          <w:lang w:val="fr-CA"/>
        </w:rPr>
        <w:t>’</w:t>
      </w:r>
      <w:r w:rsidRPr="009F420B">
        <w:rPr>
          <w:rFonts w:cs="Times New Roman"/>
          <w:lang w:val="fr-CA"/>
        </w:rPr>
        <w:t>autant plus lorsque, comme en l</w:t>
      </w:r>
      <w:r>
        <w:rPr>
          <w:rFonts w:cs="Times New Roman"/>
          <w:lang w:val="fr-CA"/>
        </w:rPr>
        <w:t>’</w:t>
      </w:r>
      <w:r w:rsidRPr="009F420B">
        <w:rPr>
          <w:rFonts w:cs="Times New Roman"/>
          <w:lang w:val="fr-CA"/>
        </w:rPr>
        <w:t>espèce, on ne peut pas douter que le tribunal de l</w:t>
      </w:r>
      <w:r>
        <w:rPr>
          <w:rFonts w:cs="Times New Roman"/>
          <w:lang w:val="fr-CA"/>
        </w:rPr>
        <w:t>’</w:t>
      </w:r>
      <w:r w:rsidRPr="009F420B">
        <w:rPr>
          <w:rFonts w:cs="Times New Roman"/>
          <w:lang w:val="fr-CA"/>
        </w:rPr>
        <w:t xml:space="preserve">Utah avait compétence en application </w:t>
      </w:r>
      <w:r w:rsidR="00D968C7">
        <w:rPr>
          <w:rFonts w:cs="Times New Roman"/>
          <w:lang w:val="fr-CA"/>
        </w:rPr>
        <w:t>du par</w:t>
      </w:r>
      <w:r>
        <w:rPr>
          <w:rFonts w:cs="Times New Roman"/>
          <w:lang w:val="fr-CA"/>
        </w:rPr>
        <w:t>. </w:t>
      </w:r>
      <w:r w:rsidRPr="009F420B">
        <w:rPr>
          <w:rFonts w:cs="Times New Roman"/>
          <w:lang w:val="fr-CA"/>
        </w:rPr>
        <w:t xml:space="preserve">3168(4) </w:t>
      </w:r>
      <w:r w:rsidRPr="009F420B">
        <w:rPr>
          <w:rFonts w:cs="Times New Roman"/>
          <w:i/>
          <w:lang w:val="fr-CA"/>
        </w:rPr>
        <w:t>C.c.Q.</w:t>
      </w:r>
      <w:r w:rsidRPr="009F420B">
        <w:rPr>
          <w:rFonts w:cs="Times New Roman"/>
          <w:lang w:val="fr-CA"/>
        </w:rPr>
        <w:t xml:space="preserve"> sur le « litige » principal de nature contractuelle qui opposait Knight et BEC, et lorsqu</w:t>
      </w:r>
      <w:r>
        <w:rPr>
          <w:rFonts w:cs="Times New Roman"/>
          <w:lang w:val="fr-CA"/>
        </w:rPr>
        <w:t>’</w:t>
      </w:r>
      <w:r w:rsidRPr="009F420B">
        <w:rPr>
          <w:rFonts w:cs="Times New Roman"/>
          <w:lang w:val="fr-CA"/>
        </w:rPr>
        <w:t>il y a un « rattachement important » entre l</w:t>
      </w:r>
      <w:r>
        <w:rPr>
          <w:rFonts w:cs="Times New Roman"/>
          <w:lang w:val="fr-CA"/>
        </w:rPr>
        <w:t>’</w:t>
      </w:r>
      <w:r w:rsidRPr="009F420B">
        <w:rPr>
          <w:rFonts w:cs="Times New Roman"/>
          <w:lang w:val="fr-CA"/>
        </w:rPr>
        <w:t>État de l</w:t>
      </w:r>
      <w:r>
        <w:rPr>
          <w:rFonts w:cs="Times New Roman"/>
          <w:lang w:val="fr-CA"/>
        </w:rPr>
        <w:t>’</w:t>
      </w:r>
      <w:r w:rsidRPr="009F420B">
        <w:rPr>
          <w:rFonts w:cs="Times New Roman"/>
          <w:lang w:val="fr-CA"/>
        </w:rPr>
        <w:t xml:space="preserve">autorité étrangère </w:t>
      </w:r>
      <w:r w:rsidRPr="009F420B">
        <w:rPr>
          <w:rFonts w:cs="Times New Roman"/>
          <w:i/>
          <w:lang w:val="fr-CA"/>
        </w:rPr>
        <w:t>et le</w:t>
      </w:r>
      <w:r w:rsidRPr="009F420B">
        <w:rPr>
          <w:rFonts w:cs="Times New Roman"/>
          <w:lang w:val="fr-CA"/>
        </w:rPr>
        <w:t xml:space="preserve"> </w:t>
      </w:r>
      <w:r w:rsidRPr="009F420B">
        <w:rPr>
          <w:rFonts w:cs="Times New Roman"/>
          <w:i/>
          <w:lang w:val="fr-CA"/>
        </w:rPr>
        <w:t>codéfendeur, M. Barer, ou l</w:t>
      </w:r>
      <w:r>
        <w:rPr>
          <w:rFonts w:cs="Times New Roman"/>
          <w:i/>
          <w:lang w:val="fr-CA"/>
        </w:rPr>
        <w:t>’</w:t>
      </w:r>
      <w:r w:rsidRPr="009F420B">
        <w:rPr>
          <w:rFonts w:cs="Times New Roman"/>
          <w:i/>
          <w:lang w:val="fr-CA"/>
        </w:rPr>
        <w:t>allégation formulée contre lui</w:t>
      </w:r>
      <w:r w:rsidRPr="009F420B">
        <w:rPr>
          <w:rFonts w:cs="Times New Roman"/>
          <w:lang w:val="fr-CA"/>
        </w:rPr>
        <w:t>.</w:t>
      </w:r>
      <w:r w:rsidRPr="009F420B">
        <w:rPr>
          <w:rFonts w:cs="Times New Roman"/>
          <w:i/>
          <w:lang w:val="fr-CA"/>
        </w:rPr>
        <w:t xml:space="preserve"> </w:t>
      </w:r>
      <w:r w:rsidRPr="009F420B">
        <w:rPr>
          <w:rFonts w:cs="Times New Roman"/>
          <w:lang w:val="fr-CA"/>
        </w:rPr>
        <w:t>(Bien que, comme je vais l</w:t>
      </w:r>
      <w:r>
        <w:rPr>
          <w:rFonts w:cs="Times New Roman"/>
          <w:lang w:val="fr-CA"/>
        </w:rPr>
        <w:t>’</w:t>
      </w:r>
      <w:r w:rsidRPr="009F420B">
        <w:rPr>
          <w:rFonts w:cs="Times New Roman"/>
          <w:lang w:val="fr-CA"/>
        </w:rPr>
        <w:t xml:space="preserve">expliquer </w:t>
      </w:r>
      <w:r w:rsidRPr="009F420B">
        <w:rPr>
          <w:rFonts w:cs="Times New Roman"/>
          <w:lang w:val="fr-CA"/>
        </w:rPr>
        <w:lastRenderedPageBreak/>
        <w:t>plus loin, l</w:t>
      </w:r>
      <w:r>
        <w:rPr>
          <w:rFonts w:cs="Times New Roman"/>
          <w:lang w:val="fr-CA"/>
        </w:rPr>
        <w:t>’</w:t>
      </w:r>
      <w:r w:rsidRPr="009F420B">
        <w:rPr>
          <w:rFonts w:cs="Times New Roman"/>
          <w:lang w:val="fr-CA"/>
        </w:rPr>
        <w:t>allégation formulée contre le codéfendeur doive également être « liée » au contrat.) Je répondrais cependant par la négative à la seconde question.</w:t>
      </w:r>
    </w:p>
    <w:p w:rsidR="00AF6697" w:rsidRPr="009F420B" w:rsidRDefault="00AF6697" w:rsidP="00AF6697">
      <w:pPr>
        <w:pStyle w:val="Title3LevelTitre3Niveau"/>
        <w:jc w:val="both"/>
        <w:rPr>
          <w:rFonts w:cs="Times New Roman"/>
          <w:lang w:val="fr-CA"/>
        </w:rPr>
      </w:pPr>
      <w:bookmarkStart w:id="8" w:name="_Toc528239567"/>
      <w:r w:rsidRPr="009F420B">
        <w:rPr>
          <w:rFonts w:cs="Times New Roman"/>
          <w:lang w:val="fr-CA"/>
        </w:rPr>
        <w:t>L</w:t>
      </w:r>
      <w:r>
        <w:rPr>
          <w:rFonts w:cs="Times New Roman"/>
          <w:lang w:val="fr-CA"/>
        </w:rPr>
        <w:t>’</w:t>
      </w:r>
      <w:r w:rsidRPr="009F420B">
        <w:rPr>
          <w:rFonts w:cs="Times New Roman"/>
          <w:lang w:val="fr-CA"/>
        </w:rPr>
        <w:t xml:space="preserve">article 3164 </w:t>
      </w:r>
      <w:r w:rsidRPr="009F420B">
        <w:rPr>
          <w:rFonts w:cs="Times New Roman"/>
          <w:i/>
          <w:lang w:val="fr-CA"/>
        </w:rPr>
        <w:t>C.c.Q.</w:t>
      </w:r>
      <w:r w:rsidRPr="009F420B">
        <w:rPr>
          <w:rFonts w:cs="Times New Roman"/>
          <w:lang w:val="fr-CA"/>
        </w:rPr>
        <w:t xml:space="preserve"> autorise</w:t>
      </w:r>
      <w:r>
        <w:rPr>
          <w:rFonts w:cs="Times New Roman"/>
          <w:lang w:val="fr-CA"/>
        </w:rPr>
        <w:noBreakHyphen/>
      </w:r>
      <w:r w:rsidRPr="009F420B">
        <w:rPr>
          <w:rFonts w:cs="Times New Roman"/>
          <w:lang w:val="fr-CA"/>
        </w:rPr>
        <w:t>t</w:t>
      </w:r>
      <w:r>
        <w:rPr>
          <w:rFonts w:cs="Times New Roman"/>
          <w:lang w:val="fr-CA"/>
        </w:rPr>
        <w:noBreakHyphen/>
      </w:r>
      <w:r w:rsidRPr="009F420B">
        <w:rPr>
          <w:rFonts w:cs="Times New Roman"/>
          <w:lang w:val="fr-CA"/>
        </w:rPr>
        <w:t>il un tribunal québécois à reconnaître la compétence d</w:t>
      </w:r>
      <w:r>
        <w:rPr>
          <w:rFonts w:cs="Times New Roman"/>
          <w:lang w:val="fr-CA"/>
        </w:rPr>
        <w:t>’</w:t>
      </w:r>
      <w:r w:rsidRPr="009F420B">
        <w:rPr>
          <w:rFonts w:cs="Times New Roman"/>
          <w:lang w:val="fr-CA"/>
        </w:rPr>
        <w:t>une autorité étrangère en application d</w:t>
      </w:r>
      <w:r>
        <w:rPr>
          <w:rFonts w:cs="Times New Roman"/>
          <w:lang w:val="fr-CA"/>
        </w:rPr>
        <w:t>’</w:t>
      </w:r>
      <w:r w:rsidRPr="009F420B">
        <w:rPr>
          <w:rFonts w:cs="Times New Roman"/>
          <w:lang w:val="fr-CA"/>
        </w:rPr>
        <w:t>une des « dispositions générales » du chapitre premier du titre troisième?</w:t>
      </w:r>
      <w:bookmarkEnd w:id="8"/>
    </w:p>
    <w:p w:rsidR="00AF6697" w:rsidRPr="009F420B" w:rsidRDefault="00AF6697" w:rsidP="00AF6697">
      <w:pPr>
        <w:pStyle w:val="ParaNoNdepar-AltN"/>
        <w:rPr>
          <w:rFonts w:cs="Times New Roman"/>
          <w:lang w:val="fr-CA"/>
        </w:rPr>
      </w:pPr>
      <w:r w:rsidRPr="009F420B">
        <w:rPr>
          <w:rFonts w:cs="Times New Roman"/>
          <w:lang w:val="fr-CA"/>
        </w:rPr>
        <w:t xml:space="preserve">Le principe général consacré par le </w:t>
      </w:r>
      <w:r w:rsidRPr="009F420B">
        <w:rPr>
          <w:rFonts w:cs="Times New Roman"/>
          <w:i/>
          <w:lang w:val="fr-CA"/>
        </w:rPr>
        <w:t>Code civil</w:t>
      </w:r>
      <w:r w:rsidRPr="009F420B">
        <w:rPr>
          <w:rFonts w:cs="Times New Roman"/>
          <w:lang w:val="fr-CA"/>
        </w:rPr>
        <w:t xml:space="preserve"> veut que toute décision rendue hors du Québec soit reconnue et déclarée exécutoire par le tribunal québécois si le tribunal étranger avait compétence pour rendre la décision</w:t>
      </w:r>
      <w:r>
        <w:rPr>
          <w:rFonts w:cs="Times New Roman"/>
          <w:lang w:val="fr-CA"/>
        </w:rPr>
        <w:t> :</w:t>
      </w:r>
      <w:r w:rsidRPr="009F420B">
        <w:rPr>
          <w:rFonts w:cs="Times New Roman"/>
          <w:lang w:val="fr-CA"/>
        </w:rPr>
        <w:t xml:space="preserve"> </w:t>
      </w:r>
      <w:r w:rsidR="00D968C7">
        <w:rPr>
          <w:rFonts w:cs="Times New Roman"/>
          <w:lang w:val="fr-CA"/>
        </w:rPr>
        <w:t>par</w:t>
      </w:r>
      <w:r>
        <w:rPr>
          <w:rFonts w:cs="Times New Roman"/>
          <w:lang w:val="fr-CA"/>
        </w:rPr>
        <w:t>. </w:t>
      </w:r>
      <w:r w:rsidRPr="009F420B">
        <w:rPr>
          <w:rFonts w:cs="Times New Roman"/>
          <w:lang w:val="fr-CA"/>
        </w:rPr>
        <w:t>3155(1) </w:t>
      </w:r>
      <w:r w:rsidRPr="009F420B">
        <w:rPr>
          <w:rFonts w:cs="Times New Roman"/>
          <w:i/>
          <w:lang w:val="fr-CA"/>
        </w:rPr>
        <w:t>C.c.Q.</w:t>
      </w:r>
      <w:r w:rsidRPr="009F420B">
        <w:rPr>
          <w:rFonts w:cs="Times New Roman"/>
          <w:lang w:val="fr-CA"/>
        </w:rPr>
        <w:t xml:space="preserve"> Aux termes de 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les chefs de compétence reconnus au tribunal étranger sont essentiellement les mêmes que ceux reconnus au tribunal québécois au titre troisième. C</w:t>
      </w:r>
      <w:r>
        <w:rPr>
          <w:rFonts w:cs="Times New Roman"/>
          <w:lang w:val="fr-CA"/>
        </w:rPr>
        <w:t>’</w:t>
      </w:r>
      <w:r w:rsidRPr="009F420B">
        <w:rPr>
          <w:rFonts w:cs="Times New Roman"/>
          <w:lang w:val="fr-CA"/>
        </w:rPr>
        <w:t>est ce qu</w:t>
      </w:r>
      <w:r>
        <w:rPr>
          <w:rFonts w:cs="Times New Roman"/>
          <w:lang w:val="fr-CA"/>
        </w:rPr>
        <w:t>’</w:t>
      </w:r>
      <w:r w:rsidRPr="009F420B">
        <w:rPr>
          <w:rFonts w:cs="Times New Roman"/>
          <w:lang w:val="fr-CA"/>
        </w:rPr>
        <w:t>on appelle le principe de la réciprocité de la compétence ou « principe du miroir »</w:t>
      </w:r>
      <w:r>
        <w:rPr>
          <w:rFonts w:cs="Times New Roman"/>
          <w:lang w:val="fr-CA"/>
        </w:rPr>
        <w:t> :</w:t>
      </w:r>
      <w:r w:rsidRPr="009F420B">
        <w:rPr>
          <w:rFonts w:cs="Times New Roman"/>
          <w:lang w:val="fr-CA"/>
        </w:rPr>
        <w:t xml:space="preserve"> </w:t>
      </w:r>
      <w:r w:rsidRPr="009F420B">
        <w:rPr>
          <w:rFonts w:cs="Times New Roman"/>
          <w:i/>
          <w:lang w:val="fr-CA"/>
        </w:rPr>
        <w:t>Lépine</w:t>
      </w:r>
      <w:r w:rsidRPr="009F420B">
        <w:rPr>
          <w:rFonts w:cs="Times New Roman"/>
          <w:lang w:val="fr-CA"/>
        </w:rPr>
        <w:t xml:space="preserve">, </w:t>
      </w:r>
      <w:r>
        <w:rPr>
          <w:rFonts w:cs="Times New Roman"/>
          <w:lang w:val="fr-CA"/>
        </w:rPr>
        <w:t>par. </w:t>
      </w:r>
      <w:r w:rsidRPr="009F420B">
        <w:rPr>
          <w:rFonts w:cs="Times New Roman"/>
          <w:lang w:val="fr-CA"/>
        </w:rPr>
        <w:t>24</w:t>
      </w:r>
      <w:r>
        <w:rPr>
          <w:rFonts w:cs="Times New Roman"/>
          <w:lang w:val="fr-CA"/>
        </w:rPr>
        <w:noBreakHyphen/>
      </w:r>
      <w:r w:rsidRPr="009F420B">
        <w:rPr>
          <w:rFonts w:cs="Times New Roman"/>
          <w:lang w:val="fr-CA"/>
        </w:rPr>
        <w:t xml:space="preserve">25; Saumier, </w:t>
      </w:r>
      <w:r>
        <w:rPr>
          <w:rFonts w:cs="Times New Roman"/>
          <w:lang w:val="fr-CA"/>
        </w:rPr>
        <w:t>p. </w:t>
      </w:r>
      <w:r w:rsidRPr="009F420B">
        <w:rPr>
          <w:rFonts w:cs="Times New Roman"/>
          <w:lang w:val="fr-CA"/>
        </w:rPr>
        <w:t xml:space="preserve">681; G. Goldstein et E. Groffier, </w:t>
      </w:r>
      <w:r w:rsidRPr="009F420B">
        <w:rPr>
          <w:rFonts w:cs="Times New Roman"/>
          <w:i/>
          <w:lang w:val="fr-CA"/>
        </w:rPr>
        <w:t>Droit international privé</w:t>
      </w:r>
      <w:r w:rsidRPr="009F420B">
        <w:rPr>
          <w:rFonts w:cs="Times New Roman"/>
          <w:lang w:val="fr-CA"/>
        </w:rPr>
        <w:t xml:space="preserve">, </w:t>
      </w:r>
      <w:r w:rsidR="002F52C2">
        <w:rPr>
          <w:rFonts w:cs="Times New Roman"/>
          <w:lang w:val="fr-CA"/>
        </w:rPr>
        <w:t>t</w:t>
      </w:r>
      <w:r>
        <w:rPr>
          <w:rFonts w:cs="Times New Roman"/>
          <w:lang w:val="fr-CA"/>
        </w:rPr>
        <w:t>. </w:t>
      </w:r>
      <w:r w:rsidRPr="009F420B">
        <w:rPr>
          <w:rFonts w:cs="Times New Roman"/>
          <w:lang w:val="fr-CA"/>
        </w:rPr>
        <w:t xml:space="preserve">I, </w:t>
      </w:r>
      <w:r w:rsidRPr="009F420B">
        <w:rPr>
          <w:rFonts w:cs="Times New Roman"/>
          <w:i/>
          <w:lang w:val="fr-CA"/>
        </w:rPr>
        <w:t>Théorie générale</w:t>
      </w:r>
      <w:r w:rsidRPr="009F420B">
        <w:rPr>
          <w:rFonts w:cs="Times New Roman"/>
          <w:lang w:val="fr-CA"/>
        </w:rPr>
        <w:t xml:space="preserve"> (1998), n</w:t>
      </w:r>
      <w:r w:rsidRPr="009F420B">
        <w:rPr>
          <w:rFonts w:cs="Times New Roman"/>
          <w:vertAlign w:val="superscript"/>
          <w:lang w:val="fr-CA"/>
        </w:rPr>
        <w:t>o</w:t>
      </w:r>
      <w:r w:rsidRPr="009F420B">
        <w:rPr>
          <w:rFonts w:cs="Times New Roman"/>
          <w:lang w:val="fr-CA"/>
        </w:rPr>
        <w:t> 175.</w:t>
      </w:r>
    </w:p>
    <w:p w:rsidR="00AF6697" w:rsidRPr="009F420B" w:rsidRDefault="00AF6697" w:rsidP="00AF6697">
      <w:pPr>
        <w:pStyle w:val="ParaNoNdepar-AltN"/>
        <w:rPr>
          <w:rFonts w:cs="Times New Roman"/>
          <w:lang w:val="fr-CA"/>
        </w:rPr>
      </w:pPr>
      <w:r w:rsidRPr="009F420B">
        <w:rPr>
          <w:rFonts w:cs="Times New Roman"/>
          <w:lang w:val="fr-CA"/>
        </w:rPr>
        <w:t>Le titre troisième se divise en deux chapitres</w:t>
      </w:r>
      <w:r>
        <w:rPr>
          <w:rFonts w:cs="Times New Roman"/>
          <w:lang w:val="fr-CA"/>
        </w:rPr>
        <w:t> :</w:t>
      </w:r>
      <w:r w:rsidRPr="009F420B">
        <w:rPr>
          <w:rFonts w:cs="Times New Roman"/>
          <w:lang w:val="fr-CA"/>
        </w:rPr>
        <w:t xml:space="preserve"> le chapitre premier (« Dispositions générales ») et le chapitre deuxième (« Dispositions particulières »). Comme la professeure Saumier l</w:t>
      </w:r>
      <w:r>
        <w:rPr>
          <w:rFonts w:cs="Times New Roman"/>
          <w:lang w:val="fr-CA"/>
        </w:rPr>
        <w:t>’</w:t>
      </w:r>
      <w:r w:rsidRPr="009F420B">
        <w:rPr>
          <w:rFonts w:cs="Times New Roman"/>
          <w:lang w:val="fr-CA"/>
        </w:rPr>
        <w:t>explique (</w:t>
      </w:r>
      <w:r>
        <w:rPr>
          <w:rFonts w:cs="Times New Roman"/>
          <w:lang w:val="fr-CA"/>
        </w:rPr>
        <w:t>p. </w:t>
      </w:r>
      <w:r w:rsidRPr="009F420B">
        <w:rPr>
          <w:rFonts w:cs="Times New Roman"/>
          <w:lang w:val="fr-CA"/>
        </w:rPr>
        <w:t>690), la compétence du tribunal étranger s</w:t>
      </w:r>
      <w:r>
        <w:rPr>
          <w:rFonts w:cs="Times New Roman"/>
          <w:lang w:val="fr-CA"/>
        </w:rPr>
        <w:t>’</w:t>
      </w:r>
      <w:r w:rsidRPr="009F420B">
        <w:rPr>
          <w:rFonts w:cs="Times New Roman"/>
          <w:lang w:val="fr-CA"/>
        </w:rPr>
        <w:t xml:space="preserve">apprécie en tenant compte des </w:t>
      </w:r>
      <w:r w:rsidRPr="009F420B">
        <w:rPr>
          <w:rFonts w:cs="Times New Roman"/>
          <w:i/>
          <w:lang w:val="fr-CA"/>
        </w:rPr>
        <w:t>deux</w:t>
      </w:r>
      <w:r w:rsidRPr="009F420B">
        <w:rPr>
          <w:rFonts w:cs="Times New Roman"/>
          <w:lang w:val="fr-CA"/>
        </w:rPr>
        <w:t xml:space="preserve"> chapitres</w:t>
      </w:r>
      <w:r>
        <w:rPr>
          <w:rFonts w:cs="Times New Roman"/>
          <w:lang w:val="fr-CA"/>
        </w:rPr>
        <w:t> :</w:t>
      </w:r>
    </w:p>
    <w:p w:rsidR="00AF6697" w:rsidRPr="009F420B" w:rsidRDefault="00AF6697" w:rsidP="00AF6697">
      <w:pPr>
        <w:pStyle w:val="Citation-AltC"/>
        <w:ind w:hanging="1166"/>
        <w:rPr>
          <w:smallCaps/>
          <w:lang w:val="fr-CA"/>
        </w:rPr>
      </w:pPr>
      <w:r>
        <w:rPr>
          <w:smallCaps/>
          <w:lang w:val="fr-CA"/>
        </w:rPr>
        <w:tab/>
      </w:r>
      <w:r>
        <w:rPr>
          <w:smallCaps/>
          <w:lang w:val="fr-CA"/>
        </w:rPr>
        <w:tab/>
      </w:r>
      <w:r w:rsidRPr="009F420B">
        <w:rPr>
          <w:smallCaps/>
          <w:lang w:val="fr-CA"/>
        </w:rPr>
        <w:t xml:space="preserve">[traduction] </w:t>
      </w:r>
      <w:r w:rsidRPr="009F420B">
        <w:rPr>
          <w:lang w:val="fr-CA"/>
        </w:rPr>
        <w:t>Lorsqu</w:t>
      </w:r>
      <w:r>
        <w:rPr>
          <w:lang w:val="fr-CA"/>
        </w:rPr>
        <w:t>’</w:t>
      </w:r>
      <w:r w:rsidRPr="009F420B">
        <w:rPr>
          <w:lang w:val="fr-CA"/>
        </w:rPr>
        <w:t>il s</w:t>
      </w:r>
      <w:r>
        <w:rPr>
          <w:lang w:val="fr-CA"/>
        </w:rPr>
        <w:t>’</w:t>
      </w:r>
      <w:r w:rsidRPr="009F420B">
        <w:rPr>
          <w:lang w:val="fr-CA"/>
        </w:rPr>
        <w:t>agit de vérifier la compétence du tribunal étranger, le principe du miroir consacré à l</w:t>
      </w:r>
      <w:r>
        <w:rPr>
          <w:lang w:val="fr-CA"/>
        </w:rPr>
        <w:t>’</w:t>
      </w:r>
      <w:r w:rsidRPr="009F420B">
        <w:rPr>
          <w:lang w:val="fr-CA"/>
        </w:rPr>
        <w:t>article 3164 renvoie au titre troisième. La mention de ce titre dans cette disposition n</w:t>
      </w:r>
      <w:r>
        <w:rPr>
          <w:lang w:val="fr-CA"/>
        </w:rPr>
        <w:t>’</w:t>
      </w:r>
      <w:r w:rsidRPr="009F420B">
        <w:rPr>
          <w:lang w:val="fr-CA"/>
        </w:rPr>
        <w:t>est assortie d</w:t>
      </w:r>
      <w:r>
        <w:rPr>
          <w:lang w:val="fr-CA"/>
        </w:rPr>
        <w:t>’</w:t>
      </w:r>
      <w:r w:rsidRPr="009F420B">
        <w:rPr>
          <w:lang w:val="fr-CA"/>
        </w:rPr>
        <w:t>aucun terme limitatif, ce qui permet de penser que la mention de la réciprocité vaut pour la totalité du titre troisième, soit tant pour ses dispositions générales que pour ses dispositions particulières. En d</w:t>
      </w:r>
      <w:r>
        <w:rPr>
          <w:lang w:val="fr-CA"/>
        </w:rPr>
        <w:t>’</w:t>
      </w:r>
      <w:r w:rsidRPr="009F420B">
        <w:rPr>
          <w:lang w:val="fr-CA"/>
        </w:rPr>
        <w:t>autres termes, si la compétence du tribunal étranger ne correspond à aucun des chefs de compétence expressément reconnus au chapitre deuxième du titre troisième, on peut recourir aux dispositions générales du chapitre premier de ce même titre.</w:t>
      </w:r>
    </w:p>
    <w:p w:rsidR="00AF6697" w:rsidRPr="009F420B" w:rsidRDefault="00AF6697" w:rsidP="00AF6697">
      <w:pPr>
        <w:pStyle w:val="ParaNoNdepar-AltN"/>
        <w:rPr>
          <w:rFonts w:cs="Times New Roman"/>
          <w:lang w:val="fr-CA"/>
        </w:rPr>
      </w:pPr>
      <w:r w:rsidRPr="009F420B">
        <w:rPr>
          <w:rFonts w:cs="Times New Roman"/>
          <w:lang w:val="fr-CA"/>
        </w:rPr>
        <w:lastRenderedPageBreak/>
        <w:t>(Je signale ici, car cela deviendra important plus loin, que le chapitre premier du titre troisième est constitué de sept articles qui énoncent les « dispositions générales » définissant la compétence internationale des tribunaux québécois. La première disposition énonce le critère général de compétence en droit international privé québécois</w:t>
      </w:r>
      <w:r>
        <w:rPr>
          <w:rFonts w:cs="Times New Roman"/>
          <w:lang w:val="fr-CA"/>
        </w:rPr>
        <w:t> :</w:t>
      </w:r>
      <w:r w:rsidRPr="009F420B">
        <w:rPr>
          <w:rFonts w:cs="Times New Roman"/>
          <w:lang w:val="fr-CA"/>
        </w:rPr>
        <w:t xml:space="preserve"> le domicile du défendeur</w:t>
      </w:r>
      <w:r>
        <w:rPr>
          <w:rFonts w:cs="Times New Roman"/>
          <w:lang w:val="fr-CA"/>
        </w:rPr>
        <w:t xml:space="preserve"> </w:t>
      </w:r>
      <w:r w:rsidRPr="009F420B">
        <w:rPr>
          <w:rFonts w:cs="Times New Roman"/>
          <w:lang w:val="fr-CA"/>
        </w:rPr>
        <w:t>(</w:t>
      </w:r>
      <w:r>
        <w:rPr>
          <w:rFonts w:cs="Times New Roman"/>
          <w:lang w:val="fr-CA"/>
        </w:rPr>
        <w:t>art. </w:t>
      </w:r>
      <w:r w:rsidRPr="009F420B">
        <w:rPr>
          <w:rFonts w:cs="Times New Roman"/>
          <w:lang w:val="fr-CA"/>
        </w:rPr>
        <w:t xml:space="preserve">3134 </w:t>
      </w:r>
      <w:r w:rsidRPr="009F420B">
        <w:rPr>
          <w:rFonts w:cs="Times New Roman"/>
          <w:i/>
          <w:lang w:val="fr-CA"/>
        </w:rPr>
        <w:t>C.c.Q.</w:t>
      </w:r>
      <w:r w:rsidRPr="009F420B">
        <w:rPr>
          <w:rFonts w:cs="Times New Roman"/>
          <w:lang w:val="fr-CA"/>
        </w:rPr>
        <w:t xml:space="preserve">). Cet article est suivi de deux autres, qui permettent au tribunal québécois, par ailleurs compétent, de décliner sa compétence pour cause de </w:t>
      </w:r>
      <w:r w:rsidRPr="009F420B">
        <w:rPr>
          <w:rFonts w:cs="Times New Roman"/>
          <w:i/>
          <w:lang w:val="fr-CA"/>
        </w:rPr>
        <w:t>forum non conveniens</w:t>
      </w:r>
      <w:r>
        <w:rPr>
          <w:rFonts w:cs="Times New Roman"/>
          <w:i/>
          <w:lang w:val="fr-CA"/>
        </w:rPr>
        <w:t xml:space="preserve"> </w:t>
      </w:r>
      <w:r w:rsidRPr="009F420B">
        <w:rPr>
          <w:rFonts w:cs="Times New Roman"/>
          <w:lang w:val="fr-CA"/>
        </w:rPr>
        <w:t>(</w:t>
      </w:r>
      <w:r>
        <w:rPr>
          <w:rFonts w:cs="Times New Roman"/>
          <w:lang w:val="fr-CA"/>
        </w:rPr>
        <w:t>art. </w:t>
      </w:r>
      <w:r w:rsidRPr="009F420B">
        <w:rPr>
          <w:rFonts w:cs="Times New Roman"/>
          <w:lang w:val="fr-CA"/>
        </w:rPr>
        <w:t xml:space="preserve">3135 </w:t>
      </w:r>
      <w:r w:rsidRPr="009F420B">
        <w:rPr>
          <w:rFonts w:cs="Times New Roman"/>
          <w:i/>
          <w:lang w:val="fr-CA"/>
        </w:rPr>
        <w:t>C.c.Q.</w:t>
      </w:r>
      <w:r w:rsidRPr="009F420B">
        <w:rPr>
          <w:rFonts w:cs="Times New Roman"/>
          <w:lang w:val="fr-CA"/>
        </w:rPr>
        <w:t>) ou de litispendance (</w:t>
      </w:r>
      <w:r>
        <w:rPr>
          <w:rFonts w:cs="Times New Roman"/>
          <w:lang w:val="fr-CA"/>
        </w:rPr>
        <w:t>art. </w:t>
      </w:r>
      <w:r w:rsidRPr="009F420B">
        <w:rPr>
          <w:rFonts w:cs="Times New Roman"/>
          <w:lang w:val="fr-CA"/>
        </w:rPr>
        <w:t xml:space="preserve">3137 </w:t>
      </w:r>
      <w:r w:rsidRPr="009F420B">
        <w:rPr>
          <w:rFonts w:cs="Times New Roman"/>
          <w:i/>
          <w:lang w:val="fr-CA"/>
        </w:rPr>
        <w:t>C.c.Q.</w:t>
      </w:r>
      <w:r w:rsidRPr="009F420B">
        <w:rPr>
          <w:rFonts w:cs="Times New Roman"/>
          <w:lang w:val="fr-CA"/>
        </w:rPr>
        <w:t>). Les quatre autres dispositions générales confèrent chacune une compétence exceptionnelle à l</w:t>
      </w:r>
      <w:r>
        <w:rPr>
          <w:rFonts w:cs="Times New Roman"/>
          <w:lang w:val="fr-CA"/>
        </w:rPr>
        <w:t>’</w:t>
      </w:r>
      <w:r w:rsidRPr="009F420B">
        <w:rPr>
          <w:rFonts w:cs="Times New Roman"/>
          <w:lang w:val="fr-CA"/>
        </w:rPr>
        <w:t>autorité québécoise pour cause de nécessité, de protection de biens ou de personnes, de commodité administrative ou de situation d</w:t>
      </w:r>
      <w:r>
        <w:rPr>
          <w:rFonts w:cs="Times New Roman"/>
          <w:lang w:val="fr-CA"/>
        </w:rPr>
        <w:t>’</w:t>
      </w:r>
      <w:r w:rsidRPr="009F420B">
        <w:rPr>
          <w:rFonts w:cs="Times New Roman"/>
          <w:lang w:val="fr-CA"/>
        </w:rPr>
        <w:t>urgence</w:t>
      </w:r>
      <w:r>
        <w:rPr>
          <w:rFonts w:cs="Times New Roman"/>
          <w:lang w:val="fr-CA"/>
        </w:rPr>
        <w:t> :</w:t>
      </w:r>
      <w:r w:rsidRPr="009F420B">
        <w:rPr>
          <w:rFonts w:cs="Times New Roman"/>
          <w:lang w:val="fr-CA"/>
        </w:rPr>
        <w:t xml:space="preserve"> </w:t>
      </w:r>
      <w:r>
        <w:rPr>
          <w:rFonts w:cs="Times New Roman"/>
          <w:lang w:val="fr-CA"/>
        </w:rPr>
        <w:t>art. </w:t>
      </w:r>
      <w:r w:rsidRPr="009F420B">
        <w:rPr>
          <w:rFonts w:cs="Times New Roman"/>
          <w:lang w:val="fr-CA"/>
        </w:rPr>
        <w:t xml:space="preserve">3136, 3138, 3139 et 3140 </w:t>
      </w:r>
      <w:r w:rsidRPr="009F420B">
        <w:rPr>
          <w:rFonts w:cs="Times New Roman"/>
          <w:i/>
          <w:lang w:val="fr-CA"/>
        </w:rPr>
        <w:t>C.c.Q.</w:t>
      </w:r>
      <w:r w:rsidRPr="009F420B">
        <w:rPr>
          <w:rFonts w:cs="Times New Roman"/>
          <w:lang w:val="fr-CA"/>
        </w:rPr>
        <w:t>, respectivement.</w:t>
      </w:r>
      <w:r w:rsidR="002F52C2">
        <w:rPr>
          <w:rFonts w:cs="Times New Roman"/>
          <w:lang w:val="fr-CA"/>
        </w:rPr>
        <w:t>)</w:t>
      </w:r>
      <w:r w:rsidRPr="009F420B">
        <w:rPr>
          <w:rFonts w:cs="Times New Roman"/>
          <w:lang w:val="fr-CA"/>
        </w:rPr>
        <w:t xml:space="preserve"> </w:t>
      </w:r>
    </w:p>
    <w:p w:rsidR="00AF6697" w:rsidRPr="009F420B" w:rsidRDefault="00AF6697" w:rsidP="00AF6697">
      <w:pPr>
        <w:pStyle w:val="ParaNoNdepar-AltN"/>
        <w:rPr>
          <w:rFonts w:cs="Times New Roman"/>
          <w:lang w:val="fr-CA"/>
        </w:rPr>
      </w:pPr>
      <w:r w:rsidRPr="009F420B">
        <w:rPr>
          <w:rFonts w:cs="Times New Roman"/>
          <w:lang w:val="fr-CA"/>
        </w:rPr>
        <w:t>La professeure Saumier poursuit (</w:t>
      </w:r>
      <w:r>
        <w:rPr>
          <w:rFonts w:cs="Times New Roman"/>
          <w:lang w:val="fr-CA"/>
        </w:rPr>
        <w:t>p. </w:t>
      </w:r>
      <w:r w:rsidRPr="009F420B">
        <w:rPr>
          <w:rFonts w:cs="Times New Roman"/>
          <w:lang w:val="fr-CA"/>
        </w:rPr>
        <w:t>691) en concluant que le chapitre premier du titre troisième entraîne deux conséquences différentes sur l</w:t>
      </w:r>
      <w:r>
        <w:rPr>
          <w:rFonts w:cs="Times New Roman"/>
          <w:lang w:val="fr-CA"/>
        </w:rPr>
        <w:t>’</w:t>
      </w:r>
      <w:r w:rsidRPr="009F420B">
        <w:rPr>
          <w:rFonts w:cs="Times New Roman"/>
          <w:lang w:val="fr-CA"/>
        </w:rPr>
        <w:t>analyse de l</w:t>
      </w:r>
      <w:r>
        <w:rPr>
          <w:rFonts w:cs="Times New Roman"/>
          <w:lang w:val="fr-CA"/>
        </w:rPr>
        <w:t>’art. </w:t>
      </w:r>
      <w:r w:rsidRPr="009F420B">
        <w:rPr>
          <w:rFonts w:cs="Times New Roman"/>
          <w:lang w:val="fr-CA"/>
        </w:rPr>
        <w:t xml:space="preserve">3164 </w:t>
      </w:r>
      <w:r w:rsidRPr="009F420B">
        <w:rPr>
          <w:rFonts w:cs="Times New Roman"/>
          <w:i/>
          <w:lang w:val="fr-CA"/>
        </w:rPr>
        <w:t>C.c.Q.</w:t>
      </w:r>
      <w:r>
        <w:rPr>
          <w:rFonts w:cs="Times New Roman"/>
          <w:lang w:val="fr-CA"/>
        </w:rPr>
        <w:t> :</w:t>
      </w:r>
      <w:r w:rsidRPr="009F420B">
        <w:rPr>
          <w:rFonts w:cs="Times New Roman"/>
          <w:lang w:val="fr-CA"/>
        </w:rPr>
        <w:t xml:space="preserve"> en premier lieu, il permet au tribunal québécois de refuser de reconnaître le jugement étranger au motif que le tribunal d</w:t>
      </w:r>
      <w:r>
        <w:rPr>
          <w:rFonts w:cs="Times New Roman"/>
          <w:lang w:val="fr-CA"/>
        </w:rPr>
        <w:t>’</w:t>
      </w:r>
      <w:r w:rsidRPr="009F420B">
        <w:rPr>
          <w:rFonts w:cs="Times New Roman"/>
          <w:lang w:val="fr-CA"/>
        </w:rPr>
        <w:t>origine aurait dû décliner sa compétence et, en second lieu, il a pour effet d</w:t>
      </w:r>
      <w:r>
        <w:rPr>
          <w:rFonts w:cs="Times New Roman"/>
          <w:lang w:val="fr-CA"/>
        </w:rPr>
        <w:t>’</w:t>
      </w:r>
      <w:r w:rsidRPr="009F420B">
        <w:rPr>
          <w:rFonts w:cs="Times New Roman"/>
          <w:lang w:val="fr-CA"/>
        </w:rPr>
        <w:t>étendre la compétence reconnue de l</w:t>
      </w:r>
      <w:r>
        <w:rPr>
          <w:rFonts w:cs="Times New Roman"/>
          <w:lang w:val="fr-CA"/>
        </w:rPr>
        <w:t>’</w:t>
      </w:r>
      <w:r w:rsidRPr="009F420B">
        <w:rPr>
          <w:rFonts w:cs="Times New Roman"/>
          <w:lang w:val="fr-CA"/>
        </w:rPr>
        <w:t>autorité étrangère au</w:t>
      </w:r>
      <w:r>
        <w:rPr>
          <w:rFonts w:cs="Times New Roman"/>
          <w:lang w:val="fr-CA"/>
        </w:rPr>
        <w:noBreakHyphen/>
      </w:r>
      <w:r w:rsidRPr="009F420B">
        <w:rPr>
          <w:rFonts w:cs="Times New Roman"/>
          <w:lang w:val="fr-CA"/>
        </w:rPr>
        <w:t>delà de celle prévue au titre quatrième. Je vais maintenant examiner chacune de ces conséquences sur l</w:t>
      </w:r>
      <w:r>
        <w:rPr>
          <w:rFonts w:cs="Times New Roman"/>
          <w:lang w:val="fr-CA"/>
        </w:rPr>
        <w:t>’</w:t>
      </w:r>
      <w:r w:rsidRPr="009F420B">
        <w:rPr>
          <w:rFonts w:cs="Times New Roman"/>
          <w:lang w:val="fr-CA"/>
        </w:rPr>
        <w:t>interprétation qu</w:t>
      </w:r>
      <w:r>
        <w:rPr>
          <w:rFonts w:cs="Times New Roman"/>
          <w:lang w:val="fr-CA"/>
        </w:rPr>
        <w:t>’</w:t>
      </w:r>
      <w:r w:rsidRPr="009F420B">
        <w:rPr>
          <w:rFonts w:cs="Times New Roman"/>
          <w:lang w:val="fr-CA"/>
        </w:rPr>
        <w:t>il convient de donner de la mention générale du titre troisième qui figure à l</w:t>
      </w:r>
      <w:r>
        <w:rPr>
          <w:rFonts w:cs="Times New Roman"/>
          <w:lang w:val="fr-CA"/>
        </w:rPr>
        <w:t>’art. </w:t>
      </w:r>
      <w:r w:rsidRPr="009F420B">
        <w:rPr>
          <w:rFonts w:cs="Times New Roman"/>
          <w:lang w:val="fr-CA"/>
        </w:rPr>
        <w:t xml:space="preserve">3164 </w:t>
      </w:r>
      <w:r w:rsidRPr="009F420B">
        <w:rPr>
          <w:rFonts w:cs="Times New Roman"/>
          <w:i/>
          <w:lang w:val="fr-CA"/>
        </w:rPr>
        <w:t>C.c.Q.</w:t>
      </w:r>
    </w:p>
    <w:p w:rsidR="00AF6697" w:rsidRPr="009F420B" w:rsidRDefault="00AF6697" w:rsidP="00DE5D44">
      <w:pPr>
        <w:pStyle w:val="Title4LevelTitre4Niveau"/>
        <w:jc w:val="both"/>
        <w:rPr>
          <w:lang w:val="fr-CA"/>
        </w:rPr>
      </w:pPr>
      <w:bookmarkStart w:id="9" w:name="_Toc528239568"/>
      <w:r w:rsidRPr="009F420B">
        <w:rPr>
          <w:lang w:val="fr-CA"/>
        </w:rPr>
        <w:t>Refus de reconnaître la compétence du tribunal étranger au motif qu</w:t>
      </w:r>
      <w:r>
        <w:rPr>
          <w:lang w:val="fr-CA"/>
        </w:rPr>
        <w:t>’</w:t>
      </w:r>
      <w:r w:rsidRPr="009F420B">
        <w:rPr>
          <w:lang w:val="fr-CA"/>
        </w:rPr>
        <w:t xml:space="preserve">il aurait dû </w:t>
      </w:r>
      <w:bookmarkEnd w:id="9"/>
      <w:r w:rsidRPr="009F420B">
        <w:rPr>
          <w:lang w:val="fr-CA"/>
        </w:rPr>
        <w:t>décliner sa compétence</w:t>
      </w:r>
    </w:p>
    <w:p w:rsidR="00AF6697" w:rsidRPr="009F420B" w:rsidRDefault="00AF6697" w:rsidP="00AF6697">
      <w:pPr>
        <w:pStyle w:val="ParaNoNdepar-AltN"/>
        <w:tabs>
          <w:tab w:val="clear" w:pos="1166"/>
          <w:tab w:val="num" w:pos="1152"/>
        </w:tabs>
        <w:rPr>
          <w:rFonts w:cs="Times New Roman"/>
          <w:lang w:val="fr-CA"/>
        </w:rPr>
      </w:pPr>
      <w:r w:rsidRPr="009F420B">
        <w:rPr>
          <w:rFonts w:cs="Times New Roman"/>
          <w:szCs w:val="24"/>
          <w:lang w:val="fr-CA"/>
        </w:rPr>
        <w:t>Dans l</w:t>
      </w:r>
      <w:r>
        <w:rPr>
          <w:rFonts w:cs="Times New Roman"/>
          <w:szCs w:val="24"/>
          <w:lang w:val="fr-CA"/>
        </w:rPr>
        <w:t>’</w:t>
      </w:r>
      <w:r w:rsidRPr="009F420B">
        <w:rPr>
          <w:rFonts w:cs="Times New Roman"/>
          <w:szCs w:val="24"/>
          <w:lang w:val="fr-CA"/>
        </w:rPr>
        <w:t xml:space="preserve">affaire </w:t>
      </w:r>
      <w:r w:rsidRPr="009F420B">
        <w:rPr>
          <w:rFonts w:cs="Times New Roman"/>
          <w:i/>
          <w:szCs w:val="24"/>
          <w:lang w:val="fr-CA"/>
        </w:rPr>
        <w:t>Lépine</w:t>
      </w:r>
      <w:r w:rsidRPr="009F420B">
        <w:rPr>
          <w:rFonts w:cs="Times New Roman"/>
          <w:szCs w:val="24"/>
          <w:lang w:val="fr-CA"/>
        </w:rPr>
        <w:t xml:space="preserve">, la Cour était appelée à décider si « [l]es </w:t>
      </w:r>
      <w:r w:rsidRPr="009F420B">
        <w:rPr>
          <w:rFonts w:cs="Times New Roman"/>
          <w:lang w:val="fr-CA"/>
        </w:rPr>
        <w:t xml:space="preserve">règles de compétence contenues aux </w:t>
      </w:r>
      <w:r>
        <w:rPr>
          <w:rFonts w:cs="Times New Roman"/>
          <w:lang w:val="fr-CA"/>
        </w:rPr>
        <w:t>art. </w:t>
      </w:r>
      <w:r w:rsidRPr="009F420B">
        <w:rPr>
          <w:rFonts w:cs="Times New Roman"/>
          <w:lang w:val="fr-CA"/>
        </w:rPr>
        <w:t xml:space="preserve">3164 à 3168 incorporent [. . .] par renvoi au titre </w:t>
      </w:r>
      <w:r w:rsidRPr="009F420B">
        <w:rPr>
          <w:rFonts w:cs="Times New Roman"/>
          <w:lang w:val="fr-CA"/>
        </w:rPr>
        <w:lastRenderedPageBreak/>
        <w:t xml:space="preserve">troisième la doctrine du </w:t>
      </w:r>
      <w:r w:rsidRPr="009F420B">
        <w:rPr>
          <w:rFonts w:cs="Times New Roman"/>
          <w:i/>
          <w:iCs/>
          <w:lang w:val="fr-CA"/>
        </w:rPr>
        <w:t>forum non conveniens</w:t>
      </w:r>
      <w:r w:rsidRPr="009F420B">
        <w:rPr>
          <w:rFonts w:cs="Times New Roman"/>
          <w:lang w:val="fr-CA"/>
        </w:rPr>
        <w:t> »</w:t>
      </w:r>
      <w:r>
        <w:rPr>
          <w:rFonts w:cs="Times New Roman"/>
          <w:szCs w:val="24"/>
          <w:lang w:val="fr-CA"/>
        </w:rPr>
        <w:t> :</w:t>
      </w:r>
      <w:r w:rsidRPr="009F420B">
        <w:rPr>
          <w:rFonts w:cs="Times New Roman"/>
          <w:szCs w:val="24"/>
          <w:lang w:val="fr-CA"/>
        </w:rPr>
        <w:t xml:space="preserve"> </w:t>
      </w:r>
      <w:r>
        <w:rPr>
          <w:rFonts w:cs="Times New Roman"/>
          <w:szCs w:val="24"/>
          <w:lang w:val="fr-CA"/>
        </w:rPr>
        <w:t>par. </w:t>
      </w:r>
      <w:r w:rsidRPr="009F420B">
        <w:rPr>
          <w:rFonts w:cs="Times New Roman"/>
          <w:szCs w:val="24"/>
          <w:lang w:val="fr-CA"/>
        </w:rPr>
        <w:t>27. Plus précisément, la Cour devait déterminer si « </w:t>
      </w:r>
      <w:r w:rsidR="00040FD2">
        <w:rPr>
          <w:rFonts w:cs="Times New Roman"/>
          <w:szCs w:val="24"/>
          <w:lang w:val="fr-CA"/>
        </w:rPr>
        <w:t>[</w:t>
      </w:r>
      <w:r w:rsidRPr="009F420B">
        <w:rPr>
          <w:rFonts w:cs="Times New Roman"/>
          <w:szCs w:val="24"/>
          <w:lang w:val="fr-CA"/>
        </w:rPr>
        <w:t>l</w:t>
      </w:r>
      <w:r w:rsidR="00040FD2">
        <w:rPr>
          <w:rFonts w:cs="Times New Roman"/>
          <w:szCs w:val="24"/>
          <w:lang w:val="fr-CA"/>
        </w:rPr>
        <w:t>]</w:t>
      </w:r>
      <w:r w:rsidRPr="009F420B">
        <w:rPr>
          <w:rFonts w:cs="Times New Roman"/>
          <w:szCs w:val="24"/>
          <w:lang w:val="fr-CA"/>
        </w:rPr>
        <w:t xml:space="preserve">e </w:t>
      </w:r>
      <w:r w:rsidRPr="009F420B">
        <w:rPr>
          <w:rFonts w:cs="Times New Roman"/>
          <w:lang w:val="fr-CA"/>
        </w:rPr>
        <w:t>tribunal québécois [peut] refuser de reconnaître un jugement rendu à l</w:t>
      </w:r>
      <w:r>
        <w:rPr>
          <w:rFonts w:cs="Times New Roman"/>
          <w:lang w:val="fr-CA"/>
        </w:rPr>
        <w:t>’</w:t>
      </w:r>
      <w:r w:rsidRPr="009F420B">
        <w:rPr>
          <w:rFonts w:cs="Times New Roman"/>
          <w:lang w:val="fr-CA"/>
        </w:rPr>
        <w:t>extérieur du Québec parce que, selon lui, le tribunal étranger aurait dû se dessaisir du litige »</w:t>
      </w:r>
      <w:r>
        <w:rPr>
          <w:rFonts w:cs="Times New Roman"/>
          <w:szCs w:val="24"/>
          <w:lang w:val="fr-CA"/>
        </w:rPr>
        <w:t> :</w:t>
      </w:r>
      <w:r w:rsidRPr="009F420B">
        <w:rPr>
          <w:rFonts w:cs="Times New Roman"/>
          <w:szCs w:val="24"/>
          <w:lang w:val="fr-CA"/>
        </w:rPr>
        <w:t> </w:t>
      </w:r>
      <w:r>
        <w:rPr>
          <w:rFonts w:cs="Times New Roman"/>
          <w:szCs w:val="24"/>
          <w:lang w:val="fr-CA"/>
        </w:rPr>
        <w:t>par. </w:t>
      </w:r>
      <w:r w:rsidRPr="009F420B">
        <w:rPr>
          <w:rFonts w:cs="Times New Roman"/>
          <w:szCs w:val="24"/>
          <w:lang w:val="fr-CA"/>
        </w:rPr>
        <w:t>27</w:t>
      </w:r>
      <w:r w:rsidRPr="009F420B">
        <w:rPr>
          <w:rFonts w:cs="Times New Roman"/>
          <w:i/>
          <w:szCs w:val="24"/>
          <w:lang w:val="fr-CA"/>
        </w:rPr>
        <w:t>.</w:t>
      </w:r>
      <w:r w:rsidRPr="009F420B">
        <w:rPr>
          <w:rFonts w:cs="Times New Roman"/>
          <w:szCs w:val="24"/>
          <w:lang w:val="fr-CA"/>
        </w:rPr>
        <w:t xml:space="preserve"> La Cour a répondu par la négative à cette question, même si « le libellé très large du renvoi au titre troisième figurant à l</w:t>
      </w:r>
      <w:r>
        <w:rPr>
          <w:rFonts w:cs="Times New Roman"/>
          <w:szCs w:val="24"/>
          <w:lang w:val="fr-CA"/>
        </w:rPr>
        <w:t>’art. </w:t>
      </w:r>
      <w:r w:rsidRPr="009F420B">
        <w:rPr>
          <w:rFonts w:cs="Times New Roman"/>
          <w:szCs w:val="24"/>
          <w:lang w:val="fr-CA"/>
        </w:rPr>
        <w:t xml:space="preserve">3164 </w:t>
      </w:r>
      <w:r w:rsidRPr="009F420B">
        <w:rPr>
          <w:rFonts w:cs="Times New Roman"/>
          <w:i/>
          <w:szCs w:val="24"/>
          <w:lang w:val="fr-CA"/>
        </w:rPr>
        <w:t>C.c.Q.</w:t>
      </w:r>
      <w:r w:rsidRPr="009F420B">
        <w:rPr>
          <w:rFonts w:cs="Times New Roman"/>
          <w:szCs w:val="24"/>
          <w:lang w:val="fr-CA"/>
        </w:rPr>
        <w:t xml:space="preserve"> invite à première vue à cette application </w:t>
      </w:r>
      <w:r w:rsidRPr="009F420B">
        <w:rPr>
          <w:rFonts w:cs="Times New Roman"/>
          <w:lang w:val="fr-CA"/>
        </w:rPr>
        <w:t>»</w:t>
      </w:r>
      <w:r>
        <w:rPr>
          <w:rFonts w:cs="Times New Roman"/>
          <w:lang w:val="fr-CA"/>
        </w:rPr>
        <w:t> :</w:t>
      </w:r>
      <w:r w:rsidRPr="009F420B">
        <w:rPr>
          <w:rFonts w:cs="Times New Roman"/>
          <w:lang w:val="fr-CA"/>
        </w:rPr>
        <w:t xml:space="preserve"> </w:t>
      </w:r>
      <w:r>
        <w:rPr>
          <w:rFonts w:cs="Times New Roman"/>
          <w:szCs w:val="24"/>
          <w:lang w:val="fr-CA"/>
        </w:rPr>
        <w:t>par. </w:t>
      </w:r>
      <w:r w:rsidRPr="009F420B">
        <w:rPr>
          <w:rFonts w:cs="Times New Roman"/>
          <w:szCs w:val="24"/>
          <w:lang w:val="fr-CA"/>
        </w:rPr>
        <w:t>34. Comme la Cour l</w:t>
      </w:r>
      <w:r>
        <w:rPr>
          <w:rFonts w:cs="Times New Roman"/>
          <w:szCs w:val="24"/>
          <w:lang w:val="fr-CA"/>
        </w:rPr>
        <w:t>’</w:t>
      </w:r>
      <w:r w:rsidRPr="009F420B">
        <w:rPr>
          <w:rFonts w:cs="Times New Roman"/>
          <w:szCs w:val="24"/>
          <w:lang w:val="fr-CA"/>
        </w:rPr>
        <w:t>a cependant expliqué (</w:t>
      </w:r>
      <w:r>
        <w:rPr>
          <w:rFonts w:cs="Times New Roman"/>
          <w:szCs w:val="24"/>
          <w:lang w:val="fr-CA"/>
        </w:rPr>
        <w:t>par. </w:t>
      </w:r>
      <w:r w:rsidRPr="009F420B">
        <w:rPr>
          <w:rFonts w:cs="Times New Roman"/>
          <w:szCs w:val="24"/>
          <w:lang w:val="fr-CA"/>
        </w:rPr>
        <w:t>34 et 36)</w:t>
      </w:r>
      <w:r>
        <w:rPr>
          <w:rFonts w:cs="Times New Roman"/>
          <w:szCs w:val="24"/>
          <w:lang w:val="fr-CA"/>
        </w:rPr>
        <w:t> :</w:t>
      </w:r>
      <w:r w:rsidRPr="009F420B">
        <w:rPr>
          <w:rFonts w:cs="Times New Roman"/>
          <w:szCs w:val="24"/>
          <w:lang w:val="fr-CA"/>
        </w:rPr>
        <w:t xml:space="preserve"> </w:t>
      </w:r>
    </w:p>
    <w:p w:rsidR="00AF6697" w:rsidRPr="00DE5D44" w:rsidRDefault="00AF6697" w:rsidP="00AF6697">
      <w:pPr>
        <w:pStyle w:val="Citation-AltC"/>
        <w:spacing w:after="240"/>
        <w:ind w:left="1168" w:hanging="1168"/>
        <w:contextualSpacing w:val="0"/>
        <w:rPr>
          <w:lang w:val="fr-CA"/>
        </w:rPr>
      </w:pPr>
      <w:r w:rsidRPr="00376623">
        <w:rPr>
          <w:lang w:val="fr-CA"/>
        </w:rPr>
        <w:tab/>
      </w:r>
      <w:r w:rsidRPr="009F420B">
        <w:rPr>
          <w:u w:val="single"/>
          <w:lang w:val="fr-CA"/>
        </w:rPr>
        <w:t>L</w:t>
      </w:r>
      <w:r>
        <w:rPr>
          <w:u w:val="single"/>
          <w:lang w:val="fr-CA"/>
        </w:rPr>
        <w:t>’</w:t>
      </w:r>
      <w:r w:rsidRPr="009F420B">
        <w:rPr>
          <w:i/>
          <w:iCs/>
          <w:u w:val="single"/>
          <w:lang w:val="fr-CA"/>
        </w:rPr>
        <w:t xml:space="preserve">exequatur </w:t>
      </w:r>
      <w:r w:rsidRPr="009F420B">
        <w:rPr>
          <w:u w:val="single"/>
          <w:lang w:val="fr-CA"/>
        </w:rPr>
        <w:t>du tribunal québécois dépend de l</w:t>
      </w:r>
      <w:r>
        <w:rPr>
          <w:u w:val="single"/>
          <w:lang w:val="fr-CA"/>
        </w:rPr>
        <w:t>’</w:t>
      </w:r>
      <w:r w:rsidRPr="009F420B">
        <w:rPr>
          <w:u w:val="single"/>
          <w:lang w:val="fr-CA"/>
        </w:rPr>
        <w:t>existence de la compétence du tribunal étranger, et non des modalités de l</w:t>
      </w:r>
      <w:r>
        <w:rPr>
          <w:u w:val="single"/>
          <w:lang w:val="fr-CA"/>
        </w:rPr>
        <w:t>’</w:t>
      </w:r>
      <w:r w:rsidRPr="009F420B">
        <w:rPr>
          <w:u w:val="single"/>
          <w:lang w:val="fr-CA"/>
        </w:rPr>
        <w:t>exercice de celle</w:t>
      </w:r>
      <w:r>
        <w:rPr>
          <w:u w:val="single"/>
          <w:lang w:val="fr-CA"/>
        </w:rPr>
        <w:noBreakHyphen/>
      </w:r>
      <w:r w:rsidRPr="009F420B">
        <w:rPr>
          <w:u w:val="single"/>
          <w:lang w:val="fr-CA"/>
        </w:rPr>
        <w:t xml:space="preserve">ci, hormis les exceptions prévues </w:t>
      </w:r>
      <w:r w:rsidRPr="00DE5D44">
        <w:rPr>
          <w:u w:val="single"/>
          <w:lang w:val="fr-CA"/>
        </w:rPr>
        <w:t xml:space="preserve">par le </w:t>
      </w:r>
      <w:r w:rsidRPr="00DE5D44">
        <w:rPr>
          <w:rStyle w:val="Hyperlink"/>
          <w:i/>
          <w:iCs/>
          <w:color w:val="auto"/>
          <w:lang w:val="fr-CA"/>
        </w:rPr>
        <w:t>Code civil du Québec</w:t>
      </w:r>
      <w:r w:rsidRPr="00DE5D44">
        <w:rPr>
          <w:u w:val="single"/>
          <w:lang w:val="fr-CA"/>
        </w:rPr>
        <w:t>.</w:t>
      </w:r>
      <w:r w:rsidRPr="00DE5D44">
        <w:rPr>
          <w:lang w:val="fr-CA"/>
        </w:rPr>
        <w:t xml:space="preserve"> Le recours au </w:t>
      </w:r>
      <w:r w:rsidRPr="00DE5D44">
        <w:rPr>
          <w:i/>
          <w:iCs/>
          <w:lang w:val="fr-CA"/>
        </w:rPr>
        <w:t>forum non conveniens</w:t>
      </w:r>
      <w:r w:rsidRPr="00DE5D44">
        <w:rPr>
          <w:lang w:val="fr-CA"/>
        </w:rPr>
        <w:t xml:space="preserve"> dans ce contexte fait fi de </w:t>
      </w:r>
      <w:r w:rsidRPr="00DE5D44">
        <w:rPr>
          <w:u w:val="single"/>
          <w:lang w:val="fr-CA"/>
        </w:rPr>
        <w:t>la distinction de base entre la détermination de la compétence proprement dite et son exercice</w:t>
      </w:r>
      <w:r w:rsidRPr="00DE5D44">
        <w:rPr>
          <w:lang w:val="fr-CA"/>
        </w:rPr>
        <w:t xml:space="preserve">. </w:t>
      </w:r>
    </w:p>
    <w:p w:rsidR="00AF6697" w:rsidRPr="00DE5D44" w:rsidRDefault="002F52C2" w:rsidP="00AF6697">
      <w:pPr>
        <w:pStyle w:val="Citation-AltC"/>
        <w:spacing w:after="240"/>
        <w:ind w:left="1168" w:hanging="1168"/>
        <w:contextualSpacing w:val="0"/>
        <w:jc w:val="center"/>
        <w:rPr>
          <w:lang w:val="fr-CA"/>
        </w:rPr>
      </w:pPr>
      <w:r w:rsidRPr="00DE5D44">
        <w:rPr>
          <w:lang w:val="fr-CA"/>
        </w:rPr>
        <w:tab/>
      </w:r>
      <w:r w:rsidR="00AF6697" w:rsidRPr="00DE5D44">
        <w:rPr>
          <w:lang w:val="fr-CA"/>
        </w:rPr>
        <w:t>. . .</w:t>
      </w:r>
    </w:p>
    <w:p w:rsidR="00AF6697" w:rsidRPr="009F420B" w:rsidRDefault="00AF6697" w:rsidP="00617DAB">
      <w:pPr>
        <w:pStyle w:val="Citation-AltC"/>
        <w:tabs>
          <w:tab w:val="left" w:pos="1620"/>
        </w:tabs>
        <w:ind w:hanging="1166"/>
        <w:rPr>
          <w:lang w:val="fr-CA"/>
        </w:rPr>
      </w:pPr>
      <w:r w:rsidRPr="00DE5D44">
        <w:rPr>
          <w:lang w:val="fr-CA"/>
        </w:rPr>
        <w:tab/>
      </w:r>
      <w:r w:rsidR="00617DAB">
        <w:rPr>
          <w:lang w:val="fr-CA"/>
        </w:rPr>
        <w:tab/>
        <w:t xml:space="preserve">. . . </w:t>
      </w:r>
      <w:r w:rsidRPr="00DE5D44">
        <w:rPr>
          <w:lang w:val="fr-CA"/>
        </w:rPr>
        <w:t xml:space="preserve">L’arrêt de la Cour d’appel ajoute un élément non pertinent à l’analyse de la compétence du tribunal étranger : la doctrine du </w:t>
      </w:r>
      <w:r w:rsidRPr="00DE5D44">
        <w:rPr>
          <w:i/>
          <w:iCs/>
          <w:lang w:val="fr-CA"/>
        </w:rPr>
        <w:t xml:space="preserve">forum non conveniens. </w:t>
      </w:r>
      <w:r w:rsidRPr="00DE5D44">
        <w:rPr>
          <w:lang w:val="fr-CA"/>
        </w:rPr>
        <w:t xml:space="preserve">Cette approche introduit ainsi un élément d’instabilité et d’imprévisibilité qui s’accorde mal avec l’attitude en principe favorable à la reconnaissance des jugements étrangers ou externes qu’expriment les dispositions du </w:t>
      </w:r>
      <w:r w:rsidRPr="00DE5D44">
        <w:rPr>
          <w:rStyle w:val="Hyperlink"/>
          <w:i/>
          <w:iCs/>
          <w:color w:val="auto"/>
          <w:u w:val="none"/>
          <w:lang w:val="fr-CA"/>
        </w:rPr>
        <w:t>Code</w:t>
      </w:r>
      <w:r w:rsidRPr="00DE5D44">
        <w:rPr>
          <w:rStyle w:val="Hyperlink"/>
          <w:i/>
          <w:iCs/>
          <w:color w:val="auto"/>
          <w:lang w:val="fr-CA"/>
        </w:rPr>
        <w:t xml:space="preserve"> </w:t>
      </w:r>
      <w:r w:rsidRPr="00DE5D44">
        <w:rPr>
          <w:rStyle w:val="Hyperlink"/>
          <w:i/>
          <w:iCs/>
          <w:color w:val="auto"/>
          <w:u w:val="none"/>
          <w:lang w:val="fr-CA"/>
        </w:rPr>
        <w:t>civil</w:t>
      </w:r>
      <w:r w:rsidRPr="00DE5D44">
        <w:rPr>
          <w:lang w:val="fr-CA"/>
        </w:rPr>
        <w:t>. Elle ne respecte guère les principes de courtoisie internationale et les objectifs de facilitation des échanges internationaux et interprovinciaux qui sous</w:t>
      </w:r>
      <w:r w:rsidRPr="00DE5D44">
        <w:rPr>
          <w:lang w:val="fr-CA"/>
        </w:rPr>
        <w:noBreakHyphen/>
        <w:t xml:space="preserve">tendent les dispositions du </w:t>
      </w:r>
      <w:r w:rsidRPr="00DE5D44">
        <w:rPr>
          <w:rStyle w:val="Hyperlink"/>
          <w:i/>
          <w:iCs/>
          <w:color w:val="auto"/>
          <w:u w:val="none"/>
          <w:lang w:val="fr-CA"/>
        </w:rPr>
        <w:t>Code civil</w:t>
      </w:r>
      <w:r w:rsidRPr="00DE5D44">
        <w:rPr>
          <w:lang w:val="fr-CA"/>
        </w:rPr>
        <w:t xml:space="preserve"> sur </w:t>
      </w:r>
      <w:r w:rsidRPr="009F420B">
        <w:rPr>
          <w:lang w:val="fr-CA"/>
        </w:rPr>
        <w:t>la reconnaissance des jugements étrangers. En somme, même dans le cas où il a recours à la règle générale prévue à l</w:t>
      </w:r>
      <w:r>
        <w:rPr>
          <w:lang w:val="fr-CA"/>
        </w:rPr>
        <w:t>’art. </w:t>
      </w:r>
      <w:r w:rsidRPr="009F420B">
        <w:rPr>
          <w:lang w:val="fr-CA"/>
        </w:rPr>
        <w:t>3164, le tribunal de l</w:t>
      </w:r>
      <w:r>
        <w:rPr>
          <w:lang w:val="fr-CA"/>
        </w:rPr>
        <w:t>’</w:t>
      </w:r>
      <w:r w:rsidRPr="009F420B">
        <w:rPr>
          <w:i/>
          <w:iCs/>
          <w:lang w:val="fr-CA"/>
        </w:rPr>
        <w:t>exequatur</w:t>
      </w:r>
      <w:r w:rsidRPr="009F420B">
        <w:rPr>
          <w:lang w:val="fr-CA"/>
        </w:rPr>
        <w:t xml:space="preserve"> ne peut s</w:t>
      </w:r>
      <w:r>
        <w:rPr>
          <w:lang w:val="fr-CA"/>
        </w:rPr>
        <w:t>’</w:t>
      </w:r>
      <w:r w:rsidRPr="009F420B">
        <w:rPr>
          <w:lang w:val="fr-CA"/>
        </w:rPr>
        <w:t>appuyer sur une doctrine incompatible avec la procédure de reconnaissance. [Je souligne.]</w:t>
      </w:r>
    </w:p>
    <w:p w:rsidR="00AF6697" w:rsidRPr="009F420B" w:rsidRDefault="00AF6697" w:rsidP="00AF6697">
      <w:pPr>
        <w:pStyle w:val="Title4LevelTitre4Niveau"/>
        <w:jc w:val="both"/>
        <w:rPr>
          <w:rFonts w:cs="Times New Roman"/>
          <w:lang w:val="fr-CA"/>
        </w:rPr>
      </w:pPr>
      <w:bookmarkStart w:id="10" w:name="_Toc528239569"/>
      <w:r w:rsidRPr="009F420B">
        <w:rPr>
          <w:rFonts w:cs="Times New Roman"/>
          <w:lang w:val="fr-CA"/>
        </w:rPr>
        <w:t xml:space="preserve">Extension de la compétence reconnue </w:t>
      </w:r>
      <w:bookmarkEnd w:id="10"/>
      <w:r w:rsidRPr="009F420B">
        <w:rPr>
          <w:rFonts w:cs="Times New Roman"/>
          <w:lang w:val="fr-CA"/>
        </w:rPr>
        <w:t>de l</w:t>
      </w:r>
      <w:r>
        <w:rPr>
          <w:rFonts w:cs="Times New Roman"/>
          <w:lang w:val="fr-CA"/>
        </w:rPr>
        <w:t>’</w:t>
      </w:r>
      <w:r w:rsidRPr="009F420B">
        <w:rPr>
          <w:rFonts w:cs="Times New Roman"/>
          <w:lang w:val="fr-CA"/>
        </w:rPr>
        <w:t>autorité étrangère au</w:t>
      </w:r>
      <w:r>
        <w:rPr>
          <w:rFonts w:cs="Times New Roman"/>
          <w:lang w:val="fr-CA"/>
        </w:rPr>
        <w:noBreakHyphen/>
      </w:r>
      <w:r w:rsidRPr="009F420B">
        <w:rPr>
          <w:rFonts w:cs="Times New Roman"/>
          <w:lang w:val="fr-CA"/>
        </w:rPr>
        <w:t>delà de celle prévue au titre quatrième</w:t>
      </w:r>
    </w:p>
    <w:p w:rsidR="00AF6697" w:rsidRPr="009F420B" w:rsidRDefault="00AF6697" w:rsidP="00AF6697">
      <w:pPr>
        <w:pStyle w:val="ParaNoNdepar-AltN"/>
        <w:rPr>
          <w:rFonts w:cs="Times New Roman"/>
          <w:lang w:val="fr-CA"/>
        </w:rPr>
      </w:pPr>
      <w:r w:rsidRPr="009F420B">
        <w:rPr>
          <w:rFonts w:cs="Times New Roman"/>
          <w:lang w:val="fr-CA"/>
        </w:rPr>
        <w:t>En revanche, toujours dans l</w:t>
      </w:r>
      <w:r>
        <w:rPr>
          <w:rFonts w:cs="Times New Roman"/>
          <w:lang w:val="fr-CA"/>
        </w:rPr>
        <w:t>’</w:t>
      </w:r>
      <w:r w:rsidRPr="009F420B">
        <w:rPr>
          <w:rFonts w:cs="Times New Roman"/>
          <w:lang w:val="fr-CA"/>
        </w:rPr>
        <w:t xml:space="preserve">arrêt </w:t>
      </w:r>
      <w:r w:rsidRPr="009F420B">
        <w:rPr>
          <w:rFonts w:cs="Times New Roman"/>
          <w:i/>
          <w:lang w:val="fr-CA"/>
        </w:rPr>
        <w:t>Lépine</w:t>
      </w:r>
      <w:r w:rsidRPr="009F420B">
        <w:rPr>
          <w:rFonts w:cs="Times New Roman"/>
          <w:lang w:val="fr-CA"/>
        </w:rPr>
        <w:t>, la Cour a expressément laissé la porte ouverte à l</w:t>
      </w:r>
      <w:r>
        <w:rPr>
          <w:rFonts w:cs="Times New Roman"/>
          <w:lang w:val="fr-CA"/>
        </w:rPr>
        <w:t>’</w:t>
      </w:r>
      <w:r w:rsidRPr="009F420B">
        <w:rPr>
          <w:rFonts w:cs="Times New Roman"/>
          <w:i/>
          <w:lang w:val="fr-CA"/>
        </w:rPr>
        <w:t>extension</w:t>
      </w:r>
      <w:r w:rsidRPr="009F420B">
        <w:rPr>
          <w:rFonts w:cs="Times New Roman"/>
          <w:lang w:val="fr-CA"/>
        </w:rPr>
        <w:t xml:space="preserve"> de la compétence reconnue de l</w:t>
      </w:r>
      <w:r>
        <w:rPr>
          <w:rFonts w:cs="Times New Roman"/>
          <w:lang w:val="fr-CA"/>
        </w:rPr>
        <w:t>’</w:t>
      </w:r>
      <w:r w:rsidRPr="009F420B">
        <w:rPr>
          <w:rFonts w:cs="Times New Roman"/>
          <w:lang w:val="fr-CA"/>
        </w:rPr>
        <w:t>autorité étrangère sur le fondement du renvoi général au titre troisième énoncé à l</w:t>
      </w:r>
      <w:r>
        <w:rPr>
          <w:rFonts w:cs="Times New Roman"/>
          <w:lang w:val="fr-CA"/>
        </w:rPr>
        <w:t>’art. </w:t>
      </w:r>
      <w:r w:rsidRPr="009F420B">
        <w:rPr>
          <w:rFonts w:cs="Times New Roman"/>
          <w:lang w:val="fr-CA"/>
        </w:rPr>
        <w:t xml:space="preserve">3164 </w:t>
      </w:r>
      <w:r w:rsidRPr="009F420B">
        <w:rPr>
          <w:rFonts w:cs="Times New Roman"/>
          <w:i/>
          <w:lang w:val="fr-CA"/>
        </w:rPr>
        <w:t xml:space="preserve">C.c.Q. </w:t>
      </w:r>
      <w:r w:rsidRPr="009F420B">
        <w:rPr>
          <w:rFonts w:cs="Times New Roman"/>
          <w:lang w:val="fr-CA"/>
        </w:rPr>
        <w:t>(</w:t>
      </w:r>
      <w:r>
        <w:rPr>
          <w:rFonts w:cs="Times New Roman"/>
          <w:lang w:val="fr-CA"/>
        </w:rPr>
        <w:t>par. </w:t>
      </w:r>
      <w:r w:rsidRPr="009F420B">
        <w:rPr>
          <w:rFonts w:cs="Times New Roman"/>
          <w:lang w:val="fr-CA"/>
        </w:rPr>
        <w:t>36)</w:t>
      </w:r>
      <w:r>
        <w:rPr>
          <w:rFonts w:cs="Times New Roman"/>
          <w:lang w:val="fr-CA"/>
        </w:rPr>
        <w:t> :</w:t>
      </w:r>
      <w:r w:rsidRPr="009F420B">
        <w:rPr>
          <w:rFonts w:cs="Times New Roman"/>
          <w:lang w:val="fr-CA"/>
        </w:rPr>
        <w:t xml:space="preserve"> </w:t>
      </w:r>
    </w:p>
    <w:p w:rsidR="00AF6697" w:rsidRPr="009F420B" w:rsidRDefault="00AF6697" w:rsidP="00AF6697">
      <w:pPr>
        <w:pStyle w:val="Citation-AltC"/>
        <w:ind w:hanging="1166"/>
        <w:rPr>
          <w:lang w:val="fr-CA"/>
        </w:rPr>
      </w:pPr>
      <w:r>
        <w:rPr>
          <w:lang w:val="fr-CA"/>
        </w:rPr>
        <w:lastRenderedPageBreak/>
        <w:tab/>
      </w:r>
      <w:r>
        <w:rPr>
          <w:lang w:val="fr-CA"/>
        </w:rPr>
        <w:tab/>
      </w:r>
      <w:r w:rsidRPr="00DE5D44">
        <w:rPr>
          <w:lang w:val="fr-CA"/>
        </w:rPr>
        <w:t>L’</w:t>
      </w:r>
      <w:r w:rsidRPr="00DE5D44">
        <w:rPr>
          <w:rStyle w:val="Hyperlink"/>
          <w:color w:val="auto"/>
          <w:u w:val="none"/>
          <w:lang w:val="fr-CA"/>
        </w:rPr>
        <w:t>article 3164</w:t>
      </w:r>
      <w:r w:rsidRPr="00DE5D44">
        <w:rPr>
          <w:lang w:val="fr-CA"/>
        </w:rPr>
        <w:t xml:space="preserve"> </w:t>
      </w:r>
      <w:r w:rsidRPr="00DE5D44">
        <w:rPr>
          <w:rStyle w:val="Hyperlink"/>
          <w:i/>
          <w:iCs/>
          <w:color w:val="auto"/>
          <w:u w:val="none"/>
          <w:lang w:val="fr-CA"/>
        </w:rPr>
        <w:t>C.c.Q</w:t>
      </w:r>
      <w:r w:rsidR="002F52C2" w:rsidRPr="00DE5D44">
        <w:rPr>
          <w:rStyle w:val="Hyperlink"/>
          <w:i/>
          <w:iCs/>
          <w:color w:val="auto"/>
          <w:u w:val="none"/>
          <w:lang w:val="fr-CA"/>
        </w:rPr>
        <w:t>.</w:t>
      </w:r>
      <w:r w:rsidRPr="00DE5D44">
        <w:rPr>
          <w:lang w:val="fr-CA"/>
        </w:rPr>
        <w:t xml:space="preserve"> établit comme condition fondamentale de la reconnaissance d’un jugement au Québec l’existence d’un lien important entre le litige et le tribunal d’origine. Les </w:t>
      </w:r>
      <w:r w:rsidRPr="00DE5D44">
        <w:rPr>
          <w:rStyle w:val="Hyperlink"/>
          <w:color w:val="auto"/>
          <w:u w:val="none"/>
          <w:lang w:val="fr-CA"/>
        </w:rPr>
        <w:t>articles 3165</w:t>
      </w:r>
      <w:r w:rsidRPr="00DE5D44">
        <w:rPr>
          <w:lang w:val="fr-CA"/>
        </w:rPr>
        <w:t xml:space="preserve"> à</w:t>
      </w:r>
      <w:r w:rsidRPr="00DE5D44">
        <w:rPr>
          <w:rStyle w:val="Hyperlink"/>
          <w:color w:val="auto"/>
          <w:u w:val="none"/>
          <w:lang w:val="fr-CA"/>
        </w:rPr>
        <w:t xml:space="preserve"> 3168</w:t>
      </w:r>
      <w:r w:rsidRPr="00DE5D44">
        <w:rPr>
          <w:lang w:val="fr-CA"/>
        </w:rPr>
        <w:t xml:space="preserve"> énoncent ensuite de manière plus spécifique des facteurs de rattachement permettant de conclure à la présence d’un lien suffisant entre le litige et l’autorité étrangère dans certaines situations</w:t>
      </w:r>
      <w:r w:rsidRPr="00DE5D44">
        <w:rPr>
          <w:i/>
          <w:iCs/>
          <w:lang w:val="fr-CA"/>
        </w:rPr>
        <w:t xml:space="preserve">. </w:t>
      </w:r>
      <w:r w:rsidRPr="00DE5D44">
        <w:rPr>
          <w:lang w:val="fr-CA"/>
        </w:rPr>
        <w:t>En général, le recours à des règles spécifiques, comme celles prévues à l’</w:t>
      </w:r>
      <w:r w:rsidRPr="00DE5D44">
        <w:rPr>
          <w:rStyle w:val="Hyperlink"/>
          <w:color w:val="auto"/>
          <w:u w:val="none"/>
          <w:lang w:val="fr-CA"/>
        </w:rPr>
        <w:t>art. 3168</w:t>
      </w:r>
      <w:r w:rsidRPr="00DE5D44">
        <w:rPr>
          <w:lang w:val="fr-CA"/>
        </w:rPr>
        <w:t xml:space="preserve"> </w:t>
      </w:r>
      <w:r w:rsidRPr="009F420B">
        <w:rPr>
          <w:lang w:val="fr-CA"/>
        </w:rPr>
        <w:t xml:space="preserve">applicables aux actions personnelles à caractère patrimonial, permettra de statuer sur la compétence du tribunal étranger. </w:t>
      </w:r>
      <w:r w:rsidRPr="009F420B">
        <w:rPr>
          <w:u w:val="single"/>
          <w:lang w:val="fr-CA"/>
        </w:rPr>
        <w:t>Cependant, il se peut qu</w:t>
      </w:r>
      <w:r>
        <w:rPr>
          <w:u w:val="single"/>
          <w:lang w:val="fr-CA"/>
        </w:rPr>
        <w:t>’</w:t>
      </w:r>
      <w:r w:rsidRPr="009F420B">
        <w:rPr>
          <w:u w:val="single"/>
          <w:lang w:val="fr-CA"/>
        </w:rPr>
        <w:t xml:space="preserve">une situation juridique complexe où plusieurs parties se trouvent dans des fors différents impose le recours au principe général </w:t>
      </w:r>
      <w:r w:rsidRPr="00DE5D44">
        <w:rPr>
          <w:u w:val="single"/>
          <w:lang w:val="fr-CA"/>
        </w:rPr>
        <w:t>de l’</w:t>
      </w:r>
      <w:r w:rsidRPr="00DE5D44">
        <w:rPr>
          <w:rStyle w:val="Hyperlink"/>
          <w:color w:val="auto"/>
          <w:lang w:val="fr-CA"/>
        </w:rPr>
        <w:t>art. 3164</w:t>
      </w:r>
      <w:r w:rsidRPr="00DE5D44">
        <w:rPr>
          <w:u w:val="single"/>
          <w:lang w:val="fr-CA"/>
        </w:rPr>
        <w:t xml:space="preserve"> </w:t>
      </w:r>
      <w:r w:rsidRPr="009F420B">
        <w:rPr>
          <w:u w:val="single"/>
          <w:lang w:val="fr-CA"/>
        </w:rPr>
        <w:t>pour déterminer la compétence et recourir par exemple au for de nécessité.</w:t>
      </w:r>
      <w:r w:rsidRPr="009F420B">
        <w:rPr>
          <w:lang w:val="fr-CA"/>
        </w:rPr>
        <w:t xml:space="preserve"> [Je souligne.]</w:t>
      </w:r>
    </w:p>
    <w:p w:rsidR="00AF6697" w:rsidRPr="009F420B" w:rsidRDefault="00AF6697" w:rsidP="00AF6697">
      <w:pPr>
        <w:pStyle w:val="ParaNoNdepar-AltN"/>
        <w:rPr>
          <w:rFonts w:cs="Times New Roman"/>
          <w:lang w:val="fr-CA"/>
        </w:rPr>
      </w:pPr>
      <w:r w:rsidRPr="009F420B">
        <w:rPr>
          <w:rFonts w:cs="Times New Roman"/>
          <w:lang w:val="fr-CA"/>
        </w:rPr>
        <w:t>Selon mon collègue le juge Gascon, ce passage de l</w:t>
      </w:r>
      <w:r>
        <w:rPr>
          <w:rFonts w:cs="Times New Roman"/>
          <w:lang w:val="fr-CA"/>
        </w:rPr>
        <w:t>’</w:t>
      </w:r>
      <w:r w:rsidRPr="009F420B">
        <w:rPr>
          <w:rFonts w:cs="Times New Roman"/>
          <w:lang w:val="fr-CA"/>
        </w:rPr>
        <w:t xml:space="preserve">arrêt </w:t>
      </w:r>
      <w:r w:rsidRPr="009F420B">
        <w:rPr>
          <w:rFonts w:cs="Times New Roman"/>
          <w:i/>
          <w:lang w:val="fr-CA"/>
        </w:rPr>
        <w:t>Lépine</w:t>
      </w:r>
      <w:r w:rsidRPr="009F420B">
        <w:rPr>
          <w:rFonts w:cs="Times New Roman"/>
          <w:lang w:val="fr-CA"/>
        </w:rPr>
        <w:t xml:space="preserve"> pourrait indiquer qu</w:t>
      </w:r>
      <w:r>
        <w:rPr>
          <w:rFonts w:cs="Times New Roman"/>
          <w:lang w:val="fr-CA"/>
        </w:rPr>
        <w:t>’</w:t>
      </w:r>
      <w:r w:rsidRPr="009F420B">
        <w:rPr>
          <w:rFonts w:cs="Times New Roman"/>
          <w:lang w:val="fr-CA"/>
        </w:rPr>
        <w:t>« il pourrait y avoir des situations inhabituelles ou particulières dans lesquelles aucun rattachement important n</w:t>
      </w:r>
      <w:r>
        <w:rPr>
          <w:rFonts w:cs="Times New Roman"/>
          <w:lang w:val="fr-CA"/>
        </w:rPr>
        <w:t>’</w:t>
      </w:r>
      <w:r w:rsidRPr="009F420B">
        <w:rPr>
          <w:rFonts w:cs="Times New Roman"/>
          <w:lang w:val="fr-CA"/>
        </w:rPr>
        <w:t>existe entre le litige et l</w:t>
      </w:r>
      <w:r>
        <w:rPr>
          <w:rFonts w:cs="Times New Roman"/>
          <w:lang w:val="fr-CA"/>
        </w:rPr>
        <w:t>’</w:t>
      </w:r>
      <w:r w:rsidRPr="009F420B">
        <w:rPr>
          <w:rFonts w:cs="Times New Roman"/>
          <w:lang w:val="fr-CA"/>
        </w:rPr>
        <w:t>État qui a rendu la décision, et ce, même si l</w:t>
      </w:r>
      <w:r>
        <w:rPr>
          <w:rFonts w:cs="Times New Roman"/>
          <w:lang w:val="fr-CA"/>
        </w:rPr>
        <w:t>’</w:t>
      </w:r>
      <w:r w:rsidRPr="009F420B">
        <w:rPr>
          <w:rFonts w:cs="Times New Roman"/>
          <w:lang w:val="fr-CA"/>
        </w:rPr>
        <w:t>un des critères de l</w:t>
      </w:r>
      <w:r>
        <w:rPr>
          <w:rFonts w:cs="Times New Roman"/>
          <w:lang w:val="fr-CA"/>
        </w:rPr>
        <w:t>’art. </w:t>
      </w:r>
      <w:r w:rsidRPr="009F420B">
        <w:rPr>
          <w:rFonts w:cs="Times New Roman"/>
          <w:lang w:val="fr-CA"/>
        </w:rPr>
        <w:t xml:space="preserve">3168 est </w:t>
      </w:r>
      <w:r w:rsidRPr="009F420B">
        <w:rPr>
          <w:rFonts w:cs="Times New Roman"/>
          <w:u w:val="single"/>
          <w:lang w:val="fr-CA"/>
        </w:rPr>
        <w:t>établi</w:t>
      </w:r>
      <w:r w:rsidRPr="009F420B">
        <w:rPr>
          <w:rFonts w:cs="Times New Roman"/>
          <w:lang w:val="fr-CA"/>
        </w:rPr>
        <w:t> », de sorte qu</w:t>
      </w:r>
      <w:r>
        <w:rPr>
          <w:rFonts w:cs="Times New Roman"/>
          <w:lang w:val="fr-CA"/>
        </w:rPr>
        <w:t>’</w:t>
      </w:r>
      <w:r w:rsidRPr="009F420B">
        <w:rPr>
          <w:rFonts w:cs="Times New Roman"/>
          <w:lang w:val="fr-CA"/>
        </w:rPr>
        <w:t>il n</w:t>
      </w:r>
      <w:r>
        <w:rPr>
          <w:rFonts w:cs="Times New Roman"/>
          <w:lang w:val="fr-CA"/>
        </w:rPr>
        <w:t>’</w:t>
      </w:r>
      <w:r w:rsidRPr="009F420B">
        <w:rPr>
          <w:rFonts w:cs="Times New Roman"/>
          <w:lang w:val="fr-CA"/>
        </w:rPr>
        <w:t>est pas possible de reconnaître la compétence du tribunal étranger</w:t>
      </w:r>
      <w:r>
        <w:rPr>
          <w:rFonts w:cs="Times New Roman"/>
          <w:lang w:val="fr-CA"/>
        </w:rPr>
        <w:t> :</w:t>
      </w:r>
      <w:r w:rsidRPr="009F420B">
        <w:rPr>
          <w:rFonts w:cs="Times New Roman"/>
          <w:lang w:val="fr-CA"/>
        </w:rPr>
        <w:t xml:space="preserve"> </w:t>
      </w:r>
      <w:r>
        <w:rPr>
          <w:rFonts w:cs="Times New Roman"/>
          <w:szCs w:val="24"/>
          <w:lang w:val="fr-CA"/>
        </w:rPr>
        <w:t>par. </w:t>
      </w:r>
      <w:r w:rsidRPr="009F420B">
        <w:rPr>
          <w:rFonts w:cs="Times New Roman"/>
          <w:szCs w:val="24"/>
          <w:lang w:val="fr-CA"/>
        </w:rPr>
        <w:t>86 (je souligne). Soit dit en tout respect, je ne pense pas qu</w:t>
      </w:r>
      <w:r>
        <w:rPr>
          <w:rFonts w:cs="Times New Roman"/>
          <w:szCs w:val="24"/>
          <w:lang w:val="fr-CA"/>
        </w:rPr>
        <w:t>’</w:t>
      </w:r>
      <w:r w:rsidRPr="009F420B">
        <w:rPr>
          <w:rFonts w:cs="Times New Roman"/>
          <w:szCs w:val="24"/>
          <w:lang w:val="fr-CA"/>
        </w:rPr>
        <w:t>on puisse interpréter ce passage de cette façon. À mon avis, il signifie clairement qu</w:t>
      </w:r>
      <w:r>
        <w:rPr>
          <w:rFonts w:cs="Times New Roman"/>
          <w:szCs w:val="24"/>
          <w:lang w:val="fr-CA"/>
        </w:rPr>
        <w:t>’</w:t>
      </w:r>
      <w:r w:rsidRPr="009F420B">
        <w:rPr>
          <w:rFonts w:cs="Times New Roman"/>
          <w:szCs w:val="24"/>
          <w:lang w:val="fr-CA"/>
        </w:rPr>
        <w:t>il peut se présenter des situations inhabituelles ou particulières dans lesquelles, même si les critères de l</w:t>
      </w:r>
      <w:r>
        <w:rPr>
          <w:rFonts w:cs="Times New Roman"/>
          <w:szCs w:val="24"/>
          <w:lang w:val="fr-CA"/>
        </w:rPr>
        <w:t>’art. </w:t>
      </w:r>
      <w:r w:rsidRPr="009F420B">
        <w:rPr>
          <w:rFonts w:cs="Times New Roman"/>
          <w:szCs w:val="24"/>
          <w:lang w:val="fr-CA"/>
        </w:rPr>
        <w:t xml:space="preserve">3168 </w:t>
      </w:r>
      <w:r w:rsidRPr="009F420B">
        <w:rPr>
          <w:rFonts w:cs="Times New Roman"/>
          <w:i/>
          <w:szCs w:val="24"/>
          <w:lang w:val="fr-CA"/>
        </w:rPr>
        <w:t>C.c.Q.</w:t>
      </w:r>
      <w:r w:rsidRPr="009F420B">
        <w:rPr>
          <w:rFonts w:cs="Times New Roman"/>
          <w:szCs w:val="24"/>
          <w:lang w:val="fr-CA"/>
        </w:rPr>
        <w:t xml:space="preserve"> </w:t>
      </w:r>
      <w:r w:rsidRPr="009F420B">
        <w:rPr>
          <w:rFonts w:cs="Times New Roman"/>
          <w:i/>
          <w:szCs w:val="24"/>
          <w:lang w:val="fr-CA"/>
        </w:rPr>
        <w:t>n</w:t>
      </w:r>
      <w:r>
        <w:rPr>
          <w:rFonts w:cs="Times New Roman"/>
          <w:i/>
          <w:szCs w:val="24"/>
          <w:lang w:val="fr-CA"/>
        </w:rPr>
        <w:t>’</w:t>
      </w:r>
      <w:r w:rsidRPr="009F420B">
        <w:rPr>
          <w:rFonts w:cs="Times New Roman"/>
          <w:i/>
          <w:szCs w:val="24"/>
          <w:lang w:val="fr-CA"/>
        </w:rPr>
        <w:t>ont pas</w:t>
      </w:r>
      <w:r w:rsidRPr="009F420B">
        <w:rPr>
          <w:rFonts w:cs="Times New Roman"/>
          <w:szCs w:val="24"/>
          <w:lang w:val="fr-CA"/>
        </w:rPr>
        <w:t xml:space="preserve"> été établis, il existe quand même un « rattachement important » entre le litige et l</w:t>
      </w:r>
      <w:r>
        <w:rPr>
          <w:rFonts w:cs="Times New Roman"/>
          <w:szCs w:val="24"/>
          <w:lang w:val="fr-CA"/>
        </w:rPr>
        <w:t>’</w:t>
      </w:r>
      <w:r w:rsidRPr="009F420B">
        <w:rPr>
          <w:rFonts w:cs="Times New Roman"/>
          <w:szCs w:val="24"/>
          <w:lang w:val="fr-CA"/>
        </w:rPr>
        <w:t>autorité étrangère, de sorte que l</w:t>
      </w:r>
      <w:r>
        <w:rPr>
          <w:rFonts w:cs="Times New Roman"/>
          <w:szCs w:val="24"/>
          <w:lang w:val="fr-CA"/>
        </w:rPr>
        <w:t>’</w:t>
      </w:r>
      <w:r w:rsidRPr="009F420B">
        <w:rPr>
          <w:rFonts w:cs="Times New Roman"/>
          <w:szCs w:val="24"/>
          <w:lang w:val="fr-CA"/>
        </w:rPr>
        <w:t>on pourrait en reconnaître la compétence par application, par exemple, de la théorie du « </w:t>
      </w:r>
      <w:r w:rsidRPr="009F420B">
        <w:rPr>
          <w:rFonts w:cs="Times New Roman"/>
          <w:lang w:val="fr-CA"/>
        </w:rPr>
        <w:t>for de nécessité » codifiée à l</w:t>
      </w:r>
      <w:r>
        <w:rPr>
          <w:rFonts w:cs="Times New Roman"/>
          <w:lang w:val="fr-CA"/>
        </w:rPr>
        <w:t>’</w:t>
      </w:r>
      <w:r>
        <w:rPr>
          <w:rFonts w:cs="Times New Roman"/>
          <w:szCs w:val="24"/>
          <w:lang w:val="fr-CA"/>
        </w:rPr>
        <w:t>art. </w:t>
      </w:r>
      <w:r w:rsidRPr="009F420B">
        <w:rPr>
          <w:rFonts w:cs="Times New Roman"/>
          <w:szCs w:val="24"/>
          <w:lang w:val="fr-CA"/>
        </w:rPr>
        <w:t xml:space="preserve">3136 </w:t>
      </w:r>
      <w:r w:rsidRPr="009F420B">
        <w:rPr>
          <w:rFonts w:cs="Times New Roman"/>
          <w:i/>
          <w:szCs w:val="24"/>
          <w:lang w:val="fr-CA"/>
        </w:rPr>
        <w:t>C.c.Q.</w:t>
      </w:r>
      <w:r w:rsidRPr="009F420B">
        <w:rPr>
          <w:rFonts w:cs="Times New Roman"/>
          <w:szCs w:val="24"/>
          <w:lang w:val="fr-CA"/>
        </w:rPr>
        <w:t xml:space="preserve"> Selon ce que la Cour a expliqué dans l</w:t>
      </w:r>
      <w:r>
        <w:rPr>
          <w:rFonts w:cs="Times New Roman"/>
          <w:szCs w:val="24"/>
          <w:lang w:val="fr-CA"/>
        </w:rPr>
        <w:t>’</w:t>
      </w:r>
      <w:r w:rsidRPr="009F420B">
        <w:rPr>
          <w:rFonts w:cs="Times New Roman"/>
          <w:szCs w:val="24"/>
          <w:lang w:val="fr-CA"/>
        </w:rPr>
        <w:t xml:space="preserve">arrêt </w:t>
      </w:r>
      <w:r w:rsidRPr="009F420B">
        <w:rPr>
          <w:rFonts w:cs="Times New Roman"/>
          <w:i/>
          <w:szCs w:val="24"/>
          <w:lang w:val="fr-CA"/>
        </w:rPr>
        <w:t>Lépine</w:t>
      </w:r>
      <w:r w:rsidRPr="009F420B">
        <w:rPr>
          <w:rFonts w:cs="Times New Roman"/>
          <w:szCs w:val="24"/>
          <w:lang w:val="fr-CA"/>
        </w:rPr>
        <w:t xml:space="preserve"> (</w:t>
      </w:r>
      <w:r>
        <w:rPr>
          <w:rFonts w:cs="Times New Roman"/>
          <w:szCs w:val="24"/>
          <w:lang w:val="fr-CA"/>
        </w:rPr>
        <w:t>par. </w:t>
      </w:r>
      <w:r w:rsidRPr="009F420B">
        <w:rPr>
          <w:rFonts w:cs="Times New Roman"/>
          <w:szCs w:val="24"/>
          <w:lang w:val="fr-CA"/>
        </w:rPr>
        <w:t xml:space="preserve">36), « une </w:t>
      </w:r>
      <w:r w:rsidRPr="009F420B">
        <w:rPr>
          <w:rFonts w:cs="Times New Roman"/>
          <w:lang w:val="fr-CA"/>
        </w:rPr>
        <w:t xml:space="preserve">situation juridique complexe où plusieurs parties se trouvent dans des fors différents » pourrait ainsi justifier </w:t>
      </w:r>
      <w:r w:rsidRPr="009F420B">
        <w:rPr>
          <w:rFonts w:cs="Times New Roman"/>
          <w:szCs w:val="24"/>
          <w:lang w:val="fr-CA"/>
        </w:rPr>
        <w:t>le recours à l</w:t>
      </w:r>
      <w:r>
        <w:rPr>
          <w:rFonts w:cs="Times New Roman"/>
          <w:szCs w:val="24"/>
          <w:lang w:val="fr-CA"/>
        </w:rPr>
        <w:t>’art. </w:t>
      </w:r>
      <w:r w:rsidRPr="009F420B">
        <w:rPr>
          <w:rFonts w:cs="Times New Roman"/>
          <w:szCs w:val="24"/>
          <w:lang w:val="fr-CA"/>
        </w:rPr>
        <w:t>3164 lorsqu</w:t>
      </w:r>
      <w:r>
        <w:rPr>
          <w:rFonts w:cs="Times New Roman"/>
          <w:szCs w:val="24"/>
          <w:lang w:val="fr-CA"/>
        </w:rPr>
        <w:t>’</w:t>
      </w:r>
      <w:r w:rsidRPr="009F420B">
        <w:rPr>
          <w:rFonts w:cs="Times New Roman"/>
          <w:szCs w:val="24"/>
          <w:lang w:val="fr-CA"/>
        </w:rPr>
        <w:t>il s</w:t>
      </w:r>
      <w:r>
        <w:rPr>
          <w:rFonts w:cs="Times New Roman"/>
          <w:szCs w:val="24"/>
          <w:lang w:val="fr-CA"/>
        </w:rPr>
        <w:t>’</w:t>
      </w:r>
      <w:r w:rsidRPr="009F420B">
        <w:rPr>
          <w:rFonts w:cs="Times New Roman"/>
          <w:szCs w:val="24"/>
          <w:lang w:val="fr-CA"/>
        </w:rPr>
        <w:t xml:space="preserve">agit de déterminer la compétence. </w:t>
      </w:r>
    </w:p>
    <w:p w:rsidR="00AF6697" w:rsidRPr="009F420B" w:rsidRDefault="00AF6697" w:rsidP="00AF6697">
      <w:pPr>
        <w:pStyle w:val="ParaNoNdepar-AltN"/>
        <w:rPr>
          <w:rFonts w:cs="Times New Roman"/>
          <w:lang w:val="fr-CA"/>
        </w:rPr>
      </w:pPr>
      <w:r w:rsidRPr="009F420B">
        <w:rPr>
          <w:rFonts w:cs="Times New Roman"/>
          <w:lang w:val="fr-CA"/>
        </w:rPr>
        <w:t>Cette démarche est amplement étayée par la doctrine. Ainsi que les auteurs Patrick Ferland et Guillaume Laganière l</w:t>
      </w:r>
      <w:r>
        <w:rPr>
          <w:rFonts w:cs="Times New Roman"/>
          <w:lang w:val="fr-CA"/>
        </w:rPr>
        <w:t>’</w:t>
      </w:r>
      <w:r w:rsidRPr="009F420B">
        <w:rPr>
          <w:rFonts w:cs="Times New Roman"/>
          <w:lang w:val="fr-CA"/>
        </w:rPr>
        <w:t>expliquent</w:t>
      </w:r>
      <w:r>
        <w:rPr>
          <w:rFonts w:cs="Times New Roman"/>
          <w:lang w:val="fr-CA"/>
        </w:rPr>
        <w:t> :</w:t>
      </w:r>
    </w:p>
    <w:p w:rsidR="00AF6697" w:rsidRPr="009F420B" w:rsidRDefault="00AF6697" w:rsidP="00AF6697">
      <w:pPr>
        <w:pStyle w:val="Citation-AltC"/>
        <w:spacing w:after="240"/>
        <w:ind w:left="1168" w:hanging="1166"/>
        <w:contextualSpacing w:val="0"/>
        <w:rPr>
          <w:lang w:val="fr-CA"/>
        </w:rPr>
      </w:pPr>
      <w:r>
        <w:rPr>
          <w:lang w:val="fr-CA"/>
        </w:rPr>
        <w:lastRenderedPageBreak/>
        <w:tab/>
      </w:r>
      <w:r>
        <w:rPr>
          <w:lang w:val="fr-CA"/>
        </w:rPr>
        <w:tab/>
      </w:r>
      <w:r w:rsidRPr="009F420B">
        <w:rPr>
          <w:lang w:val="fr-CA"/>
        </w:rPr>
        <w:t>Sauf disposition spécifique, il faudra donc se reporter aux règles du titre troisième pour déterminer s</w:t>
      </w:r>
      <w:r>
        <w:rPr>
          <w:lang w:val="fr-CA"/>
        </w:rPr>
        <w:t>’</w:t>
      </w:r>
      <w:r w:rsidRPr="009F420B">
        <w:rPr>
          <w:lang w:val="fr-CA"/>
        </w:rPr>
        <w:t>il convient de reconnaître la compétence exercée par l</w:t>
      </w:r>
      <w:r>
        <w:rPr>
          <w:lang w:val="fr-CA"/>
        </w:rPr>
        <w:t>’</w:t>
      </w:r>
      <w:r w:rsidRPr="009F420B">
        <w:rPr>
          <w:lang w:val="fr-CA"/>
        </w:rPr>
        <w:t>autorité étrangère. Selon certains, les règles modulant l</w:t>
      </w:r>
      <w:r>
        <w:rPr>
          <w:lang w:val="fr-CA"/>
        </w:rPr>
        <w:t>’</w:t>
      </w:r>
      <w:r w:rsidRPr="009F420B">
        <w:rPr>
          <w:lang w:val="fr-CA"/>
        </w:rPr>
        <w:t>application des règles de conflit relatives à la compétence des autorités québécoises (</w:t>
      </w:r>
      <w:r w:rsidRPr="009F420B">
        <w:rPr>
          <w:i/>
          <w:lang w:val="fr-CA"/>
        </w:rPr>
        <w:t>forum non conveniens</w:t>
      </w:r>
      <w:r w:rsidRPr="009F420B">
        <w:rPr>
          <w:lang w:val="fr-CA"/>
        </w:rPr>
        <w:t>, for de nécessité, litispendance, compétence à l</w:t>
      </w:r>
      <w:r>
        <w:rPr>
          <w:lang w:val="fr-CA"/>
        </w:rPr>
        <w:t>’</w:t>
      </w:r>
      <w:r w:rsidRPr="009F420B">
        <w:rPr>
          <w:lang w:val="fr-CA"/>
        </w:rPr>
        <w:t>égard des demandes incidentes et reconventionnelles, etc.) pourraient devoir être prises en compte dans l</w:t>
      </w:r>
      <w:r>
        <w:rPr>
          <w:lang w:val="fr-CA"/>
        </w:rPr>
        <w:t>’</w:t>
      </w:r>
      <w:r w:rsidRPr="009F420B">
        <w:rPr>
          <w:lang w:val="fr-CA"/>
        </w:rPr>
        <w:t>analyse effectuée par le tribunal québécois. Selon d</w:t>
      </w:r>
      <w:r>
        <w:rPr>
          <w:lang w:val="fr-CA"/>
        </w:rPr>
        <w:t>’</w:t>
      </w:r>
      <w:r w:rsidRPr="009F420B">
        <w:rPr>
          <w:lang w:val="fr-CA"/>
        </w:rPr>
        <w:t>autres, toutefois, elles ne devraient pas l</w:t>
      </w:r>
      <w:r>
        <w:rPr>
          <w:lang w:val="fr-CA"/>
        </w:rPr>
        <w:t>’</w:t>
      </w:r>
      <w:r w:rsidRPr="009F420B">
        <w:rPr>
          <w:lang w:val="fr-CA"/>
        </w:rPr>
        <w:t>être. Dans l</w:t>
      </w:r>
      <w:r>
        <w:rPr>
          <w:lang w:val="fr-CA"/>
        </w:rPr>
        <w:t>’</w:t>
      </w:r>
      <w:r w:rsidRPr="009F420B">
        <w:rPr>
          <w:lang w:val="fr-CA"/>
        </w:rPr>
        <w:t xml:space="preserve">arrêt </w:t>
      </w:r>
      <w:r w:rsidRPr="009F420B">
        <w:rPr>
          <w:i/>
          <w:lang w:val="fr-CA"/>
        </w:rPr>
        <w:t>Société canadienne des postes c. Lépine</w:t>
      </w:r>
      <w:r w:rsidRPr="009F420B">
        <w:rPr>
          <w:lang w:val="fr-CA"/>
        </w:rPr>
        <w:t xml:space="preserve">, la Cour suprême du Canada a tranché la question par la négative </w:t>
      </w:r>
      <w:r w:rsidRPr="009F420B">
        <w:rPr>
          <w:u w:val="single"/>
          <w:lang w:val="fr-CA"/>
        </w:rPr>
        <w:t xml:space="preserve">en ce qui a trait à la doctrine du </w:t>
      </w:r>
      <w:r w:rsidRPr="009F420B">
        <w:rPr>
          <w:i/>
          <w:u w:val="single"/>
          <w:lang w:val="fr-CA"/>
        </w:rPr>
        <w:t>forum non conveniens</w:t>
      </w:r>
      <w:r w:rsidRPr="009F420B">
        <w:rPr>
          <w:lang w:val="fr-CA"/>
        </w:rPr>
        <w:t>, soulignant que le libellé de l</w:t>
      </w:r>
      <w:r>
        <w:rPr>
          <w:lang w:val="fr-CA"/>
        </w:rPr>
        <w:t>’</w:t>
      </w:r>
      <w:r w:rsidRPr="009F420B">
        <w:rPr>
          <w:lang w:val="fr-CA"/>
        </w:rPr>
        <w:t>article 3155 C.c.Q. requiert du tribunal d</w:t>
      </w:r>
      <w:r>
        <w:rPr>
          <w:lang w:val="fr-CA"/>
        </w:rPr>
        <w:t>’</w:t>
      </w:r>
      <w:r w:rsidRPr="009F420B">
        <w:rPr>
          <w:i/>
          <w:lang w:val="fr-CA"/>
        </w:rPr>
        <w:t>exequatur</w:t>
      </w:r>
      <w:r w:rsidRPr="009F420B">
        <w:rPr>
          <w:lang w:val="fr-CA"/>
        </w:rPr>
        <w:t xml:space="preserve"> qu</w:t>
      </w:r>
      <w:r>
        <w:rPr>
          <w:lang w:val="fr-CA"/>
        </w:rPr>
        <w:t>’</w:t>
      </w:r>
      <w:r w:rsidRPr="009F420B">
        <w:rPr>
          <w:lang w:val="fr-CA"/>
        </w:rPr>
        <w:t>il se demande si l</w:t>
      </w:r>
      <w:r>
        <w:rPr>
          <w:lang w:val="fr-CA"/>
        </w:rPr>
        <w:t>’</w:t>
      </w:r>
      <w:r w:rsidRPr="009F420B">
        <w:rPr>
          <w:lang w:val="fr-CA"/>
        </w:rPr>
        <w:t xml:space="preserve">autorité étrangère était compétente, et non si elle aurait dû exercer cette compétence. </w:t>
      </w:r>
      <w:r w:rsidRPr="009F420B">
        <w:rPr>
          <w:u w:val="single"/>
          <w:lang w:val="fr-CA"/>
        </w:rPr>
        <w:t>La Cour [suprême] a cependant laissé la porte ouverte à l</w:t>
      </w:r>
      <w:r>
        <w:rPr>
          <w:u w:val="single"/>
          <w:lang w:val="fr-CA"/>
        </w:rPr>
        <w:t>’</w:t>
      </w:r>
      <w:r w:rsidRPr="009F420B">
        <w:rPr>
          <w:u w:val="single"/>
          <w:lang w:val="fr-CA"/>
        </w:rPr>
        <w:t>application d</w:t>
      </w:r>
      <w:r>
        <w:rPr>
          <w:u w:val="single"/>
          <w:lang w:val="fr-CA"/>
        </w:rPr>
        <w:t>’</w:t>
      </w:r>
      <w:r w:rsidRPr="009F420B">
        <w:rPr>
          <w:u w:val="single"/>
          <w:lang w:val="fr-CA"/>
        </w:rPr>
        <w:t>autres dispositions telles que l</w:t>
      </w:r>
      <w:r>
        <w:rPr>
          <w:u w:val="single"/>
          <w:lang w:val="fr-CA"/>
        </w:rPr>
        <w:t>’</w:t>
      </w:r>
      <w:r w:rsidRPr="009F420B">
        <w:rPr>
          <w:u w:val="single"/>
          <w:lang w:val="fr-CA"/>
        </w:rPr>
        <w:t>article 3136 C.c.Q. (for de nécessité).</w:t>
      </w:r>
      <w:r w:rsidR="00434D51">
        <w:rPr>
          <w:lang w:val="fr-CA"/>
        </w:rPr>
        <w:t xml:space="preserve"> [Je souligne; note</w:t>
      </w:r>
      <w:r w:rsidRPr="009F420B">
        <w:rPr>
          <w:lang w:val="fr-CA"/>
        </w:rPr>
        <w:t xml:space="preserve"> en bas de page omises.]</w:t>
      </w:r>
    </w:p>
    <w:p w:rsidR="00AF6697" w:rsidRPr="009F420B" w:rsidRDefault="00AF6697" w:rsidP="00D147D6">
      <w:pPr>
        <w:pStyle w:val="Citation-AltC"/>
        <w:ind w:left="0"/>
        <w:rPr>
          <w:sz w:val="20"/>
          <w:lang w:val="fr-CA"/>
        </w:rPr>
      </w:pPr>
      <w:r w:rsidRPr="009F420B">
        <w:rPr>
          <w:sz w:val="20"/>
          <w:lang w:val="fr-CA"/>
        </w:rPr>
        <w:t>(« </w:t>
      </w:r>
      <w:r w:rsidRPr="009F420B">
        <w:rPr>
          <w:lang w:val="fr-CA"/>
        </w:rPr>
        <w:t xml:space="preserve">Le droit international privé », </w:t>
      </w:r>
      <w:r w:rsidR="002F52C2">
        <w:rPr>
          <w:lang w:val="fr-CA"/>
        </w:rPr>
        <w:t xml:space="preserve">dans </w:t>
      </w:r>
      <w:r w:rsidRPr="009F420B">
        <w:rPr>
          <w:lang w:val="fr-CA"/>
        </w:rPr>
        <w:t>Collection de droit de l</w:t>
      </w:r>
      <w:r>
        <w:rPr>
          <w:lang w:val="fr-CA"/>
        </w:rPr>
        <w:t>’</w:t>
      </w:r>
      <w:r w:rsidRPr="009F420B">
        <w:rPr>
          <w:lang w:val="fr-CA"/>
        </w:rPr>
        <w:t>École du Barreau du Québec</w:t>
      </w:r>
      <w:r w:rsidRPr="009F420B">
        <w:rPr>
          <w:i/>
          <w:lang w:val="fr-CA"/>
        </w:rPr>
        <w:t> </w:t>
      </w:r>
      <w:r w:rsidRPr="009F420B">
        <w:rPr>
          <w:lang w:val="fr-CA"/>
        </w:rPr>
        <w:t>2017</w:t>
      </w:r>
      <w:r>
        <w:rPr>
          <w:lang w:val="fr-CA"/>
        </w:rPr>
        <w:noBreakHyphen/>
      </w:r>
      <w:r w:rsidRPr="009F420B">
        <w:rPr>
          <w:lang w:val="fr-CA"/>
        </w:rPr>
        <w:t xml:space="preserve">2018, </w:t>
      </w:r>
      <w:r>
        <w:rPr>
          <w:lang w:val="fr-CA"/>
        </w:rPr>
        <w:t>vol. </w:t>
      </w:r>
      <w:r w:rsidRPr="009F420B">
        <w:rPr>
          <w:lang w:val="fr-CA"/>
        </w:rPr>
        <w:t xml:space="preserve">7, </w:t>
      </w:r>
      <w:r w:rsidRPr="009F420B">
        <w:rPr>
          <w:i/>
          <w:lang w:val="fr-CA"/>
        </w:rPr>
        <w:t>Contrats, sûretés, publicité des droits et droit international privé</w:t>
      </w:r>
      <w:r w:rsidRPr="009F420B">
        <w:rPr>
          <w:lang w:val="fr-CA"/>
        </w:rPr>
        <w:t xml:space="preserve"> (2017), 253, </w:t>
      </w:r>
      <w:r>
        <w:rPr>
          <w:lang w:val="fr-CA"/>
        </w:rPr>
        <w:t>p. </w:t>
      </w:r>
      <w:r w:rsidRPr="009F420B">
        <w:rPr>
          <w:lang w:val="fr-CA"/>
        </w:rPr>
        <w:t>302)</w:t>
      </w:r>
    </w:p>
    <w:p w:rsidR="00AF6697" w:rsidRPr="009F420B" w:rsidRDefault="00AF6697" w:rsidP="00AF6697">
      <w:pPr>
        <w:pStyle w:val="ParaNoNdepar-AltN"/>
        <w:rPr>
          <w:rFonts w:cs="Times New Roman"/>
          <w:lang w:val="fr-CA"/>
        </w:rPr>
      </w:pPr>
      <w:r w:rsidRPr="009F420B">
        <w:rPr>
          <w:rFonts w:cs="Times New Roman"/>
          <w:szCs w:val="24"/>
          <w:lang w:val="fr-CA"/>
        </w:rPr>
        <w:t>Dans le même ordre d</w:t>
      </w:r>
      <w:r>
        <w:rPr>
          <w:rFonts w:cs="Times New Roman"/>
          <w:szCs w:val="24"/>
          <w:lang w:val="fr-CA"/>
        </w:rPr>
        <w:t>’</w:t>
      </w:r>
      <w:r w:rsidRPr="009F420B">
        <w:rPr>
          <w:rFonts w:cs="Times New Roman"/>
          <w:szCs w:val="24"/>
          <w:lang w:val="fr-CA"/>
        </w:rPr>
        <w:t xml:space="preserve">idées, le professeur </w:t>
      </w:r>
      <w:r w:rsidR="00776590">
        <w:rPr>
          <w:rFonts w:cs="Times New Roman"/>
          <w:szCs w:val="24"/>
          <w:lang w:val="fr-CA"/>
        </w:rPr>
        <w:t xml:space="preserve">G. </w:t>
      </w:r>
      <w:r w:rsidRPr="009F420B">
        <w:rPr>
          <w:rFonts w:cs="Times New Roman"/>
          <w:szCs w:val="24"/>
          <w:lang w:val="fr-CA"/>
        </w:rPr>
        <w:t>Goldstein écrit</w:t>
      </w:r>
      <w:r>
        <w:rPr>
          <w:rFonts w:cs="Times New Roman"/>
          <w:szCs w:val="24"/>
          <w:lang w:val="fr-CA"/>
        </w:rPr>
        <w:t> :</w:t>
      </w:r>
      <w:r w:rsidRPr="009F420B">
        <w:rPr>
          <w:rFonts w:cs="Times New Roman"/>
          <w:szCs w:val="24"/>
          <w:lang w:val="fr-CA"/>
        </w:rPr>
        <w:t xml:space="preserve"> </w:t>
      </w:r>
    </w:p>
    <w:p w:rsidR="00AF6697" w:rsidRPr="009F420B" w:rsidRDefault="00040FD2" w:rsidP="00AF6697">
      <w:pPr>
        <w:pStyle w:val="Citation-AltC"/>
        <w:spacing w:after="240"/>
        <w:ind w:left="1168" w:hanging="1168"/>
        <w:contextualSpacing w:val="0"/>
        <w:rPr>
          <w:lang w:val="fr-CA"/>
        </w:rPr>
      </w:pPr>
      <w:r>
        <w:rPr>
          <w:lang w:val="fr-CA"/>
        </w:rPr>
        <w:tab/>
      </w:r>
      <w:r w:rsidR="00AF6697" w:rsidRPr="009F420B">
        <w:rPr>
          <w:lang w:val="fr-CA"/>
        </w:rPr>
        <w:t>Malgré ceci, la Cour admet [dans l</w:t>
      </w:r>
      <w:r w:rsidR="00AF6697">
        <w:rPr>
          <w:lang w:val="fr-CA"/>
        </w:rPr>
        <w:t>’</w:t>
      </w:r>
      <w:r w:rsidR="00AF6697" w:rsidRPr="009F420B">
        <w:rPr>
          <w:lang w:val="fr-CA"/>
        </w:rPr>
        <w:t xml:space="preserve">affaire </w:t>
      </w:r>
      <w:r w:rsidR="00AF6697" w:rsidRPr="009F420B">
        <w:rPr>
          <w:i/>
          <w:lang w:val="fr-CA"/>
        </w:rPr>
        <w:t>Lépine</w:t>
      </w:r>
      <w:r w:rsidR="00AF6697" w:rsidRPr="009F420B">
        <w:rPr>
          <w:lang w:val="fr-CA"/>
        </w:rPr>
        <w:t>] que si, en principe, la compétence dépend de règles de compétence spécifiques, soit expresses, comme l</w:t>
      </w:r>
      <w:r w:rsidR="00AF6697">
        <w:rPr>
          <w:lang w:val="fr-CA"/>
        </w:rPr>
        <w:t>’</w:t>
      </w:r>
      <w:r w:rsidR="00AF6697" w:rsidRPr="009F420B">
        <w:rPr>
          <w:lang w:val="fr-CA"/>
        </w:rPr>
        <w:t>article 3168 C.c.Q., soit implicites et tirées par bilatéralisation des règles de compétence directes québécoises, selon l</w:t>
      </w:r>
      <w:r w:rsidR="00AF6697">
        <w:rPr>
          <w:lang w:val="fr-CA"/>
        </w:rPr>
        <w:t>’</w:t>
      </w:r>
      <w:r w:rsidR="00AF6697" w:rsidRPr="009F420B">
        <w:rPr>
          <w:lang w:val="fr-CA"/>
        </w:rPr>
        <w:t xml:space="preserve">article 3164 C.c.Q., </w:t>
      </w:r>
      <w:r w:rsidR="00AF6697" w:rsidRPr="009F420B">
        <w:rPr>
          <w:u w:val="single"/>
          <w:lang w:val="fr-CA"/>
        </w:rPr>
        <w:t>il reste possible de bilatéraliser par le biais de la même disposition les règles générales applicables à la compétence directe québécoise, comme l</w:t>
      </w:r>
      <w:r w:rsidR="00AF6697">
        <w:rPr>
          <w:u w:val="single"/>
          <w:lang w:val="fr-CA"/>
        </w:rPr>
        <w:t>’</w:t>
      </w:r>
      <w:r w:rsidR="00AF6697" w:rsidRPr="009F420B">
        <w:rPr>
          <w:u w:val="single"/>
          <w:lang w:val="fr-CA"/>
        </w:rPr>
        <w:t>article 3136 C.c.Q., de manière par exemple à reconnaître compétence à un tribunal étranger en tant que for de nécessité</w:t>
      </w:r>
      <w:r w:rsidR="00AF6697" w:rsidRPr="009F420B">
        <w:rPr>
          <w:lang w:val="fr-CA"/>
        </w:rPr>
        <w:t>.</w:t>
      </w:r>
    </w:p>
    <w:p w:rsidR="00AF6697" w:rsidRPr="009F420B" w:rsidRDefault="002F52C2" w:rsidP="00AF6697">
      <w:pPr>
        <w:pStyle w:val="Citation-AltC"/>
        <w:spacing w:after="240"/>
        <w:ind w:left="1168" w:hanging="1168"/>
        <w:contextualSpacing w:val="0"/>
        <w:jc w:val="center"/>
        <w:rPr>
          <w:lang w:val="fr-CA"/>
        </w:rPr>
      </w:pPr>
      <w:r>
        <w:rPr>
          <w:lang w:val="fr-CA"/>
        </w:rPr>
        <w:tab/>
      </w:r>
      <w:r w:rsidR="00AF6697" w:rsidRPr="009F420B">
        <w:rPr>
          <w:lang w:val="fr-CA"/>
        </w:rPr>
        <w:t>. . .</w:t>
      </w:r>
    </w:p>
    <w:p w:rsidR="00AF6697" w:rsidRPr="009F420B" w:rsidRDefault="00040FD2" w:rsidP="00AF6697">
      <w:pPr>
        <w:pStyle w:val="Citation-AltC"/>
        <w:spacing w:after="240"/>
        <w:ind w:left="1168" w:hanging="1168"/>
        <w:contextualSpacing w:val="0"/>
        <w:rPr>
          <w:lang w:val="fr-CA"/>
        </w:rPr>
      </w:pPr>
      <w:r>
        <w:rPr>
          <w:lang w:val="fr-CA"/>
        </w:rPr>
        <w:tab/>
        <w:t>. . . c</w:t>
      </w:r>
      <w:r w:rsidR="00AF6697" w:rsidRPr="009F420B">
        <w:rPr>
          <w:lang w:val="fr-CA"/>
        </w:rPr>
        <w:t>ette solution respecte la logique d</w:t>
      </w:r>
      <w:r w:rsidR="00AF6697">
        <w:rPr>
          <w:lang w:val="fr-CA"/>
        </w:rPr>
        <w:t>’</w:t>
      </w:r>
      <w:r w:rsidR="00AF6697" w:rsidRPr="009F420B">
        <w:rPr>
          <w:lang w:val="fr-CA"/>
        </w:rPr>
        <w:t>ouverture à l</w:t>
      </w:r>
      <w:r w:rsidR="00AF6697">
        <w:rPr>
          <w:lang w:val="fr-CA"/>
        </w:rPr>
        <w:t>’</w:t>
      </w:r>
      <w:r w:rsidR="00AF6697" w:rsidRPr="009F420B">
        <w:rPr>
          <w:lang w:val="fr-CA"/>
        </w:rPr>
        <w:t>international du Code civil du Québec, puisqu</w:t>
      </w:r>
      <w:r w:rsidR="00AF6697">
        <w:rPr>
          <w:lang w:val="fr-CA"/>
        </w:rPr>
        <w:t>’</w:t>
      </w:r>
      <w:r w:rsidR="00AF6697" w:rsidRPr="009F420B">
        <w:rPr>
          <w:lang w:val="fr-CA"/>
        </w:rPr>
        <w:t xml:space="preserve">il reste exact que </w:t>
      </w:r>
      <w:r w:rsidR="00AF6697" w:rsidRPr="009F420B">
        <w:rPr>
          <w:i/>
          <w:lang w:val="fr-CA"/>
        </w:rPr>
        <w:t>seule</w:t>
      </w:r>
      <w:r w:rsidR="00AF6697" w:rsidRPr="009F420B">
        <w:rPr>
          <w:lang w:val="fr-CA"/>
        </w:rPr>
        <w:t xml:space="preserve"> la bilatéralisation de la théorie du </w:t>
      </w:r>
      <w:r w:rsidR="00AF6697" w:rsidRPr="009F420B">
        <w:rPr>
          <w:i/>
          <w:lang w:val="fr-CA"/>
        </w:rPr>
        <w:t>forum non conveniens</w:t>
      </w:r>
      <w:r w:rsidR="00AF6697" w:rsidRPr="009F420B">
        <w:rPr>
          <w:lang w:val="fr-CA"/>
        </w:rPr>
        <w:t xml:space="preserve"> [</w:t>
      </w:r>
      <w:r w:rsidR="00AF6697">
        <w:rPr>
          <w:lang w:val="fr-CA"/>
        </w:rPr>
        <w:t>art. </w:t>
      </w:r>
      <w:r w:rsidR="00AF6697" w:rsidRPr="009F420B">
        <w:rPr>
          <w:lang w:val="fr-CA"/>
        </w:rPr>
        <w:t>3135 C.c.Q.] par le biais de l</w:t>
      </w:r>
      <w:r w:rsidR="00AF6697">
        <w:rPr>
          <w:lang w:val="fr-CA"/>
        </w:rPr>
        <w:t>’</w:t>
      </w:r>
      <w:r w:rsidR="00AF6697" w:rsidRPr="009F420B">
        <w:rPr>
          <w:lang w:val="fr-CA"/>
        </w:rPr>
        <w:t xml:space="preserve">article 3164 C.c.Q. présente un potentiel </w:t>
      </w:r>
      <w:r w:rsidR="00AF6697" w:rsidRPr="006346F1">
        <w:rPr>
          <w:i/>
          <w:lang w:val="fr-CA"/>
        </w:rPr>
        <w:t>défavorable</w:t>
      </w:r>
      <w:r w:rsidR="00AF6697" w:rsidRPr="009F420B">
        <w:rPr>
          <w:lang w:val="fr-CA"/>
        </w:rPr>
        <w:t xml:space="preserve"> à la reconnaissance des jugements étrangers. En effet, l</w:t>
      </w:r>
      <w:r w:rsidR="00AF6697">
        <w:rPr>
          <w:lang w:val="fr-CA"/>
        </w:rPr>
        <w:t>’</w:t>
      </w:r>
      <w:r w:rsidR="00AF6697" w:rsidRPr="009F420B">
        <w:rPr>
          <w:lang w:val="fr-CA"/>
        </w:rPr>
        <w:t>article 3135 C.c.Q. aboutit éventuellement à retirer la compétence indirecte au tribunal étranger qu</w:t>
      </w:r>
      <w:r w:rsidR="00AF6697">
        <w:rPr>
          <w:lang w:val="fr-CA"/>
        </w:rPr>
        <w:t>’</w:t>
      </w:r>
      <w:r w:rsidR="00AF6697" w:rsidRPr="009F420B">
        <w:rPr>
          <w:lang w:val="fr-CA"/>
        </w:rPr>
        <w:t>il avait pourtant obtenue en principe selon nos règles, alors que toutes les autres dispositions générales susceptibles d</w:t>
      </w:r>
      <w:r w:rsidR="00AF6697">
        <w:rPr>
          <w:lang w:val="fr-CA"/>
        </w:rPr>
        <w:t>’</w:t>
      </w:r>
      <w:r w:rsidR="00AF6697" w:rsidRPr="009F420B">
        <w:rPr>
          <w:lang w:val="fr-CA"/>
        </w:rPr>
        <w:t>être utilisées par le biais de l</w:t>
      </w:r>
      <w:r w:rsidR="00AF6697">
        <w:rPr>
          <w:lang w:val="fr-CA"/>
        </w:rPr>
        <w:t>’</w:t>
      </w:r>
      <w:r w:rsidR="00AF6697" w:rsidRPr="009F420B">
        <w:rPr>
          <w:lang w:val="fr-CA"/>
        </w:rPr>
        <w:t>article 3164 C.c.Q., comme l</w:t>
      </w:r>
      <w:r w:rsidR="00AF6697">
        <w:rPr>
          <w:lang w:val="fr-CA"/>
        </w:rPr>
        <w:t>’</w:t>
      </w:r>
      <w:r w:rsidR="00AF6697" w:rsidRPr="009F420B">
        <w:rPr>
          <w:lang w:val="fr-CA"/>
        </w:rPr>
        <w:t xml:space="preserve">article 3136 C.c.Q., permettent au contraire de donner exceptionnellement une compétence indirecte au tribunal étranger qui ne découlait pas des règles spécifiques normales. [Je souligne; </w:t>
      </w:r>
      <w:r w:rsidR="006346F1">
        <w:rPr>
          <w:lang w:val="fr-CA"/>
        </w:rPr>
        <w:t>note en bas de page omise</w:t>
      </w:r>
      <w:r w:rsidR="00AF6697" w:rsidRPr="009F420B">
        <w:rPr>
          <w:lang w:val="fr-CA"/>
        </w:rPr>
        <w:t>.]</w:t>
      </w:r>
    </w:p>
    <w:p w:rsidR="00AF6697" w:rsidRPr="009F420B" w:rsidRDefault="00AF6697" w:rsidP="00D147D6">
      <w:pPr>
        <w:pStyle w:val="Citation-AltC"/>
        <w:ind w:left="0"/>
        <w:rPr>
          <w:lang w:val="fr-CA"/>
        </w:rPr>
      </w:pPr>
      <w:r w:rsidRPr="009F420B">
        <w:rPr>
          <w:lang w:val="fr-CA"/>
        </w:rPr>
        <w:lastRenderedPageBreak/>
        <w:t>(</w:t>
      </w:r>
      <w:r w:rsidR="004A0ACF">
        <w:rPr>
          <w:lang w:val="fr-CA"/>
        </w:rPr>
        <w:t>« </w:t>
      </w:r>
      <w:r w:rsidR="00674C13" w:rsidRPr="004A0ACF">
        <w:rPr>
          <w:lang w:val="fr-CA"/>
        </w:rPr>
        <w:t>Droit international privé</w:t>
      </w:r>
      <w:r w:rsidR="004A0ACF">
        <w:rPr>
          <w:lang w:val="fr-CA"/>
        </w:rPr>
        <w:t> »</w:t>
      </w:r>
      <w:r w:rsidR="00674C13">
        <w:rPr>
          <w:lang w:val="fr-CA"/>
        </w:rPr>
        <w:t xml:space="preserve">, vol. 2, </w:t>
      </w:r>
      <w:r w:rsidRPr="009F420B">
        <w:rPr>
          <w:i/>
          <w:lang w:val="fr-CA"/>
        </w:rPr>
        <w:t>Compétence internationale des autorités québécoises et effets des décisions étrangères (</w:t>
      </w:r>
      <w:r>
        <w:rPr>
          <w:i/>
          <w:lang w:val="fr-CA"/>
        </w:rPr>
        <w:t>art. </w:t>
      </w:r>
      <w:r w:rsidRPr="009F420B">
        <w:rPr>
          <w:i/>
          <w:lang w:val="fr-CA"/>
        </w:rPr>
        <w:t>3134 à 3168 C.c.Q.)</w:t>
      </w:r>
      <w:r w:rsidRPr="009F420B">
        <w:rPr>
          <w:lang w:val="fr-CA"/>
        </w:rPr>
        <w:t xml:space="preserve"> (2012), </w:t>
      </w:r>
      <w:r>
        <w:rPr>
          <w:lang w:val="fr-CA"/>
        </w:rPr>
        <w:t>p. </w:t>
      </w:r>
      <w:r w:rsidRPr="009F420B">
        <w:rPr>
          <w:lang w:val="fr-CA"/>
        </w:rPr>
        <w:t>405</w:t>
      </w:r>
      <w:r>
        <w:rPr>
          <w:lang w:val="fr-CA"/>
        </w:rPr>
        <w:noBreakHyphen/>
      </w:r>
      <w:r w:rsidRPr="009F420B">
        <w:rPr>
          <w:lang w:val="fr-CA"/>
        </w:rPr>
        <w:t xml:space="preserve">406) </w:t>
      </w:r>
    </w:p>
    <w:p w:rsidR="00AF6697" w:rsidRPr="009F420B" w:rsidRDefault="00AF6697" w:rsidP="00AF6697">
      <w:pPr>
        <w:pStyle w:val="ParaNoNdepar-AltN"/>
        <w:tabs>
          <w:tab w:val="clear" w:pos="1166"/>
          <w:tab w:val="num" w:pos="1152"/>
        </w:tabs>
        <w:rPr>
          <w:rFonts w:cs="Times New Roman"/>
          <w:lang w:val="fr-CA"/>
        </w:rPr>
      </w:pPr>
      <w:r w:rsidRPr="009F420B">
        <w:rPr>
          <w:rFonts w:cs="Times New Roman"/>
          <w:lang w:val="fr-CA"/>
        </w:rPr>
        <w:t>Je suis par conséquent d</w:t>
      </w:r>
      <w:r>
        <w:rPr>
          <w:rFonts w:cs="Times New Roman"/>
          <w:lang w:val="fr-CA"/>
        </w:rPr>
        <w:t>’</w:t>
      </w:r>
      <w:r w:rsidRPr="009F420B">
        <w:rPr>
          <w:rFonts w:cs="Times New Roman"/>
          <w:lang w:val="fr-CA"/>
        </w:rPr>
        <w:t>avis que 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xml:space="preserve"> autorise le tribunal québécois à reconnaître la compétence du tribunal étranger en application d</w:t>
      </w:r>
      <w:r>
        <w:rPr>
          <w:rFonts w:cs="Times New Roman"/>
          <w:lang w:val="fr-CA"/>
        </w:rPr>
        <w:t>’</w:t>
      </w:r>
      <w:r w:rsidRPr="009F420B">
        <w:rPr>
          <w:rFonts w:cs="Times New Roman"/>
          <w:lang w:val="fr-CA"/>
        </w:rPr>
        <w:t>une des « dispositions générales » énoncées au chapitre premier du titre troisième (</w:t>
      </w:r>
      <w:r>
        <w:rPr>
          <w:rFonts w:cs="Times New Roman"/>
          <w:lang w:val="fr-CA"/>
        </w:rPr>
        <w:t>art. </w:t>
      </w:r>
      <w:r w:rsidRPr="009F420B">
        <w:rPr>
          <w:rFonts w:cs="Times New Roman"/>
          <w:lang w:val="fr-CA"/>
        </w:rPr>
        <w:t>3136</w:t>
      </w:r>
      <w:r w:rsidRPr="00712B5E">
        <w:rPr>
          <w:rStyle w:val="Hyperlink"/>
          <w:vertAlign w:val="superscript"/>
        </w:rPr>
        <w:footnoteReference w:id="4"/>
      </w:r>
      <w:r w:rsidRPr="009F420B">
        <w:rPr>
          <w:rFonts w:cs="Times New Roman"/>
          <w:lang w:val="fr-CA"/>
        </w:rPr>
        <w:t xml:space="preserve">, 3138, 3139 et 3140 </w:t>
      </w:r>
      <w:r w:rsidRPr="009F420B">
        <w:rPr>
          <w:rFonts w:cs="Times New Roman"/>
          <w:i/>
          <w:lang w:val="fr-CA"/>
        </w:rPr>
        <w:t>C.c.Q.</w:t>
      </w:r>
      <w:r w:rsidRPr="009F420B">
        <w:rPr>
          <w:rFonts w:cs="Times New Roman"/>
          <w:lang w:val="fr-CA"/>
        </w:rPr>
        <w:t>). Cela s</w:t>
      </w:r>
      <w:r>
        <w:rPr>
          <w:rFonts w:cs="Times New Roman"/>
          <w:lang w:val="fr-CA"/>
        </w:rPr>
        <w:t>’</w:t>
      </w:r>
      <w:r w:rsidRPr="009F420B">
        <w:rPr>
          <w:rFonts w:cs="Times New Roman"/>
          <w:lang w:val="fr-CA"/>
        </w:rPr>
        <w:t>accorde avec « [le] principe fondamental [établi par l</w:t>
      </w:r>
      <w:r>
        <w:rPr>
          <w:rFonts w:cs="Times New Roman"/>
          <w:lang w:val="fr-CA"/>
        </w:rPr>
        <w:t>’art. </w:t>
      </w:r>
      <w:r w:rsidRPr="009F420B">
        <w:rPr>
          <w:rFonts w:cs="Times New Roman"/>
          <w:lang w:val="fr-CA"/>
        </w:rPr>
        <w:t xml:space="preserve">3155 </w:t>
      </w:r>
      <w:r w:rsidRPr="009F420B">
        <w:rPr>
          <w:rFonts w:cs="Times New Roman"/>
          <w:i/>
          <w:lang w:val="fr-CA"/>
        </w:rPr>
        <w:t>C.c.Q.</w:t>
      </w:r>
      <w:r w:rsidRPr="009F420B">
        <w:rPr>
          <w:rFonts w:cs="Times New Roman"/>
          <w:lang w:val="fr-CA"/>
        </w:rPr>
        <w:t xml:space="preserve"> selon lequel] toute décision rendue par une autorité étrangère doit être reconnue, sauf exception »</w:t>
      </w:r>
      <w:r>
        <w:rPr>
          <w:rFonts w:cs="Times New Roman"/>
          <w:lang w:val="fr-CA"/>
        </w:rPr>
        <w:t> :</w:t>
      </w:r>
      <w:r w:rsidRPr="009F420B">
        <w:rPr>
          <w:rFonts w:cs="Times New Roman"/>
          <w:lang w:val="fr-CA"/>
        </w:rPr>
        <w:t xml:space="preserve"> </w:t>
      </w:r>
      <w:r w:rsidRPr="009F420B">
        <w:rPr>
          <w:rFonts w:cs="Times New Roman"/>
          <w:i/>
          <w:lang w:val="fr-CA"/>
        </w:rPr>
        <w:t>Lépine</w:t>
      </w:r>
      <w:r w:rsidRPr="009F420B">
        <w:rPr>
          <w:rFonts w:cs="Times New Roman"/>
          <w:lang w:val="fr-CA"/>
        </w:rPr>
        <w:t xml:space="preserve">, </w:t>
      </w:r>
      <w:r>
        <w:rPr>
          <w:rFonts w:cs="Times New Roman"/>
          <w:lang w:val="fr-CA"/>
        </w:rPr>
        <w:t>par. </w:t>
      </w:r>
      <w:r w:rsidRPr="009F420B">
        <w:rPr>
          <w:rFonts w:cs="Times New Roman"/>
          <w:lang w:val="fr-CA"/>
        </w:rPr>
        <w:t>22. Cette façon de voir s</w:t>
      </w:r>
      <w:r>
        <w:rPr>
          <w:rFonts w:cs="Times New Roman"/>
          <w:lang w:val="fr-CA"/>
        </w:rPr>
        <w:t>’</w:t>
      </w:r>
      <w:r w:rsidRPr="009F420B">
        <w:rPr>
          <w:rFonts w:cs="Times New Roman"/>
          <w:lang w:val="fr-CA"/>
        </w:rPr>
        <w:t>accorde également avec la pratique des tribunaux québécois. En effet, dans l</w:t>
      </w:r>
      <w:r>
        <w:rPr>
          <w:rFonts w:cs="Times New Roman"/>
          <w:lang w:val="fr-CA"/>
        </w:rPr>
        <w:t>’</w:t>
      </w:r>
      <w:r w:rsidRPr="009F420B">
        <w:rPr>
          <w:rFonts w:cs="Times New Roman"/>
          <w:lang w:val="fr-CA"/>
        </w:rPr>
        <w:t xml:space="preserve">arrêt </w:t>
      </w:r>
      <w:r w:rsidRPr="009F420B">
        <w:rPr>
          <w:rFonts w:cs="Times New Roman"/>
          <w:i/>
          <w:lang w:val="fr-CA" w:bidi="en-US"/>
        </w:rPr>
        <w:t>Ortega Figueroa c. Jenckel</w:t>
      </w:r>
      <w:r w:rsidRPr="009F420B">
        <w:rPr>
          <w:rFonts w:cs="Times New Roman"/>
          <w:lang w:val="fr-CA" w:bidi="en-US"/>
        </w:rPr>
        <w:t>, 2015 QCCA 1393, la Cour d</w:t>
      </w:r>
      <w:r>
        <w:rPr>
          <w:rFonts w:cs="Times New Roman"/>
          <w:lang w:val="fr-CA" w:bidi="en-US"/>
        </w:rPr>
        <w:t>’</w:t>
      </w:r>
      <w:r w:rsidRPr="009F420B">
        <w:rPr>
          <w:rFonts w:cs="Times New Roman"/>
          <w:lang w:val="fr-CA" w:bidi="en-US"/>
        </w:rPr>
        <w:t xml:space="preserve">appel a jugé que les tribunaux québécois pouvaient appliquer les </w:t>
      </w:r>
      <w:r>
        <w:rPr>
          <w:rFonts w:cs="Times New Roman"/>
          <w:lang w:val="fr-CA" w:bidi="en-US"/>
        </w:rPr>
        <w:t>art. </w:t>
      </w:r>
      <w:r w:rsidRPr="009F420B">
        <w:rPr>
          <w:rFonts w:cs="Times New Roman"/>
          <w:lang w:val="fr-CA" w:bidi="en-US"/>
        </w:rPr>
        <w:t xml:space="preserve">3138 et 3140 </w:t>
      </w:r>
      <w:r w:rsidRPr="009F420B">
        <w:rPr>
          <w:rFonts w:cs="Times New Roman"/>
          <w:i/>
          <w:lang w:val="fr-CA" w:bidi="en-US"/>
        </w:rPr>
        <w:t>C.c.Q.</w:t>
      </w:r>
      <w:r w:rsidRPr="009F420B">
        <w:rPr>
          <w:rFonts w:cs="Times New Roman"/>
          <w:lang w:val="fr-CA" w:bidi="en-US"/>
        </w:rPr>
        <w:t xml:space="preserve"> pour reconnaître la compétence d</w:t>
      </w:r>
      <w:r>
        <w:rPr>
          <w:rFonts w:cs="Times New Roman"/>
          <w:lang w:val="fr-CA" w:bidi="en-US"/>
        </w:rPr>
        <w:t>’</w:t>
      </w:r>
      <w:r w:rsidRPr="009F420B">
        <w:rPr>
          <w:rFonts w:cs="Times New Roman"/>
          <w:lang w:val="fr-CA" w:bidi="en-US"/>
        </w:rPr>
        <w:t>un tribunal étranger. Il s</w:t>
      </w:r>
      <w:r>
        <w:rPr>
          <w:rFonts w:cs="Times New Roman"/>
          <w:lang w:val="fr-CA" w:bidi="en-US"/>
        </w:rPr>
        <w:t>’</w:t>
      </w:r>
      <w:r w:rsidRPr="009F420B">
        <w:rPr>
          <w:rFonts w:cs="Times New Roman"/>
          <w:lang w:val="fr-CA" w:bidi="en-US"/>
        </w:rPr>
        <w:t>ensuit que [</w:t>
      </w:r>
      <w:r w:rsidRPr="009F420B">
        <w:rPr>
          <w:rFonts w:cs="Times New Roman"/>
          <w:smallCaps/>
          <w:lang w:val="fr-CA" w:bidi="en-US"/>
        </w:rPr>
        <w:t>traduction</w:t>
      </w:r>
      <w:r w:rsidRPr="009F420B">
        <w:rPr>
          <w:rFonts w:cs="Times New Roman"/>
          <w:lang w:val="fr-CA" w:bidi="en-US"/>
        </w:rPr>
        <w:t>] « dans les actions personnelles à caractère patrimonial, le fait de satisfaire aux exigences en matière de compétence prévues à l</w:t>
      </w:r>
      <w:r>
        <w:rPr>
          <w:rFonts w:cs="Times New Roman"/>
          <w:lang w:val="fr-CA" w:bidi="en-US"/>
        </w:rPr>
        <w:t>’</w:t>
      </w:r>
      <w:r w:rsidR="002E1605">
        <w:rPr>
          <w:rFonts w:cs="Times New Roman"/>
          <w:lang w:val="fr-CA" w:bidi="en-US"/>
        </w:rPr>
        <w:t xml:space="preserve">art. </w:t>
      </w:r>
      <w:r w:rsidRPr="009F420B">
        <w:rPr>
          <w:rFonts w:cs="Times New Roman"/>
          <w:lang w:val="fr-CA" w:bidi="en-US"/>
        </w:rPr>
        <w:t>31</w:t>
      </w:r>
      <w:r w:rsidRPr="009F420B">
        <w:rPr>
          <w:rFonts w:cs="Times New Roman"/>
          <w:szCs w:val="24"/>
          <w:lang w:val="fr-CA"/>
        </w:rPr>
        <w:t>68 est toujours suffisant, mais pas nécessairement essentiel à la reconnaissance de la compétence du tribunal étranger en droit québécois »</w:t>
      </w:r>
      <w:r>
        <w:rPr>
          <w:rFonts w:cs="Times New Roman"/>
          <w:szCs w:val="24"/>
          <w:lang w:val="fr-CA"/>
        </w:rPr>
        <w:t> :</w:t>
      </w:r>
      <w:r w:rsidRPr="009F420B">
        <w:rPr>
          <w:rFonts w:cs="Times New Roman"/>
          <w:szCs w:val="24"/>
          <w:lang w:val="fr-CA"/>
        </w:rPr>
        <w:t xml:space="preserve"> Saumier, </w:t>
      </w:r>
      <w:r>
        <w:rPr>
          <w:rFonts w:cs="Times New Roman"/>
          <w:szCs w:val="24"/>
          <w:lang w:val="fr-CA"/>
        </w:rPr>
        <w:t>p. </w:t>
      </w:r>
      <w:r w:rsidRPr="009F420B">
        <w:rPr>
          <w:rFonts w:cs="Times New Roman"/>
          <w:szCs w:val="24"/>
          <w:lang w:val="fr-CA"/>
        </w:rPr>
        <w:t>689.</w:t>
      </w:r>
    </w:p>
    <w:p w:rsidR="00AF6697" w:rsidRPr="009F420B" w:rsidRDefault="00AF6697" w:rsidP="00AF6697">
      <w:pPr>
        <w:pStyle w:val="ParaNoNdepar-AltN"/>
        <w:rPr>
          <w:rFonts w:cs="Times New Roman"/>
          <w:lang w:val="fr-CA"/>
        </w:rPr>
      </w:pPr>
      <w:r w:rsidRPr="009F420B">
        <w:rPr>
          <w:rFonts w:cs="Times New Roman"/>
          <w:szCs w:val="24"/>
          <w:lang w:val="fr-CA"/>
        </w:rPr>
        <w:t xml:space="preserve">Mon collègue le juge Gascon fait remarquer à cet égard que « le juge LeBel [dans </w:t>
      </w:r>
      <w:r w:rsidRPr="009F420B">
        <w:rPr>
          <w:rFonts w:cs="Times New Roman"/>
          <w:i/>
          <w:szCs w:val="24"/>
          <w:lang w:val="fr-CA"/>
        </w:rPr>
        <w:t>Lépine</w:t>
      </w:r>
      <w:r w:rsidRPr="009F420B">
        <w:rPr>
          <w:rFonts w:cs="Times New Roman"/>
          <w:szCs w:val="24"/>
          <w:lang w:val="fr-CA"/>
        </w:rPr>
        <w:t>] a employé une formulation souple (« [e]n général [. . .] permettra »), moins catégorique que certaines autres utilisées dans des textes publiés avant l</w:t>
      </w:r>
      <w:r>
        <w:rPr>
          <w:rFonts w:cs="Times New Roman"/>
          <w:szCs w:val="24"/>
          <w:lang w:val="fr-CA"/>
        </w:rPr>
        <w:t>’</w:t>
      </w:r>
      <w:r w:rsidRPr="009F420B">
        <w:rPr>
          <w:rFonts w:cs="Times New Roman"/>
          <w:szCs w:val="24"/>
          <w:lang w:val="fr-CA"/>
        </w:rPr>
        <w:t xml:space="preserve">arrêt </w:t>
      </w:r>
      <w:r w:rsidRPr="009F420B">
        <w:rPr>
          <w:rFonts w:cs="Times New Roman"/>
          <w:i/>
          <w:szCs w:val="24"/>
          <w:lang w:val="fr-CA"/>
        </w:rPr>
        <w:t>Lépine</w:t>
      </w:r>
      <w:r w:rsidRPr="009F420B">
        <w:rPr>
          <w:rFonts w:cs="Times New Roman"/>
          <w:szCs w:val="24"/>
          <w:lang w:val="fr-CA"/>
        </w:rPr>
        <w:t xml:space="preserve"> (par exemple [</w:t>
      </w:r>
      <w:r w:rsidRPr="009F420B">
        <w:rPr>
          <w:rFonts w:cs="Times New Roman"/>
          <w:smallCaps/>
          <w:szCs w:val="24"/>
          <w:lang w:val="fr-CA"/>
        </w:rPr>
        <w:t>traduction</w:t>
      </w:r>
      <w:r w:rsidRPr="009F420B">
        <w:rPr>
          <w:rFonts w:cs="Times New Roman"/>
          <w:szCs w:val="24"/>
          <w:lang w:val="fr-CA"/>
        </w:rPr>
        <w:t>] « toujours suffisant ») »</w:t>
      </w:r>
      <w:r>
        <w:rPr>
          <w:rFonts w:cs="Times New Roman"/>
          <w:szCs w:val="24"/>
          <w:lang w:val="fr-CA"/>
        </w:rPr>
        <w:t> :</w:t>
      </w:r>
      <w:r w:rsidRPr="009F420B">
        <w:rPr>
          <w:rFonts w:cs="Times New Roman"/>
          <w:szCs w:val="24"/>
          <w:lang w:val="fr-CA"/>
        </w:rPr>
        <w:t xml:space="preserve"> par</w:t>
      </w:r>
      <w:r>
        <w:rPr>
          <w:rFonts w:cs="Times New Roman"/>
          <w:szCs w:val="24"/>
          <w:lang w:val="fr-CA"/>
        </w:rPr>
        <w:t>. </w:t>
      </w:r>
      <w:r w:rsidRPr="009F420B">
        <w:rPr>
          <w:rFonts w:cs="Times New Roman"/>
          <w:szCs w:val="24"/>
          <w:lang w:val="fr-CA"/>
        </w:rPr>
        <w:t xml:space="preserve">87. </w:t>
      </w:r>
      <w:r w:rsidRPr="009F420B">
        <w:rPr>
          <w:rFonts w:cs="Times New Roman"/>
          <w:lang w:val="fr-CA"/>
        </w:rPr>
        <w:t>Ce choix de mots appuie, selon lui, une interprétation « possible » de l</w:t>
      </w:r>
      <w:r>
        <w:rPr>
          <w:rFonts w:cs="Times New Roman"/>
          <w:lang w:val="fr-CA"/>
        </w:rPr>
        <w:t>’</w:t>
      </w:r>
      <w:r w:rsidRPr="009F420B">
        <w:rPr>
          <w:rFonts w:cs="Times New Roman"/>
          <w:lang w:val="fr-CA"/>
        </w:rPr>
        <w:t xml:space="preserve">arrêt </w:t>
      </w:r>
      <w:r w:rsidRPr="009F420B">
        <w:rPr>
          <w:rFonts w:cs="Times New Roman"/>
          <w:i/>
          <w:lang w:val="fr-CA"/>
        </w:rPr>
        <w:t>Lépine</w:t>
      </w:r>
      <w:r w:rsidRPr="009F420B">
        <w:rPr>
          <w:rFonts w:cs="Times New Roman"/>
          <w:lang w:val="fr-CA"/>
        </w:rPr>
        <w:t xml:space="preserve"> selon laquelle le </w:t>
      </w:r>
      <w:r>
        <w:rPr>
          <w:rFonts w:cs="Times New Roman"/>
          <w:lang w:val="fr-CA"/>
        </w:rPr>
        <w:t>par. </w:t>
      </w:r>
      <w:r w:rsidRPr="009F420B">
        <w:rPr>
          <w:rFonts w:cs="Times New Roman"/>
          <w:lang w:val="fr-CA"/>
        </w:rPr>
        <w:t>36 « exige qu</w:t>
      </w:r>
      <w:r>
        <w:rPr>
          <w:rFonts w:cs="Times New Roman"/>
          <w:lang w:val="fr-CA"/>
        </w:rPr>
        <w:t>’</w:t>
      </w:r>
      <w:r w:rsidRPr="009F420B">
        <w:rPr>
          <w:rFonts w:cs="Times New Roman"/>
          <w:lang w:val="fr-CA"/>
        </w:rPr>
        <w:t xml:space="preserve">il existe un rattachement important entre le litige et le for saisi, même </w:t>
      </w:r>
      <w:r w:rsidRPr="009F420B">
        <w:rPr>
          <w:rFonts w:cs="Times New Roman"/>
          <w:lang w:val="fr-CA"/>
        </w:rPr>
        <w:lastRenderedPageBreak/>
        <w:t>lorsqu</w:t>
      </w:r>
      <w:r>
        <w:rPr>
          <w:rFonts w:cs="Times New Roman"/>
          <w:lang w:val="fr-CA"/>
        </w:rPr>
        <w:t>’</w:t>
      </w:r>
      <w:r w:rsidRPr="009F420B">
        <w:rPr>
          <w:rFonts w:cs="Times New Roman"/>
          <w:lang w:val="fr-CA"/>
        </w:rPr>
        <w:t>un des critères de la reconnaissance de la compétence du tribunal étranger énoncés à l</w:t>
      </w:r>
      <w:r>
        <w:rPr>
          <w:rFonts w:cs="Times New Roman"/>
          <w:lang w:val="fr-CA"/>
        </w:rPr>
        <w:t>’art. </w:t>
      </w:r>
      <w:r w:rsidRPr="009F420B">
        <w:rPr>
          <w:rFonts w:cs="Times New Roman"/>
          <w:lang w:val="fr-CA"/>
        </w:rPr>
        <w:t>3168 </w:t>
      </w:r>
      <w:r w:rsidRPr="009F420B">
        <w:rPr>
          <w:rFonts w:cs="Times New Roman"/>
          <w:i/>
          <w:lang w:val="fr-CA"/>
        </w:rPr>
        <w:t>C.c.Q.</w:t>
      </w:r>
      <w:r w:rsidRPr="009F420B">
        <w:rPr>
          <w:rFonts w:cs="Times New Roman"/>
          <w:lang w:val="fr-CA"/>
        </w:rPr>
        <w:t xml:space="preserve"> est établi »</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 xml:space="preserve">87; voir aussi les motifs de la juge Côté, </w:t>
      </w:r>
      <w:r>
        <w:rPr>
          <w:rFonts w:cs="Times New Roman"/>
          <w:lang w:val="fr-CA"/>
        </w:rPr>
        <w:t>par. </w:t>
      </w:r>
      <w:r w:rsidRPr="009F420B">
        <w:rPr>
          <w:rFonts w:cs="Times New Roman"/>
          <w:lang w:val="fr-CA"/>
        </w:rPr>
        <w:t>260. Or, à mon sens, il ne s</w:t>
      </w:r>
      <w:r>
        <w:rPr>
          <w:rFonts w:cs="Times New Roman"/>
          <w:lang w:val="fr-CA"/>
        </w:rPr>
        <w:t>’</w:t>
      </w:r>
      <w:r w:rsidRPr="009F420B">
        <w:rPr>
          <w:rFonts w:cs="Times New Roman"/>
          <w:lang w:val="fr-CA"/>
        </w:rPr>
        <w:t>agit pas d</w:t>
      </w:r>
      <w:r>
        <w:rPr>
          <w:rFonts w:cs="Times New Roman"/>
          <w:lang w:val="fr-CA"/>
        </w:rPr>
        <w:t>’</w:t>
      </w:r>
      <w:r w:rsidRPr="009F420B">
        <w:rPr>
          <w:rFonts w:cs="Times New Roman"/>
          <w:lang w:val="fr-CA"/>
        </w:rPr>
        <w:t>une interprétation « possible » de l</w:t>
      </w:r>
      <w:r>
        <w:rPr>
          <w:rFonts w:cs="Times New Roman"/>
          <w:lang w:val="fr-CA"/>
        </w:rPr>
        <w:t>’</w:t>
      </w:r>
      <w:r w:rsidRPr="009F420B">
        <w:rPr>
          <w:rFonts w:cs="Times New Roman"/>
          <w:lang w:val="fr-CA"/>
        </w:rPr>
        <w:t xml:space="preserve">arrêt </w:t>
      </w:r>
      <w:r w:rsidRPr="009F420B">
        <w:rPr>
          <w:rFonts w:cs="Times New Roman"/>
          <w:i/>
          <w:lang w:val="fr-CA"/>
        </w:rPr>
        <w:t>Lépine</w:t>
      </w:r>
      <w:r w:rsidRPr="009F420B">
        <w:rPr>
          <w:rFonts w:cs="Times New Roman"/>
          <w:lang w:val="fr-CA"/>
        </w:rPr>
        <w:t>, puisqu</w:t>
      </w:r>
      <w:r>
        <w:rPr>
          <w:rFonts w:cs="Times New Roman"/>
          <w:lang w:val="fr-CA"/>
        </w:rPr>
        <w:t>’</w:t>
      </w:r>
      <w:r w:rsidRPr="009F420B">
        <w:rPr>
          <w:rFonts w:cs="Times New Roman"/>
          <w:lang w:val="fr-CA"/>
        </w:rPr>
        <w:t>elle ne tient pas compte d</w:t>
      </w:r>
      <w:r>
        <w:rPr>
          <w:rFonts w:cs="Times New Roman"/>
          <w:lang w:val="fr-CA"/>
        </w:rPr>
        <w:t>’</w:t>
      </w:r>
      <w:r w:rsidRPr="009F420B">
        <w:rPr>
          <w:rFonts w:cs="Times New Roman"/>
          <w:lang w:val="fr-CA"/>
        </w:rPr>
        <w:t>un passage crucial des motifs du juge LeBel, qui s</w:t>
      </w:r>
      <w:r>
        <w:rPr>
          <w:rFonts w:cs="Times New Roman"/>
          <w:lang w:val="fr-CA"/>
        </w:rPr>
        <w:t>’</w:t>
      </w:r>
      <w:r w:rsidRPr="009F420B">
        <w:rPr>
          <w:rFonts w:cs="Times New Roman"/>
          <w:lang w:val="fr-CA"/>
        </w:rPr>
        <w:t xml:space="preserve">est exprimé au nom de la Cour à cet égard. </w:t>
      </w:r>
      <w:r w:rsidRPr="009F420B">
        <w:rPr>
          <w:rFonts w:cs="Times New Roman"/>
          <w:szCs w:val="24"/>
          <w:lang w:val="fr-CA"/>
        </w:rPr>
        <w:t>Il est vrai que le juge LeBel a affirmé (</w:t>
      </w:r>
      <w:r w:rsidR="00B9177D">
        <w:rPr>
          <w:rFonts w:cs="Times New Roman"/>
          <w:szCs w:val="24"/>
          <w:lang w:val="fr-CA"/>
        </w:rPr>
        <w:t xml:space="preserve">au </w:t>
      </w:r>
      <w:r>
        <w:rPr>
          <w:rFonts w:cs="Times New Roman"/>
          <w:szCs w:val="24"/>
          <w:lang w:val="fr-CA"/>
        </w:rPr>
        <w:t>par. </w:t>
      </w:r>
      <w:r w:rsidRPr="009F420B">
        <w:rPr>
          <w:rFonts w:cs="Times New Roman"/>
          <w:szCs w:val="24"/>
          <w:lang w:val="fr-CA"/>
        </w:rPr>
        <w:t>36) qu</w:t>
      </w:r>
      <w:r>
        <w:rPr>
          <w:rFonts w:cs="Times New Roman"/>
          <w:szCs w:val="24"/>
          <w:lang w:val="fr-CA"/>
        </w:rPr>
        <w:t>’</w:t>
      </w:r>
      <w:r w:rsidRPr="009F420B">
        <w:rPr>
          <w:rFonts w:cs="Times New Roman"/>
          <w:szCs w:val="24"/>
          <w:lang w:val="fr-CA"/>
        </w:rPr>
        <w:t>« [e]n général, le recours à des règles spécifiques, comme celles de l</w:t>
      </w:r>
      <w:r>
        <w:rPr>
          <w:rFonts w:cs="Times New Roman"/>
          <w:szCs w:val="24"/>
          <w:lang w:val="fr-CA"/>
        </w:rPr>
        <w:t>’art. </w:t>
      </w:r>
      <w:r w:rsidRPr="009F420B">
        <w:rPr>
          <w:rFonts w:cs="Times New Roman"/>
          <w:szCs w:val="24"/>
          <w:lang w:val="fr-CA"/>
        </w:rPr>
        <w:t>3168 applicables aux actions personnelles à caractère patrimonial, permettra de statuer sur la compétence du tribunal étranger ». Toutefois, il s</w:t>
      </w:r>
      <w:r>
        <w:rPr>
          <w:rFonts w:cs="Times New Roman"/>
          <w:szCs w:val="24"/>
          <w:lang w:val="fr-CA"/>
        </w:rPr>
        <w:t>’</w:t>
      </w:r>
      <w:r w:rsidRPr="009F420B">
        <w:rPr>
          <w:rFonts w:cs="Times New Roman"/>
          <w:szCs w:val="24"/>
          <w:lang w:val="fr-CA"/>
        </w:rPr>
        <w:t>ensuit selon lui que, parfois, « le recours à [ces] règles spécifiques » ne permettra pas « de statuer sur la compétence du tribunal étranger », si bien (</w:t>
      </w:r>
      <w:r w:rsidRPr="009F420B">
        <w:rPr>
          <w:rFonts w:cs="Times New Roman"/>
          <w:i/>
          <w:szCs w:val="24"/>
          <w:lang w:val="fr-CA"/>
        </w:rPr>
        <w:t xml:space="preserve">et </w:t>
      </w:r>
      <w:r w:rsidRPr="009F420B">
        <w:rPr>
          <w:rFonts w:cs="Times New Roman"/>
          <w:i/>
          <w:lang w:val="fr-CA"/>
        </w:rPr>
        <w:t>c</w:t>
      </w:r>
      <w:r>
        <w:rPr>
          <w:rFonts w:cs="Times New Roman"/>
          <w:i/>
          <w:lang w:val="fr-CA"/>
        </w:rPr>
        <w:t>’</w:t>
      </w:r>
      <w:r w:rsidRPr="009F420B">
        <w:rPr>
          <w:rFonts w:cs="Times New Roman"/>
          <w:i/>
          <w:lang w:val="fr-CA"/>
        </w:rPr>
        <w:t>est le passage crucial</w:t>
      </w:r>
      <w:r w:rsidRPr="009F420B">
        <w:rPr>
          <w:rFonts w:cs="Times New Roman"/>
          <w:szCs w:val="24"/>
          <w:lang w:val="fr-CA"/>
        </w:rPr>
        <w:t>) « [qu</w:t>
      </w:r>
      <w:r>
        <w:rPr>
          <w:rFonts w:cs="Times New Roman"/>
          <w:szCs w:val="24"/>
          <w:lang w:val="fr-CA"/>
        </w:rPr>
        <w:t>’</w:t>
      </w:r>
      <w:r w:rsidRPr="009F420B">
        <w:rPr>
          <w:rFonts w:cs="Times New Roman"/>
          <w:szCs w:val="24"/>
          <w:lang w:val="fr-CA"/>
        </w:rPr>
        <w:t>]il se peut [qu</w:t>
      </w:r>
      <w:r>
        <w:rPr>
          <w:rFonts w:cs="Times New Roman"/>
          <w:szCs w:val="24"/>
          <w:lang w:val="fr-CA"/>
        </w:rPr>
        <w:t>’</w:t>
      </w:r>
      <w:r w:rsidRPr="009F420B">
        <w:rPr>
          <w:rFonts w:cs="Times New Roman"/>
          <w:szCs w:val="24"/>
          <w:lang w:val="fr-CA"/>
        </w:rPr>
        <w:t>une situation]</w:t>
      </w:r>
      <w:r>
        <w:rPr>
          <w:rFonts w:cs="Times New Roman"/>
          <w:szCs w:val="24"/>
          <w:lang w:val="fr-CA"/>
        </w:rPr>
        <w:t xml:space="preserve"> </w:t>
      </w:r>
      <w:r w:rsidRPr="009F420B">
        <w:rPr>
          <w:rFonts w:cs="Times New Roman"/>
          <w:szCs w:val="24"/>
          <w:lang w:val="fr-CA"/>
        </w:rPr>
        <w:t>[. . .] impose le recours au principe général de l</w:t>
      </w:r>
      <w:r>
        <w:rPr>
          <w:rFonts w:cs="Times New Roman"/>
          <w:szCs w:val="24"/>
          <w:lang w:val="fr-CA"/>
        </w:rPr>
        <w:t>’art. </w:t>
      </w:r>
      <w:r w:rsidRPr="009F420B">
        <w:rPr>
          <w:rFonts w:cs="Times New Roman"/>
          <w:szCs w:val="24"/>
          <w:lang w:val="fr-CA"/>
        </w:rPr>
        <w:t xml:space="preserve">3164 pour </w:t>
      </w:r>
      <w:r w:rsidRPr="009F420B">
        <w:rPr>
          <w:rFonts w:cs="Times New Roman"/>
          <w:szCs w:val="24"/>
          <w:u w:val="single"/>
          <w:lang w:val="fr-CA"/>
        </w:rPr>
        <w:t>déterminer</w:t>
      </w:r>
      <w:r w:rsidRPr="009F420B">
        <w:rPr>
          <w:rFonts w:cs="Times New Roman"/>
          <w:szCs w:val="24"/>
          <w:lang w:val="fr-CA"/>
        </w:rPr>
        <w:t xml:space="preserve"> la compétence » (je souligne) et </w:t>
      </w:r>
      <w:r w:rsidRPr="009F420B">
        <w:rPr>
          <w:rFonts w:cs="Times New Roman"/>
          <w:i/>
          <w:szCs w:val="24"/>
          <w:lang w:val="fr-CA"/>
        </w:rPr>
        <w:t>non</w:t>
      </w:r>
      <w:r w:rsidRPr="009F420B">
        <w:rPr>
          <w:rFonts w:cs="Times New Roman"/>
          <w:szCs w:val="24"/>
          <w:lang w:val="fr-CA"/>
        </w:rPr>
        <w:t xml:space="preserve"> pour </w:t>
      </w:r>
      <w:r w:rsidRPr="009F420B">
        <w:rPr>
          <w:rFonts w:cs="Times New Roman"/>
          <w:i/>
          <w:szCs w:val="24"/>
          <w:lang w:val="fr-CA"/>
        </w:rPr>
        <w:t>nier</w:t>
      </w:r>
      <w:r w:rsidRPr="009F420B">
        <w:rPr>
          <w:rFonts w:cs="Times New Roman"/>
          <w:szCs w:val="24"/>
          <w:lang w:val="fr-CA"/>
        </w:rPr>
        <w:t xml:space="preserve"> la compétence, même s</w:t>
      </w:r>
      <w:r>
        <w:rPr>
          <w:rFonts w:cs="Times New Roman"/>
          <w:szCs w:val="24"/>
          <w:lang w:val="fr-CA"/>
        </w:rPr>
        <w:t>’</w:t>
      </w:r>
      <w:r w:rsidRPr="009F420B">
        <w:rPr>
          <w:rFonts w:cs="Times New Roman"/>
          <w:szCs w:val="24"/>
          <w:lang w:val="fr-CA"/>
        </w:rPr>
        <w:t>il est satisfait à une des règles spécifiques (comme celles de l</w:t>
      </w:r>
      <w:r>
        <w:rPr>
          <w:rFonts w:cs="Times New Roman"/>
          <w:szCs w:val="24"/>
          <w:lang w:val="fr-CA"/>
        </w:rPr>
        <w:t>’art. </w:t>
      </w:r>
      <w:r w:rsidRPr="009F420B">
        <w:rPr>
          <w:rFonts w:cs="Times New Roman"/>
          <w:szCs w:val="24"/>
          <w:lang w:val="fr-CA"/>
        </w:rPr>
        <w:t>3168). C</w:t>
      </w:r>
      <w:r>
        <w:rPr>
          <w:rFonts w:cs="Times New Roman"/>
          <w:szCs w:val="24"/>
          <w:lang w:val="fr-CA"/>
        </w:rPr>
        <w:t>’</w:t>
      </w:r>
      <w:r w:rsidRPr="009F420B">
        <w:rPr>
          <w:rFonts w:cs="Times New Roman"/>
          <w:szCs w:val="24"/>
          <w:lang w:val="fr-CA"/>
        </w:rPr>
        <w:t xml:space="preserve">est ce qui explique la mention, par le juge LeBel, dans le même passage, du for de nécessité comme fondement pour </w:t>
      </w:r>
      <w:r w:rsidRPr="009F420B">
        <w:rPr>
          <w:rFonts w:cs="Times New Roman"/>
          <w:i/>
          <w:szCs w:val="24"/>
          <w:lang w:val="fr-CA"/>
        </w:rPr>
        <w:t>déterminer</w:t>
      </w:r>
      <w:r w:rsidRPr="009F420B">
        <w:rPr>
          <w:rFonts w:cs="Times New Roman"/>
          <w:szCs w:val="24"/>
          <w:lang w:val="fr-CA"/>
        </w:rPr>
        <w:t xml:space="preserve"> la compétence du tribunal étranger (c.</w:t>
      </w:r>
      <w:r>
        <w:rPr>
          <w:rFonts w:cs="Times New Roman"/>
          <w:szCs w:val="24"/>
          <w:lang w:val="fr-CA"/>
        </w:rPr>
        <w:noBreakHyphen/>
      </w:r>
      <w:r w:rsidRPr="009F420B">
        <w:rPr>
          <w:rFonts w:cs="Times New Roman"/>
          <w:szCs w:val="24"/>
          <w:lang w:val="fr-CA"/>
        </w:rPr>
        <w:t>à</w:t>
      </w:r>
      <w:r>
        <w:rPr>
          <w:rFonts w:cs="Times New Roman"/>
          <w:szCs w:val="24"/>
          <w:lang w:val="fr-CA"/>
        </w:rPr>
        <w:noBreakHyphen/>
      </w:r>
      <w:r w:rsidRPr="009F420B">
        <w:rPr>
          <w:rFonts w:cs="Times New Roman"/>
          <w:szCs w:val="24"/>
          <w:lang w:val="fr-CA"/>
        </w:rPr>
        <w:t xml:space="preserve">d., pour </w:t>
      </w:r>
      <w:r w:rsidRPr="009F420B">
        <w:rPr>
          <w:rFonts w:cs="Times New Roman"/>
          <w:i/>
          <w:szCs w:val="24"/>
          <w:lang w:val="fr-CA"/>
        </w:rPr>
        <w:t>établir</w:t>
      </w:r>
      <w:r w:rsidRPr="009F420B">
        <w:rPr>
          <w:rFonts w:cs="Times New Roman"/>
          <w:szCs w:val="24"/>
          <w:lang w:val="fr-CA"/>
        </w:rPr>
        <w:t xml:space="preserve"> cette compétence, comme l</w:t>
      </w:r>
      <w:r>
        <w:rPr>
          <w:rFonts w:cs="Times New Roman"/>
          <w:szCs w:val="24"/>
          <w:lang w:val="fr-CA"/>
        </w:rPr>
        <w:t>’</w:t>
      </w:r>
      <w:r w:rsidRPr="009F420B">
        <w:rPr>
          <w:rFonts w:cs="Times New Roman"/>
          <w:szCs w:val="24"/>
          <w:lang w:val="fr-CA"/>
        </w:rPr>
        <w:t>exprime la version anglaise de ce passage) par le truchement du principe du miroir dans des situations où « le recours à des règles spécifiques, comme celles de l</w:t>
      </w:r>
      <w:r>
        <w:rPr>
          <w:rFonts w:cs="Times New Roman"/>
          <w:szCs w:val="24"/>
          <w:lang w:val="fr-CA"/>
        </w:rPr>
        <w:t>’art. </w:t>
      </w:r>
      <w:r w:rsidRPr="009F420B">
        <w:rPr>
          <w:rFonts w:cs="Times New Roman"/>
          <w:szCs w:val="24"/>
          <w:lang w:val="fr-CA"/>
        </w:rPr>
        <w:t>3168 applicables aux actions personnelles à caractère patrimonial » ne permet pas de le faire.</w:t>
      </w:r>
    </w:p>
    <w:p w:rsidR="00AF6697" w:rsidRPr="009F420B" w:rsidRDefault="00AF6697" w:rsidP="00AF6697">
      <w:pPr>
        <w:pStyle w:val="ParaNoNdepar-AltN"/>
        <w:rPr>
          <w:rFonts w:cs="Times New Roman"/>
          <w:lang w:val="fr-CA"/>
        </w:rPr>
      </w:pPr>
      <w:r w:rsidRPr="009F420B">
        <w:rPr>
          <w:rFonts w:cs="Times New Roman"/>
          <w:lang w:val="fr-CA"/>
        </w:rPr>
        <w:t>Mon collègue le juge Gascon reconnaît à juste titre que ma compréhension de ce passage de l</w:t>
      </w:r>
      <w:r>
        <w:rPr>
          <w:rFonts w:cs="Times New Roman"/>
          <w:lang w:val="fr-CA"/>
        </w:rPr>
        <w:t>’</w:t>
      </w:r>
      <w:r w:rsidRPr="009F420B">
        <w:rPr>
          <w:rFonts w:cs="Times New Roman"/>
          <w:lang w:val="fr-CA"/>
        </w:rPr>
        <w:t xml:space="preserve">arrêt </w:t>
      </w:r>
      <w:r w:rsidRPr="009F420B">
        <w:rPr>
          <w:rFonts w:cs="Times New Roman"/>
          <w:i/>
          <w:lang w:val="fr-CA"/>
        </w:rPr>
        <w:t>Lépine</w:t>
      </w:r>
      <w:r w:rsidRPr="009F420B">
        <w:rPr>
          <w:rFonts w:cs="Times New Roman"/>
          <w:lang w:val="fr-CA"/>
        </w:rPr>
        <w:t xml:space="preserve"> est aussi « possible »</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 xml:space="preserve">86; voir aussi les motifs de la juge Côté, </w:t>
      </w:r>
      <w:r>
        <w:rPr>
          <w:rFonts w:cs="Times New Roman"/>
          <w:lang w:val="fr-CA"/>
        </w:rPr>
        <w:t>par. </w:t>
      </w:r>
      <w:r w:rsidRPr="009F420B">
        <w:rPr>
          <w:rFonts w:cs="Times New Roman"/>
          <w:lang w:val="fr-CA"/>
        </w:rPr>
        <w:t>260. Je ne peux malheureusement en dire autant de la sienne. À mon avis, ce qu</w:t>
      </w:r>
      <w:r>
        <w:rPr>
          <w:rFonts w:cs="Times New Roman"/>
          <w:lang w:val="fr-CA"/>
        </w:rPr>
        <w:t>’</w:t>
      </w:r>
      <w:r w:rsidRPr="009F420B">
        <w:rPr>
          <w:rFonts w:cs="Times New Roman"/>
          <w:lang w:val="fr-CA"/>
        </w:rPr>
        <w:t>il présente comme étant un autre sens possible est incompatible avec le reste du passage en question.</w:t>
      </w:r>
    </w:p>
    <w:p w:rsidR="00AF6697" w:rsidRPr="009F420B" w:rsidRDefault="00AF6697" w:rsidP="00AF6697">
      <w:pPr>
        <w:pStyle w:val="ParaNoNdepar-AltN"/>
        <w:rPr>
          <w:rFonts w:cs="Times New Roman"/>
          <w:lang w:val="fr-CA"/>
        </w:rPr>
      </w:pPr>
      <w:r w:rsidRPr="009F420B">
        <w:rPr>
          <w:rFonts w:cs="Times New Roman"/>
          <w:lang w:val="fr-CA"/>
        </w:rPr>
        <w:lastRenderedPageBreak/>
        <w:t>J</w:t>
      </w:r>
      <w:r>
        <w:rPr>
          <w:rFonts w:cs="Times New Roman"/>
          <w:lang w:val="fr-CA"/>
        </w:rPr>
        <w:t>’</w:t>
      </w:r>
      <w:r w:rsidRPr="009F420B">
        <w:rPr>
          <w:rFonts w:cs="Times New Roman"/>
          <w:lang w:val="fr-CA"/>
        </w:rPr>
        <w:t>admets que l</w:t>
      </w:r>
      <w:r>
        <w:rPr>
          <w:rFonts w:cs="Times New Roman"/>
          <w:lang w:val="fr-CA"/>
        </w:rPr>
        <w:t>’</w:t>
      </w:r>
      <w:r w:rsidR="002E1605">
        <w:rPr>
          <w:rFonts w:cs="Times New Roman"/>
          <w:lang w:val="fr-CA"/>
        </w:rPr>
        <w:t>art.</w:t>
      </w:r>
      <w:r w:rsidRPr="009F420B">
        <w:rPr>
          <w:rFonts w:cs="Times New Roman"/>
          <w:lang w:val="fr-CA"/>
        </w:rPr>
        <w:t xml:space="preserve"> 3168 </w:t>
      </w:r>
      <w:r w:rsidRPr="009F420B">
        <w:rPr>
          <w:rFonts w:cs="Times New Roman"/>
          <w:i/>
          <w:lang w:val="fr-CA"/>
        </w:rPr>
        <w:t>C.c.Q.</w:t>
      </w:r>
      <w:r w:rsidRPr="009F420B">
        <w:rPr>
          <w:rFonts w:cs="Times New Roman"/>
          <w:lang w:val="fr-CA"/>
        </w:rPr>
        <w:t xml:space="preserve"> prévoit que « [d]ans les actions personnelles à caractère patrimonial, la compétence des autorités étrangères </w:t>
      </w:r>
      <w:r w:rsidRPr="009F420B">
        <w:rPr>
          <w:rFonts w:cs="Times New Roman"/>
          <w:u w:val="single"/>
          <w:lang w:val="fr-CA"/>
        </w:rPr>
        <w:t>n</w:t>
      </w:r>
      <w:r>
        <w:rPr>
          <w:rFonts w:cs="Times New Roman"/>
          <w:lang w:val="fr-CA"/>
        </w:rPr>
        <w:t>’</w:t>
      </w:r>
      <w:r w:rsidRPr="009F420B">
        <w:rPr>
          <w:rFonts w:cs="Times New Roman"/>
          <w:lang w:val="fr-CA"/>
        </w:rPr>
        <w:t xml:space="preserve">est reconnue </w:t>
      </w:r>
      <w:r w:rsidRPr="00040FD2">
        <w:rPr>
          <w:rFonts w:cs="Times New Roman"/>
          <w:i/>
          <w:lang w:val="fr-CA"/>
        </w:rPr>
        <w:t>que</w:t>
      </w:r>
      <w:r w:rsidRPr="009F420B">
        <w:rPr>
          <w:rFonts w:cs="Times New Roman"/>
          <w:lang w:val="fr-CA"/>
        </w:rPr>
        <w:t xml:space="preserve"> dans les cas suivants » d</w:t>
      </w:r>
      <w:r>
        <w:rPr>
          <w:rFonts w:cs="Times New Roman"/>
          <w:lang w:val="fr-CA"/>
        </w:rPr>
        <w:t>’</w:t>
      </w:r>
      <w:r w:rsidRPr="009F420B">
        <w:rPr>
          <w:rFonts w:cs="Times New Roman"/>
          <w:lang w:val="fr-CA"/>
        </w:rPr>
        <w:t>un des cas de figure décrits aux paragraphes de cette disposition. Cela dit, à mon avis, le sens de ce caractère exclusif de la formulation « n</w:t>
      </w:r>
      <w:r>
        <w:rPr>
          <w:rFonts w:cs="Times New Roman"/>
          <w:lang w:val="fr-CA"/>
        </w:rPr>
        <w:t>’</w:t>
      </w:r>
      <w:r w:rsidRPr="009F420B">
        <w:rPr>
          <w:rFonts w:cs="Times New Roman"/>
          <w:lang w:val="fr-CA"/>
        </w:rPr>
        <w:t>est reconnue que dans les cas suivants » est clair et on ne devrait pas y accorder une importance indue. En d</w:t>
      </w:r>
      <w:r>
        <w:rPr>
          <w:rFonts w:cs="Times New Roman"/>
          <w:lang w:val="fr-CA"/>
        </w:rPr>
        <w:t>’</w:t>
      </w:r>
      <w:r w:rsidRPr="009F420B">
        <w:rPr>
          <w:rFonts w:cs="Times New Roman"/>
          <w:lang w:val="fr-CA"/>
        </w:rPr>
        <w:t>autres termes, l</w:t>
      </w:r>
      <w:r>
        <w:rPr>
          <w:rFonts w:cs="Times New Roman"/>
          <w:lang w:val="fr-CA"/>
        </w:rPr>
        <w:t>’art. </w:t>
      </w:r>
      <w:r w:rsidRPr="009F420B">
        <w:rPr>
          <w:rFonts w:cs="Times New Roman"/>
          <w:lang w:val="fr-CA"/>
        </w:rPr>
        <w:t xml:space="preserve">3168 </w:t>
      </w:r>
      <w:r w:rsidRPr="009F420B">
        <w:rPr>
          <w:rFonts w:cs="Times New Roman"/>
          <w:i/>
          <w:lang w:val="fr-CA"/>
        </w:rPr>
        <w:t>C.c.Q.</w:t>
      </w:r>
      <w:r w:rsidRPr="009F420B">
        <w:rPr>
          <w:rFonts w:cs="Times New Roman"/>
          <w:lang w:val="fr-CA"/>
        </w:rPr>
        <w:t xml:space="preserve"> ne déroge au « principe du miroir » que d</w:t>
      </w:r>
      <w:r>
        <w:rPr>
          <w:rFonts w:cs="Times New Roman"/>
          <w:lang w:val="fr-CA"/>
        </w:rPr>
        <w:t>’</w:t>
      </w:r>
      <w:r w:rsidRPr="009F420B">
        <w:rPr>
          <w:rFonts w:cs="Times New Roman"/>
          <w:lang w:val="fr-CA"/>
        </w:rPr>
        <w:t>une façon particulière. Pour mieux illustrer mon propos, je rappelle que, selon le « principe du miroir » énoncé à 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la compétence de l</w:t>
      </w:r>
      <w:r>
        <w:rPr>
          <w:rFonts w:cs="Times New Roman"/>
          <w:lang w:val="fr-CA"/>
        </w:rPr>
        <w:t>’</w:t>
      </w:r>
      <w:r w:rsidRPr="009F420B">
        <w:rPr>
          <w:rFonts w:cs="Times New Roman"/>
          <w:lang w:val="fr-CA"/>
        </w:rPr>
        <w:t>autorité étrangère est établie conformément aux règles de compétence applicables aux autorités québécoises prévues au titre troisième. Une des dispositions de ce titre, en l</w:t>
      </w:r>
      <w:r>
        <w:rPr>
          <w:rFonts w:cs="Times New Roman"/>
          <w:lang w:val="fr-CA"/>
        </w:rPr>
        <w:t>’</w:t>
      </w:r>
      <w:r w:rsidRPr="009F420B">
        <w:rPr>
          <w:rFonts w:cs="Times New Roman"/>
          <w:lang w:val="fr-CA"/>
        </w:rPr>
        <w:t>occurrence l</w:t>
      </w:r>
      <w:r>
        <w:rPr>
          <w:rFonts w:cs="Times New Roman"/>
          <w:lang w:val="fr-CA"/>
        </w:rPr>
        <w:t>’art. </w:t>
      </w:r>
      <w:r w:rsidRPr="009F420B">
        <w:rPr>
          <w:rFonts w:cs="Times New Roman"/>
          <w:lang w:val="fr-CA"/>
        </w:rPr>
        <w:t xml:space="preserve">3148 </w:t>
      </w:r>
      <w:r w:rsidRPr="009F420B">
        <w:rPr>
          <w:rFonts w:cs="Times New Roman"/>
          <w:i/>
          <w:lang w:val="fr-CA"/>
        </w:rPr>
        <w:t>C.c.Q.</w:t>
      </w:r>
      <w:r w:rsidRPr="009F420B">
        <w:rPr>
          <w:rFonts w:cs="Times New Roman"/>
          <w:lang w:val="fr-CA"/>
        </w:rPr>
        <w:t>, concerne les actions personnelles à caractère patrimoni</w:t>
      </w:r>
      <w:r>
        <w:rPr>
          <w:rFonts w:cs="Times New Roman"/>
          <w:lang w:val="fr-CA"/>
        </w:rPr>
        <w:t>al. </w:t>
      </w:r>
      <w:r w:rsidRPr="009F420B">
        <w:rPr>
          <w:rFonts w:cs="Times New Roman"/>
          <w:lang w:val="fr-CA"/>
        </w:rPr>
        <w:t>Si les termes exclusifs que l</w:t>
      </w:r>
      <w:r>
        <w:rPr>
          <w:rFonts w:cs="Times New Roman"/>
          <w:lang w:val="fr-CA"/>
        </w:rPr>
        <w:t>’</w:t>
      </w:r>
      <w:r w:rsidRPr="009F420B">
        <w:rPr>
          <w:rFonts w:cs="Times New Roman"/>
          <w:lang w:val="fr-CA"/>
        </w:rPr>
        <w:t>on trouve à l</w:t>
      </w:r>
      <w:r>
        <w:rPr>
          <w:rFonts w:cs="Times New Roman"/>
          <w:lang w:val="fr-CA"/>
        </w:rPr>
        <w:t>’art. </w:t>
      </w:r>
      <w:r w:rsidRPr="009F420B">
        <w:rPr>
          <w:rFonts w:cs="Times New Roman"/>
          <w:lang w:val="fr-CA"/>
        </w:rPr>
        <w:t xml:space="preserve">3168 </w:t>
      </w:r>
      <w:r w:rsidRPr="009F420B">
        <w:rPr>
          <w:rFonts w:cs="Times New Roman"/>
          <w:i/>
          <w:lang w:val="fr-CA"/>
        </w:rPr>
        <w:t>C.c.Q.</w:t>
      </w:r>
      <w:r w:rsidRPr="009F420B">
        <w:rPr>
          <w:rFonts w:cs="Times New Roman"/>
          <w:lang w:val="fr-CA"/>
        </w:rPr>
        <w:t xml:space="preserve"> n</w:t>
      </w:r>
      <w:r>
        <w:rPr>
          <w:rFonts w:cs="Times New Roman"/>
          <w:lang w:val="fr-CA"/>
        </w:rPr>
        <w:t>’</w:t>
      </w:r>
      <w:r w:rsidRPr="009F420B">
        <w:rPr>
          <w:rFonts w:cs="Times New Roman"/>
          <w:lang w:val="fr-CA"/>
        </w:rPr>
        <w:t>existaient pas, 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xml:space="preserve"> obligerait le tribunal québécois à établir la compétence du tribunal étranger en appliquant un des paragraphes de l</w:t>
      </w:r>
      <w:r>
        <w:rPr>
          <w:rFonts w:cs="Times New Roman"/>
          <w:lang w:val="fr-CA"/>
        </w:rPr>
        <w:t>’art. </w:t>
      </w:r>
      <w:r w:rsidRPr="009F420B">
        <w:rPr>
          <w:rFonts w:cs="Times New Roman"/>
          <w:lang w:val="fr-CA"/>
        </w:rPr>
        <w:t>3148</w:t>
      </w:r>
      <w:r>
        <w:rPr>
          <w:rFonts w:cs="Times New Roman"/>
          <w:lang w:val="fr-CA"/>
        </w:rPr>
        <w:t xml:space="preserve"> </w:t>
      </w:r>
      <w:r w:rsidRPr="009F420B">
        <w:rPr>
          <w:rFonts w:cs="Times New Roman"/>
          <w:lang w:val="fr-CA"/>
        </w:rPr>
        <w:t>al.</w:t>
      </w:r>
      <w:r>
        <w:rPr>
          <w:rFonts w:cs="Times New Roman"/>
          <w:lang w:val="fr-CA"/>
        </w:rPr>
        <w:t> </w:t>
      </w:r>
      <w:r w:rsidRPr="009F420B">
        <w:rPr>
          <w:rFonts w:cs="Times New Roman"/>
          <w:lang w:val="fr-CA"/>
        </w:rPr>
        <w:t>1 </w:t>
      </w:r>
      <w:r w:rsidRPr="009F420B">
        <w:rPr>
          <w:rFonts w:cs="Times New Roman"/>
          <w:i/>
          <w:lang w:val="fr-CA"/>
        </w:rPr>
        <w:t>C.c.Q.</w:t>
      </w:r>
      <w:r w:rsidRPr="009F420B">
        <w:rPr>
          <w:rFonts w:cs="Times New Roman"/>
          <w:lang w:val="fr-CA"/>
        </w:rPr>
        <w:t xml:space="preserve"> Le libellé exclusif employé à l</w:t>
      </w:r>
      <w:r>
        <w:rPr>
          <w:rFonts w:cs="Times New Roman"/>
          <w:lang w:val="fr-CA"/>
        </w:rPr>
        <w:t>’art. </w:t>
      </w:r>
      <w:r w:rsidRPr="009F420B">
        <w:rPr>
          <w:rFonts w:cs="Times New Roman"/>
          <w:lang w:val="fr-CA"/>
        </w:rPr>
        <w:t xml:space="preserve">3168 </w:t>
      </w:r>
      <w:r w:rsidRPr="009F420B">
        <w:rPr>
          <w:rFonts w:cs="Times New Roman"/>
          <w:i/>
          <w:lang w:val="fr-CA"/>
        </w:rPr>
        <w:t>C.c.Q.</w:t>
      </w:r>
      <w:r w:rsidRPr="009F420B">
        <w:rPr>
          <w:rFonts w:cs="Times New Roman"/>
          <w:lang w:val="fr-CA"/>
        </w:rPr>
        <w:t xml:space="preserve"> indique toutefois clairement que, malgré le « principe du miroir », on </w:t>
      </w:r>
      <w:r w:rsidRPr="009F420B">
        <w:rPr>
          <w:rFonts w:cs="Times New Roman"/>
          <w:i/>
          <w:lang w:val="fr-CA"/>
        </w:rPr>
        <w:t>ne peut pas</w:t>
      </w:r>
      <w:r w:rsidRPr="009F420B">
        <w:rPr>
          <w:rFonts w:cs="Times New Roman"/>
          <w:lang w:val="fr-CA"/>
        </w:rPr>
        <w:t xml:space="preserve"> appliquer l</w:t>
      </w:r>
      <w:r>
        <w:rPr>
          <w:rFonts w:cs="Times New Roman"/>
          <w:lang w:val="fr-CA"/>
        </w:rPr>
        <w:t>’art. </w:t>
      </w:r>
      <w:r w:rsidRPr="009F420B">
        <w:rPr>
          <w:rFonts w:cs="Times New Roman"/>
          <w:lang w:val="fr-CA"/>
        </w:rPr>
        <w:t>3148 </w:t>
      </w:r>
      <w:r w:rsidRPr="009F420B">
        <w:rPr>
          <w:rFonts w:cs="Times New Roman"/>
          <w:i/>
          <w:lang w:val="fr-CA"/>
        </w:rPr>
        <w:t>C.c.Q.</w:t>
      </w:r>
      <w:r w:rsidRPr="009F420B">
        <w:rPr>
          <w:rFonts w:cs="Times New Roman"/>
          <w:lang w:val="fr-CA"/>
        </w:rPr>
        <w:t xml:space="preserve"> pour établir la compétence d</w:t>
      </w:r>
      <w:r>
        <w:rPr>
          <w:rFonts w:cs="Times New Roman"/>
          <w:lang w:val="fr-CA"/>
        </w:rPr>
        <w:t>’</w:t>
      </w:r>
      <w:r w:rsidRPr="009F420B">
        <w:rPr>
          <w:rFonts w:cs="Times New Roman"/>
          <w:lang w:val="fr-CA"/>
        </w:rPr>
        <w:t>un tribunal étranger en pareil cas.</w:t>
      </w:r>
    </w:p>
    <w:p w:rsidR="00AF6697" w:rsidRPr="009F420B" w:rsidRDefault="00AF6697" w:rsidP="00AF6697">
      <w:pPr>
        <w:pStyle w:val="ParaNoNdepar-AltN"/>
        <w:rPr>
          <w:rFonts w:cs="Times New Roman"/>
          <w:lang w:val="fr-CA"/>
        </w:rPr>
      </w:pPr>
      <w:r w:rsidRPr="009F420B">
        <w:rPr>
          <w:rFonts w:cs="Times New Roman"/>
          <w:lang w:val="fr-CA"/>
        </w:rPr>
        <w:t>Le libellé exclusif de l</w:t>
      </w:r>
      <w:r>
        <w:rPr>
          <w:rFonts w:cs="Times New Roman"/>
          <w:lang w:val="fr-CA"/>
        </w:rPr>
        <w:t>’art. </w:t>
      </w:r>
      <w:r w:rsidRPr="009F420B">
        <w:rPr>
          <w:rFonts w:cs="Times New Roman"/>
          <w:lang w:val="fr-CA"/>
        </w:rPr>
        <w:t xml:space="preserve">3168 </w:t>
      </w:r>
      <w:r w:rsidRPr="009F420B">
        <w:rPr>
          <w:rFonts w:cs="Times New Roman"/>
          <w:i/>
          <w:lang w:val="fr-CA"/>
        </w:rPr>
        <w:t>C.c.Q.</w:t>
      </w:r>
      <w:r w:rsidRPr="009F420B">
        <w:rPr>
          <w:rFonts w:cs="Times New Roman"/>
          <w:lang w:val="fr-CA"/>
        </w:rPr>
        <w:t xml:space="preserve"> </w:t>
      </w:r>
      <w:r w:rsidRPr="009F420B">
        <w:rPr>
          <w:rFonts w:cs="Times New Roman"/>
          <w:i/>
          <w:lang w:val="fr-CA"/>
        </w:rPr>
        <w:t>n</w:t>
      </w:r>
      <w:r>
        <w:rPr>
          <w:rFonts w:cs="Times New Roman"/>
          <w:i/>
          <w:lang w:val="fr-CA"/>
        </w:rPr>
        <w:t>’</w:t>
      </w:r>
      <w:r w:rsidRPr="009F420B">
        <w:rPr>
          <w:rFonts w:cs="Times New Roman"/>
          <w:lang w:val="fr-CA"/>
        </w:rPr>
        <w:t xml:space="preserve">enlève cependant </w:t>
      </w:r>
      <w:r w:rsidRPr="009F420B">
        <w:rPr>
          <w:rFonts w:cs="Times New Roman"/>
          <w:i/>
          <w:lang w:val="fr-CA"/>
        </w:rPr>
        <w:t xml:space="preserve">pas </w:t>
      </w:r>
      <w:r w:rsidRPr="009F420B">
        <w:rPr>
          <w:rFonts w:cs="Times New Roman"/>
          <w:lang w:val="fr-CA"/>
        </w:rPr>
        <w:t>totalement au tribunal québécois la faculté de reconnaître la compétence de l</w:t>
      </w:r>
      <w:r>
        <w:rPr>
          <w:rFonts w:cs="Times New Roman"/>
          <w:lang w:val="fr-CA"/>
        </w:rPr>
        <w:t>’</w:t>
      </w:r>
      <w:r w:rsidRPr="009F420B">
        <w:rPr>
          <w:rFonts w:cs="Times New Roman"/>
          <w:lang w:val="fr-CA"/>
        </w:rPr>
        <w:t>autorité étrangère en application d</w:t>
      </w:r>
      <w:r>
        <w:rPr>
          <w:rFonts w:cs="Times New Roman"/>
          <w:lang w:val="fr-CA"/>
        </w:rPr>
        <w:t>’</w:t>
      </w:r>
      <w:r w:rsidRPr="009F420B">
        <w:rPr>
          <w:rFonts w:cs="Times New Roman"/>
          <w:lang w:val="fr-CA"/>
        </w:rPr>
        <w:t>une des « dispositions générales » qui figure au chapitre premier du titre troisième. En effet, les « dispositions générales » visent précisément à compléter et à modifier les modalités d</w:t>
      </w:r>
      <w:r>
        <w:rPr>
          <w:rFonts w:cs="Times New Roman"/>
          <w:lang w:val="fr-CA"/>
        </w:rPr>
        <w:t>’</w:t>
      </w:r>
      <w:r w:rsidRPr="009F420B">
        <w:rPr>
          <w:rFonts w:cs="Times New Roman"/>
          <w:lang w:val="fr-CA"/>
        </w:rPr>
        <w:t>application de « dispositions particulières », telles que l</w:t>
      </w:r>
      <w:r>
        <w:rPr>
          <w:rFonts w:cs="Times New Roman"/>
          <w:lang w:val="fr-CA"/>
        </w:rPr>
        <w:t>’art. </w:t>
      </w:r>
      <w:r w:rsidRPr="009F420B">
        <w:rPr>
          <w:rFonts w:cs="Times New Roman"/>
          <w:lang w:val="fr-CA"/>
        </w:rPr>
        <w:t xml:space="preserve">3168 </w:t>
      </w:r>
      <w:r w:rsidRPr="009F420B">
        <w:rPr>
          <w:rFonts w:cs="Times New Roman"/>
          <w:i/>
          <w:lang w:val="fr-CA"/>
        </w:rPr>
        <w:t>C.c.Q.</w:t>
      </w:r>
      <w:r w:rsidRPr="009F420B">
        <w:rPr>
          <w:rFonts w:cs="Times New Roman"/>
          <w:lang w:val="fr-CA"/>
        </w:rPr>
        <w:t xml:space="preserve"> Comme la professeure Saumier l</w:t>
      </w:r>
      <w:r>
        <w:rPr>
          <w:rFonts w:cs="Times New Roman"/>
          <w:lang w:val="fr-CA"/>
        </w:rPr>
        <w:t>’</w:t>
      </w:r>
      <w:r w:rsidRPr="009F420B">
        <w:rPr>
          <w:rFonts w:cs="Times New Roman"/>
          <w:lang w:val="fr-CA"/>
        </w:rPr>
        <w:t>explique</w:t>
      </w:r>
      <w:r>
        <w:rPr>
          <w:rFonts w:cs="Times New Roman"/>
          <w:lang w:val="fr-CA"/>
        </w:rPr>
        <w:t> :</w:t>
      </w:r>
      <w:r w:rsidRPr="009F420B">
        <w:rPr>
          <w:rFonts w:cs="Times New Roman"/>
          <w:lang w:val="fr-CA"/>
        </w:rPr>
        <w:t xml:space="preserve"> [</w:t>
      </w:r>
      <w:r w:rsidRPr="009F420B">
        <w:rPr>
          <w:rFonts w:cs="Times New Roman"/>
          <w:smallCaps/>
          <w:lang w:val="fr-CA"/>
        </w:rPr>
        <w:t>traduction</w:t>
      </w:r>
      <w:r w:rsidRPr="009F420B">
        <w:rPr>
          <w:rFonts w:cs="Times New Roman"/>
          <w:lang w:val="fr-CA"/>
        </w:rPr>
        <w:t>] « [c]es quatre cas d</w:t>
      </w:r>
      <w:r>
        <w:rPr>
          <w:rFonts w:cs="Times New Roman"/>
          <w:lang w:val="fr-CA"/>
        </w:rPr>
        <w:t>’</w:t>
      </w:r>
      <w:r w:rsidRPr="009F420B">
        <w:rPr>
          <w:rFonts w:cs="Times New Roman"/>
          <w:lang w:val="fr-CA"/>
        </w:rPr>
        <w:t xml:space="preserve">exception [soit ceux visés aux </w:t>
      </w:r>
      <w:r>
        <w:rPr>
          <w:rFonts w:cs="Times New Roman"/>
          <w:lang w:val="fr-CA"/>
        </w:rPr>
        <w:t>art. </w:t>
      </w:r>
      <w:r w:rsidRPr="009F420B">
        <w:rPr>
          <w:rFonts w:cs="Times New Roman"/>
          <w:lang w:val="fr-CA"/>
        </w:rPr>
        <w:t xml:space="preserve">3136, 3138, 3139 et 3140 </w:t>
      </w:r>
      <w:r w:rsidRPr="009F420B">
        <w:rPr>
          <w:rFonts w:cs="Times New Roman"/>
          <w:i/>
          <w:lang w:val="fr-CA"/>
        </w:rPr>
        <w:t>C.c.Q.</w:t>
      </w:r>
      <w:r w:rsidRPr="009F420B">
        <w:rPr>
          <w:rFonts w:cs="Times New Roman"/>
          <w:lang w:val="fr-CA"/>
        </w:rPr>
        <w:t xml:space="preserve">] </w:t>
      </w:r>
      <w:r w:rsidRPr="009F420B">
        <w:rPr>
          <w:rFonts w:cs="Times New Roman"/>
          <w:lang w:val="fr-CA"/>
        </w:rPr>
        <w:lastRenderedPageBreak/>
        <w:t>tiennent évidemment pour acquis que les tribunaux québécois ne sont par ailleurs pas compétents, au sens international, pour statuer sur la demande »</w:t>
      </w:r>
      <w:r>
        <w:rPr>
          <w:rFonts w:cs="Times New Roman"/>
          <w:lang w:val="fr-CA"/>
        </w:rPr>
        <w:t> :</w:t>
      </w:r>
      <w:r w:rsidRPr="009F420B">
        <w:rPr>
          <w:rFonts w:cs="Times New Roman"/>
          <w:lang w:val="fr-CA"/>
        </w:rPr>
        <w:t xml:space="preserve"> </w:t>
      </w:r>
      <w:r>
        <w:rPr>
          <w:rFonts w:cs="Times New Roman"/>
          <w:lang w:val="fr-CA"/>
        </w:rPr>
        <w:t>p. </w:t>
      </w:r>
      <w:r w:rsidRPr="009F420B">
        <w:rPr>
          <w:rFonts w:cs="Times New Roman"/>
          <w:lang w:val="fr-CA"/>
        </w:rPr>
        <w:t>690. J</w:t>
      </w:r>
      <w:r>
        <w:rPr>
          <w:rFonts w:cs="Times New Roman"/>
          <w:lang w:val="fr-CA"/>
        </w:rPr>
        <w:t>’</w:t>
      </w:r>
      <w:r w:rsidRPr="009F420B">
        <w:rPr>
          <w:rFonts w:cs="Times New Roman"/>
          <w:lang w:val="fr-CA"/>
        </w:rPr>
        <w:t>abonde par conséquent aussi dans le sens du professeur Goldstein lorsqu</w:t>
      </w:r>
      <w:r>
        <w:rPr>
          <w:rFonts w:cs="Times New Roman"/>
          <w:lang w:val="fr-CA"/>
        </w:rPr>
        <w:t>’</w:t>
      </w:r>
      <w:r w:rsidRPr="009F420B">
        <w:rPr>
          <w:rFonts w:cs="Times New Roman"/>
          <w:lang w:val="fr-CA"/>
        </w:rPr>
        <w:t>il écrit (</w:t>
      </w:r>
      <w:r>
        <w:rPr>
          <w:rFonts w:cs="Times New Roman"/>
          <w:lang w:val="fr-CA"/>
        </w:rPr>
        <w:t>p. </w:t>
      </w:r>
      <w:r w:rsidRPr="009F420B">
        <w:rPr>
          <w:rFonts w:cs="Times New Roman"/>
          <w:lang w:val="fr-CA"/>
        </w:rPr>
        <w:t>116)</w:t>
      </w:r>
      <w:r>
        <w:rPr>
          <w:rFonts w:cs="Times New Roman"/>
          <w:lang w:val="fr-CA"/>
        </w:rPr>
        <w:t> :</w:t>
      </w:r>
      <w:r w:rsidRPr="009F420B">
        <w:rPr>
          <w:rFonts w:cs="Times New Roman"/>
          <w:lang w:val="fr-CA"/>
        </w:rPr>
        <w:t xml:space="preserve"> </w:t>
      </w:r>
    </w:p>
    <w:p w:rsidR="00AF6697" w:rsidRPr="009F420B" w:rsidRDefault="00AF6697" w:rsidP="00AF6697">
      <w:pPr>
        <w:pStyle w:val="Citation-AltC"/>
        <w:ind w:hanging="1166"/>
        <w:rPr>
          <w:lang w:val="fr-CA"/>
        </w:rPr>
      </w:pPr>
      <w:r>
        <w:rPr>
          <w:lang w:val="fr-CA"/>
        </w:rPr>
        <w:tab/>
      </w:r>
      <w:r w:rsidRPr="009F420B">
        <w:rPr>
          <w:lang w:val="fr-CA"/>
        </w:rPr>
        <w:t>Les dispositions « générales » du chapitre I du Titre III du Code sur la compétence internationale des tribunaux québécois complètent et modifient les solutions données par les dispositions « spécifiques » du chapitre 2 (</w:t>
      </w:r>
      <w:r>
        <w:rPr>
          <w:lang w:val="fr-CA"/>
        </w:rPr>
        <w:t>art. </w:t>
      </w:r>
      <w:r w:rsidRPr="009F420B">
        <w:rPr>
          <w:lang w:val="fr-CA"/>
        </w:rPr>
        <w:t>3148 C.c.Q.) et elles ont exactement le même domaine. Comment, autrement, envisager l</w:t>
      </w:r>
      <w:r>
        <w:rPr>
          <w:lang w:val="fr-CA"/>
        </w:rPr>
        <w:t>’</w:t>
      </w:r>
      <w:r w:rsidRPr="009F420B">
        <w:rPr>
          <w:lang w:val="fr-CA"/>
        </w:rPr>
        <w:t>application par exemple des articles 3135, 3136 et 3138 C.c.Q.? En réalité, les situations donnant potentiellement lieu à l</w:t>
      </w:r>
      <w:r>
        <w:rPr>
          <w:lang w:val="fr-CA"/>
        </w:rPr>
        <w:t>’</w:t>
      </w:r>
      <w:r w:rsidRPr="009F420B">
        <w:rPr>
          <w:lang w:val="fr-CA"/>
        </w:rPr>
        <w:t>application de la majorité des dispositions générales (</w:t>
      </w:r>
      <w:r>
        <w:rPr>
          <w:lang w:val="fr-CA"/>
        </w:rPr>
        <w:t>art. </w:t>
      </w:r>
      <w:r w:rsidRPr="009F420B">
        <w:rPr>
          <w:lang w:val="fr-CA"/>
        </w:rPr>
        <w:t xml:space="preserve">3135 à 3140 C.c.Q.) sont </w:t>
      </w:r>
      <w:r w:rsidRPr="009F420B">
        <w:rPr>
          <w:i/>
          <w:lang w:val="fr-CA"/>
        </w:rPr>
        <w:t>plus spécifiques</w:t>
      </w:r>
      <w:r w:rsidRPr="009F420B">
        <w:rPr>
          <w:lang w:val="fr-CA"/>
        </w:rPr>
        <w:t xml:space="preserve"> que celles découlant normalement des pseudo</w:t>
      </w:r>
      <w:r>
        <w:rPr>
          <w:lang w:val="fr-CA"/>
        </w:rPr>
        <w:noBreakHyphen/>
      </w:r>
      <w:r w:rsidRPr="009F420B">
        <w:rPr>
          <w:lang w:val="fr-CA"/>
        </w:rPr>
        <w:t>dispositions spécifiques (</w:t>
      </w:r>
      <w:r>
        <w:rPr>
          <w:lang w:val="fr-CA"/>
        </w:rPr>
        <w:t>art. </w:t>
      </w:r>
      <w:r w:rsidR="00040FD2">
        <w:rPr>
          <w:lang w:val="fr-CA"/>
        </w:rPr>
        <w:t>[</w:t>
      </w:r>
      <w:r w:rsidRPr="009F420B">
        <w:rPr>
          <w:lang w:val="fr-CA"/>
        </w:rPr>
        <w:t>3141</w:t>
      </w:r>
      <w:r w:rsidR="00040FD2">
        <w:rPr>
          <w:lang w:val="fr-CA"/>
        </w:rPr>
        <w:t>]</w:t>
      </w:r>
      <w:r w:rsidRPr="009F420B">
        <w:rPr>
          <w:lang w:val="fr-CA"/>
        </w:rPr>
        <w:t xml:space="preserve"> à 3154 C.c.Q.)</w:t>
      </w:r>
      <w:r>
        <w:rPr>
          <w:lang w:val="fr-CA"/>
        </w:rPr>
        <w:t> :</w:t>
      </w:r>
      <w:r w:rsidRPr="009F420B">
        <w:rPr>
          <w:lang w:val="fr-CA"/>
        </w:rPr>
        <w:t xml:space="preserve"> la seule exception étant l</w:t>
      </w:r>
      <w:r>
        <w:rPr>
          <w:lang w:val="fr-CA"/>
        </w:rPr>
        <w:t>’</w:t>
      </w:r>
      <w:r w:rsidRPr="009F420B">
        <w:rPr>
          <w:lang w:val="fr-CA"/>
        </w:rPr>
        <w:t>article 3134 C.c.Q. Ces règles sont d</w:t>
      </w:r>
      <w:r>
        <w:rPr>
          <w:lang w:val="fr-CA"/>
        </w:rPr>
        <w:t>’</w:t>
      </w:r>
      <w:r w:rsidRPr="009F420B">
        <w:rPr>
          <w:lang w:val="fr-CA"/>
        </w:rPr>
        <w:t>application générale dans le sens où elles peuvent s</w:t>
      </w:r>
      <w:r>
        <w:rPr>
          <w:lang w:val="fr-CA"/>
        </w:rPr>
        <w:t>’</w:t>
      </w:r>
      <w:r w:rsidRPr="009F420B">
        <w:rPr>
          <w:lang w:val="fr-CA"/>
        </w:rPr>
        <w:t>appliquer dans n</w:t>
      </w:r>
      <w:r>
        <w:rPr>
          <w:lang w:val="fr-CA"/>
        </w:rPr>
        <w:t>’</w:t>
      </w:r>
      <w:r w:rsidRPr="009F420B">
        <w:rPr>
          <w:lang w:val="fr-CA"/>
        </w:rPr>
        <w:t xml:space="preserve">importe quel cas. Néanmoins, tous ces cas sont </w:t>
      </w:r>
      <w:r w:rsidRPr="009F420B">
        <w:rPr>
          <w:i/>
          <w:lang w:val="fr-CA"/>
        </w:rPr>
        <w:t>plus spécifiques</w:t>
      </w:r>
      <w:r w:rsidRPr="009F420B">
        <w:rPr>
          <w:lang w:val="fr-CA"/>
        </w:rPr>
        <w:t xml:space="preserve"> que ceux envisagés par les règles </w:t>
      </w:r>
      <w:r w:rsidRPr="00040FD2">
        <w:rPr>
          <w:i/>
          <w:lang w:val="fr-CA"/>
        </w:rPr>
        <w:t>normales</w:t>
      </w:r>
      <w:r w:rsidRPr="009F420B">
        <w:rPr>
          <w:lang w:val="fr-CA"/>
        </w:rPr>
        <w:t xml:space="preserve"> de compétence qualifiées de « spécifiques ». En d</w:t>
      </w:r>
      <w:r>
        <w:rPr>
          <w:lang w:val="fr-CA"/>
        </w:rPr>
        <w:t>’</w:t>
      </w:r>
      <w:r w:rsidRPr="009F420B">
        <w:rPr>
          <w:lang w:val="fr-CA"/>
        </w:rPr>
        <w:t>autres termes, les règles dites « générales » sont d</w:t>
      </w:r>
      <w:r>
        <w:rPr>
          <w:lang w:val="fr-CA"/>
        </w:rPr>
        <w:t>’</w:t>
      </w:r>
      <w:r w:rsidRPr="009F420B">
        <w:rPr>
          <w:lang w:val="fr-CA"/>
        </w:rPr>
        <w:t xml:space="preserve">application </w:t>
      </w:r>
      <w:r w:rsidRPr="009F420B">
        <w:rPr>
          <w:i/>
          <w:lang w:val="fr-CA"/>
        </w:rPr>
        <w:t>exceptionnelle</w:t>
      </w:r>
      <w:r w:rsidRPr="009F420B">
        <w:rPr>
          <w:lang w:val="fr-CA"/>
        </w:rPr>
        <w:t>, dérogatoire, alors que les règles dites « spécifiques » sont d</w:t>
      </w:r>
      <w:r>
        <w:rPr>
          <w:lang w:val="fr-CA"/>
        </w:rPr>
        <w:t>’</w:t>
      </w:r>
      <w:r w:rsidRPr="009F420B">
        <w:rPr>
          <w:lang w:val="fr-CA"/>
        </w:rPr>
        <w:t xml:space="preserve">application </w:t>
      </w:r>
      <w:r w:rsidRPr="009F420B">
        <w:rPr>
          <w:i/>
          <w:lang w:val="fr-CA"/>
        </w:rPr>
        <w:t>générale</w:t>
      </w:r>
      <w:r w:rsidR="000E03EB">
        <w:rPr>
          <w:lang w:val="fr-CA"/>
        </w:rPr>
        <w:t>! [En i</w:t>
      </w:r>
      <w:r w:rsidR="00D147D6">
        <w:rPr>
          <w:lang w:val="fr-CA"/>
        </w:rPr>
        <w:t>talique</w:t>
      </w:r>
      <w:r w:rsidRPr="009F420B">
        <w:rPr>
          <w:lang w:val="fr-CA"/>
        </w:rPr>
        <w:t xml:space="preserve"> dans l</w:t>
      </w:r>
      <w:r>
        <w:rPr>
          <w:lang w:val="fr-CA"/>
        </w:rPr>
        <w:t>’</w:t>
      </w:r>
      <w:r w:rsidRPr="009F420B">
        <w:rPr>
          <w:lang w:val="fr-CA"/>
        </w:rPr>
        <w:t>original.]</w:t>
      </w:r>
    </w:p>
    <w:p w:rsidR="00AF6697" w:rsidRPr="009F420B" w:rsidRDefault="00AF6697" w:rsidP="00AF6697">
      <w:pPr>
        <w:pStyle w:val="ParaNoNdepar-AltN"/>
        <w:rPr>
          <w:rFonts w:cs="Times New Roman"/>
          <w:lang w:val="fr-CA"/>
        </w:rPr>
      </w:pPr>
      <w:r w:rsidRPr="009F420B">
        <w:rPr>
          <w:rFonts w:cs="Times New Roman"/>
          <w:lang w:val="fr-CA"/>
        </w:rPr>
        <w:t>La doctrine est donc constante à ce sujet</w:t>
      </w:r>
      <w:r>
        <w:rPr>
          <w:rFonts w:cs="Times New Roman"/>
          <w:lang w:val="fr-CA"/>
        </w:rPr>
        <w:t> :</w:t>
      </w:r>
      <w:r w:rsidRPr="009F420B">
        <w:rPr>
          <w:rFonts w:cs="Times New Roman"/>
          <w:lang w:val="fr-CA"/>
        </w:rPr>
        <w:t xml:space="preserve"> un tribunal québécois peut reconnaître la compétence d</w:t>
      </w:r>
      <w:r>
        <w:rPr>
          <w:rFonts w:cs="Times New Roman"/>
          <w:lang w:val="fr-CA"/>
        </w:rPr>
        <w:t>’</w:t>
      </w:r>
      <w:r w:rsidRPr="009F420B">
        <w:rPr>
          <w:rFonts w:cs="Times New Roman"/>
          <w:lang w:val="fr-CA"/>
        </w:rPr>
        <w:t>un tribunal étranger en application d</w:t>
      </w:r>
      <w:r>
        <w:rPr>
          <w:rFonts w:cs="Times New Roman"/>
          <w:lang w:val="fr-CA"/>
        </w:rPr>
        <w:t>’</w:t>
      </w:r>
      <w:r w:rsidRPr="009F420B">
        <w:rPr>
          <w:rFonts w:cs="Times New Roman"/>
          <w:lang w:val="fr-CA"/>
        </w:rPr>
        <w:t>une des « dispositions générales » énoncées au chapitre premier du titre troisième, y compris l</w:t>
      </w:r>
      <w:r>
        <w:rPr>
          <w:rFonts w:cs="Times New Roman"/>
          <w:lang w:val="fr-CA"/>
        </w:rPr>
        <w:t>’art. </w:t>
      </w:r>
      <w:r w:rsidRPr="009F420B">
        <w:rPr>
          <w:rFonts w:cs="Times New Roman"/>
          <w:lang w:val="fr-CA"/>
        </w:rPr>
        <w:t xml:space="preserve">3139 </w:t>
      </w:r>
      <w:r w:rsidRPr="009F420B">
        <w:rPr>
          <w:rFonts w:cs="Times New Roman"/>
          <w:i/>
          <w:lang w:val="fr-CA"/>
        </w:rPr>
        <w:t xml:space="preserve">C.c.Q. </w:t>
      </w:r>
      <w:r w:rsidRPr="009F420B">
        <w:rPr>
          <w:rFonts w:cs="Times New Roman"/>
          <w:lang w:val="fr-CA"/>
        </w:rPr>
        <w:t>En effet, et je reprends ici l</w:t>
      </w:r>
      <w:r>
        <w:rPr>
          <w:rFonts w:cs="Times New Roman"/>
          <w:lang w:val="fr-CA"/>
        </w:rPr>
        <w:t>’</w:t>
      </w:r>
      <w:r w:rsidRPr="009F420B">
        <w:rPr>
          <w:rFonts w:cs="Times New Roman"/>
          <w:lang w:val="fr-CA"/>
        </w:rPr>
        <w:t>argument que j</w:t>
      </w:r>
      <w:r>
        <w:rPr>
          <w:rFonts w:cs="Times New Roman"/>
          <w:lang w:val="fr-CA"/>
        </w:rPr>
        <w:t>’</w:t>
      </w:r>
      <w:r w:rsidRPr="009F420B">
        <w:rPr>
          <w:rFonts w:cs="Times New Roman"/>
          <w:lang w:val="fr-CA"/>
        </w:rPr>
        <w:t>ai soulevé précédemment (</w:t>
      </w:r>
      <w:r>
        <w:rPr>
          <w:rFonts w:cs="Times New Roman"/>
          <w:lang w:val="fr-CA"/>
        </w:rPr>
        <w:t>par. 113</w:t>
      </w:r>
      <w:r>
        <w:rPr>
          <w:rFonts w:cs="Times New Roman"/>
          <w:lang w:val="fr-CA"/>
        </w:rPr>
        <w:noBreakHyphen/>
        <w:t>114</w:t>
      </w:r>
      <w:r w:rsidRPr="009F420B">
        <w:rPr>
          <w:rFonts w:cs="Times New Roman"/>
          <w:lang w:val="fr-CA"/>
        </w:rPr>
        <w:t>), la compétence du tribunal étranger s</w:t>
      </w:r>
      <w:r>
        <w:rPr>
          <w:rFonts w:cs="Times New Roman"/>
          <w:lang w:val="fr-CA"/>
        </w:rPr>
        <w:t>’</w:t>
      </w:r>
      <w:r w:rsidRPr="009F420B">
        <w:rPr>
          <w:rFonts w:cs="Times New Roman"/>
          <w:lang w:val="fr-CA"/>
        </w:rPr>
        <w:t xml:space="preserve">apprécie en fonction </w:t>
      </w:r>
      <w:r w:rsidRPr="009F420B">
        <w:rPr>
          <w:rFonts w:cs="Times New Roman"/>
          <w:i/>
          <w:lang w:val="fr-CA"/>
        </w:rPr>
        <w:t>à la fois</w:t>
      </w:r>
      <w:r w:rsidRPr="009F420B">
        <w:rPr>
          <w:rFonts w:cs="Times New Roman"/>
          <w:lang w:val="fr-CA"/>
        </w:rPr>
        <w:t xml:space="preserve"> du chapitre premier </w:t>
      </w:r>
      <w:r w:rsidRPr="009F420B">
        <w:rPr>
          <w:rFonts w:cs="Times New Roman"/>
          <w:lang w:val="fr-CA" w:bidi="en-US"/>
        </w:rPr>
        <w:t>(« Dispositions générales ») et du chapitre deuxième (« Dispositions particulières ») du titre troisième. Les auteurs de doctrine s</w:t>
      </w:r>
      <w:r>
        <w:rPr>
          <w:rFonts w:cs="Times New Roman"/>
          <w:lang w:val="fr-CA" w:bidi="en-US"/>
        </w:rPr>
        <w:t>’</w:t>
      </w:r>
      <w:r w:rsidRPr="009F420B">
        <w:rPr>
          <w:rFonts w:cs="Times New Roman"/>
          <w:lang w:val="fr-CA" w:bidi="en-US"/>
        </w:rPr>
        <w:t>entendent en outre pour dire que les dispositions générales du chapitre premier restent pertinentes pour l</w:t>
      </w:r>
      <w:r>
        <w:rPr>
          <w:rFonts w:cs="Times New Roman"/>
          <w:lang w:val="fr-CA" w:bidi="en-US"/>
        </w:rPr>
        <w:t>’</w:t>
      </w:r>
      <w:r w:rsidRPr="009F420B">
        <w:rPr>
          <w:rFonts w:cs="Times New Roman"/>
          <w:lang w:val="fr-CA" w:bidi="en-US"/>
        </w:rPr>
        <w:t>analyse requise relativement à l</w:t>
      </w:r>
      <w:r>
        <w:rPr>
          <w:rFonts w:cs="Times New Roman"/>
          <w:lang w:val="fr-CA" w:bidi="en-US"/>
        </w:rPr>
        <w:t>’</w:t>
      </w:r>
      <w:r w:rsidRPr="009F420B">
        <w:rPr>
          <w:rFonts w:cs="Times New Roman"/>
          <w:lang w:val="fr-CA" w:bidi="en-US"/>
        </w:rPr>
        <w:t xml:space="preserve">application de </w:t>
      </w:r>
      <w:r w:rsidRPr="009F420B">
        <w:rPr>
          <w:rFonts w:cs="Times New Roman"/>
          <w:lang w:val="fr-CA"/>
        </w:rPr>
        <w:t>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xml:space="preserve">, </w:t>
      </w:r>
      <w:r w:rsidRPr="009F420B">
        <w:rPr>
          <w:rFonts w:cs="Times New Roman"/>
          <w:i/>
          <w:lang w:val="fr-CA"/>
        </w:rPr>
        <w:t>même lorsqu</w:t>
      </w:r>
      <w:r>
        <w:rPr>
          <w:rFonts w:cs="Times New Roman"/>
          <w:i/>
          <w:lang w:val="fr-CA"/>
        </w:rPr>
        <w:t>’</w:t>
      </w:r>
      <w:r w:rsidRPr="009F420B">
        <w:rPr>
          <w:rFonts w:cs="Times New Roman"/>
          <w:lang w:val="fr-CA"/>
        </w:rPr>
        <w:t>il s</w:t>
      </w:r>
      <w:r>
        <w:rPr>
          <w:rFonts w:cs="Times New Roman"/>
          <w:lang w:val="fr-CA"/>
        </w:rPr>
        <w:t>’</w:t>
      </w:r>
      <w:r w:rsidRPr="009F420B">
        <w:rPr>
          <w:rFonts w:cs="Times New Roman"/>
          <w:lang w:val="fr-CA"/>
        </w:rPr>
        <w:t>agit d</w:t>
      </w:r>
      <w:r>
        <w:rPr>
          <w:rFonts w:cs="Times New Roman"/>
          <w:lang w:val="fr-CA"/>
        </w:rPr>
        <w:t>’</w:t>
      </w:r>
      <w:r w:rsidRPr="009F420B">
        <w:rPr>
          <w:rFonts w:cs="Times New Roman"/>
          <w:lang w:val="fr-CA"/>
        </w:rPr>
        <w:t>une « action personnelle à caractère patrimonial »</w:t>
      </w:r>
      <w:r>
        <w:rPr>
          <w:rFonts w:cs="Times New Roman"/>
          <w:lang w:val="fr-CA"/>
        </w:rPr>
        <w:t> :</w:t>
      </w:r>
    </w:p>
    <w:p w:rsidR="00AF6697" w:rsidRPr="009F420B" w:rsidRDefault="00AF6697" w:rsidP="00AF6697">
      <w:pPr>
        <w:pStyle w:val="Citation-AltC"/>
        <w:spacing w:after="240"/>
        <w:ind w:hanging="1166"/>
        <w:contextualSpacing w:val="0"/>
        <w:rPr>
          <w:lang w:val="fr-CA"/>
        </w:rPr>
      </w:pPr>
      <w:r>
        <w:rPr>
          <w:lang w:val="fr-CA"/>
        </w:rPr>
        <w:tab/>
      </w:r>
      <w:r w:rsidRPr="009F420B">
        <w:rPr>
          <w:lang w:val="fr-CA"/>
        </w:rPr>
        <w:t>Pour les raisons déjà indiquées, les chefs de compétence établis par l</w:t>
      </w:r>
      <w:r>
        <w:rPr>
          <w:lang w:val="fr-CA"/>
        </w:rPr>
        <w:t>’</w:t>
      </w:r>
      <w:r w:rsidRPr="009F420B">
        <w:rPr>
          <w:lang w:val="fr-CA"/>
        </w:rPr>
        <w:t xml:space="preserve">article 3168 doivent être appréciés à la lumière des dispositions générales </w:t>
      </w:r>
      <w:r w:rsidRPr="009F420B">
        <w:rPr>
          <w:lang w:val="fr-CA"/>
        </w:rPr>
        <w:lastRenderedPageBreak/>
        <w:t>du premier Chapitre du troisième Titre. Ainsi, [. . .] la compétence de l</w:t>
      </w:r>
      <w:r>
        <w:rPr>
          <w:lang w:val="fr-CA"/>
        </w:rPr>
        <w:t>’</w:t>
      </w:r>
      <w:r w:rsidRPr="009F420B">
        <w:rPr>
          <w:lang w:val="fr-CA"/>
        </w:rPr>
        <w:t>autorité étrangère peut être reconnue quand l</w:t>
      </w:r>
      <w:r>
        <w:rPr>
          <w:lang w:val="fr-CA"/>
        </w:rPr>
        <w:t>’</w:t>
      </w:r>
      <w:r w:rsidRPr="009F420B">
        <w:rPr>
          <w:lang w:val="fr-CA"/>
        </w:rPr>
        <w:t>autorité québécoise aurait exercé sa compétence dans une telle situation comme forum de nécessité, pour ordonner des mesures provisoires ou conservatoires, pour statuer sur une demande incidente ou reconventionnelle, ou en cas d</w:t>
      </w:r>
      <w:r>
        <w:rPr>
          <w:lang w:val="fr-CA"/>
        </w:rPr>
        <w:t>’</w:t>
      </w:r>
      <w:r w:rsidRPr="009F420B">
        <w:rPr>
          <w:lang w:val="fr-CA"/>
        </w:rPr>
        <w:t>urgence ou d</w:t>
      </w:r>
      <w:r>
        <w:rPr>
          <w:lang w:val="fr-CA"/>
        </w:rPr>
        <w:t>’</w:t>
      </w:r>
      <w:r w:rsidRPr="009F420B">
        <w:rPr>
          <w:lang w:val="fr-CA"/>
        </w:rPr>
        <w:t>inconvénients sérieux, pour protéger une personne ou ses biens.</w:t>
      </w:r>
    </w:p>
    <w:p w:rsidR="00AF6697" w:rsidRPr="009F420B" w:rsidRDefault="002F52C2" w:rsidP="00AF6697">
      <w:pPr>
        <w:pStyle w:val="Citation-AltC"/>
        <w:spacing w:after="240"/>
        <w:ind w:hanging="1166"/>
        <w:contextualSpacing w:val="0"/>
        <w:jc w:val="center"/>
        <w:rPr>
          <w:lang w:val="fr-CA"/>
        </w:rPr>
      </w:pPr>
      <w:r>
        <w:rPr>
          <w:lang w:val="fr-CA"/>
        </w:rPr>
        <w:tab/>
      </w:r>
      <w:r w:rsidR="00AF6697" w:rsidRPr="009F420B">
        <w:rPr>
          <w:lang w:val="fr-CA"/>
        </w:rPr>
        <w:t>. . .</w:t>
      </w:r>
    </w:p>
    <w:p w:rsidR="00AF6697" w:rsidRPr="009F420B" w:rsidRDefault="00AF6697" w:rsidP="00D17033">
      <w:pPr>
        <w:pStyle w:val="Citation-AltC"/>
        <w:tabs>
          <w:tab w:val="left" w:pos="1530"/>
        </w:tabs>
        <w:spacing w:after="240"/>
        <w:ind w:hanging="1166"/>
        <w:contextualSpacing w:val="0"/>
        <w:rPr>
          <w:lang w:val="fr-CA"/>
        </w:rPr>
      </w:pPr>
      <w:r>
        <w:rPr>
          <w:lang w:val="fr-CA"/>
        </w:rPr>
        <w:tab/>
      </w:r>
      <w:r w:rsidR="00D17033">
        <w:rPr>
          <w:lang w:val="fr-CA"/>
        </w:rPr>
        <w:tab/>
      </w:r>
      <w:r w:rsidRPr="009F420B">
        <w:rPr>
          <w:lang w:val="fr-CA"/>
        </w:rPr>
        <w:t>L</w:t>
      </w:r>
      <w:r>
        <w:rPr>
          <w:lang w:val="fr-CA"/>
        </w:rPr>
        <w:t>’</w:t>
      </w:r>
      <w:r w:rsidRPr="009F420B">
        <w:rPr>
          <w:lang w:val="fr-CA"/>
        </w:rPr>
        <w:t>absence d</w:t>
      </w:r>
      <w:r>
        <w:rPr>
          <w:lang w:val="fr-CA"/>
        </w:rPr>
        <w:t>’</w:t>
      </w:r>
      <w:r w:rsidRPr="009F420B">
        <w:rPr>
          <w:lang w:val="fr-CA"/>
        </w:rPr>
        <w:t>un caractère exclusif des articles 3165</w:t>
      </w:r>
      <w:r>
        <w:rPr>
          <w:lang w:val="fr-CA"/>
        </w:rPr>
        <w:noBreakHyphen/>
      </w:r>
      <w:r w:rsidRPr="009F420B">
        <w:rPr>
          <w:lang w:val="fr-CA"/>
        </w:rPr>
        <w:t>3168 est indiquée par l</w:t>
      </w:r>
      <w:r>
        <w:rPr>
          <w:lang w:val="fr-CA"/>
        </w:rPr>
        <w:t>’</w:t>
      </w:r>
      <w:r w:rsidRPr="009F420B">
        <w:rPr>
          <w:lang w:val="fr-CA"/>
        </w:rPr>
        <w:t>élimination de la phrase « En l</w:t>
      </w:r>
      <w:r>
        <w:rPr>
          <w:lang w:val="fr-CA"/>
        </w:rPr>
        <w:t>’</w:t>
      </w:r>
      <w:r w:rsidRPr="009F420B">
        <w:rPr>
          <w:lang w:val="fr-CA"/>
        </w:rPr>
        <w:t>absence de disposition particulière » du texte de ce qui est devenu l</w:t>
      </w:r>
      <w:r>
        <w:rPr>
          <w:lang w:val="fr-CA"/>
        </w:rPr>
        <w:t>’</w:t>
      </w:r>
      <w:r w:rsidRPr="009F420B">
        <w:rPr>
          <w:lang w:val="fr-CA"/>
        </w:rPr>
        <w:t>article 3164. Voir l</w:t>
      </w:r>
      <w:r>
        <w:rPr>
          <w:lang w:val="fr-CA"/>
        </w:rPr>
        <w:t>’</w:t>
      </w:r>
      <w:r w:rsidRPr="009F420B">
        <w:rPr>
          <w:lang w:val="fr-CA"/>
        </w:rPr>
        <w:t>article 3141 du Projet de loi 125 [</w:t>
      </w:r>
      <w:r w:rsidRPr="009F420B">
        <w:rPr>
          <w:i/>
          <w:lang w:val="fr-CA"/>
        </w:rPr>
        <w:t>Code civil du Québec</w:t>
      </w:r>
      <w:r w:rsidRPr="009F420B">
        <w:rPr>
          <w:lang w:val="fr-CA"/>
        </w:rPr>
        <w:t>, Projet de loi 125, 1</w:t>
      </w:r>
      <w:r w:rsidRPr="009F420B">
        <w:rPr>
          <w:vertAlign w:val="superscript"/>
          <w:lang w:val="fr-CA"/>
        </w:rPr>
        <w:t xml:space="preserve">re </w:t>
      </w:r>
      <w:r w:rsidRPr="009F420B">
        <w:rPr>
          <w:lang w:val="fr-CA"/>
        </w:rPr>
        <w:t>sess</w:t>
      </w:r>
      <w:r w:rsidR="00151FE8">
        <w:rPr>
          <w:lang w:val="fr-CA"/>
        </w:rPr>
        <w:t>.</w:t>
      </w:r>
      <w:r w:rsidRPr="009F420B">
        <w:rPr>
          <w:lang w:val="fr-CA"/>
        </w:rPr>
        <w:t>, 34</w:t>
      </w:r>
      <w:r w:rsidRPr="009F420B">
        <w:rPr>
          <w:vertAlign w:val="superscript"/>
          <w:lang w:val="fr-CA"/>
        </w:rPr>
        <w:t>e</w:t>
      </w:r>
      <w:r w:rsidRPr="009F420B">
        <w:rPr>
          <w:lang w:val="fr-CA"/>
        </w:rPr>
        <w:t xml:space="preserve"> lég</w:t>
      </w:r>
      <w:r w:rsidR="00151FE8">
        <w:rPr>
          <w:lang w:val="fr-CA"/>
        </w:rPr>
        <w:t>.</w:t>
      </w:r>
      <w:r w:rsidRPr="009F420B">
        <w:rPr>
          <w:lang w:val="fr-CA"/>
        </w:rPr>
        <w:t xml:space="preserve"> (Québec), Éditeur officiel du Québec, 1991]. Le principe du miroir est devenu ainsi le principe dominant, et non pas simplement un principe supplémentaire, dans la détermination de la compétence étrangère. Les dispositions particulières des articles 3165</w:t>
      </w:r>
      <w:r>
        <w:rPr>
          <w:lang w:val="fr-CA"/>
        </w:rPr>
        <w:noBreakHyphen/>
      </w:r>
      <w:r w:rsidRPr="009F420B">
        <w:rPr>
          <w:lang w:val="fr-CA"/>
        </w:rPr>
        <w:t>3168 écartent cependant les chefs de compétence applicables aux autorités québécoises dans les domaines qu</w:t>
      </w:r>
      <w:r>
        <w:rPr>
          <w:lang w:val="fr-CA"/>
        </w:rPr>
        <w:t>’</w:t>
      </w:r>
      <w:r w:rsidRPr="009F420B">
        <w:rPr>
          <w:lang w:val="fr-CA"/>
        </w:rPr>
        <w:t>elles indiquent, en vertu du principe de la primauté du texte spéci</w:t>
      </w:r>
      <w:r>
        <w:rPr>
          <w:lang w:val="fr-CA"/>
        </w:rPr>
        <w:t>al. </w:t>
      </w:r>
      <w:r w:rsidRPr="009F420B">
        <w:rPr>
          <w:lang w:val="fr-CA"/>
        </w:rPr>
        <w:t>[</w:t>
      </w:r>
      <w:r w:rsidR="00151FE8">
        <w:rPr>
          <w:lang w:val="fr-CA"/>
        </w:rPr>
        <w:t>N</w:t>
      </w:r>
      <w:r w:rsidRPr="009F420B">
        <w:rPr>
          <w:lang w:val="fr-CA"/>
        </w:rPr>
        <w:t>ote en bas de page omise.]</w:t>
      </w:r>
    </w:p>
    <w:p w:rsidR="00AF6697" w:rsidRPr="009F420B" w:rsidRDefault="00AF6697" w:rsidP="00776590">
      <w:pPr>
        <w:pStyle w:val="Citation-AltC"/>
        <w:ind w:left="0" w:hanging="1166"/>
        <w:contextualSpacing w:val="0"/>
        <w:rPr>
          <w:lang w:val="fr-CA"/>
        </w:rPr>
      </w:pPr>
      <w:r>
        <w:rPr>
          <w:lang w:val="fr-CA"/>
        </w:rPr>
        <w:tab/>
      </w:r>
      <w:r w:rsidRPr="009F420B">
        <w:rPr>
          <w:lang w:val="fr-CA"/>
        </w:rPr>
        <w:t xml:space="preserve">(H. </w:t>
      </w:r>
      <w:r>
        <w:rPr>
          <w:lang w:val="fr-CA"/>
        </w:rPr>
        <w:t>P. </w:t>
      </w:r>
      <w:r w:rsidRPr="009F420B">
        <w:rPr>
          <w:lang w:val="fr-CA"/>
        </w:rPr>
        <w:t xml:space="preserve">Glenn, « Droit international privé », </w:t>
      </w:r>
      <w:r w:rsidR="002F52C2">
        <w:rPr>
          <w:lang w:val="fr-CA"/>
        </w:rPr>
        <w:t xml:space="preserve">dans </w:t>
      </w:r>
      <w:r w:rsidR="00776590">
        <w:rPr>
          <w:i/>
          <w:lang w:val="fr-CA"/>
        </w:rPr>
        <w:t>La r</w:t>
      </w:r>
      <w:r w:rsidRPr="009F420B">
        <w:rPr>
          <w:i/>
          <w:lang w:val="fr-CA"/>
        </w:rPr>
        <w:t>éforme du Code civil</w:t>
      </w:r>
      <w:r w:rsidRPr="009F420B">
        <w:rPr>
          <w:lang w:val="fr-CA"/>
        </w:rPr>
        <w:t xml:space="preserve"> (1993), </w:t>
      </w:r>
      <w:r w:rsidR="00151FE8">
        <w:rPr>
          <w:lang w:val="fr-CA"/>
        </w:rPr>
        <w:t>t</w:t>
      </w:r>
      <w:r>
        <w:rPr>
          <w:lang w:val="fr-CA"/>
        </w:rPr>
        <w:t> </w:t>
      </w:r>
      <w:r w:rsidRPr="009F420B">
        <w:rPr>
          <w:lang w:val="fr-CA"/>
        </w:rPr>
        <w:t xml:space="preserve">3, 669, </w:t>
      </w:r>
      <w:r>
        <w:rPr>
          <w:lang w:val="fr-CA"/>
        </w:rPr>
        <w:t>p. </w:t>
      </w:r>
      <w:r w:rsidRPr="009F420B">
        <w:rPr>
          <w:lang w:val="fr-CA"/>
        </w:rPr>
        <w:t>778 et 798</w:t>
      </w:r>
      <w:r w:rsidR="00151FE8">
        <w:rPr>
          <w:lang w:val="fr-CA"/>
        </w:rPr>
        <w:t>-799</w:t>
      </w:r>
      <w:r w:rsidRPr="009F420B">
        <w:rPr>
          <w:lang w:val="fr-CA"/>
        </w:rPr>
        <w:t xml:space="preserve"> (note en bas de page 250))</w:t>
      </w:r>
    </w:p>
    <w:p w:rsidR="002F52C2" w:rsidRDefault="00AF6697" w:rsidP="00AF6697">
      <w:pPr>
        <w:pStyle w:val="Citation-AltC"/>
        <w:spacing w:after="240"/>
        <w:ind w:left="1168" w:hanging="1168"/>
        <w:contextualSpacing w:val="0"/>
        <w:rPr>
          <w:lang w:val="fr-CA"/>
        </w:rPr>
      </w:pPr>
      <w:r>
        <w:rPr>
          <w:lang w:val="fr-CA"/>
        </w:rPr>
        <w:tab/>
      </w:r>
      <w:r w:rsidRPr="009F420B">
        <w:rPr>
          <w:lang w:val="fr-CA"/>
        </w:rPr>
        <w:t>En effet, l</w:t>
      </w:r>
      <w:r>
        <w:rPr>
          <w:lang w:val="fr-CA"/>
        </w:rPr>
        <w:t>’</w:t>
      </w:r>
      <w:r w:rsidRPr="009F420B">
        <w:rPr>
          <w:lang w:val="fr-CA"/>
        </w:rPr>
        <w:t>article 3164 C.c.Q., renvoyant aux règles de compétence québécoises, ne limite aucunement celles</w:t>
      </w:r>
      <w:r>
        <w:rPr>
          <w:lang w:val="fr-CA"/>
        </w:rPr>
        <w:noBreakHyphen/>
      </w:r>
      <w:r w:rsidRPr="009F420B">
        <w:rPr>
          <w:lang w:val="fr-CA"/>
        </w:rPr>
        <w:t>ci aux règles spécifiques (</w:t>
      </w:r>
      <w:r>
        <w:rPr>
          <w:lang w:val="fr-CA"/>
        </w:rPr>
        <w:t>art. </w:t>
      </w:r>
      <w:r w:rsidRPr="009F420B">
        <w:rPr>
          <w:lang w:val="fr-CA"/>
        </w:rPr>
        <w:t xml:space="preserve">3141 à 3154 C.c.Q.), mais renvoie donc implicitement aussi aux articles 3134 à 3140 C.c.Q. </w:t>
      </w:r>
    </w:p>
    <w:p w:rsidR="002F52C2" w:rsidRDefault="002F52C2" w:rsidP="002F52C2">
      <w:pPr>
        <w:pStyle w:val="Citation-AltC"/>
        <w:spacing w:after="240"/>
        <w:ind w:left="1168" w:hanging="448"/>
        <w:contextualSpacing w:val="0"/>
        <w:jc w:val="center"/>
        <w:rPr>
          <w:lang w:val="fr-CA"/>
        </w:rPr>
      </w:pPr>
      <w:r>
        <w:rPr>
          <w:lang w:val="fr-CA"/>
        </w:rPr>
        <w:t>. . .</w:t>
      </w:r>
    </w:p>
    <w:p w:rsidR="002F52C2" w:rsidRDefault="000519F3" w:rsidP="000519F3">
      <w:pPr>
        <w:pStyle w:val="Citation-AltC"/>
        <w:tabs>
          <w:tab w:val="left" w:pos="1530"/>
        </w:tabs>
        <w:spacing w:after="240"/>
        <w:ind w:left="1168" w:hanging="2"/>
        <w:contextualSpacing w:val="0"/>
        <w:rPr>
          <w:lang w:val="fr-CA"/>
        </w:rPr>
      </w:pPr>
      <w:r>
        <w:rPr>
          <w:lang w:val="fr-CA"/>
        </w:rPr>
        <w:tab/>
      </w:r>
      <w:r>
        <w:rPr>
          <w:lang w:val="fr-CA"/>
        </w:rPr>
        <w:tab/>
      </w:r>
      <w:r w:rsidR="00AF6697" w:rsidRPr="009F420B">
        <w:rPr>
          <w:lang w:val="fr-CA"/>
        </w:rPr>
        <w:t>Inversement, la compétence exceptionnelle de l</w:t>
      </w:r>
      <w:r w:rsidR="00AF6697">
        <w:rPr>
          <w:lang w:val="fr-CA"/>
        </w:rPr>
        <w:t>’</w:t>
      </w:r>
      <w:r w:rsidR="00AF6697" w:rsidRPr="009F420B">
        <w:rPr>
          <w:lang w:val="fr-CA"/>
        </w:rPr>
        <w:t>autorité étrangère pourrait se justifier même en l</w:t>
      </w:r>
      <w:r w:rsidR="00AF6697">
        <w:rPr>
          <w:lang w:val="fr-CA"/>
        </w:rPr>
        <w:t>’</w:t>
      </w:r>
      <w:r w:rsidR="00AF6697" w:rsidRPr="009F420B">
        <w:rPr>
          <w:lang w:val="fr-CA"/>
        </w:rPr>
        <w:t>absence de compétence selon les règles normales, par exemple, sur la base du for de nécessité (</w:t>
      </w:r>
      <w:r w:rsidR="00AF6697">
        <w:rPr>
          <w:lang w:val="fr-CA"/>
        </w:rPr>
        <w:t>art. </w:t>
      </w:r>
      <w:r w:rsidR="00AF6697" w:rsidRPr="009F420B">
        <w:rPr>
          <w:lang w:val="fr-CA"/>
        </w:rPr>
        <w:t>3136 C.c.Q.), pour connaître d</w:t>
      </w:r>
      <w:r w:rsidR="00AF6697">
        <w:rPr>
          <w:lang w:val="fr-CA"/>
        </w:rPr>
        <w:t>’</w:t>
      </w:r>
      <w:r w:rsidR="00AF6697" w:rsidRPr="009F420B">
        <w:rPr>
          <w:lang w:val="fr-CA"/>
        </w:rPr>
        <w:t>une mesure incidente ou reconventionnelle sur laquelle elle ne serait pas normalement compétente (</w:t>
      </w:r>
      <w:r w:rsidR="00AF6697">
        <w:rPr>
          <w:lang w:val="fr-CA"/>
        </w:rPr>
        <w:t>art. </w:t>
      </w:r>
      <w:r w:rsidR="00AF6697" w:rsidRPr="009F420B">
        <w:rPr>
          <w:lang w:val="fr-CA"/>
        </w:rPr>
        <w:t>3139 C.c.Q.) ou pour prendre des mesures d</w:t>
      </w:r>
      <w:r w:rsidR="00AF6697">
        <w:rPr>
          <w:lang w:val="fr-CA"/>
        </w:rPr>
        <w:t>’</w:t>
      </w:r>
      <w:r w:rsidR="00AF6697" w:rsidRPr="009F420B">
        <w:rPr>
          <w:lang w:val="fr-CA"/>
        </w:rPr>
        <w:t>urgence ou provisoires ou pour protéger une personne et ses biens (</w:t>
      </w:r>
      <w:r w:rsidR="00AF6697">
        <w:rPr>
          <w:lang w:val="fr-CA"/>
        </w:rPr>
        <w:t>art. </w:t>
      </w:r>
      <w:r w:rsidR="00AF6697" w:rsidRPr="009F420B">
        <w:rPr>
          <w:lang w:val="fr-CA"/>
        </w:rPr>
        <w:t xml:space="preserve">3138 ou 3140 C.c.Q.). </w:t>
      </w:r>
    </w:p>
    <w:p w:rsidR="00AF6697" w:rsidRPr="009F420B" w:rsidRDefault="000519F3" w:rsidP="000519F3">
      <w:pPr>
        <w:pStyle w:val="Citation-AltC"/>
        <w:tabs>
          <w:tab w:val="left" w:pos="1530"/>
        </w:tabs>
        <w:spacing w:after="240"/>
        <w:ind w:left="1168" w:hanging="2"/>
        <w:contextualSpacing w:val="0"/>
        <w:rPr>
          <w:lang w:val="fr-CA"/>
        </w:rPr>
      </w:pPr>
      <w:r>
        <w:rPr>
          <w:lang w:val="fr-CA"/>
        </w:rPr>
        <w:tab/>
      </w:r>
      <w:r>
        <w:rPr>
          <w:lang w:val="fr-CA"/>
        </w:rPr>
        <w:tab/>
      </w:r>
      <w:r w:rsidR="00AF6697" w:rsidRPr="009F420B">
        <w:rPr>
          <w:lang w:val="fr-CA"/>
        </w:rPr>
        <w:t>Mais là ne s</w:t>
      </w:r>
      <w:r w:rsidR="00AF6697">
        <w:rPr>
          <w:lang w:val="fr-CA"/>
        </w:rPr>
        <w:t>’</w:t>
      </w:r>
      <w:r w:rsidR="00AF6697" w:rsidRPr="009F420B">
        <w:rPr>
          <w:lang w:val="fr-CA"/>
        </w:rPr>
        <w:t>arrêtent pas les conséquences logiques de l</w:t>
      </w:r>
      <w:r w:rsidR="00AF6697">
        <w:rPr>
          <w:lang w:val="fr-CA"/>
        </w:rPr>
        <w:t>’</w:t>
      </w:r>
      <w:r w:rsidR="00AF6697" w:rsidRPr="009F420B">
        <w:rPr>
          <w:lang w:val="fr-CA"/>
        </w:rPr>
        <w:t>admission sans limites précises du principe du miroir. Nous avons, en effet, mentionné plus haut que l</w:t>
      </w:r>
      <w:r w:rsidR="00AF6697">
        <w:rPr>
          <w:lang w:val="fr-CA"/>
        </w:rPr>
        <w:t>’</w:t>
      </w:r>
      <w:r w:rsidR="00AF6697" w:rsidRPr="009F420B">
        <w:rPr>
          <w:lang w:val="fr-CA"/>
        </w:rPr>
        <w:t xml:space="preserve">article 3164 C.c.Q. ne jouait pas </w:t>
      </w:r>
      <w:r w:rsidR="00AF6697" w:rsidRPr="009F420B">
        <w:rPr>
          <w:i/>
          <w:lang w:val="fr-CA"/>
        </w:rPr>
        <w:t>en principe</w:t>
      </w:r>
      <w:r w:rsidR="00AF6697" w:rsidRPr="009F420B">
        <w:rPr>
          <w:lang w:val="fr-CA"/>
        </w:rPr>
        <w:t xml:space="preserve"> </w:t>
      </w:r>
      <w:r w:rsidR="00AF6697" w:rsidRPr="009F420B">
        <w:rPr>
          <w:u w:val="single"/>
          <w:lang w:val="fr-CA"/>
        </w:rPr>
        <w:t>lorsque des règles de compétence spécifiques avaient été expressément adoptées pour les tribunaux étrangers (il s</w:t>
      </w:r>
      <w:r w:rsidR="00AF6697">
        <w:rPr>
          <w:u w:val="single"/>
          <w:lang w:val="fr-CA"/>
        </w:rPr>
        <w:t>’</w:t>
      </w:r>
      <w:r w:rsidR="00AF6697" w:rsidRPr="009F420B">
        <w:rPr>
          <w:u w:val="single"/>
          <w:lang w:val="fr-CA"/>
        </w:rPr>
        <w:t>agit des articles 3165 à 3168 C.c.Q.)</w:t>
      </w:r>
      <w:r w:rsidR="00AF6697" w:rsidRPr="009F420B">
        <w:rPr>
          <w:lang w:val="fr-CA"/>
        </w:rPr>
        <w:t>. Effectivement, il n</w:t>
      </w:r>
      <w:r w:rsidR="00AF6697">
        <w:rPr>
          <w:lang w:val="fr-CA"/>
        </w:rPr>
        <w:t>’</w:t>
      </w:r>
      <w:r w:rsidR="00AF6697" w:rsidRPr="009F420B">
        <w:rPr>
          <w:lang w:val="fr-CA"/>
        </w:rPr>
        <w:t>est pas possible de faire appel à cette disposition pour formuler de façon bilatérale les règles de compétence étrangères expresses, puisqu</w:t>
      </w:r>
      <w:r w:rsidR="00AF6697">
        <w:rPr>
          <w:lang w:val="fr-CA"/>
        </w:rPr>
        <w:t>’</w:t>
      </w:r>
      <w:r w:rsidR="00AF6697" w:rsidRPr="009F420B">
        <w:rPr>
          <w:lang w:val="fr-CA"/>
        </w:rPr>
        <w:t xml:space="preserve">elles sont déjà expressément rédigées, avec une formulation différente de celles des tribunaux québécois. </w:t>
      </w:r>
      <w:r w:rsidR="00AF6697" w:rsidRPr="009F420B">
        <w:rPr>
          <w:u w:val="single"/>
          <w:lang w:val="fr-CA"/>
        </w:rPr>
        <w:t xml:space="preserve">Toutefois, de la même façon que les règles de compétence québécoises spécifiques sont sujettes à </w:t>
      </w:r>
      <w:r w:rsidR="00AF6697" w:rsidRPr="009F420B">
        <w:rPr>
          <w:u w:val="single"/>
          <w:lang w:val="fr-CA"/>
        </w:rPr>
        <w:lastRenderedPageBreak/>
        <w:t>modification par l</w:t>
      </w:r>
      <w:r w:rsidR="00AF6697">
        <w:rPr>
          <w:u w:val="single"/>
          <w:lang w:val="fr-CA"/>
        </w:rPr>
        <w:t>’</w:t>
      </w:r>
      <w:r w:rsidR="00AF6697" w:rsidRPr="009F420B">
        <w:rPr>
          <w:u w:val="single"/>
          <w:lang w:val="fr-CA"/>
        </w:rPr>
        <w:t>effet des règles de compétence québécoises générales (</w:t>
      </w:r>
      <w:r w:rsidR="00AF6697">
        <w:rPr>
          <w:u w:val="single"/>
          <w:lang w:val="fr-CA"/>
        </w:rPr>
        <w:t>art. </w:t>
      </w:r>
      <w:r w:rsidR="00AF6697" w:rsidRPr="009F420B">
        <w:rPr>
          <w:u w:val="single"/>
          <w:lang w:val="fr-CA"/>
        </w:rPr>
        <w:t>3134 à 3140 C.c.Q.), par l</w:t>
      </w:r>
      <w:r w:rsidR="00AF6697">
        <w:rPr>
          <w:u w:val="single"/>
          <w:lang w:val="fr-CA"/>
        </w:rPr>
        <w:t>’</w:t>
      </w:r>
      <w:r w:rsidR="00AF6697" w:rsidRPr="009F420B">
        <w:rPr>
          <w:u w:val="single"/>
          <w:lang w:val="fr-CA"/>
        </w:rPr>
        <w:t>effet de l</w:t>
      </w:r>
      <w:r w:rsidR="00AF6697">
        <w:rPr>
          <w:u w:val="single"/>
          <w:lang w:val="fr-CA"/>
        </w:rPr>
        <w:t>’</w:t>
      </w:r>
      <w:r w:rsidR="00AF6697" w:rsidRPr="009F420B">
        <w:rPr>
          <w:u w:val="single"/>
          <w:lang w:val="fr-CA"/>
        </w:rPr>
        <w:t xml:space="preserve">article 3164, on peut considérer que les règles de compétence étrangères </w:t>
      </w:r>
      <w:r w:rsidR="00AF6697" w:rsidRPr="009F420B">
        <w:rPr>
          <w:i/>
          <w:u w:val="single"/>
          <w:lang w:val="fr-CA"/>
        </w:rPr>
        <w:t>expresses</w:t>
      </w:r>
      <w:r w:rsidR="00AF6697" w:rsidRPr="009F420B">
        <w:rPr>
          <w:u w:val="single"/>
          <w:lang w:val="fr-CA"/>
        </w:rPr>
        <w:t xml:space="preserve"> sont elles aussi sujettes à modification discrétionnaire en vertu des articles 3134 à 3140 C.c.Q.!</w:t>
      </w:r>
      <w:r w:rsidR="007C1DBD">
        <w:rPr>
          <w:lang w:val="fr-CA"/>
        </w:rPr>
        <w:t xml:space="preserve"> [Je souligne; </w:t>
      </w:r>
      <w:r w:rsidR="00AF6697" w:rsidRPr="009F420B">
        <w:rPr>
          <w:lang w:val="fr-CA"/>
        </w:rPr>
        <w:t>notes en bas de page omises.]</w:t>
      </w:r>
    </w:p>
    <w:p w:rsidR="00AF6697" w:rsidRPr="009F420B" w:rsidRDefault="00AF6697" w:rsidP="00776590">
      <w:pPr>
        <w:pStyle w:val="Citation-AltC"/>
        <w:ind w:left="0" w:hanging="1166"/>
        <w:contextualSpacing w:val="0"/>
        <w:rPr>
          <w:lang w:val="fr-CA"/>
        </w:rPr>
      </w:pPr>
      <w:r>
        <w:rPr>
          <w:lang w:val="fr-CA"/>
        </w:rPr>
        <w:tab/>
      </w:r>
      <w:r w:rsidRPr="009F420B">
        <w:rPr>
          <w:lang w:val="fr-CA"/>
        </w:rPr>
        <w:t>(Goldstein et Groffier (1998), n</w:t>
      </w:r>
      <w:r w:rsidRPr="009F420B">
        <w:rPr>
          <w:vertAlign w:val="superscript"/>
          <w:lang w:val="fr-CA"/>
        </w:rPr>
        <w:t>o</w:t>
      </w:r>
      <w:r w:rsidRPr="009F420B">
        <w:rPr>
          <w:lang w:val="fr-CA"/>
        </w:rPr>
        <w:t> 175)</w:t>
      </w:r>
    </w:p>
    <w:p w:rsidR="00AF6697" w:rsidRPr="009F420B" w:rsidRDefault="00AF6697" w:rsidP="00AF6697">
      <w:pPr>
        <w:pStyle w:val="Citation-AltC"/>
        <w:spacing w:after="240"/>
        <w:ind w:hanging="1166"/>
        <w:contextualSpacing w:val="0"/>
        <w:rPr>
          <w:lang w:val="fr-CA"/>
        </w:rPr>
      </w:pPr>
      <w:r>
        <w:rPr>
          <w:smallCaps/>
          <w:lang w:val="fr-CA"/>
        </w:rPr>
        <w:tab/>
      </w:r>
      <w:r w:rsidRPr="009F420B">
        <w:rPr>
          <w:smallCaps/>
          <w:lang w:val="fr-CA"/>
        </w:rPr>
        <w:t>[traduction</w:t>
      </w:r>
      <w:r w:rsidRPr="009F420B">
        <w:rPr>
          <w:lang w:val="fr-CA"/>
        </w:rPr>
        <w:t>]</w:t>
      </w:r>
    </w:p>
    <w:p w:rsidR="00AF6697" w:rsidRPr="009F420B" w:rsidRDefault="00AF6697" w:rsidP="00AF6697">
      <w:pPr>
        <w:pStyle w:val="Citation-AltC"/>
        <w:spacing w:before="120" w:after="240"/>
        <w:ind w:hanging="1166"/>
        <w:contextualSpacing w:val="0"/>
        <w:rPr>
          <w:lang w:val="fr-CA"/>
        </w:rPr>
      </w:pPr>
      <w:r>
        <w:rPr>
          <w:lang w:val="fr-CA"/>
        </w:rPr>
        <w:tab/>
        <w:t>b. </w:t>
      </w:r>
      <w:r w:rsidRPr="009F420B">
        <w:rPr>
          <w:lang w:val="fr-CA"/>
        </w:rPr>
        <w:t>La théorie du « petit miroir »</w:t>
      </w:r>
    </w:p>
    <w:p w:rsidR="00151FE8" w:rsidRDefault="00AF6697" w:rsidP="00151FE8">
      <w:pPr>
        <w:pStyle w:val="Citation-AltC"/>
        <w:tabs>
          <w:tab w:val="left" w:pos="1530"/>
        </w:tabs>
        <w:spacing w:after="240"/>
        <w:ind w:left="1168" w:hanging="1168"/>
        <w:contextualSpacing w:val="0"/>
        <w:rPr>
          <w:lang w:val="fr-CA"/>
        </w:rPr>
      </w:pPr>
      <w:r>
        <w:rPr>
          <w:lang w:val="fr-CA"/>
        </w:rPr>
        <w:tab/>
      </w:r>
      <w:r w:rsidR="000519F3">
        <w:rPr>
          <w:lang w:val="fr-CA"/>
        </w:rPr>
        <w:tab/>
      </w:r>
      <w:r w:rsidRPr="009F420B">
        <w:rPr>
          <w:lang w:val="fr-CA"/>
        </w:rPr>
        <w:t>L</w:t>
      </w:r>
      <w:r>
        <w:rPr>
          <w:lang w:val="fr-CA"/>
        </w:rPr>
        <w:t>’</w:t>
      </w:r>
      <w:r w:rsidRPr="009F420B">
        <w:rPr>
          <w:lang w:val="fr-CA"/>
        </w:rPr>
        <w:t xml:space="preserve">article 3164 </w:t>
      </w:r>
      <w:r w:rsidRPr="00151FE8">
        <w:rPr>
          <w:lang w:val="fr-CA"/>
        </w:rPr>
        <w:t>C.c.Q.</w:t>
      </w:r>
      <w:r w:rsidRPr="009F420B">
        <w:rPr>
          <w:lang w:val="fr-CA"/>
        </w:rPr>
        <w:t xml:space="preserve"> permet également au tribunal qui juge de la compétence d</w:t>
      </w:r>
      <w:r>
        <w:rPr>
          <w:lang w:val="fr-CA"/>
        </w:rPr>
        <w:t>’</w:t>
      </w:r>
      <w:r w:rsidRPr="009F420B">
        <w:rPr>
          <w:lang w:val="fr-CA"/>
        </w:rPr>
        <w:t>un tribunal étranger de faire appel aux règles discrétionnaires générales applicables à l</w:t>
      </w:r>
      <w:r>
        <w:rPr>
          <w:lang w:val="fr-CA"/>
        </w:rPr>
        <w:t>’</w:t>
      </w:r>
      <w:r w:rsidRPr="009F420B">
        <w:rPr>
          <w:lang w:val="fr-CA"/>
        </w:rPr>
        <w:t>exercice par les tribunaux québécois de leur compétence en application du titre troisième (c.</w:t>
      </w:r>
      <w:r>
        <w:rPr>
          <w:lang w:val="fr-CA"/>
        </w:rPr>
        <w:noBreakHyphen/>
      </w:r>
      <w:r w:rsidRPr="009F420B">
        <w:rPr>
          <w:lang w:val="fr-CA"/>
        </w:rPr>
        <w:t>à</w:t>
      </w:r>
      <w:r>
        <w:rPr>
          <w:lang w:val="fr-CA"/>
        </w:rPr>
        <w:noBreakHyphen/>
      </w:r>
      <w:r w:rsidRPr="009F420B">
        <w:rPr>
          <w:lang w:val="fr-CA"/>
        </w:rPr>
        <w:t xml:space="preserve">d. aux </w:t>
      </w:r>
      <w:r>
        <w:rPr>
          <w:lang w:val="fr-CA"/>
        </w:rPr>
        <w:t>art. </w:t>
      </w:r>
      <w:r w:rsidRPr="009F420B">
        <w:rPr>
          <w:lang w:val="fr-CA"/>
        </w:rPr>
        <w:t xml:space="preserve">3134 à 3140 </w:t>
      </w:r>
      <w:r w:rsidRPr="00151FE8">
        <w:rPr>
          <w:lang w:val="fr-CA"/>
        </w:rPr>
        <w:t>C.c.Q</w:t>
      </w:r>
      <w:r w:rsidRPr="009F420B">
        <w:rPr>
          <w:lang w:val="fr-CA"/>
        </w:rPr>
        <w:t xml:space="preserve">.). </w:t>
      </w:r>
    </w:p>
    <w:p w:rsidR="00151FE8" w:rsidRDefault="00151FE8" w:rsidP="00151FE8">
      <w:pPr>
        <w:pStyle w:val="Citation-AltC"/>
        <w:tabs>
          <w:tab w:val="left" w:pos="1530"/>
        </w:tabs>
        <w:spacing w:after="240"/>
        <w:ind w:left="1168" w:hanging="1168"/>
        <w:contextualSpacing w:val="0"/>
        <w:jc w:val="center"/>
        <w:rPr>
          <w:lang w:val="fr-CA"/>
        </w:rPr>
      </w:pPr>
      <w:r>
        <w:rPr>
          <w:lang w:val="fr-CA"/>
        </w:rPr>
        <w:t>. . .</w:t>
      </w:r>
    </w:p>
    <w:p w:rsidR="00AF6697" w:rsidRPr="009F420B" w:rsidRDefault="000519F3" w:rsidP="00151FE8">
      <w:pPr>
        <w:pStyle w:val="Citation-AltC"/>
        <w:tabs>
          <w:tab w:val="left" w:pos="1530"/>
        </w:tabs>
        <w:spacing w:after="240"/>
        <w:ind w:left="1168" w:hanging="1168"/>
        <w:contextualSpacing w:val="0"/>
        <w:rPr>
          <w:lang w:val="fr-CA"/>
        </w:rPr>
      </w:pPr>
      <w:r>
        <w:rPr>
          <w:lang w:val="fr-CA"/>
        </w:rPr>
        <w:tab/>
      </w:r>
      <w:r w:rsidR="00151FE8">
        <w:rPr>
          <w:lang w:val="fr-CA"/>
        </w:rPr>
        <w:tab/>
      </w:r>
      <w:r w:rsidR="00AF6697" w:rsidRPr="009F420B">
        <w:rPr>
          <w:lang w:val="fr-CA"/>
        </w:rPr>
        <w:t>Bien que l</w:t>
      </w:r>
      <w:r w:rsidR="00AF6697">
        <w:rPr>
          <w:lang w:val="fr-CA"/>
        </w:rPr>
        <w:t>’art. </w:t>
      </w:r>
      <w:r w:rsidR="00AF6697" w:rsidRPr="009F420B">
        <w:rPr>
          <w:lang w:val="fr-CA"/>
        </w:rPr>
        <w:t xml:space="preserve">3164 </w:t>
      </w:r>
      <w:r w:rsidR="00AF6697" w:rsidRPr="00151FE8">
        <w:rPr>
          <w:lang w:val="fr-CA"/>
        </w:rPr>
        <w:t>C.c.Q.</w:t>
      </w:r>
      <w:r w:rsidR="00AF6697" w:rsidRPr="009F420B">
        <w:rPr>
          <w:lang w:val="fr-CA"/>
        </w:rPr>
        <w:t xml:space="preserve"> permette d</w:t>
      </w:r>
      <w:r w:rsidR="00AF6697">
        <w:rPr>
          <w:lang w:val="fr-CA"/>
        </w:rPr>
        <w:t>’</w:t>
      </w:r>
      <w:r w:rsidR="00AF6697" w:rsidRPr="009F420B">
        <w:rPr>
          <w:lang w:val="fr-CA"/>
        </w:rPr>
        <w:t>appliquer la « théorie du petit miroir » uniquement aux cas prévus au titre troisième, il semblerait que, si elle s</w:t>
      </w:r>
      <w:r w:rsidR="00AF6697">
        <w:rPr>
          <w:lang w:val="fr-CA"/>
        </w:rPr>
        <w:t>’</w:t>
      </w:r>
      <w:r w:rsidR="00AF6697" w:rsidRPr="009F420B">
        <w:rPr>
          <w:lang w:val="fr-CA"/>
        </w:rPr>
        <w:t>applique aux cas qui y sont énoncés, il n</w:t>
      </w:r>
      <w:r w:rsidR="00AF6697">
        <w:rPr>
          <w:lang w:val="fr-CA"/>
        </w:rPr>
        <w:t>’</w:t>
      </w:r>
      <w:r w:rsidR="00AF6697" w:rsidRPr="009F420B">
        <w:rPr>
          <w:lang w:val="fr-CA"/>
        </w:rPr>
        <w:t>y a aucune raison pour laquelle cette théorie ne devrait pas s</w:t>
      </w:r>
      <w:r w:rsidR="00AF6697">
        <w:rPr>
          <w:lang w:val="fr-CA"/>
        </w:rPr>
        <w:t>’</w:t>
      </w:r>
      <w:r w:rsidR="00AF6697" w:rsidRPr="009F420B">
        <w:rPr>
          <w:lang w:val="fr-CA"/>
        </w:rPr>
        <w:t>appliquer également aux actions personnelles à caractère patrimonial (</w:t>
      </w:r>
      <w:r w:rsidR="00AF6697">
        <w:rPr>
          <w:lang w:val="fr-CA"/>
        </w:rPr>
        <w:t>art. </w:t>
      </w:r>
      <w:r w:rsidR="00AF6697" w:rsidRPr="009F420B">
        <w:rPr>
          <w:lang w:val="fr-CA"/>
        </w:rPr>
        <w:t>3168 </w:t>
      </w:r>
      <w:r w:rsidR="00AF6697" w:rsidRPr="009F420B">
        <w:rPr>
          <w:i/>
          <w:lang w:val="fr-CA"/>
        </w:rPr>
        <w:t>C.c.Q.</w:t>
      </w:r>
      <w:r w:rsidR="00AF6697" w:rsidRPr="009F420B">
        <w:rPr>
          <w:lang w:val="fr-CA"/>
        </w:rPr>
        <w:t>). [Note en bas de page omise.]</w:t>
      </w:r>
    </w:p>
    <w:p w:rsidR="00AF6697" w:rsidRPr="009F420B" w:rsidRDefault="00AF6697" w:rsidP="00776590">
      <w:pPr>
        <w:pStyle w:val="Citation-AltC"/>
        <w:ind w:left="0"/>
        <w:contextualSpacing w:val="0"/>
        <w:rPr>
          <w:lang w:val="fr-CA"/>
        </w:rPr>
      </w:pPr>
      <w:r w:rsidRPr="009F420B">
        <w:rPr>
          <w:lang w:val="fr-CA"/>
        </w:rPr>
        <w:t xml:space="preserve">(Talpis, </w:t>
      </w:r>
      <w:r>
        <w:rPr>
          <w:lang w:val="fr-CA"/>
        </w:rPr>
        <w:t>p. </w:t>
      </w:r>
      <w:r w:rsidRPr="009F420B">
        <w:rPr>
          <w:lang w:val="fr-CA"/>
        </w:rPr>
        <w:t xml:space="preserve">107) </w:t>
      </w:r>
    </w:p>
    <w:p w:rsidR="00AF6697" w:rsidRPr="009F420B" w:rsidRDefault="00AF6697" w:rsidP="00AF6697">
      <w:pPr>
        <w:pStyle w:val="Citation-AltC"/>
        <w:spacing w:after="240"/>
        <w:ind w:left="1168" w:hanging="1168"/>
        <w:contextualSpacing w:val="0"/>
        <w:rPr>
          <w:lang w:val="fr-CA"/>
        </w:rPr>
      </w:pPr>
      <w:r>
        <w:rPr>
          <w:lang w:val="fr-CA"/>
        </w:rPr>
        <w:tab/>
      </w:r>
      <w:r w:rsidR="000A0247">
        <w:rPr>
          <w:lang w:val="fr-CA"/>
        </w:rPr>
        <w:t>. . .</w:t>
      </w:r>
      <w:r w:rsidRPr="009F420B">
        <w:rPr>
          <w:lang w:val="fr-CA"/>
        </w:rPr>
        <w:t xml:space="preserve"> même si l</w:t>
      </w:r>
      <w:r>
        <w:rPr>
          <w:lang w:val="fr-CA"/>
        </w:rPr>
        <w:t>’</w:t>
      </w:r>
      <w:r w:rsidRPr="009F420B">
        <w:rPr>
          <w:lang w:val="fr-CA"/>
        </w:rPr>
        <w:t xml:space="preserve">article 3168 C.c.Q. ne donne pas compétence au tribunal étranger </w:t>
      </w:r>
      <w:r w:rsidR="00151FE8">
        <w:rPr>
          <w:lang w:val="fr-CA"/>
        </w:rPr>
        <w:t>en l’espèce</w:t>
      </w:r>
      <w:r w:rsidRPr="009F420B">
        <w:rPr>
          <w:lang w:val="fr-CA"/>
        </w:rPr>
        <w:t xml:space="preserve">, on pourrait quand même la lui reconnaître soit </w:t>
      </w:r>
      <w:r w:rsidR="00151FE8">
        <w:rPr>
          <w:lang w:val="fr-CA"/>
        </w:rPr>
        <w:t xml:space="preserve">selon </w:t>
      </w:r>
      <w:r w:rsidRPr="009F420B">
        <w:rPr>
          <w:lang w:val="fr-CA"/>
        </w:rPr>
        <w:t>l</w:t>
      </w:r>
      <w:r>
        <w:rPr>
          <w:lang w:val="fr-CA"/>
        </w:rPr>
        <w:t>’</w:t>
      </w:r>
      <w:r w:rsidRPr="009F420B">
        <w:rPr>
          <w:lang w:val="fr-CA"/>
        </w:rPr>
        <w:t>article 3136 C.c.Q. parce qu</w:t>
      </w:r>
      <w:r>
        <w:rPr>
          <w:lang w:val="fr-CA"/>
        </w:rPr>
        <w:t>’</w:t>
      </w:r>
      <w:r w:rsidRPr="009F420B">
        <w:rPr>
          <w:lang w:val="fr-CA"/>
        </w:rPr>
        <w:t>il n</w:t>
      </w:r>
      <w:r>
        <w:rPr>
          <w:lang w:val="fr-CA"/>
        </w:rPr>
        <w:t>’</w:t>
      </w:r>
      <w:r w:rsidRPr="009F420B">
        <w:rPr>
          <w:lang w:val="fr-CA"/>
        </w:rPr>
        <w:t>existait aucun tribunal devant lequel on pouvait exiger que le demandeur aille intenter l</w:t>
      </w:r>
      <w:r>
        <w:rPr>
          <w:lang w:val="fr-CA"/>
        </w:rPr>
        <w:t>’</w:t>
      </w:r>
      <w:r w:rsidRPr="009F420B">
        <w:rPr>
          <w:lang w:val="fr-CA"/>
        </w:rPr>
        <w:t>action, soit en cas d</w:t>
      </w:r>
      <w:r>
        <w:rPr>
          <w:lang w:val="fr-CA"/>
        </w:rPr>
        <w:t>’</w:t>
      </w:r>
      <w:r w:rsidRPr="009F420B">
        <w:rPr>
          <w:lang w:val="fr-CA"/>
        </w:rPr>
        <w:t>extension de compétence principale, reconnue par nos règles, à une question sujette à une compétence incidente ou reconventionnelle [</w:t>
      </w:r>
      <w:r>
        <w:rPr>
          <w:lang w:val="fr-CA"/>
        </w:rPr>
        <w:t>art. </w:t>
      </w:r>
      <w:r w:rsidRPr="009F420B">
        <w:rPr>
          <w:lang w:val="fr-CA"/>
        </w:rPr>
        <w:t>3139 C.c.Q.], soit pour un motif d</w:t>
      </w:r>
      <w:r>
        <w:rPr>
          <w:lang w:val="fr-CA"/>
        </w:rPr>
        <w:t>’</w:t>
      </w:r>
      <w:r w:rsidRPr="009F420B">
        <w:rPr>
          <w:lang w:val="fr-CA"/>
        </w:rPr>
        <w:t>urgence [</w:t>
      </w:r>
      <w:r>
        <w:rPr>
          <w:lang w:val="fr-CA"/>
        </w:rPr>
        <w:t>art. </w:t>
      </w:r>
      <w:r w:rsidRPr="009F420B">
        <w:rPr>
          <w:lang w:val="fr-CA"/>
        </w:rPr>
        <w:t>3140 C.c.Q.] ou encore pour ordonner une mesure conservatoire [</w:t>
      </w:r>
      <w:r>
        <w:rPr>
          <w:lang w:val="fr-CA"/>
        </w:rPr>
        <w:t>art. </w:t>
      </w:r>
      <w:r w:rsidRPr="009F420B">
        <w:rPr>
          <w:lang w:val="fr-CA"/>
        </w:rPr>
        <w:t>3138 C.c.Q.]. Ces solutions nous paraissent très raisonnables en pratique et correspondent à l</w:t>
      </w:r>
      <w:r>
        <w:rPr>
          <w:lang w:val="fr-CA"/>
        </w:rPr>
        <w:t>’</w:t>
      </w:r>
      <w:r w:rsidRPr="009F420B">
        <w:rPr>
          <w:lang w:val="fr-CA"/>
        </w:rPr>
        <w:t>optique internationaliste qui sous</w:t>
      </w:r>
      <w:r>
        <w:rPr>
          <w:lang w:val="fr-CA"/>
        </w:rPr>
        <w:noBreakHyphen/>
      </w:r>
      <w:r w:rsidRPr="009F420B">
        <w:rPr>
          <w:lang w:val="fr-CA"/>
        </w:rPr>
        <w:t>tend le droit international privé québécois depuis l</w:t>
      </w:r>
      <w:r>
        <w:rPr>
          <w:lang w:val="fr-CA"/>
        </w:rPr>
        <w:t>’</w:t>
      </w:r>
      <w:r w:rsidRPr="009F420B">
        <w:rPr>
          <w:lang w:val="fr-CA"/>
        </w:rPr>
        <w:t xml:space="preserve">adoption du </w:t>
      </w:r>
      <w:r w:rsidRPr="002F52C2">
        <w:rPr>
          <w:lang w:val="fr-CA"/>
        </w:rPr>
        <w:t>Code civil du Québec</w:t>
      </w:r>
      <w:r w:rsidRPr="009F420B">
        <w:rPr>
          <w:lang w:val="fr-CA"/>
        </w:rPr>
        <w:t>. [Texte entre crochets dans l</w:t>
      </w:r>
      <w:r>
        <w:rPr>
          <w:lang w:val="fr-CA"/>
        </w:rPr>
        <w:t>’</w:t>
      </w:r>
      <w:r w:rsidRPr="009F420B">
        <w:rPr>
          <w:lang w:val="fr-CA"/>
        </w:rPr>
        <w:t>original.]</w:t>
      </w:r>
    </w:p>
    <w:p w:rsidR="00AF6697" w:rsidRPr="009F420B" w:rsidRDefault="00776590" w:rsidP="00DE5D44">
      <w:pPr>
        <w:pStyle w:val="Citation-AltC"/>
        <w:ind w:left="0"/>
        <w:contextualSpacing w:val="0"/>
        <w:rPr>
          <w:lang w:val="fr-CA"/>
        </w:rPr>
      </w:pPr>
      <w:r>
        <w:rPr>
          <w:lang w:val="fr-CA"/>
        </w:rPr>
        <w:t>(</w:t>
      </w:r>
      <w:r w:rsidR="00AF6697" w:rsidRPr="009F420B">
        <w:rPr>
          <w:lang w:val="fr-CA"/>
        </w:rPr>
        <w:t xml:space="preserve">Goldstein, </w:t>
      </w:r>
      <w:r w:rsidR="00AF6697">
        <w:rPr>
          <w:lang w:val="fr-CA"/>
        </w:rPr>
        <w:t>p. </w:t>
      </w:r>
      <w:r w:rsidR="00AF6697" w:rsidRPr="009F420B">
        <w:rPr>
          <w:lang w:val="fr-CA"/>
        </w:rPr>
        <w:t>439)</w:t>
      </w:r>
    </w:p>
    <w:p w:rsidR="00AF6697" w:rsidRPr="009F420B" w:rsidRDefault="00AF6697" w:rsidP="00AF6697">
      <w:pPr>
        <w:pStyle w:val="Title3LevelTitre3Niveau"/>
        <w:jc w:val="both"/>
        <w:rPr>
          <w:rFonts w:cs="Times New Roman"/>
          <w:lang w:val="fr-CA"/>
        </w:rPr>
      </w:pPr>
      <w:r w:rsidRPr="009F420B">
        <w:rPr>
          <w:rFonts w:cs="Times New Roman"/>
          <w:lang w:val="fr-CA"/>
        </w:rPr>
        <w:t>Le tribunal québécois peut</w:t>
      </w:r>
      <w:r>
        <w:rPr>
          <w:rFonts w:cs="Times New Roman"/>
          <w:lang w:val="fr-CA"/>
        </w:rPr>
        <w:noBreakHyphen/>
      </w:r>
      <w:r w:rsidRPr="009F420B">
        <w:rPr>
          <w:rFonts w:cs="Times New Roman"/>
          <w:lang w:val="fr-CA"/>
        </w:rPr>
        <w:t>il appliquer le critère du « rattachement important » entre le litige et l</w:t>
      </w:r>
      <w:r>
        <w:rPr>
          <w:rFonts w:cs="Times New Roman"/>
          <w:lang w:val="fr-CA"/>
        </w:rPr>
        <w:t>’</w:t>
      </w:r>
      <w:r w:rsidRPr="009F420B">
        <w:rPr>
          <w:rFonts w:cs="Times New Roman"/>
          <w:lang w:val="fr-CA"/>
        </w:rPr>
        <w:t xml:space="preserve">autorité étrangère de manière à refuser de </w:t>
      </w:r>
      <w:r w:rsidRPr="009F420B">
        <w:rPr>
          <w:rFonts w:cs="Times New Roman"/>
          <w:lang w:val="fr-CA"/>
        </w:rPr>
        <w:lastRenderedPageBreak/>
        <w:t xml:space="preserve">reconnaître la compétence de ce tribunal </w:t>
      </w:r>
      <w:r w:rsidRPr="009F420B">
        <w:rPr>
          <w:rFonts w:cs="Times New Roman"/>
          <w:i/>
          <w:lang w:val="fr-CA"/>
        </w:rPr>
        <w:t>même</w:t>
      </w:r>
      <w:r w:rsidRPr="009F420B">
        <w:rPr>
          <w:rFonts w:cs="Times New Roman"/>
          <w:lang w:val="fr-CA"/>
        </w:rPr>
        <w:t xml:space="preserve"> s</w:t>
      </w:r>
      <w:r>
        <w:rPr>
          <w:rFonts w:cs="Times New Roman"/>
          <w:lang w:val="fr-CA"/>
        </w:rPr>
        <w:t>’</w:t>
      </w:r>
      <w:r w:rsidRPr="009F420B">
        <w:rPr>
          <w:rFonts w:cs="Times New Roman"/>
          <w:lang w:val="fr-CA"/>
        </w:rPr>
        <w:t>il est satisfait à l</w:t>
      </w:r>
      <w:r>
        <w:rPr>
          <w:rFonts w:cs="Times New Roman"/>
          <w:lang w:val="fr-CA"/>
        </w:rPr>
        <w:t>’</w:t>
      </w:r>
      <w:r w:rsidRPr="009F420B">
        <w:rPr>
          <w:rFonts w:cs="Times New Roman"/>
          <w:lang w:val="fr-CA"/>
        </w:rPr>
        <w:t>un des critères de compétence prévus à l</w:t>
      </w:r>
      <w:r>
        <w:rPr>
          <w:rFonts w:cs="Times New Roman"/>
          <w:lang w:val="fr-CA"/>
        </w:rPr>
        <w:t>’</w:t>
      </w:r>
      <w:r w:rsidR="00EF7102">
        <w:rPr>
          <w:rFonts w:cs="Times New Roman"/>
          <w:lang w:val="fr-CA"/>
        </w:rPr>
        <w:t>art.</w:t>
      </w:r>
      <w:r w:rsidRPr="009F420B">
        <w:rPr>
          <w:rFonts w:cs="Times New Roman"/>
          <w:lang w:val="fr-CA"/>
        </w:rPr>
        <w:t xml:space="preserve"> 3168 </w:t>
      </w:r>
      <w:r w:rsidRPr="009F420B">
        <w:rPr>
          <w:rFonts w:cs="Times New Roman"/>
          <w:i/>
          <w:lang w:val="fr-CA"/>
        </w:rPr>
        <w:t>C.c.Q.</w:t>
      </w:r>
      <w:r w:rsidRPr="009F420B">
        <w:rPr>
          <w:rFonts w:cs="Times New Roman"/>
          <w:lang w:val="fr-CA"/>
        </w:rPr>
        <w:t>?</w:t>
      </w:r>
    </w:p>
    <w:p w:rsidR="00AF6697" w:rsidRPr="009F420B" w:rsidRDefault="00AF6697" w:rsidP="00AF6697">
      <w:pPr>
        <w:pStyle w:val="ParaNoNdepar-AltN"/>
        <w:rPr>
          <w:rFonts w:cs="Times New Roman"/>
          <w:lang w:val="fr-CA"/>
        </w:rPr>
      </w:pPr>
      <w:r w:rsidRPr="009F420B">
        <w:rPr>
          <w:rFonts w:cs="Times New Roman"/>
          <w:lang w:val="fr-CA"/>
        </w:rPr>
        <w:t>Faisons le point. Selon moi, l</w:t>
      </w:r>
      <w:r>
        <w:rPr>
          <w:rFonts w:cs="Times New Roman"/>
          <w:lang w:val="fr-CA"/>
        </w:rPr>
        <w:t>’</w:t>
      </w:r>
      <w:r w:rsidRPr="009F420B">
        <w:rPr>
          <w:rFonts w:cs="Times New Roman"/>
          <w:lang w:val="fr-CA"/>
        </w:rPr>
        <w:t>art</w:t>
      </w:r>
      <w:r w:rsidR="002F52C2">
        <w:rPr>
          <w:rFonts w:cs="Times New Roman"/>
          <w:lang w:val="fr-CA"/>
        </w:rPr>
        <w:t>.</w:t>
      </w:r>
      <w:r w:rsidRPr="009F420B">
        <w:rPr>
          <w:rFonts w:cs="Times New Roman"/>
          <w:lang w:val="fr-CA"/>
        </w:rPr>
        <w:t xml:space="preserve"> 3164 </w:t>
      </w:r>
      <w:r w:rsidRPr="009F420B">
        <w:rPr>
          <w:rFonts w:cs="Times New Roman"/>
          <w:i/>
          <w:lang w:val="fr-CA"/>
        </w:rPr>
        <w:t>C.c.Q.</w:t>
      </w:r>
      <w:r w:rsidRPr="009F420B">
        <w:rPr>
          <w:rFonts w:cs="Times New Roman"/>
          <w:lang w:val="fr-CA"/>
        </w:rPr>
        <w:t xml:space="preserve"> autorise le tribunal québécois à reconnaître la compétence d</w:t>
      </w:r>
      <w:r>
        <w:rPr>
          <w:rFonts w:cs="Times New Roman"/>
          <w:lang w:val="fr-CA"/>
        </w:rPr>
        <w:t>’</w:t>
      </w:r>
      <w:r w:rsidRPr="009F420B">
        <w:rPr>
          <w:rFonts w:cs="Times New Roman"/>
          <w:lang w:val="fr-CA"/>
        </w:rPr>
        <w:t>une autorité étrangère en se fondant sur une des « dispositions générales » du titre troisième, y compris le chapitre premier de celui</w:t>
      </w:r>
      <w:r>
        <w:rPr>
          <w:rFonts w:cs="Times New Roman"/>
          <w:lang w:val="fr-CA"/>
        </w:rPr>
        <w:noBreakHyphen/>
      </w:r>
      <w:r w:rsidRPr="009F420B">
        <w:rPr>
          <w:rFonts w:cs="Times New Roman"/>
          <w:lang w:val="fr-CA"/>
        </w:rPr>
        <w:t>ci et l</w:t>
      </w:r>
      <w:r>
        <w:rPr>
          <w:rFonts w:cs="Times New Roman"/>
          <w:lang w:val="fr-CA"/>
        </w:rPr>
        <w:t>’art. </w:t>
      </w:r>
      <w:r w:rsidRPr="009F420B">
        <w:rPr>
          <w:rFonts w:cs="Times New Roman"/>
          <w:lang w:val="fr-CA"/>
        </w:rPr>
        <w:t xml:space="preserve">3139 </w:t>
      </w:r>
      <w:r w:rsidRPr="009F420B">
        <w:rPr>
          <w:rFonts w:cs="Times New Roman"/>
          <w:i/>
          <w:lang w:val="fr-CA"/>
        </w:rPr>
        <w:t>C.c.Q.</w:t>
      </w:r>
      <w:r w:rsidRPr="009F420B">
        <w:rPr>
          <w:rFonts w:cs="Times New Roman"/>
          <w:lang w:val="fr-CA"/>
        </w:rPr>
        <w:t xml:space="preserve"> qui s</w:t>
      </w:r>
      <w:r>
        <w:rPr>
          <w:rFonts w:cs="Times New Roman"/>
          <w:lang w:val="fr-CA"/>
        </w:rPr>
        <w:t>’</w:t>
      </w:r>
      <w:r w:rsidRPr="009F420B">
        <w:rPr>
          <w:rFonts w:cs="Times New Roman"/>
          <w:lang w:val="fr-CA"/>
        </w:rPr>
        <w:t>y trouvent. Cela m</w:t>
      </w:r>
      <w:r>
        <w:rPr>
          <w:rFonts w:cs="Times New Roman"/>
          <w:lang w:val="fr-CA"/>
        </w:rPr>
        <w:t>’</w:t>
      </w:r>
      <w:r w:rsidRPr="009F420B">
        <w:rPr>
          <w:rFonts w:cs="Times New Roman"/>
          <w:lang w:val="fr-CA"/>
        </w:rPr>
        <w:t>amène à la deuxième question d</w:t>
      </w:r>
      <w:r>
        <w:rPr>
          <w:rFonts w:cs="Times New Roman"/>
          <w:lang w:val="fr-CA"/>
        </w:rPr>
        <w:t>’</w:t>
      </w:r>
      <w:r w:rsidRPr="009F420B">
        <w:rPr>
          <w:rFonts w:cs="Times New Roman"/>
          <w:lang w:val="fr-CA"/>
        </w:rPr>
        <w:t>interprétation qui découle du libellé de l</w:t>
      </w:r>
      <w:r>
        <w:rPr>
          <w:rFonts w:cs="Times New Roman"/>
          <w:lang w:val="fr-CA"/>
        </w:rPr>
        <w:t>’art. </w:t>
      </w:r>
      <w:r w:rsidRPr="009F420B">
        <w:rPr>
          <w:rFonts w:cs="Times New Roman"/>
          <w:lang w:val="fr-CA"/>
        </w:rPr>
        <w:t>3164, soit celle de savoir si un tribunal québécois peut appliquer le critère du « rattachement important » entre le litige et l</w:t>
      </w:r>
      <w:r>
        <w:rPr>
          <w:rFonts w:cs="Times New Roman"/>
          <w:lang w:val="fr-CA"/>
        </w:rPr>
        <w:t>’</w:t>
      </w:r>
      <w:r w:rsidRPr="009F420B">
        <w:rPr>
          <w:rFonts w:cs="Times New Roman"/>
          <w:lang w:val="fr-CA"/>
        </w:rPr>
        <w:t>État dont l</w:t>
      </w:r>
      <w:r>
        <w:rPr>
          <w:rFonts w:cs="Times New Roman"/>
          <w:lang w:val="fr-CA"/>
        </w:rPr>
        <w:t>’</w:t>
      </w:r>
      <w:r w:rsidRPr="009F420B">
        <w:rPr>
          <w:rFonts w:cs="Times New Roman"/>
          <w:lang w:val="fr-CA"/>
        </w:rPr>
        <w:t>autorité est saisie de manière à refuser de reconnaître la compétence de ce tribunal étranger même lorsqu</w:t>
      </w:r>
      <w:r>
        <w:rPr>
          <w:rFonts w:cs="Times New Roman"/>
          <w:lang w:val="fr-CA"/>
        </w:rPr>
        <w:t>’</w:t>
      </w:r>
      <w:r w:rsidRPr="009F420B">
        <w:rPr>
          <w:rFonts w:cs="Times New Roman"/>
          <w:lang w:val="fr-CA"/>
        </w:rPr>
        <w:t>il est satisfait à l</w:t>
      </w:r>
      <w:r>
        <w:rPr>
          <w:rFonts w:cs="Times New Roman"/>
          <w:lang w:val="fr-CA"/>
        </w:rPr>
        <w:t>’</w:t>
      </w:r>
      <w:r w:rsidRPr="009F420B">
        <w:rPr>
          <w:rFonts w:cs="Times New Roman"/>
          <w:lang w:val="fr-CA"/>
        </w:rPr>
        <w:t>un des critères de compétence prévus à l</w:t>
      </w:r>
      <w:r>
        <w:rPr>
          <w:rFonts w:cs="Times New Roman"/>
          <w:lang w:val="fr-CA"/>
        </w:rPr>
        <w:t>’art. </w:t>
      </w:r>
      <w:r w:rsidRPr="009F420B">
        <w:rPr>
          <w:rFonts w:cs="Times New Roman"/>
          <w:lang w:val="fr-CA"/>
        </w:rPr>
        <w:t xml:space="preserve">3168. </w:t>
      </w:r>
    </w:p>
    <w:p w:rsidR="00AF6697" w:rsidRPr="009F420B" w:rsidRDefault="00AF6697" w:rsidP="00AF6697">
      <w:pPr>
        <w:pStyle w:val="ParaNoNdepar-AltN"/>
        <w:rPr>
          <w:rFonts w:cs="Times New Roman"/>
          <w:lang w:val="fr-CA"/>
        </w:rPr>
      </w:pPr>
      <w:r w:rsidRPr="009F420B">
        <w:rPr>
          <w:rFonts w:cs="Times New Roman"/>
          <w:lang w:val="fr-CA"/>
        </w:rPr>
        <w:t>Le « critère du lien réel et substantiel » constitue à la fois un principe constitutionnel et, en common law, un principe directeur général de droit international privé</w:t>
      </w:r>
      <w:r>
        <w:rPr>
          <w:rFonts w:cs="Times New Roman"/>
          <w:lang w:val="fr-CA"/>
        </w:rPr>
        <w:t> :</w:t>
      </w:r>
      <w:r w:rsidRPr="009F420B">
        <w:rPr>
          <w:rFonts w:cs="Times New Roman"/>
          <w:lang w:val="fr-CA"/>
        </w:rPr>
        <w:t xml:space="preserve"> </w:t>
      </w:r>
      <w:r w:rsidRPr="009F420B">
        <w:rPr>
          <w:rFonts w:cs="Times New Roman"/>
          <w:i/>
          <w:lang w:val="fr-CA"/>
        </w:rPr>
        <w:t>Van Breda</w:t>
      </w:r>
      <w:r w:rsidRPr="009F420B">
        <w:rPr>
          <w:rFonts w:cs="Times New Roman"/>
          <w:lang w:val="fr-CA"/>
        </w:rPr>
        <w:t xml:space="preserve">, </w:t>
      </w:r>
      <w:r>
        <w:rPr>
          <w:rFonts w:cs="Times New Roman"/>
          <w:lang w:val="fr-CA"/>
        </w:rPr>
        <w:t>par. </w:t>
      </w:r>
      <w:r w:rsidRPr="009F420B">
        <w:rPr>
          <w:rFonts w:cs="Times New Roman"/>
          <w:lang w:val="fr-CA"/>
        </w:rPr>
        <w:t xml:space="preserve">22. </w:t>
      </w:r>
      <w:r w:rsidR="002F52C2">
        <w:rPr>
          <w:rFonts w:cs="Times New Roman"/>
          <w:lang w:val="fr-CA"/>
        </w:rPr>
        <w:t>« </w:t>
      </w:r>
      <w:r w:rsidRPr="009F420B">
        <w:rPr>
          <w:rFonts w:cs="Times New Roman"/>
          <w:lang w:val="fr-CA"/>
        </w:rPr>
        <w:t>Avant qu</w:t>
      </w:r>
      <w:r>
        <w:rPr>
          <w:rFonts w:cs="Times New Roman"/>
          <w:lang w:val="fr-CA"/>
        </w:rPr>
        <w:t>’</w:t>
      </w:r>
      <w:r w:rsidRPr="009F420B">
        <w:rPr>
          <w:rFonts w:cs="Times New Roman"/>
          <w:lang w:val="fr-CA"/>
        </w:rPr>
        <w:t>un</w:t>
      </w:r>
      <w:r w:rsidR="002F52C2">
        <w:rPr>
          <w:rFonts w:cs="Times New Roman"/>
          <w:lang w:val="fr-CA"/>
        </w:rPr>
        <w:t>e cour</w:t>
      </w:r>
      <w:r w:rsidRPr="009F420B">
        <w:rPr>
          <w:rFonts w:cs="Times New Roman"/>
          <w:lang w:val="fr-CA"/>
        </w:rPr>
        <w:t xml:space="preserve"> puisse se déclarer compétent</w:t>
      </w:r>
      <w:r w:rsidR="002F52C2">
        <w:rPr>
          <w:rFonts w:cs="Times New Roman"/>
          <w:lang w:val="fr-CA"/>
        </w:rPr>
        <w:t>e</w:t>
      </w:r>
      <w:r w:rsidRPr="009F420B">
        <w:rPr>
          <w:rFonts w:cs="Times New Roman"/>
          <w:lang w:val="fr-CA"/>
        </w:rPr>
        <w:t xml:space="preserve"> à l</w:t>
      </w:r>
      <w:r>
        <w:rPr>
          <w:rFonts w:cs="Times New Roman"/>
          <w:lang w:val="fr-CA"/>
        </w:rPr>
        <w:t>’</w:t>
      </w:r>
      <w:r w:rsidRPr="009F420B">
        <w:rPr>
          <w:rFonts w:cs="Times New Roman"/>
          <w:lang w:val="fr-CA"/>
        </w:rPr>
        <w:t>égard d</w:t>
      </w:r>
      <w:r>
        <w:rPr>
          <w:rFonts w:cs="Times New Roman"/>
          <w:lang w:val="fr-CA"/>
        </w:rPr>
        <w:t>’</w:t>
      </w:r>
      <w:r w:rsidRPr="009F420B">
        <w:rPr>
          <w:rFonts w:cs="Times New Roman"/>
          <w:lang w:val="fr-CA"/>
        </w:rPr>
        <w:t xml:space="preserve">une demande, il </w:t>
      </w:r>
      <w:r w:rsidRPr="009F420B">
        <w:rPr>
          <w:rFonts w:cs="Times New Roman"/>
          <w:i/>
          <w:lang w:val="fr-CA"/>
        </w:rPr>
        <w:t>faut</w:t>
      </w:r>
      <w:r w:rsidRPr="009F420B">
        <w:rPr>
          <w:rFonts w:cs="Times New Roman"/>
          <w:lang w:val="fr-CA"/>
        </w:rPr>
        <w:t xml:space="preserve"> lui démontrer l</w:t>
      </w:r>
      <w:r>
        <w:rPr>
          <w:rFonts w:cs="Times New Roman"/>
          <w:lang w:val="fr-CA"/>
        </w:rPr>
        <w:t>’</w:t>
      </w:r>
      <w:r w:rsidRPr="009F420B">
        <w:rPr>
          <w:rFonts w:cs="Times New Roman"/>
          <w:lang w:val="fr-CA"/>
        </w:rPr>
        <w:t>existence d</w:t>
      </w:r>
      <w:r>
        <w:rPr>
          <w:rFonts w:cs="Times New Roman"/>
          <w:lang w:val="fr-CA"/>
        </w:rPr>
        <w:t>’</w:t>
      </w:r>
      <w:r w:rsidR="002F52C2">
        <w:rPr>
          <w:rFonts w:cs="Times New Roman"/>
          <w:lang w:val="fr-CA"/>
        </w:rPr>
        <w:t xml:space="preserve">un </w:t>
      </w:r>
      <w:r w:rsidRPr="009F420B">
        <w:rPr>
          <w:rFonts w:cs="Times New Roman"/>
          <w:lang w:val="fr-CA"/>
        </w:rPr>
        <w:t xml:space="preserve">lien </w:t>
      </w:r>
      <w:r w:rsidR="002F52C2">
        <w:rPr>
          <w:rFonts w:cs="Times New Roman"/>
          <w:lang w:val="fr-CA"/>
        </w:rPr>
        <w:t>‘‘réel et substantiel’’</w:t>
      </w:r>
      <w:r w:rsidRPr="009F420B">
        <w:rPr>
          <w:rFonts w:cs="Times New Roman"/>
          <w:lang w:val="fr-CA"/>
        </w:rPr>
        <w:t xml:space="preserve"> entre les circonstances à l</w:t>
      </w:r>
      <w:r>
        <w:rPr>
          <w:rFonts w:cs="Times New Roman"/>
          <w:lang w:val="fr-CA"/>
        </w:rPr>
        <w:t>’</w:t>
      </w:r>
      <w:r w:rsidRPr="009F420B">
        <w:rPr>
          <w:rFonts w:cs="Times New Roman"/>
          <w:lang w:val="fr-CA"/>
        </w:rPr>
        <w:t>origine de la demande et le ressort où la demande est présentée</w:t>
      </w:r>
      <w:r w:rsidR="002F52C2">
        <w:rPr>
          <w:rFonts w:cs="Times New Roman"/>
          <w:lang w:val="fr-CA"/>
        </w:rPr>
        <w:t> »</w:t>
      </w:r>
      <w:r>
        <w:rPr>
          <w:rFonts w:cs="Times New Roman"/>
          <w:lang w:val="fr-CA"/>
        </w:rPr>
        <w:t> :</w:t>
      </w:r>
      <w:r w:rsidRPr="009F420B">
        <w:rPr>
          <w:rFonts w:cs="Times New Roman"/>
          <w:lang w:val="fr-CA"/>
        </w:rPr>
        <w:t xml:space="preserve"> </w:t>
      </w:r>
      <w:r w:rsidRPr="009F420B">
        <w:rPr>
          <w:rFonts w:cs="Times New Roman"/>
          <w:i/>
          <w:lang w:val="fr-CA"/>
        </w:rPr>
        <w:t>Lapointe</w:t>
      </w:r>
      <w:r w:rsidRPr="009F420B">
        <w:rPr>
          <w:rFonts w:cs="Times New Roman"/>
          <w:lang w:val="fr-CA"/>
        </w:rPr>
        <w:t xml:space="preserve">, </w:t>
      </w:r>
      <w:r>
        <w:rPr>
          <w:rFonts w:cs="Times New Roman"/>
          <w:lang w:val="fr-CA"/>
        </w:rPr>
        <w:t>par. </w:t>
      </w:r>
      <w:r w:rsidRPr="009F420B">
        <w:rPr>
          <w:rFonts w:cs="Times New Roman"/>
          <w:lang w:val="fr-CA"/>
        </w:rPr>
        <w:t xml:space="preserve">25, faisant référence à </w:t>
      </w:r>
      <w:r w:rsidRPr="009F420B">
        <w:rPr>
          <w:rFonts w:cs="Times New Roman"/>
          <w:i/>
          <w:lang w:val="fr-CA"/>
        </w:rPr>
        <w:t>Van Breda</w:t>
      </w:r>
      <w:r w:rsidRPr="009F420B">
        <w:rPr>
          <w:rFonts w:cs="Times New Roman"/>
          <w:lang w:val="fr-CA"/>
        </w:rPr>
        <w:t xml:space="preserve">, </w:t>
      </w:r>
      <w:r>
        <w:rPr>
          <w:rFonts w:cs="Times New Roman"/>
          <w:lang w:val="fr-CA"/>
        </w:rPr>
        <w:t>par. </w:t>
      </w:r>
      <w:r w:rsidRPr="009F420B">
        <w:rPr>
          <w:rFonts w:cs="Times New Roman"/>
          <w:lang w:val="fr-CA"/>
        </w:rPr>
        <w:t>22</w:t>
      </w:r>
      <w:r>
        <w:rPr>
          <w:rFonts w:cs="Times New Roman"/>
          <w:lang w:val="fr-CA"/>
        </w:rPr>
        <w:noBreakHyphen/>
      </w:r>
      <w:r w:rsidRPr="009F420B">
        <w:rPr>
          <w:rFonts w:cs="Times New Roman"/>
          <w:lang w:val="fr-CA"/>
        </w:rPr>
        <w:t xml:space="preserve">24; </w:t>
      </w:r>
      <w:r w:rsidRPr="009F420B">
        <w:rPr>
          <w:rFonts w:cs="Times New Roman"/>
          <w:i/>
          <w:lang w:val="fr-CA"/>
        </w:rPr>
        <w:t>Société canadienne des auteurs, compositeurs et éditeurs de musique c. Assoc. canadienne des fournisseurs Internet</w:t>
      </w:r>
      <w:r w:rsidRPr="009F420B">
        <w:rPr>
          <w:rFonts w:cs="Times New Roman"/>
          <w:lang w:val="fr-CA"/>
        </w:rPr>
        <w:t>,</w:t>
      </w:r>
      <w:r w:rsidRPr="009F420B">
        <w:rPr>
          <w:rFonts w:cs="Times New Roman"/>
          <w:i/>
          <w:lang w:val="fr-CA"/>
        </w:rPr>
        <w:t xml:space="preserve"> </w:t>
      </w:r>
      <w:r w:rsidRPr="009F420B">
        <w:rPr>
          <w:rFonts w:cs="Times New Roman"/>
          <w:lang w:val="fr-CA"/>
        </w:rPr>
        <w:t xml:space="preserve">2004 CSC 45, [2004] 2 R.C.S. 427, </w:t>
      </w:r>
      <w:r>
        <w:rPr>
          <w:rFonts w:cs="Times New Roman"/>
          <w:lang w:val="fr-CA"/>
        </w:rPr>
        <w:t>par. </w:t>
      </w:r>
      <w:r w:rsidRPr="009F420B">
        <w:rPr>
          <w:rFonts w:cs="Times New Roman"/>
          <w:lang w:val="fr-CA"/>
        </w:rPr>
        <w:t xml:space="preserve">60; </w:t>
      </w:r>
      <w:r w:rsidRPr="009F420B">
        <w:rPr>
          <w:rFonts w:cs="Times New Roman"/>
          <w:i/>
          <w:lang w:val="fr-CA"/>
        </w:rPr>
        <w:t>Tolofson c. Jensen</w:t>
      </w:r>
      <w:r w:rsidRPr="009F420B">
        <w:rPr>
          <w:rFonts w:cs="Times New Roman"/>
          <w:lang w:val="fr-CA"/>
        </w:rPr>
        <w:t xml:space="preserve">, [1994] 3 R.C.S. 1022, </w:t>
      </w:r>
      <w:r>
        <w:rPr>
          <w:rFonts w:cs="Times New Roman"/>
          <w:lang w:val="fr-CA"/>
        </w:rPr>
        <w:t>p. </w:t>
      </w:r>
      <w:r w:rsidRPr="009F420B">
        <w:rPr>
          <w:rFonts w:cs="Times New Roman"/>
          <w:lang w:val="fr-CA"/>
        </w:rPr>
        <w:t xml:space="preserve">1049; </w:t>
      </w:r>
      <w:r w:rsidRPr="009F420B">
        <w:rPr>
          <w:rFonts w:cs="Times New Roman"/>
          <w:i/>
          <w:lang w:val="fr-CA"/>
        </w:rPr>
        <w:t>Hunt c. T&amp;N plc</w:t>
      </w:r>
      <w:r w:rsidRPr="009F420B">
        <w:rPr>
          <w:rFonts w:cs="Times New Roman"/>
          <w:lang w:val="fr-CA"/>
        </w:rPr>
        <w:t xml:space="preserve">, [1993] 4 R.C.S. 289, </w:t>
      </w:r>
      <w:r>
        <w:rPr>
          <w:rFonts w:cs="Times New Roman"/>
          <w:lang w:val="fr-CA"/>
        </w:rPr>
        <w:t>p. </w:t>
      </w:r>
      <w:r w:rsidR="00EF7102">
        <w:rPr>
          <w:rFonts w:cs="Times New Roman"/>
          <w:lang w:val="fr-CA"/>
        </w:rPr>
        <w:t>325-</w:t>
      </w:r>
      <w:r w:rsidRPr="009F420B">
        <w:rPr>
          <w:rFonts w:cs="Times New Roman"/>
          <w:lang w:val="fr-CA"/>
        </w:rPr>
        <w:t xml:space="preserve">326 et 328; </w:t>
      </w:r>
      <w:r w:rsidRPr="009F420B">
        <w:rPr>
          <w:rFonts w:cs="Times New Roman"/>
          <w:i/>
          <w:lang w:val="fr-CA"/>
        </w:rPr>
        <w:t>Morguard Investments Ltd. c. De Savoye</w:t>
      </w:r>
      <w:r w:rsidRPr="009F420B">
        <w:rPr>
          <w:rFonts w:cs="Times New Roman"/>
          <w:lang w:val="fr-CA"/>
        </w:rPr>
        <w:t xml:space="preserve">, [1990] 3 R.C.S. 1077, </w:t>
      </w:r>
      <w:r>
        <w:rPr>
          <w:rFonts w:cs="Times New Roman"/>
          <w:lang w:val="fr-CA"/>
        </w:rPr>
        <w:t>p. </w:t>
      </w:r>
      <w:r w:rsidRPr="009F420B">
        <w:rPr>
          <w:rFonts w:cs="Times New Roman"/>
          <w:lang w:val="fr-CA"/>
        </w:rPr>
        <w:t>1108</w:t>
      </w:r>
      <w:r>
        <w:rPr>
          <w:rFonts w:cs="Times New Roman"/>
          <w:lang w:val="fr-CA"/>
        </w:rPr>
        <w:noBreakHyphen/>
      </w:r>
      <w:r w:rsidRPr="009F420B">
        <w:rPr>
          <w:rFonts w:cs="Times New Roman"/>
          <w:lang w:val="fr-CA"/>
        </w:rPr>
        <w:t xml:space="preserve">1110. </w:t>
      </w:r>
    </w:p>
    <w:p w:rsidR="00AF6697" w:rsidRPr="009F420B" w:rsidRDefault="00AF6697" w:rsidP="00AF6697">
      <w:pPr>
        <w:pStyle w:val="ParaNoNdepar-AltN"/>
        <w:rPr>
          <w:rFonts w:cs="Times New Roman"/>
          <w:lang w:val="fr-CA"/>
        </w:rPr>
      </w:pPr>
      <w:r w:rsidRPr="009F420B">
        <w:rPr>
          <w:rFonts w:cs="Times New Roman"/>
          <w:lang w:val="fr-CA"/>
        </w:rPr>
        <w:t>Dans l</w:t>
      </w:r>
      <w:r>
        <w:rPr>
          <w:rFonts w:cs="Times New Roman"/>
          <w:lang w:val="fr-CA"/>
        </w:rPr>
        <w:t>’</w:t>
      </w:r>
      <w:r w:rsidRPr="009F420B">
        <w:rPr>
          <w:rFonts w:cs="Times New Roman"/>
          <w:lang w:val="fr-CA"/>
        </w:rPr>
        <w:t xml:space="preserve">arrêt </w:t>
      </w:r>
      <w:r w:rsidRPr="009F420B">
        <w:rPr>
          <w:rFonts w:cs="Times New Roman"/>
          <w:i/>
          <w:lang w:val="fr-CA"/>
        </w:rPr>
        <w:t>Van Breda</w:t>
      </w:r>
      <w:r w:rsidRPr="009F420B">
        <w:rPr>
          <w:rFonts w:cs="Times New Roman"/>
          <w:lang w:val="fr-CA"/>
        </w:rPr>
        <w:t xml:space="preserve">, la Cour a répondu à un besoin apparent de « directives complémentaires sur la façon </w:t>
      </w:r>
      <w:r w:rsidR="000519F3">
        <w:rPr>
          <w:rFonts w:cs="Times New Roman"/>
          <w:lang w:val="fr-CA"/>
        </w:rPr>
        <w:t>[</w:t>
      </w:r>
      <w:r w:rsidRPr="009F420B">
        <w:rPr>
          <w:rFonts w:cs="Times New Roman"/>
          <w:lang w:val="fr-CA"/>
        </w:rPr>
        <w:t>d</w:t>
      </w:r>
      <w:r>
        <w:rPr>
          <w:rFonts w:cs="Times New Roman"/>
          <w:lang w:val="fr-CA"/>
        </w:rPr>
        <w:t>’</w:t>
      </w:r>
      <w:r w:rsidR="000519F3">
        <w:rPr>
          <w:rFonts w:cs="Times New Roman"/>
          <w:lang w:val="fr-CA"/>
        </w:rPr>
        <w:t>]</w:t>
      </w:r>
      <w:r w:rsidRPr="009F420B">
        <w:rPr>
          <w:rFonts w:cs="Times New Roman"/>
          <w:lang w:val="fr-CA"/>
        </w:rPr>
        <w:t xml:space="preserve">appliquer </w:t>
      </w:r>
      <w:r w:rsidRPr="009F420B">
        <w:rPr>
          <w:rFonts w:cs="Times New Roman"/>
          <w:lang w:val="fr-CA"/>
        </w:rPr>
        <w:sym w:font="Symbol" w:char="F05B"/>
      </w:r>
      <w:r w:rsidRPr="009F420B">
        <w:rPr>
          <w:rFonts w:cs="Times New Roman"/>
          <w:lang w:val="fr-CA"/>
        </w:rPr>
        <w:t xml:space="preserve">le critère du lien réel et </w:t>
      </w:r>
      <w:r w:rsidRPr="009F420B">
        <w:rPr>
          <w:rFonts w:cs="Times New Roman"/>
          <w:lang w:val="fr-CA"/>
        </w:rPr>
        <w:lastRenderedPageBreak/>
        <w:t>substantiel</w:t>
      </w:r>
      <w:r w:rsidRPr="009F420B">
        <w:rPr>
          <w:rFonts w:cs="Times New Roman"/>
          <w:lang w:val="fr-CA"/>
        </w:rPr>
        <w:sym w:font="Symbol" w:char="F05D"/>
      </w:r>
      <w:r w:rsidRPr="009F420B">
        <w:rPr>
          <w:rFonts w:cs="Times New Roman"/>
          <w:lang w:val="fr-CA"/>
        </w:rPr>
        <w:t> » (</w:t>
      </w:r>
      <w:r>
        <w:rPr>
          <w:rFonts w:cs="Times New Roman"/>
          <w:lang w:val="fr-CA"/>
        </w:rPr>
        <w:t>par. </w:t>
      </w:r>
      <w:r w:rsidRPr="009F420B">
        <w:rPr>
          <w:rFonts w:cs="Times New Roman"/>
          <w:lang w:val="fr-CA"/>
        </w:rPr>
        <w:t xml:space="preserve">67) en dressant une liste non exhaustive de quatre facteurs de rattachement créant une </w:t>
      </w:r>
      <w:r w:rsidRPr="009F420B">
        <w:rPr>
          <w:rFonts w:cs="Times New Roman"/>
          <w:i/>
          <w:lang w:val="fr-CA"/>
        </w:rPr>
        <w:t>présomption</w:t>
      </w:r>
      <w:r w:rsidRPr="009F420B">
        <w:rPr>
          <w:rFonts w:cs="Times New Roman"/>
          <w:lang w:val="fr-CA"/>
        </w:rPr>
        <w:t xml:space="preserve"> autorisant, à première vue, un tribunal à se déclarer compétent à l</w:t>
      </w:r>
      <w:r>
        <w:rPr>
          <w:rFonts w:cs="Times New Roman"/>
          <w:lang w:val="fr-CA"/>
        </w:rPr>
        <w:t>’</w:t>
      </w:r>
      <w:r w:rsidRPr="009F420B">
        <w:rPr>
          <w:rFonts w:cs="Times New Roman"/>
          <w:lang w:val="fr-CA"/>
        </w:rPr>
        <w:t>égard d</w:t>
      </w:r>
      <w:r>
        <w:rPr>
          <w:rFonts w:cs="Times New Roman"/>
          <w:lang w:val="fr-CA"/>
        </w:rPr>
        <w:t>’</w:t>
      </w:r>
      <w:r w:rsidRPr="009F420B">
        <w:rPr>
          <w:rFonts w:cs="Times New Roman"/>
          <w:lang w:val="fr-CA"/>
        </w:rPr>
        <w:t>un litige</w:t>
      </w:r>
      <w:r>
        <w:rPr>
          <w:rFonts w:cs="Times New Roman"/>
          <w:lang w:val="fr-CA"/>
        </w:rPr>
        <w:t> :</w:t>
      </w:r>
      <w:r w:rsidRPr="009F420B">
        <w:rPr>
          <w:rFonts w:cs="Times New Roman"/>
          <w:lang w:val="fr-CA"/>
        </w:rPr>
        <w:t xml:space="preserve"> « a) le défendeur a son domicile dans la province ou y réside; b) le défendeur exploite une entreprise dans la province; c) le délit a été commis dans la province; </w:t>
      </w:r>
      <w:r w:rsidR="00736841">
        <w:rPr>
          <w:rFonts w:cs="Times New Roman"/>
          <w:lang w:val="fr-CA"/>
        </w:rPr>
        <w:t xml:space="preserve"> </w:t>
      </w:r>
      <w:r w:rsidRPr="009F420B">
        <w:rPr>
          <w:rFonts w:cs="Times New Roman"/>
          <w:lang w:val="fr-CA"/>
        </w:rPr>
        <w:t>d) un contrat lié au litige a été conclu dans la province »</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90. Comme la Cour l</w:t>
      </w:r>
      <w:r>
        <w:rPr>
          <w:rFonts w:cs="Times New Roman"/>
          <w:lang w:val="fr-CA"/>
        </w:rPr>
        <w:t>’</w:t>
      </w:r>
      <w:r w:rsidRPr="009F420B">
        <w:rPr>
          <w:rFonts w:cs="Times New Roman"/>
          <w:lang w:val="fr-CA"/>
        </w:rPr>
        <w:t>a expliqué, la présomption de compétence que fait naître l</w:t>
      </w:r>
      <w:r>
        <w:rPr>
          <w:rFonts w:cs="Times New Roman"/>
          <w:lang w:val="fr-CA"/>
        </w:rPr>
        <w:t>’</w:t>
      </w:r>
      <w:r w:rsidRPr="009F420B">
        <w:rPr>
          <w:rFonts w:cs="Times New Roman"/>
          <w:lang w:val="fr-CA"/>
        </w:rPr>
        <w:t>un ou l</w:t>
      </w:r>
      <w:r>
        <w:rPr>
          <w:rFonts w:cs="Times New Roman"/>
          <w:lang w:val="fr-CA"/>
        </w:rPr>
        <w:t>’</w:t>
      </w:r>
      <w:r w:rsidRPr="009F420B">
        <w:rPr>
          <w:rFonts w:cs="Times New Roman"/>
          <w:lang w:val="fr-CA"/>
        </w:rPr>
        <w:t>autre de ces facteurs peut être réfutée (</w:t>
      </w:r>
      <w:r>
        <w:rPr>
          <w:rFonts w:cs="Times New Roman"/>
          <w:lang w:val="fr-CA"/>
        </w:rPr>
        <w:t>par. </w:t>
      </w:r>
      <w:r w:rsidRPr="009F420B">
        <w:rPr>
          <w:rFonts w:cs="Times New Roman"/>
          <w:lang w:val="fr-CA"/>
        </w:rPr>
        <w:t>81)</w:t>
      </w:r>
      <w:r>
        <w:rPr>
          <w:rFonts w:cs="Times New Roman"/>
          <w:lang w:val="fr-CA"/>
        </w:rPr>
        <w:t> :</w:t>
      </w:r>
      <w:r w:rsidRPr="009F420B">
        <w:rPr>
          <w:rFonts w:cs="Times New Roman"/>
          <w:lang w:val="fr-CA"/>
        </w:rPr>
        <w:t xml:space="preserve"> </w:t>
      </w:r>
    </w:p>
    <w:p w:rsidR="00AF6697" w:rsidRPr="009F420B" w:rsidRDefault="00AF6697" w:rsidP="00AF6697">
      <w:pPr>
        <w:pStyle w:val="Citation-AltC"/>
        <w:ind w:hanging="1166"/>
        <w:rPr>
          <w:lang w:val="fr-CA"/>
        </w:rPr>
      </w:pPr>
      <w:r>
        <w:rPr>
          <w:lang w:val="fr-CA"/>
        </w:rPr>
        <w:tab/>
      </w:r>
      <w:r w:rsidRPr="009F420B">
        <w:rPr>
          <w:lang w:val="fr-CA"/>
        </w:rPr>
        <w:t>Le défendeur pourra plaider qu</w:t>
      </w:r>
      <w:r>
        <w:rPr>
          <w:lang w:val="fr-CA"/>
        </w:rPr>
        <w:t>’</w:t>
      </w:r>
      <w:r w:rsidRPr="009F420B">
        <w:rPr>
          <w:lang w:val="fr-CA"/>
        </w:rPr>
        <w:t>un lien donné est inapproprié dans les circonstances de l</w:t>
      </w:r>
      <w:r>
        <w:rPr>
          <w:lang w:val="fr-CA"/>
        </w:rPr>
        <w:t xml:space="preserve">’affaire. </w:t>
      </w:r>
      <w:r w:rsidRPr="009F420B">
        <w:rPr>
          <w:lang w:val="fr-CA"/>
        </w:rPr>
        <w:t>Dans un tel cas, il incombera au défendeur de réfuter la présomption créée par le facteur — énuméré ou nouveau — et de convaincre la cour qu</w:t>
      </w:r>
      <w:r>
        <w:rPr>
          <w:lang w:val="fr-CA"/>
        </w:rPr>
        <w:t>’</w:t>
      </w:r>
      <w:r w:rsidRPr="009F420B">
        <w:rPr>
          <w:lang w:val="fr-CA"/>
        </w:rPr>
        <w:t>une déclaration de</w:t>
      </w:r>
      <w:r>
        <w:rPr>
          <w:lang w:val="fr-CA"/>
        </w:rPr>
        <w:t xml:space="preserve"> compétence serait inopportune. </w:t>
      </w:r>
      <w:r w:rsidRPr="009F420B">
        <w:rPr>
          <w:lang w:val="fr-CA"/>
        </w:rPr>
        <w:t>Si aucun facteur de rattachement — énuméré ou nouveau — créant une présomption ne s</w:t>
      </w:r>
      <w:r>
        <w:rPr>
          <w:lang w:val="fr-CA"/>
        </w:rPr>
        <w:t>’</w:t>
      </w:r>
      <w:r w:rsidRPr="009F420B">
        <w:rPr>
          <w:lang w:val="fr-CA"/>
        </w:rPr>
        <w:t>applique dans les circonstances de l</w:t>
      </w:r>
      <w:r>
        <w:rPr>
          <w:lang w:val="fr-CA"/>
        </w:rPr>
        <w:t>’</w:t>
      </w:r>
      <w:r w:rsidRPr="009F420B">
        <w:rPr>
          <w:lang w:val="fr-CA"/>
        </w:rPr>
        <w:t>affaire, ou si la présomption de compétence que fait naître ce facteur est valablement réfutée, la cour n</w:t>
      </w:r>
      <w:r>
        <w:rPr>
          <w:lang w:val="fr-CA"/>
        </w:rPr>
        <w:t>’</w:t>
      </w:r>
      <w:r w:rsidRPr="009F420B">
        <w:rPr>
          <w:lang w:val="fr-CA"/>
        </w:rPr>
        <w:t>aura pas compétence en vertu du critère du lien réel et substantiel de la common law.</w:t>
      </w:r>
      <w:r w:rsidR="00660E37">
        <w:rPr>
          <w:lang w:val="fr-CA"/>
        </w:rPr>
        <w:t xml:space="preserve"> . .</w:t>
      </w:r>
    </w:p>
    <w:p w:rsidR="00AF6697" w:rsidRPr="009F420B" w:rsidRDefault="00AF6697" w:rsidP="00AF6697">
      <w:pPr>
        <w:pStyle w:val="ParaNoNdepar-AltN"/>
        <w:rPr>
          <w:rFonts w:cs="Times New Roman"/>
          <w:lang w:val="fr-CA"/>
        </w:rPr>
      </w:pPr>
      <w:r w:rsidRPr="009F420B">
        <w:rPr>
          <w:rFonts w:cs="Times New Roman"/>
          <w:lang w:val="fr-CA"/>
        </w:rPr>
        <w:t>Ce cadre s</w:t>
      </w:r>
      <w:r>
        <w:rPr>
          <w:rFonts w:cs="Times New Roman"/>
          <w:lang w:val="fr-CA"/>
        </w:rPr>
        <w:t>’</w:t>
      </w:r>
      <w:r w:rsidRPr="009F420B">
        <w:rPr>
          <w:rFonts w:cs="Times New Roman"/>
          <w:lang w:val="fr-CA"/>
        </w:rPr>
        <w:t xml:space="preserve">inspire en grande partie de la </w:t>
      </w:r>
      <w:r w:rsidRPr="009F420B">
        <w:rPr>
          <w:rFonts w:cs="Times New Roman"/>
          <w:i/>
          <w:lang w:val="fr-CA"/>
        </w:rPr>
        <w:t>Loi uniforme sur la compétence des tribunaux et le renvoi des instances (</w:t>
      </w:r>
      <w:r w:rsidRPr="006476E7">
        <w:rPr>
          <w:rFonts w:cs="Times New Roman"/>
          <w:lang w:val="fr-CA"/>
        </w:rPr>
        <w:t>« </w:t>
      </w:r>
      <w:r w:rsidRPr="009F420B">
        <w:rPr>
          <w:rFonts w:cs="Times New Roman"/>
          <w:i/>
          <w:lang w:val="fr-CA"/>
        </w:rPr>
        <w:t>LUCTRI</w:t>
      </w:r>
      <w:r w:rsidRPr="009F420B">
        <w:rPr>
          <w:rFonts w:cs="Times New Roman"/>
          <w:lang w:val="fr-CA"/>
        </w:rPr>
        <w:t> </w:t>
      </w:r>
      <w:r w:rsidRPr="006476E7">
        <w:rPr>
          <w:rFonts w:cs="Times New Roman"/>
          <w:lang w:val="fr-CA"/>
        </w:rPr>
        <w:t>»</w:t>
      </w:r>
      <w:r w:rsidRPr="009F420B">
        <w:rPr>
          <w:rFonts w:cs="Times New Roman"/>
          <w:i/>
          <w:lang w:val="fr-CA"/>
        </w:rPr>
        <w:t>)</w:t>
      </w:r>
      <w:r w:rsidRPr="009F420B">
        <w:rPr>
          <w:rFonts w:cs="Times New Roman"/>
          <w:lang w:val="fr-CA"/>
        </w:rPr>
        <w:t>, qui est principalement axée sur la déclaration de compétence</w:t>
      </w:r>
      <w:r>
        <w:rPr>
          <w:rFonts w:cs="Times New Roman"/>
          <w:lang w:val="fr-CA"/>
        </w:rPr>
        <w:t> :</w:t>
      </w:r>
      <w:r w:rsidRPr="009F420B">
        <w:rPr>
          <w:rFonts w:cs="Times New Roman"/>
          <w:lang w:val="fr-CA"/>
        </w:rPr>
        <w:t xml:space="preserve"> Conférence pour l</w:t>
      </w:r>
      <w:r>
        <w:rPr>
          <w:rFonts w:cs="Times New Roman"/>
          <w:lang w:val="fr-CA"/>
        </w:rPr>
        <w:t>’</w:t>
      </w:r>
      <w:r w:rsidRPr="009F420B">
        <w:rPr>
          <w:rFonts w:cs="Times New Roman"/>
          <w:lang w:val="fr-CA"/>
        </w:rPr>
        <w:t xml:space="preserve">harmonisation des lois </w:t>
      </w:r>
      <w:r w:rsidR="00151FE8">
        <w:rPr>
          <w:rFonts w:cs="Times New Roman"/>
          <w:lang w:val="fr-CA"/>
        </w:rPr>
        <w:t>au</w:t>
      </w:r>
      <w:r w:rsidRPr="009F420B">
        <w:rPr>
          <w:rFonts w:cs="Times New Roman"/>
          <w:lang w:val="fr-CA"/>
        </w:rPr>
        <w:t xml:space="preserve"> Canada (en ligne). L</w:t>
      </w:r>
      <w:r>
        <w:rPr>
          <w:rFonts w:cs="Times New Roman"/>
          <w:lang w:val="fr-CA"/>
        </w:rPr>
        <w:t>’alinéa </w:t>
      </w:r>
      <w:r w:rsidRPr="009F420B">
        <w:rPr>
          <w:rFonts w:cs="Times New Roman"/>
          <w:lang w:val="fr-CA"/>
        </w:rPr>
        <w:t>3e) prévoit qu</w:t>
      </w:r>
      <w:r>
        <w:rPr>
          <w:rFonts w:cs="Times New Roman"/>
          <w:lang w:val="fr-CA"/>
        </w:rPr>
        <w:t>’</w:t>
      </w:r>
      <w:r w:rsidRPr="009F420B">
        <w:rPr>
          <w:rFonts w:cs="Times New Roman"/>
          <w:lang w:val="fr-CA"/>
        </w:rPr>
        <w:t>un tribunal peut se déclarer compétent s</w:t>
      </w:r>
      <w:r>
        <w:rPr>
          <w:rFonts w:cs="Times New Roman"/>
          <w:lang w:val="fr-CA"/>
        </w:rPr>
        <w:t>’</w:t>
      </w:r>
      <w:r w:rsidRPr="009F420B">
        <w:rPr>
          <w:rFonts w:cs="Times New Roman"/>
          <w:lang w:val="fr-CA"/>
        </w:rPr>
        <w:t>il « existe un lien réel et substantiel entre [province ou territoire qui adopte la Loi] et les faits sur lesquels est fondée l</w:t>
      </w:r>
      <w:r>
        <w:rPr>
          <w:rFonts w:cs="Times New Roman"/>
          <w:lang w:val="fr-CA"/>
        </w:rPr>
        <w:t>’</w:t>
      </w:r>
      <w:r w:rsidRPr="009F420B">
        <w:rPr>
          <w:rFonts w:cs="Times New Roman"/>
          <w:lang w:val="fr-CA"/>
        </w:rPr>
        <w:t>instance » (texte entre crochets dans l</w:t>
      </w:r>
      <w:r>
        <w:rPr>
          <w:rFonts w:cs="Times New Roman"/>
          <w:lang w:val="fr-CA"/>
        </w:rPr>
        <w:t>’</w:t>
      </w:r>
      <w:r w:rsidRPr="009F420B">
        <w:rPr>
          <w:rFonts w:cs="Times New Roman"/>
          <w:lang w:val="fr-CA"/>
        </w:rPr>
        <w:t>original). L</w:t>
      </w:r>
      <w:r>
        <w:rPr>
          <w:rFonts w:cs="Times New Roman"/>
          <w:lang w:val="fr-CA"/>
        </w:rPr>
        <w:t>’</w:t>
      </w:r>
      <w:r w:rsidRPr="009F420B">
        <w:rPr>
          <w:rFonts w:cs="Times New Roman"/>
          <w:lang w:val="fr-CA"/>
        </w:rPr>
        <w:t>article 10 énonce diverses situations dans lesquelles l</w:t>
      </w:r>
      <w:r>
        <w:rPr>
          <w:rFonts w:cs="Times New Roman"/>
          <w:lang w:val="fr-CA"/>
        </w:rPr>
        <w:t>’</w:t>
      </w:r>
      <w:r w:rsidRPr="009F420B">
        <w:rPr>
          <w:rFonts w:cs="Times New Roman"/>
          <w:lang w:val="fr-CA"/>
        </w:rPr>
        <w:t>existence d</w:t>
      </w:r>
      <w:r>
        <w:rPr>
          <w:rFonts w:cs="Times New Roman"/>
          <w:lang w:val="fr-CA"/>
        </w:rPr>
        <w:t>’</w:t>
      </w:r>
      <w:r w:rsidRPr="009F420B">
        <w:rPr>
          <w:rFonts w:cs="Times New Roman"/>
          <w:lang w:val="fr-CA"/>
        </w:rPr>
        <w:t xml:space="preserve">un tel lien serait </w:t>
      </w:r>
      <w:r w:rsidRPr="009F420B">
        <w:rPr>
          <w:rFonts w:cs="Times New Roman"/>
          <w:i/>
          <w:lang w:val="fr-CA"/>
        </w:rPr>
        <w:t>présumée</w:t>
      </w:r>
      <w:r w:rsidRPr="009F420B">
        <w:rPr>
          <w:rFonts w:cs="Times New Roman"/>
          <w:lang w:val="fr-CA"/>
        </w:rPr>
        <w:t xml:space="preserve">. Plusieurs provinces et territoires ont adopté subséquemment des lois inspirées par le régime législatif proposé dans la </w:t>
      </w:r>
      <w:r w:rsidRPr="009F420B">
        <w:rPr>
          <w:rFonts w:cs="Times New Roman"/>
          <w:i/>
          <w:lang w:val="fr-CA"/>
        </w:rPr>
        <w:t>LUCTRI</w:t>
      </w:r>
      <w:r>
        <w:rPr>
          <w:rFonts w:cs="Times New Roman"/>
          <w:lang w:val="fr-CA"/>
        </w:rPr>
        <w:t> :</w:t>
      </w:r>
      <w:r w:rsidR="00736841">
        <w:rPr>
          <w:rFonts w:cs="Times New Roman"/>
          <w:lang w:val="fr-CA"/>
        </w:rPr>
        <w:t xml:space="preserve"> voir, p.</w:t>
      </w:r>
      <w:r w:rsidRPr="009F420B">
        <w:rPr>
          <w:rFonts w:cs="Times New Roman"/>
          <w:lang w:val="fr-CA"/>
        </w:rPr>
        <w:t xml:space="preserve"> ex., la</w:t>
      </w:r>
      <w:r w:rsidRPr="009F420B">
        <w:rPr>
          <w:rFonts w:cs="Times New Roman"/>
          <w:i/>
          <w:lang w:val="fr-CA"/>
        </w:rPr>
        <w:t xml:space="preserve"> Court Jurisdiction and Proceedings Transfer Act</w:t>
      </w:r>
      <w:r w:rsidRPr="009F420B">
        <w:rPr>
          <w:rFonts w:cs="Times New Roman"/>
          <w:lang w:val="fr-CA"/>
        </w:rPr>
        <w:t xml:space="preserve">, S.B.C. 2003, c. 28; la </w:t>
      </w:r>
      <w:r w:rsidRPr="009F420B">
        <w:rPr>
          <w:rFonts w:cs="Times New Roman"/>
          <w:i/>
          <w:lang w:val="fr-CA"/>
        </w:rPr>
        <w:t>Loi sur la compétence des tribunaux et le renvoi des instances</w:t>
      </w:r>
      <w:r w:rsidRPr="00736841">
        <w:rPr>
          <w:rFonts w:cs="Times New Roman"/>
          <w:lang w:val="fr-CA"/>
        </w:rPr>
        <w:t>,</w:t>
      </w:r>
      <w:r w:rsidRPr="009F420B">
        <w:rPr>
          <w:rFonts w:cs="Times New Roman"/>
          <w:i/>
          <w:lang w:val="fr-CA"/>
        </w:rPr>
        <w:t xml:space="preserve"> </w:t>
      </w:r>
      <w:r w:rsidR="00636BB2">
        <w:rPr>
          <w:rFonts w:cs="Times New Roman"/>
          <w:lang w:val="fr-CA"/>
        </w:rPr>
        <w:t>L.S. 1997, c. C</w:t>
      </w:r>
      <w:r>
        <w:rPr>
          <w:rFonts w:cs="Times New Roman"/>
          <w:lang w:val="fr-CA"/>
        </w:rPr>
        <w:noBreakHyphen/>
      </w:r>
      <w:r w:rsidRPr="009F420B">
        <w:rPr>
          <w:rFonts w:cs="Times New Roman"/>
          <w:lang w:val="fr-CA"/>
        </w:rPr>
        <w:t xml:space="preserve">41.1; la </w:t>
      </w:r>
      <w:r w:rsidRPr="009F420B">
        <w:rPr>
          <w:rFonts w:cs="Times New Roman"/>
          <w:i/>
          <w:lang w:val="fr-CA"/>
        </w:rPr>
        <w:t xml:space="preserve">Court Jurisdiction and Proceedings </w:t>
      </w:r>
      <w:r w:rsidRPr="009F420B">
        <w:rPr>
          <w:rFonts w:cs="Times New Roman"/>
          <w:i/>
          <w:lang w:val="fr-CA"/>
        </w:rPr>
        <w:lastRenderedPageBreak/>
        <w:t>Transfer Act</w:t>
      </w:r>
      <w:r w:rsidRPr="009F420B">
        <w:rPr>
          <w:rFonts w:cs="Times New Roman"/>
          <w:lang w:val="fr-CA"/>
        </w:rPr>
        <w:t>, S.N.S. 2003 (2</w:t>
      </w:r>
      <w:r w:rsidRPr="009F420B">
        <w:rPr>
          <w:rFonts w:cs="Times New Roman"/>
          <w:vertAlign w:val="superscript"/>
          <w:lang w:val="fr-CA"/>
        </w:rPr>
        <w:t>e</w:t>
      </w:r>
      <w:r w:rsidRPr="009F420B">
        <w:rPr>
          <w:rFonts w:cs="Times New Roman"/>
          <w:lang w:val="fr-CA"/>
        </w:rPr>
        <w:t xml:space="preserve"> sess.), c. 2; la </w:t>
      </w:r>
      <w:r w:rsidRPr="009F420B">
        <w:rPr>
          <w:rFonts w:cs="Times New Roman"/>
          <w:i/>
          <w:lang w:val="fr-CA"/>
        </w:rPr>
        <w:t>Loi sur la compétence des tribunaux et le renvoi des instances</w:t>
      </w:r>
      <w:r w:rsidRPr="009F420B">
        <w:rPr>
          <w:rFonts w:cs="Times New Roman"/>
          <w:lang w:val="fr-CA"/>
        </w:rPr>
        <w:t xml:space="preserve">, L.Y. 2000, c. 7; voir aussi </w:t>
      </w:r>
      <w:r w:rsidRPr="009F420B">
        <w:rPr>
          <w:rFonts w:cs="Times New Roman"/>
          <w:i/>
          <w:lang w:val="fr-CA"/>
        </w:rPr>
        <w:t>Van Breda</w:t>
      </w:r>
      <w:r w:rsidRPr="009F420B">
        <w:rPr>
          <w:rFonts w:cs="Times New Roman"/>
          <w:lang w:val="fr-CA"/>
        </w:rPr>
        <w:t xml:space="preserve">, </w:t>
      </w:r>
      <w:r>
        <w:rPr>
          <w:rFonts w:cs="Times New Roman"/>
          <w:lang w:val="fr-CA"/>
        </w:rPr>
        <w:t>par. </w:t>
      </w:r>
      <w:r w:rsidRPr="009F420B">
        <w:rPr>
          <w:rFonts w:cs="Times New Roman"/>
          <w:lang w:val="fr-CA"/>
        </w:rPr>
        <w:t xml:space="preserve">41. </w:t>
      </w:r>
    </w:p>
    <w:p w:rsidR="00AF6697" w:rsidRPr="009F420B" w:rsidRDefault="00AF6697" w:rsidP="00AF6697">
      <w:pPr>
        <w:pStyle w:val="ParaNoNdepar-AltN"/>
        <w:rPr>
          <w:rFonts w:cs="Times New Roman"/>
          <w:lang w:val="fr-CA"/>
        </w:rPr>
      </w:pPr>
      <w:r w:rsidRPr="009F420B">
        <w:rPr>
          <w:rFonts w:cs="Times New Roman"/>
          <w:lang w:val="fr-CA"/>
        </w:rPr>
        <w:t>Les facteurs de rattachement énoncés dans l</w:t>
      </w:r>
      <w:r>
        <w:rPr>
          <w:rFonts w:cs="Times New Roman"/>
          <w:lang w:val="fr-CA"/>
        </w:rPr>
        <w:t>’</w:t>
      </w:r>
      <w:r w:rsidRPr="009F420B">
        <w:rPr>
          <w:rFonts w:cs="Times New Roman"/>
          <w:lang w:val="fr-CA"/>
        </w:rPr>
        <w:t xml:space="preserve">arrêt </w:t>
      </w:r>
      <w:r w:rsidRPr="009F420B">
        <w:rPr>
          <w:rFonts w:cs="Times New Roman"/>
          <w:i/>
          <w:lang w:val="fr-CA"/>
        </w:rPr>
        <w:t>Van Breda</w:t>
      </w:r>
      <w:r w:rsidRPr="009F420B">
        <w:rPr>
          <w:rFonts w:cs="Times New Roman"/>
          <w:lang w:val="fr-CA"/>
        </w:rPr>
        <w:t xml:space="preserve"> découlent principalement de </w:t>
      </w:r>
      <w:r w:rsidR="006476E7">
        <w:rPr>
          <w:rFonts w:cs="Times New Roman"/>
          <w:lang w:val="fr-CA"/>
        </w:rPr>
        <w:t>l’art.</w:t>
      </w:r>
      <w:r>
        <w:rPr>
          <w:rFonts w:cs="Times New Roman"/>
          <w:lang w:val="fr-CA"/>
        </w:rPr>
        <w:t> </w:t>
      </w:r>
      <w:r w:rsidRPr="009F420B">
        <w:rPr>
          <w:rFonts w:cs="Times New Roman"/>
          <w:lang w:val="fr-CA"/>
        </w:rPr>
        <w:t xml:space="preserve">17.02 des </w:t>
      </w:r>
      <w:r w:rsidRPr="009F420B">
        <w:rPr>
          <w:rFonts w:cs="Times New Roman"/>
          <w:i/>
          <w:lang w:val="fr-CA"/>
        </w:rPr>
        <w:t>Règles de procédure civile</w:t>
      </w:r>
      <w:r w:rsidRPr="009F420B">
        <w:rPr>
          <w:rFonts w:cs="Times New Roman"/>
          <w:lang w:val="fr-CA"/>
        </w:rPr>
        <w:t xml:space="preserve"> de l</w:t>
      </w:r>
      <w:r>
        <w:rPr>
          <w:rFonts w:cs="Times New Roman"/>
          <w:lang w:val="fr-CA"/>
        </w:rPr>
        <w:t>’</w:t>
      </w:r>
      <w:r w:rsidRPr="009F420B">
        <w:rPr>
          <w:rFonts w:cs="Times New Roman"/>
          <w:lang w:val="fr-CA"/>
        </w:rPr>
        <w:t>Ontario, R.R.O. 1990, Règl. 194 (« Signification en dehors de l</w:t>
      </w:r>
      <w:r>
        <w:rPr>
          <w:rFonts w:cs="Times New Roman"/>
          <w:lang w:val="fr-CA"/>
        </w:rPr>
        <w:t>’</w:t>
      </w:r>
      <w:r w:rsidRPr="009F420B">
        <w:rPr>
          <w:rFonts w:cs="Times New Roman"/>
          <w:lang w:val="fr-CA"/>
        </w:rPr>
        <w:t>Ontario sans autorisation du tribunal »)</w:t>
      </w:r>
      <w:r>
        <w:rPr>
          <w:rFonts w:cs="Times New Roman"/>
          <w:lang w:val="fr-CA"/>
        </w:rPr>
        <w:t> :</w:t>
      </w:r>
      <w:r w:rsidRPr="009F420B">
        <w:rPr>
          <w:rFonts w:cs="Times New Roman"/>
          <w:lang w:val="fr-CA"/>
        </w:rPr>
        <w:t xml:space="preserve"> </w:t>
      </w:r>
      <w:r w:rsidRPr="009F420B">
        <w:rPr>
          <w:rFonts w:cs="Times New Roman"/>
          <w:i/>
          <w:lang w:val="fr-CA"/>
        </w:rPr>
        <w:t>Van Breda</w:t>
      </w:r>
      <w:r w:rsidRPr="009F420B">
        <w:rPr>
          <w:rFonts w:cs="Times New Roman"/>
          <w:lang w:val="fr-CA"/>
        </w:rPr>
        <w:t xml:space="preserve">, </w:t>
      </w:r>
      <w:r>
        <w:rPr>
          <w:rFonts w:cs="Times New Roman"/>
          <w:lang w:val="fr-CA"/>
        </w:rPr>
        <w:t>par. </w:t>
      </w:r>
      <w:r w:rsidR="00736841">
        <w:rPr>
          <w:rFonts w:cs="Times New Roman"/>
          <w:lang w:val="fr-CA"/>
        </w:rPr>
        <w:t>43, 83 et 87-</w:t>
      </w:r>
      <w:r w:rsidRPr="009F420B">
        <w:rPr>
          <w:rFonts w:cs="Times New Roman"/>
          <w:lang w:val="fr-CA"/>
        </w:rPr>
        <w:t xml:space="preserve">88. En fait, ces règles relatives aux significations </w:t>
      </w:r>
      <w:r w:rsidRPr="009F420B">
        <w:rPr>
          <w:rFonts w:cs="Times New Roman"/>
          <w:i/>
          <w:lang w:val="fr-CA"/>
        </w:rPr>
        <w:t>ex juris</w:t>
      </w:r>
      <w:r w:rsidRPr="009F420B">
        <w:rPr>
          <w:rFonts w:cs="Times New Roman"/>
          <w:lang w:val="fr-CA"/>
        </w:rPr>
        <w:t xml:space="preserve"> sont strictement des règles de procédure et ne tranchent pas en elles</w:t>
      </w:r>
      <w:r>
        <w:rPr>
          <w:rFonts w:cs="Times New Roman"/>
          <w:lang w:val="fr-CA"/>
        </w:rPr>
        <w:noBreakHyphen/>
      </w:r>
      <w:r w:rsidRPr="009F420B">
        <w:rPr>
          <w:rFonts w:cs="Times New Roman"/>
          <w:lang w:val="fr-CA"/>
        </w:rPr>
        <w:t>mêmes la compétence des tribunaux de l</w:t>
      </w:r>
      <w:r>
        <w:rPr>
          <w:rFonts w:cs="Times New Roman"/>
          <w:lang w:val="fr-CA"/>
        </w:rPr>
        <w:t>’</w:t>
      </w:r>
      <w:r w:rsidRPr="009F420B">
        <w:rPr>
          <w:rFonts w:cs="Times New Roman"/>
          <w:lang w:val="fr-CA"/>
        </w:rPr>
        <w:t>Ontario; le critère de droit substantiel qui constitue la source de la compétence réside plutôt dans l</w:t>
      </w:r>
      <w:r>
        <w:rPr>
          <w:rFonts w:cs="Times New Roman"/>
          <w:lang w:val="fr-CA"/>
        </w:rPr>
        <w:t>’</w:t>
      </w:r>
      <w:r w:rsidRPr="009F420B">
        <w:rPr>
          <w:rFonts w:cs="Times New Roman"/>
          <w:lang w:val="fr-CA"/>
        </w:rPr>
        <w:t>existence d</w:t>
      </w:r>
      <w:r>
        <w:rPr>
          <w:rFonts w:cs="Times New Roman"/>
          <w:lang w:val="fr-CA"/>
        </w:rPr>
        <w:t>’</w:t>
      </w:r>
      <w:r w:rsidRPr="009F420B">
        <w:rPr>
          <w:rFonts w:cs="Times New Roman"/>
          <w:lang w:val="fr-CA"/>
        </w:rPr>
        <w:t>un « lien réel et substantiel »</w:t>
      </w:r>
      <w:r>
        <w:rPr>
          <w:rFonts w:cs="Times New Roman"/>
          <w:lang w:val="fr-CA"/>
        </w:rPr>
        <w:t> :</w:t>
      </w:r>
      <w:r w:rsidRPr="009F420B">
        <w:rPr>
          <w:rFonts w:cs="Times New Roman"/>
          <w:lang w:val="fr-CA"/>
        </w:rPr>
        <w:t xml:space="preserve"> </w:t>
      </w:r>
      <w:r w:rsidRPr="009F420B">
        <w:rPr>
          <w:rFonts w:cs="Times New Roman"/>
          <w:i/>
          <w:lang w:val="fr-CA"/>
        </w:rPr>
        <w:t>Muscutt c. Courcelles</w:t>
      </w:r>
      <w:r w:rsidRPr="009F420B">
        <w:rPr>
          <w:rFonts w:cs="Times New Roman"/>
          <w:lang w:val="fr-CA"/>
        </w:rPr>
        <w:t xml:space="preserve"> (2002), 60 O.R. (3d) 2</w:t>
      </w:r>
      <w:r w:rsidR="00F611A0">
        <w:rPr>
          <w:rFonts w:cs="Times New Roman"/>
          <w:lang w:val="fr-CA"/>
        </w:rPr>
        <w:t>0</w:t>
      </w:r>
      <w:r w:rsidRPr="009F420B">
        <w:rPr>
          <w:rFonts w:cs="Times New Roman"/>
          <w:lang w:val="fr-CA"/>
        </w:rPr>
        <w:t xml:space="preserve"> </w:t>
      </w:r>
      <w:r w:rsidR="00736841" w:rsidRPr="009F420B">
        <w:rPr>
          <w:rFonts w:cs="Times New Roman"/>
          <w:lang w:val="fr-CA"/>
        </w:rPr>
        <w:t>(C.A.)</w:t>
      </w:r>
      <w:r w:rsidR="00F611A0">
        <w:rPr>
          <w:rFonts w:cs="Times New Roman"/>
          <w:lang w:val="fr-CA"/>
        </w:rPr>
        <w:t>,</w:t>
      </w:r>
      <w:r w:rsidR="00736841">
        <w:rPr>
          <w:rFonts w:cs="Times New Roman"/>
          <w:lang w:val="fr-CA"/>
        </w:rPr>
        <w:t xml:space="preserve"> p</w:t>
      </w:r>
      <w:r>
        <w:rPr>
          <w:rFonts w:cs="Times New Roman"/>
          <w:lang w:val="fr-CA"/>
        </w:rPr>
        <w:t>ar. </w:t>
      </w:r>
      <w:r w:rsidRPr="009F420B">
        <w:rPr>
          <w:rFonts w:cs="Times New Roman"/>
          <w:lang w:val="fr-CA"/>
        </w:rPr>
        <w:t>50</w:t>
      </w:r>
      <w:r>
        <w:rPr>
          <w:rFonts w:cs="Times New Roman"/>
          <w:lang w:val="fr-CA"/>
        </w:rPr>
        <w:noBreakHyphen/>
      </w:r>
      <w:r w:rsidRPr="009F420B">
        <w:rPr>
          <w:rFonts w:cs="Times New Roman"/>
          <w:lang w:val="fr-CA"/>
        </w:rPr>
        <w:t xml:space="preserve">52; Saumier, </w:t>
      </w:r>
      <w:r>
        <w:rPr>
          <w:rFonts w:cs="Times New Roman"/>
          <w:lang w:val="fr-CA"/>
        </w:rPr>
        <w:t>p. </w:t>
      </w:r>
      <w:r w:rsidRPr="009F420B">
        <w:rPr>
          <w:rFonts w:cs="Times New Roman"/>
          <w:lang w:val="fr-CA"/>
        </w:rPr>
        <w:t>712. Comme l</w:t>
      </w:r>
      <w:r>
        <w:rPr>
          <w:rFonts w:cs="Times New Roman"/>
          <w:lang w:val="fr-CA"/>
        </w:rPr>
        <w:t xml:space="preserve">’a expliqué la professeure </w:t>
      </w:r>
      <w:r w:rsidRPr="009F420B">
        <w:rPr>
          <w:rFonts w:cs="Times New Roman"/>
          <w:lang w:val="fr-CA"/>
        </w:rPr>
        <w:t>Saumier (avant l</w:t>
      </w:r>
      <w:r>
        <w:rPr>
          <w:rFonts w:cs="Times New Roman"/>
          <w:lang w:val="fr-CA"/>
        </w:rPr>
        <w:t>’</w:t>
      </w:r>
      <w:r w:rsidRPr="009F420B">
        <w:rPr>
          <w:rFonts w:cs="Times New Roman"/>
          <w:lang w:val="fr-CA"/>
        </w:rPr>
        <w:t xml:space="preserve">arrêt </w:t>
      </w:r>
      <w:r w:rsidRPr="009F420B">
        <w:rPr>
          <w:rFonts w:cs="Times New Roman"/>
          <w:i/>
          <w:lang w:val="fr-CA"/>
        </w:rPr>
        <w:t>Van Breda</w:t>
      </w:r>
      <w:r w:rsidRPr="009F420B">
        <w:rPr>
          <w:rFonts w:cs="Times New Roman"/>
          <w:lang w:val="fr-CA"/>
        </w:rPr>
        <w:t xml:space="preserve">), </w:t>
      </w:r>
      <w:r w:rsidRPr="009F420B">
        <w:rPr>
          <w:rFonts w:cs="Times New Roman"/>
          <w:lang w:val="fr-CA"/>
        </w:rPr>
        <w:sym w:font="Symbol" w:char="F05B"/>
      </w:r>
      <w:r w:rsidRPr="009F420B">
        <w:rPr>
          <w:rFonts w:cs="Times New Roman"/>
          <w:smallCaps/>
          <w:lang w:val="fr-CA"/>
        </w:rPr>
        <w:t>traduction</w:t>
      </w:r>
      <w:r w:rsidRPr="009F420B">
        <w:rPr>
          <w:rFonts w:cs="Times New Roman"/>
          <w:lang w:val="fr-CA"/>
        </w:rPr>
        <w:sym w:font="Symbol" w:char="F05D"/>
      </w:r>
      <w:r w:rsidRPr="009F420B">
        <w:rPr>
          <w:rFonts w:cs="Times New Roman"/>
          <w:lang w:val="fr-CA"/>
        </w:rPr>
        <w:t xml:space="preserve"> « </w:t>
      </w:r>
      <w:r w:rsidR="006476E7">
        <w:rPr>
          <w:rFonts w:cs="Times New Roman"/>
          <w:lang w:val="fr-CA"/>
        </w:rPr>
        <w:t>[</w:t>
      </w:r>
      <w:r w:rsidRPr="009F420B">
        <w:rPr>
          <w:rFonts w:cs="Times New Roman"/>
          <w:lang w:val="fr-CA"/>
        </w:rPr>
        <w:t>d</w:t>
      </w:r>
      <w:r w:rsidR="006476E7">
        <w:rPr>
          <w:rFonts w:cs="Times New Roman"/>
          <w:lang w:val="fr-CA"/>
        </w:rPr>
        <w:t>]</w:t>
      </w:r>
      <w:r w:rsidRPr="009F420B">
        <w:rPr>
          <w:rFonts w:cs="Times New Roman"/>
          <w:lang w:val="fr-CA"/>
        </w:rPr>
        <w:t>ans les provinces de common law canadiennes, la simple reconnaissance de compétence est établie par la preuve du respect tant des règles relatives à la signification que du critère du “lien réel et substantiel” découlant de l</w:t>
      </w:r>
      <w:r>
        <w:rPr>
          <w:rFonts w:cs="Times New Roman"/>
          <w:lang w:val="fr-CA"/>
        </w:rPr>
        <w:t>’</w:t>
      </w:r>
      <w:r w:rsidRPr="009F420B">
        <w:rPr>
          <w:rFonts w:cs="Times New Roman"/>
          <w:lang w:val="fr-CA"/>
        </w:rPr>
        <w:t xml:space="preserve">arrêt </w:t>
      </w:r>
      <w:r w:rsidRPr="009F420B">
        <w:rPr>
          <w:rFonts w:cs="Times New Roman"/>
          <w:i/>
          <w:lang w:val="fr-CA"/>
        </w:rPr>
        <w:t>Morguard </w:t>
      </w:r>
      <w:r w:rsidRPr="009F420B">
        <w:rPr>
          <w:rFonts w:cs="Times New Roman"/>
          <w:lang w:val="fr-CA"/>
        </w:rPr>
        <w:t>»</w:t>
      </w:r>
      <w:r>
        <w:rPr>
          <w:rFonts w:cs="Times New Roman"/>
          <w:lang w:val="fr-CA"/>
        </w:rPr>
        <w:t> :</w:t>
      </w:r>
      <w:r w:rsidRPr="009F420B">
        <w:rPr>
          <w:rFonts w:cs="Times New Roman"/>
          <w:lang w:val="fr-CA"/>
        </w:rPr>
        <w:t xml:space="preserve"> </w:t>
      </w:r>
      <w:r>
        <w:rPr>
          <w:rFonts w:cs="Times New Roman"/>
          <w:lang w:val="fr-CA"/>
        </w:rPr>
        <w:t>p. </w:t>
      </w:r>
      <w:r w:rsidRPr="009F420B">
        <w:rPr>
          <w:rFonts w:cs="Times New Roman"/>
          <w:lang w:val="fr-CA"/>
        </w:rPr>
        <w:t xml:space="preserve">693. </w:t>
      </w:r>
    </w:p>
    <w:p w:rsidR="00AF6697" w:rsidRPr="009F420B" w:rsidRDefault="00AF6697" w:rsidP="00AF6697">
      <w:pPr>
        <w:pStyle w:val="ParaNoNdepar-AltN"/>
        <w:rPr>
          <w:rFonts w:cs="Times New Roman"/>
          <w:lang w:val="fr-CA"/>
        </w:rPr>
      </w:pPr>
      <w:r w:rsidRPr="009F420B">
        <w:rPr>
          <w:rFonts w:cs="Times New Roman"/>
          <w:lang w:val="fr-CA"/>
        </w:rPr>
        <w:t>Voilà pour la common law. L</w:t>
      </w:r>
      <w:r>
        <w:rPr>
          <w:rFonts w:cs="Times New Roman"/>
          <w:lang w:val="fr-CA"/>
        </w:rPr>
        <w:t>’</w:t>
      </w:r>
      <w:r w:rsidRPr="009F420B">
        <w:rPr>
          <w:rFonts w:cs="Times New Roman"/>
          <w:lang w:val="fr-CA"/>
        </w:rPr>
        <w:t xml:space="preserve">équivalent pratique de la règle de la simple reconnaissance de compétence en droit québécois </w:t>
      </w:r>
      <w:r w:rsidRPr="009F420B">
        <w:rPr>
          <w:rFonts w:cs="Times New Roman"/>
          <w:lang w:val="fr-CA"/>
        </w:rPr>
        <w:sym w:font="Symbol" w:char="F05B"/>
      </w:r>
      <w:r w:rsidRPr="009F420B">
        <w:rPr>
          <w:rFonts w:cs="Times New Roman"/>
          <w:smallCaps/>
          <w:lang w:val="fr-CA"/>
        </w:rPr>
        <w:t>traduction</w:t>
      </w:r>
      <w:r w:rsidRPr="009F420B">
        <w:rPr>
          <w:rFonts w:cs="Times New Roman"/>
          <w:lang w:val="fr-CA"/>
        </w:rPr>
        <w:sym w:font="Symbol" w:char="F05D"/>
      </w:r>
      <w:r w:rsidRPr="009F420B">
        <w:rPr>
          <w:rFonts w:cs="Times New Roman"/>
          <w:lang w:val="fr-CA"/>
        </w:rPr>
        <w:t xml:space="preserve"> « se trouve dans les dispositions pertinentes sur la compétence énoncées au titre troisième du livre dixième du Code civil »</w:t>
      </w:r>
      <w:r>
        <w:rPr>
          <w:rFonts w:cs="Times New Roman"/>
          <w:lang w:val="fr-CA"/>
        </w:rPr>
        <w:t> :</w:t>
      </w:r>
      <w:r w:rsidRPr="009F420B">
        <w:rPr>
          <w:rFonts w:cs="Times New Roman"/>
          <w:lang w:val="fr-CA"/>
        </w:rPr>
        <w:t xml:space="preserve"> Saumier, </w:t>
      </w:r>
      <w:r>
        <w:rPr>
          <w:rFonts w:cs="Times New Roman"/>
          <w:lang w:val="fr-CA"/>
        </w:rPr>
        <w:t>p. </w:t>
      </w:r>
      <w:r w:rsidRPr="009F420B">
        <w:rPr>
          <w:rFonts w:cs="Times New Roman"/>
          <w:lang w:val="fr-CA"/>
        </w:rPr>
        <w:t>693. « </w:t>
      </w:r>
      <w:r w:rsidRPr="009F420B">
        <w:rPr>
          <w:rFonts w:cs="Times New Roman"/>
          <w:lang w:val="fr-CA"/>
        </w:rPr>
        <w:sym w:font="Symbol" w:char="F05B"/>
      </w:r>
      <w:r w:rsidRPr="009F420B">
        <w:rPr>
          <w:rFonts w:cs="Times New Roman"/>
          <w:lang w:val="fr-CA"/>
        </w:rPr>
        <w:t>Toutefois</w:t>
      </w:r>
      <w:r w:rsidRPr="009F420B">
        <w:rPr>
          <w:rFonts w:cs="Times New Roman"/>
          <w:lang w:val="fr-CA"/>
        </w:rPr>
        <w:sym w:font="Symbol" w:char="F05D"/>
      </w:r>
      <w:r w:rsidRPr="009F420B">
        <w:rPr>
          <w:rFonts w:cs="Times New Roman"/>
          <w:lang w:val="fr-CA"/>
        </w:rPr>
        <w:t xml:space="preserve">, contrairement à leur équivalent en common law, ces règles ne sont pas simplement procédurales; </w:t>
      </w:r>
      <w:r w:rsidRPr="009F420B">
        <w:rPr>
          <w:rFonts w:cs="Times New Roman"/>
          <w:u w:val="single"/>
          <w:lang w:val="fr-CA"/>
        </w:rPr>
        <w:t>elles confèrent bel et bien une compétence aux tribunaux québécois</w:t>
      </w:r>
      <w:r w:rsidRPr="009F420B">
        <w:rPr>
          <w:rFonts w:cs="Times New Roman"/>
          <w:lang w:val="fr-CA"/>
        </w:rPr>
        <w:t> », et « </w:t>
      </w:r>
      <w:r w:rsidR="006476E7">
        <w:rPr>
          <w:rFonts w:cs="Times New Roman"/>
          <w:lang w:val="fr-CA"/>
        </w:rPr>
        <w:t>[</w:t>
      </w:r>
      <w:r w:rsidRPr="009F420B">
        <w:rPr>
          <w:rFonts w:cs="Times New Roman"/>
          <w:lang w:val="fr-CA"/>
        </w:rPr>
        <w:t>l</w:t>
      </w:r>
      <w:r w:rsidR="00906BAB">
        <w:rPr>
          <w:rFonts w:cs="Times New Roman"/>
          <w:lang w:val="fr-CA"/>
        </w:rPr>
        <w:t>]</w:t>
      </w:r>
      <w:r>
        <w:rPr>
          <w:rFonts w:cs="Times New Roman"/>
          <w:lang w:val="fr-CA"/>
        </w:rPr>
        <w:t>’</w:t>
      </w:r>
      <w:r w:rsidRPr="009F420B">
        <w:rPr>
          <w:rFonts w:cs="Times New Roman"/>
          <w:lang w:val="fr-CA"/>
        </w:rPr>
        <w:t xml:space="preserve">idée selon laquelle les critères du Code devraient être considérés comme de simples indices de présomption de </w:t>
      </w:r>
      <w:r w:rsidRPr="009F420B">
        <w:rPr>
          <w:rFonts w:cs="Times New Roman"/>
          <w:lang w:val="fr-CA"/>
        </w:rPr>
        <w:lastRenderedPageBreak/>
        <w:t>compétence » n</w:t>
      </w:r>
      <w:r>
        <w:rPr>
          <w:rFonts w:cs="Times New Roman"/>
          <w:lang w:val="fr-CA"/>
        </w:rPr>
        <w:t>’</w:t>
      </w:r>
      <w:r w:rsidRPr="009F420B">
        <w:rPr>
          <w:rFonts w:cs="Times New Roman"/>
          <w:lang w:val="fr-CA"/>
        </w:rPr>
        <w:t xml:space="preserve">est pas appuyée par le </w:t>
      </w:r>
      <w:r w:rsidRPr="009F420B">
        <w:rPr>
          <w:rFonts w:cs="Times New Roman"/>
          <w:i/>
          <w:lang w:val="fr-CA"/>
        </w:rPr>
        <w:t>Code civil</w:t>
      </w:r>
      <w:r>
        <w:rPr>
          <w:rFonts w:cs="Times New Roman"/>
          <w:i/>
          <w:lang w:val="fr-CA"/>
        </w:rPr>
        <w:t> </w:t>
      </w:r>
      <w:r w:rsidRPr="006476E7">
        <w:rPr>
          <w:rFonts w:cs="Times New Roman"/>
          <w:lang w:val="fr-CA"/>
        </w:rPr>
        <w:t xml:space="preserve">: </w:t>
      </w:r>
      <w:r w:rsidRPr="009F420B">
        <w:rPr>
          <w:rFonts w:cs="Times New Roman"/>
          <w:lang w:val="fr-CA"/>
        </w:rPr>
        <w:t xml:space="preserve">Saumier, </w:t>
      </w:r>
      <w:r>
        <w:rPr>
          <w:rFonts w:cs="Times New Roman"/>
          <w:lang w:val="fr-CA"/>
        </w:rPr>
        <w:t>p. </w:t>
      </w:r>
      <w:r w:rsidR="006476E7">
        <w:rPr>
          <w:rFonts w:cs="Times New Roman"/>
          <w:lang w:val="fr-CA"/>
        </w:rPr>
        <w:t xml:space="preserve">693 (note </w:t>
      </w:r>
      <w:r w:rsidRPr="009F420B">
        <w:rPr>
          <w:rFonts w:cs="Times New Roman"/>
          <w:lang w:val="fr-CA"/>
        </w:rPr>
        <w:t>en bas de page</w:t>
      </w:r>
      <w:r w:rsidR="006476E7">
        <w:rPr>
          <w:rFonts w:cs="Times New Roman"/>
          <w:lang w:val="fr-CA"/>
        </w:rPr>
        <w:t xml:space="preserve"> 51</w:t>
      </w:r>
      <w:r w:rsidRPr="009F420B">
        <w:rPr>
          <w:rFonts w:cs="Times New Roman"/>
          <w:lang w:val="fr-CA"/>
        </w:rPr>
        <w:t xml:space="preserve">) et 694 (je souligne). </w:t>
      </w:r>
    </w:p>
    <w:p w:rsidR="00AF6697" w:rsidRPr="009F420B" w:rsidRDefault="00AF6697" w:rsidP="00AF6697">
      <w:pPr>
        <w:pStyle w:val="ParaNoNdepar-AltN"/>
        <w:rPr>
          <w:rFonts w:cs="Times New Roman"/>
          <w:lang w:val="fr-CA"/>
        </w:rPr>
      </w:pPr>
      <w:r w:rsidRPr="009F420B">
        <w:rPr>
          <w:rFonts w:cs="Times New Roman"/>
          <w:lang w:val="fr-CA"/>
        </w:rPr>
        <w:t>Dans l</w:t>
      </w:r>
      <w:r>
        <w:rPr>
          <w:rFonts w:cs="Times New Roman"/>
          <w:lang w:val="fr-CA"/>
        </w:rPr>
        <w:t>’</w:t>
      </w:r>
      <w:r w:rsidRPr="009F420B">
        <w:rPr>
          <w:rFonts w:cs="Times New Roman"/>
          <w:lang w:val="fr-CA"/>
        </w:rPr>
        <w:t xml:space="preserve">arrêt </w:t>
      </w:r>
      <w:r w:rsidRPr="009F420B">
        <w:rPr>
          <w:rFonts w:cs="Times New Roman"/>
          <w:i/>
          <w:lang w:val="fr-CA"/>
        </w:rPr>
        <w:t>Spar</w:t>
      </w:r>
      <w:r w:rsidRPr="009F420B">
        <w:rPr>
          <w:rFonts w:cs="Times New Roman"/>
          <w:lang w:val="fr-CA"/>
        </w:rPr>
        <w:t>, la Cour s</w:t>
      </w:r>
      <w:r>
        <w:rPr>
          <w:rFonts w:cs="Times New Roman"/>
          <w:lang w:val="fr-CA"/>
        </w:rPr>
        <w:t>’</w:t>
      </w:r>
      <w:r w:rsidRPr="009F420B">
        <w:rPr>
          <w:rFonts w:cs="Times New Roman"/>
          <w:lang w:val="fr-CA"/>
        </w:rPr>
        <w:t>est interrogée sur l</w:t>
      </w:r>
      <w:r>
        <w:rPr>
          <w:rFonts w:cs="Times New Roman"/>
          <w:lang w:val="fr-CA"/>
        </w:rPr>
        <w:t>’</w:t>
      </w:r>
      <w:r w:rsidRPr="009F420B">
        <w:rPr>
          <w:rFonts w:cs="Times New Roman"/>
          <w:lang w:val="fr-CA"/>
        </w:rPr>
        <w:t>opportunité d</w:t>
      </w:r>
      <w:r>
        <w:rPr>
          <w:rFonts w:cs="Times New Roman"/>
          <w:lang w:val="fr-CA"/>
        </w:rPr>
        <w:t>’</w:t>
      </w:r>
      <w:r w:rsidRPr="009F420B">
        <w:rPr>
          <w:rFonts w:cs="Times New Roman"/>
          <w:lang w:val="fr-CA"/>
        </w:rPr>
        <w:t>appliquer le critère du « lien réel et substantiel » pour décider si l</w:t>
      </w:r>
      <w:r>
        <w:rPr>
          <w:rFonts w:cs="Times New Roman"/>
          <w:lang w:val="fr-CA"/>
        </w:rPr>
        <w:t>’art. </w:t>
      </w:r>
      <w:r w:rsidRPr="009F420B">
        <w:rPr>
          <w:rFonts w:cs="Times New Roman"/>
          <w:lang w:val="fr-CA"/>
        </w:rPr>
        <w:t xml:space="preserve">3148 </w:t>
      </w:r>
      <w:r w:rsidRPr="009F420B">
        <w:rPr>
          <w:rFonts w:cs="Times New Roman"/>
          <w:i/>
          <w:lang w:val="fr-CA"/>
        </w:rPr>
        <w:t xml:space="preserve">C.c.Q. </w:t>
      </w:r>
      <w:r w:rsidRPr="009F420B">
        <w:rPr>
          <w:rFonts w:cs="Times New Roman"/>
          <w:lang w:val="fr-CA"/>
        </w:rPr>
        <w:t>confère une compétence internationale aux autorités du Québec</w:t>
      </w:r>
      <w:r w:rsidRPr="009F420B">
        <w:rPr>
          <w:rFonts w:cs="Times New Roman"/>
          <w:i/>
          <w:lang w:val="fr-CA"/>
        </w:rPr>
        <w:t>.</w:t>
      </w:r>
      <w:r w:rsidRPr="009F420B">
        <w:rPr>
          <w:rFonts w:cs="Times New Roman"/>
          <w:lang w:val="fr-CA"/>
        </w:rPr>
        <w:t xml:space="preserve"> Deux des appelantes avaient soutenu que les tribunaux québécois ne pouvaient se déclarer compétents sur un « fait dommageable » ou sur un « préjudice » survenu ou subi au Québec, au sens où il faut l</w:t>
      </w:r>
      <w:r>
        <w:rPr>
          <w:rFonts w:cs="Times New Roman"/>
          <w:lang w:val="fr-CA"/>
        </w:rPr>
        <w:t>’</w:t>
      </w:r>
      <w:r w:rsidRPr="009F420B">
        <w:rPr>
          <w:rFonts w:cs="Times New Roman"/>
          <w:lang w:val="fr-CA"/>
        </w:rPr>
        <w:t>entendre pour l</w:t>
      </w:r>
      <w:r>
        <w:rPr>
          <w:rFonts w:cs="Times New Roman"/>
          <w:lang w:val="fr-CA"/>
        </w:rPr>
        <w:t>’</w:t>
      </w:r>
      <w:r w:rsidRPr="009F420B">
        <w:rPr>
          <w:rFonts w:cs="Times New Roman"/>
          <w:lang w:val="fr-CA"/>
        </w:rPr>
        <w:t>application de l</w:t>
      </w:r>
      <w:r>
        <w:rPr>
          <w:rFonts w:cs="Times New Roman"/>
          <w:lang w:val="fr-CA"/>
        </w:rPr>
        <w:t>’art. </w:t>
      </w:r>
      <w:r w:rsidRPr="009F420B">
        <w:rPr>
          <w:rFonts w:cs="Times New Roman"/>
          <w:lang w:val="fr-CA"/>
        </w:rPr>
        <w:t xml:space="preserve">3148 </w:t>
      </w:r>
      <w:r w:rsidRPr="009F420B">
        <w:rPr>
          <w:rFonts w:cs="Times New Roman"/>
          <w:i/>
          <w:lang w:val="fr-CA"/>
        </w:rPr>
        <w:t>C.c.Q.</w:t>
      </w:r>
      <w:r w:rsidRPr="009F420B">
        <w:rPr>
          <w:rFonts w:cs="Times New Roman"/>
          <w:lang w:val="fr-CA"/>
        </w:rPr>
        <w:t xml:space="preserve">, étant donné que (toujours selon les appelantes) dans les arrêts </w:t>
      </w:r>
      <w:r w:rsidRPr="009F420B">
        <w:rPr>
          <w:rFonts w:cs="Times New Roman"/>
          <w:i/>
          <w:iCs/>
          <w:lang w:val="fr-CA"/>
        </w:rPr>
        <w:t xml:space="preserve">Morguard </w:t>
      </w:r>
      <w:r w:rsidRPr="009F420B">
        <w:rPr>
          <w:rFonts w:cs="Times New Roman"/>
          <w:iCs/>
          <w:lang w:val="fr-CA"/>
        </w:rPr>
        <w:t xml:space="preserve">et </w:t>
      </w:r>
      <w:r w:rsidRPr="009F420B">
        <w:rPr>
          <w:rFonts w:cs="Times New Roman"/>
          <w:i/>
          <w:iCs/>
          <w:lang w:val="fr-CA"/>
        </w:rPr>
        <w:t>Hunt</w:t>
      </w:r>
      <w:r w:rsidRPr="009F420B">
        <w:rPr>
          <w:rFonts w:cs="Times New Roman"/>
          <w:lang w:val="fr-CA" w:bidi="en-US"/>
        </w:rPr>
        <w:t xml:space="preserve">, </w:t>
      </w:r>
      <w:r w:rsidRPr="009F420B">
        <w:rPr>
          <w:rFonts w:cs="Times New Roman"/>
          <w:lang w:val="fr-CA"/>
        </w:rPr>
        <w:t xml:space="preserve">la Cour avait </w:t>
      </w:r>
      <w:r w:rsidRPr="009F420B">
        <w:rPr>
          <w:rFonts w:cs="Times New Roman"/>
          <w:lang w:val="fr-CA" w:bidi="en-US"/>
        </w:rPr>
        <w:t xml:space="preserve">ajouté une nouvelle </w:t>
      </w:r>
      <w:r w:rsidRPr="009F420B">
        <w:rPr>
          <w:rFonts w:cs="Times New Roman"/>
          <w:lang w:val="fr-CA"/>
        </w:rPr>
        <w:t>exigence, celle de l</w:t>
      </w:r>
      <w:r>
        <w:rPr>
          <w:rFonts w:cs="Times New Roman"/>
          <w:lang w:val="fr-CA"/>
        </w:rPr>
        <w:t>’</w:t>
      </w:r>
      <w:r w:rsidRPr="009F420B">
        <w:rPr>
          <w:rFonts w:cs="Times New Roman"/>
          <w:lang w:val="fr-CA"/>
        </w:rPr>
        <w:t>existence d</w:t>
      </w:r>
      <w:r>
        <w:rPr>
          <w:rFonts w:cs="Times New Roman"/>
          <w:lang w:val="fr-CA"/>
        </w:rPr>
        <w:t>’</w:t>
      </w:r>
      <w:r w:rsidRPr="009F420B">
        <w:rPr>
          <w:rFonts w:cs="Times New Roman"/>
          <w:lang w:val="fr-CA"/>
        </w:rPr>
        <w:t>un « lien réel et substantiel » entre le tribunal et l</w:t>
      </w:r>
      <w:r>
        <w:rPr>
          <w:rFonts w:cs="Times New Roman"/>
          <w:lang w:val="fr-CA"/>
        </w:rPr>
        <w:t>’</w:t>
      </w:r>
      <w:r w:rsidRPr="009F420B">
        <w:rPr>
          <w:rFonts w:cs="Times New Roman"/>
          <w:lang w:val="fr-CA"/>
        </w:rPr>
        <w:t>action (</w:t>
      </w:r>
      <w:r>
        <w:rPr>
          <w:rFonts w:cs="Times New Roman"/>
          <w:lang w:val="fr-CA"/>
        </w:rPr>
        <w:t>par. </w:t>
      </w:r>
      <w:r w:rsidRPr="009F420B">
        <w:rPr>
          <w:rFonts w:cs="Times New Roman"/>
          <w:lang w:val="fr-CA"/>
        </w:rPr>
        <w:t>45), et que cette exigence liait également les tribunaux québécois. Or, la Cour a catégoriquement rejeté cet argument (</w:t>
      </w:r>
      <w:r>
        <w:rPr>
          <w:rFonts w:cs="Times New Roman"/>
          <w:lang w:val="fr-CA"/>
        </w:rPr>
        <w:t>par. </w:t>
      </w:r>
      <w:r w:rsidRPr="009F420B">
        <w:rPr>
          <w:rFonts w:cs="Times New Roman"/>
          <w:lang w:val="fr-CA"/>
        </w:rPr>
        <w:t>50) et a ajouté les commentaires suivants (</w:t>
      </w:r>
      <w:r>
        <w:rPr>
          <w:rFonts w:cs="Times New Roman"/>
          <w:lang w:val="fr-CA"/>
        </w:rPr>
        <w:t>par. </w:t>
      </w:r>
      <w:r w:rsidRPr="009F420B">
        <w:rPr>
          <w:rFonts w:cs="Times New Roman"/>
          <w:lang w:val="fr-CA"/>
        </w:rPr>
        <w:t>55</w:t>
      </w:r>
      <w:r>
        <w:rPr>
          <w:rFonts w:cs="Times New Roman"/>
          <w:lang w:val="fr-CA"/>
        </w:rPr>
        <w:noBreakHyphen/>
      </w:r>
      <w:r w:rsidRPr="009F420B">
        <w:rPr>
          <w:rFonts w:cs="Times New Roman"/>
          <w:lang w:val="fr-CA"/>
        </w:rPr>
        <w:t>57 et 63)</w:t>
      </w:r>
      <w:r>
        <w:rPr>
          <w:rFonts w:cs="Times New Roman"/>
          <w:lang w:val="fr-CA"/>
        </w:rPr>
        <w:t> :</w:t>
      </w:r>
      <w:r w:rsidRPr="009F420B">
        <w:rPr>
          <w:rFonts w:cs="Times New Roman"/>
          <w:lang w:val="fr-CA"/>
        </w:rPr>
        <w:t xml:space="preserve"> </w:t>
      </w:r>
    </w:p>
    <w:p w:rsidR="00AF6697" w:rsidRPr="009F420B" w:rsidRDefault="00AF6697" w:rsidP="00AF6697">
      <w:pPr>
        <w:pStyle w:val="Citation-AltC"/>
        <w:spacing w:after="240"/>
        <w:ind w:left="1168" w:hanging="1168"/>
        <w:contextualSpacing w:val="0"/>
        <w:rPr>
          <w:lang w:val="fr-CA"/>
        </w:rPr>
      </w:pPr>
      <w:r>
        <w:rPr>
          <w:lang w:val="fr-CA"/>
        </w:rPr>
        <w:tab/>
      </w:r>
      <w:r>
        <w:rPr>
          <w:lang w:val="fr-CA"/>
        </w:rPr>
        <w:tab/>
      </w:r>
      <w:r w:rsidRPr="009F420B">
        <w:rPr>
          <w:lang w:val="fr-CA"/>
        </w:rPr>
        <w:t>Comme nous l</w:t>
      </w:r>
      <w:r>
        <w:rPr>
          <w:lang w:val="fr-CA"/>
        </w:rPr>
        <w:t>’</w:t>
      </w:r>
      <w:r w:rsidRPr="009F420B">
        <w:rPr>
          <w:lang w:val="fr-CA"/>
        </w:rPr>
        <w:t>avons mentionné précédemment, le livre dixième du </w:t>
      </w:r>
      <w:r w:rsidRPr="009F420B">
        <w:rPr>
          <w:i/>
          <w:iCs/>
          <w:lang w:val="fr-CA"/>
        </w:rPr>
        <w:t>C.c.Q.</w:t>
      </w:r>
      <w:r w:rsidRPr="009F420B">
        <w:rPr>
          <w:lang w:val="fr-CA"/>
        </w:rPr>
        <w:t xml:space="preserve"> énonce les règles de droit international privé applicables dans la province de Québec. Les dispositions de ce livre doivent s</w:t>
      </w:r>
      <w:r>
        <w:rPr>
          <w:lang w:val="fr-CA"/>
        </w:rPr>
        <w:t>’</w:t>
      </w:r>
      <w:r w:rsidRPr="009F420B">
        <w:rPr>
          <w:lang w:val="fr-CA"/>
        </w:rPr>
        <w:t>interpréter comme un tout cohérent et en fonction des principes de courtoisie, d</w:t>
      </w:r>
      <w:r>
        <w:rPr>
          <w:lang w:val="fr-CA"/>
        </w:rPr>
        <w:t>’</w:t>
      </w:r>
      <w:r w:rsidRPr="009F420B">
        <w:rPr>
          <w:lang w:val="fr-CA"/>
        </w:rPr>
        <w:t>ordre et d</w:t>
      </w:r>
      <w:r>
        <w:rPr>
          <w:lang w:val="fr-CA"/>
        </w:rPr>
        <w:t>’</w:t>
      </w:r>
      <w:r w:rsidRPr="009F420B">
        <w:rPr>
          <w:lang w:val="fr-CA"/>
        </w:rPr>
        <w:t>équité. Selon moi, il ressort des termes explicites de l</w:t>
      </w:r>
      <w:r>
        <w:rPr>
          <w:lang w:val="fr-CA"/>
        </w:rPr>
        <w:t>’art. </w:t>
      </w:r>
      <w:r w:rsidRPr="009F420B">
        <w:rPr>
          <w:lang w:val="fr-CA"/>
        </w:rPr>
        <w:t xml:space="preserve">3148 </w:t>
      </w:r>
      <w:r w:rsidRPr="009F420B">
        <w:rPr>
          <w:u w:val="single"/>
          <w:lang w:val="fr-CA"/>
        </w:rPr>
        <w:t>et des autres dispositions du Livre dixième</w:t>
      </w:r>
      <w:r w:rsidRPr="009F420B">
        <w:rPr>
          <w:lang w:val="fr-CA"/>
        </w:rPr>
        <w:t xml:space="preserve"> que </w:t>
      </w:r>
      <w:r w:rsidRPr="009F420B">
        <w:rPr>
          <w:u w:val="single"/>
          <w:lang w:val="fr-CA"/>
        </w:rPr>
        <w:t>ce système de droit international privé vise à assurer la présence d</w:t>
      </w:r>
      <w:r>
        <w:rPr>
          <w:u w:val="single"/>
          <w:lang w:val="fr-CA"/>
        </w:rPr>
        <w:t>’</w:t>
      </w:r>
      <w:r w:rsidRPr="009F420B">
        <w:rPr>
          <w:u w:val="single"/>
          <w:lang w:val="fr-CA"/>
        </w:rPr>
        <w:t>un « lien réel et substantiel »</w:t>
      </w:r>
      <w:r w:rsidRPr="009F420B">
        <w:rPr>
          <w:lang w:val="fr-CA"/>
        </w:rPr>
        <w:t xml:space="preserve"> entre l</w:t>
      </w:r>
      <w:r>
        <w:rPr>
          <w:lang w:val="fr-CA"/>
        </w:rPr>
        <w:t>’</w:t>
      </w:r>
      <w:r w:rsidRPr="009F420B">
        <w:rPr>
          <w:lang w:val="fr-CA"/>
        </w:rPr>
        <w:t>action et la province de Québec, et à empêcher l</w:t>
      </w:r>
      <w:r>
        <w:rPr>
          <w:lang w:val="fr-CA"/>
        </w:rPr>
        <w:t>’</w:t>
      </w:r>
      <w:r w:rsidRPr="009F420B">
        <w:rPr>
          <w:lang w:val="fr-CA"/>
        </w:rPr>
        <w:t>exercice inapproprié de la compétence du for québécois.</w:t>
      </w:r>
    </w:p>
    <w:p w:rsidR="00AF6697" w:rsidRPr="009F420B" w:rsidRDefault="00AF6697" w:rsidP="00AF6697">
      <w:pPr>
        <w:pStyle w:val="Citation-AltC"/>
        <w:spacing w:after="240"/>
        <w:ind w:left="1168" w:hanging="1168"/>
        <w:contextualSpacing w:val="0"/>
        <w:rPr>
          <w:lang w:val="fr-CA"/>
        </w:rPr>
      </w:pPr>
      <w:r>
        <w:rPr>
          <w:lang w:val="fr-CA"/>
        </w:rPr>
        <w:tab/>
      </w:r>
      <w:r>
        <w:rPr>
          <w:lang w:val="fr-CA"/>
        </w:rPr>
        <w:tab/>
      </w:r>
      <w:r w:rsidRPr="009F420B">
        <w:rPr>
          <w:lang w:val="fr-CA"/>
        </w:rPr>
        <w:t>À l</w:t>
      </w:r>
      <w:r>
        <w:rPr>
          <w:lang w:val="fr-CA"/>
        </w:rPr>
        <w:t>’</w:t>
      </w:r>
      <w:r w:rsidRPr="009F420B">
        <w:rPr>
          <w:lang w:val="fr-CA"/>
        </w:rPr>
        <w:t>examen du libellé même de l</w:t>
      </w:r>
      <w:r>
        <w:rPr>
          <w:lang w:val="fr-CA"/>
        </w:rPr>
        <w:t>’art. </w:t>
      </w:r>
      <w:r w:rsidRPr="009F420B">
        <w:rPr>
          <w:lang w:val="fr-CA"/>
        </w:rPr>
        <w:t xml:space="preserve">3148, on peut soutenir que la notion de « lien réel et substantiel » se trouve déjà subsumée sous les dispositions du </w:t>
      </w:r>
      <w:r>
        <w:rPr>
          <w:lang w:val="fr-CA"/>
        </w:rPr>
        <w:t>par. </w:t>
      </w:r>
      <w:r w:rsidRPr="009F420B">
        <w:rPr>
          <w:lang w:val="fr-CA"/>
        </w:rPr>
        <w:t>3148(3). En effet, chacun des motifs énumérés (la faute, le fait dommageable, le préjudice, le contrat) semble être un exemple de situations qui constituent un « lien réel et substantiel » entre la province de Québec et l</w:t>
      </w:r>
      <w:r>
        <w:rPr>
          <w:lang w:val="fr-CA"/>
        </w:rPr>
        <w:t>’</w:t>
      </w:r>
      <w:r w:rsidRPr="009F420B">
        <w:rPr>
          <w:lang w:val="fr-CA"/>
        </w:rPr>
        <w:t>action. </w:t>
      </w:r>
      <w:r w:rsidRPr="009F420B">
        <w:rPr>
          <w:u w:val="single"/>
          <w:lang w:val="fr-CA"/>
        </w:rPr>
        <w:t>En fait, je doute que le demandeur qui réussit à prouver l</w:t>
      </w:r>
      <w:r>
        <w:rPr>
          <w:u w:val="single"/>
          <w:lang w:val="fr-CA"/>
        </w:rPr>
        <w:t>’</w:t>
      </w:r>
      <w:r w:rsidRPr="009F420B">
        <w:rPr>
          <w:u w:val="single"/>
          <w:lang w:val="fr-CA"/>
        </w:rPr>
        <w:t>un des quatre motifs d</w:t>
      </w:r>
      <w:r>
        <w:rPr>
          <w:u w:val="single"/>
          <w:lang w:val="fr-CA"/>
        </w:rPr>
        <w:t>’</w:t>
      </w:r>
      <w:r w:rsidRPr="009F420B">
        <w:rPr>
          <w:u w:val="single"/>
          <w:lang w:val="fr-CA"/>
        </w:rPr>
        <w:t xml:space="preserve">attribution de compétence ne soit pas considéré comme ayant satisfait au critère du « lien réel et substantiel », du moins aux fins de la simple reconnaissance de compétence. </w:t>
      </w:r>
    </w:p>
    <w:p w:rsidR="00AF6697" w:rsidRPr="009F420B" w:rsidRDefault="00AF6697" w:rsidP="00AF6697">
      <w:pPr>
        <w:pStyle w:val="Citation-AltC"/>
        <w:spacing w:after="240"/>
        <w:ind w:left="1168" w:hanging="1168"/>
        <w:contextualSpacing w:val="0"/>
        <w:rPr>
          <w:lang w:val="fr-CA"/>
        </w:rPr>
      </w:pPr>
      <w:r>
        <w:rPr>
          <w:lang w:val="fr-CA"/>
        </w:rPr>
        <w:lastRenderedPageBreak/>
        <w:tab/>
      </w:r>
      <w:r>
        <w:rPr>
          <w:lang w:val="fr-CA"/>
        </w:rPr>
        <w:tab/>
      </w:r>
      <w:r w:rsidRPr="009F420B">
        <w:rPr>
          <w:lang w:val="fr-CA"/>
        </w:rPr>
        <w:t>Ensuite, après examen du système de règles contenues dans le Livre dixième, il me semble que le critère du « lien réel et substantiel » s</w:t>
      </w:r>
      <w:r>
        <w:rPr>
          <w:lang w:val="fr-CA"/>
        </w:rPr>
        <w:t>’</w:t>
      </w:r>
      <w:r w:rsidRPr="009F420B">
        <w:rPr>
          <w:lang w:val="fr-CA"/>
        </w:rPr>
        <w:t>incarne dans d</w:t>
      </w:r>
      <w:r>
        <w:rPr>
          <w:lang w:val="fr-CA"/>
        </w:rPr>
        <w:t>’</w:t>
      </w:r>
      <w:r w:rsidRPr="009F420B">
        <w:rPr>
          <w:lang w:val="fr-CA"/>
        </w:rPr>
        <w:t>autres dispositions afin d</w:t>
      </w:r>
      <w:r>
        <w:rPr>
          <w:lang w:val="fr-CA"/>
        </w:rPr>
        <w:t>’</w:t>
      </w:r>
      <w:r w:rsidRPr="009F420B">
        <w:rPr>
          <w:lang w:val="fr-CA"/>
        </w:rPr>
        <w:t>offrir une protection contre l</w:t>
      </w:r>
      <w:r>
        <w:rPr>
          <w:lang w:val="fr-CA"/>
        </w:rPr>
        <w:t>’</w:t>
      </w:r>
      <w:r w:rsidRPr="009F420B">
        <w:rPr>
          <w:lang w:val="fr-CA"/>
        </w:rPr>
        <w:t>exercice injustifié de compétence de la part d</w:t>
      </w:r>
      <w:r>
        <w:rPr>
          <w:lang w:val="fr-CA"/>
        </w:rPr>
        <w:t>’</w:t>
      </w:r>
      <w:r w:rsidRPr="009F420B">
        <w:rPr>
          <w:lang w:val="fr-CA"/>
        </w:rPr>
        <w:t>un tribun</w:t>
      </w:r>
      <w:r>
        <w:rPr>
          <w:lang w:val="fr-CA"/>
        </w:rPr>
        <w:t>al. </w:t>
      </w:r>
      <w:r w:rsidRPr="009F420B">
        <w:rPr>
          <w:lang w:val="fr-CA"/>
        </w:rPr>
        <w:t xml:space="preserve">Plus particulièrement, à mon avis, la doctrine du </w:t>
      </w:r>
      <w:r w:rsidRPr="009F420B">
        <w:rPr>
          <w:i/>
          <w:iCs/>
          <w:lang w:val="fr-CA"/>
        </w:rPr>
        <w:t>forum non conveniens</w:t>
      </w:r>
      <w:r w:rsidRPr="009F420B">
        <w:rPr>
          <w:lang w:val="fr-CA"/>
        </w:rPr>
        <w:t>, telle que codifiée à l</w:t>
      </w:r>
      <w:r>
        <w:rPr>
          <w:lang w:val="fr-CA"/>
        </w:rPr>
        <w:t>’art. </w:t>
      </w:r>
      <w:r w:rsidRPr="009F420B">
        <w:rPr>
          <w:lang w:val="fr-CA"/>
        </w:rPr>
        <w:t>3135, constitue un contrepoids important à la large assise juridictionnelle prévue à l</w:t>
      </w:r>
      <w:r>
        <w:rPr>
          <w:lang w:val="fr-CA"/>
        </w:rPr>
        <w:t>’art. </w:t>
      </w:r>
      <w:r w:rsidRPr="009F420B">
        <w:rPr>
          <w:lang w:val="fr-CA"/>
        </w:rPr>
        <w:t>3148. Ainsi, les appelantes peuvent démontrer, en conformité avec l</w:t>
      </w:r>
      <w:r>
        <w:rPr>
          <w:lang w:val="fr-CA"/>
        </w:rPr>
        <w:t>’art. </w:t>
      </w:r>
      <w:r w:rsidRPr="009F420B">
        <w:rPr>
          <w:lang w:val="fr-CA"/>
        </w:rPr>
        <w:t>3135, que malgré l</w:t>
      </w:r>
      <w:r>
        <w:rPr>
          <w:lang w:val="fr-CA"/>
        </w:rPr>
        <w:t>’</w:t>
      </w:r>
      <w:r w:rsidRPr="009F420B">
        <w:rPr>
          <w:lang w:val="fr-CA"/>
        </w:rPr>
        <w:t>existence d</w:t>
      </w:r>
      <w:r>
        <w:rPr>
          <w:lang w:val="fr-CA"/>
        </w:rPr>
        <w:t>’</w:t>
      </w:r>
      <w:r w:rsidRPr="009F420B">
        <w:rPr>
          <w:lang w:val="fr-CA"/>
        </w:rPr>
        <w:t>un lien avec les autorités du Québec, il y a un autre tribunal qui, dans l</w:t>
      </w:r>
      <w:r>
        <w:rPr>
          <w:lang w:val="fr-CA"/>
        </w:rPr>
        <w:t>’</w:t>
      </w:r>
      <w:r w:rsidRPr="009F420B">
        <w:rPr>
          <w:lang w:val="fr-CA"/>
        </w:rPr>
        <w:t>intérêt de la justice, est mieux à même d</w:t>
      </w:r>
      <w:r>
        <w:rPr>
          <w:lang w:val="fr-CA"/>
        </w:rPr>
        <w:t>’</w:t>
      </w:r>
      <w:r w:rsidRPr="009F420B">
        <w:rPr>
          <w:lang w:val="fr-CA"/>
        </w:rPr>
        <w:t>exercer sa compétence.</w:t>
      </w:r>
    </w:p>
    <w:p w:rsidR="00AF6697" w:rsidRPr="009F420B" w:rsidRDefault="00EF7102" w:rsidP="00AF6697">
      <w:pPr>
        <w:pStyle w:val="Citation-AltC"/>
        <w:spacing w:after="240"/>
        <w:ind w:left="1168" w:hanging="1168"/>
        <w:contextualSpacing w:val="0"/>
        <w:jc w:val="center"/>
        <w:rPr>
          <w:lang w:val="fr-CA"/>
        </w:rPr>
      </w:pPr>
      <w:r>
        <w:rPr>
          <w:lang w:val="fr-CA"/>
        </w:rPr>
        <w:tab/>
      </w:r>
      <w:r w:rsidR="00AF6697" w:rsidRPr="009F420B">
        <w:rPr>
          <w:lang w:val="fr-CA"/>
        </w:rPr>
        <w:t>. . .</w:t>
      </w:r>
    </w:p>
    <w:p w:rsidR="00AF6697" w:rsidRPr="009F420B" w:rsidRDefault="00AF6697" w:rsidP="00AF6697">
      <w:pPr>
        <w:pStyle w:val="Citation-AltC"/>
        <w:ind w:hanging="1166"/>
        <w:rPr>
          <w:lang w:val="fr-CA"/>
        </w:rPr>
      </w:pPr>
      <w:r>
        <w:rPr>
          <w:lang w:val="fr-CA"/>
        </w:rPr>
        <w:tab/>
      </w:r>
      <w:r>
        <w:rPr>
          <w:lang w:val="fr-CA"/>
        </w:rPr>
        <w:tab/>
      </w:r>
      <w:r w:rsidRPr="009F420B">
        <w:rPr>
          <w:lang w:val="fr-CA"/>
        </w:rPr>
        <w:t>En l</w:t>
      </w:r>
      <w:r>
        <w:rPr>
          <w:lang w:val="fr-CA"/>
        </w:rPr>
        <w:t>’</w:t>
      </w:r>
      <w:r w:rsidRPr="009F420B">
        <w:rPr>
          <w:lang w:val="fr-CA"/>
        </w:rPr>
        <w:t xml:space="preserve">espèce, il paraît raisonnable de conclure que </w:t>
      </w:r>
      <w:r w:rsidRPr="009F420B">
        <w:rPr>
          <w:u w:val="single"/>
          <w:lang w:val="fr-CA"/>
        </w:rPr>
        <w:t>l</w:t>
      </w:r>
      <w:r>
        <w:rPr>
          <w:u w:val="single"/>
          <w:lang w:val="fr-CA"/>
        </w:rPr>
        <w:t>’</w:t>
      </w:r>
      <w:r w:rsidRPr="009F420B">
        <w:rPr>
          <w:u w:val="single"/>
          <w:lang w:val="fr-CA"/>
        </w:rPr>
        <w:t>exigence relative à l</w:t>
      </w:r>
      <w:r>
        <w:rPr>
          <w:u w:val="single"/>
          <w:lang w:val="fr-CA"/>
        </w:rPr>
        <w:t>’</w:t>
      </w:r>
      <w:r w:rsidRPr="009F420B">
        <w:rPr>
          <w:u w:val="single"/>
          <w:lang w:val="fr-CA"/>
        </w:rPr>
        <w:t>existence d</w:t>
      </w:r>
      <w:r>
        <w:rPr>
          <w:u w:val="single"/>
          <w:lang w:val="fr-CA"/>
        </w:rPr>
        <w:t>’</w:t>
      </w:r>
      <w:r w:rsidRPr="009F420B">
        <w:rPr>
          <w:u w:val="single"/>
          <w:lang w:val="fr-CA"/>
        </w:rPr>
        <w:t>un « lien réel et substantiel » entre l</w:t>
      </w:r>
      <w:r>
        <w:rPr>
          <w:u w:val="single"/>
          <w:lang w:val="fr-CA"/>
        </w:rPr>
        <w:t>’</w:t>
      </w:r>
      <w:r w:rsidRPr="009F420B">
        <w:rPr>
          <w:u w:val="single"/>
          <w:lang w:val="fr-CA"/>
        </w:rPr>
        <w:t>action et l</w:t>
      </w:r>
      <w:r>
        <w:rPr>
          <w:u w:val="single"/>
          <w:lang w:val="fr-CA"/>
        </w:rPr>
        <w:t>’</w:t>
      </w:r>
      <w:r w:rsidRPr="009F420B">
        <w:rPr>
          <w:u w:val="single"/>
          <w:lang w:val="fr-CA"/>
        </w:rPr>
        <w:t>autorité qui se déclare compétente se dégage de l</w:t>
      </w:r>
      <w:r>
        <w:rPr>
          <w:u w:val="single"/>
          <w:lang w:val="fr-CA"/>
        </w:rPr>
        <w:t>’</w:t>
      </w:r>
      <w:r w:rsidRPr="009F420B">
        <w:rPr>
          <w:u w:val="single"/>
          <w:lang w:val="fr-CA"/>
        </w:rPr>
        <w:t>économie générale du Livre dixième</w:t>
      </w:r>
      <w:r w:rsidRPr="009F420B">
        <w:rPr>
          <w:lang w:val="fr-CA"/>
        </w:rPr>
        <w:t>. À mon avis, les appelantes n</w:t>
      </w:r>
      <w:r>
        <w:rPr>
          <w:lang w:val="fr-CA"/>
        </w:rPr>
        <w:t>’</w:t>
      </w:r>
      <w:r w:rsidRPr="009F420B">
        <w:rPr>
          <w:lang w:val="fr-CA"/>
        </w:rPr>
        <w:t>ont fourni aucun motif permettant aux tribunaux d</w:t>
      </w:r>
      <w:r>
        <w:rPr>
          <w:lang w:val="fr-CA"/>
        </w:rPr>
        <w:t>’</w:t>
      </w:r>
      <w:r w:rsidRPr="009F420B">
        <w:rPr>
          <w:lang w:val="fr-CA"/>
        </w:rPr>
        <w:t>appliquer le principe constitutionnel établi dans l</w:t>
      </w:r>
      <w:r>
        <w:rPr>
          <w:lang w:val="fr-CA"/>
        </w:rPr>
        <w:t>’</w:t>
      </w:r>
      <w:r w:rsidRPr="009F420B">
        <w:rPr>
          <w:lang w:val="fr-CA"/>
        </w:rPr>
        <w:t xml:space="preserve">arrêt </w:t>
      </w:r>
      <w:r w:rsidRPr="009F420B">
        <w:rPr>
          <w:i/>
          <w:iCs/>
          <w:lang w:val="fr-CA"/>
        </w:rPr>
        <w:t>Morguard</w:t>
      </w:r>
      <w:r w:rsidRPr="009F420B">
        <w:rPr>
          <w:lang w:val="fr-CA"/>
        </w:rPr>
        <w:t xml:space="preserve"> — aucun ne semble ressortir non plus compte tenu du contexte de la présente affaire — de manière à empêcher qu</w:t>
      </w:r>
      <w:r>
        <w:rPr>
          <w:lang w:val="fr-CA"/>
        </w:rPr>
        <w:t>’</w:t>
      </w:r>
      <w:r w:rsidRPr="009F420B">
        <w:rPr>
          <w:lang w:val="fr-CA"/>
        </w:rPr>
        <w:t>un tribunal qui n</w:t>
      </w:r>
      <w:r>
        <w:rPr>
          <w:lang w:val="fr-CA"/>
        </w:rPr>
        <w:t>’</w:t>
      </w:r>
      <w:r w:rsidRPr="009F420B">
        <w:rPr>
          <w:lang w:val="fr-CA"/>
        </w:rPr>
        <w:t>a aucun lien réel et substantiel avec l</w:t>
      </w:r>
      <w:r>
        <w:rPr>
          <w:lang w:val="fr-CA"/>
        </w:rPr>
        <w:t>’</w:t>
      </w:r>
      <w:r w:rsidRPr="009F420B">
        <w:rPr>
          <w:lang w:val="fr-CA"/>
        </w:rPr>
        <w:t>action n</w:t>
      </w:r>
      <w:r>
        <w:rPr>
          <w:lang w:val="fr-CA"/>
        </w:rPr>
        <w:t>’</w:t>
      </w:r>
      <w:r w:rsidRPr="009F420B">
        <w:rPr>
          <w:lang w:val="fr-CA"/>
        </w:rPr>
        <w:t>en soit saisi. [Je souligne.]</w:t>
      </w:r>
    </w:p>
    <w:p w:rsidR="00AF6697" w:rsidRPr="009F420B" w:rsidRDefault="00AF6697" w:rsidP="00AF6697">
      <w:pPr>
        <w:pStyle w:val="ContinueParaSuitedupar-AltP"/>
        <w:rPr>
          <w:lang w:val="fr-CA"/>
        </w:rPr>
      </w:pPr>
      <w:r w:rsidRPr="009F420B">
        <w:rPr>
          <w:lang w:val="fr-CA"/>
        </w:rPr>
        <w:t xml:space="preserve">Voir aussi </w:t>
      </w:r>
      <w:r w:rsidRPr="009F420B">
        <w:rPr>
          <w:i/>
          <w:lang w:val="fr-CA"/>
        </w:rPr>
        <w:t>Infineon Technologies AG c. Option consommateurs</w:t>
      </w:r>
      <w:r w:rsidRPr="009F420B">
        <w:rPr>
          <w:lang w:val="fr-CA"/>
        </w:rPr>
        <w:t xml:space="preserve">, 2013 </w:t>
      </w:r>
      <w:r w:rsidR="002E1605">
        <w:rPr>
          <w:lang w:val="fr-CA"/>
        </w:rPr>
        <w:t xml:space="preserve">CSC 59, [2013] 3 R.C.S. 600, </w:t>
      </w:r>
      <w:r>
        <w:rPr>
          <w:lang w:val="fr-CA"/>
        </w:rPr>
        <w:t>par. </w:t>
      </w:r>
      <w:r w:rsidRPr="009F420B">
        <w:rPr>
          <w:lang w:val="fr-CA"/>
        </w:rPr>
        <w:t>45</w:t>
      </w:r>
      <w:r>
        <w:rPr>
          <w:lang w:val="fr-CA"/>
        </w:rPr>
        <w:t> :</w:t>
      </w:r>
      <w:r w:rsidRPr="009F420B">
        <w:rPr>
          <w:lang w:val="fr-CA"/>
        </w:rPr>
        <w:t xml:space="preserve"> « Chacun des quatre facteurs mentionnés au </w:t>
      </w:r>
      <w:r>
        <w:rPr>
          <w:lang w:val="fr-CA"/>
        </w:rPr>
        <w:t>par. </w:t>
      </w:r>
      <w:r w:rsidRPr="009F420B">
        <w:rPr>
          <w:lang w:val="fr-CA"/>
        </w:rPr>
        <w:t>3148(3) créerait un lien suffisant avec la province pour fonder la compétence ».</w:t>
      </w:r>
    </w:p>
    <w:p w:rsidR="00AF6697" w:rsidRPr="009F420B" w:rsidRDefault="00AF6697" w:rsidP="00AF6697">
      <w:pPr>
        <w:pStyle w:val="ParaNoNdepar-AltN"/>
        <w:rPr>
          <w:rFonts w:cs="Times New Roman"/>
          <w:lang w:val="fr-CA"/>
        </w:rPr>
      </w:pPr>
      <w:r w:rsidRPr="009F420B">
        <w:rPr>
          <w:rFonts w:cs="Times New Roman"/>
          <w:lang w:val="fr-CA"/>
        </w:rPr>
        <w:t xml:space="preserve">En somme, le livre dixième du </w:t>
      </w:r>
      <w:r w:rsidRPr="009F420B">
        <w:rPr>
          <w:rFonts w:cs="Times New Roman"/>
          <w:i/>
          <w:lang w:val="fr-CA"/>
        </w:rPr>
        <w:t>Code civil</w:t>
      </w:r>
      <w:r w:rsidRPr="009F420B">
        <w:rPr>
          <w:rFonts w:cs="Times New Roman"/>
          <w:lang w:val="fr-CA"/>
        </w:rPr>
        <w:t>, qui énonce les règles de droit international privé applicables au Québec, englobe l</w:t>
      </w:r>
      <w:r>
        <w:rPr>
          <w:rFonts w:cs="Times New Roman"/>
          <w:lang w:val="fr-CA"/>
        </w:rPr>
        <w:t>’</w:t>
      </w:r>
      <w:r w:rsidRPr="009F420B">
        <w:rPr>
          <w:rFonts w:cs="Times New Roman"/>
          <w:lang w:val="fr-CA"/>
        </w:rPr>
        <w:t>exigence relative à l</w:t>
      </w:r>
      <w:r>
        <w:rPr>
          <w:rFonts w:cs="Times New Roman"/>
          <w:lang w:val="fr-CA"/>
        </w:rPr>
        <w:t>’</w:t>
      </w:r>
      <w:r w:rsidRPr="009F420B">
        <w:rPr>
          <w:rFonts w:cs="Times New Roman"/>
          <w:lang w:val="fr-CA"/>
        </w:rPr>
        <w:t>existence d</w:t>
      </w:r>
      <w:r>
        <w:rPr>
          <w:rFonts w:cs="Times New Roman"/>
          <w:lang w:val="fr-CA"/>
        </w:rPr>
        <w:t>’</w:t>
      </w:r>
      <w:r w:rsidRPr="009F420B">
        <w:rPr>
          <w:rFonts w:cs="Times New Roman"/>
          <w:lang w:val="fr-CA"/>
        </w:rPr>
        <w:t>un « lien réel et substantiel » entre l</w:t>
      </w:r>
      <w:r>
        <w:rPr>
          <w:rFonts w:cs="Times New Roman"/>
          <w:lang w:val="fr-CA"/>
        </w:rPr>
        <w:t>’</w:t>
      </w:r>
      <w:r w:rsidRPr="009F420B">
        <w:rPr>
          <w:rFonts w:cs="Times New Roman"/>
          <w:lang w:val="fr-CA"/>
        </w:rPr>
        <w:t>action et l</w:t>
      </w:r>
      <w:r>
        <w:rPr>
          <w:rFonts w:cs="Times New Roman"/>
          <w:lang w:val="fr-CA"/>
        </w:rPr>
        <w:t>’</w:t>
      </w:r>
      <w:r w:rsidRPr="009F420B">
        <w:rPr>
          <w:rFonts w:cs="Times New Roman"/>
          <w:lang w:val="fr-CA"/>
        </w:rPr>
        <w:t>État de l</w:t>
      </w:r>
      <w:r>
        <w:rPr>
          <w:rFonts w:cs="Times New Roman"/>
          <w:lang w:val="fr-CA"/>
        </w:rPr>
        <w:t>’</w:t>
      </w:r>
      <w:r w:rsidRPr="009F420B">
        <w:rPr>
          <w:rFonts w:cs="Times New Roman"/>
          <w:lang w:val="fr-CA"/>
        </w:rPr>
        <w:t>autorité étrangère. Autrement dit, l</w:t>
      </w:r>
      <w:r>
        <w:rPr>
          <w:rFonts w:cs="Times New Roman"/>
          <w:lang w:val="fr-CA"/>
        </w:rPr>
        <w:t>’</w:t>
      </w:r>
      <w:r w:rsidRPr="009F420B">
        <w:rPr>
          <w:rFonts w:cs="Times New Roman"/>
          <w:lang w:val="fr-CA"/>
        </w:rPr>
        <w:t>existence d</w:t>
      </w:r>
      <w:r>
        <w:rPr>
          <w:rFonts w:cs="Times New Roman"/>
          <w:lang w:val="fr-CA"/>
        </w:rPr>
        <w:t>’</w:t>
      </w:r>
      <w:r w:rsidRPr="009F420B">
        <w:rPr>
          <w:rFonts w:cs="Times New Roman"/>
          <w:lang w:val="fr-CA"/>
        </w:rPr>
        <w:t>un « lien réel et substantiel » ne constitue pas une condition</w:t>
      </w:r>
      <w:r w:rsidRPr="009F420B">
        <w:rPr>
          <w:rFonts w:cs="Times New Roman"/>
          <w:i/>
          <w:lang w:val="fr-CA"/>
        </w:rPr>
        <w:t xml:space="preserve"> supplémentaire</w:t>
      </w:r>
      <w:r w:rsidRPr="009F420B">
        <w:rPr>
          <w:rFonts w:cs="Times New Roman"/>
          <w:lang w:val="fr-CA"/>
        </w:rPr>
        <w:t xml:space="preserve"> par rapport à celles énoncées à l</w:t>
      </w:r>
      <w:r>
        <w:rPr>
          <w:rFonts w:cs="Times New Roman"/>
          <w:lang w:val="fr-CA"/>
        </w:rPr>
        <w:t>’art. </w:t>
      </w:r>
      <w:r w:rsidRPr="009F420B">
        <w:rPr>
          <w:rFonts w:cs="Times New Roman"/>
          <w:lang w:val="fr-CA"/>
        </w:rPr>
        <w:t xml:space="preserve">3168 </w:t>
      </w:r>
      <w:r w:rsidRPr="009F420B">
        <w:rPr>
          <w:rFonts w:cs="Times New Roman"/>
          <w:i/>
          <w:lang w:val="fr-CA"/>
        </w:rPr>
        <w:t>C.c.Q.</w:t>
      </w:r>
      <w:r w:rsidRPr="009F420B">
        <w:rPr>
          <w:rFonts w:cs="Times New Roman"/>
          <w:lang w:val="fr-CA"/>
        </w:rPr>
        <w:t>; elle se dégage plutôt de l</w:t>
      </w:r>
      <w:r>
        <w:rPr>
          <w:rFonts w:cs="Times New Roman"/>
          <w:lang w:val="fr-CA"/>
        </w:rPr>
        <w:t>’</w:t>
      </w:r>
      <w:r w:rsidRPr="009F420B">
        <w:rPr>
          <w:rFonts w:cs="Times New Roman"/>
          <w:lang w:val="fr-CA"/>
        </w:rPr>
        <w:t>ensemble du régime décrit au livre dixième, y compris de l</w:t>
      </w:r>
      <w:r>
        <w:rPr>
          <w:rFonts w:cs="Times New Roman"/>
          <w:lang w:val="fr-CA"/>
        </w:rPr>
        <w:t>’art. </w:t>
      </w:r>
      <w:r w:rsidRPr="009F420B">
        <w:rPr>
          <w:rFonts w:cs="Times New Roman"/>
          <w:lang w:val="fr-CA"/>
        </w:rPr>
        <w:t>3168 lui</w:t>
      </w:r>
      <w:r>
        <w:rPr>
          <w:rFonts w:cs="Times New Roman"/>
          <w:lang w:val="fr-CA"/>
        </w:rPr>
        <w:noBreakHyphen/>
      </w:r>
      <w:r w:rsidRPr="009F420B">
        <w:rPr>
          <w:rFonts w:cs="Times New Roman"/>
          <w:lang w:val="fr-CA"/>
        </w:rPr>
        <w:t>même. Comme la Cour l</w:t>
      </w:r>
      <w:r>
        <w:rPr>
          <w:rFonts w:cs="Times New Roman"/>
          <w:lang w:val="fr-CA"/>
        </w:rPr>
        <w:t>’</w:t>
      </w:r>
      <w:r w:rsidRPr="009F420B">
        <w:rPr>
          <w:rFonts w:cs="Times New Roman"/>
          <w:lang w:val="fr-CA"/>
        </w:rPr>
        <w:t>a réitéré plus tard dans l</w:t>
      </w:r>
      <w:r>
        <w:rPr>
          <w:rFonts w:cs="Times New Roman"/>
          <w:lang w:val="fr-CA"/>
        </w:rPr>
        <w:t>’</w:t>
      </w:r>
      <w:r w:rsidRPr="009F420B">
        <w:rPr>
          <w:rFonts w:cs="Times New Roman"/>
          <w:lang w:val="fr-CA"/>
        </w:rPr>
        <w:t xml:space="preserve">arrêt </w:t>
      </w:r>
      <w:r w:rsidRPr="009F420B">
        <w:rPr>
          <w:rFonts w:cs="Times New Roman"/>
          <w:i/>
          <w:lang w:val="fr-CA"/>
        </w:rPr>
        <w:t>Lépine</w:t>
      </w:r>
      <w:r w:rsidRPr="009F420B">
        <w:rPr>
          <w:rFonts w:cs="Times New Roman"/>
          <w:lang w:val="fr-CA"/>
        </w:rPr>
        <w:t>, « [l</w:t>
      </w:r>
      <w:r>
        <w:rPr>
          <w:rFonts w:cs="Times New Roman"/>
          <w:lang w:val="fr-CA"/>
        </w:rPr>
        <w:t>’</w:t>
      </w:r>
      <w:r w:rsidRPr="009F420B">
        <w:rPr>
          <w:rFonts w:cs="Times New Roman"/>
          <w:lang w:val="fr-CA"/>
        </w:rPr>
        <w:t>]ensemble de ces règles [énoncées au titre troisième] assure le respect de l</w:t>
      </w:r>
      <w:r>
        <w:rPr>
          <w:rFonts w:cs="Times New Roman"/>
          <w:lang w:val="fr-CA"/>
        </w:rPr>
        <w:t>’</w:t>
      </w:r>
      <w:r w:rsidRPr="009F420B">
        <w:rPr>
          <w:rFonts w:cs="Times New Roman"/>
          <w:lang w:val="fr-CA"/>
        </w:rPr>
        <w:t>exigence fondamentale de l</w:t>
      </w:r>
      <w:r>
        <w:rPr>
          <w:rFonts w:cs="Times New Roman"/>
          <w:lang w:val="fr-CA"/>
        </w:rPr>
        <w:t>’</w:t>
      </w:r>
      <w:r w:rsidRPr="009F420B">
        <w:rPr>
          <w:rFonts w:cs="Times New Roman"/>
          <w:lang w:val="fr-CA"/>
        </w:rPr>
        <w:t>existence d</w:t>
      </w:r>
      <w:r>
        <w:rPr>
          <w:rFonts w:cs="Times New Roman"/>
          <w:lang w:val="fr-CA"/>
        </w:rPr>
        <w:t>’</w:t>
      </w:r>
      <w:r w:rsidRPr="009F420B">
        <w:rPr>
          <w:rFonts w:cs="Times New Roman"/>
          <w:lang w:val="fr-CA"/>
        </w:rPr>
        <w:t>un "lien réel et substantiel" entre le tribunal québécois et le litige, comme l</w:t>
      </w:r>
      <w:r>
        <w:rPr>
          <w:rFonts w:cs="Times New Roman"/>
          <w:lang w:val="fr-CA"/>
        </w:rPr>
        <w:t>’</w:t>
      </w:r>
      <w:r w:rsidRPr="009F420B">
        <w:rPr>
          <w:rFonts w:cs="Times New Roman"/>
          <w:lang w:val="fr-CA"/>
        </w:rPr>
        <w:t>a rappelé la Cour dans l</w:t>
      </w:r>
      <w:r>
        <w:rPr>
          <w:rFonts w:cs="Times New Roman"/>
          <w:lang w:val="fr-CA"/>
        </w:rPr>
        <w:t>’</w:t>
      </w:r>
      <w:r w:rsidRPr="009F420B">
        <w:rPr>
          <w:rFonts w:cs="Times New Roman"/>
          <w:lang w:val="fr-CA"/>
        </w:rPr>
        <w:t xml:space="preserve">arrêt </w:t>
      </w:r>
      <w:r w:rsidRPr="009F420B">
        <w:rPr>
          <w:rFonts w:cs="Times New Roman"/>
          <w:i/>
          <w:lang w:val="fr-CA"/>
        </w:rPr>
        <w:t>Spar </w:t>
      </w:r>
      <w:r w:rsidRPr="009F420B">
        <w:rPr>
          <w:rFonts w:cs="Times New Roman"/>
          <w:lang w:val="fr-CA"/>
        </w:rPr>
        <w:t>»</w:t>
      </w:r>
      <w:r>
        <w:rPr>
          <w:rFonts w:cs="Times New Roman"/>
          <w:i/>
          <w:lang w:val="fr-CA"/>
        </w:rPr>
        <w:t> :</w:t>
      </w:r>
      <w:r w:rsidRPr="009F420B">
        <w:rPr>
          <w:rFonts w:cs="Times New Roman"/>
          <w:lang w:val="fr-CA"/>
        </w:rPr>
        <w:t xml:space="preserve"> </w:t>
      </w:r>
      <w:r>
        <w:rPr>
          <w:rFonts w:cs="Times New Roman"/>
          <w:lang w:val="fr-CA"/>
        </w:rPr>
        <w:t>par. </w:t>
      </w:r>
      <w:r w:rsidRPr="009F420B">
        <w:rPr>
          <w:rFonts w:cs="Times New Roman"/>
          <w:lang w:val="fr-CA"/>
        </w:rPr>
        <w:t>19. Toujours dans l</w:t>
      </w:r>
      <w:r>
        <w:rPr>
          <w:rFonts w:cs="Times New Roman"/>
          <w:lang w:val="fr-CA"/>
        </w:rPr>
        <w:t>’</w:t>
      </w:r>
      <w:r w:rsidRPr="009F420B">
        <w:rPr>
          <w:rFonts w:cs="Times New Roman"/>
          <w:lang w:val="fr-CA"/>
        </w:rPr>
        <w:t xml:space="preserve">arrêt </w:t>
      </w:r>
      <w:r w:rsidRPr="009F420B">
        <w:rPr>
          <w:rFonts w:cs="Times New Roman"/>
          <w:i/>
          <w:lang w:val="fr-CA"/>
        </w:rPr>
        <w:t>Lépine</w:t>
      </w:r>
      <w:r w:rsidRPr="009F420B">
        <w:rPr>
          <w:rFonts w:cs="Times New Roman"/>
          <w:lang w:val="fr-CA"/>
        </w:rPr>
        <w:t xml:space="preserve">, la Cour </w:t>
      </w:r>
      <w:r w:rsidRPr="009F420B">
        <w:rPr>
          <w:rFonts w:cs="Times New Roman"/>
          <w:lang w:val="fr-CA"/>
        </w:rPr>
        <w:lastRenderedPageBreak/>
        <w:t>a donc conclu que « [l</w:t>
      </w:r>
      <w:r>
        <w:rPr>
          <w:rFonts w:cs="Times New Roman"/>
          <w:lang w:val="fr-CA"/>
        </w:rPr>
        <w:t>’</w:t>
      </w:r>
      <w:r w:rsidRPr="009F420B">
        <w:rPr>
          <w:rFonts w:cs="Times New Roman"/>
          <w:lang w:val="fr-CA"/>
        </w:rPr>
        <w:t>]existence même de la compétence de la Cour supérieure de justice de l</w:t>
      </w:r>
      <w:r>
        <w:rPr>
          <w:rFonts w:cs="Times New Roman"/>
          <w:lang w:val="fr-CA"/>
        </w:rPr>
        <w:t>’</w:t>
      </w:r>
      <w:r w:rsidRPr="009F420B">
        <w:rPr>
          <w:rFonts w:cs="Times New Roman"/>
          <w:lang w:val="fr-CA"/>
        </w:rPr>
        <w:t>Ontario ne fait pas de doute selon l</w:t>
      </w:r>
      <w:r>
        <w:rPr>
          <w:rFonts w:cs="Times New Roman"/>
          <w:lang w:val="fr-CA"/>
        </w:rPr>
        <w:t>’art. </w:t>
      </w:r>
      <w:r w:rsidRPr="009F420B">
        <w:rPr>
          <w:rFonts w:cs="Times New Roman"/>
          <w:lang w:val="fr-CA"/>
        </w:rPr>
        <w:t xml:space="preserve">3168 </w:t>
      </w:r>
      <w:r w:rsidRPr="009F420B">
        <w:rPr>
          <w:rFonts w:cs="Times New Roman"/>
          <w:i/>
          <w:lang w:val="fr-CA"/>
        </w:rPr>
        <w:t>C.c.Q.</w:t>
      </w:r>
      <w:r w:rsidRPr="009F420B">
        <w:rPr>
          <w:rFonts w:cs="Times New Roman"/>
          <w:lang w:val="fr-CA"/>
        </w:rPr>
        <w:t>, puisque la Société, défenderesse à l</w:t>
      </w:r>
      <w:r>
        <w:rPr>
          <w:rFonts w:cs="Times New Roman"/>
          <w:lang w:val="fr-CA"/>
        </w:rPr>
        <w:t>’</w:t>
      </w:r>
      <w:r w:rsidRPr="009F420B">
        <w:rPr>
          <w:rFonts w:cs="Times New Roman"/>
          <w:lang w:val="fr-CA"/>
        </w:rPr>
        <w:t xml:space="preserve">action, a établi son siège social en Ontario », lequel « facteur de rattachement justifiait </w:t>
      </w:r>
      <w:r w:rsidRPr="009F420B">
        <w:rPr>
          <w:rFonts w:cs="Times New Roman"/>
          <w:u w:val="single"/>
          <w:lang w:val="fr-CA"/>
        </w:rPr>
        <w:t>à lui seul</w:t>
      </w:r>
      <w:r w:rsidRPr="009F420B">
        <w:rPr>
          <w:rFonts w:cs="Times New Roman"/>
          <w:lang w:val="fr-CA"/>
        </w:rPr>
        <w:t xml:space="preserve"> la reconnaissance de la compétence du for ontarien »</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 xml:space="preserve">38 (je souligne). </w:t>
      </w:r>
    </w:p>
    <w:p w:rsidR="00AF6697" w:rsidRPr="009F420B" w:rsidRDefault="00AF6697" w:rsidP="00AF6697">
      <w:pPr>
        <w:pStyle w:val="ParaNoNdepar-AltN"/>
        <w:rPr>
          <w:rFonts w:cs="Times New Roman"/>
          <w:lang w:val="fr-CA"/>
        </w:rPr>
      </w:pPr>
      <w:r w:rsidRPr="009F420B">
        <w:rPr>
          <w:rFonts w:cs="Times New Roman"/>
          <w:lang w:val="fr-CA"/>
        </w:rPr>
        <w:t>Ainsi, contrairement à l</w:t>
      </w:r>
      <w:r>
        <w:rPr>
          <w:rFonts w:cs="Times New Roman"/>
          <w:lang w:val="fr-CA"/>
        </w:rPr>
        <w:t>’</w:t>
      </w:r>
      <w:r w:rsidRPr="009F420B">
        <w:rPr>
          <w:rFonts w:cs="Times New Roman"/>
          <w:lang w:val="fr-CA"/>
        </w:rPr>
        <w:t xml:space="preserve">opinion exprimée par ma collègue la juge Côté aux </w:t>
      </w:r>
      <w:r>
        <w:rPr>
          <w:rFonts w:cs="Times New Roman"/>
          <w:lang w:val="fr-CA"/>
        </w:rPr>
        <w:t>par. </w:t>
      </w:r>
      <w:r w:rsidRPr="009F420B">
        <w:rPr>
          <w:rFonts w:cs="Times New Roman"/>
          <w:lang w:val="fr-CA"/>
        </w:rPr>
        <w:t>260 et 262 de ses motifs, je suis d</w:t>
      </w:r>
      <w:r>
        <w:rPr>
          <w:rFonts w:cs="Times New Roman"/>
          <w:lang w:val="fr-CA"/>
        </w:rPr>
        <w:t>’</w:t>
      </w:r>
      <w:r w:rsidRPr="009F420B">
        <w:rPr>
          <w:rFonts w:cs="Times New Roman"/>
          <w:lang w:val="fr-CA"/>
        </w:rPr>
        <w:t>avis que l</w:t>
      </w:r>
      <w:r>
        <w:rPr>
          <w:rFonts w:cs="Times New Roman"/>
          <w:lang w:val="fr-CA"/>
        </w:rPr>
        <w:t>’</w:t>
      </w:r>
      <w:r w:rsidRPr="009F420B">
        <w:rPr>
          <w:rFonts w:cs="Times New Roman"/>
          <w:lang w:val="fr-CA"/>
        </w:rPr>
        <w:t xml:space="preserve">arrêt </w:t>
      </w:r>
      <w:r w:rsidRPr="009F420B">
        <w:rPr>
          <w:rFonts w:cs="Times New Roman"/>
          <w:i/>
          <w:lang w:val="fr-CA"/>
        </w:rPr>
        <w:t>Lépine</w:t>
      </w:r>
      <w:r w:rsidRPr="009F420B">
        <w:rPr>
          <w:rFonts w:cs="Times New Roman"/>
          <w:lang w:val="fr-CA"/>
        </w:rPr>
        <w:t xml:space="preserve"> rejette</w:t>
      </w:r>
      <w:r w:rsidRPr="009F420B">
        <w:rPr>
          <w:rFonts w:cs="Times New Roman"/>
          <w:i/>
          <w:lang w:val="fr-CA"/>
        </w:rPr>
        <w:t xml:space="preserve"> bel et bien</w:t>
      </w:r>
      <w:r w:rsidRPr="009F420B">
        <w:rPr>
          <w:rFonts w:cs="Times New Roman"/>
          <w:lang w:val="fr-CA"/>
        </w:rPr>
        <w:t xml:space="preserve"> (du moins implicitement) la nécessité de procéder à une analyse indépendante de l</w:t>
      </w:r>
      <w:r>
        <w:rPr>
          <w:rFonts w:cs="Times New Roman"/>
          <w:lang w:val="fr-CA"/>
        </w:rPr>
        <w:t>’</w:t>
      </w:r>
      <w:r w:rsidRPr="009F420B">
        <w:rPr>
          <w:rFonts w:cs="Times New Roman"/>
          <w:lang w:val="fr-CA"/>
        </w:rPr>
        <w:t>existence d</w:t>
      </w:r>
      <w:r>
        <w:rPr>
          <w:rFonts w:cs="Times New Roman"/>
          <w:lang w:val="fr-CA"/>
        </w:rPr>
        <w:t>’</w:t>
      </w:r>
      <w:r w:rsidRPr="009F420B">
        <w:rPr>
          <w:rFonts w:cs="Times New Roman"/>
          <w:lang w:val="fr-CA"/>
        </w:rPr>
        <w:t>un « rattachement important » lorsque la conclusion quant à la compétence est fondée sur les dispositions expresses de l</w:t>
      </w:r>
      <w:r>
        <w:rPr>
          <w:rFonts w:cs="Times New Roman"/>
          <w:lang w:val="fr-CA"/>
        </w:rPr>
        <w:t>’art. </w:t>
      </w:r>
      <w:r w:rsidRPr="009F420B">
        <w:rPr>
          <w:rFonts w:cs="Times New Roman"/>
          <w:lang w:val="fr-CA"/>
        </w:rPr>
        <w:t xml:space="preserve">3168 </w:t>
      </w:r>
      <w:r w:rsidRPr="009F420B">
        <w:rPr>
          <w:rFonts w:cs="Times New Roman"/>
          <w:i/>
          <w:lang w:val="fr-CA"/>
        </w:rPr>
        <w:t>C.c.Q.</w:t>
      </w:r>
      <w:r>
        <w:rPr>
          <w:rFonts w:cs="Times New Roman"/>
          <w:lang w:val="fr-CA"/>
        </w:rPr>
        <w:t> :</w:t>
      </w:r>
      <w:r w:rsidRPr="009F420B">
        <w:rPr>
          <w:rFonts w:cs="Times New Roman"/>
          <w:lang w:val="fr-CA"/>
        </w:rPr>
        <w:t xml:space="preserve"> voir Emanuelli, </w:t>
      </w:r>
      <w:r w:rsidR="00B6207A">
        <w:rPr>
          <w:rFonts w:cs="Times New Roman"/>
          <w:lang w:val="fr-CA"/>
        </w:rPr>
        <w:t>n</w:t>
      </w:r>
      <w:r w:rsidR="00B6207A" w:rsidRPr="00B6207A">
        <w:rPr>
          <w:rFonts w:cs="Times New Roman"/>
          <w:vertAlign w:val="superscript"/>
          <w:lang w:val="fr-CA"/>
        </w:rPr>
        <w:t>o</w:t>
      </w:r>
      <w:r>
        <w:rPr>
          <w:rFonts w:cs="Times New Roman"/>
          <w:lang w:val="fr-CA"/>
        </w:rPr>
        <w:t> </w:t>
      </w:r>
      <w:r w:rsidRPr="009F420B">
        <w:rPr>
          <w:rFonts w:cs="Times New Roman"/>
          <w:lang w:val="fr-CA"/>
        </w:rPr>
        <w:t>291.1 (« Les règles générales sur la compétence internationale des tribunaux étrangers (notamment, celles contenues dans l</w:t>
      </w:r>
      <w:r>
        <w:rPr>
          <w:rFonts w:cs="Times New Roman"/>
          <w:lang w:val="fr-CA"/>
        </w:rPr>
        <w:t>’</w:t>
      </w:r>
      <w:r w:rsidRPr="009F420B">
        <w:rPr>
          <w:rFonts w:cs="Times New Roman"/>
          <w:lang w:val="fr-CA"/>
        </w:rPr>
        <w:t xml:space="preserve">article 3168 C.c.Q.) sont applicables telles quelles et </w:t>
      </w:r>
      <w:r w:rsidRPr="009F420B">
        <w:rPr>
          <w:rFonts w:cs="Times New Roman"/>
          <w:u w:val="single"/>
          <w:lang w:val="fr-CA"/>
        </w:rPr>
        <w:t>l</w:t>
      </w:r>
      <w:r>
        <w:rPr>
          <w:rFonts w:cs="Times New Roman"/>
          <w:u w:val="single"/>
          <w:lang w:val="fr-CA"/>
        </w:rPr>
        <w:t>’</w:t>
      </w:r>
      <w:r w:rsidRPr="009F420B">
        <w:rPr>
          <w:rFonts w:cs="Times New Roman"/>
          <w:u w:val="single"/>
          <w:lang w:val="fr-CA"/>
        </w:rPr>
        <w:t>exigence d</w:t>
      </w:r>
      <w:r>
        <w:rPr>
          <w:rFonts w:cs="Times New Roman"/>
          <w:u w:val="single"/>
          <w:lang w:val="fr-CA"/>
        </w:rPr>
        <w:t>’</w:t>
      </w:r>
      <w:r w:rsidRPr="009F420B">
        <w:rPr>
          <w:rFonts w:cs="Times New Roman"/>
          <w:u w:val="single"/>
          <w:lang w:val="fr-CA"/>
        </w:rPr>
        <w:t>un lien étroit est interprétée strictement [note en bas de page </w:t>
      </w:r>
      <w:r w:rsidR="006476E7">
        <w:rPr>
          <w:rFonts w:cs="Times New Roman"/>
          <w:u w:val="single"/>
          <w:lang w:val="fr-CA"/>
        </w:rPr>
        <w:t>635</w:t>
      </w:r>
      <w:r>
        <w:rPr>
          <w:rFonts w:cs="Times New Roman"/>
          <w:u w:val="single"/>
          <w:lang w:val="fr-CA"/>
        </w:rPr>
        <w:t> :</w:t>
      </w:r>
      <w:r w:rsidRPr="009F420B">
        <w:rPr>
          <w:rFonts w:cs="Times New Roman"/>
          <w:u w:val="single"/>
          <w:lang w:val="fr-CA"/>
        </w:rPr>
        <w:t xml:space="preserve"> En vertu de cette solution, il suffit que selon l</w:t>
      </w:r>
      <w:r>
        <w:rPr>
          <w:rFonts w:cs="Times New Roman"/>
          <w:u w:val="single"/>
          <w:lang w:val="fr-CA"/>
        </w:rPr>
        <w:t>’</w:t>
      </w:r>
      <w:r w:rsidRPr="009F420B">
        <w:rPr>
          <w:rFonts w:cs="Times New Roman"/>
          <w:u w:val="single"/>
          <w:lang w:val="fr-CA"/>
        </w:rPr>
        <w:t xml:space="preserve">article 3168 C.c.Q. les tribunaux étrangers aient </w:t>
      </w:r>
      <w:r w:rsidR="006476E7">
        <w:rPr>
          <w:rFonts w:cs="Times New Roman"/>
          <w:u w:val="single"/>
          <w:lang w:val="fr-CA"/>
        </w:rPr>
        <w:t>‟</w:t>
      </w:r>
      <w:r w:rsidRPr="009F420B">
        <w:rPr>
          <w:rFonts w:cs="Times New Roman"/>
          <w:u w:val="single"/>
          <w:lang w:val="fr-CA"/>
        </w:rPr>
        <w:t>compétence au sens strict sur le litige</w:t>
      </w:r>
      <w:r w:rsidR="006476E7">
        <w:rPr>
          <w:rFonts w:cs="Times New Roman"/>
          <w:u w:val="single"/>
          <w:lang w:val="fr-CA"/>
        </w:rPr>
        <w:t>”</w:t>
      </w:r>
      <w:r>
        <w:rPr>
          <w:rFonts w:cs="Times New Roman"/>
          <w:u w:val="single"/>
          <w:lang w:val="fr-CA"/>
        </w:rPr>
        <w:t> :</w:t>
      </w:r>
      <w:r w:rsidRPr="009F420B">
        <w:rPr>
          <w:rFonts w:cs="Times New Roman"/>
          <w:u w:val="single"/>
          <w:lang w:val="fr-CA"/>
        </w:rPr>
        <w:t xml:space="preserve"> </w:t>
      </w:r>
      <w:r w:rsidRPr="009F420B">
        <w:rPr>
          <w:rFonts w:cs="Times New Roman"/>
          <w:i/>
          <w:u w:val="single"/>
          <w:lang w:val="fr-CA"/>
        </w:rPr>
        <w:t>Société canadienne des postes c. Lépine</w:t>
      </w:r>
      <w:r w:rsidRPr="009F420B">
        <w:rPr>
          <w:rFonts w:cs="Times New Roman"/>
          <w:u w:val="single"/>
          <w:lang w:val="fr-CA"/>
        </w:rPr>
        <w:t xml:space="preserve">, </w:t>
      </w:r>
      <w:r w:rsidRPr="009F420B">
        <w:rPr>
          <w:rFonts w:cs="Times New Roman"/>
          <w:i/>
          <w:u w:val="single"/>
          <w:lang w:val="fr-CA"/>
        </w:rPr>
        <w:t>supra</w:t>
      </w:r>
      <w:r w:rsidRPr="009F420B">
        <w:rPr>
          <w:rFonts w:cs="Times New Roman"/>
          <w:u w:val="single"/>
          <w:lang w:val="fr-CA"/>
        </w:rPr>
        <w:t xml:space="preserve">, </w:t>
      </w:r>
      <w:r>
        <w:rPr>
          <w:rFonts w:cs="Times New Roman"/>
          <w:u w:val="single"/>
          <w:lang w:val="fr-CA"/>
        </w:rPr>
        <w:t>par. </w:t>
      </w:r>
      <w:r w:rsidRPr="009F420B">
        <w:rPr>
          <w:rFonts w:cs="Times New Roman"/>
          <w:u w:val="single"/>
          <w:lang w:val="fr-CA"/>
        </w:rPr>
        <w:t>37]. Elle n</w:t>
      </w:r>
      <w:r>
        <w:rPr>
          <w:rFonts w:cs="Times New Roman"/>
          <w:u w:val="single"/>
          <w:lang w:val="fr-CA"/>
        </w:rPr>
        <w:t>’</w:t>
      </w:r>
      <w:r w:rsidRPr="009F420B">
        <w:rPr>
          <w:rFonts w:cs="Times New Roman"/>
          <w:u w:val="single"/>
          <w:lang w:val="fr-CA"/>
        </w:rPr>
        <w:t>est pas une condition à part</w:t>
      </w:r>
      <w:r w:rsidRPr="009F420B">
        <w:rPr>
          <w:rFonts w:cs="Times New Roman"/>
          <w:lang w:val="fr-CA"/>
        </w:rPr>
        <w:t xml:space="preserve"> et ne permet pas l</w:t>
      </w:r>
      <w:r>
        <w:rPr>
          <w:rFonts w:cs="Times New Roman"/>
          <w:lang w:val="fr-CA"/>
        </w:rPr>
        <w:t>’</w:t>
      </w:r>
      <w:r w:rsidRPr="009F420B">
        <w:rPr>
          <w:rFonts w:cs="Times New Roman"/>
          <w:lang w:val="fr-CA"/>
        </w:rPr>
        <w:t xml:space="preserve">application de la théorie du </w:t>
      </w:r>
      <w:r w:rsidRPr="009F420B">
        <w:rPr>
          <w:rFonts w:cs="Times New Roman"/>
          <w:i/>
          <w:lang w:val="fr-CA"/>
        </w:rPr>
        <w:t>forum non conveniens</w:t>
      </w:r>
      <w:r w:rsidRPr="009F420B">
        <w:rPr>
          <w:rFonts w:cs="Times New Roman"/>
          <w:lang w:val="fr-CA"/>
        </w:rPr>
        <w:t>. La protection des requérants québécois se situe ailleurs</w:t>
      </w:r>
      <w:r>
        <w:rPr>
          <w:rFonts w:cs="Times New Roman"/>
          <w:lang w:val="fr-CA"/>
        </w:rPr>
        <w:t> :</w:t>
      </w:r>
      <w:r w:rsidRPr="009F420B">
        <w:rPr>
          <w:rFonts w:cs="Times New Roman"/>
          <w:lang w:val="fr-CA"/>
        </w:rPr>
        <w:t xml:space="preserve"> dans les règles qui concernent la justice naturelle. C</w:t>
      </w:r>
      <w:r>
        <w:rPr>
          <w:rFonts w:cs="Times New Roman"/>
          <w:lang w:val="fr-CA"/>
        </w:rPr>
        <w:t>’</w:t>
      </w:r>
      <w:r w:rsidRPr="009F420B">
        <w:rPr>
          <w:rFonts w:cs="Times New Roman"/>
          <w:lang w:val="fr-CA"/>
        </w:rPr>
        <w:t>est la position adoptée par la Cour suprême dans l</w:t>
      </w:r>
      <w:r>
        <w:rPr>
          <w:rFonts w:cs="Times New Roman"/>
          <w:lang w:val="fr-CA"/>
        </w:rPr>
        <w:t>’</w:t>
      </w:r>
      <w:r w:rsidRPr="009F420B">
        <w:rPr>
          <w:rFonts w:cs="Times New Roman"/>
          <w:lang w:val="fr-CA"/>
        </w:rPr>
        <w:t xml:space="preserve">affaire </w:t>
      </w:r>
      <w:r w:rsidRPr="009F420B">
        <w:rPr>
          <w:rFonts w:cs="Times New Roman"/>
          <w:i/>
          <w:lang w:val="fr-CA"/>
        </w:rPr>
        <w:t>Lépine</w:t>
      </w:r>
      <w:r w:rsidRPr="009F420B">
        <w:rPr>
          <w:rFonts w:cs="Times New Roman"/>
          <w:lang w:val="fr-CA"/>
        </w:rPr>
        <w:t> » (je souligne))</w:t>
      </w:r>
      <w:r>
        <w:rPr>
          <w:rFonts w:cs="Times New Roman"/>
          <w:lang w:val="fr-CA"/>
        </w:rPr>
        <w:t xml:space="preserve">. </w:t>
      </w:r>
      <w:r w:rsidRPr="009F420B">
        <w:rPr>
          <w:rFonts w:cs="Times New Roman"/>
          <w:lang w:val="fr-CA"/>
        </w:rPr>
        <w:t>Dans la même veine, la juge Bich de la Cour d</w:t>
      </w:r>
      <w:r>
        <w:rPr>
          <w:rFonts w:cs="Times New Roman"/>
          <w:lang w:val="fr-CA"/>
        </w:rPr>
        <w:t>’</w:t>
      </w:r>
      <w:r w:rsidRPr="009F420B">
        <w:rPr>
          <w:rFonts w:cs="Times New Roman"/>
          <w:lang w:val="fr-CA"/>
        </w:rPr>
        <w:t>appel du Québec a signalé dans l</w:t>
      </w:r>
      <w:r>
        <w:rPr>
          <w:rFonts w:cs="Times New Roman"/>
          <w:lang w:val="fr-CA"/>
        </w:rPr>
        <w:t>’</w:t>
      </w:r>
      <w:r w:rsidRPr="009F420B">
        <w:rPr>
          <w:rFonts w:cs="Times New Roman"/>
          <w:lang w:val="fr-CA"/>
        </w:rPr>
        <w:t xml:space="preserve">arrêt </w:t>
      </w:r>
      <w:r w:rsidRPr="009F420B">
        <w:rPr>
          <w:rFonts w:cs="Times New Roman"/>
          <w:i/>
          <w:lang w:val="fr-CA"/>
        </w:rPr>
        <w:t>Hocking c. Haziza</w:t>
      </w:r>
      <w:r w:rsidR="006476E7">
        <w:rPr>
          <w:rFonts w:cs="Times New Roman"/>
          <w:lang w:val="fr-CA"/>
        </w:rPr>
        <w:t>, 2008 QCCA 800</w:t>
      </w:r>
      <w:r w:rsidRPr="009F420B">
        <w:rPr>
          <w:rFonts w:cs="Times New Roman"/>
          <w:lang w:val="fr-CA"/>
        </w:rPr>
        <w:t xml:space="preserve"> (</w:t>
      </w:r>
      <w:r>
        <w:rPr>
          <w:rFonts w:cs="Times New Roman"/>
          <w:lang w:val="fr-CA"/>
        </w:rPr>
        <w:t>par. </w:t>
      </w:r>
      <w:r w:rsidRPr="009F420B">
        <w:rPr>
          <w:rFonts w:cs="Times New Roman"/>
          <w:lang w:val="fr-CA"/>
        </w:rPr>
        <w:t xml:space="preserve">175 </w:t>
      </w:r>
      <w:r w:rsidR="006476E7">
        <w:rPr>
          <w:rFonts w:cs="Times New Roman"/>
          <w:lang w:val="fr-CA"/>
        </w:rPr>
        <w:t>(</w:t>
      </w:r>
      <w:r w:rsidRPr="009F420B">
        <w:rPr>
          <w:rFonts w:cs="Times New Roman"/>
          <w:lang w:val="fr-CA"/>
        </w:rPr>
        <w:t>note en bas de page 50</w:t>
      </w:r>
      <w:r w:rsidR="006476E7">
        <w:rPr>
          <w:rFonts w:cs="Times New Roman"/>
          <w:lang w:val="fr-CA"/>
        </w:rPr>
        <w:t>)</w:t>
      </w:r>
      <w:r w:rsidRPr="009F420B">
        <w:rPr>
          <w:rFonts w:cs="Times New Roman"/>
          <w:lang w:val="fr-CA"/>
        </w:rPr>
        <w:t xml:space="preserve"> (CanLII))</w:t>
      </w:r>
      <w:r w:rsidR="00B730EB">
        <w:rPr>
          <w:rFonts w:cs="Times New Roman"/>
          <w:lang w:val="fr-CA"/>
        </w:rPr>
        <w:t>,</w:t>
      </w:r>
      <w:r w:rsidRPr="009F420B">
        <w:rPr>
          <w:rFonts w:cs="Times New Roman"/>
          <w:lang w:val="fr-CA"/>
        </w:rPr>
        <w:t xml:space="preserve"> la convergence entre l</w:t>
      </w:r>
      <w:r>
        <w:rPr>
          <w:rFonts w:cs="Times New Roman"/>
          <w:lang w:val="fr-CA"/>
        </w:rPr>
        <w:t>’</w:t>
      </w:r>
      <w:r w:rsidRPr="009F420B">
        <w:rPr>
          <w:rFonts w:cs="Times New Roman"/>
          <w:lang w:val="fr-CA"/>
        </w:rPr>
        <w:t>opinion selon laquelle l</w:t>
      </w:r>
      <w:r>
        <w:rPr>
          <w:rFonts w:cs="Times New Roman"/>
          <w:lang w:val="fr-CA"/>
        </w:rPr>
        <w:t>’</w:t>
      </w:r>
      <w:r w:rsidRPr="009F420B">
        <w:rPr>
          <w:rFonts w:cs="Times New Roman"/>
          <w:lang w:val="fr-CA"/>
        </w:rPr>
        <w:t>existence d</w:t>
      </w:r>
      <w:r>
        <w:rPr>
          <w:rFonts w:cs="Times New Roman"/>
          <w:lang w:val="fr-CA"/>
        </w:rPr>
        <w:t>’</w:t>
      </w:r>
      <w:r w:rsidRPr="009F420B">
        <w:rPr>
          <w:rFonts w:cs="Times New Roman"/>
          <w:lang w:val="fr-CA"/>
        </w:rPr>
        <w:t>un « rattachement important » entre le litige et l</w:t>
      </w:r>
      <w:r>
        <w:rPr>
          <w:rFonts w:cs="Times New Roman"/>
          <w:lang w:val="fr-CA"/>
        </w:rPr>
        <w:t>’</w:t>
      </w:r>
      <w:r w:rsidRPr="009F420B">
        <w:rPr>
          <w:rFonts w:cs="Times New Roman"/>
          <w:lang w:val="fr-CA"/>
        </w:rPr>
        <w:t>autorité étrangère au sens où il faut l</w:t>
      </w:r>
      <w:r>
        <w:rPr>
          <w:rFonts w:cs="Times New Roman"/>
          <w:lang w:val="fr-CA"/>
        </w:rPr>
        <w:t>’</w:t>
      </w:r>
      <w:r w:rsidRPr="009F420B">
        <w:rPr>
          <w:rFonts w:cs="Times New Roman"/>
          <w:lang w:val="fr-CA"/>
        </w:rPr>
        <w:t>entendre pour l</w:t>
      </w:r>
      <w:r>
        <w:rPr>
          <w:rFonts w:cs="Times New Roman"/>
          <w:lang w:val="fr-CA"/>
        </w:rPr>
        <w:t>’</w:t>
      </w:r>
      <w:r w:rsidRPr="009F420B">
        <w:rPr>
          <w:rFonts w:cs="Times New Roman"/>
          <w:lang w:val="fr-CA"/>
        </w:rPr>
        <w:t>application de 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xml:space="preserve"> </w:t>
      </w:r>
      <w:r w:rsidRPr="009F420B">
        <w:rPr>
          <w:rFonts w:cs="Times New Roman"/>
          <w:i/>
          <w:lang w:val="fr-CA"/>
        </w:rPr>
        <w:t xml:space="preserve">ne </w:t>
      </w:r>
      <w:r w:rsidRPr="009F420B">
        <w:rPr>
          <w:rFonts w:cs="Times New Roman"/>
          <w:lang w:val="fr-CA"/>
        </w:rPr>
        <w:t xml:space="preserve">constitue </w:t>
      </w:r>
      <w:r w:rsidRPr="009F420B">
        <w:rPr>
          <w:rFonts w:cs="Times New Roman"/>
          <w:i/>
          <w:lang w:val="fr-CA"/>
        </w:rPr>
        <w:t>pas</w:t>
      </w:r>
      <w:r w:rsidRPr="009F420B">
        <w:rPr>
          <w:rFonts w:cs="Times New Roman"/>
          <w:lang w:val="fr-CA"/>
        </w:rPr>
        <w:t xml:space="preserve"> une exigence à </w:t>
      </w:r>
      <w:r w:rsidRPr="009F420B">
        <w:rPr>
          <w:rFonts w:cs="Times New Roman"/>
          <w:lang w:val="fr-CA"/>
        </w:rPr>
        <w:lastRenderedPageBreak/>
        <w:t xml:space="preserve">laquelle il faut satisfaire </w:t>
      </w:r>
      <w:r w:rsidRPr="009F420B">
        <w:rPr>
          <w:rFonts w:cs="Times New Roman"/>
          <w:i/>
          <w:lang w:val="fr-CA"/>
        </w:rPr>
        <w:t>en plus</w:t>
      </w:r>
      <w:r w:rsidRPr="009F420B">
        <w:rPr>
          <w:rFonts w:cs="Times New Roman"/>
          <w:lang w:val="fr-CA"/>
        </w:rPr>
        <w:t xml:space="preserve"> de satisfaire à l</w:t>
      </w:r>
      <w:r>
        <w:rPr>
          <w:rFonts w:cs="Times New Roman"/>
          <w:lang w:val="fr-CA"/>
        </w:rPr>
        <w:t>’</w:t>
      </w:r>
      <w:r w:rsidRPr="009F420B">
        <w:rPr>
          <w:rFonts w:cs="Times New Roman"/>
          <w:lang w:val="fr-CA"/>
        </w:rPr>
        <w:t>une des conditions prévues à l</w:t>
      </w:r>
      <w:r>
        <w:rPr>
          <w:rFonts w:cs="Times New Roman"/>
          <w:lang w:val="fr-CA"/>
        </w:rPr>
        <w:t>’</w:t>
      </w:r>
      <w:r w:rsidRPr="009F420B">
        <w:rPr>
          <w:rFonts w:cs="Times New Roman"/>
          <w:lang w:val="fr-CA"/>
        </w:rPr>
        <w:t>un des paragraphes de l</w:t>
      </w:r>
      <w:r>
        <w:rPr>
          <w:rFonts w:cs="Times New Roman"/>
          <w:lang w:val="fr-CA"/>
        </w:rPr>
        <w:t>’art. </w:t>
      </w:r>
      <w:r w:rsidRPr="009F420B">
        <w:rPr>
          <w:rFonts w:cs="Times New Roman"/>
          <w:lang w:val="fr-CA"/>
        </w:rPr>
        <w:t xml:space="preserve">3168 </w:t>
      </w:r>
      <w:r w:rsidRPr="009F420B">
        <w:rPr>
          <w:rFonts w:cs="Times New Roman"/>
          <w:i/>
          <w:lang w:val="fr-CA"/>
        </w:rPr>
        <w:t>C.c.Q.</w:t>
      </w:r>
      <w:r w:rsidRPr="009F420B">
        <w:rPr>
          <w:rFonts w:cs="Times New Roman"/>
          <w:lang w:val="fr-CA"/>
        </w:rPr>
        <w:t>, d</w:t>
      </w:r>
      <w:r>
        <w:rPr>
          <w:rFonts w:cs="Times New Roman"/>
          <w:lang w:val="fr-CA"/>
        </w:rPr>
        <w:t>’</w:t>
      </w:r>
      <w:r w:rsidRPr="009F420B">
        <w:rPr>
          <w:rFonts w:cs="Times New Roman"/>
          <w:lang w:val="fr-CA"/>
        </w:rPr>
        <w:t>une part, et l</w:t>
      </w:r>
      <w:r>
        <w:rPr>
          <w:rFonts w:cs="Times New Roman"/>
          <w:lang w:val="fr-CA"/>
        </w:rPr>
        <w:t>’</w:t>
      </w:r>
      <w:r w:rsidRPr="009F420B">
        <w:rPr>
          <w:rFonts w:cs="Times New Roman"/>
          <w:lang w:val="fr-CA"/>
        </w:rPr>
        <w:t>approche retenue par la Cour au sujet de l</w:t>
      </w:r>
      <w:r>
        <w:rPr>
          <w:rFonts w:cs="Times New Roman"/>
          <w:lang w:val="fr-CA"/>
        </w:rPr>
        <w:t>’</w:t>
      </w:r>
      <w:r w:rsidRPr="009F420B">
        <w:rPr>
          <w:rFonts w:cs="Times New Roman"/>
          <w:lang w:val="fr-CA"/>
        </w:rPr>
        <w:t>interprétation de l</w:t>
      </w:r>
      <w:r>
        <w:rPr>
          <w:rFonts w:cs="Times New Roman"/>
          <w:lang w:val="fr-CA"/>
        </w:rPr>
        <w:t>’art. </w:t>
      </w:r>
      <w:r w:rsidRPr="009F420B">
        <w:rPr>
          <w:rFonts w:cs="Times New Roman"/>
          <w:lang w:val="fr-CA"/>
        </w:rPr>
        <w:t xml:space="preserve">3148 </w:t>
      </w:r>
      <w:r w:rsidRPr="009F420B">
        <w:rPr>
          <w:rFonts w:cs="Times New Roman"/>
          <w:i/>
          <w:lang w:val="fr-CA"/>
        </w:rPr>
        <w:t xml:space="preserve">C.c.Q. </w:t>
      </w:r>
      <w:r w:rsidRPr="009F420B">
        <w:rPr>
          <w:rFonts w:cs="Times New Roman"/>
          <w:lang w:val="fr-CA"/>
        </w:rPr>
        <w:t>dans l</w:t>
      </w:r>
      <w:r>
        <w:rPr>
          <w:rFonts w:cs="Times New Roman"/>
          <w:lang w:val="fr-CA"/>
        </w:rPr>
        <w:t>’</w:t>
      </w:r>
      <w:r w:rsidRPr="009F420B">
        <w:rPr>
          <w:rFonts w:cs="Times New Roman"/>
          <w:lang w:val="fr-CA"/>
        </w:rPr>
        <w:t xml:space="preserve">arrêt </w:t>
      </w:r>
      <w:r w:rsidRPr="009F420B">
        <w:rPr>
          <w:rFonts w:cs="Times New Roman"/>
          <w:i/>
          <w:lang w:val="fr-CA"/>
        </w:rPr>
        <w:t>Spar</w:t>
      </w:r>
      <w:r w:rsidRPr="009F420B">
        <w:rPr>
          <w:rFonts w:cs="Times New Roman"/>
          <w:lang w:val="fr-CA"/>
        </w:rPr>
        <w:t xml:space="preserve"> (ainsi que, selon moi, dans l</w:t>
      </w:r>
      <w:r>
        <w:rPr>
          <w:rFonts w:cs="Times New Roman"/>
          <w:lang w:val="fr-CA"/>
        </w:rPr>
        <w:t>’</w:t>
      </w:r>
      <w:r w:rsidRPr="009F420B">
        <w:rPr>
          <w:rFonts w:cs="Times New Roman"/>
          <w:lang w:val="fr-CA"/>
        </w:rPr>
        <w:t xml:space="preserve">arrêt </w:t>
      </w:r>
      <w:r w:rsidRPr="009F420B">
        <w:rPr>
          <w:rFonts w:cs="Times New Roman"/>
          <w:i/>
          <w:lang w:val="fr-CA"/>
        </w:rPr>
        <w:t>Lépine</w:t>
      </w:r>
      <w:r w:rsidRPr="009F420B">
        <w:rPr>
          <w:rFonts w:cs="Times New Roman"/>
          <w:lang w:val="fr-CA"/>
        </w:rPr>
        <w:t>), d</w:t>
      </w:r>
      <w:r>
        <w:rPr>
          <w:rFonts w:cs="Times New Roman"/>
          <w:lang w:val="fr-CA"/>
        </w:rPr>
        <w:t>’</w:t>
      </w:r>
      <w:r w:rsidRPr="009F420B">
        <w:rPr>
          <w:rFonts w:cs="Times New Roman"/>
          <w:lang w:val="fr-CA"/>
        </w:rPr>
        <w:t>autre p</w:t>
      </w:r>
      <w:r>
        <w:rPr>
          <w:rFonts w:cs="Times New Roman"/>
          <w:lang w:val="fr-CA"/>
        </w:rPr>
        <w:t>art. </w:t>
      </w:r>
      <w:r w:rsidRPr="009F420B">
        <w:rPr>
          <w:rFonts w:cs="Times New Roman"/>
          <w:lang w:val="fr-CA"/>
        </w:rPr>
        <w:t>Je remarque aussi qu</w:t>
      </w:r>
      <w:r>
        <w:rPr>
          <w:rFonts w:cs="Times New Roman"/>
          <w:lang w:val="fr-CA"/>
        </w:rPr>
        <w:t>’</w:t>
      </w:r>
      <w:r w:rsidRPr="009F420B">
        <w:rPr>
          <w:rFonts w:cs="Times New Roman"/>
          <w:lang w:val="fr-CA"/>
        </w:rPr>
        <w:t>aux termes de l</w:t>
      </w:r>
      <w:r>
        <w:rPr>
          <w:rFonts w:cs="Times New Roman"/>
          <w:lang w:val="fr-CA"/>
        </w:rPr>
        <w:t>’art. </w:t>
      </w:r>
      <w:r w:rsidRPr="009F420B">
        <w:rPr>
          <w:rFonts w:cs="Times New Roman"/>
          <w:lang w:val="fr-CA"/>
        </w:rPr>
        <w:t xml:space="preserve">3168 </w:t>
      </w:r>
      <w:r w:rsidRPr="009F420B">
        <w:rPr>
          <w:rFonts w:cs="Times New Roman"/>
          <w:i/>
          <w:lang w:val="fr-CA"/>
        </w:rPr>
        <w:t>C.c.Q.</w:t>
      </w:r>
      <w:r w:rsidRPr="009F420B">
        <w:rPr>
          <w:rFonts w:cs="Times New Roman"/>
          <w:lang w:val="fr-CA"/>
        </w:rPr>
        <w:t>, la compétence d</w:t>
      </w:r>
      <w:r>
        <w:rPr>
          <w:rFonts w:cs="Times New Roman"/>
          <w:lang w:val="fr-CA"/>
        </w:rPr>
        <w:t>’</w:t>
      </w:r>
      <w:r w:rsidRPr="009F420B">
        <w:rPr>
          <w:rFonts w:cs="Times New Roman"/>
          <w:lang w:val="fr-CA"/>
        </w:rPr>
        <w:t>une autorité étrangère « n</w:t>
      </w:r>
      <w:r>
        <w:rPr>
          <w:rFonts w:cs="Times New Roman"/>
          <w:lang w:val="fr-CA"/>
        </w:rPr>
        <w:t>’</w:t>
      </w:r>
      <w:r w:rsidRPr="009F420B">
        <w:rPr>
          <w:rFonts w:cs="Times New Roman"/>
          <w:u w:val="single"/>
          <w:lang w:val="fr-CA"/>
        </w:rPr>
        <w:t>est</w:t>
      </w:r>
      <w:r w:rsidRPr="009F420B">
        <w:rPr>
          <w:rFonts w:cs="Times New Roman"/>
          <w:lang w:val="fr-CA"/>
        </w:rPr>
        <w:t xml:space="preserve"> reconnue que » dans certains cas (en anglais</w:t>
      </w:r>
      <w:r>
        <w:rPr>
          <w:rFonts w:cs="Times New Roman"/>
          <w:lang w:val="fr-CA"/>
        </w:rPr>
        <w:t> :</w:t>
      </w:r>
      <w:r w:rsidRPr="009F420B">
        <w:rPr>
          <w:rFonts w:cs="Times New Roman"/>
          <w:lang w:val="fr-CA"/>
        </w:rPr>
        <w:t xml:space="preserve"> « </w:t>
      </w:r>
      <w:r w:rsidRPr="009F420B">
        <w:rPr>
          <w:rFonts w:cs="Times New Roman"/>
          <w:i/>
          <w:u w:val="single"/>
          <w:lang w:val="fr-CA"/>
        </w:rPr>
        <w:t>is</w:t>
      </w:r>
      <w:r w:rsidRPr="009F420B">
        <w:rPr>
          <w:rFonts w:cs="Times New Roman"/>
          <w:lang w:val="fr-CA"/>
        </w:rPr>
        <w:t xml:space="preserve"> </w:t>
      </w:r>
      <w:r w:rsidRPr="009F420B">
        <w:rPr>
          <w:rFonts w:cs="Times New Roman"/>
          <w:i/>
          <w:lang w:val="fr-CA"/>
        </w:rPr>
        <w:t>recognized only </w:t>
      </w:r>
      <w:r w:rsidRPr="009F420B">
        <w:rPr>
          <w:rFonts w:cs="Times New Roman"/>
          <w:lang w:val="fr-CA"/>
        </w:rPr>
        <w:t xml:space="preserve">») — et non « ne </w:t>
      </w:r>
      <w:r w:rsidRPr="009F420B">
        <w:rPr>
          <w:rFonts w:cs="Times New Roman"/>
          <w:u w:val="single"/>
          <w:lang w:val="fr-CA"/>
        </w:rPr>
        <w:t>peut</w:t>
      </w:r>
      <w:r w:rsidRPr="009F420B">
        <w:rPr>
          <w:rFonts w:cs="Times New Roman"/>
          <w:lang w:val="fr-CA"/>
        </w:rPr>
        <w:t xml:space="preserve"> être reconnue que » (en anglais</w:t>
      </w:r>
      <w:r>
        <w:rPr>
          <w:rFonts w:cs="Times New Roman"/>
          <w:lang w:val="fr-CA"/>
        </w:rPr>
        <w:t> :</w:t>
      </w:r>
      <w:r w:rsidRPr="009F420B">
        <w:rPr>
          <w:rFonts w:cs="Times New Roman"/>
          <w:lang w:val="fr-CA"/>
        </w:rPr>
        <w:t xml:space="preserve"> « </w:t>
      </w:r>
      <w:r w:rsidRPr="009F420B">
        <w:rPr>
          <w:rFonts w:cs="Times New Roman"/>
          <w:i/>
          <w:u w:val="single"/>
          <w:lang w:val="fr-CA"/>
        </w:rPr>
        <w:t>can</w:t>
      </w:r>
      <w:r w:rsidRPr="009F420B">
        <w:rPr>
          <w:rFonts w:cs="Times New Roman"/>
          <w:i/>
          <w:lang w:val="fr-CA"/>
        </w:rPr>
        <w:t xml:space="preserve"> be recognized only</w:t>
      </w:r>
      <w:r w:rsidRPr="009F420B">
        <w:rPr>
          <w:rFonts w:cs="Times New Roman"/>
          <w:lang w:val="fr-CA"/>
        </w:rPr>
        <w:t> ») —, ce qui indique que le respect de l</w:t>
      </w:r>
      <w:r>
        <w:rPr>
          <w:rFonts w:cs="Times New Roman"/>
          <w:lang w:val="fr-CA"/>
        </w:rPr>
        <w:t>’</w:t>
      </w:r>
      <w:r w:rsidRPr="009F420B">
        <w:rPr>
          <w:rFonts w:cs="Times New Roman"/>
          <w:lang w:val="fr-CA"/>
        </w:rPr>
        <w:t>un des six motifs énumérés à l</w:t>
      </w:r>
      <w:r>
        <w:rPr>
          <w:rFonts w:cs="Times New Roman"/>
          <w:lang w:val="fr-CA"/>
        </w:rPr>
        <w:t>’art. </w:t>
      </w:r>
      <w:r w:rsidRPr="009F420B">
        <w:rPr>
          <w:rFonts w:cs="Times New Roman"/>
          <w:lang w:val="fr-CA"/>
        </w:rPr>
        <w:t xml:space="preserve">3168 </w:t>
      </w:r>
      <w:r w:rsidRPr="009F420B">
        <w:rPr>
          <w:rFonts w:cs="Times New Roman"/>
          <w:i/>
          <w:lang w:val="fr-CA"/>
        </w:rPr>
        <w:t>C.c.Q.</w:t>
      </w:r>
      <w:r w:rsidRPr="009F420B">
        <w:rPr>
          <w:rFonts w:cs="Times New Roman"/>
          <w:lang w:val="fr-CA"/>
        </w:rPr>
        <w:t xml:space="preserve"> est </w:t>
      </w:r>
      <w:r w:rsidRPr="009F420B">
        <w:rPr>
          <w:rFonts w:cs="Times New Roman"/>
          <w:i/>
          <w:lang w:val="fr-CA"/>
        </w:rPr>
        <w:t>suffisant</w:t>
      </w:r>
      <w:r w:rsidRPr="009F420B">
        <w:rPr>
          <w:rFonts w:cs="Times New Roman"/>
          <w:lang w:val="fr-CA"/>
        </w:rPr>
        <w:t xml:space="preserve"> pour établir la compétence d</w:t>
      </w:r>
      <w:r>
        <w:rPr>
          <w:rFonts w:cs="Times New Roman"/>
          <w:lang w:val="fr-CA"/>
        </w:rPr>
        <w:t>’</w:t>
      </w:r>
      <w:r w:rsidRPr="009F420B">
        <w:rPr>
          <w:rFonts w:cs="Times New Roman"/>
          <w:lang w:val="fr-CA"/>
        </w:rPr>
        <w:t>un tribunal étranger.</w:t>
      </w:r>
    </w:p>
    <w:p w:rsidR="00AF6697" w:rsidRPr="009F420B" w:rsidRDefault="00AF6697" w:rsidP="00AF6697">
      <w:pPr>
        <w:pStyle w:val="ParaNoNdepar-AltN"/>
        <w:rPr>
          <w:rFonts w:cs="Times New Roman"/>
          <w:lang w:val="fr-CA"/>
        </w:rPr>
      </w:pPr>
      <w:r w:rsidRPr="009F420B">
        <w:rPr>
          <w:rFonts w:cs="Times New Roman"/>
          <w:lang w:val="fr-CA"/>
        </w:rPr>
        <w:t>Ma collègue la juge Côté conclut néanmoins qu</w:t>
      </w:r>
      <w:r>
        <w:rPr>
          <w:rFonts w:cs="Times New Roman"/>
          <w:lang w:val="fr-CA"/>
        </w:rPr>
        <w:t>’</w:t>
      </w:r>
      <w:r w:rsidRPr="009F420B">
        <w:rPr>
          <w:rFonts w:cs="Times New Roman"/>
          <w:lang w:val="fr-CA"/>
        </w:rPr>
        <w:t>« il y aura des circonstances exceptionnelles où, malgré la présence de l</w:t>
      </w:r>
      <w:r>
        <w:rPr>
          <w:rFonts w:cs="Times New Roman"/>
          <w:lang w:val="fr-CA"/>
        </w:rPr>
        <w:t>’</w:t>
      </w:r>
      <w:r w:rsidRPr="009F420B">
        <w:rPr>
          <w:rFonts w:cs="Times New Roman"/>
          <w:lang w:val="fr-CA"/>
        </w:rPr>
        <w:t>un des facteurs de rattachement énoncés à l</w:t>
      </w:r>
      <w:r>
        <w:rPr>
          <w:rFonts w:cs="Times New Roman"/>
          <w:lang w:val="fr-CA"/>
        </w:rPr>
        <w:t>’art. </w:t>
      </w:r>
      <w:r w:rsidRPr="009F420B">
        <w:rPr>
          <w:rFonts w:cs="Times New Roman"/>
          <w:lang w:val="fr-CA"/>
        </w:rPr>
        <w:t xml:space="preserve">3168 </w:t>
      </w:r>
      <w:r w:rsidRPr="009F420B">
        <w:rPr>
          <w:rFonts w:cs="Times New Roman"/>
          <w:i/>
          <w:lang w:val="fr-CA"/>
        </w:rPr>
        <w:t>C.c.Q.</w:t>
      </w:r>
      <w:r w:rsidRPr="009F420B">
        <w:rPr>
          <w:rFonts w:cs="Times New Roman"/>
          <w:lang w:val="fr-CA"/>
        </w:rPr>
        <w:t>,</w:t>
      </w:r>
      <w:r w:rsidRPr="009F420B">
        <w:rPr>
          <w:rFonts w:cs="Times New Roman"/>
          <w:i/>
          <w:lang w:val="fr-CA"/>
        </w:rPr>
        <w:t xml:space="preserve"> </w:t>
      </w:r>
      <w:r w:rsidRPr="009F420B">
        <w:rPr>
          <w:rFonts w:cs="Times New Roman"/>
          <w:lang w:val="fr-CA"/>
        </w:rPr>
        <w:t>il faudra procéder à une analyse plus poussée, fondée sur 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w:t>
      </w:r>
      <w:r w:rsidRPr="009F420B">
        <w:rPr>
          <w:rFonts w:cs="Times New Roman"/>
          <w:i/>
          <w:lang w:val="fr-CA"/>
        </w:rPr>
        <w:t xml:space="preserve"> </w:t>
      </w:r>
      <w:r w:rsidRPr="009F420B">
        <w:rPr>
          <w:rFonts w:cs="Times New Roman"/>
          <w:lang w:val="fr-CA"/>
        </w:rPr>
        <w:t>afin de déterminer s</w:t>
      </w:r>
      <w:r>
        <w:rPr>
          <w:rFonts w:cs="Times New Roman"/>
          <w:lang w:val="fr-CA"/>
        </w:rPr>
        <w:t>’</w:t>
      </w:r>
      <w:r w:rsidRPr="009F420B">
        <w:rPr>
          <w:rFonts w:cs="Times New Roman"/>
          <w:lang w:val="fr-CA"/>
        </w:rPr>
        <w:t>il existe un rattachement important entre l</w:t>
      </w:r>
      <w:r>
        <w:rPr>
          <w:rFonts w:cs="Times New Roman"/>
          <w:lang w:val="fr-CA"/>
        </w:rPr>
        <w:t>’</w:t>
      </w:r>
      <w:r w:rsidRPr="009F420B">
        <w:rPr>
          <w:rFonts w:cs="Times New Roman"/>
          <w:lang w:val="fr-CA"/>
        </w:rPr>
        <w:t>État étranger et le litige »</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 xml:space="preserve">236; voir aussi le </w:t>
      </w:r>
      <w:r>
        <w:rPr>
          <w:rFonts w:cs="Times New Roman"/>
          <w:lang w:val="fr-CA"/>
        </w:rPr>
        <w:t>par. </w:t>
      </w:r>
      <w:r w:rsidR="000A0247">
        <w:rPr>
          <w:rFonts w:cs="Times New Roman"/>
          <w:lang w:val="fr-CA"/>
        </w:rPr>
        <w:t>251 («</w:t>
      </w:r>
      <w:r w:rsidR="009542C4">
        <w:rPr>
          <w:rFonts w:cs="Times New Roman"/>
          <w:lang w:val="fr-CA"/>
        </w:rPr>
        <w:t> </w:t>
      </w:r>
      <w:r w:rsidRPr="009F420B">
        <w:rPr>
          <w:rFonts w:cs="Times New Roman"/>
          <w:lang w:val="fr-CA"/>
        </w:rPr>
        <w:t>il peut y avoir des circonstances exceptionnelles où il n</w:t>
      </w:r>
      <w:r>
        <w:rPr>
          <w:rFonts w:cs="Times New Roman"/>
          <w:lang w:val="fr-CA"/>
        </w:rPr>
        <w:t>’</w:t>
      </w:r>
      <w:r w:rsidRPr="009F420B">
        <w:rPr>
          <w:rFonts w:cs="Times New Roman"/>
          <w:lang w:val="fr-CA"/>
        </w:rPr>
        <w:t>existe pas de rattachement important entre le litige et l</w:t>
      </w:r>
      <w:r>
        <w:rPr>
          <w:rFonts w:cs="Times New Roman"/>
          <w:lang w:val="fr-CA"/>
        </w:rPr>
        <w:t>’</w:t>
      </w:r>
      <w:r w:rsidRPr="009F420B">
        <w:rPr>
          <w:rFonts w:cs="Times New Roman"/>
          <w:lang w:val="fr-CA"/>
        </w:rPr>
        <w:t>État étranger — même lorsque l</w:t>
      </w:r>
      <w:r>
        <w:rPr>
          <w:rFonts w:cs="Times New Roman"/>
          <w:lang w:val="fr-CA"/>
        </w:rPr>
        <w:t>’</w:t>
      </w:r>
      <w:r w:rsidRPr="009F420B">
        <w:rPr>
          <w:rFonts w:cs="Times New Roman"/>
          <w:lang w:val="fr-CA"/>
        </w:rPr>
        <w:t>un des facteurs énoncés à l</w:t>
      </w:r>
      <w:r>
        <w:rPr>
          <w:rFonts w:cs="Times New Roman"/>
          <w:lang w:val="fr-CA"/>
        </w:rPr>
        <w:t>’art. </w:t>
      </w:r>
      <w:r w:rsidRPr="009F420B">
        <w:rPr>
          <w:rFonts w:cs="Times New Roman"/>
          <w:lang w:val="fr-CA"/>
        </w:rPr>
        <w:t xml:space="preserve">3168 </w:t>
      </w:r>
      <w:r w:rsidRPr="009F420B">
        <w:rPr>
          <w:rFonts w:cs="Times New Roman"/>
          <w:i/>
          <w:lang w:val="fr-CA"/>
        </w:rPr>
        <w:t>C.c.Q.</w:t>
      </w:r>
      <w:r w:rsidRPr="009F420B">
        <w:rPr>
          <w:rFonts w:cs="Times New Roman"/>
          <w:lang w:val="fr-CA"/>
        </w:rPr>
        <w:t xml:space="preserve"> est</w:t>
      </w:r>
      <w:r w:rsidR="00736841">
        <w:rPr>
          <w:rFonts w:cs="Times New Roman"/>
          <w:lang w:val="fr-CA"/>
        </w:rPr>
        <w:t>, strictement parlant, présent</w:t>
      </w:r>
      <w:r w:rsidR="009542C4">
        <w:rPr>
          <w:rFonts w:cs="Times New Roman"/>
          <w:lang w:val="fr-CA"/>
        </w:rPr>
        <w:t> </w:t>
      </w:r>
      <w:r w:rsidRPr="009F420B">
        <w:rPr>
          <w:rFonts w:cs="Times New Roman"/>
          <w:lang w:val="fr-CA"/>
        </w:rPr>
        <w:t>»). Si tel était effectivement le cas, cela signifierait qu</w:t>
      </w:r>
      <w:r>
        <w:rPr>
          <w:rFonts w:cs="Times New Roman"/>
          <w:lang w:val="fr-CA"/>
        </w:rPr>
        <w:t>’</w:t>
      </w:r>
      <w:r w:rsidRPr="009F420B">
        <w:rPr>
          <w:rFonts w:cs="Times New Roman"/>
          <w:lang w:val="fr-CA"/>
        </w:rPr>
        <w:t>un tribunal québécois pourrait faire fi de sa conclusion affirmative quant à la compétence de l</w:t>
      </w:r>
      <w:r>
        <w:rPr>
          <w:rFonts w:cs="Times New Roman"/>
          <w:lang w:val="fr-CA"/>
        </w:rPr>
        <w:t>’</w:t>
      </w:r>
      <w:r w:rsidRPr="009F420B">
        <w:rPr>
          <w:rFonts w:cs="Times New Roman"/>
          <w:lang w:val="fr-CA"/>
        </w:rPr>
        <w:t>autorité étrangère en application de l</w:t>
      </w:r>
      <w:r>
        <w:rPr>
          <w:rFonts w:cs="Times New Roman"/>
          <w:lang w:val="fr-CA"/>
        </w:rPr>
        <w:t>’art. </w:t>
      </w:r>
      <w:r w:rsidRPr="009F420B">
        <w:rPr>
          <w:rFonts w:cs="Times New Roman"/>
          <w:lang w:val="fr-CA"/>
        </w:rPr>
        <w:t xml:space="preserve">3168 </w:t>
      </w:r>
      <w:r w:rsidRPr="009F420B">
        <w:rPr>
          <w:rFonts w:cs="Times New Roman"/>
          <w:i/>
          <w:lang w:val="fr-CA"/>
        </w:rPr>
        <w:t xml:space="preserve">C.c.Q. </w:t>
      </w:r>
      <w:r w:rsidRPr="009F420B">
        <w:rPr>
          <w:rFonts w:cs="Times New Roman"/>
          <w:lang w:val="fr-CA"/>
        </w:rPr>
        <w:t>et conclure, après une appréciation subjective de l</w:t>
      </w:r>
      <w:r>
        <w:rPr>
          <w:rFonts w:cs="Times New Roman"/>
          <w:lang w:val="fr-CA"/>
        </w:rPr>
        <w:t>’</w:t>
      </w:r>
      <w:r w:rsidRPr="009F420B">
        <w:rPr>
          <w:rFonts w:cs="Times New Roman"/>
          <w:lang w:val="fr-CA"/>
        </w:rPr>
        <w:t>ensemble des circonstances de l</w:t>
      </w:r>
      <w:r>
        <w:rPr>
          <w:rFonts w:cs="Times New Roman"/>
          <w:lang w:val="fr-CA"/>
        </w:rPr>
        <w:t>’</w:t>
      </w:r>
      <w:r w:rsidRPr="009F420B">
        <w:rPr>
          <w:rFonts w:cs="Times New Roman"/>
          <w:lang w:val="fr-CA"/>
        </w:rPr>
        <w:t>affaire, qu</w:t>
      </w:r>
      <w:r>
        <w:rPr>
          <w:rFonts w:cs="Times New Roman"/>
          <w:lang w:val="fr-CA"/>
        </w:rPr>
        <w:t>’</w:t>
      </w:r>
      <w:r w:rsidRPr="009F420B">
        <w:rPr>
          <w:rFonts w:cs="Times New Roman"/>
          <w:lang w:val="fr-CA"/>
        </w:rPr>
        <w:t>il n</w:t>
      </w:r>
      <w:r>
        <w:rPr>
          <w:rFonts w:cs="Times New Roman"/>
          <w:lang w:val="fr-CA"/>
        </w:rPr>
        <w:t>’</w:t>
      </w:r>
      <w:r w:rsidRPr="009F420B">
        <w:rPr>
          <w:rFonts w:cs="Times New Roman"/>
          <w:lang w:val="fr-CA"/>
        </w:rPr>
        <w:t>existe pas de « rattachement important » entre le litige et l</w:t>
      </w:r>
      <w:r>
        <w:rPr>
          <w:rFonts w:cs="Times New Roman"/>
          <w:lang w:val="fr-CA"/>
        </w:rPr>
        <w:t>’</w:t>
      </w:r>
      <w:r w:rsidRPr="009F420B">
        <w:rPr>
          <w:rFonts w:cs="Times New Roman"/>
          <w:lang w:val="fr-CA"/>
        </w:rPr>
        <w:t>autorité étrangère, de sorte que celle</w:t>
      </w:r>
      <w:r>
        <w:rPr>
          <w:rFonts w:cs="Times New Roman"/>
          <w:lang w:val="fr-CA"/>
        </w:rPr>
        <w:noBreakHyphen/>
      </w:r>
      <w:r w:rsidRPr="009F420B">
        <w:rPr>
          <w:rFonts w:cs="Times New Roman"/>
          <w:lang w:val="fr-CA"/>
        </w:rPr>
        <w:t>ci ne pouvait se déclarer compétente à l</w:t>
      </w:r>
      <w:r>
        <w:rPr>
          <w:rFonts w:cs="Times New Roman"/>
          <w:lang w:val="fr-CA"/>
        </w:rPr>
        <w:t>’</w:t>
      </w:r>
      <w:r w:rsidRPr="009F420B">
        <w:rPr>
          <w:rFonts w:cs="Times New Roman"/>
          <w:lang w:val="fr-CA"/>
        </w:rPr>
        <w:t xml:space="preserve">égard du litige. Soit dit en tout respect, ce raisonnement me semble erroné. </w:t>
      </w:r>
    </w:p>
    <w:p w:rsidR="00AF6697" w:rsidRPr="009F420B" w:rsidRDefault="00AF6697" w:rsidP="00AF6697">
      <w:pPr>
        <w:pStyle w:val="ParaNoNdepar-AltN"/>
        <w:rPr>
          <w:rFonts w:cs="Times New Roman"/>
          <w:lang w:val="fr-CA"/>
        </w:rPr>
      </w:pPr>
      <w:r w:rsidRPr="009F420B">
        <w:rPr>
          <w:rFonts w:cs="Times New Roman"/>
          <w:lang w:val="fr-CA"/>
        </w:rPr>
        <w:lastRenderedPageBreak/>
        <w:t>La conclusion de la juge Côté repose en partie sur ce qui m</w:t>
      </w:r>
      <w:r>
        <w:rPr>
          <w:rFonts w:cs="Times New Roman"/>
          <w:lang w:val="fr-CA"/>
        </w:rPr>
        <w:t>’</w:t>
      </w:r>
      <w:r w:rsidRPr="009F420B">
        <w:rPr>
          <w:rFonts w:cs="Times New Roman"/>
          <w:lang w:val="fr-CA"/>
        </w:rPr>
        <w:t>apparaît être une mauvaise interprétation du passage tiré des motifs de la Cour dans l</w:t>
      </w:r>
      <w:r>
        <w:rPr>
          <w:rFonts w:cs="Times New Roman"/>
          <w:lang w:val="fr-CA"/>
        </w:rPr>
        <w:t>’</w:t>
      </w:r>
      <w:r w:rsidRPr="009F420B">
        <w:rPr>
          <w:rFonts w:cs="Times New Roman"/>
          <w:lang w:val="fr-CA"/>
        </w:rPr>
        <w:t xml:space="preserve">arrêt </w:t>
      </w:r>
      <w:r w:rsidRPr="009F420B">
        <w:rPr>
          <w:rFonts w:cs="Times New Roman"/>
          <w:i/>
          <w:lang w:val="fr-CA"/>
        </w:rPr>
        <w:t>Lépine</w:t>
      </w:r>
      <w:r w:rsidRPr="009F420B">
        <w:rPr>
          <w:rFonts w:cs="Times New Roman"/>
          <w:lang w:val="fr-CA"/>
        </w:rPr>
        <w:t xml:space="preserve"> (</w:t>
      </w:r>
      <w:r>
        <w:rPr>
          <w:rFonts w:cs="Times New Roman"/>
          <w:lang w:val="fr-CA"/>
        </w:rPr>
        <w:t>par. </w:t>
      </w:r>
      <w:r w:rsidRPr="009F420B">
        <w:rPr>
          <w:rFonts w:cs="Times New Roman"/>
          <w:lang w:val="fr-CA"/>
        </w:rPr>
        <w:t>36), dont j</w:t>
      </w:r>
      <w:r>
        <w:rPr>
          <w:rFonts w:cs="Times New Roman"/>
          <w:lang w:val="fr-CA"/>
        </w:rPr>
        <w:t>’</w:t>
      </w:r>
      <w:r w:rsidRPr="009F420B">
        <w:rPr>
          <w:rFonts w:cs="Times New Roman"/>
          <w:lang w:val="fr-CA"/>
        </w:rPr>
        <w:t>ai déjà expliqué quel est le sens véritable selon moi. Ma collègue cite cependant à juste titre des sources (autres que l</w:t>
      </w:r>
      <w:r>
        <w:rPr>
          <w:rFonts w:cs="Times New Roman"/>
          <w:lang w:val="fr-CA"/>
        </w:rPr>
        <w:t>’</w:t>
      </w:r>
      <w:r w:rsidRPr="009F420B">
        <w:rPr>
          <w:rFonts w:cs="Times New Roman"/>
          <w:lang w:val="fr-CA"/>
        </w:rPr>
        <w:t xml:space="preserve">arrêt </w:t>
      </w:r>
      <w:r w:rsidRPr="009F420B">
        <w:rPr>
          <w:rFonts w:cs="Times New Roman"/>
          <w:i/>
          <w:lang w:val="fr-CA"/>
        </w:rPr>
        <w:t>Lépine</w:t>
      </w:r>
      <w:r w:rsidRPr="009F420B">
        <w:rPr>
          <w:rFonts w:cs="Times New Roman"/>
          <w:lang w:val="fr-CA"/>
        </w:rPr>
        <w:t xml:space="preserve">) qui appuient son interprétation de la relation entre les </w:t>
      </w:r>
      <w:r>
        <w:rPr>
          <w:rFonts w:cs="Times New Roman"/>
          <w:lang w:val="fr-CA"/>
        </w:rPr>
        <w:t>art. </w:t>
      </w:r>
      <w:r w:rsidRPr="009F420B">
        <w:rPr>
          <w:rFonts w:cs="Times New Roman"/>
          <w:lang w:val="fr-CA"/>
        </w:rPr>
        <w:t xml:space="preserve">3164 et 3168 </w:t>
      </w:r>
      <w:r w:rsidRPr="009F420B">
        <w:rPr>
          <w:rFonts w:cs="Times New Roman"/>
          <w:i/>
          <w:lang w:val="fr-CA"/>
        </w:rPr>
        <w:t>C.c.Q.</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 xml:space="preserve">238; voir, par exemple, </w:t>
      </w:r>
      <w:r w:rsidRPr="009F420B">
        <w:rPr>
          <w:rFonts w:cs="Times New Roman"/>
          <w:i/>
          <w:lang w:val="fr-CA"/>
        </w:rPr>
        <w:t>Hocking</w:t>
      </w:r>
      <w:r w:rsidRPr="009F420B">
        <w:rPr>
          <w:rFonts w:cs="Times New Roman"/>
          <w:lang w:val="fr-CA"/>
        </w:rPr>
        <w:t xml:space="preserve">, </w:t>
      </w:r>
      <w:r>
        <w:rPr>
          <w:rFonts w:cs="Times New Roman"/>
          <w:lang w:val="fr-CA"/>
        </w:rPr>
        <w:t>par. </w:t>
      </w:r>
      <w:r w:rsidRPr="009F420B">
        <w:rPr>
          <w:rFonts w:cs="Times New Roman"/>
          <w:lang w:val="fr-CA"/>
        </w:rPr>
        <w:t>181</w:t>
      </w:r>
      <w:r>
        <w:rPr>
          <w:rFonts w:cs="Times New Roman"/>
          <w:lang w:val="fr-CA"/>
        </w:rPr>
        <w:noBreakHyphen/>
      </w:r>
      <w:r w:rsidR="00B730EB">
        <w:rPr>
          <w:rFonts w:cs="Times New Roman"/>
          <w:lang w:val="fr-CA"/>
        </w:rPr>
        <w:t>187 et</w:t>
      </w:r>
      <w:r w:rsidRPr="009F420B">
        <w:rPr>
          <w:rFonts w:cs="Times New Roman"/>
          <w:lang w:val="fr-CA"/>
        </w:rPr>
        <w:t xml:space="preserve"> 199; </w:t>
      </w:r>
      <w:r w:rsidRPr="009F420B">
        <w:rPr>
          <w:rFonts w:cs="Times New Roman"/>
          <w:i/>
          <w:lang w:val="fr-CA"/>
        </w:rPr>
        <w:t>Zimmermann</w:t>
      </w:r>
      <w:r w:rsidRPr="009F420B">
        <w:rPr>
          <w:rFonts w:cs="Times New Roman"/>
          <w:lang w:val="fr-CA"/>
        </w:rPr>
        <w:t xml:space="preserve">, </w:t>
      </w:r>
      <w:r>
        <w:rPr>
          <w:rFonts w:cs="Times New Roman"/>
          <w:lang w:val="fr-CA"/>
        </w:rPr>
        <w:t>par. </w:t>
      </w:r>
      <w:r w:rsidRPr="009F420B">
        <w:rPr>
          <w:rFonts w:cs="Times New Roman"/>
          <w:lang w:val="fr-CA"/>
        </w:rPr>
        <w:t>12 (mentionnant l</w:t>
      </w:r>
      <w:r>
        <w:rPr>
          <w:rFonts w:cs="Times New Roman"/>
          <w:lang w:val="fr-CA"/>
        </w:rPr>
        <w:t>’</w:t>
      </w:r>
      <w:r w:rsidRPr="009F420B">
        <w:rPr>
          <w:rFonts w:cs="Times New Roman"/>
          <w:lang w:val="fr-CA"/>
        </w:rPr>
        <w:t>arrêt </w:t>
      </w:r>
      <w:r w:rsidRPr="009F420B">
        <w:rPr>
          <w:rFonts w:cs="Times New Roman"/>
          <w:i/>
          <w:lang w:val="fr-CA"/>
        </w:rPr>
        <w:t>Hocking</w:t>
      </w:r>
      <w:r w:rsidRPr="009F420B">
        <w:rPr>
          <w:rFonts w:cs="Times New Roman"/>
          <w:lang w:val="fr-CA"/>
        </w:rPr>
        <w:t xml:space="preserve">); </w:t>
      </w:r>
      <w:r w:rsidRPr="009F420B">
        <w:rPr>
          <w:rFonts w:cs="Times New Roman"/>
          <w:i/>
          <w:lang w:val="fr-CA"/>
        </w:rPr>
        <w:t>Heerema</w:t>
      </w:r>
      <w:r w:rsidRPr="009F420B">
        <w:rPr>
          <w:rFonts w:cs="Times New Roman"/>
          <w:lang w:val="fr-CA"/>
        </w:rPr>
        <w:t xml:space="preserve">, </w:t>
      </w:r>
      <w:r>
        <w:rPr>
          <w:rFonts w:cs="Times New Roman"/>
          <w:lang w:val="fr-CA"/>
        </w:rPr>
        <w:t>par. </w:t>
      </w:r>
      <w:r w:rsidRPr="009F420B">
        <w:rPr>
          <w:rFonts w:cs="Times New Roman"/>
          <w:lang w:val="fr-CA"/>
        </w:rPr>
        <w:t>23 et 26 (quoique dans le cadre d</w:t>
      </w:r>
      <w:r>
        <w:rPr>
          <w:rFonts w:cs="Times New Roman"/>
          <w:lang w:val="fr-CA"/>
        </w:rPr>
        <w:t>’</w:t>
      </w:r>
      <w:r w:rsidRPr="009F420B">
        <w:rPr>
          <w:rFonts w:cs="Times New Roman"/>
          <w:lang w:val="fr-CA"/>
        </w:rPr>
        <w:t>une remarque incidente, et mentionnant une décision d</w:t>
      </w:r>
      <w:r>
        <w:rPr>
          <w:rFonts w:cs="Times New Roman"/>
          <w:lang w:val="fr-CA"/>
        </w:rPr>
        <w:t>’</w:t>
      </w:r>
      <w:r w:rsidRPr="009F420B">
        <w:rPr>
          <w:rFonts w:cs="Times New Roman"/>
          <w:lang w:val="fr-CA"/>
        </w:rPr>
        <w:t>une juridiction d</w:t>
      </w:r>
      <w:r>
        <w:rPr>
          <w:rFonts w:cs="Times New Roman"/>
          <w:lang w:val="fr-CA"/>
        </w:rPr>
        <w:t>’</w:t>
      </w:r>
      <w:r w:rsidRPr="009F420B">
        <w:rPr>
          <w:rFonts w:cs="Times New Roman"/>
          <w:lang w:val="fr-CA"/>
        </w:rPr>
        <w:t xml:space="preserve">instance inférieure). Or, selon moi, cette jurisprudence est erronée et devrait être rejetée sur ce point. </w:t>
      </w:r>
    </w:p>
    <w:p w:rsidR="00AF6697" w:rsidRPr="009F420B" w:rsidRDefault="00AF6697" w:rsidP="00AF6697">
      <w:pPr>
        <w:pStyle w:val="ParaNoNdepar-AltN"/>
        <w:spacing w:before="240" w:after="240"/>
        <w:rPr>
          <w:rFonts w:cs="Times New Roman"/>
          <w:lang w:val="fr-CA"/>
        </w:rPr>
      </w:pPr>
      <w:r w:rsidRPr="009F420B">
        <w:rPr>
          <w:rFonts w:cs="Times New Roman"/>
          <w:lang w:val="fr-CA"/>
        </w:rPr>
        <w:t>Tout d</w:t>
      </w:r>
      <w:r>
        <w:rPr>
          <w:rFonts w:cs="Times New Roman"/>
          <w:lang w:val="fr-CA"/>
        </w:rPr>
        <w:t>’</w:t>
      </w:r>
      <w:r w:rsidRPr="009F420B">
        <w:rPr>
          <w:rFonts w:cs="Times New Roman"/>
          <w:lang w:val="fr-CA"/>
        </w:rPr>
        <w:t>abord, l</w:t>
      </w:r>
      <w:r>
        <w:rPr>
          <w:rFonts w:cs="Times New Roman"/>
          <w:lang w:val="fr-CA"/>
        </w:rPr>
        <w:t>’</w:t>
      </w:r>
      <w:r w:rsidRPr="009F420B">
        <w:rPr>
          <w:rFonts w:cs="Times New Roman"/>
          <w:lang w:val="fr-CA"/>
        </w:rPr>
        <w:t xml:space="preserve">affirmation selon laquelle </w:t>
      </w:r>
      <w:r w:rsidRPr="009F420B">
        <w:rPr>
          <w:rFonts w:cs="Times New Roman"/>
          <w:lang w:val="fr-CA" w:bidi="en-US"/>
        </w:rPr>
        <w:t>l</w:t>
      </w:r>
      <w:r>
        <w:rPr>
          <w:rFonts w:cs="Times New Roman"/>
          <w:lang w:val="fr-CA" w:bidi="en-US"/>
        </w:rPr>
        <w:t>’art. </w:t>
      </w:r>
      <w:r w:rsidRPr="009F420B">
        <w:rPr>
          <w:rFonts w:cs="Times New Roman"/>
          <w:lang w:val="fr-CA" w:bidi="en-US"/>
        </w:rPr>
        <w:t xml:space="preserve">3164 </w:t>
      </w:r>
      <w:r w:rsidRPr="009F420B">
        <w:rPr>
          <w:rFonts w:cs="Times New Roman"/>
          <w:i/>
          <w:lang w:val="fr-CA" w:bidi="en-US"/>
        </w:rPr>
        <w:t>C.c.Q.</w:t>
      </w:r>
      <w:r w:rsidRPr="009F420B">
        <w:rPr>
          <w:rFonts w:cs="Times New Roman"/>
          <w:lang w:val="fr-CA" w:bidi="en-US"/>
        </w:rPr>
        <w:t xml:space="preserve"> exige un rattachement important entre le litige et le tribunal étranger, même lorsqu</w:t>
      </w:r>
      <w:r>
        <w:rPr>
          <w:rFonts w:cs="Times New Roman"/>
          <w:lang w:val="fr-CA" w:bidi="en-US"/>
        </w:rPr>
        <w:t>’</w:t>
      </w:r>
      <w:r w:rsidRPr="009F420B">
        <w:rPr>
          <w:rFonts w:cs="Times New Roman"/>
          <w:lang w:val="fr-CA" w:bidi="en-US"/>
        </w:rPr>
        <w:t>un des critères de la reconnaissance de la compétence du tribunal étranger énoncé à l</w:t>
      </w:r>
      <w:r>
        <w:rPr>
          <w:rFonts w:cs="Times New Roman"/>
          <w:lang w:val="fr-CA" w:bidi="en-US"/>
        </w:rPr>
        <w:t>’art. </w:t>
      </w:r>
      <w:r w:rsidRPr="009F420B">
        <w:rPr>
          <w:rFonts w:cs="Times New Roman"/>
          <w:lang w:val="fr-CA" w:bidi="en-US"/>
        </w:rPr>
        <w:t>3168 </w:t>
      </w:r>
      <w:r w:rsidRPr="009F420B">
        <w:rPr>
          <w:rFonts w:cs="Times New Roman"/>
          <w:i/>
          <w:lang w:val="fr-CA" w:bidi="en-US"/>
        </w:rPr>
        <w:t>C.c.Q.</w:t>
      </w:r>
      <w:r w:rsidRPr="009F420B">
        <w:rPr>
          <w:rFonts w:cs="Times New Roman"/>
          <w:lang w:val="fr-CA" w:bidi="en-US"/>
        </w:rPr>
        <w:t xml:space="preserve"> est établi, n</w:t>
      </w:r>
      <w:r>
        <w:rPr>
          <w:rFonts w:cs="Times New Roman"/>
          <w:lang w:val="fr-CA" w:bidi="en-US"/>
        </w:rPr>
        <w:t>’</w:t>
      </w:r>
      <w:r w:rsidRPr="009F420B">
        <w:rPr>
          <w:rFonts w:cs="Times New Roman"/>
          <w:lang w:val="fr-CA" w:bidi="en-US"/>
        </w:rPr>
        <w:t xml:space="preserve">est nullement appuyée par le texte de </w:t>
      </w:r>
      <w:r w:rsidRPr="009F420B">
        <w:rPr>
          <w:rFonts w:cs="Times New Roman"/>
          <w:lang w:val="fr-CA"/>
        </w:rPr>
        <w:t>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elle est même incompatible avec celui</w:t>
      </w:r>
      <w:r>
        <w:rPr>
          <w:rFonts w:cs="Times New Roman"/>
          <w:lang w:val="fr-CA"/>
        </w:rPr>
        <w:noBreakHyphen/>
      </w:r>
      <w:r w:rsidRPr="009F420B">
        <w:rPr>
          <w:rFonts w:cs="Times New Roman"/>
          <w:lang w:val="fr-CA"/>
        </w:rPr>
        <w:t>ci. Par souci de commodité, je reproduis cette disposition de nouveau ici</w:t>
      </w:r>
      <w:r>
        <w:rPr>
          <w:rFonts w:cs="Times New Roman"/>
          <w:lang w:val="fr-CA"/>
        </w:rPr>
        <w:t> :</w:t>
      </w:r>
    </w:p>
    <w:p w:rsidR="00AF6697" w:rsidRPr="009F420B" w:rsidRDefault="00AF6697" w:rsidP="00AF6697">
      <w:pPr>
        <w:pStyle w:val="Citation-AltC"/>
        <w:rPr>
          <w:rStyle w:val="texte-courant1"/>
          <w:rFonts w:eastAsiaTheme="minorHAnsi"/>
          <w:lang w:val="fr-CA"/>
        </w:rPr>
      </w:pPr>
      <w:r w:rsidRPr="006968AB">
        <w:rPr>
          <w:rStyle w:val="texte-courant1"/>
          <w:rFonts w:eastAsiaTheme="minorHAnsi"/>
          <w:b/>
          <w:lang w:val="fr-CA"/>
        </w:rPr>
        <w:t>3164.</w:t>
      </w:r>
      <w:r>
        <w:rPr>
          <w:rStyle w:val="texte-courant1"/>
          <w:rFonts w:eastAsiaTheme="minorHAnsi"/>
          <w:lang w:val="fr-CA"/>
        </w:rPr>
        <w:t> </w:t>
      </w:r>
      <w:r w:rsidRPr="009F420B">
        <w:rPr>
          <w:rStyle w:val="texte-courant1"/>
          <w:rFonts w:eastAsiaTheme="minorHAnsi"/>
          <w:lang w:val="fr-CA"/>
        </w:rPr>
        <w:t xml:space="preserve">La compétence des autorités étrangères est établie suivant les règles de compétence applicables aux autorités québécoises </w:t>
      </w:r>
      <w:r w:rsidRPr="009F420B">
        <w:rPr>
          <w:rStyle w:val="texte-courant1"/>
          <w:rFonts w:eastAsiaTheme="minorHAnsi"/>
          <w:u w:val="single"/>
          <w:lang w:val="fr-CA"/>
        </w:rPr>
        <w:t>en vertu du titre troisième du présent livre dans la mesure où le litige se rattache d</w:t>
      </w:r>
      <w:r>
        <w:rPr>
          <w:rStyle w:val="texte-courant1"/>
          <w:rFonts w:eastAsiaTheme="minorHAnsi"/>
          <w:u w:val="single"/>
          <w:lang w:val="fr-CA"/>
        </w:rPr>
        <w:t>’</w:t>
      </w:r>
      <w:r w:rsidRPr="009F420B">
        <w:rPr>
          <w:rStyle w:val="texte-courant1"/>
          <w:rFonts w:eastAsiaTheme="minorHAnsi"/>
          <w:u w:val="single"/>
          <w:lang w:val="fr-CA"/>
        </w:rPr>
        <w:t>une façon importante</w:t>
      </w:r>
      <w:r w:rsidRPr="009F420B">
        <w:rPr>
          <w:rStyle w:val="texte-courant1"/>
          <w:rFonts w:eastAsiaTheme="minorHAnsi"/>
          <w:lang w:val="fr-CA"/>
        </w:rPr>
        <w:t xml:space="preserve"> à l</w:t>
      </w:r>
      <w:r>
        <w:rPr>
          <w:rStyle w:val="texte-courant1"/>
          <w:rFonts w:eastAsiaTheme="minorHAnsi"/>
          <w:lang w:val="fr-CA"/>
        </w:rPr>
        <w:t>’</w:t>
      </w:r>
      <w:r w:rsidRPr="009F420B">
        <w:rPr>
          <w:rStyle w:val="texte-courant1"/>
          <w:rFonts w:eastAsiaTheme="minorHAnsi"/>
          <w:lang w:val="fr-CA"/>
        </w:rPr>
        <w:t>État dont l</w:t>
      </w:r>
      <w:r>
        <w:rPr>
          <w:rStyle w:val="texte-courant1"/>
          <w:rFonts w:eastAsiaTheme="minorHAnsi"/>
          <w:lang w:val="fr-CA"/>
        </w:rPr>
        <w:t>’</w:t>
      </w:r>
      <w:r w:rsidRPr="009F420B">
        <w:rPr>
          <w:rStyle w:val="texte-courant1"/>
          <w:rFonts w:eastAsiaTheme="minorHAnsi"/>
          <w:lang w:val="fr-CA"/>
        </w:rPr>
        <w:t>autorité a été saisie.</w:t>
      </w:r>
    </w:p>
    <w:p w:rsidR="00AF6697" w:rsidRPr="009F420B" w:rsidRDefault="00AF6697" w:rsidP="00AF6697">
      <w:pPr>
        <w:pStyle w:val="ParaNoNdepar-AltN"/>
        <w:tabs>
          <w:tab w:val="clear" w:pos="1166"/>
          <w:tab w:val="num" w:pos="1152"/>
        </w:tabs>
        <w:spacing w:before="0"/>
        <w:rPr>
          <w:rFonts w:cs="Times New Roman"/>
          <w:lang w:val="fr-CA"/>
        </w:rPr>
      </w:pPr>
      <w:r w:rsidRPr="009F420B">
        <w:rPr>
          <w:rFonts w:cs="Times New Roman"/>
          <w:lang w:val="fr-CA" w:bidi="en-US"/>
        </w:rPr>
        <w:t>Comme cette disposition le prévoit expressément, la question de l</w:t>
      </w:r>
      <w:r>
        <w:rPr>
          <w:rFonts w:cs="Times New Roman"/>
          <w:lang w:val="fr-CA" w:bidi="en-US"/>
        </w:rPr>
        <w:t>’</w:t>
      </w:r>
      <w:r w:rsidRPr="009F420B">
        <w:rPr>
          <w:rFonts w:cs="Times New Roman"/>
          <w:lang w:val="fr-CA" w:bidi="en-US"/>
        </w:rPr>
        <w:t>existence d</w:t>
      </w:r>
      <w:r>
        <w:rPr>
          <w:rFonts w:cs="Times New Roman"/>
          <w:lang w:val="fr-CA" w:bidi="en-US"/>
        </w:rPr>
        <w:t>’</w:t>
      </w:r>
      <w:r w:rsidRPr="009F420B">
        <w:rPr>
          <w:rFonts w:cs="Times New Roman"/>
          <w:lang w:val="fr-CA" w:bidi="en-US"/>
        </w:rPr>
        <w:t>un « rattachement important » se pose uniquement lorsque la compétence d</w:t>
      </w:r>
      <w:r>
        <w:rPr>
          <w:rFonts w:cs="Times New Roman"/>
          <w:lang w:val="fr-CA" w:bidi="en-US"/>
        </w:rPr>
        <w:t>’</w:t>
      </w:r>
      <w:r w:rsidRPr="009F420B">
        <w:rPr>
          <w:rFonts w:cs="Times New Roman"/>
          <w:lang w:val="fr-CA" w:bidi="en-US"/>
        </w:rPr>
        <w:t>une autorité étrangère est établie en application des dispositions du titre troisième. Il s</w:t>
      </w:r>
      <w:r>
        <w:rPr>
          <w:rFonts w:cs="Times New Roman"/>
          <w:lang w:val="fr-CA" w:bidi="en-US"/>
        </w:rPr>
        <w:t>’</w:t>
      </w:r>
      <w:r w:rsidRPr="009F420B">
        <w:rPr>
          <w:rFonts w:cs="Times New Roman"/>
          <w:lang w:val="fr-CA" w:bidi="en-US"/>
        </w:rPr>
        <w:t xml:space="preserve">ensuit que, indépendamment de ce que le renvoi figurant à </w:t>
      </w:r>
      <w:r w:rsidRPr="009F420B">
        <w:rPr>
          <w:rFonts w:cs="Times New Roman"/>
          <w:lang w:val="fr-CA"/>
        </w:rPr>
        <w:t>l</w:t>
      </w:r>
      <w:r>
        <w:rPr>
          <w:rFonts w:cs="Times New Roman"/>
          <w:lang w:val="fr-CA"/>
        </w:rPr>
        <w:t>’art. </w:t>
      </w:r>
      <w:r w:rsidRPr="009F420B">
        <w:rPr>
          <w:rFonts w:cs="Times New Roman"/>
          <w:lang w:val="fr-CA"/>
        </w:rPr>
        <w:t xml:space="preserve">3164 </w:t>
      </w:r>
      <w:r w:rsidRPr="009F420B">
        <w:rPr>
          <w:rFonts w:cs="Times New Roman"/>
          <w:i/>
          <w:lang w:val="fr-CA"/>
        </w:rPr>
        <w:t xml:space="preserve">C.c.Q. </w:t>
      </w:r>
      <w:r w:rsidRPr="009F420B">
        <w:rPr>
          <w:rFonts w:cs="Times New Roman"/>
          <w:lang w:val="fr-CA"/>
        </w:rPr>
        <w:t xml:space="preserve">peut signifier, cette disposition </w:t>
      </w:r>
      <w:r w:rsidRPr="009F420B">
        <w:rPr>
          <w:rFonts w:cs="Times New Roman"/>
          <w:i/>
          <w:lang w:val="fr-CA"/>
        </w:rPr>
        <w:t xml:space="preserve">ne </w:t>
      </w:r>
      <w:r w:rsidRPr="009F420B">
        <w:rPr>
          <w:rFonts w:cs="Times New Roman"/>
          <w:lang w:val="fr-CA"/>
        </w:rPr>
        <w:t>s</w:t>
      </w:r>
      <w:r>
        <w:rPr>
          <w:rFonts w:cs="Times New Roman"/>
          <w:lang w:val="fr-CA"/>
        </w:rPr>
        <w:t>’</w:t>
      </w:r>
      <w:r w:rsidRPr="009F420B">
        <w:rPr>
          <w:rFonts w:cs="Times New Roman"/>
          <w:lang w:val="fr-CA"/>
        </w:rPr>
        <w:t xml:space="preserve">applique </w:t>
      </w:r>
      <w:r w:rsidRPr="009F420B">
        <w:rPr>
          <w:rFonts w:cs="Times New Roman"/>
          <w:i/>
          <w:lang w:val="fr-CA"/>
        </w:rPr>
        <w:t>pas</w:t>
      </w:r>
      <w:r w:rsidRPr="009F420B">
        <w:rPr>
          <w:rFonts w:cs="Times New Roman"/>
          <w:lang w:val="fr-CA"/>
        </w:rPr>
        <w:t xml:space="preserve"> lorsque la reconnaissance de la </w:t>
      </w:r>
      <w:r w:rsidRPr="009F420B">
        <w:rPr>
          <w:rFonts w:cs="Times New Roman"/>
          <w:lang w:val="fr-CA"/>
        </w:rPr>
        <w:lastRenderedPageBreak/>
        <w:t xml:space="preserve">compétence repose </w:t>
      </w:r>
      <w:r w:rsidRPr="009F420B">
        <w:rPr>
          <w:rFonts w:cs="Times New Roman"/>
          <w:i/>
          <w:lang w:val="fr-CA"/>
        </w:rPr>
        <w:t>non pas</w:t>
      </w:r>
      <w:r w:rsidRPr="009F420B">
        <w:rPr>
          <w:rFonts w:cs="Times New Roman"/>
          <w:lang w:val="fr-CA"/>
        </w:rPr>
        <w:t xml:space="preserve"> sur une disposition du titre troisième, mais plutôt sur une disposition du titre quatrième, y compris les </w:t>
      </w:r>
      <w:r>
        <w:rPr>
          <w:rFonts w:cs="Times New Roman"/>
          <w:lang w:val="fr-CA"/>
        </w:rPr>
        <w:t>art. </w:t>
      </w:r>
      <w:r w:rsidRPr="009F420B">
        <w:rPr>
          <w:rFonts w:cs="Times New Roman"/>
          <w:lang w:val="fr-CA"/>
        </w:rPr>
        <w:t xml:space="preserve">3165 à 3168 </w:t>
      </w:r>
      <w:r w:rsidRPr="009F420B">
        <w:rPr>
          <w:rFonts w:cs="Times New Roman"/>
          <w:i/>
          <w:lang w:val="fr-CA"/>
        </w:rPr>
        <w:t>C.c.Q.</w:t>
      </w:r>
      <w:r w:rsidRPr="009F420B">
        <w:rPr>
          <w:rFonts w:cs="Times New Roman"/>
          <w:lang w:val="fr-CA"/>
        </w:rPr>
        <w:t xml:space="preserve"> Je constate à ce propos que, tout en faisant valoir qu</w:t>
      </w:r>
      <w:r>
        <w:rPr>
          <w:rFonts w:cs="Times New Roman"/>
          <w:lang w:val="fr-CA"/>
        </w:rPr>
        <w:t>’</w:t>
      </w:r>
      <w:r w:rsidRPr="009F420B">
        <w:rPr>
          <w:rFonts w:cs="Times New Roman"/>
          <w:lang w:val="fr-CA"/>
        </w:rPr>
        <w:t>il doit être satisfait au critère du « rattachement important » ainsi qu</w:t>
      </w:r>
      <w:r>
        <w:rPr>
          <w:rFonts w:cs="Times New Roman"/>
          <w:lang w:val="fr-CA"/>
        </w:rPr>
        <w:t>’</w:t>
      </w:r>
      <w:r w:rsidRPr="009F420B">
        <w:rPr>
          <w:rFonts w:cs="Times New Roman"/>
          <w:lang w:val="fr-CA"/>
        </w:rPr>
        <w:t>à l</w:t>
      </w:r>
      <w:r>
        <w:rPr>
          <w:rFonts w:cs="Times New Roman"/>
          <w:lang w:val="fr-CA"/>
        </w:rPr>
        <w:t>’</w:t>
      </w:r>
      <w:r w:rsidRPr="009F420B">
        <w:rPr>
          <w:rFonts w:cs="Times New Roman"/>
          <w:lang w:val="fr-CA"/>
        </w:rPr>
        <w:t>une des conditions énoncées aux paragraphes de l</w:t>
      </w:r>
      <w:r>
        <w:rPr>
          <w:rFonts w:cs="Times New Roman"/>
          <w:lang w:val="fr-CA"/>
        </w:rPr>
        <w:t>’art. </w:t>
      </w:r>
      <w:r w:rsidRPr="009F420B">
        <w:rPr>
          <w:rFonts w:cs="Times New Roman"/>
          <w:lang w:val="fr-CA"/>
        </w:rPr>
        <w:t>3168 </w:t>
      </w:r>
      <w:r w:rsidRPr="009F420B">
        <w:rPr>
          <w:rFonts w:cs="Times New Roman"/>
          <w:i/>
          <w:lang w:val="fr-CA"/>
        </w:rPr>
        <w:t>C.c.Q.</w:t>
      </w:r>
      <w:r w:rsidRPr="009F420B">
        <w:rPr>
          <w:rFonts w:cs="Times New Roman"/>
          <w:lang w:val="fr-CA"/>
        </w:rPr>
        <w:t>, le professeur Talpis reconnaît (</w:t>
      </w:r>
      <w:r>
        <w:rPr>
          <w:rFonts w:cs="Times New Roman"/>
          <w:lang w:val="fr-CA"/>
        </w:rPr>
        <w:t>p. </w:t>
      </w:r>
      <w:r w:rsidRPr="009F420B">
        <w:rPr>
          <w:rFonts w:cs="Times New Roman"/>
          <w:lang w:val="fr-CA"/>
        </w:rPr>
        <w:t>105</w:t>
      </w:r>
      <w:r>
        <w:rPr>
          <w:rFonts w:cs="Times New Roman"/>
          <w:lang w:val="fr-CA"/>
        </w:rPr>
        <w:noBreakHyphen/>
      </w:r>
      <w:r w:rsidRPr="009F420B">
        <w:rPr>
          <w:rFonts w:cs="Times New Roman"/>
          <w:lang w:val="fr-CA"/>
        </w:rPr>
        <w:t>106) que, à cet égard, son point de vue est incompatible avec le texte de l</w:t>
      </w:r>
      <w:r>
        <w:rPr>
          <w:rFonts w:cs="Times New Roman"/>
          <w:lang w:val="fr-CA"/>
        </w:rPr>
        <w:t>’art. </w:t>
      </w:r>
      <w:r w:rsidRPr="009F420B">
        <w:rPr>
          <w:rFonts w:cs="Times New Roman"/>
          <w:lang w:val="fr-CA"/>
        </w:rPr>
        <w:t xml:space="preserve">3164 </w:t>
      </w:r>
      <w:r w:rsidRPr="009F420B">
        <w:rPr>
          <w:rFonts w:cs="Times New Roman"/>
          <w:i/>
          <w:lang w:val="fr-CA"/>
        </w:rPr>
        <w:t>C.c.Q.</w:t>
      </w:r>
      <w:r>
        <w:rPr>
          <w:rFonts w:cs="Times New Roman"/>
          <w:i/>
          <w:lang w:val="fr-CA"/>
        </w:rPr>
        <w:t> :</w:t>
      </w:r>
      <w:r w:rsidRPr="009F420B">
        <w:rPr>
          <w:rFonts w:cs="Times New Roman"/>
          <w:lang w:val="fr-CA"/>
        </w:rPr>
        <w:t xml:space="preserve"> </w:t>
      </w:r>
    </w:p>
    <w:p w:rsidR="006476E7" w:rsidRDefault="00AF6697" w:rsidP="00AF6697">
      <w:pPr>
        <w:pStyle w:val="Citation-AltC"/>
        <w:spacing w:after="240"/>
        <w:ind w:hanging="1166"/>
        <w:contextualSpacing w:val="0"/>
        <w:rPr>
          <w:lang w:val="fr-CA"/>
        </w:rPr>
      </w:pPr>
      <w:r>
        <w:rPr>
          <w:b/>
          <w:lang w:val="fr-CA"/>
        </w:rPr>
        <w:tab/>
      </w:r>
      <w:r>
        <w:rPr>
          <w:b/>
          <w:lang w:val="fr-CA"/>
        </w:rPr>
        <w:tab/>
      </w:r>
      <w:r w:rsidR="00975E8E" w:rsidRPr="009F420B">
        <w:rPr>
          <w:lang w:val="fr-CA"/>
        </w:rPr>
        <w:sym w:font="Symbol" w:char="F05B"/>
      </w:r>
      <w:r w:rsidR="00975E8E" w:rsidRPr="00E0415E">
        <w:rPr>
          <w:smallCaps/>
          <w:lang w:val="fr-CA"/>
        </w:rPr>
        <w:t>traduction</w:t>
      </w:r>
      <w:r w:rsidR="00975E8E" w:rsidRPr="009F420B">
        <w:rPr>
          <w:lang w:val="fr-CA"/>
        </w:rPr>
        <w:sym w:font="Symbol" w:char="F05D"/>
      </w:r>
      <w:r w:rsidR="00975E8E">
        <w:rPr>
          <w:lang w:val="fr-CA"/>
        </w:rPr>
        <w:t xml:space="preserve"> </w:t>
      </w:r>
    </w:p>
    <w:p w:rsidR="00AF6697" w:rsidRPr="009F420B" w:rsidRDefault="00AF6697" w:rsidP="006476E7">
      <w:pPr>
        <w:pStyle w:val="Citation-AltC"/>
        <w:spacing w:after="240"/>
        <w:ind w:firstLine="274"/>
        <w:contextualSpacing w:val="0"/>
        <w:rPr>
          <w:lang w:val="fr-CA"/>
        </w:rPr>
      </w:pPr>
      <w:r w:rsidRPr="009F420B">
        <w:rPr>
          <w:b/>
          <w:lang w:val="fr-CA"/>
        </w:rPr>
        <w:t>Premièrement</w:t>
      </w:r>
      <w:r w:rsidRPr="009F420B">
        <w:rPr>
          <w:lang w:val="fr-CA"/>
        </w:rPr>
        <w:t>, il doit être satisfait aux conditions énoncées à l</w:t>
      </w:r>
      <w:r>
        <w:rPr>
          <w:lang w:val="fr-CA"/>
        </w:rPr>
        <w:t>’art. </w:t>
      </w:r>
      <w:r w:rsidRPr="009F420B">
        <w:rPr>
          <w:lang w:val="fr-CA"/>
        </w:rPr>
        <w:t>3168 C.c.Q. à l</w:t>
      </w:r>
      <w:r>
        <w:rPr>
          <w:lang w:val="fr-CA"/>
        </w:rPr>
        <w:t>’</w:t>
      </w:r>
      <w:r w:rsidRPr="009F420B">
        <w:rPr>
          <w:lang w:val="fr-CA"/>
        </w:rPr>
        <w:t>égard des actions personnelles à caractère patrimoni</w:t>
      </w:r>
      <w:r>
        <w:rPr>
          <w:lang w:val="fr-CA"/>
        </w:rPr>
        <w:t>al. </w:t>
      </w:r>
      <w:r w:rsidR="006968AB">
        <w:rPr>
          <w:lang w:val="fr-CA"/>
        </w:rPr>
        <w:t>. .</w:t>
      </w:r>
    </w:p>
    <w:p w:rsidR="00AF6697" w:rsidRPr="009F420B" w:rsidRDefault="00AF6697" w:rsidP="00AF6697">
      <w:pPr>
        <w:pStyle w:val="Citation-AltC"/>
        <w:spacing w:after="240"/>
        <w:ind w:hanging="1166"/>
        <w:contextualSpacing w:val="0"/>
        <w:rPr>
          <w:lang w:val="fr-CA"/>
        </w:rPr>
      </w:pPr>
      <w:r>
        <w:rPr>
          <w:b/>
          <w:lang w:val="fr-CA"/>
        </w:rPr>
        <w:tab/>
      </w:r>
      <w:r>
        <w:rPr>
          <w:b/>
          <w:lang w:val="fr-CA"/>
        </w:rPr>
        <w:tab/>
      </w:r>
      <w:r w:rsidRPr="009F420B">
        <w:rPr>
          <w:b/>
          <w:lang w:val="fr-CA"/>
        </w:rPr>
        <w:t>Deuxièmement</w:t>
      </w:r>
      <w:r w:rsidRPr="009F420B">
        <w:rPr>
          <w:lang w:val="fr-CA"/>
        </w:rPr>
        <w:t>, il est nécessaire de satisfaire à l</w:t>
      </w:r>
      <w:r>
        <w:rPr>
          <w:lang w:val="fr-CA"/>
        </w:rPr>
        <w:t>’</w:t>
      </w:r>
      <w:r w:rsidRPr="009F420B">
        <w:rPr>
          <w:lang w:val="fr-CA"/>
        </w:rPr>
        <w:t>exigence du « rattachement important » énoncée à l</w:t>
      </w:r>
      <w:r>
        <w:rPr>
          <w:lang w:val="fr-CA"/>
        </w:rPr>
        <w:t>’art. </w:t>
      </w:r>
      <w:r w:rsidRPr="009F420B">
        <w:rPr>
          <w:lang w:val="fr-CA"/>
        </w:rPr>
        <w:t>3164 C.c.Q., . . .</w:t>
      </w:r>
    </w:p>
    <w:p w:rsidR="00AF6697" w:rsidRPr="009F420B" w:rsidRDefault="00AF6697" w:rsidP="00AF6697">
      <w:pPr>
        <w:pStyle w:val="Citation-AltC"/>
        <w:spacing w:after="240"/>
        <w:ind w:hanging="1166"/>
        <w:contextualSpacing w:val="0"/>
        <w:rPr>
          <w:u w:val="single"/>
          <w:lang w:val="fr-CA"/>
        </w:rPr>
      </w:pPr>
      <w:r w:rsidRPr="00E0415E">
        <w:rPr>
          <w:lang w:val="fr-CA"/>
        </w:rPr>
        <w:tab/>
      </w:r>
      <w:r w:rsidRPr="00E0415E">
        <w:rPr>
          <w:lang w:val="fr-CA"/>
        </w:rPr>
        <w:tab/>
      </w:r>
      <w:r w:rsidRPr="009F420B">
        <w:rPr>
          <w:u w:val="single"/>
          <w:lang w:val="fr-CA"/>
        </w:rPr>
        <w:t>Comme je l</w:t>
      </w:r>
      <w:r>
        <w:rPr>
          <w:u w:val="single"/>
          <w:lang w:val="fr-CA"/>
        </w:rPr>
        <w:t>’</w:t>
      </w:r>
      <w:r w:rsidRPr="009F420B">
        <w:rPr>
          <w:u w:val="single"/>
          <w:lang w:val="fr-CA"/>
        </w:rPr>
        <w:t>ai déjà mentionné, cette exigence s</w:t>
      </w:r>
      <w:r>
        <w:rPr>
          <w:u w:val="single"/>
          <w:lang w:val="fr-CA"/>
        </w:rPr>
        <w:t>’</w:t>
      </w:r>
      <w:r w:rsidRPr="009F420B">
        <w:rPr>
          <w:u w:val="single"/>
          <w:lang w:val="fr-CA"/>
        </w:rPr>
        <w:t>applique au titre troisième, mais pourrait aussi s</w:t>
      </w:r>
      <w:r>
        <w:rPr>
          <w:u w:val="single"/>
          <w:lang w:val="fr-CA"/>
        </w:rPr>
        <w:t>’</w:t>
      </w:r>
      <w:r w:rsidRPr="009F420B">
        <w:rPr>
          <w:u w:val="single"/>
          <w:lang w:val="fr-CA"/>
        </w:rPr>
        <w:t>appliquer, selon moi, aux règles particulières qui figurent au titre quatrième</w:t>
      </w:r>
      <w:r w:rsidRPr="00636BB2">
        <w:rPr>
          <w:u w:val="single"/>
          <w:lang w:val="fr-CA"/>
        </w:rPr>
        <w:t>.</w:t>
      </w:r>
      <w:r w:rsidRPr="009F420B">
        <w:rPr>
          <w:lang w:val="fr-CA"/>
        </w:rPr>
        <w:t xml:space="preserve"> </w:t>
      </w:r>
    </w:p>
    <w:p w:rsidR="00AF6697" w:rsidRPr="009F420B" w:rsidRDefault="00736841" w:rsidP="00AF6697">
      <w:pPr>
        <w:pStyle w:val="Citation-AltC"/>
        <w:spacing w:after="240"/>
        <w:ind w:hanging="1166"/>
        <w:contextualSpacing w:val="0"/>
        <w:jc w:val="center"/>
        <w:rPr>
          <w:lang w:val="fr-CA"/>
        </w:rPr>
      </w:pPr>
      <w:r>
        <w:rPr>
          <w:lang w:val="fr-CA"/>
        </w:rPr>
        <w:tab/>
      </w:r>
      <w:r w:rsidR="00AF6697" w:rsidRPr="009F420B">
        <w:rPr>
          <w:lang w:val="fr-CA"/>
        </w:rPr>
        <w:t>. . .</w:t>
      </w:r>
    </w:p>
    <w:p w:rsidR="00AF6697" w:rsidRPr="009F420B" w:rsidRDefault="00AF6697" w:rsidP="00AF6697">
      <w:pPr>
        <w:pStyle w:val="Citation-AltC"/>
        <w:ind w:hanging="1166"/>
        <w:rPr>
          <w:lang w:val="fr-CA"/>
        </w:rPr>
      </w:pPr>
      <w:r>
        <w:rPr>
          <w:lang w:val="fr-CA"/>
        </w:rPr>
        <w:tab/>
      </w:r>
      <w:r>
        <w:rPr>
          <w:lang w:val="fr-CA"/>
        </w:rPr>
        <w:tab/>
      </w:r>
      <w:r w:rsidRPr="009F420B">
        <w:rPr>
          <w:lang w:val="fr-CA"/>
        </w:rPr>
        <w:t>Suivant l</w:t>
      </w:r>
      <w:r>
        <w:rPr>
          <w:lang w:val="fr-CA"/>
        </w:rPr>
        <w:t>’art. </w:t>
      </w:r>
      <w:r w:rsidRPr="009F420B">
        <w:rPr>
          <w:lang w:val="fr-CA"/>
        </w:rPr>
        <w:t>3164 C.c.Q., il doit exister un rattachement important entre le litige et l</w:t>
      </w:r>
      <w:r>
        <w:rPr>
          <w:lang w:val="fr-CA"/>
        </w:rPr>
        <w:t>’</w:t>
      </w:r>
      <w:r w:rsidRPr="009F420B">
        <w:rPr>
          <w:lang w:val="fr-CA"/>
        </w:rPr>
        <w:t xml:space="preserve">autorité qui en a été saisie. </w:t>
      </w:r>
      <w:r w:rsidRPr="009F420B">
        <w:rPr>
          <w:u w:val="single"/>
          <w:lang w:val="fr-CA"/>
        </w:rPr>
        <w:t>Cette condition préalable à la reconnaissance de la compétence du tribunal étranger ne peut être appliquée, suivant le texte de cette disposition, que dans les cas pour lesquels aucune règle spécifique n</w:t>
      </w:r>
      <w:r>
        <w:rPr>
          <w:u w:val="single"/>
          <w:lang w:val="fr-CA"/>
        </w:rPr>
        <w:t>’</w:t>
      </w:r>
      <w:r w:rsidRPr="009F420B">
        <w:rPr>
          <w:u w:val="single"/>
          <w:lang w:val="fr-CA"/>
        </w:rPr>
        <w:t>est prévue</w:t>
      </w:r>
      <w:r w:rsidRPr="009F420B">
        <w:rPr>
          <w:lang w:val="fr-CA"/>
        </w:rPr>
        <w:t>, bien qu</w:t>
      </w:r>
      <w:r>
        <w:rPr>
          <w:lang w:val="fr-CA"/>
        </w:rPr>
        <w:t>’</w:t>
      </w:r>
      <w:r w:rsidRPr="009F420B">
        <w:rPr>
          <w:lang w:val="fr-CA"/>
        </w:rPr>
        <w:t>elle ait récemment été invoquée pour remettre en question la compétence d</w:t>
      </w:r>
      <w:r>
        <w:rPr>
          <w:lang w:val="fr-CA"/>
        </w:rPr>
        <w:t>’</w:t>
      </w:r>
      <w:r w:rsidRPr="009F420B">
        <w:rPr>
          <w:lang w:val="fr-CA"/>
        </w:rPr>
        <w:t>une autorité étrangère dans des actions personnelles à caractère patrimonial (</w:t>
      </w:r>
      <w:r>
        <w:rPr>
          <w:lang w:val="fr-CA"/>
        </w:rPr>
        <w:t>art. </w:t>
      </w:r>
      <w:r w:rsidRPr="009F420B">
        <w:rPr>
          <w:lang w:val="fr-CA"/>
        </w:rPr>
        <w:t>3168 C.c.Q.)</w:t>
      </w:r>
      <w:r w:rsidR="006476E7">
        <w:rPr>
          <w:lang w:val="fr-CA"/>
        </w:rPr>
        <w:t>.</w:t>
      </w:r>
      <w:r w:rsidRPr="009F420B">
        <w:rPr>
          <w:lang w:val="fr-CA"/>
        </w:rPr>
        <w:t xml:space="preserve"> [Citant le jugement </w:t>
      </w:r>
      <w:r w:rsidRPr="009F420B">
        <w:rPr>
          <w:i/>
          <w:lang w:val="fr-CA"/>
        </w:rPr>
        <w:t>Cortas Canning</w:t>
      </w:r>
      <w:r w:rsidRPr="009F420B">
        <w:rPr>
          <w:lang w:val="fr-CA"/>
        </w:rPr>
        <w:t>; je souligne; note en bas de page omise.]</w:t>
      </w:r>
    </w:p>
    <w:p w:rsidR="00AF6697" w:rsidRPr="009F420B" w:rsidRDefault="00AF6697" w:rsidP="00AF6697">
      <w:pPr>
        <w:pStyle w:val="ParaNoNdepar-AltN"/>
        <w:rPr>
          <w:rFonts w:cs="Times New Roman"/>
          <w:lang w:val="fr-CA"/>
        </w:rPr>
      </w:pPr>
      <w:r w:rsidRPr="009F420B">
        <w:rPr>
          <w:rFonts w:cs="Times New Roman"/>
          <w:lang w:val="fr-CA"/>
        </w:rPr>
        <w:t>Les motifs que la</w:t>
      </w:r>
      <w:r>
        <w:rPr>
          <w:rFonts w:cs="Times New Roman"/>
          <w:lang w:val="fr-CA"/>
        </w:rPr>
        <w:t xml:space="preserve"> juge </w:t>
      </w:r>
      <w:r w:rsidRPr="009F420B">
        <w:rPr>
          <w:rFonts w:cs="Times New Roman"/>
          <w:lang w:val="fr-CA"/>
        </w:rPr>
        <w:t>Bich de la Cour d</w:t>
      </w:r>
      <w:r>
        <w:rPr>
          <w:rFonts w:cs="Times New Roman"/>
          <w:lang w:val="fr-CA"/>
        </w:rPr>
        <w:t>’</w:t>
      </w:r>
      <w:r w:rsidRPr="009F420B">
        <w:rPr>
          <w:rFonts w:cs="Times New Roman"/>
          <w:lang w:val="fr-CA"/>
        </w:rPr>
        <w:t>appel a rédigés dans l</w:t>
      </w:r>
      <w:r>
        <w:rPr>
          <w:rFonts w:cs="Times New Roman"/>
          <w:lang w:val="fr-CA"/>
        </w:rPr>
        <w:t>’</w:t>
      </w:r>
      <w:r w:rsidRPr="009F420B">
        <w:rPr>
          <w:rFonts w:cs="Times New Roman"/>
          <w:lang w:val="fr-CA"/>
        </w:rPr>
        <w:t xml:space="preserve">arrêt </w:t>
      </w:r>
      <w:r w:rsidRPr="009F420B">
        <w:rPr>
          <w:rFonts w:cs="Times New Roman"/>
          <w:i/>
          <w:lang w:val="fr-CA"/>
        </w:rPr>
        <w:t>Hocking</w:t>
      </w:r>
      <w:r w:rsidRPr="009F420B">
        <w:rPr>
          <w:rFonts w:cs="Times New Roman"/>
          <w:lang w:val="fr-CA"/>
        </w:rPr>
        <w:t>,</w:t>
      </w:r>
      <w:r w:rsidRPr="009F420B">
        <w:rPr>
          <w:rFonts w:cs="Times New Roman"/>
          <w:i/>
          <w:lang w:val="fr-CA"/>
        </w:rPr>
        <w:t xml:space="preserve"> </w:t>
      </w:r>
      <w:r w:rsidRPr="009F420B">
        <w:rPr>
          <w:rFonts w:cs="Times New Roman"/>
          <w:lang w:val="fr-CA"/>
        </w:rPr>
        <w:t xml:space="preserve">et auxquels la juge Côté renvoie au </w:t>
      </w:r>
      <w:r>
        <w:rPr>
          <w:rFonts w:cs="Times New Roman"/>
          <w:lang w:val="fr-CA"/>
        </w:rPr>
        <w:t>par. </w:t>
      </w:r>
      <w:r w:rsidRPr="009F420B">
        <w:rPr>
          <w:rFonts w:cs="Times New Roman"/>
          <w:lang w:val="fr-CA"/>
        </w:rPr>
        <w:t>244 de ses motifs, comportent également l</w:t>
      </w:r>
      <w:r>
        <w:rPr>
          <w:rFonts w:cs="Times New Roman"/>
          <w:lang w:val="fr-CA"/>
        </w:rPr>
        <w:t>’</w:t>
      </w:r>
      <w:r w:rsidRPr="009F420B">
        <w:rPr>
          <w:rFonts w:cs="Times New Roman"/>
          <w:lang w:val="fr-CA"/>
        </w:rPr>
        <w:t>admission qu</w:t>
      </w:r>
      <w:r>
        <w:rPr>
          <w:rFonts w:cs="Times New Roman"/>
          <w:lang w:val="fr-CA"/>
        </w:rPr>
        <w:t>’</w:t>
      </w:r>
      <w:r w:rsidRPr="009F420B">
        <w:rPr>
          <w:rFonts w:cs="Times New Roman"/>
          <w:lang w:val="fr-CA"/>
        </w:rPr>
        <w:t xml:space="preserve">une telle interprétation de la relation entre les </w:t>
      </w:r>
      <w:r>
        <w:rPr>
          <w:rFonts w:cs="Times New Roman"/>
          <w:lang w:val="fr-CA"/>
        </w:rPr>
        <w:t>art. </w:t>
      </w:r>
      <w:r w:rsidRPr="009F420B">
        <w:rPr>
          <w:rFonts w:cs="Times New Roman"/>
          <w:lang w:val="fr-CA"/>
        </w:rPr>
        <w:t xml:space="preserve">3164 et 3168 </w:t>
      </w:r>
      <w:r w:rsidRPr="009F420B">
        <w:rPr>
          <w:rFonts w:cs="Times New Roman"/>
          <w:i/>
          <w:lang w:val="fr-CA"/>
        </w:rPr>
        <w:t>C.c.Q.</w:t>
      </w:r>
      <w:r w:rsidRPr="009F420B">
        <w:rPr>
          <w:rFonts w:cs="Times New Roman"/>
          <w:lang w:val="fr-CA"/>
        </w:rPr>
        <w:t xml:space="preserve"> a essentiellement pour effet de récrire 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xml:space="preserve"> (</w:t>
      </w:r>
      <w:r>
        <w:rPr>
          <w:rFonts w:cs="Times New Roman"/>
          <w:lang w:val="fr-CA"/>
        </w:rPr>
        <w:t>par. </w:t>
      </w:r>
      <w:r w:rsidRPr="009F420B">
        <w:rPr>
          <w:rFonts w:cs="Times New Roman"/>
          <w:lang w:val="fr-CA"/>
        </w:rPr>
        <w:t>183)</w:t>
      </w:r>
      <w:r>
        <w:rPr>
          <w:rFonts w:cs="Times New Roman"/>
          <w:lang w:val="fr-CA"/>
        </w:rPr>
        <w:t> :</w:t>
      </w:r>
    </w:p>
    <w:p w:rsidR="00AF6697" w:rsidRPr="009F420B" w:rsidRDefault="00AF6697" w:rsidP="00AF6697">
      <w:pPr>
        <w:pStyle w:val="Citation-AltC"/>
        <w:spacing w:after="240"/>
        <w:ind w:left="1168" w:hanging="1168"/>
        <w:contextualSpacing w:val="0"/>
        <w:rPr>
          <w:lang w:val="fr-CA"/>
        </w:rPr>
      </w:pPr>
      <w:r>
        <w:rPr>
          <w:lang w:val="fr-CA"/>
        </w:rPr>
        <w:lastRenderedPageBreak/>
        <w:tab/>
      </w:r>
      <w:r>
        <w:rPr>
          <w:lang w:val="fr-CA"/>
        </w:rPr>
        <w:tab/>
      </w:r>
      <w:r w:rsidRPr="009F420B">
        <w:rPr>
          <w:lang w:val="fr-CA"/>
        </w:rPr>
        <w:t>Autrement dit, l</w:t>
      </w:r>
      <w:r>
        <w:rPr>
          <w:lang w:val="fr-CA"/>
        </w:rPr>
        <w:t>’</w:t>
      </w:r>
      <w:r w:rsidRPr="009F420B">
        <w:rPr>
          <w:lang w:val="fr-CA"/>
        </w:rPr>
        <w:t>exigence du rattachement important que formule l</w:t>
      </w:r>
      <w:r>
        <w:rPr>
          <w:lang w:val="fr-CA"/>
        </w:rPr>
        <w:t>’</w:t>
      </w:r>
      <w:r w:rsidRPr="009F420B">
        <w:rPr>
          <w:lang w:val="fr-CA"/>
        </w:rPr>
        <w:t>article 3164 C.c.Q. s</w:t>
      </w:r>
      <w:r>
        <w:rPr>
          <w:lang w:val="fr-CA"/>
        </w:rPr>
        <w:t>’</w:t>
      </w:r>
      <w:r w:rsidRPr="009F420B">
        <w:rPr>
          <w:lang w:val="fr-CA"/>
        </w:rPr>
        <w:t xml:space="preserve">applique tant aux règles de compétence du titre troisième </w:t>
      </w:r>
      <w:r w:rsidRPr="009F420B">
        <w:rPr>
          <w:i/>
          <w:lang w:val="fr-CA"/>
        </w:rPr>
        <w:t>qu</w:t>
      </w:r>
      <w:r>
        <w:rPr>
          <w:i/>
          <w:lang w:val="fr-CA"/>
        </w:rPr>
        <w:t>’</w:t>
      </w:r>
      <w:r w:rsidRPr="009F420B">
        <w:rPr>
          <w:i/>
          <w:lang w:val="fr-CA"/>
        </w:rPr>
        <w:t xml:space="preserve">à celles qui, le cas échéant, les remplacent, les précisent ou les restreignent </w:t>
      </w:r>
      <w:r w:rsidRPr="009F420B">
        <w:rPr>
          <w:u w:val="single"/>
          <w:lang w:val="fr-CA"/>
        </w:rPr>
        <w:t>comme si la disposition énonçait que</w:t>
      </w:r>
      <w:r>
        <w:rPr>
          <w:lang w:val="fr-CA"/>
        </w:rPr>
        <w:t> :</w:t>
      </w:r>
    </w:p>
    <w:p w:rsidR="00AF6697" w:rsidRPr="009F420B" w:rsidRDefault="00AF6697" w:rsidP="00AF6697">
      <w:pPr>
        <w:pStyle w:val="Citation-AltC"/>
        <w:ind w:left="1440" w:hanging="1440"/>
        <w:rPr>
          <w:lang w:val="fr-CA"/>
        </w:rPr>
      </w:pPr>
      <w:r>
        <w:rPr>
          <w:lang w:val="fr-CA"/>
        </w:rPr>
        <w:tab/>
      </w:r>
      <w:r w:rsidRPr="00B730EB">
        <w:rPr>
          <w:b/>
          <w:lang w:val="fr-CA"/>
        </w:rPr>
        <w:t>3164.</w:t>
      </w:r>
      <w:r>
        <w:rPr>
          <w:lang w:val="fr-CA"/>
        </w:rPr>
        <w:t> </w:t>
      </w:r>
      <w:r w:rsidRPr="009F420B">
        <w:rPr>
          <w:lang w:val="fr-CA"/>
        </w:rPr>
        <w:t xml:space="preserve">La compétence des autorités étrangères est établie suivant les règles de compétence applicables aux autorités québécoises en vertu du titre troisième du présent livre </w:t>
      </w:r>
      <w:r w:rsidRPr="009F420B">
        <w:rPr>
          <w:i/>
          <w:u w:val="single"/>
          <w:lang w:val="fr-CA"/>
        </w:rPr>
        <w:t>ou selon les règles qui suivent</w:t>
      </w:r>
      <w:r w:rsidRPr="009F420B">
        <w:rPr>
          <w:lang w:val="fr-CA"/>
        </w:rPr>
        <w:t xml:space="preserve"> dans la mesure où le litige se rattache d</w:t>
      </w:r>
      <w:r>
        <w:rPr>
          <w:lang w:val="fr-CA"/>
        </w:rPr>
        <w:t>’</w:t>
      </w:r>
      <w:r w:rsidRPr="009F420B">
        <w:rPr>
          <w:lang w:val="fr-CA"/>
        </w:rPr>
        <w:t>une façon importante à l</w:t>
      </w:r>
      <w:r>
        <w:rPr>
          <w:lang w:val="fr-CA"/>
        </w:rPr>
        <w:t>’</w:t>
      </w:r>
      <w:r w:rsidRPr="009F420B">
        <w:rPr>
          <w:lang w:val="fr-CA"/>
        </w:rPr>
        <w:t>État dont l</w:t>
      </w:r>
      <w:r>
        <w:rPr>
          <w:lang w:val="fr-CA"/>
        </w:rPr>
        <w:t>’</w:t>
      </w:r>
      <w:r w:rsidRPr="009F420B">
        <w:rPr>
          <w:lang w:val="fr-CA"/>
        </w:rPr>
        <w:t>autorité a été saisie. [Je souligne.]</w:t>
      </w:r>
    </w:p>
    <w:p w:rsidR="00AF6697" w:rsidRPr="009F420B" w:rsidRDefault="00AF6697" w:rsidP="00AF6697">
      <w:pPr>
        <w:pStyle w:val="ParaNoNdepar-AltN"/>
        <w:numPr>
          <w:ilvl w:val="0"/>
          <w:numId w:val="0"/>
        </w:numPr>
        <w:tabs>
          <w:tab w:val="left" w:pos="708"/>
        </w:tabs>
        <w:rPr>
          <w:rFonts w:cs="Times New Roman"/>
          <w:lang w:val="fr-CA"/>
        </w:rPr>
      </w:pPr>
      <w:r w:rsidRPr="009F420B">
        <w:rPr>
          <w:rFonts w:cs="Times New Roman"/>
          <w:lang w:val="fr-CA"/>
        </w:rPr>
        <w:t>Or, ce n</w:t>
      </w:r>
      <w:r>
        <w:rPr>
          <w:rFonts w:cs="Times New Roman"/>
          <w:lang w:val="fr-CA"/>
        </w:rPr>
        <w:t>’</w:t>
      </w:r>
      <w:r w:rsidRPr="009F420B">
        <w:rPr>
          <w:rFonts w:cs="Times New Roman"/>
          <w:lang w:val="fr-CA"/>
        </w:rPr>
        <w:t>est pas ainsi que le législateur québécois a choisi de formuler 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xml:space="preserve"> En fait, en adoptant cette disposition, le législateur québécois a exprimé clairement son intention que les dispositions expresses de l</w:t>
      </w:r>
      <w:r>
        <w:rPr>
          <w:rFonts w:cs="Times New Roman"/>
          <w:lang w:val="fr-CA"/>
        </w:rPr>
        <w:t>’art. </w:t>
      </w:r>
      <w:r w:rsidRPr="009F420B">
        <w:rPr>
          <w:rFonts w:cs="Times New Roman"/>
          <w:lang w:val="fr-CA"/>
        </w:rPr>
        <w:t xml:space="preserve">3168 </w:t>
      </w:r>
      <w:r w:rsidRPr="009F420B">
        <w:rPr>
          <w:rFonts w:cs="Times New Roman"/>
          <w:i/>
          <w:lang w:val="fr-CA"/>
        </w:rPr>
        <w:t>C.c.Q.</w:t>
      </w:r>
      <w:r w:rsidRPr="009F420B">
        <w:rPr>
          <w:rFonts w:cs="Times New Roman"/>
          <w:lang w:val="fr-CA"/>
        </w:rPr>
        <w:t xml:space="preserve"> ne comportent pas le critère additionnel de « rattachement important » imposé par certaines décisions judiciaires ultérieures, auxquelles renvoie la juge Côté. Comme l</w:t>
      </w:r>
      <w:r>
        <w:rPr>
          <w:rFonts w:cs="Times New Roman"/>
          <w:lang w:val="fr-CA"/>
        </w:rPr>
        <w:t>’</w:t>
      </w:r>
      <w:r w:rsidRPr="009F420B">
        <w:rPr>
          <w:rFonts w:cs="Times New Roman"/>
          <w:lang w:val="fr-CA"/>
        </w:rPr>
        <w:t>a expliqué le professeur Goldstein (</w:t>
      </w:r>
      <w:r>
        <w:rPr>
          <w:rFonts w:cs="Times New Roman"/>
          <w:lang w:val="fr-CA"/>
        </w:rPr>
        <w:t>p. </w:t>
      </w:r>
      <w:r w:rsidRPr="009F420B">
        <w:rPr>
          <w:rFonts w:cs="Times New Roman"/>
          <w:lang w:val="fr-CA"/>
        </w:rPr>
        <w:t>437)</w:t>
      </w:r>
      <w:r>
        <w:rPr>
          <w:rFonts w:cs="Times New Roman"/>
          <w:lang w:val="fr-CA"/>
        </w:rPr>
        <w:t> :</w:t>
      </w:r>
    </w:p>
    <w:p w:rsidR="00AF6697" w:rsidRPr="009F420B" w:rsidRDefault="00736841" w:rsidP="00AF6697">
      <w:pPr>
        <w:pStyle w:val="Citation-AltC"/>
        <w:ind w:left="1440" w:hanging="1440"/>
        <w:rPr>
          <w:lang w:val="fr-CA"/>
        </w:rPr>
      </w:pPr>
      <w:r>
        <w:rPr>
          <w:lang w:val="fr-CA"/>
        </w:rPr>
        <w:tab/>
      </w:r>
      <w:r w:rsidR="00AF6697" w:rsidRPr="009F420B">
        <w:rPr>
          <w:lang w:val="fr-CA"/>
        </w:rPr>
        <w:t>. . . lors de l</w:t>
      </w:r>
      <w:r w:rsidR="00AF6697">
        <w:rPr>
          <w:lang w:val="fr-CA"/>
        </w:rPr>
        <w:t>’</w:t>
      </w:r>
      <w:r w:rsidR="00AF6697" w:rsidRPr="009F420B">
        <w:rPr>
          <w:lang w:val="fr-CA"/>
        </w:rPr>
        <w:t>adoption de l</w:t>
      </w:r>
      <w:r w:rsidR="00AF6697">
        <w:rPr>
          <w:lang w:val="fr-CA"/>
        </w:rPr>
        <w:t>’</w:t>
      </w:r>
      <w:r w:rsidR="00AF6697" w:rsidRPr="009F420B">
        <w:rPr>
          <w:lang w:val="fr-CA"/>
        </w:rPr>
        <w:t>article 3168 C.c.Q., il n</w:t>
      </w:r>
      <w:r w:rsidR="00AF6697">
        <w:rPr>
          <w:lang w:val="fr-CA"/>
        </w:rPr>
        <w:t>’</w:t>
      </w:r>
      <w:r w:rsidR="00AF6697" w:rsidRPr="009F420B">
        <w:rPr>
          <w:lang w:val="fr-CA"/>
        </w:rPr>
        <w:t>était pas apparu que l</w:t>
      </w:r>
      <w:r w:rsidR="00AF6697">
        <w:rPr>
          <w:lang w:val="fr-CA"/>
        </w:rPr>
        <w:t>’</w:t>
      </w:r>
      <w:r w:rsidR="00AF6697" w:rsidRPr="009F420B">
        <w:rPr>
          <w:lang w:val="fr-CA"/>
        </w:rPr>
        <w:t>exigence d</w:t>
      </w:r>
      <w:r w:rsidR="00AF6697">
        <w:rPr>
          <w:lang w:val="fr-CA"/>
        </w:rPr>
        <w:t>’</w:t>
      </w:r>
      <w:r w:rsidR="00AF6697" w:rsidRPr="009F420B">
        <w:rPr>
          <w:lang w:val="fr-CA"/>
        </w:rPr>
        <w:t>un rattachement étroit figurant à l</w:t>
      </w:r>
      <w:r w:rsidR="00AF6697">
        <w:rPr>
          <w:lang w:val="fr-CA"/>
        </w:rPr>
        <w:t>’</w:t>
      </w:r>
      <w:r w:rsidR="00AF6697" w:rsidRPr="009F420B">
        <w:rPr>
          <w:lang w:val="fr-CA"/>
        </w:rPr>
        <w:t>article 3164 C.c.Q. pouvait aussi s</w:t>
      </w:r>
      <w:r w:rsidR="00AF6697">
        <w:rPr>
          <w:lang w:val="fr-CA"/>
        </w:rPr>
        <w:t>’</w:t>
      </w:r>
      <w:r w:rsidR="00AF6697" w:rsidRPr="009F420B">
        <w:rPr>
          <w:lang w:val="fr-CA"/>
        </w:rPr>
        <w:t>appliquer aux règles de compétence indirecte expresses de manière à contrôler ponctuellement la compétence indirecte. C</w:t>
      </w:r>
      <w:r w:rsidR="00AF6697">
        <w:rPr>
          <w:lang w:val="fr-CA"/>
        </w:rPr>
        <w:t>’</w:t>
      </w:r>
      <w:r w:rsidR="00AF6697" w:rsidRPr="009F420B">
        <w:rPr>
          <w:lang w:val="fr-CA"/>
        </w:rPr>
        <w:t>est la jurisprudence qui a récemment interprété l</w:t>
      </w:r>
      <w:r w:rsidR="00AF6697">
        <w:rPr>
          <w:lang w:val="fr-CA"/>
        </w:rPr>
        <w:t>’</w:t>
      </w:r>
      <w:r w:rsidR="00AF6697" w:rsidRPr="009F420B">
        <w:rPr>
          <w:lang w:val="fr-CA"/>
        </w:rPr>
        <w:t>a</w:t>
      </w:r>
      <w:r>
        <w:rPr>
          <w:lang w:val="fr-CA"/>
        </w:rPr>
        <w:t>rticle 3164 C.c.Q. en ce sens</w:t>
      </w:r>
      <w:r w:rsidR="006476E7">
        <w:rPr>
          <w:lang w:val="fr-CA"/>
        </w:rPr>
        <w:t xml:space="preserve"> </w:t>
      </w:r>
      <w:r>
        <w:rPr>
          <w:lang w:val="fr-CA"/>
        </w:rPr>
        <w:t>. . . </w:t>
      </w:r>
      <w:r w:rsidR="00AF6697" w:rsidRPr="009F420B">
        <w:rPr>
          <w:lang w:val="fr-CA"/>
        </w:rPr>
        <w:t xml:space="preserve"> [</w:t>
      </w:r>
      <w:r w:rsidR="006476E7">
        <w:rPr>
          <w:lang w:val="fr-CA"/>
        </w:rPr>
        <w:t>Texte</w:t>
      </w:r>
      <w:r w:rsidR="00AF6697" w:rsidRPr="009F420B">
        <w:rPr>
          <w:lang w:val="fr-CA"/>
        </w:rPr>
        <w:t xml:space="preserve"> entre crochets omis.]</w:t>
      </w:r>
    </w:p>
    <w:p w:rsidR="00AF6697" w:rsidRPr="009F420B" w:rsidRDefault="00AF6697" w:rsidP="00AF6697">
      <w:pPr>
        <w:pStyle w:val="ParaNoNdepar-AltN"/>
        <w:rPr>
          <w:rFonts w:cs="Times New Roman"/>
          <w:lang w:val="fr-CA"/>
        </w:rPr>
      </w:pPr>
      <w:r w:rsidRPr="009F420B">
        <w:rPr>
          <w:rFonts w:cs="Times New Roman"/>
          <w:lang w:val="fr-CA"/>
        </w:rPr>
        <w:t>À mon avis, la meilleure approche — et celle qui est compatible avec l</w:t>
      </w:r>
      <w:r>
        <w:rPr>
          <w:rFonts w:cs="Times New Roman"/>
          <w:lang w:val="fr-CA"/>
        </w:rPr>
        <w:t>’</w:t>
      </w:r>
      <w:r w:rsidRPr="009F420B">
        <w:rPr>
          <w:rFonts w:cs="Times New Roman"/>
          <w:lang w:val="fr-CA"/>
        </w:rPr>
        <w:t>intention du législateur — consiste à conclure, comme l</w:t>
      </w:r>
      <w:r>
        <w:rPr>
          <w:rFonts w:cs="Times New Roman"/>
          <w:lang w:val="fr-CA"/>
        </w:rPr>
        <w:t>’</w:t>
      </w:r>
      <w:r w:rsidRPr="009F420B">
        <w:rPr>
          <w:rFonts w:cs="Times New Roman"/>
          <w:lang w:val="fr-CA"/>
        </w:rPr>
        <w:t>a fait la Cour dans l</w:t>
      </w:r>
      <w:r>
        <w:rPr>
          <w:rFonts w:cs="Times New Roman"/>
          <w:lang w:val="fr-CA"/>
        </w:rPr>
        <w:t>’</w:t>
      </w:r>
      <w:r w:rsidRPr="009F420B">
        <w:rPr>
          <w:rFonts w:cs="Times New Roman"/>
          <w:lang w:val="fr-CA"/>
        </w:rPr>
        <w:t xml:space="preserve">arrêt </w:t>
      </w:r>
      <w:r w:rsidRPr="009F420B">
        <w:rPr>
          <w:rFonts w:cs="Times New Roman"/>
          <w:i/>
          <w:lang w:val="fr-CA"/>
        </w:rPr>
        <w:t>Lépine</w:t>
      </w:r>
      <w:r w:rsidRPr="009F420B">
        <w:rPr>
          <w:rFonts w:cs="Times New Roman"/>
          <w:lang w:val="fr-CA"/>
        </w:rPr>
        <w:t>, que « [l]es articles 3165 à 3168 énoncent [. . .] de manière plus spécifique des facteurs de rattachement permettant de conclure à la présence d</w:t>
      </w:r>
      <w:r>
        <w:rPr>
          <w:rFonts w:cs="Times New Roman"/>
          <w:lang w:val="fr-CA"/>
        </w:rPr>
        <w:t>’</w:t>
      </w:r>
      <w:r w:rsidRPr="009F420B">
        <w:rPr>
          <w:rFonts w:cs="Times New Roman"/>
          <w:lang w:val="fr-CA"/>
        </w:rPr>
        <w:t>un lien suffisant entre le litige et l</w:t>
      </w:r>
      <w:r>
        <w:rPr>
          <w:rFonts w:cs="Times New Roman"/>
          <w:lang w:val="fr-CA"/>
        </w:rPr>
        <w:t>’</w:t>
      </w:r>
      <w:r w:rsidRPr="009F420B">
        <w:rPr>
          <w:rFonts w:cs="Times New Roman"/>
          <w:lang w:val="fr-CA"/>
        </w:rPr>
        <w:t>autorité étrangère dans certaines situations »</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36. Autrement dit, l</w:t>
      </w:r>
      <w:r>
        <w:rPr>
          <w:rFonts w:cs="Times New Roman"/>
          <w:lang w:val="fr-CA"/>
        </w:rPr>
        <w:t>’art. </w:t>
      </w:r>
      <w:r w:rsidRPr="009F420B">
        <w:rPr>
          <w:rFonts w:cs="Times New Roman"/>
          <w:lang w:val="fr-CA"/>
        </w:rPr>
        <w:t>3168 </w:t>
      </w:r>
      <w:r w:rsidRPr="009F420B">
        <w:rPr>
          <w:rFonts w:cs="Times New Roman"/>
          <w:i/>
          <w:lang w:val="fr-CA"/>
        </w:rPr>
        <w:t>C.c.Q.</w:t>
      </w:r>
      <w:r w:rsidRPr="009F420B">
        <w:rPr>
          <w:rFonts w:cs="Times New Roman"/>
          <w:lang w:val="fr-CA"/>
        </w:rPr>
        <w:t xml:space="preserve"> n</w:t>
      </w:r>
      <w:r>
        <w:rPr>
          <w:rFonts w:cs="Times New Roman"/>
          <w:lang w:val="fr-CA"/>
        </w:rPr>
        <w:t>’</w:t>
      </w:r>
      <w:r w:rsidRPr="009F420B">
        <w:rPr>
          <w:rFonts w:cs="Times New Roman"/>
          <w:lang w:val="fr-CA"/>
        </w:rPr>
        <w:t xml:space="preserve">est pas assujetti à une exigence </w:t>
      </w:r>
      <w:r w:rsidRPr="009F420B">
        <w:rPr>
          <w:rFonts w:cs="Times New Roman"/>
          <w:i/>
          <w:lang w:val="fr-CA"/>
        </w:rPr>
        <w:t>supplémentaire</w:t>
      </w:r>
      <w:r w:rsidRPr="009F420B">
        <w:rPr>
          <w:rFonts w:cs="Times New Roman"/>
          <w:lang w:val="fr-CA"/>
        </w:rPr>
        <w:t xml:space="preserve"> liée à l</w:t>
      </w:r>
      <w:r>
        <w:rPr>
          <w:rFonts w:cs="Times New Roman"/>
          <w:lang w:val="fr-CA"/>
        </w:rPr>
        <w:t>’</w:t>
      </w:r>
      <w:r w:rsidRPr="009F420B">
        <w:rPr>
          <w:rFonts w:cs="Times New Roman"/>
          <w:lang w:val="fr-CA"/>
        </w:rPr>
        <w:t>existence d</w:t>
      </w:r>
      <w:r>
        <w:rPr>
          <w:rFonts w:cs="Times New Roman"/>
          <w:lang w:val="fr-CA"/>
        </w:rPr>
        <w:t>’</w:t>
      </w:r>
      <w:r w:rsidRPr="009F420B">
        <w:rPr>
          <w:rFonts w:cs="Times New Roman"/>
          <w:lang w:val="fr-CA"/>
        </w:rPr>
        <w:t>un « rattachement important », parce qu</w:t>
      </w:r>
      <w:r>
        <w:rPr>
          <w:rFonts w:cs="Times New Roman"/>
          <w:lang w:val="fr-CA"/>
        </w:rPr>
        <w:t>’</w:t>
      </w:r>
      <w:r w:rsidRPr="009F420B">
        <w:rPr>
          <w:rFonts w:cs="Times New Roman"/>
          <w:lang w:val="fr-CA"/>
        </w:rPr>
        <w:t xml:space="preserve">il englobe </w:t>
      </w:r>
      <w:r w:rsidRPr="009F420B">
        <w:rPr>
          <w:rFonts w:cs="Times New Roman"/>
          <w:i/>
          <w:lang w:val="fr-CA"/>
        </w:rPr>
        <w:t xml:space="preserve">à la fois </w:t>
      </w:r>
      <w:r w:rsidRPr="009F420B">
        <w:rPr>
          <w:rFonts w:cs="Times New Roman"/>
          <w:lang w:val="fr-CA"/>
        </w:rPr>
        <w:t xml:space="preserve">le « principe du miroir » </w:t>
      </w:r>
      <w:r w:rsidRPr="009F420B">
        <w:rPr>
          <w:rFonts w:cs="Times New Roman"/>
          <w:i/>
          <w:lang w:val="fr-CA"/>
        </w:rPr>
        <w:t>et</w:t>
      </w:r>
      <w:r w:rsidRPr="009F420B">
        <w:rPr>
          <w:rFonts w:cs="Times New Roman"/>
          <w:lang w:val="fr-CA"/>
        </w:rPr>
        <w:t xml:space="preserve"> l</w:t>
      </w:r>
      <w:r>
        <w:rPr>
          <w:rFonts w:cs="Times New Roman"/>
          <w:lang w:val="fr-CA"/>
        </w:rPr>
        <w:t>’</w:t>
      </w:r>
      <w:r w:rsidRPr="009F420B">
        <w:rPr>
          <w:rFonts w:cs="Times New Roman"/>
          <w:lang w:val="fr-CA"/>
        </w:rPr>
        <w:t>exigence du « rattachement important » énoncée à 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xml:space="preserve"> Plus </w:t>
      </w:r>
      <w:r w:rsidRPr="009F420B">
        <w:rPr>
          <w:rFonts w:cs="Times New Roman"/>
          <w:lang w:val="fr-CA"/>
        </w:rPr>
        <w:lastRenderedPageBreak/>
        <w:t>précisément, les dispositions de l</w:t>
      </w:r>
      <w:r>
        <w:rPr>
          <w:rFonts w:cs="Times New Roman"/>
          <w:lang w:val="fr-CA"/>
        </w:rPr>
        <w:t>’</w:t>
      </w:r>
      <w:r>
        <w:rPr>
          <w:rFonts w:cs="Times New Roman"/>
          <w:szCs w:val="24"/>
          <w:lang w:val="fr-CA"/>
        </w:rPr>
        <w:t>art. </w:t>
      </w:r>
      <w:r w:rsidRPr="009F420B">
        <w:rPr>
          <w:rFonts w:cs="Times New Roman"/>
          <w:szCs w:val="24"/>
          <w:lang w:val="fr-CA"/>
        </w:rPr>
        <w:t xml:space="preserve">3168 </w:t>
      </w:r>
      <w:r w:rsidRPr="009F420B">
        <w:rPr>
          <w:rFonts w:cs="Times New Roman"/>
          <w:i/>
          <w:szCs w:val="24"/>
          <w:lang w:val="fr-CA"/>
        </w:rPr>
        <w:t>C.c.Q.</w:t>
      </w:r>
      <w:r w:rsidRPr="009F420B">
        <w:rPr>
          <w:rFonts w:cs="Times New Roman"/>
          <w:szCs w:val="24"/>
          <w:lang w:val="fr-CA"/>
        </w:rPr>
        <w:t xml:space="preserve"> a) sont le reflet de celles de l</w:t>
      </w:r>
      <w:r>
        <w:rPr>
          <w:rFonts w:cs="Times New Roman"/>
          <w:szCs w:val="24"/>
          <w:lang w:val="fr-CA"/>
        </w:rPr>
        <w:t>’art. </w:t>
      </w:r>
      <w:r w:rsidRPr="009F420B">
        <w:rPr>
          <w:rFonts w:cs="Times New Roman"/>
          <w:szCs w:val="24"/>
          <w:lang w:val="fr-CA"/>
        </w:rPr>
        <w:t xml:space="preserve">3148 </w:t>
      </w:r>
      <w:r w:rsidRPr="009F420B">
        <w:rPr>
          <w:rFonts w:cs="Times New Roman"/>
          <w:i/>
          <w:szCs w:val="24"/>
          <w:lang w:val="fr-CA"/>
        </w:rPr>
        <w:t>C.c.Q.</w:t>
      </w:r>
      <w:r w:rsidRPr="009F420B">
        <w:rPr>
          <w:rFonts w:cs="Times New Roman"/>
          <w:szCs w:val="24"/>
          <w:lang w:val="fr-CA"/>
        </w:rPr>
        <w:t>, auquel renvoie l</w:t>
      </w:r>
      <w:r>
        <w:rPr>
          <w:rFonts w:cs="Times New Roman"/>
          <w:szCs w:val="24"/>
          <w:lang w:val="fr-CA"/>
        </w:rPr>
        <w:t>’art. </w:t>
      </w:r>
      <w:r w:rsidRPr="009F420B">
        <w:rPr>
          <w:rFonts w:cs="Times New Roman"/>
          <w:szCs w:val="24"/>
          <w:lang w:val="fr-CA"/>
        </w:rPr>
        <w:t xml:space="preserve">3164 </w:t>
      </w:r>
      <w:r w:rsidRPr="009F420B">
        <w:rPr>
          <w:rFonts w:cs="Times New Roman"/>
          <w:i/>
          <w:szCs w:val="24"/>
          <w:lang w:val="fr-CA"/>
        </w:rPr>
        <w:t>C.c.Q.</w:t>
      </w:r>
      <w:r w:rsidRPr="009F420B">
        <w:rPr>
          <w:rFonts w:cs="Times New Roman"/>
          <w:szCs w:val="24"/>
          <w:lang w:val="fr-CA"/>
        </w:rPr>
        <w:t xml:space="preserve"> en faisant référence au titre troisième, mais b) sont également plus restrictives que celles de l</w:t>
      </w:r>
      <w:r>
        <w:rPr>
          <w:rFonts w:cs="Times New Roman"/>
          <w:szCs w:val="24"/>
          <w:lang w:val="fr-CA"/>
        </w:rPr>
        <w:t>’art. </w:t>
      </w:r>
      <w:r w:rsidRPr="009F420B">
        <w:rPr>
          <w:rFonts w:cs="Times New Roman"/>
          <w:szCs w:val="24"/>
          <w:lang w:val="fr-CA"/>
        </w:rPr>
        <w:t xml:space="preserve">3148 </w:t>
      </w:r>
      <w:r w:rsidRPr="009F420B">
        <w:rPr>
          <w:rFonts w:cs="Times New Roman"/>
          <w:i/>
          <w:szCs w:val="24"/>
          <w:lang w:val="fr-CA"/>
        </w:rPr>
        <w:t>C.c.Q.</w:t>
      </w:r>
      <w:r w:rsidRPr="009F420B">
        <w:rPr>
          <w:rFonts w:cs="Times New Roman"/>
          <w:szCs w:val="24"/>
          <w:lang w:val="fr-CA"/>
        </w:rPr>
        <w:t xml:space="preserve">, </w:t>
      </w:r>
      <w:r w:rsidRPr="009F420B">
        <w:rPr>
          <w:rFonts w:cs="Times New Roman"/>
          <w:i/>
          <w:szCs w:val="24"/>
          <w:lang w:val="fr-CA"/>
        </w:rPr>
        <w:t>précisément pour assurer l</w:t>
      </w:r>
      <w:r>
        <w:rPr>
          <w:rFonts w:cs="Times New Roman"/>
          <w:i/>
          <w:szCs w:val="24"/>
          <w:lang w:val="fr-CA"/>
        </w:rPr>
        <w:t>’</w:t>
      </w:r>
      <w:r w:rsidRPr="009F420B">
        <w:rPr>
          <w:rFonts w:cs="Times New Roman"/>
          <w:i/>
          <w:szCs w:val="24"/>
          <w:lang w:val="fr-CA"/>
        </w:rPr>
        <w:t>existence d</w:t>
      </w:r>
      <w:r>
        <w:rPr>
          <w:rFonts w:cs="Times New Roman"/>
          <w:i/>
          <w:szCs w:val="24"/>
          <w:lang w:val="fr-CA"/>
        </w:rPr>
        <w:t>’</w:t>
      </w:r>
      <w:r w:rsidRPr="009F420B">
        <w:rPr>
          <w:rFonts w:cs="Times New Roman"/>
          <w:i/>
          <w:szCs w:val="24"/>
          <w:lang w:val="fr-CA"/>
        </w:rPr>
        <w:t xml:space="preserve">un </w:t>
      </w:r>
      <w:r w:rsidRPr="009F420B">
        <w:rPr>
          <w:rFonts w:cs="Times New Roman"/>
          <w:i/>
          <w:lang w:val="fr-CA"/>
        </w:rPr>
        <w:t>« rattachement important </w:t>
      </w:r>
      <w:r w:rsidRPr="00B730EB">
        <w:rPr>
          <w:rFonts w:cs="Times New Roman"/>
          <w:i/>
          <w:lang w:val="fr-CA"/>
        </w:rPr>
        <w:t>»</w:t>
      </w:r>
      <w:r w:rsidRPr="009F420B">
        <w:rPr>
          <w:rFonts w:cs="Times New Roman"/>
          <w:lang w:val="fr-CA"/>
        </w:rPr>
        <w:t xml:space="preserve"> entre le litige et l</w:t>
      </w:r>
      <w:r>
        <w:rPr>
          <w:rFonts w:cs="Times New Roman"/>
          <w:lang w:val="fr-CA"/>
        </w:rPr>
        <w:t>’</w:t>
      </w:r>
      <w:r w:rsidRPr="009F420B">
        <w:rPr>
          <w:rFonts w:cs="Times New Roman"/>
          <w:lang w:val="fr-CA"/>
        </w:rPr>
        <w:t>autorité étrangère</w:t>
      </w:r>
      <w:r>
        <w:rPr>
          <w:rFonts w:cs="Times New Roman"/>
          <w:lang w:val="fr-CA"/>
        </w:rPr>
        <w:t> :</w:t>
      </w:r>
    </w:p>
    <w:p w:rsidR="00AF6697" w:rsidRPr="009F420B" w:rsidRDefault="00AF6697" w:rsidP="006476E7">
      <w:pPr>
        <w:pStyle w:val="Citation-AltC"/>
        <w:tabs>
          <w:tab w:val="left" w:pos="1530"/>
        </w:tabs>
        <w:spacing w:after="240"/>
        <w:ind w:left="1168" w:hanging="1168"/>
        <w:contextualSpacing w:val="0"/>
        <w:rPr>
          <w:lang w:val="fr-CA"/>
        </w:rPr>
      </w:pPr>
      <w:r>
        <w:rPr>
          <w:lang w:val="fr-CA"/>
        </w:rPr>
        <w:tab/>
      </w:r>
      <w:r w:rsidR="006476E7">
        <w:rPr>
          <w:lang w:val="fr-CA"/>
        </w:rPr>
        <w:tab/>
      </w:r>
      <w:r w:rsidRPr="009F420B">
        <w:rPr>
          <w:lang w:val="fr-CA"/>
        </w:rPr>
        <w:sym w:font="Symbol" w:char="F05B"/>
      </w:r>
      <w:r w:rsidRPr="009F420B">
        <w:rPr>
          <w:smallCaps/>
          <w:lang w:val="fr-CA"/>
        </w:rPr>
        <w:t>traduction</w:t>
      </w:r>
      <w:r w:rsidRPr="009F420B">
        <w:rPr>
          <w:lang w:val="fr-CA"/>
        </w:rPr>
        <w:sym w:font="Symbol" w:char="F05D"/>
      </w:r>
      <w:r w:rsidRPr="009F420B">
        <w:rPr>
          <w:lang w:val="fr-CA"/>
        </w:rPr>
        <w:t xml:space="preserve"> En matière commerciale, le principe du miroir est toutefois affaibli par l</w:t>
      </w:r>
      <w:r>
        <w:rPr>
          <w:lang w:val="fr-CA"/>
        </w:rPr>
        <w:t>’</w:t>
      </w:r>
      <w:r w:rsidRPr="009F420B">
        <w:rPr>
          <w:lang w:val="fr-CA"/>
        </w:rPr>
        <w:t>existence de l</w:t>
      </w:r>
      <w:r>
        <w:rPr>
          <w:lang w:val="fr-CA"/>
        </w:rPr>
        <w:t>’</w:t>
      </w:r>
      <w:r w:rsidRPr="009F420B">
        <w:rPr>
          <w:lang w:val="fr-CA"/>
        </w:rPr>
        <w:t>article 3168, qui établit des chefs de compétence précis applicables aux autorités étrangères « dans les actions personnelles à caractère patrimonial ». De façon générale, l</w:t>
      </w:r>
      <w:r>
        <w:rPr>
          <w:lang w:val="fr-CA"/>
        </w:rPr>
        <w:t>’</w:t>
      </w:r>
      <w:r w:rsidRPr="009F420B">
        <w:rPr>
          <w:lang w:val="fr-CA"/>
        </w:rPr>
        <w:t>article 3168 est plus restrictif que son pendant, l</w:t>
      </w:r>
      <w:r>
        <w:rPr>
          <w:lang w:val="fr-CA"/>
        </w:rPr>
        <w:t>’</w:t>
      </w:r>
      <w:r w:rsidRPr="009F420B">
        <w:rPr>
          <w:lang w:val="fr-CA"/>
        </w:rPr>
        <w:t>article 3148, qui établit les chefs de compétence applicables aux autorités québécoises dans les mêmes types d</w:t>
      </w:r>
      <w:r>
        <w:rPr>
          <w:lang w:val="fr-CA"/>
        </w:rPr>
        <w:t>’</w:t>
      </w:r>
      <w:r w:rsidRPr="009F420B">
        <w:rPr>
          <w:lang w:val="fr-CA"/>
        </w:rPr>
        <w:t xml:space="preserve">affaires. </w:t>
      </w:r>
    </w:p>
    <w:p w:rsidR="00AF6697" w:rsidRPr="009F420B" w:rsidRDefault="006968AB" w:rsidP="00DE5D44">
      <w:pPr>
        <w:pStyle w:val="Citation-AltC"/>
        <w:ind w:left="0"/>
        <w:contextualSpacing w:val="0"/>
        <w:rPr>
          <w:lang w:val="fr-CA"/>
        </w:rPr>
      </w:pPr>
      <w:r>
        <w:rPr>
          <w:lang w:val="fr-CA"/>
        </w:rPr>
        <w:t>(</w:t>
      </w:r>
      <w:r w:rsidR="00AF6697" w:rsidRPr="009F420B">
        <w:rPr>
          <w:lang w:val="fr-CA"/>
        </w:rPr>
        <w:t xml:space="preserve">Glenn (1997), </w:t>
      </w:r>
      <w:r w:rsidR="00AF6697">
        <w:rPr>
          <w:lang w:val="fr-CA"/>
        </w:rPr>
        <w:t>p. </w:t>
      </w:r>
      <w:r w:rsidR="00AF6697" w:rsidRPr="009F420B">
        <w:rPr>
          <w:lang w:val="fr-CA"/>
        </w:rPr>
        <w:t>40</w:t>
      </w:r>
      <w:r w:rsidR="006476E7">
        <w:rPr>
          <w:lang w:val="fr-CA"/>
        </w:rPr>
        <w:t>9</w:t>
      </w:r>
      <w:r w:rsidR="00AF6697" w:rsidRPr="009F420B">
        <w:rPr>
          <w:lang w:val="fr-CA"/>
        </w:rPr>
        <w:t xml:space="preserve">) </w:t>
      </w:r>
    </w:p>
    <w:p w:rsidR="00AF6697" w:rsidRPr="009F420B" w:rsidRDefault="006968AB" w:rsidP="00AF6697">
      <w:pPr>
        <w:pStyle w:val="ContinueParaSuitedupar-AltP"/>
        <w:rPr>
          <w:lang w:val="fr-CA"/>
        </w:rPr>
      </w:pPr>
      <w:r>
        <w:rPr>
          <w:lang w:val="fr-CA"/>
        </w:rPr>
        <w:t xml:space="preserve">Voir également </w:t>
      </w:r>
      <w:r w:rsidR="00AF6697" w:rsidRPr="009F420B">
        <w:rPr>
          <w:lang w:val="fr-CA"/>
        </w:rPr>
        <w:t xml:space="preserve">Talpis, </w:t>
      </w:r>
      <w:r w:rsidR="00AF6697">
        <w:rPr>
          <w:lang w:val="fr-CA"/>
        </w:rPr>
        <w:t>p. </w:t>
      </w:r>
      <w:r w:rsidR="00AF6697" w:rsidRPr="009F420B">
        <w:rPr>
          <w:lang w:val="fr-CA"/>
        </w:rPr>
        <w:t>104</w:t>
      </w:r>
      <w:r w:rsidR="00AF6697">
        <w:rPr>
          <w:lang w:val="fr-CA"/>
        </w:rPr>
        <w:t> :</w:t>
      </w:r>
      <w:r w:rsidR="00AF6697" w:rsidRPr="009F420B">
        <w:rPr>
          <w:lang w:val="fr-CA"/>
        </w:rPr>
        <w:t xml:space="preserve"> </w:t>
      </w:r>
    </w:p>
    <w:p w:rsidR="00AF6697" w:rsidRPr="009F420B" w:rsidRDefault="00AF6697" w:rsidP="006476E7">
      <w:pPr>
        <w:pStyle w:val="Citation-AltC"/>
        <w:tabs>
          <w:tab w:val="left" w:pos="1530"/>
        </w:tabs>
        <w:ind w:hanging="1166"/>
        <w:contextualSpacing w:val="0"/>
        <w:rPr>
          <w:lang w:val="fr-CA"/>
        </w:rPr>
      </w:pPr>
      <w:r>
        <w:rPr>
          <w:lang w:val="fr-CA"/>
        </w:rPr>
        <w:tab/>
      </w:r>
      <w:r w:rsidR="006476E7">
        <w:rPr>
          <w:lang w:val="fr-CA"/>
        </w:rPr>
        <w:tab/>
      </w:r>
      <w:r w:rsidRPr="009F420B">
        <w:rPr>
          <w:lang w:val="fr-CA"/>
        </w:rPr>
        <w:sym w:font="Symbol" w:char="F05B"/>
      </w:r>
      <w:r w:rsidRPr="009F420B">
        <w:rPr>
          <w:smallCaps/>
          <w:lang w:val="fr-CA"/>
        </w:rPr>
        <w:t>traduction</w:t>
      </w:r>
      <w:r w:rsidRPr="009F420B">
        <w:rPr>
          <w:lang w:val="fr-CA"/>
        </w:rPr>
        <w:sym w:font="Symbol" w:char="F05D"/>
      </w:r>
      <w:r w:rsidRPr="009F420B">
        <w:rPr>
          <w:lang w:val="fr-CA"/>
        </w:rPr>
        <w:t xml:space="preserve"> Cependant, dans les autres affaires civiles et commerciales, les chefs de compétence des tribunaux étrangers sont beaucoup plus restreints que ceux qui s</w:t>
      </w:r>
      <w:r>
        <w:rPr>
          <w:lang w:val="fr-CA"/>
        </w:rPr>
        <w:t>’</w:t>
      </w:r>
      <w:r w:rsidRPr="009F420B">
        <w:rPr>
          <w:lang w:val="fr-CA"/>
        </w:rPr>
        <w:t>appliquent aux tribunaux du Québec. Cette entorse au principe du miroir a été jugée nécessaire afin de protéger les défendeurs contre l</w:t>
      </w:r>
      <w:r>
        <w:rPr>
          <w:lang w:val="fr-CA"/>
        </w:rPr>
        <w:t>’</w:t>
      </w:r>
      <w:r w:rsidRPr="009F420B">
        <w:rPr>
          <w:lang w:val="fr-CA"/>
        </w:rPr>
        <w:t xml:space="preserve">exercice irrégulier de la compétence du for étranger, et pour promouvoir les principes directeurs du droit civil et du droit international privé, soit assurer la certitude juridique et favoriser la prévisibilité du droit. </w:t>
      </w:r>
    </w:p>
    <w:p w:rsidR="00AF6697" w:rsidRPr="009F420B" w:rsidRDefault="00AF6697" w:rsidP="00AF6697">
      <w:pPr>
        <w:pStyle w:val="ParaNoNdepar-AltN"/>
        <w:rPr>
          <w:rFonts w:cs="Times New Roman"/>
          <w:lang w:val="fr-CA"/>
        </w:rPr>
      </w:pPr>
      <w:r w:rsidRPr="009F420B">
        <w:rPr>
          <w:rFonts w:cs="Times New Roman"/>
          <w:lang w:val="fr-CA"/>
        </w:rPr>
        <w:t>D</w:t>
      </w:r>
      <w:r>
        <w:rPr>
          <w:rFonts w:cs="Times New Roman"/>
          <w:lang w:val="fr-CA"/>
        </w:rPr>
        <w:t>’</w:t>
      </w:r>
      <w:r w:rsidRPr="009F420B">
        <w:rPr>
          <w:rFonts w:cs="Times New Roman"/>
          <w:lang w:val="fr-CA"/>
        </w:rPr>
        <w:t xml:space="preserve">ailleurs, suivant </w:t>
      </w:r>
      <w:r w:rsidR="00975E8E">
        <w:rPr>
          <w:rFonts w:cs="Times New Roman"/>
          <w:lang w:val="fr-CA"/>
        </w:rPr>
        <w:t>le par.</w:t>
      </w:r>
      <w:r>
        <w:rPr>
          <w:rFonts w:cs="Times New Roman"/>
          <w:lang w:val="fr-CA"/>
        </w:rPr>
        <w:t> </w:t>
      </w:r>
      <w:r w:rsidRPr="009F420B">
        <w:rPr>
          <w:rFonts w:cs="Times New Roman"/>
          <w:lang w:val="fr-CA"/>
        </w:rPr>
        <w:t>3168(1), pour que la compétence de l</w:t>
      </w:r>
      <w:r>
        <w:rPr>
          <w:rFonts w:cs="Times New Roman"/>
          <w:lang w:val="fr-CA"/>
        </w:rPr>
        <w:t>’</w:t>
      </w:r>
      <w:r w:rsidRPr="009F420B">
        <w:rPr>
          <w:rFonts w:cs="Times New Roman"/>
          <w:lang w:val="fr-CA"/>
        </w:rPr>
        <w:t xml:space="preserve">autorité étrangère soit reconnue, il est nécessaire que le défendeur soit </w:t>
      </w:r>
      <w:r w:rsidRPr="009F420B">
        <w:rPr>
          <w:rFonts w:cs="Times New Roman"/>
          <w:i/>
          <w:lang w:val="fr-CA"/>
        </w:rPr>
        <w:t xml:space="preserve">domicilié </w:t>
      </w:r>
      <w:r w:rsidRPr="009F420B">
        <w:rPr>
          <w:rFonts w:cs="Times New Roman"/>
          <w:lang w:val="fr-CA"/>
        </w:rPr>
        <w:t>dans l</w:t>
      </w:r>
      <w:r>
        <w:rPr>
          <w:rFonts w:cs="Times New Roman"/>
          <w:lang w:val="fr-CA"/>
        </w:rPr>
        <w:t>’</w:t>
      </w:r>
      <w:r w:rsidRPr="009F420B">
        <w:rPr>
          <w:rFonts w:cs="Times New Roman"/>
          <w:lang w:val="fr-CA"/>
        </w:rPr>
        <w:t xml:space="preserve">État étranger tandis que, dans le cas des autorités québécoises, il suffit que le défendeur ait sa </w:t>
      </w:r>
      <w:r w:rsidRPr="009F420B">
        <w:rPr>
          <w:rFonts w:cs="Times New Roman"/>
          <w:i/>
          <w:lang w:val="fr-CA"/>
        </w:rPr>
        <w:t>résidence</w:t>
      </w:r>
      <w:r w:rsidRPr="009F420B">
        <w:rPr>
          <w:rFonts w:cs="Times New Roman"/>
          <w:lang w:val="fr-CA"/>
        </w:rPr>
        <w:t xml:space="preserve"> au Québec</w:t>
      </w:r>
      <w:r>
        <w:rPr>
          <w:rFonts w:cs="Times New Roman"/>
          <w:lang w:val="fr-CA"/>
        </w:rPr>
        <w:t> :</w:t>
      </w:r>
      <w:r w:rsidRPr="009F420B">
        <w:rPr>
          <w:rFonts w:cs="Times New Roman"/>
          <w:lang w:val="fr-CA"/>
        </w:rPr>
        <w:t xml:space="preserve"> </w:t>
      </w:r>
      <w:r>
        <w:rPr>
          <w:rFonts w:cs="Times New Roman"/>
          <w:lang w:val="fr-CA"/>
        </w:rPr>
        <w:t>art. </w:t>
      </w:r>
      <w:r w:rsidRPr="009F420B">
        <w:rPr>
          <w:rFonts w:cs="Times New Roman"/>
          <w:lang w:val="fr-CA"/>
        </w:rPr>
        <w:t>3148 al.</w:t>
      </w:r>
      <w:r>
        <w:rPr>
          <w:rFonts w:cs="Times New Roman"/>
          <w:lang w:val="fr-CA"/>
        </w:rPr>
        <w:t> </w:t>
      </w:r>
      <w:r w:rsidRPr="009F420B">
        <w:rPr>
          <w:rFonts w:cs="Times New Roman"/>
          <w:lang w:val="fr-CA"/>
        </w:rPr>
        <w:t>1(1). Dans le même ordre d</w:t>
      </w:r>
      <w:r>
        <w:rPr>
          <w:rFonts w:cs="Times New Roman"/>
          <w:lang w:val="fr-CA"/>
        </w:rPr>
        <w:t>’</w:t>
      </w:r>
      <w:r w:rsidRPr="009F420B">
        <w:rPr>
          <w:rFonts w:cs="Times New Roman"/>
          <w:lang w:val="fr-CA"/>
        </w:rPr>
        <w:t xml:space="preserve">idées, tandis que </w:t>
      </w:r>
      <w:r w:rsidR="00975E8E">
        <w:rPr>
          <w:rFonts w:cs="Times New Roman"/>
          <w:lang w:val="fr-CA"/>
        </w:rPr>
        <w:t>le par.</w:t>
      </w:r>
      <w:r>
        <w:rPr>
          <w:rFonts w:cs="Times New Roman"/>
          <w:lang w:val="fr-CA"/>
        </w:rPr>
        <w:t> </w:t>
      </w:r>
      <w:r w:rsidRPr="009F420B">
        <w:rPr>
          <w:rFonts w:cs="Times New Roman"/>
          <w:lang w:val="fr-CA"/>
        </w:rPr>
        <w:t xml:space="preserve">3168(3) exige </w:t>
      </w:r>
      <w:r w:rsidRPr="009F420B">
        <w:rPr>
          <w:rFonts w:cs="Times New Roman"/>
          <w:i/>
          <w:lang w:val="fr-CA"/>
        </w:rPr>
        <w:t xml:space="preserve">à la fois </w:t>
      </w:r>
      <w:r w:rsidRPr="009F420B">
        <w:rPr>
          <w:rFonts w:cs="Times New Roman"/>
          <w:lang w:val="fr-CA"/>
        </w:rPr>
        <w:t>que le préjudice ait été subi dans l</w:t>
      </w:r>
      <w:r>
        <w:rPr>
          <w:rFonts w:cs="Times New Roman"/>
          <w:lang w:val="fr-CA"/>
        </w:rPr>
        <w:t>’</w:t>
      </w:r>
      <w:r w:rsidRPr="009F420B">
        <w:rPr>
          <w:rFonts w:cs="Times New Roman"/>
          <w:lang w:val="fr-CA"/>
        </w:rPr>
        <w:t xml:space="preserve">État étranger </w:t>
      </w:r>
      <w:r w:rsidRPr="009F420B">
        <w:rPr>
          <w:rFonts w:cs="Times New Roman"/>
          <w:i/>
          <w:lang w:val="fr-CA"/>
        </w:rPr>
        <w:t>et</w:t>
      </w:r>
      <w:r w:rsidRPr="009F420B">
        <w:rPr>
          <w:rFonts w:cs="Times New Roman"/>
          <w:lang w:val="fr-CA"/>
        </w:rPr>
        <w:t xml:space="preserve"> que la faute y ait été commise pour que la compétence des autorités étrangères soit reconnue, </w:t>
      </w:r>
      <w:r w:rsidRPr="009F420B">
        <w:rPr>
          <w:rFonts w:cs="Times New Roman"/>
          <w:lang w:val="fr-CA"/>
        </w:rPr>
        <w:lastRenderedPageBreak/>
        <w:t>la règle est beaucoup moins stricte en ce qui concerne les autorités québécoises, puisque seule l</w:t>
      </w:r>
      <w:r>
        <w:rPr>
          <w:rFonts w:cs="Times New Roman"/>
          <w:lang w:val="fr-CA"/>
        </w:rPr>
        <w:t>’</w:t>
      </w:r>
      <w:r w:rsidRPr="009F420B">
        <w:rPr>
          <w:rFonts w:cs="Times New Roman"/>
          <w:lang w:val="fr-CA"/>
        </w:rPr>
        <w:t>une ou l</w:t>
      </w:r>
      <w:r>
        <w:rPr>
          <w:rFonts w:cs="Times New Roman"/>
          <w:lang w:val="fr-CA"/>
        </w:rPr>
        <w:t>’</w:t>
      </w:r>
      <w:r w:rsidRPr="009F420B">
        <w:rPr>
          <w:rFonts w:cs="Times New Roman"/>
          <w:lang w:val="fr-CA"/>
        </w:rPr>
        <w:t>autre de ces deux conditions doit être établie, et non les deux</w:t>
      </w:r>
      <w:r>
        <w:rPr>
          <w:rFonts w:cs="Times New Roman"/>
          <w:lang w:val="fr-CA"/>
        </w:rPr>
        <w:t> :</w:t>
      </w:r>
      <w:r w:rsidRPr="009F420B">
        <w:rPr>
          <w:rFonts w:cs="Times New Roman"/>
          <w:lang w:val="fr-CA"/>
        </w:rPr>
        <w:t xml:space="preserve"> </w:t>
      </w:r>
      <w:r>
        <w:rPr>
          <w:rFonts w:cs="Times New Roman"/>
          <w:lang w:val="fr-CA"/>
        </w:rPr>
        <w:t>art. </w:t>
      </w:r>
      <w:r w:rsidRPr="009F420B">
        <w:rPr>
          <w:rFonts w:cs="Times New Roman"/>
          <w:lang w:val="fr-CA"/>
        </w:rPr>
        <w:t>3148 al.</w:t>
      </w:r>
      <w:r>
        <w:rPr>
          <w:rFonts w:cs="Times New Roman"/>
          <w:lang w:val="fr-CA"/>
        </w:rPr>
        <w:t> </w:t>
      </w:r>
      <w:r w:rsidRPr="009F420B">
        <w:rPr>
          <w:rFonts w:cs="Times New Roman"/>
          <w:lang w:val="fr-CA"/>
        </w:rPr>
        <w:t xml:space="preserve">1(3). Dans les litiges contractuels, la compétence des autorités étrangères repose, suivant </w:t>
      </w:r>
      <w:r w:rsidR="00F43F7E">
        <w:rPr>
          <w:rFonts w:cs="Times New Roman"/>
          <w:lang w:val="fr-CA"/>
        </w:rPr>
        <w:t>le par</w:t>
      </w:r>
      <w:r>
        <w:rPr>
          <w:rFonts w:cs="Times New Roman"/>
          <w:lang w:val="fr-CA"/>
        </w:rPr>
        <w:t>. </w:t>
      </w:r>
      <w:r w:rsidRPr="009F420B">
        <w:rPr>
          <w:rFonts w:cs="Times New Roman"/>
          <w:lang w:val="fr-CA"/>
        </w:rPr>
        <w:t>3168(4), sur le lieu d</w:t>
      </w:r>
      <w:r>
        <w:rPr>
          <w:rFonts w:cs="Times New Roman"/>
          <w:lang w:val="fr-CA"/>
        </w:rPr>
        <w:t>’</w:t>
      </w:r>
      <w:r w:rsidRPr="009F420B">
        <w:rPr>
          <w:rFonts w:cs="Times New Roman"/>
          <w:lang w:val="fr-CA"/>
        </w:rPr>
        <w:t>exécution des « </w:t>
      </w:r>
      <w:r w:rsidRPr="009F420B">
        <w:rPr>
          <w:rFonts w:cs="Times New Roman"/>
          <w:u w:val="single"/>
          <w:lang w:val="fr-CA"/>
        </w:rPr>
        <w:t>obligations</w:t>
      </w:r>
      <w:r w:rsidRPr="009F420B">
        <w:rPr>
          <w:rFonts w:cs="Times New Roman"/>
          <w:lang w:val="fr-CA"/>
        </w:rPr>
        <w:t xml:space="preserve"> découlant » du contrat, tandis que la compétence des tribunaux québécois est reconnue si « </w:t>
      </w:r>
      <w:r w:rsidRPr="009F420B">
        <w:rPr>
          <w:rFonts w:cs="Times New Roman"/>
          <w:u w:val="single"/>
          <w:lang w:val="fr-CA"/>
        </w:rPr>
        <w:t>une [seule]</w:t>
      </w:r>
      <w:r w:rsidRPr="009F420B">
        <w:rPr>
          <w:rFonts w:cs="Times New Roman"/>
          <w:lang w:val="fr-CA"/>
        </w:rPr>
        <w:t xml:space="preserve"> des obligations » découlant du contrat doit être exécutée dans la province</w:t>
      </w:r>
      <w:r>
        <w:rPr>
          <w:rFonts w:cs="Times New Roman"/>
          <w:lang w:val="fr-CA"/>
        </w:rPr>
        <w:t> :</w:t>
      </w:r>
      <w:r w:rsidRPr="009F420B">
        <w:rPr>
          <w:rFonts w:cs="Times New Roman"/>
          <w:lang w:val="fr-CA"/>
        </w:rPr>
        <w:t xml:space="preserve"> </w:t>
      </w:r>
      <w:r>
        <w:rPr>
          <w:rFonts w:cs="Times New Roman"/>
          <w:lang w:val="fr-CA"/>
        </w:rPr>
        <w:t>art. </w:t>
      </w:r>
      <w:r w:rsidRPr="009F420B">
        <w:rPr>
          <w:rFonts w:cs="Times New Roman"/>
          <w:lang w:val="fr-CA"/>
        </w:rPr>
        <w:t>3148 </w:t>
      </w:r>
      <w:r>
        <w:rPr>
          <w:rFonts w:cs="Times New Roman"/>
          <w:lang w:val="fr-CA"/>
        </w:rPr>
        <w:t>al. </w:t>
      </w:r>
      <w:r w:rsidRPr="009F420B">
        <w:rPr>
          <w:rFonts w:cs="Times New Roman"/>
          <w:lang w:val="fr-CA"/>
        </w:rPr>
        <w:t>1(3). L</w:t>
      </w:r>
      <w:r>
        <w:rPr>
          <w:rFonts w:cs="Times New Roman"/>
          <w:lang w:val="fr-CA"/>
        </w:rPr>
        <w:t>’</w:t>
      </w:r>
      <w:r w:rsidRPr="009F420B">
        <w:rPr>
          <w:rFonts w:cs="Times New Roman"/>
          <w:lang w:val="fr-CA"/>
        </w:rPr>
        <w:t xml:space="preserve">article 3168 a manifestement pour </w:t>
      </w:r>
      <w:r w:rsidR="00B730EB" w:rsidRPr="009F420B">
        <w:rPr>
          <w:rFonts w:cs="Times New Roman"/>
          <w:lang w:val="fr-CA"/>
        </w:rPr>
        <w:sym w:font="Symbol" w:char="F05B"/>
      </w:r>
      <w:r w:rsidR="00B730EB" w:rsidRPr="009F420B">
        <w:rPr>
          <w:rFonts w:cs="Times New Roman"/>
          <w:smallCaps/>
          <w:lang w:val="fr-CA"/>
        </w:rPr>
        <w:t>traduction</w:t>
      </w:r>
      <w:r w:rsidR="00B730EB" w:rsidRPr="009F420B">
        <w:rPr>
          <w:rFonts w:cs="Times New Roman"/>
          <w:lang w:val="fr-CA"/>
        </w:rPr>
        <w:sym w:font="Symbol" w:char="F05D"/>
      </w:r>
      <w:r w:rsidR="00B730EB" w:rsidRPr="009F420B">
        <w:rPr>
          <w:rFonts w:cs="Times New Roman"/>
          <w:lang w:val="fr-CA"/>
        </w:rPr>
        <w:t xml:space="preserve"> </w:t>
      </w:r>
      <w:r w:rsidRPr="009F420B">
        <w:rPr>
          <w:rFonts w:cs="Times New Roman"/>
          <w:lang w:val="fr-CA"/>
        </w:rPr>
        <w:t>« effet global » « de restreindre la portée des chefs de compétence reconnus à l</w:t>
      </w:r>
      <w:r>
        <w:rPr>
          <w:rFonts w:cs="Times New Roman"/>
          <w:lang w:val="fr-CA"/>
        </w:rPr>
        <w:t>’</w:t>
      </w:r>
      <w:r w:rsidRPr="009F420B">
        <w:rPr>
          <w:rFonts w:cs="Times New Roman"/>
          <w:lang w:val="fr-CA"/>
        </w:rPr>
        <w:t>égard des autorités québécoises lorsqu</w:t>
      </w:r>
      <w:r>
        <w:rPr>
          <w:rFonts w:cs="Times New Roman"/>
          <w:lang w:val="fr-CA"/>
        </w:rPr>
        <w:t>’</w:t>
      </w:r>
      <w:r w:rsidRPr="009F420B">
        <w:rPr>
          <w:rFonts w:cs="Times New Roman"/>
          <w:lang w:val="fr-CA"/>
        </w:rPr>
        <w:t>on applique le principe du miroir aux autorités étrangères »</w:t>
      </w:r>
      <w:r>
        <w:rPr>
          <w:rFonts w:cs="Times New Roman"/>
          <w:lang w:val="fr-CA"/>
        </w:rPr>
        <w:t> :</w:t>
      </w:r>
      <w:r w:rsidRPr="009F420B">
        <w:rPr>
          <w:rFonts w:cs="Times New Roman"/>
          <w:lang w:val="fr-CA"/>
        </w:rPr>
        <w:t xml:space="preserve"> Saumier, </w:t>
      </w:r>
      <w:r>
        <w:rPr>
          <w:rFonts w:cs="Times New Roman"/>
          <w:lang w:val="fr-CA"/>
        </w:rPr>
        <w:t>p. </w:t>
      </w:r>
      <w:r w:rsidRPr="009F420B">
        <w:rPr>
          <w:rFonts w:cs="Times New Roman"/>
          <w:lang w:val="fr-CA"/>
        </w:rPr>
        <w:t xml:space="preserve">688; voir aussi </w:t>
      </w:r>
      <w:r w:rsidRPr="009F420B">
        <w:rPr>
          <w:rFonts w:cs="Times New Roman"/>
          <w:i/>
          <w:lang w:val="fr-CA"/>
        </w:rPr>
        <w:t>Labs of Virginia Inc. c. Clintrials Bioresearch Ltd.</w:t>
      </w:r>
      <w:r w:rsidRPr="009F420B">
        <w:rPr>
          <w:rFonts w:cs="Times New Roman"/>
          <w:lang w:val="fr-CA"/>
        </w:rPr>
        <w:t xml:space="preserve">, [2003] R.J.Q. 1876 (C.S.), </w:t>
      </w:r>
      <w:r>
        <w:rPr>
          <w:rFonts w:cs="Times New Roman"/>
          <w:lang w:val="fr-CA"/>
        </w:rPr>
        <w:t>par. </w:t>
      </w:r>
      <w:r w:rsidRPr="009F420B">
        <w:rPr>
          <w:rFonts w:cs="Times New Roman"/>
          <w:lang w:val="fr-CA"/>
        </w:rPr>
        <w:t>20</w:t>
      </w:r>
      <w:r>
        <w:rPr>
          <w:rFonts w:cs="Times New Roman"/>
          <w:lang w:val="fr-CA"/>
        </w:rPr>
        <w:noBreakHyphen/>
      </w:r>
      <w:r w:rsidRPr="009F420B">
        <w:rPr>
          <w:rFonts w:cs="Times New Roman"/>
          <w:lang w:val="fr-CA"/>
        </w:rPr>
        <w:t>30. Comme le souligne à juste titre la professeure Saumier (</w:t>
      </w:r>
      <w:r>
        <w:rPr>
          <w:rFonts w:cs="Times New Roman"/>
          <w:lang w:val="fr-CA"/>
        </w:rPr>
        <w:t>p. </w:t>
      </w:r>
      <w:r w:rsidRPr="009F420B">
        <w:rPr>
          <w:rFonts w:cs="Times New Roman"/>
          <w:lang w:val="fr-CA"/>
        </w:rPr>
        <w:t xml:space="preserve">689 </w:t>
      </w:r>
      <w:r w:rsidR="00EA0572">
        <w:rPr>
          <w:rFonts w:cs="Times New Roman"/>
          <w:lang w:val="fr-CA"/>
        </w:rPr>
        <w:t>(</w:t>
      </w:r>
      <w:r w:rsidRPr="009F420B">
        <w:rPr>
          <w:rFonts w:cs="Times New Roman"/>
          <w:lang w:val="fr-CA"/>
        </w:rPr>
        <w:t>note en bas de page 42</w:t>
      </w:r>
      <w:r w:rsidR="00EA0572">
        <w:rPr>
          <w:rFonts w:cs="Times New Roman"/>
          <w:lang w:val="fr-CA"/>
        </w:rPr>
        <w:t>)</w:t>
      </w:r>
      <w:r w:rsidRPr="009F420B">
        <w:rPr>
          <w:rFonts w:cs="Times New Roman"/>
          <w:lang w:val="fr-CA"/>
        </w:rPr>
        <w:t>), l</w:t>
      </w:r>
      <w:r>
        <w:rPr>
          <w:rFonts w:cs="Times New Roman"/>
          <w:lang w:val="fr-CA"/>
        </w:rPr>
        <w:t>’</w:t>
      </w:r>
      <w:r w:rsidRPr="009F420B">
        <w:rPr>
          <w:rFonts w:cs="Times New Roman"/>
          <w:lang w:val="fr-CA"/>
        </w:rPr>
        <w:t>ajout d</w:t>
      </w:r>
      <w:r>
        <w:rPr>
          <w:rFonts w:cs="Times New Roman"/>
          <w:lang w:val="fr-CA"/>
        </w:rPr>
        <w:t>’</w:t>
      </w:r>
      <w:r w:rsidRPr="009F420B">
        <w:rPr>
          <w:rFonts w:cs="Times New Roman"/>
          <w:lang w:val="fr-CA"/>
        </w:rPr>
        <w:t>une autre exigence, soit l</w:t>
      </w:r>
      <w:r>
        <w:rPr>
          <w:rFonts w:cs="Times New Roman"/>
          <w:lang w:val="fr-CA"/>
        </w:rPr>
        <w:t>’</w:t>
      </w:r>
      <w:r w:rsidRPr="009F420B">
        <w:rPr>
          <w:rFonts w:cs="Times New Roman"/>
          <w:lang w:val="fr-CA"/>
        </w:rPr>
        <w:t>existence d</w:t>
      </w:r>
      <w:r>
        <w:rPr>
          <w:rFonts w:cs="Times New Roman"/>
          <w:lang w:val="fr-CA"/>
        </w:rPr>
        <w:t>’</w:t>
      </w:r>
      <w:r w:rsidRPr="009F420B">
        <w:rPr>
          <w:rFonts w:cs="Times New Roman"/>
          <w:lang w:val="fr-CA"/>
        </w:rPr>
        <w:t xml:space="preserve">un rattachement important </w:t>
      </w:r>
      <w:r w:rsidRPr="009F420B">
        <w:rPr>
          <w:rFonts w:cs="Times New Roman"/>
          <w:lang w:val="fr-CA"/>
        </w:rPr>
        <w:sym w:font="Symbol" w:char="F05B"/>
      </w:r>
      <w:r w:rsidRPr="009F420B">
        <w:rPr>
          <w:rFonts w:cs="Times New Roman"/>
          <w:smallCaps/>
          <w:lang w:val="fr-CA"/>
        </w:rPr>
        <w:t>traduction</w:t>
      </w:r>
      <w:r w:rsidRPr="009F420B">
        <w:rPr>
          <w:rFonts w:cs="Times New Roman"/>
          <w:lang w:val="fr-CA"/>
        </w:rPr>
        <w:sym w:font="Symbol" w:char="F05D"/>
      </w:r>
      <w:r w:rsidRPr="009F420B">
        <w:rPr>
          <w:rFonts w:cs="Times New Roman"/>
          <w:lang w:val="fr-CA"/>
        </w:rPr>
        <w:t xml:space="preserve"> « semble excessif » — je dirais même redondant —, étant donné que les conditions relatives à la reconnaissance des autorités étrangères sont déjà plus strictes. </w:t>
      </w:r>
      <w:r w:rsidRPr="009F420B">
        <w:rPr>
          <w:rFonts w:cs="Times New Roman"/>
        </w:rPr>
        <w:t>Voir aussi J. Walker,</w:t>
      </w:r>
      <w:r w:rsidRPr="009F420B">
        <w:rPr>
          <w:rFonts w:cs="Times New Roman"/>
          <w:i/>
        </w:rPr>
        <w:t xml:space="preserve"> </w:t>
      </w:r>
      <w:r w:rsidR="006968AB">
        <w:rPr>
          <w:rFonts w:cs="Times New Roman"/>
          <w:i/>
        </w:rPr>
        <w:t xml:space="preserve">Castel &amp; Walker : </w:t>
      </w:r>
      <w:r w:rsidRPr="009F420B">
        <w:rPr>
          <w:rFonts w:cs="Times New Roman"/>
          <w:i/>
        </w:rPr>
        <w:t>Canadian Conflict of Laws</w:t>
      </w:r>
      <w:r w:rsidRPr="009F420B">
        <w:rPr>
          <w:rFonts w:cs="Times New Roman"/>
        </w:rPr>
        <w:t xml:space="preserve"> (6</w:t>
      </w:r>
      <w:r w:rsidRPr="009F420B">
        <w:rPr>
          <w:rFonts w:cs="Times New Roman"/>
          <w:vertAlign w:val="superscript"/>
        </w:rPr>
        <w:t>e</w:t>
      </w:r>
      <w:r w:rsidRPr="009F420B">
        <w:rPr>
          <w:rFonts w:cs="Times New Roman"/>
        </w:rPr>
        <w:t xml:space="preserve"> éd. </w:t>
      </w:r>
      <w:r w:rsidRPr="009F420B">
        <w:rPr>
          <w:rFonts w:cs="Times New Roman"/>
          <w:lang w:val="fr-CA"/>
        </w:rPr>
        <w:t xml:space="preserve">(feuilles mobiles)), </w:t>
      </w:r>
      <w:r>
        <w:rPr>
          <w:rFonts w:cs="Times New Roman"/>
          <w:lang w:val="fr-CA"/>
        </w:rPr>
        <w:t>p. </w:t>
      </w:r>
      <w:r w:rsidRPr="009F420B">
        <w:rPr>
          <w:rFonts w:cs="Times New Roman"/>
          <w:lang w:val="fr-CA"/>
        </w:rPr>
        <w:t>14</w:t>
      </w:r>
      <w:r>
        <w:rPr>
          <w:rFonts w:cs="Times New Roman"/>
          <w:lang w:val="fr-CA"/>
        </w:rPr>
        <w:noBreakHyphen/>
      </w:r>
      <w:r w:rsidRPr="009F420B">
        <w:rPr>
          <w:rFonts w:cs="Times New Roman"/>
          <w:lang w:val="fr-CA"/>
        </w:rPr>
        <w:t>24</w:t>
      </w:r>
      <w:r>
        <w:rPr>
          <w:rFonts w:cs="Times New Roman"/>
          <w:lang w:val="fr-CA"/>
        </w:rPr>
        <w:t> :</w:t>
      </w:r>
      <w:r w:rsidRPr="009F420B">
        <w:rPr>
          <w:rFonts w:cs="Times New Roman"/>
          <w:lang w:val="fr-CA"/>
        </w:rPr>
        <w:t xml:space="preserve"> [</w:t>
      </w:r>
      <w:r w:rsidRPr="009F420B">
        <w:rPr>
          <w:rFonts w:cs="Times New Roman"/>
          <w:smallCaps/>
          <w:lang w:val="fr-CA"/>
        </w:rPr>
        <w:t>traduction</w:t>
      </w:r>
      <w:r w:rsidRPr="009F420B">
        <w:rPr>
          <w:rFonts w:cs="Times New Roman"/>
          <w:lang w:val="fr-CA"/>
        </w:rPr>
        <w:t>] « En principe, l</w:t>
      </w:r>
      <w:r>
        <w:rPr>
          <w:rFonts w:cs="Times New Roman"/>
          <w:lang w:val="fr-CA"/>
        </w:rPr>
        <w:t>’</w:t>
      </w:r>
      <w:r w:rsidRPr="009F420B">
        <w:rPr>
          <w:rFonts w:cs="Times New Roman"/>
          <w:lang w:val="fr-CA"/>
        </w:rPr>
        <w:t>article 3164 n</w:t>
      </w:r>
      <w:r>
        <w:rPr>
          <w:rFonts w:cs="Times New Roman"/>
          <w:lang w:val="fr-CA"/>
        </w:rPr>
        <w:t>’</w:t>
      </w:r>
      <w:r w:rsidRPr="009F420B">
        <w:rPr>
          <w:rFonts w:cs="Times New Roman"/>
          <w:lang w:val="fr-CA"/>
        </w:rPr>
        <w:t>est pas pertinent lorsque des règles de compétence spéciales, comme celles figurant à l</w:t>
      </w:r>
      <w:r>
        <w:rPr>
          <w:rFonts w:cs="Times New Roman"/>
          <w:lang w:val="fr-CA"/>
        </w:rPr>
        <w:t>’</w:t>
      </w:r>
      <w:r w:rsidRPr="009F420B">
        <w:rPr>
          <w:rFonts w:cs="Times New Roman"/>
          <w:lang w:val="fr-CA"/>
        </w:rPr>
        <w:t xml:space="preserve">article 3168 du </w:t>
      </w:r>
      <w:r w:rsidRPr="009F420B">
        <w:rPr>
          <w:rFonts w:cs="Times New Roman"/>
          <w:i/>
          <w:lang w:val="fr-CA"/>
        </w:rPr>
        <w:t>Code civil</w:t>
      </w:r>
      <w:r w:rsidRPr="009F420B">
        <w:rPr>
          <w:rFonts w:cs="Times New Roman"/>
          <w:lang w:val="fr-CA"/>
        </w:rPr>
        <w:t>,</w:t>
      </w:r>
      <w:r w:rsidRPr="009F420B">
        <w:rPr>
          <w:rFonts w:cs="Times New Roman"/>
          <w:i/>
          <w:lang w:val="fr-CA"/>
        </w:rPr>
        <w:t xml:space="preserve"> </w:t>
      </w:r>
      <w:r w:rsidRPr="009F420B">
        <w:rPr>
          <w:rFonts w:cs="Times New Roman"/>
          <w:lang w:val="fr-CA"/>
        </w:rPr>
        <w:t>servant à déterminer la compétence d</w:t>
      </w:r>
      <w:r>
        <w:rPr>
          <w:rFonts w:cs="Times New Roman"/>
          <w:lang w:val="fr-CA"/>
        </w:rPr>
        <w:t>’</w:t>
      </w:r>
      <w:r w:rsidRPr="009F420B">
        <w:rPr>
          <w:rFonts w:cs="Times New Roman"/>
          <w:lang w:val="fr-CA"/>
        </w:rPr>
        <w:t>autorités étrangères dans des actions personnelles à caractère patrimonial sont plus restrictives que celles relatives à la compétence internationale des autorités québécoises dans des actions similaires » (note en bas de page omise).</w:t>
      </w:r>
    </w:p>
    <w:p w:rsidR="00AF6697" w:rsidRPr="009F420B" w:rsidRDefault="00AF6697" w:rsidP="00AF6697">
      <w:pPr>
        <w:pStyle w:val="ParaNoNdepar-AltN"/>
        <w:rPr>
          <w:rFonts w:cs="Times New Roman"/>
          <w:lang w:val="fr-CA"/>
        </w:rPr>
      </w:pPr>
      <w:r w:rsidRPr="009F420B">
        <w:rPr>
          <w:rFonts w:cs="Times New Roman"/>
          <w:lang w:val="fr-CA"/>
        </w:rPr>
        <w:t>Ces conditions plus strictes auxquelles est assujettie la reconnaissance de la compétence des autorités étrangères en application de l</w:t>
      </w:r>
      <w:r>
        <w:rPr>
          <w:rFonts w:cs="Times New Roman"/>
          <w:lang w:val="fr-CA"/>
        </w:rPr>
        <w:t>’art. </w:t>
      </w:r>
      <w:r w:rsidRPr="009F420B">
        <w:rPr>
          <w:rFonts w:cs="Times New Roman"/>
          <w:lang w:val="fr-CA"/>
        </w:rPr>
        <w:t xml:space="preserve">3168 </w:t>
      </w:r>
      <w:r w:rsidRPr="009F420B">
        <w:rPr>
          <w:rFonts w:cs="Times New Roman"/>
          <w:i/>
          <w:lang w:val="fr-CA"/>
        </w:rPr>
        <w:t xml:space="preserve">C.c.Q. </w:t>
      </w:r>
      <w:r w:rsidRPr="009F420B">
        <w:rPr>
          <w:rFonts w:cs="Times New Roman"/>
          <w:lang w:val="fr-CA"/>
        </w:rPr>
        <w:t>sont bien différentes de celles qui sont énoncées à l</w:t>
      </w:r>
      <w:r>
        <w:rPr>
          <w:rFonts w:cs="Times New Roman"/>
          <w:lang w:val="fr-CA"/>
        </w:rPr>
        <w:t>’art. </w:t>
      </w:r>
      <w:r w:rsidRPr="009F420B">
        <w:rPr>
          <w:rFonts w:cs="Times New Roman"/>
          <w:lang w:val="fr-CA"/>
        </w:rPr>
        <w:t xml:space="preserve">3166 (qui concerne la compétence en </w:t>
      </w:r>
      <w:r w:rsidRPr="009F420B">
        <w:rPr>
          <w:rFonts w:cs="Times New Roman"/>
          <w:lang w:val="fr-CA"/>
        </w:rPr>
        <w:lastRenderedPageBreak/>
        <w:t>matière de filiation lorsque l</w:t>
      </w:r>
      <w:r>
        <w:rPr>
          <w:rFonts w:cs="Times New Roman"/>
          <w:lang w:val="fr-CA"/>
        </w:rPr>
        <w:t>’</w:t>
      </w:r>
      <w:r w:rsidRPr="009F420B">
        <w:rPr>
          <w:rFonts w:cs="Times New Roman"/>
          <w:lang w:val="fr-CA"/>
        </w:rPr>
        <w:t>enfant ou l</w:t>
      </w:r>
      <w:r>
        <w:rPr>
          <w:rFonts w:cs="Times New Roman"/>
          <w:lang w:val="fr-CA"/>
        </w:rPr>
        <w:t>’</w:t>
      </w:r>
      <w:r w:rsidRPr="009F420B">
        <w:rPr>
          <w:rFonts w:cs="Times New Roman"/>
          <w:lang w:val="fr-CA"/>
        </w:rPr>
        <w:t>un de ses parents est domicilié dans un État étranger ou a la nationalité qui y est rattachée) et à l</w:t>
      </w:r>
      <w:r>
        <w:rPr>
          <w:rFonts w:cs="Times New Roman"/>
          <w:lang w:val="fr-CA"/>
        </w:rPr>
        <w:t>’art. </w:t>
      </w:r>
      <w:r w:rsidRPr="009F420B">
        <w:rPr>
          <w:rFonts w:cs="Times New Roman"/>
          <w:lang w:val="fr-CA"/>
        </w:rPr>
        <w:t xml:space="preserve">3167 </w:t>
      </w:r>
      <w:r w:rsidRPr="009F420B">
        <w:rPr>
          <w:rFonts w:cs="Times New Roman"/>
          <w:i/>
          <w:lang w:val="fr-CA"/>
        </w:rPr>
        <w:t>C.c.Q.</w:t>
      </w:r>
      <w:r w:rsidRPr="009F420B">
        <w:rPr>
          <w:rFonts w:cs="Times New Roman"/>
          <w:lang w:val="fr-CA"/>
        </w:rPr>
        <w:t xml:space="preserve"> (qui concerne les actions en matière de divorce lorsque certains liens existent avec un État étranger), deux dispositions qui </w:t>
      </w:r>
      <w:r w:rsidRPr="009F420B">
        <w:rPr>
          <w:rFonts w:cs="Times New Roman"/>
          <w:i/>
          <w:lang w:val="fr-CA"/>
        </w:rPr>
        <w:t>élargissent</w:t>
      </w:r>
      <w:r w:rsidRPr="009F420B">
        <w:rPr>
          <w:rFonts w:cs="Times New Roman"/>
          <w:lang w:val="fr-CA"/>
        </w:rPr>
        <w:t xml:space="preserve"> la portée de la compétence des autorités étr</w:t>
      </w:r>
      <w:r w:rsidR="00B730EB">
        <w:rPr>
          <w:rFonts w:cs="Times New Roman"/>
          <w:lang w:val="fr-CA"/>
        </w:rPr>
        <w:t>angères comparativement à celle</w:t>
      </w:r>
      <w:r w:rsidRPr="009F420B">
        <w:rPr>
          <w:rFonts w:cs="Times New Roman"/>
          <w:lang w:val="fr-CA"/>
        </w:rPr>
        <w:t xml:space="preserve"> des tribunaux québécois</w:t>
      </w:r>
      <w:r>
        <w:rPr>
          <w:rFonts w:cs="Times New Roman"/>
          <w:lang w:val="fr-CA"/>
        </w:rPr>
        <w:t> :</w:t>
      </w:r>
      <w:r w:rsidRPr="009F420B">
        <w:rPr>
          <w:rFonts w:cs="Times New Roman"/>
          <w:lang w:val="fr-CA"/>
        </w:rPr>
        <w:t xml:space="preserve"> Saumier, </w:t>
      </w:r>
      <w:r>
        <w:rPr>
          <w:rFonts w:cs="Times New Roman"/>
          <w:lang w:val="fr-CA"/>
        </w:rPr>
        <w:t>p. </w:t>
      </w:r>
      <w:r w:rsidRPr="009F420B">
        <w:rPr>
          <w:rFonts w:cs="Times New Roman"/>
          <w:lang w:val="fr-CA"/>
        </w:rPr>
        <w:t>682. Suivant l</w:t>
      </w:r>
      <w:r>
        <w:rPr>
          <w:rFonts w:cs="Times New Roman"/>
          <w:lang w:val="fr-CA"/>
        </w:rPr>
        <w:t>’art. </w:t>
      </w:r>
      <w:r w:rsidRPr="009F420B">
        <w:rPr>
          <w:rFonts w:cs="Times New Roman"/>
          <w:lang w:val="fr-CA"/>
        </w:rPr>
        <w:t xml:space="preserve">3166 </w:t>
      </w:r>
      <w:r w:rsidRPr="009F420B">
        <w:rPr>
          <w:rFonts w:cs="Times New Roman"/>
          <w:i/>
          <w:lang w:val="fr-CA"/>
        </w:rPr>
        <w:t>C.c.Q.</w:t>
      </w:r>
      <w:r w:rsidRPr="009F420B">
        <w:rPr>
          <w:rFonts w:cs="Times New Roman"/>
          <w:lang w:val="fr-CA"/>
        </w:rPr>
        <w:t>, les tribunaux québécois reconnaissent la compétence des autorités étrangères en matière de filiation sur le fondement du domicile ou de la nationalité, tandis que seul le domicile constitue un chef de compétence, s</w:t>
      </w:r>
      <w:r>
        <w:rPr>
          <w:rFonts w:cs="Times New Roman"/>
          <w:lang w:val="fr-CA"/>
        </w:rPr>
        <w:t>’</w:t>
      </w:r>
      <w:r w:rsidRPr="009F420B">
        <w:rPr>
          <w:rFonts w:cs="Times New Roman"/>
          <w:lang w:val="fr-CA"/>
        </w:rPr>
        <w:t>agissant des autorités québécoises. L</w:t>
      </w:r>
      <w:r>
        <w:rPr>
          <w:rFonts w:cs="Times New Roman"/>
          <w:lang w:val="fr-CA"/>
        </w:rPr>
        <w:t>’</w:t>
      </w:r>
      <w:r w:rsidRPr="009F420B">
        <w:rPr>
          <w:rFonts w:cs="Times New Roman"/>
          <w:lang w:val="fr-CA"/>
        </w:rPr>
        <w:t xml:space="preserve">article 3167 </w:t>
      </w:r>
      <w:r w:rsidRPr="009F420B">
        <w:rPr>
          <w:rFonts w:cs="Times New Roman"/>
          <w:i/>
          <w:lang w:val="fr-CA"/>
        </w:rPr>
        <w:t>C.c.Q.</w:t>
      </w:r>
      <w:r w:rsidRPr="009F420B">
        <w:rPr>
          <w:rFonts w:cs="Times New Roman"/>
          <w:lang w:val="fr-CA"/>
        </w:rPr>
        <w:t xml:space="preserve"> est également plus généreux que l</w:t>
      </w:r>
      <w:r>
        <w:rPr>
          <w:rFonts w:cs="Times New Roman"/>
          <w:lang w:val="fr-CA"/>
        </w:rPr>
        <w:t>’art. </w:t>
      </w:r>
      <w:r w:rsidRPr="009F420B">
        <w:rPr>
          <w:rFonts w:cs="Times New Roman"/>
          <w:lang w:val="fr-CA"/>
        </w:rPr>
        <w:t xml:space="preserve">22 de la </w:t>
      </w:r>
      <w:r w:rsidRPr="009F420B">
        <w:rPr>
          <w:rFonts w:cs="Times New Roman"/>
          <w:i/>
          <w:lang w:val="fr-CA"/>
        </w:rPr>
        <w:t>Loi sur le divorce</w:t>
      </w:r>
      <w:r w:rsidRPr="009F420B">
        <w:rPr>
          <w:rFonts w:cs="Times New Roman"/>
          <w:lang w:val="fr-CA"/>
        </w:rPr>
        <w:t>, L.R.C. 1985, c. 3 (2</w:t>
      </w:r>
      <w:r w:rsidRPr="009F420B">
        <w:rPr>
          <w:rFonts w:cs="Times New Roman"/>
          <w:vertAlign w:val="superscript"/>
          <w:lang w:val="fr-CA"/>
        </w:rPr>
        <w:t>e</w:t>
      </w:r>
      <w:r w:rsidRPr="009F420B">
        <w:rPr>
          <w:rFonts w:cs="Times New Roman"/>
          <w:lang w:val="fr-CA"/>
        </w:rPr>
        <w:t xml:space="preserve"> suppl.), en matière de reconnaissance des divorces étrangers. Cette </w:t>
      </w:r>
      <w:r w:rsidR="00B730EB" w:rsidRPr="009F420B">
        <w:rPr>
          <w:rFonts w:cs="Times New Roman"/>
          <w:lang w:val="fr-CA"/>
        </w:rPr>
        <w:t>[</w:t>
      </w:r>
      <w:r w:rsidR="00B730EB" w:rsidRPr="009F420B">
        <w:rPr>
          <w:rFonts w:cs="Times New Roman"/>
          <w:smallCaps/>
          <w:lang w:val="fr-CA"/>
        </w:rPr>
        <w:t>traduction</w:t>
      </w:r>
      <w:r w:rsidR="00B730EB" w:rsidRPr="009F420B">
        <w:rPr>
          <w:rFonts w:cs="Times New Roman"/>
          <w:lang w:val="fr-CA"/>
        </w:rPr>
        <w:t xml:space="preserve">] </w:t>
      </w:r>
      <w:r w:rsidRPr="009F420B">
        <w:rPr>
          <w:rFonts w:cs="Times New Roman"/>
          <w:lang w:val="fr-CA"/>
        </w:rPr>
        <w:t>« portée élargie » s</w:t>
      </w:r>
      <w:r>
        <w:rPr>
          <w:rFonts w:cs="Times New Roman"/>
          <w:lang w:val="fr-CA"/>
        </w:rPr>
        <w:t>’</w:t>
      </w:r>
      <w:r w:rsidRPr="009F420B">
        <w:rPr>
          <w:rFonts w:cs="Times New Roman"/>
          <w:lang w:val="fr-CA"/>
        </w:rPr>
        <w:t>explique toutefois par  « le principe de validation qui s</w:t>
      </w:r>
      <w:r>
        <w:rPr>
          <w:rFonts w:cs="Times New Roman"/>
          <w:lang w:val="fr-CA"/>
        </w:rPr>
        <w:t>’</w:t>
      </w:r>
      <w:r w:rsidRPr="009F420B">
        <w:rPr>
          <w:rFonts w:cs="Times New Roman"/>
          <w:lang w:val="fr-CA"/>
        </w:rPr>
        <w:t>applique en matière d</w:t>
      </w:r>
      <w:r>
        <w:rPr>
          <w:rFonts w:cs="Times New Roman"/>
          <w:lang w:val="fr-CA"/>
        </w:rPr>
        <w:t>’</w:t>
      </w:r>
      <w:r w:rsidRPr="009F420B">
        <w:rPr>
          <w:rFonts w:cs="Times New Roman"/>
          <w:lang w:val="fr-CA"/>
        </w:rPr>
        <w:t>état civil et qui est généralement approuvé dans les instruments internationaux et dans les codifications modernes du</w:t>
      </w:r>
      <w:r w:rsidRPr="009F420B">
        <w:rPr>
          <w:rFonts w:cs="Times New Roman"/>
          <w:i/>
          <w:lang w:val="fr-CA"/>
        </w:rPr>
        <w:t xml:space="preserve"> </w:t>
      </w:r>
      <w:r w:rsidRPr="009F420B">
        <w:rPr>
          <w:rFonts w:cs="Times New Roman"/>
          <w:lang w:val="fr-CA"/>
        </w:rPr>
        <w:t>droit international privé »</w:t>
      </w:r>
      <w:r>
        <w:rPr>
          <w:rFonts w:cs="Times New Roman"/>
          <w:i/>
          <w:lang w:val="fr-CA"/>
        </w:rPr>
        <w:t> :</w:t>
      </w:r>
      <w:r w:rsidRPr="009F420B">
        <w:rPr>
          <w:rFonts w:cs="Times New Roman"/>
          <w:lang w:val="fr-CA"/>
        </w:rPr>
        <w:t xml:space="preserve"> Saumier, </w:t>
      </w:r>
      <w:r>
        <w:rPr>
          <w:rFonts w:cs="Times New Roman"/>
          <w:lang w:val="fr-CA"/>
        </w:rPr>
        <w:t>p. </w:t>
      </w:r>
      <w:r w:rsidRPr="009F420B">
        <w:rPr>
          <w:rFonts w:cs="Times New Roman"/>
          <w:lang w:val="fr-CA"/>
        </w:rPr>
        <w:t xml:space="preserve">682; voir aussi </w:t>
      </w:r>
      <w:r w:rsidR="00057B97">
        <w:rPr>
          <w:rFonts w:cs="Times New Roman"/>
          <w:lang w:val="fr-CA"/>
        </w:rPr>
        <w:t>m</w:t>
      </w:r>
      <w:r w:rsidRPr="009F420B">
        <w:rPr>
          <w:rFonts w:cs="Times New Roman"/>
          <w:lang w:val="fr-CA"/>
        </w:rPr>
        <w:t xml:space="preserve">inistère de la Justice, </w:t>
      </w:r>
      <w:r w:rsidRPr="009F420B">
        <w:rPr>
          <w:rFonts w:cs="Times New Roman"/>
          <w:i/>
          <w:lang w:val="fr-CA"/>
        </w:rPr>
        <w:t>Commentaires du ministre de la Justice</w:t>
      </w:r>
      <w:r w:rsidRPr="009F420B">
        <w:rPr>
          <w:rFonts w:cs="Times New Roman"/>
          <w:lang w:val="fr-CA"/>
        </w:rPr>
        <w:t xml:space="preserve">, </w:t>
      </w:r>
      <w:r>
        <w:rPr>
          <w:rFonts w:cs="Times New Roman"/>
          <w:lang w:val="fr-CA"/>
        </w:rPr>
        <w:t>vol. </w:t>
      </w:r>
      <w:r w:rsidRPr="009F420B">
        <w:rPr>
          <w:rFonts w:cs="Times New Roman"/>
          <w:lang w:val="fr-CA"/>
        </w:rPr>
        <w:t>II,</w:t>
      </w:r>
      <w:r w:rsidRPr="009F420B">
        <w:rPr>
          <w:rFonts w:cs="Times New Roman"/>
          <w:i/>
          <w:lang w:val="fr-CA"/>
        </w:rPr>
        <w:t xml:space="preserve"> Le Code civil du Québec — Un mouvement de société </w:t>
      </w:r>
      <w:r w:rsidRPr="009F420B">
        <w:rPr>
          <w:rFonts w:cs="Times New Roman"/>
          <w:lang w:val="fr-CA"/>
        </w:rPr>
        <w:t xml:space="preserve">(1993), </w:t>
      </w:r>
      <w:r>
        <w:rPr>
          <w:rFonts w:cs="Times New Roman"/>
          <w:lang w:val="fr-CA"/>
        </w:rPr>
        <w:t>p. </w:t>
      </w:r>
      <w:r w:rsidRPr="009F420B">
        <w:rPr>
          <w:rFonts w:cs="Times New Roman"/>
          <w:lang w:val="fr-CA"/>
        </w:rPr>
        <w:t>2024</w:t>
      </w:r>
      <w:r>
        <w:rPr>
          <w:rFonts w:cs="Times New Roman"/>
          <w:lang w:val="fr-CA"/>
        </w:rPr>
        <w:noBreakHyphen/>
      </w:r>
      <w:r w:rsidRPr="009F420B">
        <w:rPr>
          <w:rFonts w:cs="Times New Roman"/>
          <w:lang w:val="fr-CA"/>
        </w:rPr>
        <w:t>2025. Imposer un critère additionnel de « rattachement important » dans ces deux cas</w:t>
      </w:r>
      <w:r>
        <w:rPr>
          <w:rFonts w:cs="Times New Roman"/>
          <w:lang w:val="fr-CA"/>
        </w:rPr>
        <w:noBreakHyphen/>
      </w:r>
      <w:r w:rsidRPr="009F420B">
        <w:rPr>
          <w:rFonts w:cs="Times New Roman"/>
          <w:lang w:val="fr-CA"/>
        </w:rPr>
        <w:t>là « irait à l</w:t>
      </w:r>
      <w:r>
        <w:rPr>
          <w:rFonts w:cs="Times New Roman"/>
          <w:lang w:val="fr-CA"/>
        </w:rPr>
        <w:t>’</w:t>
      </w:r>
      <w:r w:rsidRPr="009F420B">
        <w:rPr>
          <w:rFonts w:cs="Times New Roman"/>
          <w:lang w:val="fr-CA"/>
        </w:rPr>
        <w:t xml:space="preserve">encontre du principe </w:t>
      </w:r>
      <w:r w:rsidRPr="009F420B">
        <w:rPr>
          <w:rFonts w:cs="Times New Roman"/>
          <w:i/>
          <w:lang w:val="fr-CA"/>
        </w:rPr>
        <w:t>favor validatis</w:t>
      </w:r>
      <w:r w:rsidRPr="009F420B">
        <w:rPr>
          <w:rFonts w:cs="Times New Roman"/>
          <w:lang w:val="fr-CA"/>
        </w:rPr>
        <w:t xml:space="preserve"> qui sous</w:t>
      </w:r>
      <w:r>
        <w:rPr>
          <w:rFonts w:cs="Times New Roman"/>
          <w:lang w:val="fr-CA"/>
        </w:rPr>
        <w:noBreakHyphen/>
      </w:r>
      <w:r w:rsidRPr="009F420B">
        <w:rPr>
          <w:rFonts w:cs="Times New Roman"/>
          <w:lang w:val="fr-CA"/>
        </w:rPr>
        <w:t>tend apparemment ces dispositions élargissant la portée de la compétence »</w:t>
      </w:r>
      <w:r>
        <w:rPr>
          <w:rFonts w:cs="Times New Roman"/>
          <w:lang w:val="fr-CA"/>
        </w:rPr>
        <w:t> :</w:t>
      </w:r>
      <w:r w:rsidRPr="009F420B">
        <w:rPr>
          <w:rFonts w:cs="Times New Roman"/>
          <w:lang w:val="fr-CA"/>
        </w:rPr>
        <w:t xml:space="preserve"> Saumier, </w:t>
      </w:r>
      <w:r>
        <w:rPr>
          <w:rFonts w:cs="Times New Roman"/>
          <w:lang w:val="fr-CA"/>
        </w:rPr>
        <w:t>p. </w:t>
      </w:r>
      <w:r w:rsidRPr="009F420B">
        <w:rPr>
          <w:rFonts w:cs="Times New Roman"/>
          <w:lang w:val="fr-CA"/>
        </w:rPr>
        <w:t xml:space="preserve">683. </w:t>
      </w:r>
    </w:p>
    <w:p w:rsidR="00AF6697" w:rsidRPr="009F420B" w:rsidRDefault="00AF6697" w:rsidP="00AF6697">
      <w:pPr>
        <w:pStyle w:val="ParaNoNdepar-AltN"/>
        <w:rPr>
          <w:rFonts w:cs="Times New Roman"/>
          <w:lang w:val="fr-CA"/>
        </w:rPr>
      </w:pPr>
      <w:r w:rsidRPr="009F420B">
        <w:rPr>
          <w:rFonts w:cs="Times New Roman"/>
          <w:lang w:val="fr-CA"/>
        </w:rPr>
        <w:t>En conséquence, je souscris aux remarques formulées par le juge de la Cour supérieure en l</w:t>
      </w:r>
      <w:r>
        <w:rPr>
          <w:rFonts w:cs="Times New Roman"/>
          <w:lang w:val="fr-CA"/>
        </w:rPr>
        <w:t>’</w:t>
      </w:r>
      <w:r w:rsidRPr="009F420B">
        <w:rPr>
          <w:rFonts w:cs="Times New Roman"/>
          <w:lang w:val="fr-CA"/>
        </w:rPr>
        <w:t>espèce (</w:t>
      </w:r>
      <w:r>
        <w:rPr>
          <w:rFonts w:cs="Times New Roman"/>
          <w:lang w:val="fr-CA"/>
        </w:rPr>
        <w:t>par. </w:t>
      </w:r>
      <w:r w:rsidRPr="009F420B">
        <w:rPr>
          <w:rFonts w:cs="Times New Roman"/>
          <w:lang w:val="fr-CA"/>
        </w:rPr>
        <w:t xml:space="preserve">12 (CanLII)), selon lesquelles </w:t>
      </w:r>
      <w:r w:rsidRPr="009F420B">
        <w:rPr>
          <w:rFonts w:cs="Times New Roman"/>
          <w:lang w:val="fr-CA"/>
        </w:rPr>
        <w:sym w:font="Symbol" w:char="F05B"/>
      </w:r>
      <w:r w:rsidRPr="009F420B">
        <w:rPr>
          <w:rFonts w:cs="Times New Roman"/>
          <w:smallCaps/>
          <w:lang w:val="fr-CA"/>
        </w:rPr>
        <w:t>traduction</w:t>
      </w:r>
      <w:r w:rsidRPr="009F420B">
        <w:rPr>
          <w:rFonts w:cs="Times New Roman"/>
          <w:lang w:val="fr-CA"/>
        </w:rPr>
        <w:sym w:font="Symbol" w:char="F05D"/>
      </w:r>
      <w:r w:rsidRPr="009F420B">
        <w:rPr>
          <w:rFonts w:cs="Times New Roman"/>
          <w:lang w:val="fr-CA"/>
        </w:rPr>
        <w:t xml:space="preserve"> « le critère du lien réel et substantiel n</w:t>
      </w:r>
      <w:r>
        <w:rPr>
          <w:rFonts w:cs="Times New Roman"/>
          <w:lang w:val="fr-CA"/>
        </w:rPr>
        <w:t>’</w:t>
      </w:r>
      <w:r w:rsidRPr="009F420B">
        <w:rPr>
          <w:rFonts w:cs="Times New Roman"/>
          <w:lang w:val="fr-CA"/>
        </w:rPr>
        <w:t>est pas un critère supplémentaire dont il y a lieu de reconnaître l</w:t>
      </w:r>
      <w:r>
        <w:rPr>
          <w:rFonts w:cs="Times New Roman"/>
          <w:lang w:val="fr-CA"/>
        </w:rPr>
        <w:t>’</w:t>
      </w:r>
      <w:r w:rsidRPr="009F420B">
        <w:rPr>
          <w:rFonts w:cs="Times New Roman"/>
          <w:lang w:val="fr-CA"/>
        </w:rPr>
        <w:t xml:space="preserve">existence en droit québécois » et « le critère du “lien réel et substantiel” énoncé dans la jurisprudence de common law est subsumé dans les dispositions du livre dixième du </w:t>
      </w:r>
      <w:r w:rsidRPr="009F420B">
        <w:rPr>
          <w:rFonts w:cs="Times New Roman"/>
          <w:i/>
          <w:lang w:val="fr-CA"/>
        </w:rPr>
        <w:t>Code civil</w:t>
      </w:r>
      <w:r w:rsidRPr="009F420B">
        <w:rPr>
          <w:rFonts w:cs="Times New Roman"/>
          <w:lang w:val="fr-CA"/>
        </w:rPr>
        <w:t>,</w:t>
      </w:r>
      <w:r w:rsidRPr="009F420B">
        <w:rPr>
          <w:rFonts w:cs="Times New Roman"/>
          <w:i/>
          <w:lang w:val="fr-CA"/>
        </w:rPr>
        <w:t xml:space="preserve"> </w:t>
      </w:r>
      <w:r w:rsidRPr="009F420B">
        <w:rPr>
          <w:rFonts w:cs="Times New Roman"/>
          <w:lang w:val="fr-CA"/>
        </w:rPr>
        <w:t>dont l</w:t>
      </w:r>
      <w:r>
        <w:rPr>
          <w:rFonts w:cs="Times New Roman"/>
          <w:lang w:val="fr-CA"/>
        </w:rPr>
        <w:t>’</w:t>
      </w:r>
      <w:r w:rsidRPr="009F420B">
        <w:rPr>
          <w:rFonts w:cs="Times New Roman"/>
          <w:lang w:val="fr-CA"/>
        </w:rPr>
        <w:t>article 3168 ».</w:t>
      </w:r>
    </w:p>
    <w:p w:rsidR="00AF6697" w:rsidRPr="009F420B" w:rsidRDefault="00AF6697" w:rsidP="00AF6697">
      <w:pPr>
        <w:pStyle w:val="ParaNoNdepar-AltN"/>
        <w:tabs>
          <w:tab w:val="clear" w:pos="1166"/>
          <w:tab w:val="num" w:pos="1152"/>
        </w:tabs>
        <w:rPr>
          <w:rFonts w:cs="Times New Roman"/>
          <w:lang w:val="fr-CA"/>
        </w:rPr>
      </w:pPr>
      <w:r w:rsidRPr="009F420B">
        <w:rPr>
          <w:rFonts w:cs="Times New Roman"/>
          <w:lang w:val="fr-CA"/>
        </w:rPr>
        <w:lastRenderedPageBreak/>
        <w:t>Cela dit, je souligne que le simple fait que le critère du lien réel et substantiel ait été subsumé dans l</w:t>
      </w:r>
      <w:r>
        <w:rPr>
          <w:rFonts w:cs="Times New Roman"/>
          <w:lang w:val="fr-CA"/>
        </w:rPr>
        <w:t>’art. </w:t>
      </w:r>
      <w:r w:rsidRPr="009F420B">
        <w:rPr>
          <w:rFonts w:cs="Times New Roman"/>
          <w:lang w:val="fr-CA"/>
        </w:rPr>
        <w:t xml:space="preserve">3168 </w:t>
      </w:r>
      <w:r w:rsidRPr="009F420B">
        <w:rPr>
          <w:rFonts w:cs="Times New Roman"/>
          <w:i/>
          <w:lang w:val="fr-CA"/>
        </w:rPr>
        <w:t>C.c.Q.</w:t>
      </w:r>
      <w:r w:rsidRPr="009F420B">
        <w:rPr>
          <w:rFonts w:cs="Times New Roman"/>
          <w:lang w:val="fr-CA"/>
        </w:rPr>
        <w:t xml:space="preserve"> ne signifie pas que l</w:t>
      </w:r>
      <w:r>
        <w:rPr>
          <w:rFonts w:cs="Times New Roman"/>
          <w:lang w:val="fr-CA"/>
        </w:rPr>
        <w:t>’</w:t>
      </w:r>
      <w:r w:rsidRPr="009F420B">
        <w:rPr>
          <w:rFonts w:cs="Times New Roman"/>
          <w:lang w:val="fr-CA"/>
        </w:rPr>
        <w:t>existence d</w:t>
      </w:r>
      <w:r>
        <w:rPr>
          <w:rFonts w:cs="Times New Roman"/>
          <w:lang w:val="fr-CA"/>
        </w:rPr>
        <w:t>’</w:t>
      </w:r>
      <w:r w:rsidRPr="009F420B">
        <w:rPr>
          <w:rFonts w:cs="Times New Roman"/>
          <w:lang w:val="fr-CA"/>
        </w:rPr>
        <w:t>un tel lien n</w:t>
      </w:r>
      <w:r>
        <w:rPr>
          <w:rFonts w:cs="Times New Roman"/>
          <w:lang w:val="fr-CA"/>
        </w:rPr>
        <w:t>’</w:t>
      </w:r>
      <w:r w:rsidRPr="009F420B">
        <w:rPr>
          <w:rFonts w:cs="Times New Roman"/>
          <w:lang w:val="fr-CA"/>
        </w:rPr>
        <w:t>est plus pertinente pour décider si une partie a reconnu la compétence d</w:t>
      </w:r>
      <w:r>
        <w:rPr>
          <w:rFonts w:cs="Times New Roman"/>
          <w:lang w:val="fr-CA"/>
        </w:rPr>
        <w:t>’</w:t>
      </w:r>
      <w:r w:rsidRPr="009F420B">
        <w:rPr>
          <w:rFonts w:cs="Times New Roman"/>
          <w:lang w:val="fr-CA"/>
        </w:rPr>
        <w:t>un tribunal étranger. Les dispositions de l</w:t>
      </w:r>
      <w:r>
        <w:rPr>
          <w:rFonts w:cs="Times New Roman"/>
          <w:lang w:val="fr-CA"/>
        </w:rPr>
        <w:t>’art. </w:t>
      </w:r>
      <w:r w:rsidRPr="009F420B">
        <w:rPr>
          <w:rFonts w:cs="Times New Roman"/>
          <w:lang w:val="fr-CA"/>
        </w:rPr>
        <w:t xml:space="preserve">3168 </w:t>
      </w:r>
      <w:r w:rsidRPr="009F420B">
        <w:rPr>
          <w:rFonts w:cs="Times New Roman"/>
          <w:i/>
          <w:lang w:val="fr-CA"/>
        </w:rPr>
        <w:t>C.c.Q.</w:t>
      </w:r>
      <w:r w:rsidRPr="009F420B">
        <w:rPr>
          <w:rFonts w:cs="Times New Roman"/>
          <w:lang w:val="fr-CA"/>
        </w:rPr>
        <w:t xml:space="preserve"> visent à </w:t>
      </w:r>
      <w:r w:rsidRPr="009F420B">
        <w:rPr>
          <w:rFonts w:cs="Times New Roman"/>
          <w:i/>
          <w:lang w:val="fr-CA"/>
        </w:rPr>
        <w:t>établir</w:t>
      </w:r>
      <w:r w:rsidRPr="009F420B">
        <w:rPr>
          <w:rFonts w:cs="Times New Roman"/>
          <w:lang w:val="fr-CA"/>
        </w:rPr>
        <w:t xml:space="preserve"> l</w:t>
      </w:r>
      <w:r>
        <w:rPr>
          <w:rFonts w:cs="Times New Roman"/>
          <w:lang w:val="fr-CA"/>
        </w:rPr>
        <w:t>’</w:t>
      </w:r>
      <w:r w:rsidRPr="009F420B">
        <w:rPr>
          <w:rFonts w:cs="Times New Roman"/>
          <w:lang w:val="fr-CA"/>
        </w:rPr>
        <w:t>existence d</w:t>
      </w:r>
      <w:r>
        <w:rPr>
          <w:rFonts w:cs="Times New Roman"/>
          <w:lang w:val="fr-CA"/>
        </w:rPr>
        <w:t>’</w:t>
      </w:r>
      <w:r w:rsidRPr="009F420B">
        <w:rPr>
          <w:rFonts w:cs="Times New Roman"/>
          <w:lang w:val="fr-CA"/>
        </w:rPr>
        <w:t>un rattachement important entre le litige ou les parties et l</w:t>
      </w:r>
      <w:r>
        <w:rPr>
          <w:rFonts w:cs="Times New Roman"/>
          <w:lang w:val="fr-CA"/>
        </w:rPr>
        <w:t>’</w:t>
      </w:r>
      <w:r w:rsidRPr="009F420B">
        <w:rPr>
          <w:rFonts w:cs="Times New Roman"/>
          <w:lang w:val="fr-CA"/>
        </w:rPr>
        <w:t>autorité étrangère. Par conséquent, lorsqu</w:t>
      </w:r>
      <w:r>
        <w:rPr>
          <w:rFonts w:cs="Times New Roman"/>
          <w:lang w:val="fr-CA"/>
        </w:rPr>
        <w:t>’</w:t>
      </w:r>
      <w:r w:rsidRPr="009F420B">
        <w:rPr>
          <w:rFonts w:cs="Times New Roman"/>
          <w:lang w:val="fr-CA"/>
        </w:rPr>
        <w:t>un tribunal québécois examine si un défendeur a reconnu la compétence d</w:t>
      </w:r>
      <w:r>
        <w:rPr>
          <w:rFonts w:cs="Times New Roman"/>
          <w:lang w:val="fr-CA"/>
        </w:rPr>
        <w:t>’</w:t>
      </w:r>
      <w:r w:rsidRPr="009F420B">
        <w:rPr>
          <w:rFonts w:cs="Times New Roman"/>
          <w:lang w:val="fr-CA"/>
        </w:rPr>
        <w:t>une autorité étrangère au sens où il faut l</w:t>
      </w:r>
      <w:r>
        <w:rPr>
          <w:rFonts w:cs="Times New Roman"/>
          <w:lang w:val="fr-CA"/>
        </w:rPr>
        <w:t>’</w:t>
      </w:r>
      <w:r w:rsidRPr="009F420B">
        <w:rPr>
          <w:rFonts w:cs="Times New Roman"/>
          <w:lang w:val="fr-CA"/>
        </w:rPr>
        <w:t>entendre pour l</w:t>
      </w:r>
      <w:r>
        <w:rPr>
          <w:rFonts w:cs="Times New Roman"/>
          <w:lang w:val="fr-CA"/>
        </w:rPr>
        <w:t>’</w:t>
      </w:r>
      <w:r w:rsidRPr="009F420B">
        <w:rPr>
          <w:rFonts w:cs="Times New Roman"/>
          <w:lang w:val="fr-CA"/>
        </w:rPr>
        <w:t>application d</w:t>
      </w:r>
      <w:r w:rsidR="00F43F7E">
        <w:rPr>
          <w:rFonts w:cs="Times New Roman"/>
          <w:lang w:val="fr-CA"/>
        </w:rPr>
        <w:t>u</w:t>
      </w:r>
      <w:r w:rsidRPr="009F420B">
        <w:rPr>
          <w:rFonts w:cs="Times New Roman"/>
          <w:lang w:val="fr-CA"/>
        </w:rPr>
        <w:t xml:space="preserve"> </w:t>
      </w:r>
      <w:r w:rsidR="00F43F7E">
        <w:rPr>
          <w:rFonts w:cs="Times New Roman"/>
          <w:lang w:val="fr-CA"/>
        </w:rPr>
        <w:t>par</w:t>
      </w:r>
      <w:r>
        <w:rPr>
          <w:rFonts w:cs="Times New Roman"/>
          <w:lang w:val="fr-CA"/>
        </w:rPr>
        <w:t>. </w:t>
      </w:r>
      <w:r w:rsidRPr="009F420B">
        <w:rPr>
          <w:rFonts w:cs="Times New Roman"/>
          <w:lang w:val="fr-CA"/>
        </w:rPr>
        <w:t xml:space="preserve">3168(6) </w:t>
      </w:r>
      <w:r w:rsidRPr="009F420B">
        <w:rPr>
          <w:rFonts w:cs="Times New Roman"/>
          <w:i/>
          <w:lang w:val="fr-CA"/>
        </w:rPr>
        <w:t>C.c.Q.</w:t>
      </w:r>
      <w:r w:rsidRPr="009F420B">
        <w:rPr>
          <w:rFonts w:cs="Times New Roman"/>
          <w:lang w:val="fr-CA"/>
        </w:rPr>
        <w:t>, il doit rechercher des facteurs suffisants pour établir l</w:t>
      </w:r>
      <w:r>
        <w:rPr>
          <w:rFonts w:cs="Times New Roman"/>
          <w:lang w:val="fr-CA"/>
        </w:rPr>
        <w:t>’</w:t>
      </w:r>
      <w:r w:rsidRPr="009F420B">
        <w:rPr>
          <w:rFonts w:cs="Times New Roman"/>
          <w:lang w:val="fr-CA"/>
        </w:rPr>
        <w:t>existence d</w:t>
      </w:r>
      <w:r>
        <w:rPr>
          <w:rFonts w:cs="Times New Roman"/>
          <w:lang w:val="fr-CA"/>
        </w:rPr>
        <w:t>’</w:t>
      </w:r>
      <w:r w:rsidRPr="009F420B">
        <w:rPr>
          <w:rFonts w:cs="Times New Roman"/>
          <w:lang w:val="fr-CA"/>
        </w:rPr>
        <w:t>un rattachement important entre le défendeur et l</w:t>
      </w:r>
      <w:r>
        <w:rPr>
          <w:rFonts w:cs="Times New Roman"/>
          <w:lang w:val="fr-CA"/>
        </w:rPr>
        <w:t>’</w:t>
      </w:r>
      <w:r w:rsidRPr="009F420B">
        <w:rPr>
          <w:rFonts w:cs="Times New Roman"/>
          <w:lang w:val="fr-CA"/>
        </w:rPr>
        <w:t>autorité étrangère. C</w:t>
      </w:r>
      <w:r>
        <w:rPr>
          <w:rFonts w:cs="Times New Roman"/>
          <w:lang w:val="fr-CA"/>
        </w:rPr>
        <w:t>’</w:t>
      </w:r>
      <w:r w:rsidRPr="009F420B">
        <w:rPr>
          <w:rFonts w:cs="Times New Roman"/>
          <w:lang w:val="fr-CA"/>
        </w:rPr>
        <w:t>est précisément la raison pour laquelle je suis d</w:t>
      </w:r>
      <w:r>
        <w:rPr>
          <w:rFonts w:cs="Times New Roman"/>
          <w:lang w:val="fr-CA"/>
        </w:rPr>
        <w:t>’</w:t>
      </w:r>
      <w:r w:rsidRPr="009F420B">
        <w:rPr>
          <w:rFonts w:cs="Times New Roman"/>
          <w:lang w:val="fr-CA"/>
        </w:rPr>
        <w:t>accord avec ma collègue la juge Côté pour dire que M. Barer n</w:t>
      </w:r>
      <w:r>
        <w:rPr>
          <w:rFonts w:cs="Times New Roman"/>
          <w:lang w:val="fr-CA"/>
        </w:rPr>
        <w:t>’</w:t>
      </w:r>
      <w:r w:rsidRPr="009F420B">
        <w:rPr>
          <w:rFonts w:cs="Times New Roman"/>
          <w:lang w:val="fr-CA"/>
        </w:rPr>
        <w:t>a pas reconnu la compétence du tribunal de l</w:t>
      </w:r>
      <w:r>
        <w:rPr>
          <w:rFonts w:cs="Times New Roman"/>
          <w:lang w:val="fr-CA"/>
        </w:rPr>
        <w:t>’</w:t>
      </w:r>
      <w:r w:rsidRPr="009F420B">
        <w:rPr>
          <w:rFonts w:cs="Times New Roman"/>
          <w:lang w:val="fr-CA"/>
        </w:rPr>
        <w:t>Utah du simple fait qu</w:t>
      </w:r>
      <w:r>
        <w:rPr>
          <w:rFonts w:cs="Times New Roman"/>
          <w:lang w:val="fr-CA"/>
        </w:rPr>
        <w:t>’</w:t>
      </w:r>
      <w:r w:rsidRPr="009F420B">
        <w:rPr>
          <w:rFonts w:cs="Times New Roman"/>
          <w:lang w:val="fr-CA"/>
        </w:rPr>
        <w:t xml:space="preserve">il a présenté </w:t>
      </w:r>
      <w:r w:rsidRPr="009F420B">
        <w:rPr>
          <w:rFonts w:cs="Times New Roman"/>
          <w:i/>
          <w:lang w:val="fr-CA"/>
        </w:rPr>
        <w:t>un unique</w:t>
      </w:r>
      <w:r w:rsidRPr="009F420B">
        <w:rPr>
          <w:rFonts w:cs="Times New Roman"/>
          <w:lang w:val="fr-CA"/>
        </w:rPr>
        <w:t xml:space="preserve"> argument quant au bien</w:t>
      </w:r>
      <w:r>
        <w:rPr>
          <w:rFonts w:cs="Times New Roman"/>
          <w:lang w:val="fr-CA"/>
        </w:rPr>
        <w:noBreakHyphen/>
      </w:r>
      <w:r w:rsidRPr="009F420B">
        <w:rPr>
          <w:rFonts w:cs="Times New Roman"/>
          <w:lang w:val="fr-CA"/>
        </w:rPr>
        <w:t>fondé de l</w:t>
      </w:r>
      <w:r>
        <w:rPr>
          <w:rFonts w:cs="Times New Roman"/>
          <w:lang w:val="fr-CA"/>
        </w:rPr>
        <w:t>’</w:t>
      </w:r>
      <w:r w:rsidRPr="009F420B">
        <w:rPr>
          <w:rFonts w:cs="Times New Roman"/>
          <w:lang w:val="fr-CA"/>
        </w:rPr>
        <w:t>action dans sa requête en irrecevabilité. Ce seul acte ne suffit pas en soi à établir l</w:t>
      </w:r>
      <w:r>
        <w:rPr>
          <w:rFonts w:cs="Times New Roman"/>
          <w:lang w:val="fr-CA"/>
        </w:rPr>
        <w:t>’</w:t>
      </w:r>
      <w:r w:rsidRPr="009F420B">
        <w:rPr>
          <w:rFonts w:cs="Times New Roman"/>
          <w:lang w:val="fr-CA"/>
        </w:rPr>
        <w:t>existence d</w:t>
      </w:r>
      <w:r>
        <w:rPr>
          <w:rFonts w:cs="Times New Roman"/>
          <w:lang w:val="fr-CA"/>
        </w:rPr>
        <w:t>’</w:t>
      </w:r>
      <w:r w:rsidRPr="009F420B">
        <w:rPr>
          <w:rFonts w:cs="Times New Roman"/>
          <w:lang w:val="fr-CA"/>
        </w:rPr>
        <w:t>un rattachement important entre M. Barer et le tribunal de l</w:t>
      </w:r>
      <w:r>
        <w:rPr>
          <w:rFonts w:cs="Times New Roman"/>
          <w:lang w:val="fr-CA"/>
        </w:rPr>
        <w:t>’</w:t>
      </w:r>
      <w:r w:rsidRPr="009F420B">
        <w:rPr>
          <w:rFonts w:cs="Times New Roman"/>
          <w:lang w:val="fr-CA"/>
        </w:rPr>
        <w:t>Utah et, par conséquent, ne constitue pas une reconnaissance implicite au sens où il faut l</w:t>
      </w:r>
      <w:r>
        <w:rPr>
          <w:rFonts w:cs="Times New Roman"/>
          <w:lang w:val="fr-CA"/>
        </w:rPr>
        <w:t>’</w:t>
      </w:r>
      <w:r w:rsidRPr="009F420B">
        <w:rPr>
          <w:rFonts w:cs="Times New Roman"/>
          <w:lang w:val="fr-CA"/>
        </w:rPr>
        <w:t>entendre pour l</w:t>
      </w:r>
      <w:r>
        <w:rPr>
          <w:rFonts w:cs="Times New Roman"/>
          <w:lang w:val="fr-CA"/>
        </w:rPr>
        <w:t>’</w:t>
      </w:r>
      <w:r w:rsidRPr="009F420B">
        <w:rPr>
          <w:rFonts w:cs="Times New Roman"/>
          <w:lang w:val="fr-CA"/>
        </w:rPr>
        <w:t>application de l</w:t>
      </w:r>
      <w:r>
        <w:rPr>
          <w:rFonts w:cs="Times New Roman"/>
          <w:lang w:val="fr-CA"/>
        </w:rPr>
        <w:t>’art. </w:t>
      </w:r>
      <w:r w:rsidRPr="009F420B">
        <w:rPr>
          <w:rFonts w:cs="Times New Roman"/>
          <w:lang w:val="fr-CA"/>
        </w:rPr>
        <w:t xml:space="preserve">3168 </w:t>
      </w:r>
      <w:r w:rsidRPr="009F420B">
        <w:rPr>
          <w:rFonts w:cs="Times New Roman"/>
          <w:i/>
          <w:lang w:val="fr-CA"/>
        </w:rPr>
        <w:t>C.c.Q.</w:t>
      </w:r>
      <w:r w:rsidRPr="009F420B">
        <w:rPr>
          <w:rFonts w:cs="Times New Roman"/>
          <w:lang w:val="fr-CA"/>
        </w:rPr>
        <w:t xml:space="preserve"> </w:t>
      </w:r>
    </w:p>
    <w:p w:rsidR="00AF6697" w:rsidRPr="009F420B" w:rsidRDefault="00AF6697" w:rsidP="00AF6697">
      <w:pPr>
        <w:pStyle w:val="ParaNoNdepar-AltN"/>
        <w:rPr>
          <w:rFonts w:cs="Times New Roman"/>
          <w:lang w:val="fr-CA"/>
        </w:rPr>
      </w:pPr>
      <w:r w:rsidRPr="009F420B">
        <w:rPr>
          <w:rFonts w:cs="Times New Roman"/>
          <w:lang w:val="fr-CA"/>
        </w:rPr>
        <w:t>Ma collègue la juge Côté ajoute toutefois que « [l]a jurisprudence illustre la pertinence d</w:t>
      </w:r>
      <w:r>
        <w:rPr>
          <w:rFonts w:cs="Times New Roman"/>
          <w:lang w:val="fr-CA"/>
        </w:rPr>
        <w:t>’</w:t>
      </w:r>
      <w:r w:rsidRPr="009F420B">
        <w:rPr>
          <w:rFonts w:cs="Times New Roman"/>
          <w:lang w:val="fr-CA"/>
        </w:rPr>
        <w:t>une exigence distincte de rattachement important »</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249. Je reconnais qu</w:t>
      </w:r>
      <w:r>
        <w:rPr>
          <w:rFonts w:cs="Times New Roman"/>
          <w:lang w:val="fr-CA"/>
        </w:rPr>
        <w:t>’</w:t>
      </w:r>
      <w:r w:rsidRPr="009F420B">
        <w:rPr>
          <w:rFonts w:cs="Times New Roman"/>
          <w:lang w:val="fr-CA"/>
        </w:rPr>
        <w:t xml:space="preserve">il </w:t>
      </w:r>
      <w:r w:rsidRPr="009F420B">
        <w:rPr>
          <w:rFonts w:cs="Times New Roman"/>
          <w:i/>
          <w:lang w:val="fr-CA"/>
        </w:rPr>
        <w:t>ne</w:t>
      </w:r>
      <w:r w:rsidRPr="009F420B">
        <w:rPr>
          <w:rFonts w:cs="Times New Roman"/>
          <w:lang w:val="fr-CA"/>
        </w:rPr>
        <w:t xml:space="preserve"> ressort </w:t>
      </w:r>
      <w:r w:rsidRPr="009F420B">
        <w:rPr>
          <w:rFonts w:cs="Times New Roman"/>
          <w:i/>
          <w:lang w:val="fr-CA"/>
        </w:rPr>
        <w:t>pas</w:t>
      </w:r>
      <w:r w:rsidRPr="009F420B">
        <w:rPr>
          <w:rFonts w:cs="Times New Roman"/>
          <w:lang w:val="fr-CA"/>
        </w:rPr>
        <w:t xml:space="preserve"> de la jurisprudence qu</w:t>
      </w:r>
      <w:r>
        <w:rPr>
          <w:rFonts w:cs="Times New Roman"/>
          <w:lang w:val="fr-CA"/>
        </w:rPr>
        <w:t>’</w:t>
      </w:r>
      <w:r w:rsidRPr="009F420B">
        <w:rPr>
          <w:rFonts w:cs="Times New Roman"/>
          <w:lang w:val="fr-CA"/>
        </w:rPr>
        <w:t>il s</w:t>
      </w:r>
      <w:r>
        <w:rPr>
          <w:rFonts w:cs="Times New Roman"/>
          <w:lang w:val="fr-CA"/>
        </w:rPr>
        <w:t>’</w:t>
      </w:r>
      <w:r w:rsidRPr="009F420B">
        <w:rPr>
          <w:rFonts w:cs="Times New Roman"/>
          <w:lang w:val="fr-CA"/>
        </w:rPr>
        <w:t>agit d</w:t>
      </w:r>
      <w:r>
        <w:rPr>
          <w:rFonts w:cs="Times New Roman"/>
          <w:lang w:val="fr-CA"/>
        </w:rPr>
        <w:t>’</w:t>
      </w:r>
      <w:r w:rsidRPr="009F420B">
        <w:rPr>
          <w:rFonts w:cs="Times New Roman"/>
          <w:lang w:val="fr-CA"/>
        </w:rPr>
        <w:t xml:space="preserve">un facteur </w:t>
      </w:r>
      <w:r w:rsidRPr="009F420B">
        <w:rPr>
          <w:rFonts w:cs="Times New Roman"/>
          <w:i/>
          <w:lang w:val="fr-CA"/>
        </w:rPr>
        <w:t xml:space="preserve">non </w:t>
      </w:r>
      <w:r w:rsidRPr="009F420B">
        <w:rPr>
          <w:rFonts w:cs="Times New Roman"/>
          <w:lang w:val="fr-CA"/>
        </w:rPr>
        <w:t>pertinent, mais on ne peut certainement pas en inférer qu</w:t>
      </w:r>
      <w:r>
        <w:rPr>
          <w:rFonts w:cs="Times New Roman"/>
          <w:lang w:val="fr-CA"/>
        </w:rPr>
        <w:t>’</w:t>
      </w:r>
      <w:r w:rsidRPr="009F420B">
        <w:rPr>
          <w:rFonts w:cs="Times New Roman"/>
          <w:lang w:val="fr-CA"/>
        </w:rPr>
        <w:t>il s</w:t>
      </w:r>
      <w:r>
        <w:rPr>
          <w:rFonts w:cs="Times New Roman"/>
          <w:lang w:val="fr-CA"/>
        </w:rPr>
        <w:t>’</w:t>
      </w:r>
      <w:r w:rsidRPr="009F420B">
        <w:rPr>
          <w:rFonts w:cs="Times New Roman"/>
          <w:lang w:val="fr-CA"/>
        </w:rPr>
        <w:t>agit d</w:t>
      </w:r>
      <w:r>
        <w:rPr>
          <w:rFonts w:cs="Times New Roman"/>
          <w:lang w:val="fr-CA"/>
        </w:rPr>
        <w:t>’</w:t>
      </w:r>
      <w:r w:rsidRPr="009F420B">
        <w:rPr>
          <w:rFonts w:cs="Times New Roman"/>
          <w:lang w:val="fr-CA"/>
        </w:rPr>
        <w:t xml:space="preserve">une exigence fondamentale. Dans la décision </w:t>
      </w:r>
      <w:r w:rsidRPr="009F420B">
        <w:rPr>
          <w:rFonts w:cs="Times New Roman"/>
          <w:i/>
          <w:lang w:val="fr-CA"/>
        </w:rPr>
        <w:t>Cortas Canning</w:t>
      </w:r>
      <w:r w:rsidRPr="009F420B">
        <w:rPr>
          <w:rFonts w:cs="Times New Roman"/>
          <w:lang w:val="fr-CA"/>
        </w:rPr>
        <w:t>, sur laquelle s</w:t>
      </w:r>
      <w:r>
        <w:rPr>
          <w:rFonts w:cs="Times New Roman"/>
          <w:lang w:val="fr-CA"/>
        </w:rPr>
        <w:t>’</w:t>
      </w:r>
      <w:r w:rsidRPr="009F420B">
        <w:rPr>
          <w:rFonts w:cs="Times New Roman"/>
          <w:lang w:val="fr-CA"/>
        </w:rPr>
        <w:t>est fondée ma collègue, le facteur déterminant pour l</w:t>
      </w:r>
      <w:r>
        <w:rPr>
          <w:rFonts w:cs="Times New Roman"/>
          <w:lang w:val="fr-CA"/>
        </w:rPr>
        <w:t>’</w:t>
      </w:r>
      <w:r w:rsidRPr="009F420B">
        <w:rPr>
          <w:rFonts w:cs="Times New Roman"/>
          <w:lang w:val="fr-CA"/>
        </w:rPr>
        <w:t>issue de l</w:t>
      </w:r>
      <w:r>
        <w:rPr>
          <w:rFonts w:cs="Times New Roman"/>
          <w:lang w:val="fr-CA"/>
        </w:rPr>
        <w:t>’</w:t>
      </w:r>
      <w:r w:rsidRPr="009F420B">
        <w:rPr>
          <w:rFonts w:cs="Times New Roman"/>
          <w:lang w:val="fr-CA"/>
        </w:rPr>
        <w:t>affaire a été — bien qu</w:t>
      </w:r>
      <w:r>
        <w:rPr>
          <w:rFonts w:cs="Times New Roman"/>
          <w:lang w:val="fr-CA"/>
        </w:rPr>
        <w:t>’</w:t>
      </w:r>
      <w:r w:rsidRPr="009F420B">
        <w:rPr>
          <w:rFonts w:cs="Times New Roman"/>
          <w:lang w:val="fr-CA"/>
        </w:rPr>
        <w:t>elle ait été formulée dans une remarque incidente — la préoccupation évidente de la Cour supérieure du Québec quant à la reconnaissance d</w:t>
      </w:r>
      <w:r>
        <w:rPr>
          <w:rFonts w:cs="Times New Roman"/>
          <w:lang w:val="fr-CA"/>
        </w:rPr>
        <w:t>’</w:t>
      </w:r>
      <w:r w:rsidRPr="009F420B">
        <w:rPr>
          <w:rFonts w:cs="Times New Roman"/>
          <w:lang w:val="fr-CA"/>
        </w:rPr>
        <w:t xml:space="preserve">un jugement par défaut de 9 M$ rendu en lien avec un </w:t>
      </w:r>
      <w:r w:rsidRPr="009F420B">
        <w:rPr>
          <w:rFonts w:cs="Times New Roman"/>
          <w:lang w:val="fr-CA"/>
        </w:rPr>
        <w:lastRenderedPageBreak/>
        <w:t>contrat relatif à l</w:t>
      </w:r>
      <w:r>
        <w:rPr>
          <w:rFonts w:cs="Times New Roman"/>
          <w:lang w:val="fr-CA"/>
        </w:rPr>
        <w:t>’</w:t>
      </w:r>
      <w:r w:rsidRPr="009F420B">
        <w:rPr>
          <w:rFonts w:cs="Times New Roman"/>
          <w:lang w:val="fr-CA"/>
        </w:rPr>
        <w:t>achat au Texas de produits d</w:t>
      </w:r>
      <w:r>
        <w:rPr>
          <w:rFonts w:cs="Times New Roman"/>
          <w:lang w:val="fr-CA"/>
        </w:rPr>
        <w:t>’</w:t>
      </w:r>
      <w:r w:rsidRPr="009F420B">
        <w:rPr>
          <w:rFonts w:cs="Times New Roman"/>
          <w:lang w:val="fr-CA"/>
        </w:rPr>
        <w:t>une valeur de 96</w:t>
      </w:r>
      <w:r>
        <w:rPr>
          <w:rFonts w:cs="Times New Roman"/>
          <w:lang w:val="fr-CA"/>
        </w:rPr>
        <w:t> $</w:t>
      </w:r>
      <w:r w:rsidRPr="009F420B">
        <w:rPr>
          <w:rFonts w:cs="Times New Roman"/>
          <w:lang w:val="fr-CA"/>
        </w:rPr>
        <w:t xml:space="preserve">. La Cour supérieure a considéré que </w:t>
      </w:r>
      <w:r>
        <w:rPr>
          <w:rFonts w:cs="Times New Roman"/>
          <w:lang w:val="fr-CA"/>
        </w:rPr>
        <w:t>le montant auquel avai</w:t>
      </w:r>
      <w:r w:rsidR="00B730EB">
        <w:rPr>
          <w:rFonts w:cs="Times New Roman"/>
          <w:lang w:val="fr-CA"/>
        </w:rPr>
        <w:t>en</w:t>
      </w:r>
      <w:r>
        <w:rPr>
          <w:rFonts w:cs="Times New Roman"/>
          <w:lang w:val="fr-CA"/>
        </w:rPr>
        <w:t>t été condamné</w:t>
      </w:r>
      <w:r w:rsidR="00B730EB">
        <w:rPr>
          <w:rFonts w:cs="Times New Roman"/>
          <w:lang w:val="fr-CA"/>
        </w:rPr>
        <w:t>s</w:t>
      </w:r>
      <w:r>
        <w:rPr>
          <w:rFonts w:cs="Times New Roman"/>
          <w:lang w:val="fr-CA"/>
        </w:rPr>
        <w:t xml:space="preserve"> les défendeurs était </w:t>
      </w:r>
      <w:r w:rsidRPr="009F420B">
        <w:rPr>
          <w:rFonts w:cs="Times New Roman"/>
          <w:lang w:val="fr-CA"/>
        </w:rPr>
        <w:t>[</w:t>
      </w:r>
      <w:r w:rsidRPr="009F420B">
        <w:rPr>
          <w:rFonts w:cs="Times New Roman"/>
          <w:smallCaps/>
          <w:lang w:val="fr-CA"/>
        </w:rPr>
        <w:t>traduction</w:t>
      </w:r>
      <w:r w:rsidRPr="009F420B">
        <w:rPr>
          <w:rFonts w:cs="Times New Roman"/>
          <w:lang w:val="fr-CA"/>
        </w:rPr>
        <w:t xml:space="preserve">] « extrêmement élevé dans les circonstances », de sorte que le résultat </w:t>
      </w:r>
      <w:r>
        <w:rPr>
          <w:rFonts w:cs="Times New Roman"/>
          <w:lang w:val="fr-CA"/>
        </w:rPr>
        <w:t xml:space="preserve">pouvait être considéré </w:t>
      </w:r>
      <w:r w:rsidRPr="009F420B">
        <w:rPr>
          <w:rFonts w:cs="Times New Roman"/>
          <w:lang w:val="fr-CA"/>
        </w:rPr>
        <w:t>« manifestement incompatible avec l</w:t>
      </w:r>
      <w:r>
        <w:rPr>
          <w:rFonts w:cs="Times New Roman"/>
          <w:lang w:val="fr-CA"/>
        </w:rPr>
        <w:t>’</w:t>
      </w:r>
      <w:r w:rsidRPr="009F420B">
        <w:rPr>
          <w:rFonts w:cs="Times New Roman"/>
          <w:lang w:val="fr-CA"/>
        </w:rPr>
        <w:t>ordre public tel qu</w:t>
      </w:r>
      <w:r>
        <w:rPr>
          <w:rFonts w:cs="Times New Roman"/>
          <w:lang w:val="fr-CA"/>
        </w:rPr>
        <w:t>’</w:t>
      </w:r>
      <w:r w:rsidRPr="009F420B">
        <w:rPr>
          <w:rFonts w:cs="Times New Roman"/>
          <w:lang w:val="fr-CA"/>
        </w:rPr>
        <w:t xml:space="preserve">il est entendu dans les relations internationales », critère prévu </w:t>
      </w:r>
      <w:r w:rsidR="00F43F7E">
        <w:rPr>
          <w:rFonts w:cs="Times New Roman"/>
          <w:lang w:val="fr-CA"/>
        </w:rPr>
        <w:t>au par.</w:t>
      </w:r>
      <w:r>
        <w:rPr>
          <w:rFonts w:cs="Times New Roman"/>
          <w:lang w:val="fr-CA"/>
        </w:rPr>
        <w:t> </w:t>
      </w:r>
      <w:r w:rsidRPr="009F420B">
        <w:rPr>
          <w:rFonts w:cs="Times New Roman"/>
          <w:lang w:val="fr-CA"/>
        </w:rPr>
        <w:t xml:space="preserve">3155(5) </w:t>
      </w:r>
      <w:r w:rsidRPr="009F420B">
        <w:rPr>
          <w:rFonts w:cs="Times New Roman"/>
          <w:i/>
          <w:lang w:val="fr-CA"/>
        </w:rPr>
        <w:t>C.c.Q.</w:t>
      </w:r>
      <w:r>
        <w:rPr>
          <w:rFonts w:cs="Times New Roman"/>
          <w:lang w:val="fr-CA"/>
        </w:rPr>
        <w:t> :</w:t>
      </w:r>
      <w:r w:rsidRPr="009F420B">
        <w:rPr>
          <w:rFonts w:cs="Times New Roman"/>
          <w:lang w:val="fr-CA"/>
        </w:rPr>
        <w:t xml:space="preserve"> </w:t>
      </w:r>
      <w:r>
        <w:rPr>
          <w:rFonts w:cs="Times New Roman"/>
          <w:lang w:val="fr-CA"/>
        </w:rPr>
        <w:t>p. </w:t>
      </w:r>
      <w:r w:rsidR="00736841">
        <w:rPr>
          <w:rFonts w:cs="Times New Roman"/>
          <w:lang w:val="fr-CA"/>
        </w:rPr>
        <w:t xml:space="preserve">1231 et </w:t>
      </w:r>
      <w:r w:rsidRPr="009F420B">
        <w:rPr>
          <w:rFonts w:cs="Times New Roman"/>
          <w:lang w:val="fr-CA"/>
        </w:rPr>
        <w:t xml:space="preserve">1241; voir aussi </w:t>
      </w:r>
      <w:r w:rsidRPr="009F420B">
        <w:rPr>
          <w:rFonts w:cs="Times New Roman"/>
          <w:i/>
          <w:lang w:val="fr-CA"/>
        </w:rPr>
        <w:t>McKinnon c. Polisuk</w:t>
      </w:r>
      <w:r w:rsidRPr="009F420B">
        <w:rPr>
          <w:rFonts w:cs="Times New Roman"/>
          <w:lang w:val="fr-CA"/>
        </w:rPr>
        <w:t xml:space="preserve">, 2009 QCCS 5778; Talpis, </w:t>
      </w:r>
      <w:r>
        <w:rPr>
          <w:rFonts w:cs="Times New Roman"/>
          <w:lang w:val="fr-CA"/>
        </w:rPr>
        <w:t>p. </w:t>
      </w:r>
      <w:r w:rsidRPr="009F420B">
        <w:rPr>
          <w:rFonts w:cs="Times New Roman"/>
          <w:lang w:val="fr-CA"/>
        </w:rPr>
        <w:t>171</w:t>
      </w:r>
      <w:r>
        <w:rPr>
          <w:rFonts w:cs="Times New Roman"/>
          <w:lang w:val="fr-CA"/>
        </w:rPr>
        <w:noBreakHyphen/>
      </w:r>
      <w:r w:rsidRPr="009F420B">
        <w:rPr>
          <w:rFonts w:cs="Times New Roman"/>
          <w:lang w:val="fr-CA"/>
        </w:rPr>
        <w:t>172 ([</w:t>
      </w:r>
      <w:r w:rsidRPr="009F420B">
        <w:rPr>
          <w:rFonts w:cs="Times New Roman"/>
          <w:smallCaps/>
          <w:lang w:val="fr-CA"/>
        </w:rPr>
        <w:t>traduction</w:t>
      </w:r>
      <w:r w:rsidRPr="009F420B">
        <w:rPr>
          <w:rFonts w:cs="Times New Roman"/>
          <w:lang w:val="fr-CA"/>
        </w:rPr>
        <w:t>] « </w:t>
      </w:r>
      <w:r w:rsidR="00A5116D">
        <w:rPr>
          <w:rFonts w:cs="Times New Roman"/>
          <w:lang w:val="fr-CA"/>
        </w:rPr>
        <w:t>s</w:t>
      </w:r>
      <w:r w:rsidRPr="009F420B">
        <w:rPr>
          <w:rFonts w:cs="Times New Roman"/>
          <w:lang w:val="fr-CA"/>
        </w:rPr>
        <w:t>i, en plus d</w:t>
      </w:r>
      <w:r>
        <w:rPr>
          <w:rFonts w:cs="Times New Roman"/>
          <w:lang w:val="fr-CA"/>
        </w:rPr>
        <w:t>’</w:t>
      </w:r>
      <w:r w:rsidRPr="009F420B">
        <w:rPr>
          <w:rFonts w:cs="Times New Roman"/>
          <w:lang w:val="fr-CA"/>
        </w:rPr>
        <w:t>une condamnation à des dommages</w:t>
      </w:r>
      <w:r>
        <w:rPr>
          <w:rFonts w:cs="Times New Roman"/>
          <w:lang w:val="fr-CA"/>
        </w:rPr>
        <w:noBreakHyphen/>
      </w:r>
      <w:r w:rsidRPr="009F420B">
        <w:rPr>
          <w:rFonts w:cs="Times New Roman"/>
          <w:lang w:val="fr-CA"/>
        </w:rPr>
        <w:t>intérêts disproportionnés, on est en présence d</w:t>
      </w:r>
      <w:r>
        <w:rPr>
          <w:rFonts w:cs="Times New Roman"/>
          <w:lang w:val="fr-CA"/>
        </w:rPr>
        <w:t>’</w:t>
      </w:r>
      <w:r w:rsidRPr="009F420B">
        <w:rPr>
          <w:rFonts w:cs="Times New Roman"/>
          <w:lang w:val="fr-CA"/>
        </w:rPr>
        <w:t>autres circonstances controversées, comme un écart considérable entre le préjudice effectivement causé au demandeur et le montant réclamé, comme c</w:t>
      </w:r>
      <w:r>
        <w:rPr>
          <w:rFonts w:cs="Times New Roman"/>
          <w:lang w:val="fr-CA"/>
        </w:rPr>
        <w:t>’</w:t>
      </w:r>
      <w:r w:rsidRPr="009F420B">
        <w:rPr>
          <w:rFonts w:cs="Times New Roman"/>
          <w:lang w:val="fr-CA"/>
        </w:rPr>
        <w:t>était le cas dans l</w:t>
      </w:r>
      <w:r>
        <w:rPr>
          <w:rFonts w:cs="Times New Roman"/>
          <w:lang w:val="fr-CA"/>
        </w:rPr>
        <w:t>’</w:t>
      </w:r>
      <w:r w:rsidRPr="009F420B">
        <w:rPr>
          <w:rFonts w:cs="Times New Roman"/>
          <w:lang w:val="fr-CA"/>
        </w:rPr>
        <w:t xml:space="preserve">affaire </w:t>
      </w:r>
      <w:r w:rsidRPr="009F420B">
        <w:rPr>
          <w:rFonts w:cs="Times New Roman"/>
          <w:i/>
          <w:lang w:val="fr-CA"/>
        </w:rPr>
        <w:t>Cortas Canning</w:t>
      </w:r>
      <w:r w:rsidRPr="009F420B">
        <w:rPr>
          <w:rFonts w:cs="Times New Roman"/>
          <w:lang w:val="fr-CA"/>
        </w:rPr>
        <w:t>, il semble que le tribunal québécois pourrait être enclin à invoquer des motifs d</w:t>
      </w:r>
      <w:r>
        <w:rPr>
          <w:rFonts w:cs="Times New Roman"/>
          <w:lang w:val="fr-CA"/>
        </w:rPr>
        <w:t>’</w:t>
      </w:r>
      <w:r w:rsidRPr="009F420B">
        <w:rPr>
          <w:rFonts w:cs="Times New Roman"/>
          <w:lang w:val="fr-CA"/>
        </w:rPr>
        <w:t>ordre public pour refuser de reconnaître la décision » (note en bas de page omise)</w:t>
      </w:r>
      <w:r w:rsidR="00B730EB">
        <w:rPr>
          <w:rFonts w:cs="Times New Roman"/>
          <w:lang w:val="fr-CA"/>
        </w:rPr>
        <w:t>)</w:t>
      </w:r>
      <w:r w:rsidRPr="009F420B">
        <w:rPr>
          <w:rFonts w:cs="Times New Roman"/>
          <w:lang w:val="fr-CA"/>
        </w:rPr>
        <w:t>; Emanuelli, n</w:t>
      </w:r>
      <w:r w:rsidRPr="009F420B">
        <w:rPr>
          <w:rFonts w:cs="Times New Roman"/>
          <w:vertAlign w:val="superscript"/>
          <w:lang w:val="fr-CA"/>
        </w:rPr>
        <w:t>o</w:t>
      </w:r>
      <w:r w:rsidRPr="009F420B">
        <w:rPr>
          <w:rFonts w:cs="Times New Roman"/>
          <w:lang w:val="fr-CA"/>
        </w:rPr>
        <w:t> 299 (« </w:t>
      </w:r>
      <w:r w:rsidR="00A5116D">
        <w:rPr>
          <w:rFonts w:cs="Times New Roman"/>
          <w:lang w:val="fr-CA"/>
        </w:rPr>
        <w:t>c</w:t>
      </w:r>
      <w:r w:rsidRPr="009F420B">
        <w:rPr>
          <w:rFonts w:cs="Times New Roman"/>
          <w:lang w:val="fr-CA"/>
        </w:rPr>
        <w:t>ertaines décisions judiciaires québécoises ont laissé entendre qu</w:t>
      </w:r>
      <w:r>
        <w:rPr>
          <w:rFonts w:cs="Times New Roman"/>
          <w:lang w:val="fr-CA"/>
        </w:rPr>
        <w:t>’</w:t>
      </w:r>
      <w:r w:rsidRPr="009F420B">
        <w:rPr>
          <w:rFonts w:cs="Times New Roman"/>
          <w:lang w:val="fr-CA"/>
        </w:rPr>
        <w:t>une condamnation pécuniaire étrangère, excédant substantiellement ce qu</w:t>
      </w:r>
      <w:r>
        <w:rPr>
          <w:rFonts w:cs="Times New Roman"/>
          <w:lang w:val="fr-CA"/>
        </w:rPr>
        <w:t>’</w:t>
      </w:r>
      <w:r w:rsidRPr="009F420B">
        <w:rPr>
          <w:rFonts w:cs="Times New Roman"/>
          <w:lang w:val="fr-CA"/>
        </w:rPr>
        <w:t>aurait accordé un tribunal québécois, peut être contraire à l</w:t>
      </w:r>
      <w:r>
        <w:rPr>
          <w:rFonts w:cs="Times New Roman"/>
          <w:lang w:val="fr-CA"/>
        </w:rPr>
        <w:t>’</w:t>
      </w:r>
      <w:r w:rsidRPr="009F420B">
        <w:rPr>
          <w:rFonts w:cs="Times New Roman"/>
          <w:lang w:val="fr-CA"/>
        </w:rPr>
        <w:t xml:space="preserve">ordre public québécois au sens du droit international, surtout si elle correspond à des dommages punitifs ou exemplaires. Cette position [. . .] nous paraît juste » (note en bas de page omise)); </w:t>
      </w:r>
      <w:r w:rsidRPr="009F420B">
        <w:rPr>
          <w:rFonts w:cs="Times New Roman"/>
          <w:i/>
          <w:lang w:val="fr-CA"/>
        </w:rPr>
        <w:t>Beals c. Saldanha</w:t>
      </w:r>
      <w:r w:rsidRPr="009F420B">
        <w:rPr>
          <w:rFonts w:cs="Times New Roman"/>
          <w:lang w:val="fr-CA"/>
        </w:rPr>
        <w:t xml:space="preserve">, 2003 CSC 72, [2003] 3 R.C.S. 416, </w:t>
      </w:r>
      <w:r>
        <w:rPr>
          <w:rFonts w:cs="Times New Roman"/>
          <w:lang w:val="fr-CA"/>
        </w:rPr>
        <w:t>par. </w:t>
      </w:r>
      <w:r w:rsidRPr="009F420B">
        <w:rPr>
          <w:rFonts w:cs="Times New Roman"/>
          <w:lang w:val="fr-CA"/>
        </w:rPr>
        <w:t xml:space="preserve">71 et </w:t>
      </w:r>
      <w:r w:rsidR="00736841">
        <w:rPr>
          <w:rFonts w:cs="Times New Roman"/>
          <w:lang w:val="fr-CA"/>
        </w:rPr>
        <w:t>suiv</w:t>
      </w:r>
      <w:r>
        <w:rPr>
          <w:rFonts w:cs="Times New Roman"/>
          <w:lang w:val="fr-CA"/>
        </w:rPr>
        <w:t>. </w:t>
      </w:r>
      <w:r w:rsidRPr="009F420B">
        <w:rPr>
          <w:rFonts w:cs="Times New Roman"/>
          <w:lang w:val="fr-CA"/>
        </w:rPr>
        <w:t xml:space="preserve">et </w:t>
      </w:r>
      <w:r>
        <w:rPr>
          <w:rFonts w:cs="Times New Roman"/>
          <w:lang w:val="fr-CA"/>
        </w:rPr>
        <w:t>par. </w:t>
      </w:r>
      <w:r w:rsidR="00736841">
        <w:rPr>
          <w:rFonts w:cs="Times New Roman"/>
          <w:lang w:val="fr-CA"/>
        </w:rPr>
        <w:t>219 et suiv</w:t>
      </w:r>
      <w:r w:rsidRPr="009F420B">
        <w:rPr>
          <w:rFonts w:cs="Times New Roman"/>
          <w:lang w:val="fr-CA"/>
        </w:rPr>
        <w:t xml:space="preserve">.; </w:t>
      </w:r>
      <w:r w:rsidRPr="009F420B">
        <w:rPr>
          <w:rFonts w:cs="Times New Roman"/>
          <w:i/>
          <w:lang w:val="fr-CA"/>
        </w:rPr>
        <w:t>Con</w:t>
      </w:r>
      <w:r w:rsidR="00B730EB">
        <w:rPr>
          <w:rFonts w:cs="Times New Roman"/>
          <w:i/>
          <w:lang w:val="fr-CA"/>
        </w:rPr>
        <w:t>vention</w:t>
      </w:r>
      <w:r w:rsidRPr="009F420B">
        <w:rPr>
          <w:rFonts w:cs="Times New Roman"/>
          <w:i/>
          <w:lang w:val="fr-CA"/>
        </w:rPr>
        <w:t xml:space="preserve"> sur les accords d</w:t>
      </w:r>
      <w:r>
        <w:rPr>
          <w:rFonts w:cs="Times New Roman"/>
          <w:i/>
          <w:lang w:val="fr-CA"/>
        </w:rPr>
        <w:t>’</w:t>
      </w:r>
      <w:r w:rsidRPr="009F420B">
        <w:rPr>
          <w:rFonts w:cs="Times New Roman"/>
          <w:i/>
          <w:lang w:val="fr-CA"/>
        </w:rPr>
        <w:t>élection de for</w:t>
      </w:r>
      <w:r w:rsidRPr="009F420B">
        <w:rPr>
          <w:rFonts w:cs="Times New Roman"/>
          <w:lang w:val="fr-CA"/>
        </w:rPr>
        <w:t xml:space="preserve"> (2005)</w:t>
      </w:r>
      <w:r>
        <w:rPr>
          <w:rFonts w:cs="Times New Roman"/>
          <w:lang w:val="fr-CA"/>
        </w:rPr>
        <w:t> :</w:t>
      </w:r>
      <w:r w:rsidRPr="009F420B">
        <w:rPr>
          <w:rFonts w:cs="Times New Roman"/>
          <w:lang w:val="fr-CA"/>
        </w:rPr>
        <w:t xml:space="preserve"> </w:t>
      </w:r>
      <w:r>
        <w:rPr>
          <w:rFonts w:cs="Times New Roman"/>
          <w:lang w:val="fr-CA"/>
        </w:rPr>
        <w:t>art. </w:t>
      </w:r>
      <w:r w:rsidRPr="009F420B">
        <w:rPr>
          <w:rFonts w:cs="Times New Roman"/>
          <w:lang w:val="fr-CA"/>
        </w:rPr>
        <w:t>11. (J</w:t>
      </w:r>
      <w:r>
        <w:rPr>
          <w:rFonts w:cs="Times New Roman"/>
          <w:lang w:val="fr-CA"/>
        </w:rPr>
        <w:t>’</w:t>
      </w:r>
      <w:r w:rsidRPr="009F420B">
        <w:rPr>
          <w:rFonts w:cs="Times New Roman"/>
          <w:lang w:val="fr-CA"/>
        </w:rPr>
        <w:t>ajouterais que je ne me prononce aucunement sur la question de savoir s</w:t>
      </w:r>
      <w:r>
        <w:rPr>
          <w:rFonts w:cs="Times New Roman"/>
          <w:lang w:val="fr-CA"/>
        </w:rPr>
        <w:t>’</w:t>
      </w:r>
      <w:r w:rsidRPr="009F420B">
        <w:rPr>
          <w:rFonts w:cs="Times New Roman"/>
          <w:lang w:val="fr-CA"/>
        </w:rPr>
        <w:t xml:space="preserve">il est possible de refuser de reconnaître un jugement au titre </w:t>
      </w:r>
      <w:r w:rsidR="00F43F7E">
        <w:rPr>
          <w:rFonts w:cs="Times New Roman"/>
          <w:lang w:val="fr-CA"/>
        </w:rPr>
        <w:t>du par</w:t>
      </w:r>
      <w:r>
        <w:rPr>
          <w:rFonts w:cs="Times New Roman"/>
          <w:lang w:val="fr-CA"/>
        </w:rPr>
        <w:t>. </w:t>
      </w:r>
      <w:r w:rsidRPr="009F420B">
        <w:rPr>
          <w:rFonts w:cs="Times New Roman"/>
          <w:lang w:val="fr-CA"/>
        </w:rPr>
        <w:t xml:space="preserve">3155(5) </w:t>
      </w:r>
      <w:r w:rsidRPr="009F420B">
        <w:rPr>
          <w:rFonts w:cs="Times New Roman"/>
          <w:i/>
          <w:lang w:val="fr-CA"/>
        </w:rPr>
        <w:t>C.c.Q.</w:t>
      </w:r>
      <w:r w:rsidRPr="009F420B">
        <w:rPr>
          <w:rFonts w:cs="Times New Roman"/>
          <w:lang w:val="fr-CA"/>
        </w:rPr>
        <w:t xml:space="preserve"> au motif que les dommages</w:t>
      </w:r>
      <w:r>
        <w:rPr>
          <w:rFonts w:cs="Times New Roman"/>
          <w:lang w:val="fr-CA"/>
        </w:rPr>
        <w:noBreakHyphen/>
      </w:r>
      <w:r w:rsidRPr="009F420B">
        <w:rPr>
          <w:rFonts w:cs="Times New Roman"/>
          <w:lang w:val="fr-CA"/>
        </w:rPr>
        <w:t>intérêts punitifs ou compensatoires octroyés sont excessifs.)</w:t>
      </w:r>
    </w:p>
    <w:p w:rsidR="00AF6697" w:rsidRPr="009F420B" w:rsidRDefault="00AF6697" w:rsidP="00AF6697">
      <w:pPr>
        <w:pStyle w:val="ParaNoNdepar-AltN"/>
        <w:rPr>
          <w:rFonts w:cs="Times New Roman"/>
          <w:lang w:val="fr-CA"/>
        </w:rPr>
      </w:pPr>
      <w:r w:rsidRPr="009F420B">
        <w:rPr>
          <w:rFonts w:cs="Times New Roman"/>
          <w:lang w:val="fr-CA"/>
        </w:rPr>
        <w:t>L</w:t>
      </w:r>
      <w:r>
        <w:rPr>
          <w:rFonts w:cs="Times New Roman"/>
          <w:lang w:val="fr-CA"/>
        </w:rPr>
        <w:t>’</w:t>
      </w:r>
      <w:r w:rsidRPr="009F420B">
        <w:rPr>
          <w:rFonts w:cs="Times New Roman"/>
          <w:lang w:val="fr-CA"/>
        </w:rPr>
        <w:t xml:space="preserve">arrêt </w:t>
      </w:r>
      <w:r w:rsidRPr="009F420B">
        <w:rPr>
          <w:rFonts w:cs="Times New Roman"/>
          <w:i/>
          <w:lang w:val="fr-CA"/>
        </w:rPr>
        <w:t>Hocking</w:t>
      </w:r>
      <w:r w:rsidRPr="009F420B">
        <w:rPr>
          <w:rFonts w:cs="Times New Roman"/>
          <w:lang w:val="fr-CA"/>
        </w:rPr>
        <w:t>, sur lequel ma collègue s</w:t>
      </w:r>
      <w:r>
        <w:rPr>
          <w:rFonts w:cs="Times New Roman"/>
          <w:lang w:val="fr-CA"/>
        </w:rPr>
        <w:t>’</w:t>
      </w:r>
      <w:r w:rsidRPr="009F420B">
        <w:rPr>
          <w:rFonts w:cs="Times New Roman"/>
          <w:lang w:val="fr-CA"/>
        </w:rPr>
        <w:t xml:space="preserve">est aussi fondée au </w:t>
      </w:r>
      <w:r>
        <w:rPr>
          <w:rFonts w:cs="Times New Roman"/>
          <w:lang w:val="fr-CA"/>
        </w:rPr>
        <w:t>par. </w:t>
      </w:r>
      <w:r w:rsidRPr="009F420B">
        <w:rPr>
          <w:rFonts w:cs="Times New Roman"/>
          <w:lang w:val="fr-CA"/>
        </w:rPr>
        <w:t>250 de ses motifs, n</w:t>
      </w:r>
      <w:r>
        <w:rPr>
          <w:rFonts w:cs="Times New Roman"/>
          <w:lang w:val="fr-CA"/>
        </w:rPr>
        <w:t>’</w:t>
      </w:r>
      <w:r w:rsidRPr="009F420B">
        <w:rPr>
          <w:rFonts w:cs="Times New Roman"/>
          <w:lang w:val="fr-CA"/>
        </w:rPr>
        <w:t xml:space="preserve">appuie pas non plus sa position. Dans ce jugement, la juge Bich de la Cour </w:t>
      </w:r>
      <w:r w:rsidRPr="009F420B">
        <w:rPr>
          <w:rFonts w:cs="Times New Roman"/>
          <w:lang w:val="fr-CA"/>
        </w:rPr>
        <w:lastRenderedPageBreak/>
        <w:t>d</w:t>
      </w:r>
      <w:r>
        <w:rPr>
          <w:rFonts w:cs="Times New Roman"/>
          <w:lang w:val="fr-CA"/>
        </w:rPr>
        <w:t>’</w:t>
      </w:r>
      <w:r w:rsidRPr="009F420B">
        <w:rPr>
          <w:rFonts w:cs="Times New Roman"/>
          <w:lang w:val="fr-CA"/>
        </w:rPr>
        <w:t>appel a conclu qu</w:t>
      </w:r>
      <w:r>
        <w:rPr>
          <w:rFonts w:cs="Times New Roman"/>
          <w:lang w:val="fr-CA"/>
        </w:rPr>
        <w:t>’</w:t>
      </w:r>
      <w:r w:rsidRPr="009F420B">
        <w:rPr>
          <w:rFonts w:cs="Times New Roman"/>
          <w:lang w:val="fr-CA"/>
        </w:rPr>
        <w:t>aucun des facteurs de rattachement énumérés à l</w:t>
      </w:r>
      <w:r>
        <w:rPr>
          <w:rFonts w:cs="Times New Roman"/>
          <w:lang w:val="fr-CA"/>
        </w:rPr>
        <w:t>’art. </w:t>
      </w:r>
      <w:r w:rsidRPr="009F420B">
        <w:rPr>
          <w:rFonts w:cs="Times New Roman"/>
          <w:lang w:val="fr-CA"/>
        </w:rPr>
        <w:t xml:space="preserve">3168 </w:t>
      </w:r>
      <w:r w:rsidRPr="009F420B">
        <w:rPr>
          <w:rFonts w:cs="Times New Roman"/>
          <w:i/>
          <w:lang w:val="fr-CA"/>
        </w:rPr>
        <w:t>C.c.Q.</w:t>
      </w:r>
      <w:r w:rsidRPr="009F420B">
        <w:rPr>
          <w:rFonts w:cs="Times New Roman"/>
          <w:lang w:val="fr-CA"/>
        </w:rPr>
        <w:t xml:space="preserve"> n</w:t>
      </w:r>
      <w:r>
        <w:rPr>
          <w:rFonts w:cs="Times New Roman"/>
          <w:lang w:val="fr-CA"/>
        </w:rPr>
        <w:t>’</w:t>
      </w:r>
      <w:r w:rsidRPr="009F420B">
        <w:rPr>
          <w:rFonts w:cs="Times New Roman"/>
          <w:lang w:val="fr-CA"/>
        </w:rPr>
        <w:t>était respecté en ce qui concerne les membres d</w:t>
      </w:r>
      <w:r>
        <w:rPr>
          <w:rFonts w:cs="Times New Roman"/>
          <w:lang w:val="fr-CA"/>
        </w:rPr>
        <w:t>’</w:t>
      </w:r>
      <w:r w:rsidRPr="009F420B">
        <w:rPr>
          <w:rFonts w:cs="Times New Roman"/>
          <w:lang w:val="fr-CA"/>
        </w:rPr>
        <w:t xml:space="preserve">un groupe québécois; en fait, elle a conclu que </w:t>
      </w:r>
      <w:r w:rsidR="00F43F7E">
        <w:rPr>
          <w:rFonts w:cs="Times New Roman"/>
          <w:lang w:val="fr-CA"/>
        </w:rPr>
        <w:t>le par</w:t>
      </w:r>
      <w:r>
        <w:rPr>
          <w:rFonts w:cs="Times New Roman"/>
          <w:lang w:val="fr-CA"/>
        </w:rPr>
        <w:t>. </w:t>
      </w:r>
      <w:r w:rsidRPr="009F420B">
        <w:rPr>
          <w:rFonts w:cs="Times New Roman"/>
          <w:lang w:val="fr-CA"/>
        </w:rPr>
        <w:t xml:space="preserve">3168(6) </w:t>
      </w:r>
      <w:r w:rsidRPr="009F420B">
        <w:rPr>
          <w:rFonts w:cs="Times New Roman"/>
          <w:i/>
          <w:lang w:val="fr-CA"/>
        </w:rPr>
        <w:t>C.c.Q.</w:t>
      </w:r>
      <w:r w:rsidRPr="009F420B">
        <w:rPr>
          <w:rFonts w:cs="Times New Roman"/>
          <w:lang w:val="fr-CA"/>
        </w:rPr>
        <w:t xml:space="preserve"> ne pouvait pas s</w:t>
      </w:r>
      <w:r>
        <w:rPr>
          <w:rFonts w:cs="Times New Roman"/>
          <w:lang w:val="fr-CA"/>
        </w:rPr>
        <w:t>’</w:t>
      </w:r>
      <w:r w:rsidRPr="009F420B">
        <w:rPr>
          <w:rFonts w:cs="Times New Roman"/>
          <w:i/>
          <w:lang w:val="fr-CA"/>
        </w:rPr>
        <w:t>appliquer</w:t>
      </w:r>
      <w:r w:rsidRPr="009F420B">
        <w:rPr>
          <w:rFonts w:cs="Times New Roman"/>
          <w:lang w:val="fr-CA"/>
        </w:rPr>
        <w:t xml:space="preserve"> dans le contexte d</w:t>
      </w:r>
      <w:r>
        <w:rPr>
          <w:rFonts w:cs="Times New Roman"/>
          <w:lang w:val="fr-CA"/>
        </w:rPr>
        <w:t>’</w:t>
      </w:r>
      <w:r w:rsidRPr="009F420B">
        <w:rPr>
          <w:rFonts w:cs="Times New Roman"/>
          <w:lang w:val="fr-CA"/>
        </w:rPr>
        <w:t>un recours collectif parce que les membres du groupe québécois n</w:t>
      </w:r>
      <w:r>
        <w:rPr>
          <w:rFonts w:cs="Times New Roman"/>
          <w:lang w:val="fr-CA"/>
        </w:rPr>
        <w:t>’</w:t>
      </w:r>
      <w:r w:rsidRPr="009F420B">
        <w:rPr>
          <w:rFonts w:cs="Times New Roman"/>
          <w:lang w:val="fr-CA"/>
        </w:rPr>
        <w:t xml:space="preserve">avaient pas </w:t>
      </w:r>
      <w:r w:rsidRPr="009F420B">
        <w:rPr>
          <w:rFonts w:cs="Times New Roman"/>
          <w:i/>
          <w:lang w:val="fr-CA"/>
        </w:rPr>
        <w:t>choisi</w:t>
      </w:r>
      <w:r w:rsidRPr="009F420B">
        <w:rPr>
          <w:rFonts w:cs="Times New Roman"/>
          <w:lang w:val="fr-CA"/>
        </w:rPr>
        <w:t xml:space="preserve"> le tribunal ontarien, ce qui ne respectait pas « la prémisse d</w:t>
      </w:r>
      <w:r>
        <w:rPr>
          <w:rFonts w:cs="Times New Roman"/>
          <w:lang w:val="fr-CA"/>
        </w:rPr>
        <w:t>’</w:t>
      </w:r>
      <w:r w:rsidRPr="009F420B">
        <w:rPr>
          <w:rFonts w:cs="Times New Roman"/>
          <w:lang w:val="fr-CA"/>
        </w:rPr>
        <w:t>un choix de for effectué par celui qui a institué l</w:t>
      </w:r>
      <w:r>
        <w:rPr>
          <w:rFonts w:cs="Times New Roman"/>
          <w:lang w:val="fr-CA"/>
        </w:rPr>
        <w:t>’</w:t>
      </w:r>
      <w:r w:rsidRPr="009F420B">
        <w:rPr>
          <w:rFonts w:cs="Times New Roman"/>
          <w:lang w:val="fr-CA"/>
        </w:rPr>
        <w:t xml:space="preserve">action » sur laquelle repose </w:t>
      </w:r>
      <w:r w:rsidR="00F43F7E">
        <w:rPr>
          <w:rFonts w:cs="Times New Roman"/>
          <w:lang w:val="fr-CA"/>
        </w:rPr>
        <w:t>le par.</w:t>
      </w:r>
      <w:r>
        <w:rPr>
          <w:rFonts w:cs="Times New Roman"/>
          <w:lang w:val="fr-CA"/>
        </w:rPr>
        <w:t> </w:t>
      </w:r>
      <w:r w:rsidRPr="009F420B">
        <w:rPr>
          <w:rFonts w:cs="Times New Roman"/>
          <w:lang w:val="fr-CA"/>
        </w:rPr>
        <w:t xml:space="preserve">3168(6) </w:t>
      </w:r>
      <w:r w:rsidRPr="009F420B">
        <w:rPr>
          <w:rFonts w:cs="Times New Roman"/>
          <w:i/>
          <w:lang w:val="fr-CA"/>
        </w:rPr>
        <w:t>C.c.Q.</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214. Je reconnais que la juge Bich a ajouté (</w:t>
      </w:r>
      <w:r>
        <w:rPr>
          <w:rFonts w:cs="Times New Roman"/>
          <w:lang w:val="fr-CA"/>
        </w:rPr>
        <w:t>par. </w:t>
      </w:r>
      <w:r w:rsidRPr="009F420B">
        <w:rPr>
          <w:rFonts w:cs="Times New Roman"/>
          <w:lang w:val="fr-CA"/>
        </w:rPr>
        <w:t>220) qu</w:t>
      </w:r>
      <w:r>
        <w:rPr>
          <w:rFonts w:cs="Times New Roman"/>
          <w:lang w:val="fr-CA"/>
        </w:rPr>
        <w:t>’</w:t>
      </w:r>
      <w:r w:rsidRPr="009F420B">
        <w:rPr>
          <w:rFonts w:cs="Times New Roman"/>
          <w:lang w:val="fr-CA"/>
        </w:rPr>
        <w:t xml:space="preserve">« à supposer même que le paragraphe 3168(6) C.c.Q. justifie ici, </w:t>
      </w:r>
      <w:r w:rsidRPr="009F420B">
        <w:rPr>
          <w:rFonts w:cs="Times New Roman"/>
          <w:i/>
          <w:lang w:val="fr-CA"/>
        </w:rPr>
        <w:t>a priori</w:t>
      </w:r>
      <w:r w:rsidRPr="009F420B">
        <w:rPr>
          <w:rFonts w:cs="Times New Roman"/>
          <w:lang w:val="fr-CA"/>
        </w:rPr>
        <w:t>, la compétence du tribunal ontarien », 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xml:space="preserve"> l</w:t>
      </w:r>
      <w:r>
        <w:rPr>
          <w:rFonts w:cs="Times New Roman"/>
          <w:lang w:val="fr-CA"/>
        </w:rPr>
        <w:t>’</w:t>
      </w:r>
      <w:r w:rsidRPr="009F420B">
        <w:rPr>
          <w:rFonts w:cs="Times New Roman"/>
          <w:lang w:val="fr-CA"/>
        </w:rPr>
        <w:t>empêcherait, mais cela ne démontre pas une nécessité absolue qu</w:t>
      </w:r>
      <w:r>
        <w:rPr>
          <w:rFonts w:cs="Times New Roman"/>
          <w:lang w:val="fr-CA"/>
        </w:rPr>
        <w:t>’</w:t>
      </w:r>
      <w:r w:rsidRPr="009F420B">
        <w:rPr>
          <w:rFonts w:cs="Times New Roman"/>
          <w:lang w:val="fr-CA"/>
        </w:rPr>
        <w:t>il y ait une exigence de rattachement important distincte pour nier la reconnaissance du tribunal dans de telles circonstances. L</w:t>
      </w:r>
      <w:r>
        <w:rPr>
          <w:rFonts w:cs="Times New Roman"/>
          <w:lang w:val="fr-CA"/>
        </w:rPr>
        <w:t>’</w:t>
      </w:r>
      <w:r w:rsidRPr="009F420B">
        <w:rPr>
          <w:rFonts w:cs="Times New Roman"/>
          <w:lang w:val="fr-CA"/>
        </w:rPr>
        <w:t xml:space="preserve">arrêt </w:t>
      </w:r>
      <w:r w:rsidRPr="009F420B">
        <w:rPr>
          <w:rFonts w:cs="Times New Roman"/>
          <w:i/>
          <w:lang w:val="fr-CA"/>
        </w:rPr>
        <w:t>Hocking</w:t>
      </w:r>
      <w:r w:rsidRPr="009F420B">
        <w:rPr>
          <w:rFonts w:cs="Times New Roman"/>
          <w:lang w:val="fr-CA"/>
        </w:rPr>
        <w:t xml:space="preserve"> est plutôt simplement un exemple de cas où il n</w:t>
      </w:r>
      <w:r>
        <w:rPr>
          <w:rFonts w:cs="Times New Roman"/>
          <w:lang w:val="fr-CA"/>
        </w:rPr>
        <w:t>’</w:t>
      </w:r>
      <w:r w:rsidRPr="009F420B">
        <w:rPr>
          <w:rFonts w:cs="Times New Roman"/>
          <w:lang w:val="fr-CA"/>
        </w:rPr>
        <w:t xml:space="preserve">avait pas été satisfait </w:t>
      </w:r>
      <w:r w:rsidR="00F43F7E">
        <w:rPr>
          <w:rFonts w:cs="Times New Roman"/>
          <w:lang w:val="fr-CA"/>
        </w:rPr>
        <w:t>au par.</w:t>
      </w:r>
      <w:r>
        <w:rPr>
          <w:rFonts w:cs="Times New Roman"/>
          <w:lang w:val="fr-CA"/>
        </w:rPr>
        <w:t> </w:t>
      </w:r>
      <w:r w:rsidRPr="009F420B">
        <w:rPr>
          <w:rFonts w:cs="Times New Roman"/>
          <w:lang w:val="fr-CA"/>
        </w:rPr>
        <w:t xml:space="preserve">3168(6) </w:t>
      </w:r>
      <w:r w:rsidRPr="009F420B">
        <w:rPr>
          <w:rFonts w:cs="Times New Roman"/>
          <w:i/>
          <w:lang w:val="fr-CA"/>
        </w:rPr>
        <w:t>C.c.Q.</w:t>
      </w:r>
    </w:p>
    <w:p w:rsidR="00AF6697" w:rsidRPr="009F420B" w:rsidRDefault="00AF6697" w:rsidP="00AF6697">
      <w:pPr>
        <w:pStyle w:val="ParaNoNdepar-AltN"/>
        <w:tabs>
          <w:tab w:val="clear" w:pos="1166"/>
          <w:tab w:val="num" w:pos="1152"/>
        </w:tabs>
        <w:rPr>
          <w:rFonts w:cs="Times New Roman"/>
          <w:lang w:val="fr-CA" w:eastAsia="fr-CA"/>
        </w:rPr>
      </w:pPr>
      <w:r w:rsidRPr="009F420B">
        <w:rPr>
          <w:rFonts w:cs="Times New Roman"/>
          <w:lang w:val="fr-CA"/>
        </w:rPr>
        <w:t>Cela étant, j</w:t>
      </w:r>
      <w:r>
        <w:rPr>
          <w:rFonts w:cs="Times New Roman"/>
          <w:lang w:val="fr-CA"/>
        </w:rPr>
        <w:t>’</w:t>
      </w:r>
      <w:r w:rsidRPr="009F420B">
        <w:rPr>
          <w:rFonts w:cs="Times New Roman"/>
          <w:lang w:val="fr-CA"/>
        </w:rPr>
        <w:t>admets qu</w:t>
      </w:r>
      <w:r>
        <w:rPr>
          <w:rFonts w:cs="Times New Roman"/>
          <w:lang w:val="fr-CA"/>
        </w:rPr>
        <w:t>’</w:t>
      </w:r>
      <w:r w:rsidRPr="009F420B">
        <w:rPr>
          <w:rFonts w:cs="Times New Roman"/>
          <w:lang w:val="fr-CA"/>
        </w:rPr>
        <w:t xml:space="preserve">un tribunal québécois </w:t>
      </w:r>
      <w:r w:rsidRPr="009F420B">
        <w:rPr>
          <w:rFonts w:cs="Times New Roman"/>
          <w:i/>
          <w:lang w:val="fr-CA"/>
        </w:rPr>
        <w:t>doit</w:t>
      </w:r>
      <w:r w:rsidRPr="009F420B">
        <w:rPr>
          <w:rFonts w:cs="Times New Roman"/>
          <w:lang w:val="fr-CA"/>
        </w:rPr>
        <w:t xml:space="preserve"> mener une analyse indépendante relativement à l</w:t>
      </w:r>
      <w:r>
        <w:rPr>
          <w:rFonts w:cs="Times New Roman"/>
          <w:lang w:val="fr-CA"/>
        </w:rPr>
        <w:t>’</w:t>
      </w:r>
      <w:r w:rsidRPr="009F420B">
        <w:rPr>
          <w:rFonts w:cs="Times New Roman"/>
          <w:lang w:val="fr-CA"/>
        </w:rPr>
        <w:t>existence d</w:t>
      </w:r>
      <w:r>
        <w:rPr>
          <w:rFonts w:cs="Times New Roman"/>
          <w:lang w:val="fr-CA"/>
        </w:rPr>
        <w:t>’</w:t>
      </w:r>
      <w:r w:rsidRPr="009F420B">
        <w:rPr>
          <w:rFonts w:cs="Times New Roman"/>
          <w:lang w:val="fr-CA"/>
        </w:rPr>
        <w:t>un « rattachement important » entre le litige et l</w:t>
      </w:r>
      <w:r>
        <w:rPr>
          <w:rFonts w:cs="Times New Roman"/>
          <w:lang w:val="fr-CA"/>
        </w:rPr>
        <w:t>’</w:t>
      </w:r>
      <w:r w:rsidRPr="009F420B">
        <w:rPr>
          <w:rFonts w:cs="Times New Roman"/>
          <w:lang w:val="fr-CA"/>
        </w:rPr>
        <w:t>autorité étrangère lorsque la conclusion sur la compétence de ce dernier repose sur une des « dispositions générales » du chapitre premier du livre troisième. C</w:t>
      </w:r>
      <w:r>
        <w:rPr>
          <w:rFonts w:cs="Times New Roman"/>
          <w:lang w:val="fr-CA"/>
        </w:rPr>
        <w:t>’</w:t>
      </w:r>
      <w:r w:rsidRPr="009F420B">
        <w:rPr>
          <w:rFonts w:cs="Times New Roman"/>
          <w:lang w:val="fr-CA"/>
        </w:rPr>
        <w:t>est ce qui découle du libellé de 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xml:space="preserve"> et du renvoi au livre troisième qui s</w:t>
      </w:r>
      <w:r>
        <w:rPr>
          <w:rFonts w:cs="Times New Roman"/>
          <w:lang w:val="fr-CA"/>
        </w:rPr>
        <w:t>’</w:t>
      </w:r>
      <w:r w:rsidRPr="009F420B">
        <w:rPr>
          <w:rFonts w:cs="Times New Roman"/>
          <w:lang w:val="fr-CA"/>
        </w:rPr>
        <w:t>y trouve. En conséquence, l</w:t>
      </w:r>
      <w:r>
        <w:rPr>
          <w:rFonts w:cs="Times New Roman"/>
          <w:lang w:val="fr-CA"/>
        </w:rPr>
        <w:t>’</w:t>
      </w:r>
      <w:r w:rsidRPr="009F420B">
        <w:rPr>
          <w:rFonts w:cs="Times New Roman"/>
          <w:lang w:val="fr-CA"/>
        </w:rPr>
        <w:t>approche qu</w:t>
      </w:r>
      <w:r>
        <w:rPr>
          <w:rFonts w:cs="Times New Roman"/>
          <w:lang w:val="fr-CA"/>
        </w:rPr>
        <w:t>’</w:t>
      </w:r>
      <w:r w:rsidRPr="009F420B">
        <w:rPr>
          <w:rFonts w:cs="Times New Roman"/>
          <w:lang w:val="fr-CA"/>
        </w:rPr>
        <w:t>a suivie la Cour d</w:t>
      </w:r>
      <w:r>
        <w:rPr>
          <w:rFonts w:cs="Times New Roman"/>
          <w:lang w:val="fr-CA"/>
        </w:rPr>
        <w:t>’</w:t>
      </w:r>
      <w:r w:rsidRPr="009F420B">
        <w:rPr>
          <w:rFonts w:cs="Times New Roman"/>
          <w:lang w:val="fr-CA"/>
        </w:rPr>
        <w:t>appel du Québec dans l</w:t>
      </w:r>
      <w:r>
        <w:rPr>
          <w:rFonts w:cs="Times New Roman"/>
          <w:lang w:val="fr-CA"/>
        </w:rPr>
        <w:t>’</w:t>
      </w:r>
      <w:r w:rsidRPr="009F420B">
        <w:rPr>
          <w:rFonts w:cs="Times New Roman"/>
          <w:lang w:val="fr-CA"/>
        </w:rPr>
        <w:t xml:space="preserve">arrêt </w:t>
      </w:r>
      <w:r w:rsidRPr="009F420B">
        <w:rPr>
          <w:rFonts w:cs="Times New Roman"/>
          <w:i/>
          <w:lang w:val="fr-CA"/>
        </w:rPr>
        <w:t xml:space="preserve">Ortega </w:t>
      </w:r>
      <w:r w:rsidRPr="009F420B">
        <w:rPr>
          <w:rFonts w:cs="Times New Roman"/>
          <w:lang w:val="fr-CA"/>
        </w:rPr>
        <w:t>est</w:t>
      </w:r>
      <w:r w:rsidR="00736841">
        <w:rPr>
          <w:rFonts w:cs="Times New Roman"/>
          <w:lang w:val="fr-CA"/>
        </w:rPr>
        <w:t xml:space="preserve"> la bonne</w:t>
      </w:r>
      <w:r w:rsidRPr="000C5BEA">
        <w:rPr>
          <w:rStyle w:val="Hyperlink"/>
          <w:u w:val="none"/>
          <w:vertAlign w:val="superscript"/>
        </w:rPr>
        <w:footnoteReference w:id="5"/>
      </w:r>
      <w:r w:rsidRPr="000C5BEA">
        <w:rPr>
          <w:rFonts w:cs="Times New Roman"/>
          <w:lang w:val="fr-CA" w:eastAsia="fr-CA"/>
        </w:rPr>
        <w:t xml:space="preserve"> </w:t>
      </w:r>
      <w:r w:rsidRPr="009F420B">
        <w:rPr>
          <w:rFonts w:cs="Times New Roman"/>
          <w:lang w:val="fr-CA"/>
        </w:rPr>
        <w:t>(</w:t>
      </w:r>
      <w:r>
        <w:rPr>
          <w:rFonts w:cs="Times New Roman"/>
          <w:lang w:val="fr-CA"/>
        </w:rPr>
        <w:t>par. </w:t>
      </w:r>
      <w:r w:rsidRPr="009F420B">
        <w:rPr>
          <w:rFonts w:cs="Times New Roman"/>
          <w:lang w:val="fr-CA"/>
        </w:rPr>
        <w:t>36, 41 et 42 (CanLII))</w:t>
      </w:r>
      <w:r>
        <w:rPr>
          <w:rFonts w:cs="Times New Roman"/>
          <w:lang w:val="fr-CA"/>
        </w:rPr>
        <w:t> :</w:t>
      </w:r>
    </w:p>
    <w:p w:rsidR="00AF6697" w:rsidRPr="009F420B" w:rsidRDefault="00AF6697" w:rsidP="00AF6697">
      <w:pPr>
        <w:pStyle w:val="Citation-AltC"/>
        <w:spacing w:after="240"/>
        <w:ind w:left="1168" w:hanging="448"/>
        <w:contextualSpacing w:val="0"/>
        <w:rPr>
          <w:lang w:val="fr-CA"/>
        </w:rPr>
      </w:pPr>
      <w:r w:rsidRPr="004C0F23">
        <w:rPr>
          <w:lang w:val="fr-CA"/>
        </w:rPr>
        <w:tab/>
      </w:r>
      <w:r w:rsidRPr="004C0F23">
        <w:rPr>
          <w:lang w:val="fr-CA"/>
        </w:rPr>
        <w:tab/>
      </w:r>
      <w:r w:rsidRPr="009F420B">
        <w:rPr>
          <w:u w:val="single"/>
          <w:lang w:val="fr-CA"/>
        </w:rPr>
        <w:t>Lorsque, comme en l</w:t>
      </w:r>
      <w:r>
        <w:rPr>
          <w:u w:val="single"/>
          <w:lang w:val="fr-CA"/>
        </w:rPr>
        <w:t>’</w:t>
      </w:r>
      <w:r w:rsidRPr="009F420B">
        <w:rPr>
          <w:u w:val="single"/>
          <w:lang w:val="fr-CA"/>
        </w:rPr>
        <w:t xml:space="preserve">espèce, aucun des facteurs spécifiques de rattachement énoncés aux articles 3165 à 3168 </w:t>
      </w:r>
      <w:r w:rsidRPr="009F420B">
        <w:rPr>
          <w:i/>
          <w:u w:val="single"/>
          <w:lang w:val="fr-CA"/>
        </w:rPr>
        <w:t>C.c.Q.</w:t>
      </w:r>
      <w:r w:rsidRPr="009F420B">
        <w:rPr>
          <w:u w:val="single"/>
          <w:lang w:val="fr-CA"/>
        </w:rPr>
        <w:t xml:space="preserve"> ne trouve application,</w:t>
      </w:r>
      <w:r w:rsidRPr="009F420B">
        <w:rPr>
          <w:lang w:val="fr-CA"/>
        </w:rPr>
        <w:t xml:space="preserve"> il y a également lieu de démontrer, conformément à l</w:t>
      </w:r>
      <w:r>
        <w:rPr>
          <w:lang w:val="fr-CA"/>
        </w:rPr>
        <w:t>’</w:t>
      </w:r>
      <w:r w:rsidRPr="009F420B">
        <w:rPr>
          <w:lang w:val="fr-CA"/>
        </w:rPr>
        <w:t xml:space="preserve">article 3164 </w:t>
      </w:r>
      <w:r w:rsidRPr="009F420B">
        <w:rPr>
          <w:i/>
          <w:lang w:val="fr-CA"/>
        </w:rPr>
        <w:t>C.c.Q.</w:t>
      </w:r>
      <w:r w:rsidRPr="009F420B">
        <w:rPr>
          <w:lang w:val="fr-CA"/>
        </w:rPr>
        <w:t>, l</w:t>
      </w:r>
      <w:r>
        <w:rPr>
          <w:lang w:val="fr-CA"/>
        </w:rPr>
        <w:t>’</w:t>
      </w:r>
      <w:r w:rsidRPr="009F420B">
        <w:rPr>
          <w:lang w:val="fr-CA"/>
        </w:rPr>
        <w:t>existence d</w:t>
      </w:r>
      <w:r>
        <w:rPr>
          <w:lang w:val="fr-CA"/>
        </w:rPr>
        <w:t>’</w:t>
      </w:r>
      <w:r w:rsidRPr="009F420B">
        <w:rPr>
          <w:lang w:val="fr-CA"/>
        </w:rPr>
        <w:t>un lien important entre le litige et l</w:t>
      </w:r>
      <w:r>
        <w:rPr>
          <w:lang w:val="fr-CA"/>
        </w:rPr>
        <w:t>’</w:t>
      </w:r>
      <w:r w:rsidRPr="009F420B">
        <w:rPr>
          <w:lang w:val="fr-CA"/>
        </w:rPr>
        <w:t>État dont l</w:t>
      </w:r>
      <w:r>
        <w:rPr>
          <w:lang w:val="fr-CA"/>
        </w:rPr>
        <w:t>’</w:t>
      </w:r>
      <w:r w:rsidR="00736841">
        <w:rPr>
          <w:lang w:val="fr-CA"/>
        </w:rPr>
        <w:t>autorité a été saisie. . .</w:t>
      </w:r>
    </w:p>
    <w:p w:rsidR="00AF6697" w:rsidRPr="009F420B" w:rsidRDefault="00736841" w:rsidP="00AF6697">
      <w:pPr>
        <w:pStyle w:val="Citation-AltC"/>
        <w:spacing w:after="240"/>
        <w:ind w:left="1168" w:hanging="1168"/>
        <w:contextualSpacing w:val="0"/>
        <w:jc w:val="center"/>
        <w:rPr>
          <w:lang w:val="fr-CA"/>
        </w:rPr>
      </w:pPr>
      <w:r>
        <w:rPr>
          <w:lang w:val="fr-CA"/>
        </w:rPr>
        <w:lastRenderedPageBreak/>
        <w:tab/>
      </w:r>
      <w:r w:rsidR="00AF6697" w:rsidRPr="009F420B">
        <w:rPr>
          <w:lang w:val="fr-CA"/>
        </w:rPr>
        <w:t>. . .</w:t>
      </w:r>
    </w:p>
    <w:p w:rsidR="00AF6697" w:rsidRPr="009F420B" w:rsidRDefault="00AF6697" w:rsidP="00AF6697">
      <w:pPr>
        <w:pStyle w:val="Citation-AltC"/>
        <w:spacing w:after="240"/>
        <w:ind w:left="1168" w:hanging="1168"/>
        <w:contextualSpacing w:val="0"/>
        <w:rPr>
          <w:lang w:val="fr-CA"/>
        </w:rPr>
      </w:pPr>
      <w:r>
        <w:rPr>
          <w:lang w:val="fr-CA"/>
        </w:rPr>
        <w:tab/>
      </w:r>
      <w:r>
        <w:rPr>
          <w:lang w:val="fr-CA"/>
        </w:rPr>
        <w:tab/>
      </w:r>
      <w:r w:rsidRPr="009F420B">
        <w:rPr>
          <w:lang w:val="fr-CA"/>
        </w:rPr>
        <w:t>L</w:t>
      </w:r>
      <w:r>
        <w:rPr>
          <w:lang w:val="fr-CA"/>
        </w:rPr>
        <w:t>’</w:t>
      </w:r>
      <w:r w:rsidRPr="009F420B">
        <w:rPr>
          <w:lang w:val="fr-CA"/>
        </w:rPr>
        <w:t>ajout à l</w:t>
      </w:r>
      <w:r>
        <w:rPr>
          <w:lang w:val="fr-CA"/>
        </w:rPr>
        <w:t>’</w:t>
      </w:r>
      <w:r w:rsidRPr="009F420B">
        <w:rPr>
          <w:lang w:val="fr-CA"/>
        </w:rPr>
        <w:t xml:space="preserve">article 3164 </w:t>
      </w:r>
      <w:r w:rsidRPr="009F420B">
        <w:rPr>
          <w:i/>
          <w:lang w:val="fr-CA"/>
        </w:rPr>
        <w:t>C.c.Q.</w:t>
      </w:r>
      <w:r w:rsidRPr="009F420B">
        <w:rPr>
          <w:lang w:val="fr-CA"/>
        </w:rPr>
        <w:t xml:space="preserve"> de cette exigence d</w:t>
      </w:r>
      <w:r>
        <w:rPr>
          <w:lang w:val="fr-CA"/>
        </w:rPr>
        <w:t>’</w:t>
      </w:r>
      <w:r w:rsidRPr="009F420B">
        <w:rPr>
          <w:lang w:val="fr-CA"/>
        </w:rPr>
        <w:t>un rattachement important est en fait un rappel de cette idée de lien réel et substantiel entre le tribunal et l</w:t>
      </w:r>
      <w:r>
        <w:rPr>
          <w:lang w:val="fr-CA"/>
        </w:rPr>
        <w:t>’</w:t>
      </w:r>
      <w:r w:rsidRPr="009F420B">
        <w:rPr>
          <w:lang w:val="fr-CA"/>
        </w:rPr>
        <w:t xml:space="preserve">objet du litige. </w:t>
      </w:r>
    </w:p>
    <w:p w:rsidR="00AF6697" w:rsidRPr="009F420B" w:rsidRDefault="00AF6697" w:rsidP="00AF6697">
      <w:pPr>
        <w:pStyle w:val="Citation-AltC"/>
        <w:ind w:hanging="1166"/>
        <w:rPr>
          <w:lang w:val="fr-CA"/>
        </w:rPr>
      </w:pPr>
      <w:r>
        <w:rPr>
          <w:lang w:val="fr-CA"/>
        </w:rPr>
        <w:tab/>
      </w:r>
      <w:r>
        <w:rPr>
          <w:lang w:val="fr-CA"/>
        </w:rPr>
        <w:tab/>
      </w:r>
      <w:r w:rsidRPr="009F420B">
        <w:rPr>
          <w:lang w:val="fr-CA"/>
        </w:rPr>
        <w:t>Cet impératif oblige le tribunal québécois qui s</w:t>
      </w:r>
      <w:r>
        <w:rPr>
          <w:lang w:val="fr-CA"/>
        </w:rPr>
        <w:t>’</w:t>
      </w:r>
      <w:r w:rsidRPr="009F420B">
        <w:rPr>
          <w:lang w:val="fr-CA"/>
        </w:rPr>
        <w:t>interroge sur la compétence du tribunal étranger (</w:t>
      </w:r>
      <w:r w:rsidRPr="009F420B">
        <w:rPr>
          <w:u w:val="single"/>
          <w:lang w:val="fr-CA"/>
        </w:rPr>
        <w:t>dans le cas où celle</w:t>
      </w:r>
      <w:r>
        <w:rPr>
          <w:u w:val="single"/>
          <w:lang w:val="fr-CA"/>
        </w:rPr>
        <w:noBreakHyphen/>
      </w:r>
      <w:r w:rsidRPr="009F420B">
        <w:rPr>
          <w:u w:val="single"/>
          <w:lang w:val="fr-CA"/>
        </w:rPr>
        <w:t xml:space="preserve">ci ne résulte pas des articles 3166 à 3168 </w:t>
      </w:r>
      <w:r w:rsidRPr="009F420B">
        <w:rPr>
          <w:i/>
          <w:u w:val="single"/>
          <w:lang w:val="fr-CA"/>
        </w:rPr>
        <w:t>C.c.Q.</w:t>
      </w:r>
      <w:r w:rsidRPr="009F420B">
        <w:rPr>
          <w:lang w:val="fr-CA"/>
        </w:rPr>
        <w:t>) à envisager et à examiner toutes les circonstances rattachant le litige à l</w:t>
      </w:r>
      <w:r>
        <w:rPr>
          <w:lang w:val="fr-CA"/>
        </w:rPr>
        <w:t>’</w:t>
      </w:r>
      <w:r w:rsidRPr="009F420B">
        <w:rPr>
          <w:lang w:val="fr-CA"/>
        </w:rPr>
        <w:t>autorité externe. Un tel examen pourrait se solder par le constat que celle</w:t>
      </w:r>
      <w:r>
        <w:rPr>
          <w:lang w:val="fr-CA"/>
        </w:rPr>
        <w:noBreakHyphen/>
      </w:r>
      <w:r w:rsidRPr="009F420B">
        <w:rPr>
          <w:lang w:val="fr-CA"/>
        </w:rPr>
        <w:t>ci, en l</w:t>
      </w:r>
      <w:r>
        <w:rPr>
          <w:lang w:val="fr-CA"/>
        </w:rPr>
        <w:t>’</w:t>
      </w:r>
      <w:r w:rsidRPr="009F420B">
        <w:rPr>
          <w:lang w:val="fr-CA"/>
        </w:rPr>
        <w:t>absence d</w:t>
      </w:r>
      <w:r>
        <w:rPr>
          <w:lang w:val="fr-CA"/>
        </w:rPr>
        <w:t>’</w:t>
      </w:r>
      <w:r w:rsidRPr="009F420B">
        <w:rPr>
          <w:lang w:val="fr-CA"/>
        </w:rPr>
        <w:t>un tel lien, n</w:t>
      </w:r>
      <w:r>
        <w:rPr>
          <w:lang w:val="fr-CA"/>
        </w:rPr>
        <w:t>’</w:t>
      </w:r>
      <w:r w:rsidRPr="009F420B">
        <w:rPr>
          <w:lang w:val="fr-CA"/>
        </w:rPr>
        <w:t>est pas compétente. [Je souligne.]</w:t>
      </w:r>
    </w:p>
    <w:p w:rsidR="00AF6697" w:rsidRPr="009F420B" w:rsidRDefault="00AF6697" w:rsidP="00AF6697">
      <w:pPr>
        <w:pStyle w:val="ContinueParaSuitedupar-AltP"/>
        <w:rPr>
          <w:lang w:val="fr-CA"/>
        </w:rPr>
      </w:pPr>
      <w:r w:rsidRPr="009F420B">
        <w:rPr>
          <w:lang w:val="fr-CA"/>
        </w:rPr>
        <w:t>Cela étant, je rejette la critique selon laquelle ma position « ferait perdre presque tout effet aux termes exprès employés par le législateur québécois, du moins dans le contexte des actions personnelles à caractère patrimonial »</w:t>
      </w:r>
      <w:r>
        <w:rPr>
          <w:lang w:val="fr-CA"/>
        </w:rPr>
        <w:t> :</w:t>
      </w:r>
      <w:r w:rsidRPr="009F420B">
        <w:rPr>
          <w:lang w:val="fr-CA"/>
        </w:rPr>
        <w:t xml:space="preserve"> voir les motifs de la juge Côté, </w:t>
      </w:r>
      <w:r>
        <w:rPr>
          <w:lang w:val="fr-CA"/>
        </w:rPr>
        <w:t>par. </w:t>
      </w:r>
      <w:r w:rsidRPr="009F420B">
        <w:rPr>
          <w:lang w:val="fr-CA"/>
        </w:rPr>
        <w:t>248.</w:t>
      </w:r>
    </w:p>
    <w:p w:rsidR="00AF6697" w:rsidRPr="009F420B" w:rsidRDefault="00AF6697" w:rsidP="00AF6697">
      <w:pPr>
        <w:pStyle w:val="ParaNoNdepar-AltN"/>
        <w:rPr>
          <w:rFonts w:cs="Times New Roman"/>
          <w:lang w:val="fr-CA"/>
        </w:rPr>
      </w:pPr>
      <w:r w:rsidRPr="009F420B">
        <w:rPr>
          <w:rFonts w:cs="Times New Roman"/>
          <w:lang w:val="fr-CA"/>
        </w:rPr>
        <w:t>J</w:t>
      </w:r>
      <w:r>
        <w:rPr>
          <w:rFonts w:cs="Times New Roman"/>
          <w:lang w:val="fr-CA"/>
        </w:rPr>
        <w:t>’</w:t>
      </w:r>
      <w:r w:rsidRPr="009F420B">
        <w:rPr>
          <w:rFonts w:cs="Times New Roman"/>
          <w:lang w:val="fr-CA"/>
        </w:rPr>
        <w:t>ajoute toutefois que, pour trancher le présent pourvoi, il n</w:t>
      </w:r>
      <w:r>
        <w:rPr>
          <w:rFonts w:cs="Times New Roman"/>
          <w:lang w:val="fr-CA"/>
        </w:rPr>
        <w:t>’</w:t>
      </w:r>
      <w:r w:rsidRPr="009F420B">
        <w:rPr>
          <w:rFonts w:cs="Times New Roman"/>
          <w:lang w:val="fr-CA"/>
        </w:rPr>
        <w:t>est pas nécessaire de décider si un tribunal québécois doit également mener une analyse semblable lorsqu</w:t>
      </w:r>
      <w:r>
        <w:rPr>
          <w:rFonts w:cs="Times New Roman"/>
          <w:lang w:val="fr-CA"/>
        </w:rPr>
        <w:t>’</w:t>
      </w:r>
      <w:r w:rsidRPr="009F420B">
        <w:rPr>
          <w:rFonts w:cs="Times New Roman"/>
          <w:lang w:val="fr-CA"/>
        </w:rPr>
        <w:t>il fonde sa conclusion au sujet de la compétence de l</w:t>
      </w:r>
      <w:r>
        <w:rPr>
          <w:rFonts w:cs="Times New Roman"/>
          <w:lang w:val="fr-CA"/>
        </w:rPr>
        <w:t>’</w:t>
      </w:r>
      <w:r w:rsidRPr="009F420B">
        <w:rPr>
          <w:rFonts w:cs="Times New Roman"/>
          <w:lang w:val="fr-CA"/>
        </w:rPr>
        <w:t>autorité étrangère sur une des « dispositions particulières » du chapitre deuxième du titre troisième (par exemple, en matière de nullité du mariage (</w:t>
      </w:r>
      <w:r>
        <w:rPr>
          <w:rFonts w:cs="Times New Roman"/>
          <w:lang w:val="fr-CA"/>
        </w:rPr>
        <w:t>art. </w:t>
      </w:r>
      <w:r w:rsidRPr="009F420B">
        <w:rPr>
          <w:rFonts w:cs="Times New Roman"/>
          <w:lang w:val="fr-CA"/>
        </w:rPr>
        <w:t xml:space="preserve">3144 </w:t>
      </w:r>
      <w:r w:rsidRPr="009F420B">
        <w:rPr>
          <w:rFonts w:cs="Times New Roman"/>
          <w:i/>
          <w:lang w:val="fr-CA"/>
        </w:rPr>
        <w:t>C.c.Q.</w:t>
      </w:r>
      <w:r w:rsidRPr="009F420B">
        <w:rPr>
          <w:rFonts w:cs="Times New Roman"/>
          <w:lang w:val="fr-CA"/>
        </w:rPr>
        <w:t>, auquel renvoie 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xml:space="preserve"> en faisant référence au titre troisième) ou en matière successorale (</w:t>
      </w:r>
      <w:r>
        <w:rPr>
          <w:rFonts w:cs="Times New Roman"/>
          <w:lang w:val="fr-CA"/>
        </w:rPr>
        <w:t>art. </w:t>
      </w:r>
      <w:r w:rsidRPr="009F420B">
        <w:rPr>
          <w:rFonts w:cs="Times New Roman"/>
          <w:lang w:val="fr-CA"/>
        </w:rPr>
        <w:t xml:space="preserve">3153 </w:t>
      </w:r>
      <w:r w:rsidRPr="009F420B">
        <w:rPr>
          <w:rFonts w:cs="Times New Roman"/>
          <w:i/>
          <w:lang w:val="fr-CA"/>
        </w:rPr>
        <w:t>C.c.Q.</w:t>
      </w:r>
      <w:r w:rsidRPr="009F420B">
        <w:rPr>
          <w:rFonts w:cs="Times New Roman"/>
          <w:lang w:val="fr-CA"/>
        </w:rPr>
        <w:t>, auquel renvoie 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xml:space="preserve"> en faisant référence au titre troisième)</w:t>
      </w:r>
      <w:r w:rsidR="00FE33EA">
        <w:rPr>
          <w:rFonts w:cs="Times New Roman"/>
          <w:lang w:val="fr-CA"/>
        </w:rPr>
        <w:t>)</w:t>
      </w:r>
      <w:r w:rsidRPr="009F420B">
        <w:rPr>
          <w:rFonts w:cs="Times New Roman"/>
          <w:lang w:val="fr-CA"/>
        </w:rPr>
        <w:t>. L</w:t>
      </w:r>
      <w:r>
        <w:rPr>
          <w:rFonts w:cs="Times New Roman"/>
          <w:lang w:val="fr-CA"/>
        </w:rPr>
        <w:t>’</w:t>
      </w:r>
      <w:r w:rsidRPr="009F420B">
        <w:rPr>
          <w:rFonts w:cs="Times New Roman"/>
          <w:lang w:val="fr-CA"/>
        </w:rPr>
        <w:t>une et l</w:t>
      </w:r>
      <w:r>
        <w:rPr>
          <w:rFonts w:cs="Times New Roman"/>
          <w:lang w:val="fr-CA"/>
        </w:rPr>
        <w:t>’</w:t>
      </w:r>
      <w:r w:rsidRPr="009F420B">
        <w:rPr>
          <w:rFonts w:cs="Times New Roman"/>
          <w:lang w:val="fr-CA"/>
        </w:rPr>
        <w:t>autre des positions trouvent appui dans la doctrine et dans la jurisprudence (pour s</w:t>
      </w:r>
      <w:r>
        <w:rPr>
          <w:rFonts w:cs="Times New Roman"/>
          <w:lang w:val="fr-CA"/>
        </w:rPr>
        <w:t>’</w:t>
      </w:r>
      <w:r w:rsidRPr="009F420B">
        <w:rPr>
          <w:rFonts w:cs="Times New Roman"/>
          <w:lang w:val="fr-CA"/>
        </w:rPr>
        <w:t xml:space="preserve">en convaincre, il suffit de comparer, par exemple, les remarques formulées dans les arrêts </w:t>
      </w:r>
      <w:r w:rsidRPr="009F420B">
        <w:rPr>
          <w:rFonts w:cs="Times New Roman"/>
          <w:i/>
          <w:lang w:val="fr-CA"/>
        </w:rPr>
        <w:t>Spar</w:t>
      </w:r>
      <w:r w:rsidRPr="009F420B">
        <w:rPr>
          <w:rFonts w:cs="Times New Roman"/>
          <w:lang w:val="fr-CA"/>
        </w:rPr>
        <w:t xml:space="preserve">, </w:t>
      </w:r>
      <w:r>
        <w:rPr>
          <w:rFonts w:cs="Times New Roman"/>
          <w:lang w:val="fr-CA"/>
        </w:rPr>
        <w:t>par. </w:t>
      </w:r>
      <w:r w:rsidRPr="009F420B">
        <w:rPr>
          <w:rFonts w:cs="Times New Roman"/>
          <w:lang w:val="fr-CA"/>
        </w:rPr>
        <w:t xml:space="preserve">55 et 63; </w:t>
      </w:r>
      <w:r w:rsidRPr="009F420B">
        <w:rPr>
          <w:rFonts w:cs="Times New Roman"/>
          <w:i/>
          <w:lang w:val="fr-CA"/>
        </w:rPr>
        <w:t>Ortega</w:t>
      </w:r>
      <w:r w:rsidRPr="009F420B">
        <w:rPr>
          <w:rFonts w:cs="Times New Roman"/>
          <w:lang w:val="fr-CA"/>
        </w:rPr>
        <w:t xml:space="preserve">, </w:t>
      </w:r>
      <w:r>
        <w:rPr>
          <w:rFonts w:cs="Times New Roman"/>
          <w:lang w:val="fr-CA"/>
        </w:rPr>
        <w:t>par. </w:t>
      </w:r>
      <w:r w:rsidRPr="009F420B">
        <w:rPr>
          <w:rFonts w:cs="Times New Roman"/>
          <w:lang w:val="fr-CA"/>
        </w:rPr>
        <w:t>41</w:t>
      </w:r>
      <w:r w:rsidR="00FE33EA">
        <w:rPr>
          <w:rFonts w:cs="Times New Roman"/>
          <w:lang w:val="fr-CA"/>
        </w:rPr>
        <w:t>;</w:t>
      </w:r>
      <w:r w:rsidRPr="009F420B">
        <w:rPr>
          <w:rFonts w:cs="Times New Roman"/>
          <w:lang w:val="fr-CA"/>
        </w:rPr>
        <w:t xml:space="preserve"> Talpis et Castel, n</w:t>
      </w:r>
      <w:r w:rsidRPr="009F420B">
        <w:rPr>
          <w:rFonts w:cs="Times New Roman"/>
          <w:vertAlign w:val="superscript"/>
          <w:lang w:val="fr-CA"/>
        </w:rPr>
        <w:t>o</w:t>
      </w:r>
      <w:r w:rsidRPr="009F420B">
        <w:rPr>
          <w:rFonts w:cs="Times New Roman"/>
          <w:lang w:val="fr-CA"/>
        </w:rPr>
        <w:t xml:space="preserve"> 486; et Goldstein, </w:t>
      </w:r>
      <w:r>
        <w:rPr>
          <w:rFonts w:cs="Times New Roman"/>
          <w:lang w:val="fr-CA"/>
        </w:rPr>
        <w:t>p. </w:t>
      </w:r>
      <w:r w:rsidRPr="009F420B">
        <w:rPr>
          <w:rFonts w:cs="Times New Roman"/>
          <w:lang w:val="fr-CA"/>
        </w:rPr>
        <w:t xml:space="preserve">391, avec </w:t>
      </w:r>
      <w:r w:rsidRPr="009F420B">
        <w:rPr>
          <w:rFonts w:cs="Times New Roman"/>
          <w:i/>
          <w:lang w:val="fr-CA"/>
        </w:rPr>
        <w:t>Spar</w:t>
      </w:r>
      <w:r w:rsidRPr="009F420B">
        <w:rPr>
          <w:rFonts w:cs="Times New Roman"/>
          <w:lang w:val="fr-CA"/>
        </w:rPr>
        <w:t xml:space="preserve">, </w:t>
      </w:r>
      <w:r>
        <w:rPr>
          <w:rFonts w:cs="Times New Roman"/>
          <w:lang w:val="fr-CA"/>
        </w:rPr>
        <w:t>par. </w:t>
      </w:r>
      <w:r w:rsidRPr="009F420B">
        <w:rPr>
          <w:rFonts w:cs="Times New Roman"/>
          <w:lang w:val="fr-CA"/>
        </w:rPr>
        <w:t xml:space="preserve">57, et </w:t>
      </w:r>
      <w:r w:rsidRPr="009F420B">
        <w:rPr>
          <w:rFonts w:cs="Times New Roman"/>
          <w:i/>
          <w:lang w:val="fr-CA"/>
        </w:rPr>
        <w:t>Lépine</w:t>
      </w:r>
      <w:r w:rsidRPr="009F420B">
        <w:rPr>
          <w:rFonts w:cs="Times New Roman"/>
          <w:lang w:val="fr-CA"/>
        </w:rPr>
        <w:t xml:space="preserve">, </w:t>
      </w:r>
      <w:r>
        <w:rPr>
          <w:rFonts w:cs="Times New Roman"/>
          <w:lang w:val="fr-CA"/>
        </w:rPr>
        <w:t>par. </w:t>
      </w:r>
      <w:r w:rsidRPr="009F420B">
        <w:rPr>
          <w:rFonts w:cs="Times New Roman"/>
          <w:lang w:val="fr-CA"/>
        </w:rPr>
        <w:t>32</w:t>
      </w:r>
      <w:r>
        <w:rPr>
          <w:rFonts w:cs="Times New Roman"/>
          <w:lang w:val="fr-CA"/>
        </w:rPr>
        <w:noBreakHyphen/>
      </w:r>
      <w:r w:rsidRPr="009F420B">
        <w:rPr>
          <w:rFonts w:cs="Times New Roman"/>
          <w:lang w:val="fr-CA"/>
        </w:rPr>
        <w:t>36). Il n</w:t>
      </w:r>
      <w:r>
        <w:rPr>
          <w:rFonts w:cs="Times New Roman"/>
          <w:lang w:val="fr-CA"/>
        </w:rPr>
        <w:t>’</w:t>
      </w:r>
      <w:r w:rsidRPr="009F420B">
        <w:rPr>
          <w:rFonts w:cs="Times New Roman"/>
          <w:lang w:val="fr-CA"/>
        </w:rPr>
        <w:t>est donc pas nécessaire que je tranche cette question ici. Étant donné l</w:t>
      </w:r>
      <w:r>
        <w:rPr>
          <w:rFonts w:cs="Times New Roman"/>
          <w:lang w:val="fr-CA"/>
        </w:rPr>
        <w:t>’</w:t>
      </w:r>
      <w:r w:rsidRPr="009F420B">
        <w:rPr>
          <w:rFonts w:cs="Times New Roman"/>
          <w:lang w:val="fr-CA"/>
        </w:rPr>
        <w:t>analyse approfondie qu</w:t>
      </w:r>
      <w:r>
        <w:rPr>
          <w:rFonts w:cs="Times New Roman"/>
          <w:lang w:val="fr-CA"/>
        </w:rPr>
        <w:t>’</w:t>
      </w:r>
      <w:r w:rsidRPr="009F420B">
        <w:rPr>
          <w:rFonts w:cs="Times New Roman"/>
          <w:lang w:val="fr-CA"/>
        </w:rPr>
        <w:t xml:space="preserve">en fait ma collègue la juge Côté dans ses motifs, je me sens toutefois tenu </w:t>
      </w:r>
      <w:r w:rsidRPr="009F420B">
        <w:rPr>
          <w:rFonts w:cs="Times New Roman"/>
          <w:lang w:val="fr-CA"/>
        </w:rPr>
        <w:lastRenderedPageBreak/>
        <w:t>d</w:t>
      </w:r>
      <w:r>
        <w:rPr>
          <w:rFonts w:cs="Times New Roman"/>
          <w:lang w:val="fr-CA"/>
        </w:rPr>
        <w:t>’</w:t>
      </w:r>
      <w:r w:rsidRPr="009F420B">
        <w:rPr>
          <w:rFonts w:cs="Times New Roman"/>
          <w:lang w:val="fr-CA"/>
        </w:rPr>
        <w:t>expliciter certains arguments présentés dans la doctrine et la jurisprudence en appui à chacune des positions.</w:t>
      </w:r>
    </w:p>
    <w:p w:rsidR="00AF6697" w:rsidRPr="009F420B" w:rsidRDefault="00AF6697" w:rsidP="00AF6697">
      <w:pPr>
        <w:pStyle w:val="ParaNoNdepar-AltN"/>
        <w:tabs>
          <w:tab w:val="clear" w:pos="1166"/>
          <w:tab w:val="num" w:pos="1152"/>
        </w:tabs>
        <w:rPr>
          <w:rFonts w:cs="Times New Roman"/>
          <w:lang w:val="fr-CA"/>
        </w:rPr>
      </w:pPr>
      <w:r w:rsidRPr="009F420B">
        <w:rPr>
          <w:rFonts w:cs="Times New Roman"/>
          <w:lang w:val="fr-CA"/>
        </w:rPr>
        <w:t>D</w:t>
      </w:r>
      <w:r>
        <w:rPr>
          <w:rFonts w:cs="Times New Roman"/>
          <w:lang w:val="fr-CA"/>
        </w:rPr>
        <w:t>’</w:t>
      </w:r>
      <w:r w:rsidRPr="009F420B">
        <w:rPr>
          <w:rFonts w:cs="Times New Roman"/>
          <w:lang w:val="fr-CA"/>
        </w:rPr>
        <w:t xml:space="preserve">une part, on pourrait soutenir que </w:t>
      </w:r>
      <w:r w:rsidRPr="009F420B">
        <w:rPr>
          <w:rFonts w:cs="Times New Roman"/>
          <w:i/>
          <w:lang w:val="fr-CA"/>
        </w:rPr>
        <w:t>tout</w:t>
      </w:r>
      <w:r w:rsidRPr="009F420B">
        <w:rPr>
          <w:rFonts w:cs="Times New Roman"/>
          <w:lang w:val="fr-CA"/>
        </w:rPr>
        <w:t xml:space="preserve"> pouvoir discrétionnaire </w:t>
      </w:r>
      <w:r>
        <w:rPr>
          <w:rFonts w:cs="Times New Roman"/>
          <w:lang w:val="fr-CA"/>
        </w:rPr>
        <w:t xml:space="preserve">de </w:t>
      </w:r>
      <w:r w:rsidRPr="009F420B">
        <w:rPr>
          <w:rFonts w:cs="Times New Roman"/>
          <w:lang w:val="fr-CA"/>
        </w:rPr>
        <w:t>« refuser de reconnaître une décision en raison de l</w:t>
      </w:r>
      <w:r>
        <w:rPr>
          <w:rFonts w:cs="Times New Roman"/>
          <w:lang w:val="fr-CA"/>
        </w:rPr>
        <w:t>’</w:t>
      </w:r>
      <w:r w:rsidRPr="009F420B">
        <w:rPr>
          <w:rFonts w:cs="Times New Roman"/>
          <w:lang w:val="fr-CA"/>
        </w:rPr>
        <w:t xml:space="preserve">absence de rattachement important », comme le suggère ma collègue la juge Côté au </w:t>
      </w:r>
      <w:r>
        <w:rPr>
          <w:rFonts w:cs="Times New Roman"/>
          <w:lang w:val="fr-CA"/>
        </w:rPr>
        <w:t>par. </w:t>
      </w:r>
      <w:r w:rsidR="00A5116D">
        <w:rPr>
          <w:rFonts w:cs="Times New Roman"/>
          <w:lang w:val="fr-CA"/>
        </w:rPr>
        <w:t>261</w:t>
      </w:r>
      <w:r w:rsidRPr="009F420B">
        <w:rPr>
          <w:rFonts w:cs="Times New Roman"/>
          <w:lang w:val="fr-CA"/>
        </w:rPr>
        <w:t xml:space="preserve"> de ses motifs, est incompatible avec l</w:t>
      </w:r>
      <w:r>
        <w:rPr>
          <w:rFonts w:cs="Times New Roman"/>
          <w:lang w:val="fr-CA"/>
        </w:rPr>
        <w:t>’</w:t>
      </w:r>
      <w:r w:rsidRPr="009F420B">
        <w:rPr>
          <w:rFonts w:cs="Times New Roman"/>
          <w:lang w:val="fr-CA"/>
        </w:rPr>
        <w:t xml:space="preserve">arrêt </w:t>
      </w:r>
      <w:r w:rsidRPr="009F420B">
        <w:rPr>
          <w:rFonts w:cs="Times New Roman"/>
          <w:i/>
          <w:lang w:val="fr-CA"/>
        </w:rPr>
        <w:t>Lépine</w:t>
      </w:r>
      <w:r w:rsidRPr="009F420B">
        <w:rPr>
          <w:rFonts w:cs="Times New Roman"/>
          <w:lang w:val="fr-CA"/>
        </w:rPr>
        <w:t>, où la Cour a statué qu</w:t>
      </w:r>
      <w:r>
        <w:rPr>
          <w:rFonts w:cs="Times New Roman"/>
          <w:lang w:val="fr-CA"/>
        </w:rPr>
        <w:t>’</w:t>
      </w:r>
      <w:r w:rsidRPr="009F420B">
        <w:rPr>
          <w:rFonts w:cs="Times New Roman"/>
          <w:lang w:val="fr-CA"/>
        </w:rPr>
        <w:t xml:space="preserve">un tribunal québécois </w:t>
      </w:r>
      <w:r w:rsidRPr="009F420B">
        <w:rPr>
          <w:rFonts w:cs="Times New Roman"/>
          <w:i/>
          <w:lang w:val="fr-CA"/>
        </w:rPr>
        <w:t xml:space="preserve">ne </w:t>
      </w:r>
      <w:r w:rsidRPr="009F420B">
        <w:rPr>
          <w:rFonts w:cs="Times New Roman"/>
          <w:lang w:val="fr-CA"/>
        </w:rPr>
        <w:t xml:space="preserve">devrait </w:t>
      </w:r>
      <w:r w:rsidRPr="009F420B">
        <w:rPr>
          <w:rFonts w:cs="Times New Roman"/>
          <w:i/>
          <w:lang w:val="fr-CA"/>
        </w:rPr>
        <w:t>pas</w:t>
      </w:r>
      <w:r w:rsidRPr="009F420B">
        <w:rPr>
          <w:rFonts w:cs="Times New Roman"/>
          <w:lang w:val="fr-CA"/>
        </w:rPr>
        <w:t xml:space="preserve"> avoir le pouvoir discrétionnaire de refuser la reconnaissance parce que l</w:t>
      </w:r>
      <w:r>
        <w:rPr>
          <w:rFonts w:cs="Times New Roman"/>
          <w:lang w:val="fr-CA"/>
        </w:rPr>
        <w:t>’</w:t>
      </w:r>
      <w:r w:rsidRPr="009F420B">
        <w:rPr>
          <w:rFonts w:cs="Times New Roman"/>
          <w:lang w:val="fr-CA"/>
        </w:rPr>
        <w:t xml:space="preserve">autorité étrangère aurait dû décliner sa compétence en application de la doctrine du </w:t>
      </w:r>
      <w:r w:rsidRPr="009F420B">
        <w:rPr>
          <w:rFonts w:cs="Times New Roman"/>
          <w:i/>
          <w:lang w:val="fr-CA"/>
        </w:rPr>
        <w:t>forum non conveniens</w:t>
      </w:r>
      <w:r w:rsidRPr="009F420B">
        <w:rPr>
          <w:rFonts w:cs="Times New Roman"/>
          <w:lang w:val="fr-CA"/>
        </w:rPr>
        <w:t>. Comme l</w:t>
      </w:r>
      <w:r>
        <w:rPr>
          <w:rFonts w:cs="Times New Roman"/>
          <w:lang w:val="fr-CA"/>
        </w:rPr>
        <w:t>’</w:t>
      </w:r>
      <w:r w:rsidRPr="009F420B">
        <w:rPr>
          <w:rFonts w:cs="Times New Roman"/>
          <w:lang w:val="fr-CA"/>
        </w:rPr>
        <w:t xml:space="preserve">a reconnu à juste titre ma collègue la juge Côté au </w:t>
      </w:r>
      <w:r>
        <w:rPr>
          <w:rFonts w:cs="Times New Roman"/>
          <w:lang w:val="fr-CA"/>
        </w:rPr>
        <w:t>par. </w:t>
      </w:r>
      <w:r w:rsidRPr="009F420B">
        <w:rPr>
          <w:rFonts w:cs="Times New Roman"/>
          <w:lang w:val="fr-CA"/>
        </w:rPr>
        <w:t>263 de ses motifs, une analyse concernant l</w:t>
      </w:r>
      <w:r>
        <w:rPr>
          <w:rFonts w:cs="Times New Roman"/>
          <w:lang w:val="fr-CA"/>
        </w:rPr>
        <w:t>’</w:t>
      </w:r>
      <w:r w:rsidRPr="009F420B">
        <w:rPr>
          <w:rFonts w:cs="Times New Roman"/>
          <w:lang w:val="fr-CA"/>
        </w:rPr>
        <w:t>existence d</w:t>
      </w:r>
      <w:r>
        <w:rPr>
          <w:rFonts w:cs="Times New Roman"/>
          <w:lang w:val="fr-CA"/>
        </w:rPr>
        <w:t>’</w:t>
      </w:r>
      <w:r w:rsidRPr="009F420B">
        <w:rPr>
          <w:rFonts w:cs="Times New Roman"/>
          <w:lang w:val="fr-CA"/>
        </w:rPr>
        <w:t>un rattachement important « introduit un certain pouvoir discrétionnaire ». Cependant, au par</w:t>
      </w:r>
      <w:r w:rsidR="00A5116D">
        <w:rPr>
          <w:rFonts w:cs="Times New Roman"/>
          <w:lang w:val="fr-CA"/>
        </w:rPr>
        <w:t>.</w:t>
      </w:r>
      <w:r w:rsidRPr="009F420B">
        <w:rPr>
          <w:rFonts w:cs="Times New Roman"/>
          <w:lang w:val="fr-CA"/>
        </w:rPr>
        <w:t> 36 de l</w:t>
      </w:r>
      <w:r>
        <w:rPr>
          <w:rFonts w:cs="Times New Roman"/>
          <w:lang w:val="fr-CA"/>
        </w:rPr>
        <w:t>’</w:t>
      </w:r>
      <w:r w:rsidRPr="009F420B">
        <w:rPr>
          <w:rFonts w:cs="Times New Roman"/>
          <w:lang w:val="fr-CA"/>
        </w:rPr>
        <w:t xml:space="preserve">arrêt </w:t>
      </w:r>
      <w:r w:rsidRPr="009F420B">
        <w:rPr>
          <w:rFonts w:cs="Times New Roman"/>
          <w:i/>
          <w:lang w:val="fr-CA"/>
        </w:rPr>
        <w:t>Lépine</w:t>
      </w:r>
      <w:r w:rsidRPr="009F420B">
        <w:rPr>
          <w:rFonts w:cs="Times New Roman"/>
          <w:lang w:val="fr-CA"/>
        </w:rPr>
        <w:t>, la Cour a affirmé sans détour qu</w:t>
      </w:r>
      <w:r>
        <w:rPr>
          <w:rFonts w:cs="Times New Roman"/>
          <w:lang w:val="fr-CA"/>
        </w:rPr>
        <w:t>’</w:t>
      </w:r>
      <w:r w:rsidRPr="009F420B">
        <w:rPr>
          <w:rFonts w:cs="Times New Roman"/>
          <w:lang w:val="fr-CA"/>
        </w:rPr>
        <w:t>une « approche [qui] introduit ainsi un élément d</w:t>
      </w:r>
      <w:r>
        <w:rPr>
          <w:rFonts w:cs="Times New Roman"/>
          <w:lang w:val="fr-CA"/>
        </w:rPr>
        <w:t>’</w:t>
      </w:r>
      <w:r w:rsidRPr="009F420B">
        <w:rPr>
          <w:rFonts w:cs="Times New Roman"/>
          <w:lang w:val="fr-CA"/>
        </w:rPr>
        <w:t>instabilité et d</w:t>
      </w:r>
      <w:r>
        <w:rPr>
          <w:rFonts w:cs="Times New Roman"/>
          <w:lang w:val="fr-CA"/>
        </w:rPr>
        <w:t>’</w:t>
      </w:r>
      <w:r w:rsidRPr="009F420B">
        <w:rPr>
          <w:rFonts w:cs="Times New Roman"/>
          <w:lang w:val="fr-CA"/>
        </w:rPr>
        <w:t>imprévisibilité [. . .] s</w:t>
      </w:r>
      <w:r>
        <w:rPr>
          <w:rFonts w:cs="Times New Roman"/>
          <w:lang w:val="fr-CA"/>
        </w:rPr>
        <w:t>’</w:t>
      </w:r>
      <w:r w:rsidRPr="009F420B">
        <w:rPr>
          <w:rFonts w:cs="Times New Roman"/>
          <w:lang w:val="fr-CA"/>
        </w:rPr>
        <w:t xml:space="preserve">accorde mal avec </w:t>
      </w:r>
      <w:r w:rsidRPr="009F420B">
        <w:rPr>
          <w:rFonts w:cs="Times New Roman"/>
          <w:u w:val="single"/>
          <w:lang w:val="fr-CA"/>
        </w:rPr>
        <w:t>l</w:t>
      </w:r>
      <w:r>
        <w:rPr>
          <w:rFonts w:cs="Times New Roman"/>
          <w:u w:val="single"/>
          <w:lang w:val="fr-CA"/>
        </w:rPr>
        <w:t>’</w:t>
      </w:r>
      <w:r w:rsidRPr="009F420B">
        <w:rPr>
          <w:rFonts w:cs="Times New Roman"/>
          <w:u w:val="single"/>
          <w:lang w:val="fr-CA"/>
        </w:rPr>
        <w:t>attitude en principe favorable à la reconnaissance des jugements étrangers ou externes qu</w:t>
      </w:r>
      <w:r>
        <w:rPr>
          <w:rFonts w:cs="Times New Roman"/>
          <w:u w:val="single"/>
          <w:lang w:val="fr-CA"/>
        </w:rPr>
        <w:t>’</w:t>
      </w:r>
      <w:r w:rsidRPr="009F420B">
        <w:rPr>
          <w:rFonts w:cs="Times New Roman"/>
          <w:u w:val="single"/>
          <w:lang w:val="fr-CA"/>
        </w:rPr>
        <w:t xml:space="preserve">expriment les dispositions du </w:t>
      </w:r>
      <w:r w:rsidRPr="009F420B">
        <w:rPr>
          <w:rFonts w:cs="Times New Roman"/>
          <w:i/>
          <w:u w:val="single"/>
          <w:lang w:val="fr-CA"/>
        </w:rPr>
        <w:t>Code civil</w:t>
      </w:r>
      <w:r w:rsidRPr="009F420B">
        <w:rPr>
          <w:rFonts w:cs="Times New Roman"/>
          <w:lang w:val="fr-CA"/>
        </w:rPr>
        <w:t> » (je souligne).</w:t>
      </w:r>
    </w:p>
    <w:p w:rsidR="00AF6697" w:rsidRPr="009F420B" w:rsidRDefault="00AF6697" w:rsidP="00AF6697">
      <w:pPr>
        <w:pStyle w:val="ParaNoNdepar-AltN"/>
        <w:tabs>
          <w:tab w:val="clear" w:pos="1166"/>
          <w:tab w:val="num" w:pos="1152"/>
        </w:tabs>
        <w:rPr>
          <w:rFonts w:cs="Times New Roman"/>
          <w:lang w:val="fr-CA"/>
        </w:rPr>
      </w:pPr>
      <w:r w:rsidRPr="009F420B">
        <w:rPr>
          <w:rFonts w:cs="Times New Roman"/>
          <w:lang w:val="fr-CA"/>
        </w:rPr>
        <w:t>D</w:t>
      </w:r>
      <w:r>
        <w:rPr>
          <w:rFonts w:cs="Times New Roman"/>
          <w:lang w:val="fr-CA"/>
        </w:rPr>
        <w:t>’</w:t>
      </w:r>
      <w:r w:rsidRPr="009F420B">
        <w:rPr>
          <w:rFonts w:cs="Times New Roman"/>
          <w:lang w:val="fr-CA"/>
        </w:rPr>
        <w:t>autre part, comme l</w:t>
      </w:r>
      <w:r>
        <w:rPr>
          <w:rFonts w:cs="Times New Roman"/>
          <w:lang w:val="fr-CA"/>
        </w:rPr>
        <w:t>’</w:t>
      </w:r>
      <w:r w:rsidRPr="009F420B">
        <w:rPr>
          <w:rFonts w:cs="Times New Roman"/>
          <w:lang w:val="fr-CA"/>
        </w:rPr>
        <w:t xml:space="preserve">explique ma collègue, la Cour a déclaré au </w:t>
      </w:r>
      <w:r>
        <w:rPr>
          <w:rFonts w:cs="Times New Roman"/>
          <w:lang w:val="fr-CA"/>
        </w:rPr>
        <w:t>par. </w:t>
      </w:r>
      <w:r w:rsidRPr="009F420B">
        <w:rPr>
          <w:rFonts w:cs="Times New Roman"/>
          <w:lang w:val="fr-CA"/>
        </w:rPr>
        <w:t>57 de l</w:t>
      </w:r>
      <w:r>
        <w:rPr>
          <w:rFonts w:cs="Times New Roman"/>
          <w:lang w:val="fr-CA"/>
        </w:rPr>
        <w:t>’</w:t>
      </w:r>
      <w:r w:rsidRPr="009F420B">
        <w:rPr>
          <w:rFonts w:cs="Times New Roman"/>
          <w:lang w:val="fr-CA"/>
        </w:rPr>
        <w:t xml:space="preserve">arrêt </w:t>
      </w:r>
      <w:r w:rsidRPr="009F420B">
        <w:rPr>
          <w:rFonts w:cs="Times New Roman"/>
          <w:i/>
          <w:lang w:val="fr-CA"/>
        </w:rPr>
        <w:t>Spar</w:t>
      </w:r>
      <w:r w:rsidRPr="009F420B">
        <w:rPr>
          <w:rFonts w:cs="Times New Roman"/>
          <w:lang w:val="fr-CA"/>
        </w:rPr>
        <w:t xml:space="preserve"> que « la doctrine du </w:t>
      </w:r>
      <w:r w:rsidRPr="009F420B">
        <w:rPr>
          <w:rFonts w:cs="Times New Roman"/>
          <w:i/>
          <w:lang w:val="fr-CA"/>
        </w:rPr>
        <w:t>forum non conveniens</w:t>
      </w:r>
      <w:r w:rsidRPr="009F420B">
        <w:rPr>
          <w:rFonts w:cs="Times New Roman"/>
          <w:lang w:val="fr-CA"/>
        </w:rPr>
        <w:t>, telle qu</w:t>
      </w:r>
      <w:r>
        <w:rPr>
          <w:rFonts w:cs="Times New Roman"/>
          <w:lang w:val="fr-CA"/>
        </w:rPr>
        <w:t>’</w:t>
      </w:r>
      <w:r w:rsidRPr="009F420B">
        <w:rPr>
          <w:rFonts w:cs="Times New Roman"/>
          <w:lang w:val="fr-CA"/>
        </w:rPr>
        <w:t>elle est codifiée à l</w:t>
      </w:r>
      <w:r>
        <w:rPr>
          <w:rFonts w:cs="Times New Roman"/>
          <w:lang w:val="fr-CA"/>
        </w:rPr>
        <w:t>’art. </w:t>
      </w:r>
      <w:r w:rsidRPr="009F420B">
        <w:rPr>
          <w:rFonts w:cs="Times New Roman"/>
          <w:lang w:val="fr-CA"/>
        </w:rPr>
        <w:t>3135, constitue un contrepoids important à la large assise juridictionnelle prévue à l</w:t>
      </w:r>
      <w:r>
        <w:rPr>
          <w:rFonts w:cs="Times New Roman"/>
          <w:lang w:val="fr-CA"/>
        </w:rPr>
        <w:t>’art. </w:t>
      </w:r>
      <w:r w:rsidRPr="009F420B">
        <w:rPr>
          <w:rFonts w:cs="Times New Roman"/>
          <w:lang w:val="fr-CA"/>
        </w:rPr>
        <w:t>3148 ». La Cour a toutefois ajouté par la suite, dans l</w:t>
      </w:r>
      <w:r>
        <w:rPr>
          <w:rFonts w:cs="Times New Roman"/>
          <w:lang w:val="fr-CA"/>
        </w:rPr>
        <w:t>’</w:t>
      </w:r>
      <w:r w:rsidRPr="009F420B">
        <w:rPr>
          <w:rFonts w:cs="Times New Roman"/>
          <w:lang w:val="fr-CA"/>
        </w:rPr>
        <w:t xml:space="preserve">arrêt </w:t>
      </w:r>
      <w:r w:rsidRPr="009F420B">
        <w:rPr>
          <w:rFonts w:cs="Times New Roman"/>
          <w:i/>
          <w:lang w:val="fr-CA"/>
        </w:rPr>
        <w:t>Lépine</w:t>
      </w:r>
      <w:r w:rsidRPr="009F420B">
        <w:rPr>
          <w:rFonts w:cs="Times New Roman"/>
          <w:lang w:val="fr-CA"/>
        </w:rPr>
        <w:t>, que cette doctrine ne s</w:t>
      </w:r>
      <w:r>
        <w:rPr>
          <w:rFonts w:cs="Times New Roman"/>
          <w:lang w:val="fr-CA"/>
        </w:rPr>
        <w:t>’</w:t>
      </w:r>
      <w:r w:rsidRPr="009F420B">
        <w:rPr>
          <w:rFonts w:cs="Times New Roman"/>
          <w:lang w:val="fr-CA"/>
        </w:rPr>
        <w:t>étend pas à la reconnaissance des décisions étrangères. Comme l</w:t>
      </w:r>
      <w:r>
        <w:rPr>
          <w:rFonts w:cs="Times New Roman"/>
          <w:lang w:val="fr-CA"/>
        </w:rPr>
        <w:t>’</w:t>
      </w:r>
      <w:r w:rsidRPr="009F420B">
        <w:rPr>
          <w:rFonts w:cs="Times New Roman"/>
          <w:lang w:val="fr-CA"/>
        </w:rPr>
        <w:t xml:space="preserve">explique ma collègue au </w:t>
      </w:r>
      <w:r>
        <w:rPr>
          <w:rFonts w:cs="Times New Roman"/>
          <w:lang w:val="fr-CA"/>
        </w:rPr>
        <w:t>par. </w:t>
      </w:r>
      <w:r w:rsidRPr="009F420B">
        <w:rPr>
          <w:rFonts w:cs="Times New Roman"/>
          <w:lang w:val="fr-CA"/>
        </w:rPr>
        <w:t>256 de ses motifs, il est par conséquent possible de soutenir que « cela rend l</w:t>
      </w:r>
      <w:r>
        <w:rPr>
          <w:rFonts w:cs="Times New Roman"/>
          <w:lang w:val="fr-CA"/>
        </w:rPr>
        <w:t>’</w:t>
      </w:r>
      <w:r w:rsidRPr="009F420B">
        <w:rPr>
          <w:rFonts w:cs="Times New Roman"/>
          <w:lang w:val="fr-CA"/>
        </w:rPr>
        <w:t>exigence du rattachement important énoncée à 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d</w:t>
      </w:r>
      <w:r>
        <w:rPr>
          <w:rFonts w:cs="Times New Roman"/>
          <w:lang w:val="fr-CA"/>
        </w:rPr>
        <w:t>’</w:t>
      </w:r>
      <w:r w:rsidRPr="009F420B">
        <w:rPr>
          <w:rFonts w:cs="Times New Roman"/>
          <w:lang w:val="fr-CA"/>
        </w:rPr>
        <w:t xml:space="preserve">autant plus nécessaire comme protection contre les déclarations inappropriées de </w:t>
      </w:r>
      <w:r w:rsidRPr="009F420B">
        <w:rPr>
          <w:rFonts w:cs="Times New Roman"/>
          <w:lang w:val="fr-CA"/>
        </w:rPr>
        <w:lastRenderedPageBreak/>
        <w:t>compétence » lorsque le tribunal québécois fonde sa conclusion au sujet de la compétence de l</w:t>
      </w:r>
      <w:r>
        <w:rPr>
          <w:rFonts w:cs="Times New Roman"/>
          <w:lang w:val="fr-CA"/>
        </w:rPr>
        <w:t>’</w:t>
      </w:r>
      <w:r w:rsidRPr="009F420B">
        <w:rPr>
          <w:rFonts w:cs="Times New Roman"/>
          <w:lang w:val="fr-CA"/>
        </w:rPr>
        <w:t>autorité étrangère sur l</w:t>
      </w:r>
      <w:r>
        <w:rPr>
          <w:rFonts w:cs="Times New Roman"/>
          <w:lang w:val="fr-CA"/>
        </w:rPr>
        <w:t>’</w:t>
      </w:r>
      <w:r w:rsidRPr="009F420B">
        <w:rPr>
          <w:rFonts w:cs="Times New Roman"/>
          <w:lang w:val="fr-CA"/>
        </w:rPr>
        <w:t xml:space="preserve">une des « dispositions particulières » du chapitre deuxième du titre troisième; voir aussi les motifs de la juge Côté, </w:t>
      </w:r>
      <w:r>
        <w:rPr>
          <w:rFonts w:cs="Times New Roman"/>
          <w:lang w:val="fr-CA"/>
        </w:rPr>
        <w:t>par. </w:t>
      </w:r>
      <w:r w:rsidRPr="009F420B">
        <w:rPr>
          <w:rFonts w:cs="Times New Roman"/>
          <w:lang w:val="fr-CA"/>
        </w:rPr>
        <w:t>262. À mon avis, cela n</w:t>
      </w:r>
      <w:r>
        <w:rPr>
          <w:rFonts w:cs="Times New Roman"/>
          <w:lang w:val="fr-CA"/>
        </w:rPr>
        <w:t>’</w:t>
      </w:r>
      <w:r w:rsidRPr="009F420B">
        <w:rPr>
          <w:rFonts w:cs="Times New Roman"/>
          <w:lang w:val="fr-CA"/>
        </w:rPr>
        <w:t>est toutefois pas nécessaire dans les cas où le tribunal québécois fonde sa conclusion quant à la compétence sur les dispositions expresses (et déjà plus restrictives) de l</w:t>
      </w:r>
      <w:r>
        <w:rPr>
          <w:rFonts w:cs="Times New Roman"/>
          <w:lang w:val="fr-CA"/>
        </w:rPr>
        <w:t>’art. </w:t>
      </w:r>
      <w:r w:rsidRPr="009F420B">
        <w:rPr>
          <w:rFonts w:cs="Times New Roman"/>
          <w:lang w:val="fr-CA"/>
        </w:rPr>
        <w:t xml:space="preserve">3168 </w:t>
      </w:r>
      <w:r w:rsidRPr="009F420B">
        <w:rPr>
          <w:rFonts w:cs="Times New Roman"/>
          <w:i/>
          <w:lang w:val="fr-CA"/>
        </w:rPr>
        <w:t>C.c.Q.</w:t>
      </w:r>
      <w:r w:rsidRPr="009F420B">
        <w:rPr>
          <w:rFonts w:cs="Times New Roman"/>
          <w:lang w:val="fr-CA"/>
        </w:rPr>
        <w:t>, comme l</w:t>
      </w:r>
      <w:r>
        <w:rPr>
          <w:rFonts w:cs="Times New Roman"/>
          <w:lang w:val="fr-CA"/>
        </w:rPr>
        <w:t>’</w:t>
      </w:r>
      <w:r w:rsidRPr="009F420B">
        <w:rPr>
          <w:rFonts w:cs="Times New Roman"/>
          <w:lang w:val="fr-CA"/>
        </w:rPr>
        <w:t>explique le professeur Goldstein (</w:t>
      </w:r>
      <w:r>
        <w:rPr>
          <w:rFonts w:cs="Times New Roman"/>
          <w:lang w:val="fr-CA"/>
        </w:rPr>
        <w:t>p. </w:t>
      </w:r>
      <w:r w:rsidRPr="009F420B">
        <w:rPr>
          <w:rFonts w:cs="Times New Roman"/>
          <w:lang w:val="fr-CA"/>
        </w:rPr>
        <w:t>437)</w:t>
      </w:r>
      <w:r>
        <w:rPr>
          <w:rFonts w:cs="Times New Roman"/>
          <w:lang w:val="fr-CA"/>
        </w:rPr>
        <w:t> :</w:t>
      </w:r>
    </w:p>
    <w:p w:rsidR="00AF6697" w:rsidRPr="009F420B" w:rsidRDefault="00A5116D" w:rsidP="00AF6697">
      <w:pPr>
        <w:pStyle w:val="Citation-AltC"/>
        <w:spacing w:after="240"/>
        <w:ind w:left="1168" w:hanging="1168"/>
        <w:contextualSpacing w:val="0"/>
        <w:rPr>
          <w:lang w:val="fr-CA"/>
        </w:rPr>
      </w:pPr>
      <w:r>
        <w:rPr>
          <w:lang w:val="fr-CA"/>
        </w:rPr>
        <w:tab/>
      </w:r>
      <w:r w:rsidR="00AF6697" w:rsidRPr="009F420B">
        <w:rPr>
          <w:lang w:val="fr-CA"/>
        </w:rPr>
        <w:t>Si l</w:t>
      </w:r>
      <w:r w:rsidR="00AF6697">
        <w:rPr>
          <w:lang w:val="fr-CA"/>
        </w:rPr>
        <w:t>’</w:t>
      </w:r>
      <w:r w:rsidR="00AF6697" w:rsidRPr="009F420B">
        <w:rPr>
          <w:lang w:val="fr-CA"/>
        </w:rPr>
        <w:t>on compare les chefs de compétence donnés au tribunal québécois par l</w:t>
      </w:r>
      <w:r w:rsidR="00AF6697">
        <w:rPr>
          <w:lang w:val="fr-CA"/>
        </w:rPr>
        <w:t>’</w:t>
      </w:r>
      <w:r w:rsidR="00AF6697" w:rsidRPr="009F420B">
        <w:rPr>
          <w:lang w:val="fr-CA"/>
        </w:rPr>
        <w:t>article 3148 C.c.Q. [. . .] et ceux qui découlent de l</w:t>
      </w:r>
      <w:r w:rsidR="00AF6697">
        <w:rPr>
          <w:lang w:val="fr-CA"/>
        </w:rPr>
        <w:t>’</w:t>
      </w:r>
      <w:r w:rsidR="00AF6697" w:rsidRPr="009F420B">
        <w:rPr>
          <w:lang w:val="fr-CA"/>
        </w:rPr>
        <w:t xml:space="preserve">article 3168 C.c.Q., au bénéfice du tribunal étranger, en plus de la formulation </w:t>
      </w:r>
      <w:r w:rsidR="00FE33EA">
        <w:rPr>
          <w:lang w:val="fr-CA"/>
        </w:rPr>
        <w:t>limitative de cette disposition</w:t>
      </w:r>
      <w:r w:rsidR="00AF6697" w:rsidRPr="009F420B">
        <w:rPr>
          <w:lang w:val="fr-CA"/>
        </w:rPr>
        <w:t xml:space="preserve"> [. . .]</w:t>
      </w:r>
      <w:r w:rsidR="00FE33EA">
        <w:rPr>
          <w:lang w:val="fr-CA"/>
        </w:rPr>
        <w:t>,</w:t>
      </w:r>
      <w:r w:rsidR="00AF6697" w:rsidRPr="009F420B">
        <w:rPr>
          <w:lang w:val="fr-CA"/>
        </w:rPr>
        <w:t xml:space="preserve"> on constate que le principe du miroir de l</w:t>
      </w:r>
      <w:r w:rsidR="00AF6697">
        <w:rPr>
          <w:lang w:val="fr-CA"/>
        </w:rPr>
        <w:t>’</w:t>
      </w:r>
      <w:r w:rsidR="00AF6697" w:rsidRPr="009F420B">
        <w:rPr>
          <w:lang w:val="fr-CA"/>
        </w:rPr>
        <w:t>article 3164 C.c.Q. [. . .] n</w:t>
      </w:r>
      <w:r w:rsidR="00AF6697">
        <w:rPr>
          <w:lang w:val="fr-CA"/>
        </w:rPr>
        <w:t>’</w:t>
      </w:r>
      <w:r w:rsidR="00AF6697" w:rsidRPr="009F420B">
        <w:rPr>
          <w:lang w:val="fr-CA"/>
        </w:rPr>
        <w:t>est pas respecté pour les actions personnelles à caractère patrimoni</w:t>
      </w:r>
      <w:r w:rsidR="00AF6697">
        <w:rPr>
          <w:lang w:val="fr-CA"/>
        </w:rPr>
        <w:t>al. </w:t>
      </w:r>
    </w:p>
    <w:p w:rsidR="00AF6697" w:rsidRPr="009F420B" w:rsidRDefault="00A5116D" w:rsidP="00AF6697">
      <w:pPr>
        <w:pStyle w:val="Citation-AltC"/>
        <w:ind w:hanging="1166"/>
        <w:rPr>
          <w:lang w:val="fr-CA"/>
        </w:rPr>
      </w:pPr>
      <w:r>
        <w:rPr>
          <w:lang w:val="fr-CA"/>
        </w:rPr>
        <w:tab/>
      </w:r>
      <w:r w:rsidR="00FE33EA">
        <w:rPr>
          <w:lang w:val="fr-CA"/>
        </w:rPr>
        <w:t xml:space="preserve">. . . </w:t>
      </w:r>
      <w:r w:rsidR="00FE33EA">
        <w:rPr>
          <w:u w:val="single"/>
          <w:lang w:val="fr-CA"/>
        </w:rPr>
        <w:t>c</w:t>
      </w:r>
      <w:r w:rsidR="00AF6697" w:rsidRPr="009F420B">
        <w:rPr>
          <w:u w:val="single"/>
          <w:lang w:val="fr-CA"/>
        </w:rPr>
        <w:t>ette attitude restrictive s</w:t>
      </w:r>
      <w:r w:rsidR="00AF6697">
        <w:rPr>
          <w:u w:val="single"/>
          <w:lang w:val="fr-CA"/>
        </w:rPr>
        <w:t>’</w:t>
      </w:r>
      <w:r w:rsidR="00AF6697" w:rsidRPr="009F420B">
        <w:rPr>
          <w:u w:val="single"/>
          <w:lang w:val="fr-CA"/>
        </w:rPr>
        <w:t xml:space="preserve">explique dans la mesure où la théorie du </w:t>
      </w:r>
      <w:r w:rsidR="00AF6697" w:rsidRPr="009F420B">
        <w:rPr>
          <w:i/>
          <w:u w:val="single"/>
          <w:lang w:val="fr-CA"/>
        </w:rPr>
        <w:t>forum non conveniens</w:t>
      </w:r>
      <w:r w:rsidR="00AF6697" w:rsidRPr="009F420B">
        <w:rPr>
          <w:u w:val="single"/>
          <w:lang w:val="fr-CA"/>
        </w:rPr>
        <w:t>, consacrée dans l</w:t>
      </w:r>
      <w:r w:rsidR="00AF6697">
        <w:rPr>
          <w:u w:val="single"/>
          <w:lang w:val="fr-CA"/>
        </w:rPr>
        <w:t>’</w:t>
      </w:r>
      <w:r w:rsidR="00AF6697" w:rsidRPr="009F420B">
        <w:rPr>
          <w:u w:val="single"/>
          <w:lang w:val="fr-CA"/>
        </w:rPr>
        <w:t xml:space="preserve">article 3135 C.c.Q. </w:t>
      </w:r>
      <w:r>
        <w:rPr>
          <w:u w:val="single"/>
          <w:lang w:val="fr-CA"/>
        </w:rPr>
        <w:t xml:space="preserve">[. . .] </w:t>
      </w:r>
      <w:r w:rsidR="00AF6697" w:rsidRPr="009F420B">
        <w:rPr>
          <w:u w:val="single"/>
          <w:lang w:val="fr-CA"/>
        </w:rPr>
        <w:t>pour la compétence des tribunaux québécois, ne figure pas pour les règles de compétence indirecte, ce qui pourrait favoriser le forum shopping à l</w:t>
      </w:r>
      <w:r w:rsidR="00AF6697">
        <w:rPr>
          <w:u w:val="single"/>
          <w:lang w:val="fr-CA"/>
        </w:rPr>
        <w:t>’</w:t>
      </w:r>
      <w:r w:rsidR="00AF6697" w:rsidRPr="009F420B">
        <w:rPr>
          <w:u w:val="single"/>
          <w:lang w:val="fr-CA"/>
        </w:rPr>
        <w:t>étranger.</w:t>
      </w:r>
      <w:r w:rsidR="00AF6697" w:rsidRPr="009F420B">
        <w:rPr>
          <w:lang w:val="fr-CA"/>
        </w:rPr>
        <w:t xml:space="preserve"> De plus, lors de l</w:t>
      </w:r>
      <w:r w:rsidR="00AF6697">
        <w:rPr>
          <w:lang w:val="fr-CA"/>
        </w:rPr>
        <w:t>’</w:t>
      </w:r>
      <w:r w:rsidR="00AF6697" w:rsidRPr="009F420B">
        <w:rPr>
          <w:lang w:val="fr-CA"/>
        </w:rPr>
        <w:t>adoption de l</w:t>
      </w:r>
      <w:r w:rsidR="00AF6697">
        <w:rPr>
          <w:lang w:val="fr-CA"/>
        </w:rPr>
        <w:t>’</w:t>
      </w:r>
      <w:r w:rsidR="00AF6697" w:rsidRPr="009F420B">
        <w:rPr>
          <w:lang w:val="fr-CA"/>
        </w:rPr>
        <w:t>article 3168 C.c.Q., il n</w:t>
      </w:r>
      <w:r w:rsidR="00AF6697">
        <w:rPr>
          <w:lang w:val="fr-CA"/>
        </w:rPr>
        <w:t>’</w:t>
      </w:r>
      <w:r w:rsidR="00AF6697" w:rsidRPr="009F420B">
        <w:rPr>
          <w:lang w:val="fr-CA"/>
        </w:rPr>
        <w:t>était pas apparu que l</w:t>
      </w:r>
      <w:r w:rsidR="00AF6697">
        <w:rPr>
          <w:lang w:val="fr-CA"/>
        </w:rPr>
        <w:t>’</w:t>
      </w:r>
      <w:r w:rsidR="00AF6697" w:rsidRPr="009F420B">
        <w:rPr>
          <w:lang w:val="fr-CA"/>
        </w:rPr>
        <w:t>exigence d</w:t>
      </w:r>
      <w:r w:rsidR="00AF6697">
        <w:rPr>
          <w:lang w:val="fr-CA"/>
        </w:rPr>
        <w:t>’</w:t>
      </w:r>
      <w:r w:rsidR="00AF6697" w:rsidRPr="009F420B">
        <w:rPr>
          <w:lang w:val="fr-CA"/>
        </w:rPr>
        <w:t>un rattachement étroit figurant à l</w:t>
      </w:r>
      <w:r w:rsidR="00AF6697">
        <w:rPr>
          <w:lang w:val="fr-CA"/>
        </w:rPr>
        <w:t>’</w:t>
      </w:r>
      <w:r w:rsidR="00AF6697" w:rsidRPr="009F420B">
        <w:rPr>
          <w:lang w:val="fr-CA"/>
        </w:rPr>
        <w:t>article 3164 C.c.Q. pouvait aussi s</w:t>
      </w:r>
      <w:r w:rsidR="00AF6697">
        <w:rPr>
          <w:lang w:val="fr-CA"/>
        </w:rPr>
        <w:t>’</w:t>
      </w:r>
      <w:r w:rsidR="00AF6697" w:rsidRPr="009F420B">
        <w:rPr>
          <w:lang w:val="fr-CA"/>
        </w:rPr>
        <w:t>appliquer aux règles de compétence indirecte expresses de manière à contrôler ponctuellement la compétence indirecte. C</w:t>
      </w:r>
      <w:r w:rsidR="00AF6697">
        <w:rPr>
          <w:lang w:val="fr-CA"/>
        </w:rPr>
        <w:t>’</w:t>
      </w:r>
      <w:r w:rsidR="00AF6697" w:rsidRPr="009F420B">
        <w:rPr>
          <w:lang w:val="fr-CA"/>
        </w:rPr>
        <w:t>est la jurisprudence qui a récemment interprété l</w:t>
      </w:r>
      <w:r w:rsidR="00AF6697">
        <w:rPr>
          <w:lang w:val="fr-CA"/>
        </w:rPr>
        <w:t>’</w:t>
      </w:r>
      <w:r w:rsidR="00AF6697" w:rsidRPr="009F420B">
        <w:rPr>
          <w:lang w:val="fr-CA"/>
        </w:rPr>
        <w:t>a</w:t>
      </w:r>
      <w:r w:rsidR="00E8201D">
        <w:rPr>
          <w:lang w:val="fr-CA"/>
        </w:rPr>
        <w:t xml:space="preserve">rticle 3164 C.c.Q. </w:t>
      </w:r>
      <w:r>
        <w:rPr>
          <w:lang w:val="fr-CA"/>
        </w:rPr>
        <w:t>en ce sens. </w:t>
      </w:r>
      <w:r w:rsidR="00E8201D">
        <w:rPr>
          <w:lang w:val="fr-CA"/>
        </w:rPr>
        <w:t>. . </w:t>
      </w:r>
      <w:r w:rsidR="00AF6697" w:rsidRPr="009F420B">
        <w:rPr>
          <w:lang w:val="fr-CA"/>
        </w:rPr>
        <w:t xml:space="preserve"> [Je souligne; </w:t>
      </w:r>
      <w:r w:rsidR="00F43F7E">
        <w:rPr>
          <w:lang w:val="fr-CA"/>
        </w:rPr>
        <w:t xml:space="preserve">texte </w:t>
      </w:r>
      <w:r w:rsidR="00AF6697" w:rsidRPr="009F420B">
        <w:rPr>
          <w:lang w:val="fr-CA"/>
        </w:rPr>
        <w:t>entre crochets omis.]</w:t>
      </w:r>
    </w:p>
    <w:p w:rsidR="00AF6697" w:rsidRPr="009F420B" w:rsidRDefault="00AF6697" w:rsidP="00AF6697">
      <w:pPr>
        <w:pStyle w:val="Title3LevelTitre3Niveau"/>
        <w:jc w:val="both"/>
        <w:rPr>
          <w:rFonts w:cs="Times New Roman"/>
          <w:lang w:val="fr-CA"/>
        </w:rPr>
      </w:pPr>
      <w:r w:rsidRPr="009F420B">
        <w:rPr>
          <w:rFonts w:cs="Times New Roman"/>
          <w:lang w:val="fr-CA"/>
        </w:rPr>
        <w:t xml:space="preserve">Application à la présente affaire </w:t>
      </w:r>
    </w:p>
    <w:p w:rsidR="00AF6697" w:rsidRPr="009F420B" w:rsidRDefault="00AF6697" w:rsidP="00AF6697">
      <w:pPr>
        <w:pStyle w:val="ParaNoNdepar-AltN"/>
        <w:rPr>
          <w:rFonts w:cs="Times New Roman"/>
          <w:lang w:val="fr-CA"/>
        </w:rPr>
      </w:pPr>
      <w:r w:rsidRPr="009F420B">
        <w:rPr>
          <w:rFonts w:cs="Times New Roman"/>
          <w:lang w:val="fr-CA"/>
        </w:rPr>
        <w:t>Pour les motifs exposés précédemment, j</w:t>
      </w:r>
      <w:r>
        <w:rPr>
          <w:rFonts w:cs="Times New Roman"/>
          <w:lang w:val="fr-CA"/>
        </w:rPr>
        <w:t>’</w:t>
      </w:r>
      <w:r w:rsidRPr="009F420B">
        <w:rPr>
          <w:rFonts w:cs="Times New Roman"/>
          <w:lang w:val="fr-CA"/>
        </w:rPr>
        <w:t>ai conclu que 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xml:space="preserve"> autorise le tribunal québécois à reconnaître la compétence de l</w:t>
      </w:r>
      <w:r>
        <w:rPr>
          <w:rFonts w:cs="Times New Roman"/>
          <w:lang w:val="fr-CA"/>
        </w:rPr>
        <w:t>’</w:t>
      </w:r>
      <w:r w:rsidRPr="009F420B">
        <w:rPr>
          <w:rFonts w:cs="Times New Roman"/>
          <w:lang w:val="fr-CA"/>
        </w:rPr>
        <w:t>autorité étrangère en se fondant sur une des « dispositions générales » du chapitre premier du titre troisième, y compris l</w:t>
      </w:r>
      <w:r>
        <w:rPr>
          <w:rFonts w:cs="Times New Roman"/>
          <w:lang w:val="fr-CA"/>
        </w:rPr>
        <w:t>’art. </w:t>
      </w:r>
      <w:r w:rsidRPr="009F420B">
        <w:rPr>
          <w:rFonts w:cs="Times New Roman"/>
          <w:lang w:val="fr-CA"/>
        </w:rPr>
        <w:t xml:space="preserve">3139 </w:t>
      </w:r>
      <w:r w:rsidRPr="009F420B">
        <w:rPr>
          <w:rFonts w:cs="Times New Roman"/>
          <w:i/>
          <w:lang w:val="fr-CA"/>
        </w:rPr>
        <w:t>C.c.Q.</w:t>
      </w:r>
      <w:r w:rsidRPr="009F420B">
        <w:rPr>
          <w:rFonts w:cs="Times New Roman"/>
          <w:lang w:val="fr-CA"/>
        </w:rPr>
        <w:t>, dans la mesure où le litige se rattache d</w:t>
      </w:r>
      <w:r>
        <w:rPr>
          <w:rFonts w:cs="Times New Roman"/>
          <w:lang w:val="fr-CA"/>
        </w:rPr>
        <w:t>’</w:t>
      </w:r>
      <w:r w:rsidRPr="009F420B">
        <w:rPr>
          <w:rFonts w:cs="Times New Roman"/>
          <w:lang w:val="fr-CA"/>
        </w:rPr>
        <w:t>une façon importante à l</w:t>
      </w:r>
      <w:r>
        <w:rPr>
          <w:rFonts w:cs="Times New Roman"/>
          <w:lang w:val="fr-CA"/>
        </w:rPr>
        <w:t>’</w:t>
      </w:r>
      <w:r w:rsidRPr="009F420B">
        <w:rPr>
          <w:rFonts w:cs="Times New Roman"/>
          <w:lang w:val="fr-CA"/>
        </w:rPr>
        <w:t>État dont l</w:t>
      </w:r>
      <w:r>
        <w:rPr>
          <w:rFonts w:cs="Times New Roman"/>
          <w:lang w:val="fr-CA"/>
        </w:rPr>
        <w:t>’</w:t>
      </w:r>
      <w:r w:rsidRPr="009F420B">
        <w:rPr>
          <w:rFonts w:cs="Times New Roman"/>
          <w:lang w:val="fr-CA"/>
        </w:rPr>
        <w:t>autorité a été saisie. Voici le libellé de l</w:t>
      </w:r>
      <w:r>
        <w:rPr>
          <w:rFonts w:cs="Times New Roman"/>
          <w:lang w:val="fr-CA"/>
        </w:rPr>
        <w:t>’</w:t>
      </w:r>
      <w:r w:rsidR="002E1605">
        <w:rPr>
          <w:rFonts w:cs="Times New Roman"/>
          <w:lang w:val="fr-CA"/>
        </w:rPr>
        <w:t>art.</w:t>
      </w:r>
      <w:r w:rsidRPr="009F420B">
        <w:rPr>
          <w:rFonts w:cs="Times New Roman"/>
          <w:lang w:val="fr-CA"/>
        </w:rPr>
        <w:t xml:space="preserve"> 3139 </w:t>
      </w:r>
      <w:r w:rsidRPr="009F420B">
        <w:rPr>
          <w:rFonts w:cs="Times New Roman"/>
          <w:i/>
          <w:lang w:val="fr-CA"/>
        </w:rPr>
        <w:t>C.c.Q.</w:t>
      </w:r>
      <w:r>
        <w:rPr>
          <w:rFonts w:cs="Times New Roman"/>
          <w:lang w:val="fr-CA"/>
        </w:rPr>
        <w:t> :</w:t>
      </w:r>
    </w:p>
    <w:p w:rsidR="00AF6697" w:rsidRPr="009F420B" w:rsidRDefault="00AF6697" w:rsidP="00AF6697">
      <w:pPr>
        <w:pStyle w:val="Citation-AltC"/>
        <w:ind w:hanging="1166"/>
        <w:rPr>
          <w:lang w:val="fr-CA"/>
        </w:rPr>
      </w:pPr>
      <w:r>
        <w:rPr>
          <w:b/>
          <w:lang w:val="fr-CA"/>
        </w:rPr>
        <w:lastRenderedPageBreak/>
        <w:tab/>
      </w:r>
      <w:r w:rsidRPr="009F420B">
        <w:rPr>
          <w:b/>
          <w:lang w:val="fr-CA"/>
        </w:rPr>
        <w:t>3139.</w:t>
      </w:r>
      <w:r>
        <w:rPr>
          <w:lang w:val="fr-CA"/>
        </w:rPr>
        <w:t> </w:t>
      </w:r>
      <w:r w:rsidRPr="009F420B">
        <w:rPr>
          <w:lang w:val="fr-CA"/>
        </w:rPr>
        <w:t>L</w:t>
      </w:r>
      <w:r>
        <w:rPr>
          <w:lang w:val="fr-CA"/>
        </w:rPr>
        <w:t>’</w:t>
      </w:r>
      <w:r w:rsidRPr="009F420B">
        <w:rPr>
          <w:lang w:val="fr-CA"/>
        </w:rPr>
        <w:t>autorité québécoise, compétente pour la demande principale, est aussi compétente pour la demande incidente ou reconventionnelle.</w:t>
      </w:r>
    </w:p>
    <w:p w:rsidR="00AF6697" w:rsidRPr="009F420B" w:rsidRDefault="00AF6697" w:rsidP="00AF6697">
      <w:pPr>
        <w:pStyle w:val="ParaNoNdepar-AltN"/>
        <w:rPr>
          <w:rFonts w:cs="Times New Roman"/>
          <w:lang w:val="fr-CA"/>
        </w:rPr>
      </w:pPr>
      <w:r w:rsidRPr="009F420B">
        <w:rPr>
          <w:rFonts w:cs="Times New Roman"/>
          <w:lang w:val="fr-CA"/>
        </w:rPr>
        <w:t>L</w:t>
      </w:r>
      <w:r>
        <w:rPr>
          <w:rFonts w:cs="Times New Roman"/>
          <w:lang w:val="fr-CA"/>
        </w:rPr>
        <w:t>’</w:t>
      </w:r>
      <w:r w:rsidRPr="009F420B">
        <w:rPr>
          <w:rFonts w:cs="Times New Roman"/>
          <w:lang w:val="fr-CA"/>
        </w:rPr>
        <w:t xml:space="preserve">article 3139 </w:t>
      </w:r>
      <w:r w:rsidRPr="009F420B">
        <w:rPr>
          <w:rFonts w:cs="Times New Roman"/>
          <w:i/>
          <w:lang w:val="fr-CA"/>
        </w:rPr>
        <w:t>C.c.Q.</w:t>
      </w:r>
      <w:r w:rsidRPr="009F420B">
        <w:rPr>
          <w:rFonts w:cs="Times New Roman"/>
          <w:lang w:val="fr-CA"/>
        </w:rPr>
        <w:t xml:space="preserve"> vise la commodité administrative. Il vise plus précisément « l</w:t>
      </w:r>
      <w:r>
        <w:rPr>
          <w:rFonts w:cs="Times New Roman"/>
          <w:lang w:val="fr-CA"/>
        </w:rPr>
        <w:t>’</w:t>
      </w:r>
      <w:r w:rsidRPr="009F420B">
        <w:rPr>
          <w:rFonts w:cs="Times New Roman"/>
          <w:lang w:val="fr-CA"/>
        </w:rPr>
        <w:t>économie des ressources judiciaires et l</w:t>
      </w:r>
      <w:r>
        <w:rPr>
          <w:rFonts w:cs="Times New Roman"/>
          <w:lang w:val="fr-CA"/>
        </w:rPr>
        <w:t>’</w:t>
      </w:r>
      <w:r w:rsidRPr="009F420B">
        <w:rPr>
          <w:rFonts w:cs="Times New Roman"/>
          <w:lang w:val="fr-CA"/>
        </w:rPr>
        <w:t>efficacité de l</w:t>
      </w:r>
      <w:r>
        <w:rPr>
          <w:rFonts w:cs="Times New Roman"/>
          <w:lang w:val="fr-CA"/>
        </w:rPr>
        <w:t>’</w:t>
      </w:r>
      <w:r w:rsidRPr="009F420B">
        <w:rPr>
          <w:rFonts w:cs="Times New Roman"/>
          <w:lang w:val="fr-CA"/>
        </w:rPr>
        <w:t xml:space="preserve">administration de la justice </w:t>
      </w:r>
      <w:r w:rsidRPr="009F420B">
        <w:rPr>
          <w:rFonts w:cs="Times New Roman"/>
          <w:u w:val="single"/>
          <w:lang w:val="fr-CA"/>
        </w:rPr>
        <w:t>en favorisant la réunion d</w:t>
      </w:r>
      <w:r>
        <w:rPr>
          <w:rFonts w:cs="Times New Roman"/>
          <w:u w:val="single"/>
          <w:lang w:val="fr-CA"/>
        </w:rPr>
        <w:t>’</w:t>
      </w:r>
      <w:r w:rsidRPr="009F420B">
        <w:rPr>
          <w:rFonts w:cs="Times New Roman"/>
          <w:u w:val="single"/>
          <w:lang w:val="fr-CA"/>
        </w:rPr>
        <w:t>instances</w:t>
      </w:r>
      <w:r w:rsidRPr="009F420B">
        <w:rPr>
          <w:rFonts w:cs="Times New Roman"/>
          <w:lang w:val="fr-CA"/>
        </w:rPr>
        <w:t> »</w:t>
      </w:r>
      <w:r>
        <w:rPr>
          <w:rFonts w:cs="Times New Roman"/>
          <w:lang w:val="fr-CA"/>
        </w:rPr>
        <w:t> :</w:t>
      </w:r>
      <w:r w:rsidRPr="009F420B">
        <w:rPr>
          <w:rFonts w:cs="Times New Roman"/>
          <w:lang w:val="fr-CA"/>
        </w:rPr>
        <w:t xml:space="preserve"> </w:t>
      </w:r>
      <w:r w:rsidRPr="009F420B">
        <w:rPr>
          <w:rFonts w:cs="Times New Roman"/>
          <w:i/>
          <w:lang w:val="fr-CA"/>
        </w:rPr>
        <w:t>GreCon</w:t>
      </w:r>
      <w:r w:rsidRPr="009F420B">
        <w:rPr>
          <w:rFonts w:cs="Times New Roman"/>
          <w:lang w:val="fr-CA"/>
        </w:rPr>
        <w:t xml:space="preserve">, </w:t>
      </w:r>
      <w:r>
        <w:rPr>
          <w:rFonts w:cs="Times New Roman"/>
          <w:lang w:val="fr-CA"/>
        </w:rPr>
        <w:t>par. </w:t>
      </w:r>
      <w:r w:rsidRPr="009F420B">
        <w:rPr>
          <w:rFonts w:cs="Times New Roman"/>
          <w:lang w:val="fr-CA"/>
        </w:rPr>
        <w:t>30 (je souligne). Dans l</w:t>
      </w:r>
      <w:r>
        <w:rPr>
          <w:rFonts w:cs="Times New Roman"/>
          <w:lang w:val="fr-CA"/>
        </w:rPr>
        <w:t>’</w:t>
      </w:r>
      <w:r w:rsidRPr="009F420B">
        <w:rPr>
          <w:rFonts w:cs="Times New Roman"/>
          <w:lang w:val="fr-CA"/>
        </w:rPr>
        <w:t xml:space="preserve">arrêt </w:t>
      </w:r>
      <w:r w:rsidRPr="009F420B">
        <w:rPr>
          <w:rFonts w:cs="Times New Roman"/>
          <w:i/>
          <w:lang w:val="fr-CA"/>
        </w:rPr>
        <w:t>GreCon</w:t>
      </w:r>
      <w:r w:rsidRPr="009F420B">
        <w:rPr>
          <w:rFonts w:cs="Times New Roman"/>
          <w:lang w:val="fr-CA"/>
        </w:rPr>
        <w:t>, la Cour a noté que l</w:t>
      </w:r>
      <w:r>
        <w:rPr>
          <w:rFonts w:cs="Times New Roman"/>
          <w:lang w:val="fr-CA"/>
        </w:rPr>
        <w:t>’art. </w:t>
      </w:r>
      <w:r w:rsidRPr="009F420B">
        <w:rPr>
          <w:rFonts w:cs="Times New Roman"/>
          <w:lang w:val="fr-CA"/>
        </w:rPr>
        <w:t xml:space="preserve">3139 </w:t>
      </w:r>
      <w:r w:rsidRPr="009F420B">
        <w:rPr>
          <w:rFonts w:cs="Times New Roman"/>
          <w:i/>
          <w:lang w:val="fr-CA"/>
        </w:rPr>
        <w:t>C.c.Q.</w:t>
      </w:r>
      <w:r w:rsidRPr="009F420B">
        <w:rPr>
          <w:rFonts w:cs="Times New Roman"/>
          <w:lang w:val="fr-CA"/>
        </w:rPr>
        <w:t xml:space="preserve"> « prévoit donc une exception au principe que la compétence du tribunal québécois se détermine pour chaque demande en particulier » et « élargit aussi considérablement la portée potentielle de la compétence des autorités québécoises »</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 xml:space="preserve">29. La Cour a ajouté que « [c]ette portée élargie suggère une interprétation restrictive de </w:t>
      </w:r>
      <w:r w:rsidRPr="00213F82">
        <w:rPr>
          <w:rFonts w:cs="Times New Roman"/>
          <w:lang w:val="fr-CA"/>
        </w:rPr>
        <w:t>l’</w:t>
      </w:r>
      <w:r w:rsidRPr="00213F82">
        <w:rPr>
          <w:rStyle w:val="Hyperlink"/>
          <w:rFonts w:cs="Times New Roman"/>
          <w:color w:val="auto"/>
          <w:u w:val="none"/>
          <w:lang w:val="fr-CA"/>
        </w:rPr>
        <w:t>art. 3139</w:t>
      </w:r>
      <w:r w:rsidRPr="00213F82">
        <w:rPr>
          <w:rFonts w:cs="Times New Roman"/>
          <w:lang w:val="fr-CA"/>
        </w:rPr>
        <w:t xml:space="preserve"> </w:t>
      </w:r>
      <w:r w:rsidRPr="009A7AEA">
        <w:rPr>
          <w:rStyle w:val="Hyperlink"/>
          <w:rFonts w:cs="Times New Roman"/>
          <w:i/>
          <w:iCs/>
          <w:color w:val="auto"/>
          <w:u w:val="none"/>
          <w:lang w:val="fr-CA"/>
        </w:rPr>
        <w:t>C.c.Q</w:t>
      </w:r>
      <w:r w:rsidRPr="009A7AEA">
        <w:rPr>
          <w:rFonts w:cs="Times New Roman"/>
          <w:i/>
          <w:iCs/>
          <w:lang w:val="fr-CA"/>
        </w:rPr>
        <w:t>.</w:t>
      </w:r>
      <w:r w:rsidRPr="00213F82">
        <w:rPr>
          <w:rFonts w:cs="Times New Roman"/>
          <w:iCs/>
          <w:lang w:val="fr-CA"/>
        </w:rPr>
        <w:t xml:space="preserve"> </w:t>
      </w:r>
      <w:r w:rsidRPr="00213F82">
        <w:rPr>
          <w:rFonts w:cs="Times New Roman"/>
          <w:lang w:val="fr-CA"/>
        </w:rPr>
        <w:t xml:space="preserve">afin de ne pas étendre indirectement la compétence internationale des autorités québécoises » : par. 29. Par conséquent, l’art. 3139 </w:t>
      </w:r>
      <w:r w:rsidRPr="009A7AEA">
        <w:rPr>
          <w:rFonts w:cs="Times New Roman"/>
          <w:i/>
          <w:lang w:val="fr-CA"/>
        </w:rPr>
        <w:t>C.c.Q.</w:t>
      </w:r>
      <w:r w:rsidRPr="00213F82">
        <w:rPr>
          <w:rFonts w:cs="Times New Roman"/>
          <w:lang w:val="fr-CA"/>
        </w:rPr>
        <w:t xml:space="preserve"> ne peut pas avoir préséance sur une clause d’élection de for ou sur une clause d’arbitrage convenue par les parties, parce que « l’application de cette disposition est subordonnée à celle de l’</w:t>
      </w:r>
      <w:r w:rsidRPr="00213F82">
        <w:rPr>
          <w:rStyle w:val="Hyperlink"/>
          <w:rFonts w:cs="Times New Roman"/>
          <w:color w:val="auto"/>
          <w:u w:val="none"/>
          <w:lang w:val="fr-CA"/>
        </w:rPr>
        <w:t>art. 3148</w:t>
      </w:r>
      <w:r w:rsidRPr="00213F82">
        <w:rPr>
          <w:rFonts w:cs="Times New Roman"/>
          <w:lang w:val="fr-CA"/>
        </w:rPr>
        <w:t xml:space="preserve"> al. 1(2) </w:t>
      </w:r>
      <w:r w:rsidRPr="009A7AEA">
        <w:rPr>
          <w:rStyle w:val="Hyperlink"/>
          <w:rFonts w:cs="Times New Roman"/>
          <w:i/>
          <w:iCs/>
          <w:color w:val="auto"/>
          <w:u w:val="none"/>
          <w:lang w:val="fr-CA"/>
        </w:rPr>
        <w:t>C.c.Q</w:t>
      </w:r>
      <w:r w:rsidRPr="009A7AEA">
        <w:rPr>
          <w:rFonts w:cs="Times New Roman"/>
          <w:i/>
          <w:iCs/>
          <w:lang w:val="fr-CA"/>
        </w:rPr>
        <w:t>.</w:t>
      </w:r>
      <w:r w:rsidRPr="00213F82">
        <w:rPr>
          <w:rFonts w:cs="Times New Roman"/>
          <w:i/>
          <w:iCs/>
          <w:lang w:val="fr-CA"/>
        </w:rPr>
        <w:t xml:space="preserve"> </w:t>
      </w:r>
      <w:r w:rsidRPr="009F420B">
        <w:rPr>
          <w:rFonts w:cs="Times New Roman"/>
          <w:lang w:val="fr-CA"/>
        </w:rPr>
        <w:t>qui reconnaît pleinement l</w:t>
      </w:r>
      <w:r>
        <w:rPr>
          <w:rFonts w:cs="Times New Roman"/>
          <w:lang w:val="fr-CA"/>
        </w:rPr>
        <w:t>’</w:t>
      </w:r>
      <w:r w:rsidRPr="009F420B">
        <w:rPr>
          <w:rFonts w:cs="Times New Roman"/>
          <w:lang w:val="fr-CA"/>
        </w:rPr>
        <w:t>effet d</w:t>
      </w:r>
      <w:r>
        <w:rPr>
          <w:rFonts w:cs="Times New Roman"/>
          <w:lang w:val="fr-CA"/>
        </w:rPr>
        <w:t>’</w:t>
      </w:r>
      <w:r w:rsidRPr="009F420B">
        <w:rPr>
          <w:rFonts w:cs="Times New Roman"/>
          <w:lang w:val="fr-CA"/>
        </w:rPr>
        <w:t>une intention claire exprimée dans une clause d</w:t>
      </w:r>
      <w:r>
        <w:rPr>
          <w:rFonts w:cs="Times New Roman"/>
          <w:lang w:val="fr-CA"/>
        </w:rPr>
        <w:t>’</w:t>
      </w:r>
      <w:r w:rsidRPr="009F420B">
        <w:rPr>
          <w:rFonts w:cs="Times New Roman"/>
          <w:lang w:val="fr-CA"/>
        </w:rPr>
        <w:t>élection de for valide et exclusive de soumettre un litige à la juridiction d</w:t>
      </w:r>
      <w:r>
        <w:rPr>
          <w:rFonts w:cs="Times New Roman"/>
          <w:lang w:val="fr-CA"/>
        </w:rPr>
        <w:t>’</w:t>
      </w:r>
      <w:r w:rsidRPr="009F420B">
        <w:rPr>
          <w:rFonts w:cs="Times New Roman"/>
          <w:lang w:val="fr-CA"/>
        </w:rPr>
        <w:t>autorités étrangères »</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 xml:space="preserve">37. </w:t>
      </w:r>
    </w:p>
    <w:p w:rsidR="00AF6697" w:rsidRPr="009F420B" w:rsidRDefault="00AF6697" w:rsidP="00AF6697">
      <w:pPr>
        <w:pStyle w:val="ParaNoNdepar-AltN"/>
        <w:rPr>
          <w:rFonts w:cs="Times New Roman"/>
          <w:lang w:val="fr-CA"/>
        </w:rPr>
      </w:pPr>
      <w:r w:rsidRPr="009F420B">
        <w:rPr>
          <w:rFonts w:cs="Times New Roman"/>
          <w:lang w:val="fr-CA"/>
        </w:rPr>
        <w:t>La Cour ne doit cependant pas perdre de vue que l</w:t>
      </w:r>
      <w:r>
        <w:rPr>
          <w:rFonts w:cs="Times New Roman"/>
          <w:lang w:val="fr-CA"/>
        </w:rPr>
        <w:t>’art. </w:t>
      </w:r>
      <w:r w:rsidRPr="009F420B">
        <w:rPr>
          <w:rFonts w:cs="Times New Roman"/>
          <w:lang w:val="fr-CA"/>
        </w:rPr>
        <w:t xml:space="preserve">3139 </w:t>
      </w:r>
      <w:r w:rsidRPr="009F420B">
        <w:rPr>
          <w:rFonts w:cs="Times New Roman"/>
          <w:i/>
          <w:lang w:val="fr-CA"/>
        </w:rPr>
        <w:t>C.c.Q.</w:t>
      </w:r>
      <w:r w:rsidRPr="009F420B">
        <w:rPr>
          <w:rFonts w:cs="Times New Roman"/>
          <w:lang w:val="fr-CA"/>
        </w:rPr>
        <w:t xml:space="preserve"> est une disposition </w:t>
      </w:r>
      <w:r w:rsidRPr="009F420B">
        <w:rPr>
          <w:rFonts w:cs="Times New Roman"/>
          <w:i/>
          <w:lang w:val="fr-CA"/>
        </w:rPr>
        <w:t xml:space="preserve">attributive </w:t>
      </w:r>
      <w:r w:rsidRPr="009F420B">
        <w:rPr>
          <w:rFonts w:cs="Times New Roman"/>
          <w:lang w:val="fr-CA"/>
        </w:rPr>
        <w:t>de compétence, ce qui suppose que, sans cette disposition, le tribunal ne serait pas compétent, au sens juridictionnel, pour instruire la « demande incidente ou reconventionnelle »</w:t>
      </w:r>
      <w:r>
        <w:rPr>
          <w:rFonts w:cs="Times New Roman"/>
          <w:lang w:val="fr-CA"/>
        </w:rPr>
        <w:t> :</w:t>
      </w:r>
      <w:r w:rsidRPr="009F420B">
        <w:rPr>
          <w:rFonts w:cs="Times New Roman"/>
          <w:lang w:val="fr-CA"/>
        </w:rPr>
        <w:t xml:space="preserve"> Saumier, </w:t>
      </w:r>
      <w:r>
        <w:rPr>
          <w:rFonts w:cs="Times New Roman"/>
          <w:lang w:val="fr-CA"/>
        </w:rPr>
        <w:t>p. </w:t>
      </w:r>
      <w:r w:rsidR="00A5116D">
        <w:rPr>
          <w:rFonts w:cs="Times New Roman"/>
          <w:lang w:val="fr-CA"/>
        </w:rPr>
        <w:t>703</w:t>
      </w:r>
      <w:r w:rsidRPr="009F420B">
        <w:rPr>
          <w:rFonts w:cs="Times New Roman"/>
          <w:lang w:val="fr-CA"/>
        </w:rPr>
        <w:t xml:space="preserve">; </w:t>
      </w:r>
      <w:r w:rsidRPr="009F420B">
        <w:rPr>
          <w:rFonts w:cs="Times New Roman"/>
          <w:i/>
          <w:lang w:val="fr-CA"/>
        </w:rPr>
        <w:t>Spar</w:t>
      </w:r>
      <w:r w:rsidRPr="009F420B">
        <w:rPr>
          <w:rFonts w:cs="Times New Roman"/>
          <w:lang w:val="fr-CA"/>
        </w:rPr>
        <w:t xml:space="preserve">, </w:t>
      </w:r>
      <w:r>
        <w:rPr>
          <w:rFonts w:cs="Times New Roman"/>
          <w:lang w:val="fr-CA"/>
        </w:rPr>
        <w:t>par. </w:t>
      </w:r>
      <w:r w:rsidRPr="009F420B">
        <w:rPr>
          <w:rFonts w:cs="Times New Roman"/>
          <w:lang w:val="fr-CA"/>
        </w:rPr>
        <w:t>22 (« </w:t>
      </w:r>
      <w:r w:rsidR="00A5116D">
        <w:rPr>
          <w:rFonts w:cs="Times New Roman"/>
          <w:lang w:val="fr-CA"/>
        </w:rPr>
        <w:t>[c]</w:t>
      </w:r>
      <w:r w:rsidRPr="009F420B">
        <w:rPr>
          <w:rFonts w:cs="Times New Roman"/>
          <w:lang w:val="fr-CA"/>
        </w:rPr>
        <w:t xml:space="preserve">es règles [du livre dixième du </w:t>
      </w:r>
      <w:r w:rsidRPr="009F420B">
        <w:rPr>
          <w:rFonts w:cs="Times New Roman"/>
          <w:i/>
          <w:lang w:val="fr-CA"/>
        </w:rPr>
        <w:t>C.c.Q.</w:t>
      </w:r>
      <w:r w:rsidRPr="009F420B">
        <w:rPr>
          <w:rFonts w:cs="Times New Roman"/>
          <w:lang w:val="fr-CA"/>
        </w:rPr>
        <w:t>] couvrent un vaste éventail de sujets étroitement liés, y compris</w:t>
      </w:r>
      <w:r>
        <w:rPr>
          <w:rFonts w:cs="Times New Roman"/>
          <w:lang w:val="fr-CA"/>
        </w:rPr>
        <w:t> :</w:t>
      </w:r>
      <w:r w:rsidRPr="009F420B">
        <w:rPr>
          <w:rFonts w:cs="Times New Roman"/>
          <w:lang w:val="fr-CA"/>
        </w:rPr>
        <w:t xml:space="preserve"> </w:t>
      </w:r>
      <w:r w:rsidRPr="009F420B">
        <w:rPr>
          <w:rFonts w:cs="Times New Roman"/>
          <w:u w:val="single"/>
          <w:lang w:val="fr-CA"/>
        </w:rPr>
        <w:t>la compétence du tribunal</w:t>
      </w:r>
      <w:r w:rsidRPr="009F420B">
        <w:rPr>
          <w:rFonts w:cs="Times New Roman"/>
          <w:lang w:val="fr-CA"/>
        </w:rPr>
        <w:t xml:space="preserve"> (</w:t>
      </w:r>
      <w:r>
        <w:rPr>
          <w:rFonts w:cs="Times New Roman"/>
          <w:lang w:val="fr-CA"/>
        </w:rPr>
        <w:t>art. </w:t>
      </w:r>
      <w:r w:rsidRPr="009F420B">
        <w:rPr>
          <w:rFonts w:cs="Times New Roman"/>
          <w:lang w:val="fr-CA"/>
        </w:rPr>
        <w:t xml:space="preserve">3136, </w:t>
      </w:r>
      <w:r w:rsidRPr="009F420B">
        <w:rPr>
          <w:rFonts w:cs="Times New Roman"/>
          <w:u w:val="single"/>
          <w:lang w:val="fr-CA"/>
        </w:rPr>
        <w:t>3139</w:t>
      </w:r>
      <w:r w:rsidRPr="009F420B">
        <w:rPr>
          <w:rFonts w:cs="Times New Roman"/>
          <w:lang w:val="fr-CA"/>
        </w:rPr>
        <w:t xml:space="preserve"> et 3148 </w:t>
      </w:r>
      <w:r w:rsidRPr="009F420B">
        <w:rPr>
          <w:rFonts w:cs="Times New Roman"/>
          <w:i/>
          <w:lang w:val="fr-CA"/>
        </w:rPr>
        <w:t>C.c.Q.</w:t>
      </w:r>
      <w:r w:rsidRPr="009F420B">
        <w:rPr>
          <w:rFonts w:cs="Times New Roman"/>
          <w:lang w:val="fr-CA"/>
        </w:rPr>
        <w:t>) » (je souligne)). À mon avis, l</w:t>
      </w:r>
      <w:r>
        <w:rPr>
          <w:rFonts w:cs="Times New Roman"/>
          <w:lang w:val="fr-CA"/>
        </w:rPr>
        <w:t>’</w:t>
      </w:r>
      <w:r w:rsidRPr="009F420B">
        <w:rPr>
          <w:rFonts w:cs="Times New Roman"/>
          <w:lang w:val="fr-CA"/>
        </w:rPr>
        <w:t>expression « demande incidente » qui figure à l</w:t>
      </w:r>
      <w:r>
        <w:rPr>
          <w:rFonts w:cs="Times New Roman"/>
          <w:lang w:val="fr-CA"/>
        </w:rPr>
        <w:t>’art. </w:t>
      </w:r>
      <w:r w:rsidRPr="009F420B">
        <w:rPr>
          <w:rFonts w:cs="Times New Roman"/>
          <w:lang w:val="fr-CA"/>
        </w:rPr>
        <w:t xml:space="preserve">3139 </w:t>
      </w:r>
      <w:r w:rsidRPr="009F420B">
        <w:rPr>
          <w:rFonts w:cs="Times New Roman"/>
          <w:i/>
          <w:lang w:val="fr-CA"/>
        </w:rPr>
        <w:t>C.c.Q.</w:t>
      </w:r>
      <w:r w:rsidRPr="009F420B">
        <w:rPr>
          <w:rFonts w:cs="Times New Roman"/>
          <w:lang w:val="fr-CA"/>
        </w:rPr>
        <w:t xml:space="preserve"> est </w:t>
      </w:r>
      <w:r w:rsidRPr="009F420B">
        <w:rPr>
          <w:rFonts w:cs="Times New Roman"/>
          <w:lang w:val="fr-CA"/>
        </w:rPr>
        <w:lastRenderedPageBreak/>
        <w:t>suffisamment large pour couvrir l</w:t>
      </w:r>
      <w:r>
        <w:rPr>
          <w:rFonts w:cs="Times New Roman"/>
          <w:lang w:val="fr-CA"/>
        </w:rPr>
        <w:t>’</w:t>
      </w:r>
      <w:r w:rsidRPr="009F420B">
        <w:rPr>
          <w:rFonts w:cs="Times New Roman"/>
          <w:lang w:val="fr-CA"/>
        </w:rPr>
        <w:t>intervention volontaire et forcée de tiers dans l</w:t>
      </w:r>
      <w:r>
        <w:rPr>
          <w:rFonts w:cs="Times New Roman"/>
          <w:lang w:val="fr-CA"/>
        </w:rPr>
        <w:t>’</w:t>
      </w:r>
      <w:r w:rsidRPr="009F420B">
        <w:rPr>
          <w:rFonts w:cs="Times New Roman"/>
          <w:lang w:val="fr-CA"/>
        </w:rPr>
        <w:t>instance, notamment dans le cadre d</w:t>
      </w:r>
      <w:r>
        <w:rPr>
          <w:rFonts w:cs="Times New Roman"/>
          <w:lang w:val="fr-CA"/>
        </w:rPr>
        <w:t>’</w:t>
      </w:r>
      <w:r w:rsidRPr="009F420B">
        <w:rPr>
          <w:rFonts w:cs="Times New Roman"/>
          <w:lang w:val="fr-CA"/>
        </w:rPr>
        <w:t>une demande incidente en garantie et d</w:t>
      </w:r>
      <w:r>
        <w:rPr>
          <w:rFonts w:cs="Times New Roman"/>
          <w:lang w:val="fr-CA"/>
        </w:rPr>
        <w:t>’</w:t>
      </w:r>
      <w:r w:rsidRPr="009F420B">
        <w:rPr>
          <w:rFonts w:cs="Times New Roman"/>
          <w:lang w:val="fr-CA"/>
        </w:rPr>
        <w:t>une demande en jonction d</w:t>
      </w:r>
      <w:r>
        <w:rPr>
          <w:rFonts w:cs="Times New Roman"/>
          <w:lang w:val="fr-CA"/>
        </w:rPr>
        <w:t>’</w:t>
      </w:r>
      <w:r w:rsidRPr="009F420B">
        <w:rPr>
          <w:rFonts w:cs="Times New Roman"/>
          <w:lang w:val="fr-CA"/>
        </w:rPr>
        <w:t>instances, qu</w:t>
      </w:r>
      <w:r>
        <w:rPr>
          <w:rFonts w:cs="Times New Roman"/>
          <w:lang w:val="fr-CA"/>
        </w:rPr>
        <w:t>’</w:t>
      </w:r>
      <w:r w:rsidRPr="009F420B">
        <w:rPr>
          <w:rFonts w:cs="Times New Roman"/>
          <w:lang w:val="fr-CA"/>
        </w:rPr>
        <w:t>elles concernent ou non les mêmes parties et qu</w:t>
      </w:r>
      <w:r>
        <w:rPr>
          <w:rFonts w:cs="Times New Roman"/>
          <w:lang w:val="fr-CA"/>
        </w:rPr>
        <w:t>’</w:t>
      </w:r>
      <w:r w:rsidRPr="009F420B">
        <w:rPr>
          <w:rFonts w:cs="Times New Roman"/>
          <w:lang w:val="fr-CA"/>
        </w:rPr>
        <w:t>elles découlent ou non de la même source ou de sources connexes</w:t>
      </w:r>
      <w:r>
        <w:rPr>
          <w:rFonts w:cs="Times New Roman"/>
          <w:lang w:val="fr-CA"/>
        </w:rPr>
        <w:t> :</w:t>
      </w:r>
      <w:r w:rsidRPr="009F420B">
        <w:rPr>
          <w:rFonts w:cs="Times New Roman"/>
          <w:lang w:val="fr-CA"/>
        </w:rPr>
        <w:t xml:space="preserve"> voir les </w:t>
      </w:r>
      <w:r>
        <w:rPr>
          <w:rFonts w:cs="Times New Roman"/>
          <w:lang w:val="fr-CA"/>
        </w:rPr>
        <w:t>art. </w:t>
      </w:r>
      <w:r w:rsidRPr="009F420B">
        <w:rPr>
          <w:rFonts w:cs="Times New Roman"/>
          <w:lang w:val="fr-CA"/>
        </w:rPr>
        <w:t xml:space="preserve">184 à 190 et 210 du nouveau </w:t>
      </w:r>
      <w:r w:rsidRPr="009F420B">
        <w:rPr>
          <w:rFonts w:cs="Times New Roman"/>
          <w:i/>
          <w:lang w:val="fr-CA"/>
        </w:rPr>
        <w:t>Code de procédure civile</w:t>
      </w:r>
      <w:r w:rsidR="00286289">
        <w:rPr>
          <w:rFonts w:cs="Times New Roman"/>
          <w:lang w:val="fr-CA"/>
        </w:rPr>
        <w:t>, RLRQ, c. C</w:t>
      </w:r>
      <w:r>
        <w:rPr>
          <w:rFonts w:cs="Times New Roman"/>
          <w:lang w:val="fr-CA"/>
        </w:rPr>
        <w:noBreakHyphen/>
      </w:r>
      <w:r w:rsidR="00570FFA">
        <w:rPr>
          <w:rFonts w:cs="Times New Roman"/>
          <w:lang w:val="fr-CA"/>
        </w:rPr>
        <w:t xml:space="preserve">25.01 (« nouveau </w:t>
      </w:r>
      <w:r w:rsidRPr="009F420B">
        <w:rPr>
          <w:rFonts w:cs="Times New Roman"/>
          <w:i/>
          <w:lang w:val="fr-CA"/>
        </w:rPr>
        <w:t>C.p.c.</w:t>
      </w:r>
      <w:r w:rsidRPr="009F420B">
        <w:rPr>
          <w:rFonts w:cs="Times New Roman"/>
          <w:lang w:val="fr-CA"/>
        </w:rPr>
        <w:t xml:space="preserve"> »); voir aussi les motifs de la juge Côté, </w:t>
      </w:r>
      <w:r>
        <w:rPr>
          <w:rFonts w:cs="Times New Roman"/>
          <w:lang w:val="fr-CA"/>
        </w:rPr>
        <w:t>par. </w:t>
      </w:r>
      <w:r w:rsidRPr="009F420B">
        <w:rPr>
          <w:rFonts w:cs="Times New Roman"/>
          <w:lang w:val="fr-CA"/>
        </w:rPr>
        <w:t>206 et 283 (« </w:t>
      </w:r>
      <w:r w:rsidR="005C55F5">
        <w:rPr>
          <w:rFonts w:cs="Times New Roman"/>
          <w:lang w:val="fr-CA"/>
        </w:rPr>
        <w:t>il ne fait aucun doute [que le sens précis de « demande incidente » doit être défin[i]</w:t>
      </w:r>
      <w:r w:rsidRPr="009F420B">
        <w:rPr>
          <w:rFonts w:cs="Times New Roman"/>
          <w:lang w:val="fr-CA"/>
        </w:rPr>
        <w:t xml:space="preserve"> en fonction du droit procédural québécois »). De fait, ce point est amplement étayé par la doctrine québécoise. Le professeur Goldstein explique ce qui suit, aux </w:t>
      </w:r>
      <w:r>
        <w:rPr>
          <w:rFonts w:cs="Times New Roman"/>
          <w:lang w:val="fr-CA"/>
        </w:rPr>
        <w:t>p. </w:t>
      </w:r>
      <w:r w:rsidR="00570FFA">
        <w:rPr>
          <w:rFonts w:cs="Times New Roman"/>
          <w:lang w:val="fr-CA"/>
        </w:rPr>
        <w:t>111-</w:t>
      </w:r>
      <w:r w:rsidRPr="009F420B">
        <w:rPr>
          <w:rFonts w:cs="Times New Roman"/>
          <w:lang w:val="fr-CA"/>
        </w:rPr>
        <w:t>112</w:t>
      </w:r>
      <w:r>
        <w:rPr>
          <w:rFonts w:cs="Times New Roman"/>
          <w:lang w:val="fr-CA"/>
        </w:rPr>
        <w:t> :</w:t>
      </w:r>
    </w:p>
    <w:p w:rsidR="00AF6697" w:rsidRPr="009F420B" w:rsidRDefault="00AF6697" w:rsidP="00AF6697">
      <w:pPr>
        <w:pStyle w:val="Citation-AltC"/>
        <w:ind w:hanging="1166"/>
        <w:rPr>
          <w:lang w:val="fr-CA"/>
        </w:rPr>
      </w:pPr>
      <w:r>
        <w:rPr>
          <w:lang w:val="fr-CA"/>
        </w:rPr>
        <w:tab/>
      </w:r>
      <w:r w:rsidR="00570FFA">
        <w:rPr>
          <w:lang w:val="fr-CA"/>
        </w:rPr>
        <w:t>. . .</w:t>
      </w:r>
      <w:r w:rsidRPr="009F420B">
        <w:rPr>
          <w:lang w:val="fr-CA"/>
        </w:rPr>
        <w:t xml:space="preserve"> la définition de l</w:t>
      </w:r>
      <w:r>
        <w:rPr>
          <w:lang w:val="fr-CA"/>
        </w:rPr>
        <w:t>’</w:t>
      </w:r>
      <w:r w:rsidRPr="009F420B">
        <w:rPr>
          <w:lang w:val="fr-CA"/>
        </w:rPr>
        <w:t>action « incidente » doit dépendre du droit québécois, on peut [donc] se tourner vers le Titre IV du Livre II du Code de procédure civile qui porte sur les « Incidents », c</w:t>
      </w:r>
      <w:r>
        <w:rPr>
          <w:lang w:val="fr-CA"/>
        </w:rPr>
        <w:t>’</w:t>
      </w:r>
      <w:r w:rsidRPr="009F420B">
        <w:rPr>
          <w:lang w:val="fr-CA"/>
        </w:rPr>
        <w:t>est</w:t>
      </w:r>
      <w:r>
        <w:rPr>
          <w:lang w:val="fr-CA"/>
        </w:rPr>
        <w:noBreakHyphen/>
      </w:r>
      <w:r w:rsidRPr="009F420B">
        <w:rPr>
          <w:lang w:val="fr-CA"/>
        </w:rPr>
        <w:t>à</w:t>
      </w:r>
      <w:r>
        <w:rPr>
          <w:lang w:val="fr-CA"/>
        </w:rPr>
        <w:noBreakHyphen/>
      </w:r>
      <w:r w:rsidRPr="009F420B">
        <w:rPr>
          <w:lang w:val="fr-CA"/>
        </w:rPr>
        <w:t>dire les procédures incidentes. On y trouve notamment l</w:t>
      </w:r>
      <w:r>
        <w:rPr>
          <w:lang w:val="fr-CA"/>
        </w:rPr>
        <w:t>’</w:t>
      </w:r>
      <w:r w:rsidRPr="009F420B">
        <w:rPr>
          <w:lang w:val="fr-CA"/>
        </w:rPr>
        <w:t>intervention volontaire d</w:t>
      </w:r>
      <w:r>
        <w:rPr>
          <w:lang w:val="fr-CA"/>
        </w:rPr>
        <w:t>’</w:t>
      </w:r>
      <w:r w:rsidRPr="009F420B">
        <w:rPr>
          <w:lang w:val="fr-CA"/>
        </w:rPr>
        <w:t>un tiers (</w:t>
      </w:r>
      <w:r>
        <w:rPr>
          <w:lang w:val="fr-CA"/>
        </w:rPr>
        <w:t>art. </w:t>
      </w:r>
      <w:r w:rsidRPr="009F420B">
        <w:rPr>
          <w:lang w:val="fr-CA"/>
        </w:rPr>
        <w:t xml:space="preserve">208 C.p.c. et s.), </w:t>
      </w:r>
      <w:r w:rsidRPr="009F420B">
        <w:rPr>
          <w:u w:val="single"/>
          <w:lang w:val="fr-CA"/>
        </w:rPr>
        <w:t>l</w:t>
      </w:r>
      <w:r>
        <w:rPr>
          <w:u w:val="single"/>
          <w:lang w:val="fr-CA"/>
        </w:rPr>
        <w:t>’</w:t>
      </w:r>
      <w:r w:rsidRPr="009F420B">
        <w:rPr>
          <w:u w:val="single"/>
          <w:lang w:val="fr-CA"/>
        </w:rPr>
        <w:t>intervention forcée (</w:t>
      </w:r>
      <w:r>
        <w:rPr>
          <w:u w:val="single"/>
          <w:lang w:val="fr-CA"/>
        </w:rPr>
        <w:t>art. </w:t>
      </w:r>
      <w:r w:rsidRPr="009F420B">
        <w:rPr>
          <w:u w:val="single"/>
          <w:lang w:val="fr-CA"/>
        </w:rPr>
        <w:t>216 C.p.c. et s.)</w:t>
      </w:r>
      <w:r w:rsidRPr="009F420B">
        <w:rPr>
          <w:lang w:val="fr-CA"/>
        </w:rPr>
        <w:t>, y compris l</w:t>
      </w:r>
      <w:r>
        <w:rPr>
          <w:lang w:val="fr-CA"/>
        </w:rPr>
        <w:t>’</w:t>
      </w:r>
      <w:r w:rsidRPr="009F420B">
        <w:rPr>
          <w:lang w:val="fr-CA"/>
        </w:rPr>
        <w:t xml:space="preserve">action en garantie incidente, </w:t>
      </w:r>
      <w:r w:rsidRPr="009F420B">
        <w:rPr>
          <w:u w:val="single"/>
          <w:lang w:val="fr-CA"/>
        </w:rPr>
        <w:t>et la réunion d</w:t>
      </w:r>
      <w:r>
        <w:rPr>
          <w:u w:val="single"/>
          <w:lang w:val="fr-CA"/>
        </w:rPr>
        <w:t>’</w:t>
      </w:r>
      <w:r w:rsidRPr="009F420B">
        <w:rPr>
          <w:u w:val="single"/>
          <w:lang w:val="fr-CA"/>
        </w:rPr>
        <w:t>actions (</w:t>
      </w:r>
      <w:r>
        <w:rPr>
          <w:u w:val="single"/>
          <w:lang w:val="fr-CA"/>
        </w:rPr>
        <w:t>art. </w:t>
      </w:r>
      <w:r w:rsidRPr="009F420B">
        <w:rPr>
          <w:u w:val="single"/>
          <w:lang w:val="fr-CA"/>
        </w:rPr>
        <w:t>270 C.p.c. et s.) entre les mêmes parties ou non (</w:t>
      </w:r>
      <w:r>
        <w:rPr>
          <w:u w:val="single"/>
          <w:lang w:val="fr-CA"/>
        </w:rPr>
        <w:t>art. </w:t>
      </w:r>
      <w:r w:rsidRPr="009F420B">
        <w:rPr>
          <w:u w:val="single"/>
          <w:lang w:val="fr-CA"/>
        </w:rPr>
        <w:t>271 C.p.c.), provenant ou non de la même source ou d</w:t>
      </w:r>
      <w:r>
        <w:rPr>
          <w:u w:val="single"/>
          <w:lang w:val="fr-CA"/>
        </w:rPr>
        <w:t>’</w:t>
      </w:r>
      <w:r w:rsidRPr="009F420B">
        <w:rPr>
          <w:u w:val="single"/>
          <w:lang w:val="fr-CA"/>
        </w:rPr>
        <w:t>une source connexe (</w:t>
      </w:r>
      <w:r>
        <w:rPr>
          <w:u w:val="single"/>
          <w:lang w:val="fr-CA"/>
        </w:rPr>
        <w:t>art. </w:t>
      </w:r>
      <w:r w:rsidRPr="009F420B">
        <w:rPr>
          <w:u w:val="single"/>
          <w:lang w:val="fr-CA"/>
        </w:rPr>
        <w:t>270 C.p.c.)</w:t>
      </w:r>
      <w:r w:rsidRPr="009F420B">
        <w:rPr>
          <w:lang w:val="fr-CA"/>
        </w:rPr>
        <w:t>. Ainsi, on peut envisager que le tribunal québécois compétent sur une action en séparation de corps selon l</w:t>
      </w:r>
      <w:r>
        <w:rPr>
          <w:lang w:val="fr-CA"/>
        </w:rPr>
        <w:t>’</w:t>
      </w:r>
      <w:r w:rsidRPr="009F420B">
        <w:rPr>
          <w:lang w:val="fr-CA"/>
        </w:rPr>
        <w:t>article 3146 C.c.Q., prenne compétence en vertu de l</w:t>
      </w:r>
      <w:r>
        <w:rPr>
          <w:lang w:val="fr-CA"/>
        </w:rPr>
        <w:t>’</w:t>
      </w:r>
      <w:r w:rsidRPr="009F420B">
        <w:rPr>
          <w:lang w:val="fr-CA"/>
        </w:rPr>
        <w:t>article 3139 C.c.Q. sur une action accessoire en pension alimentaire ou en garde d</w:t>
      </w:r>
      <w:r>
        <w:rPr>
          <w:lang w:val="fr-CA"/>
        </w:rPr>
        <w:t>’</w:t>
      </w:r>
      <w:r w:rsidRPr="009F420B">
        <w:rPr>
          <w:lang w:val="fr-CA"/>
        </w:rPr>
        <w:t>enfant. De même, en situation internationale, on peut imaginer qu</w:t>
      </w:r>
      <w:r>
        <w:rPr>
          <w:lang w:val="fr-CA"/>
        </w:rPr>
        <w:t>’</w:t>
      </w:r>
      <w:r w:rsidRPr="009F420B">
        <w:rPr>
          <w:lang w:val="fr-CA"/>
        </w:rPr>
        <w:t>un tribunal québécois, compétent sur une action successorale selon l</w:t>
      </w:r>
      <w:r>
        <w:rPr>
          <w:lang w:val="fr-CA"/>
        </w:rPr>
        <w:t>’</w:t>
      </w:r>
      <w:r w:rsidRPr="009F420B">
        <w:rPr>
          <w:lang w:val="fr-CA"/>
        </w:rPr>
        <w:t>article 3153 C.c.Q., prenne compétence sur une action relative à la question préalable de la validité d</w:t>
      </w:r>
      <w:r>
        <w:rPr>
          <w:lang w:val="fr-CA"/>
        </w:rPr>
        <w:t>’</w:t>
      </w:r>
      <w:r w:rsidRPr="009F420B">
        <w:rPr>
          <w:lang w:val="fr-CA"/>
        </w:rPr>
        <w:t>une adoption. [Je souligne; note en bas de page omise.]</w:t>
      </w:r>
    </w:p>
    <w:p w:rsidR="00AF6697" w:rsidRPr="009F420B" w:rsidRDefault="00AF6697" w:rsidP="00AF6697">
      <w:pPr>
        <w:pStyle w:val="ContinueParaSuitedupar-AltP"/>
        <w:rPr>
          <w:lang w:val="fr-CA"/>
        </w:rPr>
      </w:pPr>
      <w:r w:rsidRPr="009F420B">
        <w:rPr>
          <w:lang w:val="fr-CA"/>
        </w:rPr>
        <w:t>Dans le même ordre d</w:t>
      </w:r>
      <w:r>
        <w:rPr>
          <w:lang w:val="fr-CA"/>
        </w:rPr>
        <w:t>’</w:t>
      </w:r>
      <w:r w:rsidRPr="009F420B">
        <w:rPr>
          <w:lang w:val="fr-CA"/>
        </w:rPr>
        <w:t xml:space="preserve">idées, les </w:t>
      </w:r>
      <w:r>
        <w:rPr>
          <w:lang w:val="fr-CA"/>
        </w:rPr>
        <w:t>art. </w:t>
      </w:r>
      <w:r w:rsidRPr="009F420B">
        <w:rPr>
          <w:lang w:val="fr-CA"/>
        </w:rPr>
        <w:t>216, 270 et 271 de l</w:t>
      </w:r>
      <w:r>
        <w:rPr>
          <w:lang w:val="fr-CA"/>
        </w:rPr>
        <w:t>’</w:t>
      </w:r>
      <w:r w:rsidRPr="009F420B">
        <w:rPr>
          <w:lang w:val="fr-CA"/>
        </w:rPr>
        <w:t xml:space="preserve">ancien </w:t>
      </w:r>
      <w:r w:rsidRPr="009F420B">
        <w:rPr>
          <w:i/>
          <w:lang w:val="fr-CA"/>
        </w:rPr>
        <w:t>Code de procédure civile</w:t>
      </w:r>
      <w:r w:rsidR="00A07630">
        <w:rPr>
          <w:lang w:val="fr-CA"/>
        </w:rPr>
        <w:t xml:space="preserve">, </w:t>
      </w:r>
      <w:r w:rsidR="00482A31">
        <w:rPr>
          <w:lang w:val="fr-CA"/>
        </w:rPr>
        <w:t>RLRQ</w:t>
      </w:r>
      <w:r w:rsidR="00A07630">
        <w:rPr>
          <w:lang w:val="fr-CA"/>
        </w:rPr>
        <w:t>, c. C</w:t>
      </w:r>
      <w:r>
        <w:rPr>
          <w:lang w:val="fr-CA"/>
        </w:rPr>
        <w:noBreakHyphen/>
      </w:r>
      <w:r w:rsidR="00570FFA">
        <w:rPr>
          <w:lang w:val="fr-CA"/>
        </w:rPr>
        <w:t xml:space="preserve">25 (« ancien </w:t>
      </w:r>
      <w:r w:rsidRPr="009F420B">
        <w:rPr>
          <w:i/>
          <w:lang w:val="fr-CA"/>
        </w:rPr>
        <w:t>C.p.c</w:t>
      </w:r>
      <w:r w:rsidRPr="009F420B">
        <w:rPr>
          <w:lang w:val="fr-CA"/>
        </w:rPr>
        <w:t xml:space="preserve">. ») correspondent maintenant, respectivement et entre autres, aux </w:t>
      </w:r>
      <w:r>
        <w:rPr>
          <w:lang w:val="fr-CA"/>
        </w:rPr>
        <w:t>art. </w:t>
      </w:r>
      <w:r w:rsidR="00570FFA">
        <w:rPr>
          <w:lang w:val="fr-CA"/>
        </w:rPr>
        <w:t xml:space="preserve">184 et 210 nouveau </w:t>
      </w:r>
      <w:r w:rsidRPr="009F420B">
        <w:rPr>
          <w:i/>
          <w:lang w:val="fr-CA"/>
        </w:rPr>
        <w:t>C.p.c.</w:t>
      </w:r>
      <w:r w:rsidRPr="00BC52B5">
        <w:rPr>
          <w:lang w:val="fr-CA"/>
        </w:rPr>
        <w:t> :</w:t>
      </w:r>
      <w:r w:rsidR="00570FFA">
        <w:rPr>
          <w:lang w:val="fr-CA"/>
        </w:rPr>
        <w:t xml:space="preserve"> voir L. Chamberland, dir</w:t>
      </w:r>
      <w:r w:rsidRPr="009F420B">
        <w:rPr>
          <w:lang w:val="fr-CA"/>
        </w:rPr>
        <w:t xml:space="preserve">., </w:t>
      </w:r>
      <w:r w:rsidRPr="009F420B">
        <w:rPr>
          <w:i/>
          <w:lang w:val="fr-CA"/>
        </w:rPr>
        <w:t>Le grand collectif</w:t>
      </w:r>
      <w:r>
        <w:rPr>
          <w:i/>
          <w:lang w:val="fr-CA"/>
        </w:rPr>
        <w:t> :</w:t>
      </w:r>
      <w:r w:rsidRPr="009F420B">
        <w:rPr>
          <w:i/>
          <w:lang w:val="fr-CA"/>
        </w:rPr>
        <w:t xml:space="preserve"> Code de procédure civile — Commentaires et annotations</w:t>
      </w:r>
      <w:r w:rsidRPr="009F420B">
        <w:rPr>
          <w:lang w:val="fr-CA"/>
        </w:rPr>
        <w:t xml:space="preserve"> (2</w:t>
      </w:r>
      <w:r w:rsidRPr="009F420B">
        <w:rPr>
          <w:vertAlign w:val="superscript"/>
          <w:lang w:val="fr-CA"/>
        </w:rPr>
        <w:t>e</w:t>
      </w:r>
      <w:r w:rsidRPr="009F420B">
        <w:rPr>
          <w:lang w:val="fr-CA"/>
        </w:rPr>
        <w:t xml:space="preserve"> éd. 2017), </w:t>
      </w:r>
      <w:r>
        <w:rPr>
          <w:lang w:val="fr-CA"/>
        </w:rPr>
        <w:t>p. </w:t>
      </w:r>
      <w:r w:rsidRPr="009F420B">
        <w:rPr>
          <w:lang w:val="fr-CA"/>
        </w:rPr>
        <w:t>961 et 1165. L</w:t>
      </w:r>
      <w:r>
        <w:rPr>
          <w:lang w:val="fr-CA"/>
        </w:rPr>
        <w:t>’</w:t>
      </w:r>
      <w:r w:rsidR="00570FFA">
        <w:rPr>
          <w:lang w:val="fr-CA"/>
        </w:rPr>
        <w:t xml:space="preserve">article 210 du nouveau </w:t>
      </w:r>
      <w:r w:rsidRPr="009F420B">
        <w:rPr>
          <w:i/>
          <w:lang w:val="fr-CA"/>
        </w:rPr>
        <w:t>C.p.c.</w:t>
      </w:r>
      <w:r w:rsidRPr="009F420B">
        <w:rPr>
          <w:lang w:val="fr-CA"/>
        </w:rPr>
        <w:t xml:space="preserve"> sur la « </w:t>
      </w:r>
      <w:r w:rsidRPr="009F420B">
        <w:rPr>
          <w:u w:val="single"/>
          <w:lang w:val="fr-CA"/>
        </w:rPr>
        <w:t>jonction</w:t>
      </w:r>
      <w:r w:rsidRPr="009F420B">
        <w:rPr>
          <w:lang w:val="fr-CA"/>
        </w:rPr>
        <w:t xml:space="preserve"> et la disjonction </w:t>
      </w:r>
      <w:r w:rsidRPr="009F420B">
        <w:rPr>
          <w:u w:val="single"/>
          <w:lang w:val="fr-CA"/>
        </w:rPr>
        <w:t>d</w:t>
      </w:r>
      <w:r>
        <w:rPr>
          <w:u w:val="single"/>
          <w:lang w:val="fr-CA"/>
        </w:rPr>
        <w:t>’</w:t>
      </w:r>
      <w:r w:rsidRPr="009F420B">
        <w:rPr>
          <w:u w:val="single"/>
          <w:lang w:val="fr-CA"/>
        </w:rPr>
        <w:t>instances</w:t>
      </w:r>
      <w:r w:rsidRPr="009F420B">
        <w:rPr>
          <w:lang w:val="fr-CA"/>
        </w:rPr>
        <w:t xml:space="preserve"> » se trouve dans le chapitre sur « les </w:t>
      </w:r>
      <w:r w:rsidRPr="009F420B">
        <w:rPr>
          <w:u w:val="single"/>
          <w:lang w:val="fr-CA"/>
        </w:rPr>
        <w:t>incidents</w:t>
      </w:r>
      <w:r w:rsidRPr="009F420B">
        <w:rPr>
          <w:lang w:val="fr-CA"/>
        </w:rPr>
        <w:t xml:space="preserve"> concernant les actes de </w:t>
      </w:r>
      <w:r w:rsidRPr="009F420B">
        <w:rPr>
          <w:lang w:val="fr-CA"/>
        </w:rPr>
        <w:lastRenderedPageBreak/>
        <w:t>procédure ». L</w:t>
      </w:r>
      <w:r>
        <w:rPr>
          <w:lang w:val="fr-CA"/>
        </w:rPr>
        <w:t>’</w:t>
      </w:r>
      <w:r w:rsidRPr="009F420B">
        <w:rPr>
          <w:lang w:val="fr-CA"/>
        </w:rPr>
        <w:t>expression « demande incidente » qui figure à l</w:t>
      </w:r>
      <w:r>
        <w:rPr>
          <w:lang w:val="fr-CA"/>
        </w:rPr>
        <w:t>’art. </w:t>
      </w:r>
      <w:r w:rsidRPr="009F420B">
        <w:rPr>
          <w:lang w:val="fr-CA"/>
        </w:rPr>
        <w:t xml:space="preserve">3139 </w:t>
      </w:r>
      <w:r w:rsidRPr="009F420B">
        <w:rPr>
          <w:i/>
          <w:lang w:val="fr-CA"/>
        </w:rPr>
        <w:t>C.c.Q.</w:t>
      </w:r>
      <w:r w:rsidRPr="009F420B">
        <w:rPr>
          <w:lang w:val="fr-CA"/>
        </w:rPr>
        <w:t xml:space="preserve"> doit donc être interprétée comme incluant une demande « connexe »</w:t>
      </w:r>
      <w:r>
        <w:rPr>
          <w:lang w:val="fr-CA"/>
        </w:rPr>
        <w:t> :</w:t>
      </w:r>
      <w:r w:rsidRPr="009F420B">
        <w:rPr>
          <w:lang w:val="fr-CA"/>
        </w:rPr>
        <w:t xml:space="preserve"> voir, </w:t>
      </w:r>
      <w:r>
        <w:rPr>
          <w:lang w:val="fr-CA"/>
        </w:rPr>
        <w:t>p. </w:t>
      </w:r>
      <w:r w:rsidRPr="009F420B">
        <w:rPr>
          <w:lang w:val="fr-CA"/>
        </w:rPr>
        <w:t xml:space="preserve">ex., </w:t>
      </w:r>
      <w:r w:rsidRPr="009F420B">
        <w:rPr>
          <w:i/>
          <w:lang w:val="fr-CA"/>
        </w:rPr>
        <w:t>Droit de la famille — 131294</w:t>
      </w:r>
      <w:r w:rsidRPr="009F420B">
        <w:rPr>
          <w:lang w:val="fr-CA"/>
        </w:rPr>
        <w:t xml:space="preserve">, 2013 QCCA 883, </w:t>
      </w:r>
      <w:r>
        <w:rPr>
          <w:lang w:val="fr-CA"/>
        </w:rPr>
        <w:t>par. </w:t>
      </w:r>
      <w:r w:rsidRPr="009F420B">
        <w:rPr>
          <w:lang w:val="fr-CA"/>
        </w:rPr>
        <w:t>54</w:t>
      </w:r>
      <w:r>
        <w:rPr>
          <w:lang w:val="fr-CA"/>
        </w:rPr>
        <w:noBreakHyphen/>
      </w:r>
      <w:r w:rsidRPr="009F420B">
        <w:rPr>
          <w:lang w:val="fr-CA"/>
        </w:rPr>
        <w:t>57 (CanLII); Emanuelli, n</w:t>
      </w:r>
      <w:r w:rsidRPr="009F420B">
        <w:rPr>
          <w:vertAlign w:val="superscript"/>
          <w:lang w:val="fr-CA"/>
        </w:rPr>
        <w:t>o </w:t>
      </w:r>
      <w:r w:rsidRPr="009F420B">
        <w:rPr>
          <w:lang w:val="fr-CA"/>
        </w:rPr>
        <w:t>173 (« </w:t>
      </w:r>
      <w:r w:rsidR="00BC52B5">
        <w:rPr>
          <w:lang w:val="fr-CA"/>
        </w:rPr>
        <w:t>l</w:t>
      </w:r>
      <w:r w:rsidRPr="009F420B">
        <w:rPr>
          <w:lang w:val="fr-CA"/>
        </w:rPr>
        <w:t>a règle générale prévue à l</w:t>
      </w:r>
      <w:r>
        <w:rPr>
          <w:lang w:val="fr-CA"/>
        </w:rPr>
        <w:t>’</w:t>
      </w:r>
      <w:r w:rsidRPr="009F420B">
        <w:rPr>
          <w:lang w:val="fr-CA"/>
        </w:rPr>
        <w:t>article 3139 trouve une application particulière dans les dispositions de l</w:t>
      </w:r>
      <w:r>
        <w:rPr>
          <w:lang w:val="fr-CA"/>
        </w:rPr>
        <w:t>’</w:t>
      </w:r>
      <w:r w:rsidRPr="009F420B">
        <w:rPr>
          <w:lang w:val="fr-CA"/>
        </w:rPr>
        <w:t xml:space="preserve">article 3154(1) </w:t>
      </w:r>
      <w:r w:rsidRPr="00482A31">
        <w:rPr>
          <w:lang w:val="fr-CA"/>
        </w:rPr>
        <w:t>C.c.Q.</w:t>
      </w:r>
      <w:r w:rsidRPr="009F420B">
        <w:rPr>
          <w:lang w:val="fr-CA"/>
        </w:rPr>
        <w:t xml:space="preserve">, qui concerne les régimes matrimoniaux. Elle devrait également être suivie en ce qui concerne </w:t>
      </w:r>
      <w:r w:rsidRPr="009F420B">
        <w:rPr>
          <w:u w:val="single"/>
          <w:lang w:val="fr-CA"/>
        </w:rPr>
        <w:t>la compétence des autorités québécoises à l</w:t>
      </w:r>
      <w:r>
        <w:rPr>
          <w:u w:val="single"/>
          <w:lang w:val="fr-CA"/>
        </w:rPr>
        <w:t>’</w:t>
      </w:r>
      <w:r w:rsidRPr="009F420B">
        <w:rPr>
          <w:u w:val="single"/>
          <w:lang w:val="fr-CA"/>
        </w:rPr>
        <w:t>égard de mesures accessoires</w:t>
      </w:r>
      <w:r w:rsidRPr="009F420B">
        <w:rPr>
          <w:lang w:val="fr-CA"/>
        </w:rPr>
        <w:t xml:space="preserve"> à une action en séparation ou en nullité » (je souligne; note</w:t>
      </w:r>
      <w:r w:rsidR="00482A31">
        <w:rPr>
          <w:lang w:val="fr-CA"/>
        </w:rPr>
        <w:t>s</w:t>
      </w:r>
      <w:r w:rsidRPr="009F420B">
        <w:rPr>
          <w:lang w:val="fr-CA"/>
        </w:rPr>
        <w:t xml:space="preserve"> en bas de page omise</w:t>
      </w:r>
      <w:r w:rsidR="00482A31">
        <w:rPr>
          <w:lang w:val="fr-CA"/>
        </w:rPr>
        <w:t>s)</w:t>
      </w:r>
      <w:r w:rsidRPr="009F420B">
        <w:rPr>
          <w:lang w:val="fr-CA"/>
        </w:rPr>
        <w:t>). Bien entendu, et même si l</w:t>
      </w:r>
      <w:r>
        <w:rPr>
          <w:lang w:val="fr-CA"/>
        </w:rPr>
        <w:t>’art. </w:t>
      </w:r>
      <w:r w:rsidRPr="009F420B">
        <w:rPr>
          <w:lang w:val="fr-CA"/>
        </w:rPr>
        <w:t xml:space="preserve">3139 </w:t>
      </w:r>
      <w:r w:rsidRPr="009F420B">
        <w:rPr>
          <w:i/>
          <w:lang w:val="fr-CA"/>
        </w:rPr>
        <w:t xml:space="preserve">C.c.Q. </w:t>
      </w:r>
      <w:r w:rsidRPr="009F420B">
        <w:rPr>
          <w:lang w:val="fr-CA"/>
        </w:rPr>
        <w:t>ne mentionne pas expressément ce facteur, il doit exister un « élément de connexité » entre les actions principale et incidente</w:t>
      </w:r>
      <w:r>
        <w:rPr>
          <w:lang w:val="fr-CA"/>
        </w:rPr>
        <w:t> :</w:t>
      </w:r>
      <w:r w:rsidRPr="009F420B">
        <w:rPr>
          <w:lang w:val="fr-CA"/>
        </w:rPr>
        <w:t xml:space="preserve"> </w:t>
      </w:r>
      <w:r w:rsidRPr="009F420B">
        <w:rPr>
          <w:i/>
          <w:lang w:val="fr-CA"/>
        </w:rPr>
        <w:t>GreCon</w:t>
      </w:r>
      <w:r w:rsidRPr="009F420B">
        <w:rPr>
          <w:lang w:val="fr-CA"/>
        </w:rPr>
        <w:t xml:space="preserve">, </w:t>
      </w:r>
      <w:r>
        <w:rPr>
          <w:lang w:val="fr-CA"/>
        </w:rPr>
        <w:t>par. </w:t>
      </w:r>
      <w:r w:rsidRPr="009F420B">
        <w:rPr>
          <w:lang w:val="fr-CA"/>
        </w:rPr>
        <w:t>31. Ainsi que l</w:t>
      </w:r>
      <w:r>
        <w:rPr>
          <w:lang w:val="fr-CA"/>
        </w:rPr>
        <w:t>’</w:t>
      </w:r>
      <w:r w:rsidRPr="009F420B">
        <w:rPr>
          <w:lang w:val="fr-CA"/>
        </w:rPr>
        <w:t>explique le professeur Talpis (</w:t>
      </w:r>
      <w:r>
        <w:rPr>
          <w:lang w:val="fr-CA"/>
        </w:rPr>
        <w:t>p. </w:t>
      </w:r>
      <w:r w:rsidRPr="009F420B">
        <w:rPr>
          <w:lang w:val="fr-CA"/>
        </w:rPr>
        <w:t>36)</w:t>
      </w:r>
      <w:r>
        <w:rPr>
          <w:lang w:val="fr-CA"/>
        </w:rPr>
        <w:t> :</w:t>
      </w:r>
      <w:r w:rsidRPr="009F420B">
        <w:rPr>
          <w:lang w:val="fr-CA"/>
        </w:rPr>
        <w:t xml:space="preserve"> </w:t>
      </w:r>
      <w:r w:rsidRPr="009F420B">
        <w:rPr>
          <w:lang w:val="fr-CA"/>
        </w:rPr>
        <w:sym w:font="Symbol" w:char="F05B"/>
      </w:r>
      <w:r w:rsidRPr="009F420B">
        <w:rPr>
          <w:smallCaps/>
          <w:lang w:val="fr-CA"/>
        </w:rPr>
        <w:t>traduction</w:t>
      </w:r>
      <w:r w:rsidRPr="009F420B">
        <w:rPr>
          <w:lang w:val="fr-CA"/>
        </w:rPr>
        <w:sym w:font="Symbol" w:char="F05D"/>
      </w:r>
      <w:r w:rsidRPr="009F420B">
        <w:rPr>
          <w:lang w:val="fr-CA"/>
        </w:rPr>
        <w:t xml:space="preserve"> « dans certaines situations, les actions peuvent être </w:t>
      </w:r>
      <w:r w:rsidRPr="009F420B">
        <w:rPr>
          <w:u w:val="single"/>
          <w:lang w:val="fr-CA"/>
        </w:rPr>
        <w:t>reliées entre elles</w:t>
      </w:r>
      <w:r w:rsidRPr="009F420B">
        <w:rPr>
          <w:lang w:val="fr-CA"/>
        </w:rPr>
        <w:t xml:space="preserve"> de telle sorte qu</w:t>
      </w:r>
      <w:r>
        <w:rPr>
          <w:lang w:val="fr-CA"/>
        </w:rPr>
        <w:t>’</w:t>
      </w:r>
      <w:r w:rsidRPr="009F420B">
        <w:rPr>
          <w:lang w:val="fr-CA"/>
        </w:rPr>
        <w:t xml:space="preserve">elles permettent de </w:t>
      </w:r>
      <w:r w:rsidRPr="009F420B">
        <w:rPr>
          <w:u w:val="single"/>
          <w:lang w:val="fr-CA"/>
        </w:rPr>
        <w:t>reconnaître la compétence à l</w:t>
      </w:r>
      <w:r>
        <w:rPr>
          <w:u w:val="single"/>
          <w:lang w:val="fr-CA"/>
        </w:rPr>
        <w:t>’</w:t>
      </w:r>
      <w:r w:rsidRPr="009F420B">
        <w:rPr>
          <w:u w:val="single"/>
          <w:lang w:val="fr-CA"/>
        </w:rPr>
        <w:t>endroit des codéfendeurs</w:t>
      </w:r>
      <w:r w:rsidRPr="009F420B">
        <w:rPr>
          <w:lang w:val="fr-CA"/>
        </w:rPr>
        <w:t xml:space="preserve"> en application de </w:t>
      </w:r>
      <w:r w:rsidRPr="009F420B">
        <w:rPr>
          <w:u w:val="single"/>
          <w:lang w:val="fr-CA"/>
        </w:rPr>
        <w:t>l</w:t>
      </w:r>
      <w:r>
        <w:rPr>
          <w:u w:val="single"/>
          <w:lang w:val="fr-CA"/>
        </w:rPr>
        <w:t>’</w:t>
      </w:r>
      <w:r w:rsidRPr="009F420B">
        <w:rPr>
          <w:u w:val="single"/>
          <w:lang w:val="fr-CA"/>
        </w:rPr>
        <w:t>article 3139 C.c.Q.</w:t>
      </w:r>
      <w:r w:rsidRPr="009F420B">
        <w:rPr>
          <w:lang w:val="fr-CA"/>
        </w:rPr>
        <w:t xml:space="preserve"> » (je souligne). </w:t>
      </w:r>
    </w:p>
    <w:p w:rsidR="00AF6697" w:rsidRPr="009F420B" w:rsidRDefault="00AF6697" w:rsidP="00AF6697">
      <w:pPr>
        <w:pStyle w:val="ParaNoNdepar-AltN"/>
        <w:rPr>
          <w:rFonts w:cs="Times New Roman"/>
          <w:lang w:val="fr-CA"/>
        </w:rPr>
      </w:pPr>
      <w:r w:rsidRPr="009F420B">
        <w:rPr>
          <w:rFonts w:cs="Times New Roman"/>
          <w:lang w:val="fr-CA"/>
        </w:rPr>
        <w:t>Je signale également que ce type de « compétence dérivée » n</w:t>
      </w:r>
      <w:r>
        <w:rPr>
          <w:rFonts w:cs="Times New Roman"/>
          <w:lang w:val="fr-CA"/>
        </w:rPr>
        <w:t>’</w:t>
      </w:r>
      <w:r w:rsidRPr="009F420B">
        <w:rPr>
          <w:rFonts w:cs="Times New Roman"/>
          <w:lang w:val="fr-CA"/>
        </w:rPr>
        <w:t xml:space="preserve">est pas rare dans les systèmes de droit civil. En droit français, voir, </w:t>
      </w:r>
      <w:r>
        <w:rPr>
          <w:rFonts w:cs="Times New Roman"/>
          <w:lang w:val="fr-CA"/>
        </w:rPr>
        <w:t>p. </w:t>
      </w:r>
      <w:r w:rsidRPr="009F420B">
        <w:rPr>
          <w:rFonts w:cs="Times New Roman"/>
          <w:lang w:val="fr-CA"/>
        </w:rPr>
        <w:t>ex.</w:t>
      </w:r>
      <w:r w:rsidR="00502AEF">
        <w:rPr>
          <w:rFonts w:cs="Times New Roman"/>
          <w:lang w:val="fr-CA"/>
        </w:rPr>
        <w:t>,</w:t>
      </w:r>
      <w:r w:rsidRPr="009F420B">
        <w:rPr>
          <w:rFonts w:eastAsia="Times New Roman" w:cs="Times New Roman"/>
          <w:szCs w:val="24"/>
          <w:lang w:val="fr-CA" w:eastAsia="en-CA"/>
        </w:rPr>
        <w:t xml:space="preserve"> </w:t>
      </w:r>
      <w:r>
        <w:rPr>
          <w:rFonts w:cs="Times New Roman"/>
          <w:lang w:val="fr-CA"/>
        </w:rPr>
        <w:t>P. </w:t>
      </w:r>
      <w:r w:rsidRPr="009F420B">
        <w:rPr>
          <w:rFonts w:cs="Times New Roman"/>
          <w:lang w:val="fr-CA"/>
        </w:rPr>
        <w:t xml:space="preserve">Mayer et V. Heuzé, </w:t>
      </w:r>
      <w:r w:rsidRPr="009F420B">
        <w:rPr>
          <w:rFonts w:cs="Times New Roman"/>
          <w:i/>
          <w:lang w:val="fr-CA"/>
        </w:rPr>
        <w:t>Droit international privé</w:t>
      </w:r>
      <w:r w:rsidRPr="009F420B">
        <w:rPr>
          <w:rFonts w:cs="Times New Roman"/>
          <w:lang w:val="fr-CA"/>
        </w:rPr>
        <w:t xml:space="preserve"> (11</w:t>
      </w:r>
      <w:r w:rsidRPr="009F420B">
        <w:rPr>
          <w:rFonts w:cs="Times New Roman"/>
          <w:vertAlign w:val="superscript"/>
          <w:lang w:val="fr-CA"/>
        </w:rPr>
        <w:t>e</w:t>
      </w:r>
      <w:r w:rsidRPr="009F420B">
        <w:rPr>
          <w:rFonts w:cs="Times New Roman"/>
          <w:lang w:val="fr-CA"/>
        </w:rPr>
        <w:t xml:space="preserve"> éd. 2014)</w:t>
      </w:r>
      <w:r w:rsidR="00502AEF">
        <w:rPr>
          <w:rFonts w:cs="Times New Roman"/>
          <w:lang w:val="fr-CA"/>
        </w:rPr>
        <w:t xml:space="preserve">, </w:t>
      </w:r>
      <w:r>
        <w:rPr>
          <w:rFonts w:cs="Times New Roman"/>
          <w:lang w:val="fr-CA"/>
        </w:rPr>
        <w:t>p. </w:t>
      </w:r>
      <w:r w:rsidR="00502AEF">
        <w:rPr>
          <w:rFonts w:cs="Times New Roman"/>
          <w:lang w:val="fr-CA"/>
        </w:rPr>
        <w:t>205</w:t>
      </w:r>
      <w:r>
        <w:rPr>
          <w:rFonts w:cs="Times New Roman"/>
          <w:lang w:val="fr-CA"/>
        </w:rPr>
        <w:t> :</w:t>
      </w:r>
      <w:r w:rsidRPr="009F420B">
        <w:rPr>
          <w:rFonts w:cs="Times New Roman"/>
          <w:lang w:val="fr-CA"/>
        </w:rPr>
        <w:t xml:space="preserve"> </w:t>
      </w:r>
    </w:p>
    <w:p w:rsidR="00AF6697" w:rsidRPr="009F420B" w:rsidRDefault="00AF6697" w:rsidP="00AF6697">
      <w:pPr>
        <w:pStyle w:val="Citation-AltC"/>
        <w:ind w:hanging="1166"/>
        <w:rPr>
          <w:lang w:val="fr-CA"/>
        </w:rPr>
      </w:pPr>
      <w:r>
        <w:rPr>
          <w:lang w:val="fr-CA"/>
        </w:rPr>
        <w:tab/>
      </w:r>
      <w:r w:rsidR="00666920">
        <w:rPr>
          <w:lang w:val="fr-CA"/>
        </w:rPr>
        <w:tab/>
      </w:r>
      <w:r w:rsidRPr="009F420B">
        <w:rPr>
          <w:lang w:val="fr-CA"/>
        </w:rPr>
        <w:t xml:space="preserve">Sont également transposées à la compétence internationale les règles de </w:t>
      </w:r>
      <w:r w:rsidRPr="009F420B">
        <w:rPr>
          <w:i/>
          <w:lang w:val="fr-CA"/>
        </w:rPr>
        <w:t>compétence dérivée</w:t>
      </w:r>
      <w:r w:rsidRPr="009F420B">
        <w:rPr>
          <w:lang w:val="fr-CA"/>
        </w:rPr>
        <w:t>, qui étendent la compétence du tribunal saisi d</w:t>
      </w:r>
      <w:r>
        <w:rPr>
          <w:lang w:val="fr-CA"/>
        </w:rPr>
        <w:t>’</w:t>
      </w:r>
      <w:r w:rsidRPr="009F420B">
        <w:rPr>
          <w:lang w:val="fr-CA"/>
        </w:rPr>
        <w:t>une certaine demande à d</w:t>
      </w:r>
      <w:r>
        <w:rPr>
          <w:lang w:val="fr-CA"/>
        </w:rPr>
        <w:t>’</w:t>
      </w:r>
      <w:r w:rsidRPr="009F420B">
        <w:rPr>
          <w:lang w:val="fr-CA"/>
        </w:rPr>
        <w:t>autres demandes, connexes à celle</w:t>
      </w:r>
      <w:r>
        <w:rPr>
          <w:lang w:val="fr-CA"/>
        </w:rPr>
        <w:noBreakHyphen/>
      </w:r>
      <w:r w:rsidRPr="009F420B">
        <w:rPr>
          <w:lang w:val="fr-CA"/>
        </w:rPr>
        <w:t>ci. Le tribunal est ainsi compétent pour connaître d</w:t>
      </w:r>
      <w:r>
        <w:rPr>
          <w:lang w:val="fr-CA"/>
        </w:rPr>
        <w:t>’</w:t>
      </w:r>
      <w:r w:rsidRPr="009F420B">
        <w:rPr>
          <w:lang w:val="fr-CA"/>
        </w:rPr>
        <w:t>actions connexes formées contre plusieurs défendeurs dès lors que l</w:t>
      </w:r>
      <w:r>
        <w:rPr>
          <w:lang w:val="fr-CA"/>
        </w:rPr>
        <w:t>’</w:t>
      </w:r>
      <w:r w:rsidRPr="009F420B">
        <w:rPr>
          <w:lang w:val="fr-CA"/>
        </w:rPr>
        <w:t>un d</w:t>
      </w:r>
      <w:r>
        <w:rPr>
          <w:lang w:val="fr-CA"/>
        </w:rPr>
        <w:t>’</w:t>
      </w:r>
      <w:r w:rsidRPr="009F420B">
        <w:rPr>
          <w:lang w:val="fr-CA"/>
        </w:rPr>
        <w:t>entre eux — à l</w:t>
      </w:r>
      <w:r>
        <w:rPr>
          <w:lang w:val="fr-CA"/>
        </w:rPr>
        <w:t>’</w:t>
      </w:r>
      <w:r w:rsidRPr="009F420B">
        <w:rPr>
          <w:lang w:val="fr-CA"/>
        </w:rPr>
        <w:t>égard duquel la demande doit présenter un caractère réel et sérieux — es</w:t>
      </w:r>
      <w:r w:rsidR="00E8201D">
        <w:rPr>
          <w:lang w:val="fr-CA"/>
        </w:rPr>
        <w:t>t domicilié en France . . .</w:t>
      </w:r>
      <w:r w:rsidR="000E03EB">
        <w:rPr>
          <w:lang w:val="fr-CA"/>
        </w:rPr>
        <w:t xml:space="preserve"> [</w:t>
      </w:r>
      <w:r w:rsidR="00502AEF">
        <w:rPr>
          <w:lang w:val="fr-CA"/>
        </w:rPr>
        <w:t>E</w:t>
      </w:r>
      <w:r w:rsidR="000E03EB">
        <w:rPr>
          <w:lang w:val="fr-CA"/>
        </w:rPr>
        <w:t>n i</w:t>
      </w:r>
      <w:r w:rsidR="007C1DBD">
        <w:rPr>
          <w:lang w:val="fr-CA"/>
        </w:rPr>
        <w:t>talique</w:t>
      </w:r>
      <w:r w:rsidRPr="009F420B">
        <w:rPr>
          <w:lang w:val="fr-CA"/>
        </w:rPr>
        <w:t xml:space="preserve"> dans l</w:t>
      </w:r>
      <w:r>
        <w:rPr>
          <w:lang w:val="fr-CA"/>
        </w:rPr>
        <w:t>’</w:t>
      </w:r>
      <w:r w:rsidRPr="009F420B">
        <w:rPr>
          <w:lang w:val="fr-CA"/>
        </w:rPr>
        <w:t>original; note</w:t>
      </w:r>
      <w:r w:rsidR="008265F6">
        <w:rPr>
          <w:lang w:val="fr-CA"/>
        </w:rPr>
        <w:t>s</w:t>
      </w:r>
      <w:r w:rsidRPr="009F420B">
        <w:rPr>
          <w:lang w:val="fr-CA"/>
        </w:rPr>
        <w:t xml:space="preserve"> en bas de page omise</w:t>
      </w:r>
      <w:r w:rsidR="008265F6">
        <w:rPr>
          <w:lang w:val="fr-CA"/>
        </w:rPr>
        <w:t>s</w:t>
      </w:r>
      <w:r w:rsidRPr="009F420B">
        <w:rPr>
          <w:lang w:val="fr-CA"/>
        </w:rPr>
        <w:t xml:space="preserve">.] </w:t>
      </w:r>
    </w:p>
    <w:p w:rsidR="00AF6697" w:rsidRPr="009F420B" w:rsidRDefault="00AF6697" w:rsidP="00AF6697">
      <w:pPr>
        <w:pStyle w:val="ContinueParaSuitedupar-AltP"/>
        <w:rPr>
          <w:lang w:val="fr-CA"/>
        </w:rPr>
      </w:pPr>
      <w:r w:rsidRPr="009F420B">
        <w:rPr>
          <w:lang w:val="fr-CA"/>
        </w:rPr>
        <w:lastRenderedPageBreak/>
        <w:t>Voir aussi l</w:t>
      </w:r>
      <w:r>
        <w:rPr>
          <w:lang w:val="fr-CA"/>
        </w:rPr>
        <w:t>’al. </w:t>
      </w:r>
      <w:r w:rsidRPr="009F420B">
        <w:rPr>
          <w:lang w:val="fr-CA"/>
        </w:rPr>
        <w:t xml:space="preserve">8a de la </w:t>
      </w:r>
      <w:r w:rsidRPr="0033164D">
        <w:rPr>
          <w:i/>
          <w:lang w:val="fr-CA"/>
        </w:rPr>
        <w:t xml:space="preserve">Loi fédérale sur le droit international privé </w:t>
      </w:r>
      <w:r w:rsidRPr="00570FFA">
        <w:rPr>
          <w:lang w:val="fr-CA"/>
        </w:rPr>
        <w:t>de la Suisse</w:t>
      </w:r>
      <w:r w:rsidRPr="009F420B">
        <w:rPr>
          <w:lang w:val="fr-CA"/>
        </w:rPr>
        <w:t xml:space="preserve">; le </w:t>
      </w:r>
      <w:r>
        <w:rPr>
          <w:lang w:val="fr-CA"/>
        </w:rPr>
        <w:t>par. </w:t>
      </w:r>
      <w:r w:rsidRPr="009F420B">
        <w:rPr>
          <w:lang w:val="fr-CA"/>
        </w:rPr>
        <w:t xml:space="preserve">6(1) de la </w:t>
      </w:r>
      <w:r w:rsidRPr="00477BE6">
        <w:rPr>
          <w:i/>
          <w:lang w:val="fr-CA"/>
        </w:rPr>
        <w:t>Convention concernant la compétence judiciaire, la reconnaissance et l’exécution des décisions en matière civile et commerciale</w:t>
      </w:r>
      <w:r w:rsidRPr="009F420B">
        <w:rPr>
          <w:lang w:val="fr-CA"/>
        </w:rPr>
        <w:t xml:space="preserve"> (2007) (Convention de Lugano); </w:t>
      </w:r>
      <w:r>
        <w:rPr>
          <w:lang w:val="fr-CA"/>
        </w:rPr>
        <w:t>art. </w:t>
      </w:r>
      <w:r w:rsidRPr="009F420B">
        <w:rPr>
          <w:lang w:val="fr-CA"/>
        </w:rPr>
        <w:t xml:space="preserve">9 de la </w:t>
      </w:r>
      <w:r w:rsidRPr="00477BE6">
        <w:rPr>
          <w:bCs/>
          <w:i/>
          <w:lang w:val="fr-CA"/>
        </w:rPr>
        <w:t xml:space="preserve">Loi portant le Code de droit international privé </w:t>
      </w:r>
      <w:r w:rsidRPr="00570FFA">
        <w:rPr>
          <w:bCs/>
          <w:lang w:val="fr-CA"/>
        </w:rPr>
        <w:t>de la Belgique</w:t>
      </w:r>
      <w:r w:rsidRPr="00570FFA">
        <w:rPr>
          <w:lang w:val="fr-CA"/>
        </w:rPr>
        <w:t>.</w:t>
      </w:r>
    </w:p>
    <w:p w:rsidR="00AF6697" w:rsidRPr="009F420B" w:rsidRDefault="00AF6697" w:rsidP="00AF6697">
      <w:pPr>
        <w:pStyle w:val="ParaNoNdepar-AltN"/>
        <w:rPr>
          <w:rFonts w:cs="Times New Roman"/>
          <w:lang w:val="fr-CA"/>
        </w:rPr>
      </w:pPr>
      <w:r w:rsidRPr="009F420B">
        <w:rPr>
          <w:rFonts w:cs="Times New Roman"/>
          <w:lang w:val="fr-CA"/>
        </w:rPr>
        <w:t>Qui plus est, une « demande incidente » n</w:t>
      </w:r>
      <w:r>
        <w:rPr>
          <w:rFonts w:cs="Times New Roman"/>
          <w:lang w:val="fr-CA"/>
        </w:rPr>
        <w:t>’</w:t>
      </w:r>
      <w:r w:rsidRPr="009F420B">
        <w:rPr>
          <w:rFonts w:cs="Times New Roman"/>
          <w:lang w:val="fr-CA"/>
        </w:rPr>
        <w:t>est pas nécessairement une « demande en garantie »</w:t>
      </w:r>
      <w:r>
        <w:rPr>
          <w:rFonts w:cs="Times New Roman"/>
          <w:lang w:val="fr-CA"/>
        </w:rPr>
        <w:t> :</w:t>
      </w:r>
      <w:r w:rsidRPr="009F420B">
        <w:rPr>
          <w:rFonts w:cs="Times New Roman"/>
          <w:lang w:val="fr-CA"/>
        </w:rPr>
        <w:t xml:space="preserve"> voir, </w:t>
      </w:r>
      <w:r>
        <w:rPr>
          <w:rFonts w:cs="Times New Roman"/>
          <w:lang w:val="fr-CA"/>
        </w:rPr>
        <w:t>p. </w:t>
      </w:r>
      <w:r w:rsidRPr="009F420B">
        <w:rPr>
          <w:rFonts w:cs="Times New Roman"/>
          <w:lang w:val="fr-CA"/>
        </w:rPr>
        <w:t>ex.</w:t>
      </w:r>
      <w:r w:rsidR="00502AEF">
        <w:rPr>
          <w:rFonts w:cs="Times New Roman"/>
          <w:lang w:val="fr-CA"/>
        </w:rPr>
        <w:t>,</w:t>
      </w:r>
      <w:r w:rsidRPr="009F420B">
        <w:rPr>
          <w:rFonts w:cs="Times New Roman"/>
          <w:lang w:val="fr-CA"/>
        </w:rPr>
        <w:t xml:space="preserve"> l</w:t>
      </w:r>
      <w:r>
        <w:rPr>
          <w:rFonts w:cs="Times New Roman"/>
          <w:lang w:val="fr-CA"/>
        </w:rPr>
        <w:t>’art. </w:t>
      </w:r>
      <w:r w:rsidRPr="009F420B">
        <w:rPr>
          <w:rFonts w:cs="Times New Roman"/>
          <w:lang w:val="fr-CA"/>
        </w:rPr>
        <w:t xml:space="preserve">184 </w:t>
      </w:r>
      <w:r>
        <w:rPr>
          <w:rFonts w:cs="Times New Roman"/>
          <w:lang w:val="fr-CA"/>
        </w:rPr>
        <w:t>al. </w:t>
      </w:r>
      <w:r w:rsidR="00570FFA">
        <w:rPr>
          <w:rFonts w:cs="Times New Roman"/>
          <w:lang w:val="fr-CA"/>
        </w:rPr>
        <w:t xml:space="preserve">3 nouveau </w:t>
      </w:r>
      <w:r w:rsidRPr="009F420B">
        <w:rPr>
          <w:rFonts w:cs="Times New Roman"/>
          <w:i/>
          <w:lang w:val="fr-CA"/>
        </w:rPr>
        <w:t>C.p.c.</w:t>
      </w:r>
      <w:r w:rsidRPr="000C5BEA">
        <w:rPr>
          <w:rStyle w:val="Hyperlink"/>
          <w:u w:val="none"/>
          <w:vertAlign w:val="superscript"/>
        </w:rPr>
        <w:footnoteReference w:id="6"/>
      </w:r>
      <w:r w:rsidRPr="000C5BEA">
        <w:rPr>
          <w:rFonts w:cs="Times New Roman"/>
          <w:lang w:val="fr-CA"/>
        </w:rPr>
        <w:t xml:space="preserve"> </w:t>
      </w:r>
      <w:r w:rsidRPr="009F420B">
        <w:rPr>
          <w:rFonts w:cs="Times New Roman"/>
          <w:lang w:val="fr-CA"/>
        </w:rPr>
        <w:t>Un</w:t>
      </w:r>
      <w:r w:rsidRPr="009F420B">
        <w:rPr>
          <w:rFonts w:cs="Times New Roman"/>
          <w:i/>
          <w:lang w:val="fr-CA"/>
        </w:rPr>
        <w:t xml:space="preserve"> demandeur </w:t>
      </w:r>
      <w:r w:rsidRPr="009F420B">
        <w:rPr>
          <w:rFonts w:cs="Times New Roman"/>
          <w:lang w:val="fr-CA"/>
        </w:rPr>
        <w:t>peut donc forcer l</w:t>
      </w:r>
      <w:r>
        <w:rPr>
          <w:rFonts w:cs="Times New Roman"/>
          <w:lang w:val="fr-CA"/>
        </w:rPr>
        <w:t>’</w:t>
      </w:r>
      <w:r w:rsidRPr="009F420B">
        <w:rPr>
          <w:rFonts w:cs="Times New Roman"/>
          <w:lang w:val="fr-CA"/>
        </w:rPr>
        <w:t>intervention d</w:t>
      </w:r>
      <w:r>
        <w:rPr>
          <w:rFonts w:cs="Times New Roman"/>
          <w:lang w:val="fr-CA"/>
        </w:rPr>
        <w:t>’</w:t>
      </w:r>
      <w:r w:rsidRPr="009F420B">
        <w:rPr>
          <w:rFonts w:cs="Times New Roman"/>
          <w:lang w:val="fr-CA"/>
        </w:rPr>
        <w:t>un tiers pour permettre une solution complète du litige</w:t>
      </w:r>
      <w:r>
        <w:rPr>
          <w:rFonts w:cs="Times New Roman"/>
          <w:lang w:val="fr-CA"/>
        </w:rPr>
        <w:t> :</w:t>
      </w:r>
      <w:r w:rsidRPr="009F420B">
        <w:rPr>
          <w:rFonts w:cs="Times New Roman"/>
          <w:lang w:val="fr-CA"/>
        </w:rPr>
        <w:t xml:space="preserve"> voir </w:t>
      </w:r>
      <w:r w:rsidRPr="009F420B">
        <w:rPr>
          <w:rFonts w:cs="Times New Roman"/>
          <w:i/>
          <w:lang w:val="fr-CA"/>
        </w:rPr>
        <w:t>Bourdages c. Québec (Gouvernement du) (</w:t>
      </w:r>
      <w:r w:rsidR="008265F6">
        <w:rPr>
          <w:rFonts w:cs="Times New Roman"/>
          <w:i/>
          <w:lang w:val="fr-CA"/>
        </w:rPr>
        <w:t>M</w:t>
      </w:r>
      <w:r w:rsidRPr="009F420B">
        <w:rPr>
          <w:rFonts w:cs="Times New Roman"/>
          <w:i/>
          <w:lang w:val="fr-CA"/>
        </w:rPr>
        <w:t>inistère des Transports)</w:t>
      </w:r>
      <w:r w:rsidRPr="009F420B">
        <w:rPr>
          <w:rFonts w:cs="Times New Roman"/>
          <w:lang w:val="fr-CA"/>
        </w:rPr>
        <w:t xml:space="preserve">, 2016 QCCS 5066; </w:t>
      </w:r>
      <w:r w:rsidRPr="009F420B">
        <w:rPr>
          <w:rFonts w:cs="Times New Roman"/>
          <w:i/>
          <w:lang w:val="fr-CA"/>
        </w:rPr>
        <w:t>Fonds d</w:t>
      </w:r>
      <w:r>
        <w:rPr>
          <w:rFonts w:cs="Times New Roman"/>
          <w:i/>
          <w:lang w:val="fr-CA"/>
        </w:rPr>
        <w:t>’</w:t>
      </w:r>
      <w:r w:rsidRPr="009F420B">
        <w:rPr>
          <w:rFonts w:cs="Times New Roman"/>
          <w:i/>
          <w:lang w:val="fr-CA"/>
        </w:rPr>
        <w:t>assurance responsabilité professionnelle du Barreau du Québec c. Gariépy</w:t>
      </w:r>
      <w:r w:rsidRPr="009F420B">
        <w:rPr>
          <w:rFonts w:cs="Times New Roman"/>
          <w:lang w:val="fr-CA"/>
        </w:rPr>
        <w:t xml:space="preserve">, 2005 QCCA 60, </w:t>
      </w:r>
      <w:r>
        <w:rPr>
          <w:rFonts w:cs="Times New Roman"/>
          <w:lang w:val="fr-CA"/>
        </w:rPr>
        <w:t>par. </w:t>
      </w:r>
      <w:r w:rsidRPr="009F420B">
        <w:rPr>
          <w:rFonts w:cs="Times New Roman"/>
          <w:lang w:val="fr-CA"/>
        </w:rPr>
        <w:t>33 (« </w:t>
      </w:r>
      <w:r w:rsidR="00502AEF">
        <w:rPr>
          <w:rFonts w:cs="Times New Roman"/>
          <w:lang w:val="fr-CA"/>
        </w:rPr>
        <w:t>[l]</w:t>
      </w:r>
      <w:r w:rsidRPr="009F420B">
        <w:rPr>
          <w:rFonts w:cs="Times New Roman"/>
          <w:lang w:val="fr-CA"/>
        </w:rPr>
        <w:t>a procédure de mise en cause forcée est juridiquement l</w:t>
      </w:r>
      <w:r>
        <w:rPr>
          <w:rFonts w:cs="Times New Roman"/>
          <w:lang w:val="fr-CA"/>
        </w:rPr>
        <w:t>’</w:t>
      </w:r>
      <w:r w:rsidRPr="009F420B">
        <w:rPr>
          <w:rFonts w:cs="Times New Roman"/>
          <w:lang w:val="fr-CA"/>
        </w:rPr>
        <w:t>équivalent de l</w:t>
      </w:r>
      <w:r>
        <w:rPr>
          <w:rFonts w:cs="Times New Roman"/>
          <w:lang w:val="fr-CA"/>
        </w:rPr>
        <w:t>’</w:t>
      </w:r>
      <w:r w:rsidRPr="009F420B">
        <w:rPr>
          <w:rFonts w:cs="Times New Roman"/>
          <w:lang w:val="fr-CA"/>
        </w:rPr>
        <w:t>adjonction à l</w:t>
      </w:r>
      <w:r>
        <w:rPr>
          <w:rFonts w:cs="Times New Roman"/>
          <w:lang w:val="fr-CA"/>
        </w:rPr>
        <w:t>’</w:t>
      </w:r>
      <w:r w:rsidRPr="009F420B">
        <w:rPr>
          <w:rFonts w:cs="Times New Roman"/>
          <w:lang w:val="fr-CA"/>
        </w:rPr>
        <w:t>action principale, telle qu</w:t>
      </w:r>
      <w:r>
        <w:rPr>
          <w:rFonts w:cs="Times New Roman"/>
          <w:lang w:val="fr-CA"/>
        </w:rPr>
        <w:t>’</w:t>
      </w:r>
      <w:r w:rsidRPr="009F420B">
        <w:rPr>
          <w:rFonts w:cs="Times New Roman"/>
          <w:lang w:val="fr-CA"/>
        </w:rPr>
        <w:t>intentée, d</w:t>
      </w:r>
      <w:r>
        <w:rPr>
          <w:rFonts w:cs="Times New Roman"/>
          <w:lang w:val="fr-CA"/>
        </w:rPr>
        <w:t>’</w:t>
      </w:r>
      <w:r w:rsidRPr="009F420B">
        <w:rPr>
          <w:rFonts w:cs="Times New Roman"/>
          <w:lang w:val="fr-CA"/>
        </w:rPr>
        <w:t xml:space="preserve">un nouveau défendeur qui est là pour répondre et combattre les conclusions de la demande principale » (note en bas de page omise)); </w:t>
      </w:r>
      <w:r w:rsidRPr="009F420B">
        <w:rPr>
          <w:rFonts w:cs="Times New Roman"/>
          <w:i/>
          <w:lang w:val="fr-CA"/>
        </w:rPr>
        <w:t>Constructions Alcana ltée c. Cégep régional de Lanaudière</w:t>
      </w:r>
      <w:r w:rsidRPr="009F420B">
        <w:rPr>
          <w:rFonts w:cs="Times New Roman"/>
          <w:lang w:val="fr-CA"/>
        </w:rPr>
        <w:t xml:space="preserve">, 2006 QCCA 1494; voir aussi </w:t>
      </w:r>
      <w:r w:rsidRPr="009F420B">
        <w:rPr>
          <w:rFonts w:cs="Times New Roman"/>
          <w:i/>
          <w:lang w:val="fr-CA"/>
        </w:rPr>
        <w:t>Allard c. Mozart ltée</w:t>
      </w:r>
      <w:r w:rsidRPr="009F420B">
        <w:rPr>
          <w:rFonts w:cs="Times New Roman"/>
          <w:lang w:val="fr-CA"/>
        </w:rPr>
        <w:t xml:space="preserve">, [1981] C.A. 612; </w:t>
      </w:r>
      <w:r w:rsidRPr="009F420B">
        <w:rPr>
          <w:rFonts w:cs="Times New Roman"/>
          <w:i/>
          <w:lang w:val="fr-CA"/>
        </w:rPr>
        <w:t>CGU c. Wawanesa, compagnie mutuelle d</w:t>
      </w:r>
      <w:r>
        <w:rPr>
          <w:rFonts w:cs="Times New Roman"/>
          <w:i/>
          <w:lang w:val="fr-CA"/>
        </w:rPr>
        <w:t>’</w:t>
      </w:r>
      <w:r w:rsidRPr="009F420B">
        <w:rPr>
          <w:rFonts w:cs="Times New Roman"/>
          <w:i/>
          <w:lang w:val="fr-CA"/>
        </w:rPr>
        <w:t>assurances</w:t>
      </w:r>
      <w:r w:rsidRPr="009F420B">
        <w:rPr>
          <w:rFonts w:cs="Times New Roman"/>
          <w:lang w:val="fr-CA"/>
        </w:rPr>
        <w:t xml:space="preserve">, 2005 QCCA 320, [2005] R.R.A. 312; </w:t>
      </w:r>
      <w:r w:rsidRPr="009F420B">
        <w:rPr>
          <w:rFonts w:cs="Times New Roman"/>
          <w:i/>
          <w:lang w:val="fr-CA"/>
        </w:rPr>
        <w:t>Kingsway General Insurance Co. c. Duvernay Plomberie et chauffage inc.</w:t>
      </w:r>
      <w:r w:rsidRPr="009F420B">
        <w:rPr>
          <w:rFonts w:cs="Times New Roman"/>
          <w:lang w:val="fr-CA"/>
        </w:rPr>
        <w:t xml:space="preserve">, 2009 QCCA 926, [2009] R.J.Q. 1237. Dans </w:t>
      </w:r>
      <w:r w:rsidRPr="009F420B">
        <w:rPr>
          <w:rFonts w:cs="Times New Roman"/>
          <w:i/>
          <w:lang w:val="fr-CA"/>
        </w:rPr>
        <w:t>Insta Holding Limited c. 9247</w:t>
      </w:r>
      <w:r>
        <w:rPr>
          <w:rFonts w:cs="Times New Roman"/>
          <w:i/>
          <w:lang w:val="fr-CA"/>
        </w:rPr>
        <w:noBreakHyphen/>
      </w:r>
      <w:r w:rsidRPr="009F420B">
        <w:rPr>
          <w:rFonts w:cs="Times New Roman"/>
          <w:i/>
          <w:lang w:val="fr-CA"/>
        </w:rPr>
        <w:t>5334 Québec inc.</w:t>
      </w:r>
      <w:r w:rsidRPr="009F420B">
        <w:rPr>
          <w:rFonts w:cs="Times New Roman"/>
          <w:lang w:val="fr-CA"/>
        </w:rPr>
        <w:t xml:space="preserve">, 2017 QCCS 432, </w:t>
      </w:r>
      <w:r>
        <w:rPr>
          <w:rFonts w:cs="Times New Roman"/>
          <w:lang w:val="fr-CA"/>
        </w:rPr>
        <w:t>par. </w:t>
      </w:r>
      <w:r w:rsidRPr="009F420B">
        <w:rPr>
          <w:rFonts w:cs="Times New Roman"/>
          <w:lang w:val="fr-CA"/>
        </w:rPr>
        <w:t>17</w:t>
      </w:r>
      <w:r>
        <w:rPr>
          <w:rFonts w:cs="Times New Roman"/>
          <w:lang w:val="fr-CA"/>
        </w:rPr>
        <w:noBreakHyphen/>
      </w:r>
      <w:r w:rsidRPr="009F420B">
        <w:rPr>
          <w:rFonts w:cs="Times New Roman"/>
          <w:lang w:val="fr-CA"/>
        </w:rPr>
        <w:t>20 (CanLII), par exemple, la Cour supérieure du Québec a caractérisé la demande directe d</w:t>
      </w:r>
      <w:r>
        <w:rPr>
          <w:rFonts w:cs="Times New Roman"/>
          <w:lang w:val="fr-CA"/>
        </w:rPr>
        <w:t>’</w:t>
      </w:r>
      <w:r w:rsidRPr="009F420B">
        <w:rPr>
          <w:rFonts w:cs="Times New Roman"/>
          <w:lang w:val="fr-CA"/>
        </w:rPr>
        <w:t xml:space="preserve">un demandeur contre un défendeur étranger </w:t>
      </w:r>
      <w:r w:rsidRPr="009F420B">
        <w:rPr>
          <w:rFonts w:cs="Times New Roman"/>
          <w:lang w:val="fr-CA"/>
        </w:rPr>
        <w:lastRenderedPageBreak/>
        <w:t>dont le codéfendeur était prétendument son alter ego d</w:t>
      </w:r>
      <w:r>
        <w:rPr>
          <w:rFonts w:cs="Times New Roman"/>
          <w:lang w:val="fr-CA"/>
        </w:rPr>
        <w:t>’</w:t>
      </w:r>
      <w:r w:rsidRPr="009F420B">
        <w:rPr>
          <w:rFonts w:cs="Times New Roman"/>
          <w:lang w:val="fr-CA"/>
        </w:rPr>
        <w:t>« intervention forcée » au sens de l</w:t>
      </w:r>
      <w:r>
        <w:rPr>
          <w:rFonts w:cs="Times New Roman"/>
          <w:lang w:val="fr-CA"/>
        </w:rPr>
        <w:t>’art. </w:t>
      </w:r>
      <w:r w:rsidR="00570FFA">
        <w:rPr>
          <w:rFonts w:cs="Times New Roman"/>
          <w:lang w:val="fr-CA"/>
        </w:rPr>
        <w:t xml:space="preserve">184 nouveau </w:t>
      </w:r>
      <w:r w:rsidRPr="009F420B">
        <w:rPr>
          <w:rFonts w:cs="Times New Roman"/>
          <w:i/>
          <w:lang w:val="fr-CA"/>
        </w:rPr>
        <w:t>C.p.c.</w:t>
      </w:r>
      <w:r w:rsidRPr="009F420B">
        <w:rPr>
          <w:rFonts w:cs="Times New Roman"/>
          <w:lang w:val="fr-CA"/>
        </w:rPr>
        <w:t xml:space="preserve"> et donc de « demande incidente » aux fins de l</w:t>
      </w:r>
      <w:r>
        <w:rPr>
          <w:rFonts w:cs="Times New Roman"/>
          <w:lang w:val="fr-CA"/>
        </w:rPr>
        <w:t>’art. </w:t>
      </w:r>
      <w:r w:rsidRPr="009F420B">
        <w:rPr>
          <w:rFonts w:cs="Times New Roman"/>
          <w:lang w:val="fr-CA"/>
        </w:rPr>
        <w:t xml:space="preserve">3139 </w:t>
      </w:r>
      <w:r w:rsidRPr="009F420B">
        <w:rPr>
          <w:rFonts w:cs="Times New Roman"/>
          <w:i/>
          <w:lang w:val="fr-CA"/>
        </w:rPr>
        <w:t>C.c.Q.</w:t>
      </w:r>
      <w:r w:rsidRPr="009F420B">
        <w:rPr>
          <w:rFonts w:cs="Times New Roman"/>
          <w:lang w:val="fr-CA"/>
        </w:rPr>
        <w:t xml:space="preserve">; voir aussi </w:t>
      </w:r>
      <w:r w:rsidRPr="009F420B">
        <w:rPr>
          <w:rFonts w:cs="Times New Roman"/>
          <w:i/>
          <w:lang w:val="fr-CA"/>
        </w:rPr>
        <w:t>Marble Point Energy Ltd.</w:t>
      </w:r>
      <w:r w:rsidRPr="009F420B">
        <w:rPr>
          <w:rFonts w:cs="Times New Roman"/>
          <w:lang w:val="fr-CA"/>
        </w:rPr>
        <w:t xml:space="preserve">, </w:t>
      </w:r>
      <w:r>
        <w:rPr>
          <w:rFonts w:cs="Times New Roman"/>
          <w:lang w:val="fr-CA"/>
        </w:rPr>
        <w:t>par. </w:t>
      </w:r>
      <w:r w:rsidRPr="009F420B">
        <w:rPr>
          <w:rFonts w:cs="Times New Roman"/>
          <w:lang w:val="fr-CA"/>
        </w:rPr>
        <w:t>57</w:t>
      </w:r>
      <w:r>
        <w:rPr>
          <w:rFonts w:cs="Times New Roman"/>
          <w:lang w:val="fr-CA"/>
        </w:rPr>
        <w:noBreakHyphen/>
      </w:r>
      <w:r w:rsidRPr="009F420B">
        <w:rPr>
          <w:rFonts w:cs="Times New Roman"/>
          <w:lang w:val="fr-CA"/>
        </w:rPr>
        <w:t xml:space="preserve">59 et 61. </w:t>
      </w:r>
    </w:p>
    <w:p w:rsidR="00AF6697" w:rsidRPr="009F420B" w:rsidRDefault="00AF6697" w:rsidP="00AF6697">
      <w:pPr>
        <w:pStyle w:val="ParaNoNdepar-AltN"/>
        <w:rPr>
          <w:rFonts w:cs="Times New Roman"/>
          <w:lang w:val="fr-CA"/>
        </w:rPr>
      </w:pPr>
      <w:r w:rsidRPr="009F420B">
        <w:rPr>
          <w:rFonts w:cs="Times New Roman"/>
          <w:lang w:val="fr-CA"/>
        </w:rPr>
        <w:t>Mon collègue le juge Gascon souligne que la poursuite intentée par Knight contre M. Barer n</w:t>
      </w:r>
      <w:r>
        <w:rPr>
          <w:rFonts w:cs="Times New Roman"/>
          <w:lang w:val="fr-CA"/>
        </w:rPr>
        <w:t>’</w:t>
      </w:r>
      <w:r w:rsidRPr="009F420B">
        <w:rPr>
          <w:rFonts w:cs="Times New Roman"/>
          <w:lang w:val="fr-CA"/>
        </w:rPr>
        <w:t>est pas une « demande incidente », mais plutôt une « demande principale » visant conjointement BEC et CBC</w:t>
      </w:r>
      <w:r>
        <w:rPr>
          <w:rFonts w:cs="Times New Roman"/>
          <w:lang w:val="fr-CA"/>
        </w:rPr>
        <w:t> :</w:t>
      </w:r>
      <w:r w:rsidRPr="009F420B">
        <w:rPr>
          <w:rFonts w:cs="Times New Roman"/>
          <w:lang w:val="fr-CA"/>
        </w:rPr>
        <w:t xml:space="preserve"> voir </w:t>
      </w:r>
      <w:r>
        <w:rPr>
          <w:rFonts w:cs="Times New Roman"/>
          <w:lang w:val="fr-CA"/>
        </w:rPr>
        <w:t>par. </w:t>
      </w:r>
      <w:r w:rsidRPr="009F420B">
        <w:rPr>
          <w:rFonts w:cs="Times New Roman"/>
          <w:lang w:val="fr-CA"/>
        </w:rPr>
        <w:t xml:space="preserve">90; voir aussi les motifs de la juge Côté, </w:t>
      </w:r>
      <w:r>
        <w:rPr>
          <w:rFonts w:cs="Times New Roman"/>
          <w:lang w:val="fr-CA"/>
        </w:rPr>
        <w:t>par. </w:t>
      </w:r>
      <w:r w:rsidRPr="009F420B">
        <w:rPr>
          <w:rFonts w:cs="Times New Roman"/>
          <w:lang w:val="fr-CA"/>
        </w:rPr>
        <w:t>275 et 281</w:t>
      </w:r>
      <w:r>
        <w:rPr>
          <w:rFonts w:cs="Times New Roman"/>
          <w:lang w:val="fr-CA"/>
        </w:rPr>
        <w:noBreakHyphen/>
      </w:r>
      <w:r w:rsidRPr="009F420B">
        <w:rPr>
          <w:rFonts w:cs="Times New Roman"/>
          <w:lang w:val="fr-CA"/>
        </w:rPr>
        <w:t>285. À son avis, le fait que M. Barer « est un codéfendeur poursuivi directement » nous empêche de conclure qu</w:t>
      </w:r>
      <w:r>
        <w:rPr>
          <w:rFonts w:cs="Times New Roman"/>
          <w:lang w:val="fr-CA"/>
        </w:rPr>
        <w:t>’</w:t>
      </w:r>
      <w:r w:rsidRPr="009F420B">
        <w:rPr>
          <w:rFonts w:cs="Times New Roman"/>
          <w:lang w:val="fr-CA"/>
        </w:rPr>
        <w:t>il est poursuivi dans le cadre d</w:t>
      </w:r>
      <w:r>
        <w:rPr>
          <w:rFonts w:cs="Times New Roman"/>
          <w:lang w:val="fr-CA"/>
        </w:rPr>
        <w:t>’</w:t>
      </w:r>
      <w:r w:rsidRPr="009F420B">
        <w:rPr>
          <w:rFonts w:cs="Times New Roman"/>
          <w:lang w:val="fr-CA"/>
        </w:rPr>
        <w:t>une procédure qui pourrait être qualifiée de « demande incidente » aux fins de l</w:t>
      </w:r>
      <w:r>
        <w:rPr>
          <w:rFonts w:cs="Times New Roman"/>
          <w:lang w:val="fr-CA"/>
        </w:rPr>
        <w:t>’art. </w:t>
      </w:r>
      <w:r w:rsidRPr="009F420B">
        <w:rPr>
          <w:rFonts w:cs="Times New Roman"/>
          <w:lang w:val="fr-CA"/>
        </w:rPr>
        <w:t xml:space="preserve">3139 </w:t>
      </w:r>
      <w:r w:rsidRPr="009F420B">
        <w:rPr>
          <w:rFonts w:cs="Times New Roman"/>
          <w:i/>
          <w:lang w:val="fr-CA"/>
        </w:rPr>
        <w:t>C.c.Q.</w:t>
      </w:r>
      <w:r>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90. Mon collègue a conclu que si M. Barer avait été ajouté comme codéfendeur à la suite d</w:t>
      </w:r>
      <w:r>
        <w:rPr>
          <w:rFonts w:cs="Times New Roman"/>
          <w:lang w:val="fr-CA"/>
        </w:rPr>
        <w:t>’</w:t>
      </w:r>
      <w:r w:rsidRPr="009F420B">
        <w:rPr>
          <w:rFonts w:cs="Times New Roman"/>
          <w:lang w:val="fr-CA"/>
        </w:rPr>
        <w:t>une intervention forcée après l</w:t>
      </w:r>
      <w:r>
        <w:rPr>
          <w:rFonts w:cs="Times New Roman"/>
          <w:lang w:val="fr-CA"/>
        </w:rPr>
        <w:t>’</w:t>
      </w:r>
      <w:r w:rsidRPr="009F420B">
        <w:rPr>
          <w:rFonts w:cs="Times New Roman"/>
          <w:lang w:val="fr-CA"/>
        </w:rPr>
        <w:t>introduction d</w:t>
      </w:r>
      <w:r>
        <w:rPr>
          <w:rFonts w:cs="Times New Roman"/>
          <w:lang w:val="fr-CA"/>
        </w:rPr>
        <w:t>’</w:t>
      </w:r>
      <w:r w:rsidRPr="009F420B">
        <w:rPr>
          <w:rFonts w:cs="Times New Roman"/>
          <w:lang w:val="fr-CA"/>
        </w:rPr>
        <w:t>une « demande principale » contre BEC ou CBC, ou si une procédure distincte contre M. Barer avait été jointe à la « demande principale » contre BEC ou CBC dans le cadre d</w:t>
      </w:r>
      <w:r>
        <w:rPr>
          <w:rFonts w:cs="Times New Roman"/>
          <w:lang w:val="fr-CA"/>
        </w:rPr>
        <w:t>’</w:t>
      </w:r>
      <w:r w:rsidRPr="009F420B">
        <w:rPr>
          <w:rFonts w:cs="Times New Roman"/>
          <w:lang w:val="fr-CA"/>
        </w:rPr>
        <w:t>une jonction d</w:t>
      </w:r>
      <w:r>
        <w:rPr>
          <w:rFonts w:cs="Times New Roman"/>
          <w:lang w:val="fr-CA"/>
        </w:rPr>
        <w:t>’</w:t>
      </w:r>
      <w:r w:rsidRPr="009F420B">
        <w:rPr>
          <w:rFonts w:cs="Times New Roman"/>
          <w:lang w:val="fr-CA"/>
        </w:rPr>
        <w:t>instances, la poursuite intentée contre lui serait devenue une « demande incidente » aux fins de l</w:t>
      </w:r>
      <w:r>
        <w:rPr>
          <w:rFonts w:cs="Times New Roman"/>
          <w:lang w:val="fr-CA"/>
        </w:rPr>
        <w:t>’art. </w:t>
      </w:r>
      <w:r w:rsidRPr="009F420B">
        <w:rPr>
          <w:rFonts w:cs="Times New Roman"/>
          <w:lang w:val="fr-CA"/>
        </w:rPr>
        <w:t xml:space="preserve">3139 </w:t>
      </w:r>
      <w:r w:rsidRPr="009F420B">
        <w:rPr>
          <w:rFonts w:cs="Times New Roman"/>
          <w:i/>
          <w:lang w:val="fr-CA"/>
        </w:rPr>
        <w:t>C.c.Q.</w:t>
      </w:r>
      <w:r w:rsidRPr="009F420B">
        <w:rPr>
          <w:rFonts w:cs="Times New Roman"/>
          <w:lang w:val="fr-CA"/>
        </w:rPr>
        <w:t xml:space="preserve"> Soit dit en tout respect, selon moi, le fait que M. Barer a été poursuivi directement comme codéfendeur, et non ajouté comme partie après l</w:t>
      </w:r>
      <w:r>
        <w:rPr>
          <w:rFonts w:cs="Times New Roman"/>
          <w:lang w:val="fr-CA"/>
        </w:rPr>
        <w:t>’</w:t>
      </w:r>
      <w:r w:rsidRPr="009F420B">
        <w:rPr>
          <w:rFonts w:cs="Times New Roman"/>
          <w:lang w:val="fr-CA"/>
        </w:rPr>
        <w:t>introduction d</w:t>
      </w:r>
      <w:r>
        <w:rPr>
          <w:rFonts w:cs="Times New Roman"/>
          <w:lang w:val="fr-CA"/>
        </w:rPr>
        <w:t>’</w:t>
      </w:r>
      <w:r w:rsidRPr="009F420B">
        <w:rPr>
          <w:rFonts w:cs="Times New Roman"/>
          <w:lang w:val="fr-CA"/>
        </w:rPr>
        <w:t>une « demande principale » contre BEC ou CBC, constitue une distinction qui n</w:t>
      </w:r>
      <w:r>
        <w:rPr>
          <w:rFonts w:cs="Times New Roman"/>
          <w:lang w:val="fr-CA"/>
        </w:rPr>
        <w:t>’</w:t>
      </w:r>
      <w:r w:rsidRPr="009F420B">
        <w:rPr>
          <w:rFonts w:cs="Times New Roman"/>
          <w:lang w:val="fr-CA"/>
        </w:rPr>
        <w:t>a aucune pertinence juridique sur la compétence du tribunal de l</w:t>
      </w:r>
      <w:r>
        <w:rPr>
          <w:rFonts w:cs="Times New Roman"/>
          <w:lang w:val="fr-CA"/>
        </w:rPr>
        <w:t>’</w:t>
      </w:r>
      <w:r w:rsidRPr="009F420B">
        <w:rPr>
          <w:rFonts w:cs="Times New Roman"/>
          <w:lang w:val="fr-CA"/>
        </w:rPr>
        <w:t>Utah</w:t>
      </w:r>
      <w:r>
        <w:rPr>
          <w:rFonts w:cs="Times New Roman"/>
          <w:lang w:val="fr-CA"/>
        </w:rPr>
        <w:t> :</w:t>
      </w:r>
      <w:r w:rsidRPr="009F420B">
        <w:rPr>
          <w:rFonts w:cs="Times New Roman"/>
          <w:lang w:val="fr-CA"/>
        </w:rPr>
        <w:t xml:space="preserve"> « [peu importe si l</w:t>
      </w:r>
      <w:r>
        <w:rPr>
          <w:rFonts w:cs="Times New Roman"/>
          <w:lang w:val="fr-CA"/>
        </w:rPr>
        <w:t>’</w:t>
      </w:r>
      <w:r w:rsidRPr="009F420B">
        <w:rPr>
          <w:rFonts w:cs="Times New Roman"/>
          <w:lang w:val="fr-CA"/>
        </w:rPr>
        <w:t>on a été] introduit dans l</w:t>
      </w:r>
      <w:r>
        <w:rPr>
          <w:rFonts w:cs="Times New Roman"/>
          <w:lang w:val="fr-CA"/>
        </w:rPr>
        <w:t>’</w:t>
      </w:r>
      <w:r w:rsidRPr="009F420B">
        <w:rPr>
          <w:rFonts w:cs="Times New Roman"/>
          <w:lang w:val="fr-CA"/>
        </w:rPr>
        <w:t>instance dès le début [ou si l</w:t>
      </w:r>
      <w:r>
        <w:rPr>
          <w:rFonts w:cs="Times New Roman"/>
          <w:lang w:val="fr-CA"/>
        </w:rPr>
        <w:t>’</w:t>
      </w:r>
      <w:r w:rsidRPr="009F420B">
        <w:rPr>
          <w:rFonts w:cs="Times New Roman"/>
          <w:lang w:val="fr-CA"/>
        </w:rPr>
        <w:t>on] aurait pu l</w:t>
      </w:r>
      <w:r>
        <w:rPr>
          <w:rFonts w:cs="Times New Roman"/>
          <w:lang w:val="fr-CA"/>
        </w:rPr>
        <w:t>’</w:t>
      </w:r>
      <w:r w:rsidRPr="009F420B">
        <w:rPr>
          <w:rFonts w:cs="Times New Roman"/>
          <w:lang w:val="fr-CA"/>
        </w:rPr>
        <w:t>être en cours d</w:t>
      </w:r>
      <w:r>
        <w:rPr>
          <w:rFonts w:cs="Times New Roman"/>
          <w:lang w:val="fr-CA"/>
        </w:rPr>
        <w:t>’</w:t>
      </w:r>
      <w:r w:rsidRPr="009F420B">
        <w:rPr>
          <w:rFonts w:cs="Times New Roman"/>
          <w:lang w:val="fr-CA"/>
        </w:rPr>
        <w:t>instance sous forme d</w:t>
      </w:r>
      <w:r>
        <w:rPr>
          <w:rFonts w:cs="Times New Roman"/>
          <w:lang w:val="fr-CA"/>
        </w:rPr>
        <w:t>’</w:t>
      </w:r>
      <w:r w:rsidRPr="009F420B">
        <w:rPr>
          <w:rFonts w:cs="Times New Roman"/>
          <w:lang w:val="fr-CA"/>
        </w:rPr>
        <w:t>incident. L</w:t>
      </w:r>
      <w:r>
        <w:rPr>
          <w:rFonts w:cs="Times New Roman"/>
          <w:lang w:val="fr-CA"/>
        </w:rPr>
        <w:t>’</w:t>
      </w:r>
      <w:r w:rsidRPr="009F420B">
        <w:rPr>
          <w:rFonts w:cs="Times New Roman"/>
          <w:lang w:val="fr-CA"/>
        </w:rPr>
        <w:t>objectif est le même</w:t>
      </w:r>
      <w:r>
        <w:rPr>
          <w:rFonts w:cs="Times New Roman"/>
          <w:lang w:val="fr-CA"/>
        </w:rPr>
        <w:t> :</w:t>
      </w:r>
      <w:r w:rsidRPr="009F420B">
        <w:rPr>
          <w:rFonts w:cs="Times New Roman"/>
          <w:lang w:val="fr-CA"/>
        </w:rPr>
        <w:t> permettre une solution complète du li</w:t>
      </w:r>
      <w:r w:rsidR="00570FFA">
        <w:rPr>
          <w:rFonts w:cs="Times New Roman"/>
          <w:lang w:val="fr-CA"/>
        </w:rPr>
        <w:t>tige ou lui opposer le jugement</w:t>
      </w:r>
      <w:r w:rsidRPr="009F420B">
        <w:rPr>
          <w:rFonts w:cs="Times New Roman"/>
          <w:lang w:val="fr-CA"/>
        </w:rPr>
        <w:t> »</w:t>
      </w:r>
      <w:r>
        <w:rPr>
          <w:rFonts w:cs="Times New Roman"/>
          <w:lang w:val="fr-CA"/>
        </w:rPr>
        <w:t> :</w:t>
      </w:r>
      <w:r w:rsidRPr="009F420B">
        <w:rPr>
          <w:rFonts w:cs="Times New Roman"/>
          <w:lang w:val="fr-CA"/>
        </w:rPr>
        <w:t xml:space="preserve"> </w:t>
      </w:r>
      <w:r w:rsidRPr="009F420B">
        <w:rPr>
          <w:rFonts w:cs="Times New Roman"/>
          <w:i/>
          <w:lang w:val="fr-CA"/>
        </w:rPr>
        <w:t>Insta Holding</w:t>
      </w:r>
      <w:r w:rsidRPr="009F420B">
        <w:rPr>
          <w:rFonts w:cs="Times New Roman"/>
          <w:lang w:val="fr-CA"/>
        </w:rPr>
        <w:t>,</w:t>
      </w:r>
      <w:r w:rsidRPr="009F420B">
        <w:rPr>
          <w:rFonts w:cs="Times New Roman"/>
          <w:i/>
          <w:lang w:val="fr-CA"/>
        </w:rPr>
        <w:t xml:space="preserve"> </w:t>
      </w:r>
      <w:r>
        <w:rPr>
          <w:rFonts w:cs="Times New Roman"/>
          <w:lang w:val="fr-CA"/>
        </w:rPr>
        <w:t>par. </w:t>
      </w:r>
      <w:r w:rsidRPr="009F420B">
        <w:rPr>
          <w:rFonts w:cs="Times New Roman"/>
          <w:lang w:val="fr-CA"/>
        </w:rPr>
        <w:t>19.</w:t>
      </w:r>
    </w:p>
    <w:p w:rsidR="00AF6697" w:rsidRPr="009F420B" w:rsidRDefault="00AF6697" w:rsidP="00AF6697">
      <w:pPr>
        <w:pStyle w:val="ParaNoNdepar-AltN"/>
        <w:rPr>
          <w:rFonts w:cs="Times New Roman"/>
          <w:lang w:val="fr-CA"/>
        </w:rPr>
      </w:pPr>
      <w:r w:rsidRPr="009F420B">
        <w:rPr>
          <w:rFonts w:cs="Times New Roman"/>
          <w:lang w:val="fr-CA"/>
        </w:rPr>
        <w:lastRenderedPageBreak/>
        <w:t>Je reconnais que selon le professeur Talpis</w:t>
      </w:r>
      <w:r w:rsidR="00A0354A">
        <w:rPr>
          <w:rFonts w:cs="Times New Roman"/>
          <w:lang w:val="fr-CA"/>
        </w:rPr>
        <w:t>,</w:t>
      </w:r>
      <w:r w:rsidRPr="009F420B">
        <w:rPr>
          <w:rFonts w:cs="Times New Roman"/>
          <w:lang w:val="fr-CA"/>
        </w:rPr>
        <w:t xml:space="preserve"> </w:t>
      </w:r>
      <w:r w:rsidRPr="009F420B">
        <w:rPr>
          <w:rFonts w:cs="Times New Roman"/>
          <w:lang w:val="fr-CA"/>
        </w:rPr>
        <w:sym w:font="Symbol" w:char="F05B"/>
      </w:r>
      <w:r w:rsidRPr="009F420B">
        <w:rPr>
          <w:rFonts w:cs="Times New Roman"/>
          <w:smallCaps/>
          <w:lang w:val="fr-CA"/>
        </w:rPr>
        <w:t>traduction</w:t>
      </w:r>
      <w:r w:rsidRPr="009F420B">
        <w:rPr>
          <w:rFonts w:cs="Times New Roman"/>
          <w:lang w:val="fr-CA"/>
        </w:rPr>
        <w:sym w:font="Symbol" w:char="F05D"/>
      </w:r>
      <w:r w:rsidRPr="009F420B">
        <w:rPr>
          <w:rFonts w:cs="Times New Roman"/>
          <w:lang w:val="fr-CA"/>
        </w:rPr>
        <w:t xml:space="preserve"> « l</w:t>
      </w:r>
      <w:r>
        <w:rPr>
          <w:rFonts w:cs="Times New Roman"/>
          <w:lang w:val="fr-CA"/>
        </w:rPr>
        <w:t>’art. </w:t>
      </w:r>
      <w:r w:rsidRPr="009F420B">
        <w:rPr>
          <w:rFonts w:cs="Times New Roman"/>
          <w:lang w:val="fr-CA"/>
        </w:rPr>
        <w:t>3139 </w:t>
      </w:r>
      <w:r w:rsidRPr="00A0354A">
        <w:rPr>
          <w:rFonts w:cs="Times New Roman"/>
          <w:lang w:val="fr-CA"/>
        </w:rPr>
        <w:t>C.c.Q.</w:t>
      </w:r>
      <w:r w:rsidRPr="009F420B">
        <w:rPr>
          <w:rFonts w:cs="Times New Roman"/>
          <w:lang w:val="fr-CA"/>
        </w:rPr>
        <w:t xml:space="preserve"> ne permet pas à un tribunal de se déclarer compétent à l</w:t>
      </w:r>
      <w:r>
        <w:rPr>
          <w:rFonts w:cs="Times New Roman"/>
          <w:lang w:val="fr-CA"/>
        </w:rPr>
        <w:t>’</w:t>
      </w:r>
      <w:r w:rsidRPr="009F420B">
        <w:rPr>
          <w:rFonts w:cs="Times New Roman"/>
          <w:lang w:val="fr-CA"/>
        </w:rPr>
        <w:t>endroit d</w:t>
      </w:r>
      <w:r>
        <w:rPr>
          <w:rFonts w:cs="Times New Roman"/>
          <w:lang w:val="fr-CA"/>
        </w:rPr>
        <w:t>’</w:t>
      </w:r>
      <w:r w:rsidRPr="009F420B">
        <w:rPr>
          <w:rFonts w:cs="Times New Roman"/>
          <w:lang w:val="fr-CA"/>
        </w:rPr>
        <w:t>un codéfendeur à l</w:t>
      </w:r>
      <w:r>
        <w:rPr>
          <w:rFonts w:cs="Times New Roman"/>
          <w:lang w:val="fr-CA"/>
        </w:rPr>
        <w:t>’</w:t>
      </w:r>
      <w:r w:rsidRPr="009F420B">
        <w:rPr>
          <w:rFonts w:cs="Times New Roman"/>
          <w:lang w:val="fr-CA"/>
        </w:rPr>
        <w:t>égard duquel il n</w:t>
      </w:r>
      <w:r>
        <w:rPr>
          <w:rFonts w:cs="Times New Roman"/>
          <w:lang w:val="fr-CA"/>
        </w:rPr>
        <w:t>’</w:t>
      </w:r>
      <w:r w:rsidRPr="009F420B">
        <w:rPr>
          <w:rFonts w:cs="Times New Roman"/>
          <w:lang w:val="fr-CA"/>
        </w:rPr>
        <w:t xml:space="preserve">a pas compétence du </w:t>
      </w:r>
      <w:r w:rsidRPr="009F420B">
        <w:rPr>
          <w:rFonts w:cs="Times New Roman"/>
          <w:u w:val="single"/>
          <w:lang w:val="fr-CA"/>
        </w:rPr>
        <w:t>seul</w:t>
      </w:r>
      <w:r w:rsidRPr="009F420B">
        <w:rPr>
          <w:rFonts w:cs="Times New Roman"/>
          <w:lang w:val="fr-CA"/>
        </w:rPr>
        <w:t xml:space="preserve"> fait qu</w:t>
      </w:r>
      <w:r>
        <w:rPr>
          <w:rFonts w:cs="Times New Roman"/>
          <w:lang w:val="fr-CA"/>
        </w:rPr>
        <w:t>’</w:t>
      </w:r>
      <w:r w:rsidRPr="009F420B">
        <w:rPr>
          <w:rFonts w:cs="Times New Roman"/>
          <w:lang w:val="fr-CA"/>
        </w:rPr>
        <w:t>il a compétence sur l</w:t>
      </w:r>
      <w:r>
        <w:rPr>
          <w:rFonts w:cs="Times New Roman"/>
          <w:lang w:val="fr-CA"/>
        </w:rPr>
        <w:t>’</w:t>
      </w:r>
      <w:r w:rsidRPr="009F420B">
        <w:rPr>
          <w:rFonts w:cs="Times New Roman"/>
          <w:lang w:val="fr-CA"/>
        </w:rPr>
        <w:t>autre défendeur »</w:t>
      </w:r>
      <w:r>
        <w:rPr>
          <w:rFonts w:cs="Times New Roman"/>
          <w:lang w:val="fr-CA"/>
        </w:rPr>
        <w:t> :</w:t>
      </w:r>
      <w:r w:rsidRPr="009F420B">
        <w:rPr>
          <w:rFonts w:cs="Times New Roman"/>
          <w:lang w:val="fr-CA"/>
        </w:rPr>
        <w:t xml:space="preserve"> </w:t>
      </w:r>
      <w:r>
        <w:rPr>
          <w:rFonts w:cs="Times New Roman"/>
          <w:lang w:val="fr-CA"/>
        </w:rPr>
        <w:t>p. </w:t>
      </w:r>
      <w:r w:rsidRPr="009F420B">
        <w:rPr>
          <w:rFonts w:cs="Times New Roman"/>
          <w:lang w:val="fr-CA"/>
        </w:rPr>
        <w:t>37</w:t>
      </w:r>
      <w:r>
        <w:rPr>
          <w:rFonts w:cs="Times New Roman"/>
          <w:lang w:val="fr-CA"/>
        </w:rPr>
        <w:noBreakHyphen/>
      </w:r>
      <w:r w:rsidRPr="009F420B">
        <w:rPr>
          <w:rFonts w:cs="Times New Roman"/>
          <w:lang w:val="fr-CA"/>
        </w:rPr>
        <w:t xml:space="preserve">38 (note en bas de page 43) (je souligne), citant la décision </w:t>
      </w:r>
      <w:r w:rsidRPr="009F420B">
        <w:rPr>
          <w:rFonts w:cs="Times New Roman"/>
          <w:i/>
          <w:lang w:val="fr-CA"/>
        </w:rPr>
        <w:t>Sorel</w:t>
      </w:r>
      <w:r>
        <w:rPr>
          <w:rFonts w:cs="Times New Roman"/>
          <w:i/>
          <w:lang w:val="fr-CA"/>
        </w:rPr>
        <w:noBreakHyphen/>
      </w:r>
      <w:r w:rsidRPr="009F420B">
        <w:rPr>
          <w:rFonts w:cs="Times New Roman"/>
          <w:i/>
          <w:lang w:val="fr-CA"/>
        </w:rPr>
        <w:t>Tracy Terminal Maritime c. F.S.L. Ltd.</w:t>
      </w:r>
      <w:r w:rsidRPr="009F420B">
        <w:rPr>
          <w:rFonts w:cs="Times New Roman"/>
          <w:lang w:val="fr-CA"/>
        </w:rPr>
        <w:t>, J.E. 2001</w:t>
      </w:r>
      <w:r>
        <w:rPr>
          <w:rFonts w:cs="Times New Roman"/>
          <w:lang w:val="fr-CA"/>
        </w:rPr>
        <w:noBreakHyphen/>
      </w:r>
      <w:r w:rsidR="000C5BEA">
        <w:rPr>
          <w:rFonts w:cs="Times New Roman"/>
          <w:lang w:val="fr-CA"/>
        </w:rPr>
        <w:t xml:space="preserve">641 (C.S. Qc); voir aussi </w:t>
      </w:r>
      <w:r w:rsidRPr="009F420B">
        <w:rPr>
          <w:rFonts w:cs="Times New Roman"/>
          <w:lang w:val="fr-CA"/>
        </w:rPr>
        <w:t xml:space="preserve">Glenn, « Droit international privé », </w:t>
      </w:r>
      <w:r>
        <w:rPr>
          <w:rFonts w:cs="Times New Roman"/>
          <w:lang w:val="fr-CA"/>
        </w:rPr>
        <w:t>p. </w:t>
      </w:r>
      <w:r w:rsidRPr="009F420B">
        <w:rPr>
          <w:rFonts w:cs="Times New Roman"/>
          <w:lang w:val="fr-CA"/>
        </w:rPr>
        <w:t>748; Ta</w:t>
      </w:r>
      <w:r w:rsidR="00570FFA">
        <w:rPr>
          <w:rFonts w:cs="Times New Roman"/>
          <w:lang w:val="fr-CA"/>
        </w:rPr>
        <w:t>l</w:t>
      </w:r>
      <w:r w:rsidRPr="009F420B">
        <w:rPr>
          <w:rFonts w:cs="Times New Roman"/>
          <w:lang w:val="fr-CA"/>
        </w:rPr>
        <w:t>pis et Castel, n</w:t>
      </w:r>
      <w:r w:rsidRPr="009F420B">
        <w:rPr>
          <w:rFonts w:cs="Times New Roman"/>
          <w:vertAlign w:val="superscript"/>
          <w:lang w:val="fr-CA"/>
        </w:rPr>
        <w:t>o</w:t>
      </w:r>
      <w:r w:rsidRPr="009F420B">
        <w:rPr>
          <w:rFonts w:cs="Times New Roman"/>
          <w:lang w:val="fr-CA"/>
        </w:rPr>
        <w:t> 437. À mon avis, il est permis aujourd</w:t>
      </w:r>
      <w:r>
        <w:rPr>
          <w:rFonts w:cs="Times New Roman"/>
          <w:lang w:val="fr-CA"/>
        </w:rPr>
        <w:t>’</w:t>
      </w:r>
      <w:r w:rsidRPr="009F420B">
        <w:rPr>
          <w:rFonts w:cs="Times New Roman"/>
          <w:lang w:val="fr-CA"/>
        </w:rPr>
        <w:t>hui de douter du bien</w:t>
      </w:r>
      <w:r>
        <w:rPr>
          <w:rFonts w:cs="Times New Roman"/>
          <w:lang w:val="fr-CA"/>
        </w:rPr>
        <w:noBreakHyphen/>
      </w:r>
      <w:r w:rsidRPr="009F420B">
        <w:rPr>
          <w:rFonts w:cs="Times New Roman"/>
          <w:lang w:val="fr-CA"/>
        </w:rPr>
        <w:t>fondé de cette affirmation, puisqu</w:t>
      </w:r>
      <w:r>
        <w:rPr>
          <w:rFonts w:cs="Times New Roman"/>
          <w:lang w:val="fr-CA"/>
        </w:rPr>
        <w:t>’</w:t>
      </w:r>
      <w:r w:rsidRPr="009F420B">
        <w:rPr>
          <w:rFonts w:cs="Times New Roman"/>
          <w:lang w:val="fr-CA"/>
        </w:rPr>
        <w:t>elle repose sur des décisions portant que l</w:t>
      </w:r>
      <w:r>
        <w:rPr>
          <w:rFonts w:cs="Times New Roman"/>
          <w:lang w:val="fr-CA"/>
        </w:rPr>
        <w:t>’art. </w:t>
      </w:r>
      <w:r w:rsidR="00570FFA">
        <w:rPr>
          <w:rFonts w:cs="Times New Roman"/>
          <w:lang w:val="fr-CA"/>
        </w:rPr>
        <w:t xml:space="preserve">75 ancien </w:t>
      </w:r>
      <w:r w:rsidRPr="009F420B">
        <w:rPr>
          <w:rFonts w:cs="Times New Roman"/>
          <w:i/>
          <w:lang w:val="fr-CA"/>
        </w:rPr>
        <w:t>C.p.c</w:t>
      </w:r>
      <w:r w:rsidR="009801EC">
        <w:rPr>
          <w:rFonts w:cs="Times New Roman"/>
          <w:i/>
          <w:lang w:val="fr-CA"/>
        </w:rPr>
        <w:t>.</w:t>
      </w:r>
      <w:r w:rsidRPr="009801EC">
        <w:rPr>
          <w:rStyle w:val="Hyperlink"/>
          <w:u w:val="none"/>
          <w:vertAlign w:val="superscript"/>
        </w:rPr>
        <w:footnoteReference w:id="7"/>
      </w:r>
      <w:r w:rsidRPr="009801EC">
        <w:rPr>
          <w:rFonts w:cs="Times New Roman"/>
          <w:lang w:val="fr-CA"/>
        </w:rPr>
        <w:t xml:space="preserve"> </w:t>
      </w:r>
      <w:r w:rsidRPr="009F420B">
        <w:rPr>
          <w:rFonts w:cs="Times New Roman"/>
          <w:lang w:val="fr-CA"/>
        </w:rPr>
        <w:t>ne s</w:t>
      </w:r>
      <w:r>
        <w:rPr>
          <w:rFonts w:cs="Times New Roman"/>
          <w:lang w:val="fr-CA"/>
        </w:rPr>
        <w:t>’</w:t>
      </w:r>
      <w:r w:rsidRPr="009F420B">
        <w:rPr>
          <w:rFonts w:cs="Times New Roman"/>
          <w:lang w:val="fr-CA"/>
        </w:rPr>
        <w:t>appliquait pas en matière de droit international privé, en raison de l</w:t>
      </w:r>
      <w:r>
        <w:rPr>
          <w:rFonts w:cs="Times New Roman"/>
          <w:lang w:val="fr-CA"/>
        </w:rPr>
        <w:t>’</w:t>
      </w:r>
      <w:r w:rsidRPr="009F420B">
        <w:rPr>
          <w:rFonts w:cs="Times New Roman"/>
          <w:lang w:val="fr-CA"/>
        </w:rPr>
        <w:t>emploi dans cette disposition du mot « district » (qui a été interprété comme un mot renvoyant à un des districts de la province de Québec seulement)</w:t>
      </w:r>
      <w:r>
        <w:rPr>
          <w:rFonts w:cs="Times New Roman"/>
          <w:lang w:val="fr-CA"/>
        </w:rPr>
        <w:t> :</w:t>
      </w:r>
      <w:r w:rsidRPr="009F420B">
        <w:rPr>
          <w:rFonts w:cs="Times New Roman"/>
          <w:lang w:val="fr-CA"/>
        </w:rPr>
        <w:t xml:space="preserve"> </w:t>
      </w:r>
      <w:r w:rsidRPr="009F420B">
        <w:rPr>
          <w:rFonts w:cs="Times New Roman"/>
          <w:i/>
          <w:lang w:val="fr-CA"/>
        </w:rPr>
        <w:t xml:space="preserve">Trower </w:t>
      </w:r>
      <w:r w:rsidR="00270FB4">
        <w:rPr>
          <w:rFonts w:cs="Times New Roman"/>
          <w:i/>
          <w:lang w:val="fr-CA"/>
        </w:rPr>
        <w:t>and</w:t>
      </w:r>
      <w:r w:rsidRPr="009F420B">
        <w:rPr>
          <w:rFonts w:cs="Times New Roman"/>
          <w:i/>
          <w:lang w:val="fr-CA"/>
        </w:rPr>
        <w:t xml:space="preserve"> Sons</w:t>
      </w:r>
      <w:r w:rsidR="00270FB4">
        <w:rPr>
          <w:rFonts w:cs="Times New Roman"/>
          <w:i/>
          <w:lang w:val="fr-CA"/>
        </w:rPr>
        <w:t>,</w:t>
      </w:r>
      <w:r w:rsidRPr="009F420B">
        <w:rPr>
          <w:rFonts w:cs="Times New Roman"/>
          <w:i/>
          <w:lang w:val="fr-CA"/>
        </w:rPr>
        <w:t xml:space="preserve"> L</w:t>
      </w:r>
      <w:r w:rsidR="00507CC0">
        <w:rPr>
          <w:rFonts w:cs="Times New Roman"/>
          <w:i/>
          <w:lang w:val="fr-CA"/>
        </w:rPr>
        <w:t>t</w:t>
      </w:r>
      <w:r w:rsidRPr="009F420B">
        <w:rPr>
          <w:rFonts w:cs="Times New Roman"/>
          <w:i/>
          <w:lang w:val="fr-CA"/>
        </w:rPr>
        <w:t>d. c. Ripstein</w:t>
      </w:r>
      <w:r w:rsidRPr="009F420B">
        <w:rPr>
          <w:rFonts w:cs="Times New Roman"/>
          <w:lang w:val="fr-CA"/>
        </w:rPr>
        <w:t xml:space="preserve">, [1944] A.C. 254 (C.P.); </w:t>
      </w:r>
      <w:r w:rsidRPr="009F420B">
        <w:rPr>
          <w:rFonts w:cs="Times New Roman"/>
          <w:i/>
          <w:lang w:val="fr-CA"/>
        </w:rPr>
        <w:t>Cornwall Chrysler Plymouth Ltd. c. Lapolla</w:t>
      </w:r>
      <w:r w:rsidRPr="009F420B">
        <w:rPr>
          <w:rFonts w:cs="Times New Roman"/>
          <w:lang w:val="fr-CA"/>
        </w:rPr>
        <w:t>, [1974] C.A. 490; H. </w:t>
      </w:r>
      <w:r>
        <w:rPr>
          <w:rFonts w:cs="Times New Roman"/>
          <w:lang w:val="fr-CA"/>
        </w:rPr>
        <w:t>P. </w:t>
      </w:r>
      <w:r w:rsidRPr="009F420B">
        <w:rPr>
          <w:rFonts w:cs="Times New Roman"/>
          <w:lang w:val="fr-CA"/>
        </w:rPr>
        <w:t xml:space="preserve">Glenn, « La compétence internationale et le fabricant étranger » (1985), 45 </w:t>
      </w:r>
      <w:r w:rsidRPr="009F420B">
        <w:rPr>
          <w:rFonts w:cs="Times New Roman"/>
          <w:i/>
          <w:lang w:val="fr-CA"/>
        </w:rPr>
        <w:t>R. du B.</w:t>
      </w:r>
      <w:r w:rsidRPr="009F420B">
        <w:rPr>
          <w:rFonts w:cs="Times New Roman"/>
          <w:lang w:val="fr-CA"/>
        </w:rPr>
        <w:t xml:space="preserve"> 567, </w:t>
      </w:r>
      <w:r>
        <w:rPr>
          <w:rFonts w:cs="Times New Roman"/>
          <w:lang w:val="fr-CA"/>
        </w:rPr>
        <w:t>p. </w:t>
      </w:r>
      <w:r w:rsidRPr="009F420B">
        <w:rPr>
          <w:rFonts w:cs="Times New Roman"/>
          <w:lang w:val="fr-CA"/>
        </w:rPr>
        <w:t>570</w:t>
      </w:r>
      <w:r>
        <w:rPr>
          <w:rFonts w:cs="Times New Roman"/>
          <w:lang w:val="fr-CA"/>
        </w:rPr>
        <w:noBreakHyphen/>
      </w:r>
      <w:r w:rsidRPr="009F420B">
        <w:rPr>
          <w:rFonts w:cs="Times New Roman"/>
          <w:lang w:val="fr-CA"/>
        </w:rPr>
        <w:t>571; Emanuelli, n</w:t>
      </w:r>
      <w:r w:rsidRPr="009F420B">
        <w:rPr>
          <w:rFonts w:cs="Times New Roman"/>
          <w:vertAlign w:val="superscript"/>
          <w:lang w:val="fr-CA"/>
        </w:rPr>
        <w:t>o</w:t>
      </w:r>
      <w:r w:rsidRPr="009F420B">
        <w:rPr>
          <w:rFonts w:cs="Times New Roman"/>
          <w:lang w:val="fr-CA"/>
        </w:rPr>
        <w:t xml:space="preserve"> 173. </w:t>
      </w:r>
    </w:p>
    <w:p w:rsidR="00AF6697" w:rsidRPr="009F420B" w:rsidRDefault="00AF6697" w:rsidP="00AF6697">
      <w:pPr>
        <w:pStyle w:val="ParaNoNdepar-AltN"/>
        <w:rPr>
          <w:rFonts w:cs="Times New Roman"/>
          <w:lang w:val="fr-CA"/>
        </w:rPr>
      </w:pPr>
      <w:r w:rsidRPr="009F420B">
        <w:rPr>
          <w:rFonts w:cs="Times New Roman"/>
          <w:lang w:val="fr-CA"/>
        </w:rPr>
        <w:t>Avant l</w:t>
      </w:r>
      <w:r>
        <w:rPr>
          <w:rFonts w:cs="Times New Roman"/>
          <w:lang w:val="fr-CA"/>
        </w:rPr>
        <w:t>’</w:t>
      </w:r>
      <w:r w:rsidRPr="009F420B">
        <w:rPr>
          <w:rFonts w:cs="Times New Roman"/>
          <w:lang w:val="fr-CA"/>
        </w:rPr>
        <w:t xml:space="preserve">adoption du </w:t>
      </w:r>
      <w:r w:rsidRPr="009F420B">
        <w:rPr>
          <w:rFonts w:cs="Times New Roman"/>
          <w:i/>
          <w:lang w:val="fr-CA"/>
        </w:rPr>
        <w:t>Code civil</w:t>
      </w:r>
      <w:r w:rsidRPr="009F420B">
        <w:rPr>
          <w:rFonts w:cs="Times New Roman"/>
          <w:lang w:val="fr-CA"/>
        </w:rPr>
        <w:t xml:space="preserve"> en 1994, la compétence internationale des tribunaux québécois était effectivement régie par l</w:t>
      </w:r>
      <w:r>
        <w:rPr>
          <w:rFonts w:cs="Times New Roman"/>
          <w:lang w:val="fr-CA"/>
        </w:rPr>
        <w:t>’</w:t>
      </w:r>
      <w:r w:rsidRPr="009F420B">
        <w:rPr>
          <w:rFonts w:cs="Times New Roman"/>
          <w:lang w:val="fr-CA"/>
        </w:rPr>
        <w:t>a</w:t>
      </w:r>
      <w:r w:rsidR="00570FFA">
        <w:rPr>
          <w:rFonts w:cs="Times New Roman"/>
          <w:lang w:val="fr-CA"/>
        </w:rPr>
        <w:t xml:space="preserve">ncien </w:t>
      </w:r>
      <w:r w:rsidRPr="009F420B">
        <w:rPr>
          <w:rFonts w:cs="Times New Roman"/>
          <w:i/>
          <w:lang w:val="fr-CA"/>
        </w:rPr>
        <w:t xml:space="preserve">C.p.c. </w:t>
      </w:r>
      <w:r w:rsidRPr="009F420B">
        <w:rPr>
          <w:rFonts w:cs="Times New Roman"/>
          <w:lang w:val="fr-CA"/>
        </w:rPr>
        <w:t xml:space="preserve">Le </w:t>
      </w:r>
      <w:r w:rsidRPr="009F420B">
        <w:rPr>
          <w:rFonts w:cs="Times New Roman"/>
          <w:i/>
          <w:lang w:val="fr-CA"/>
        </w:rPr>
        <w:t>Code civil</w:t>
      </w:r>
      <w:r w:rsidRPr="009F420B">
        <w:rPr>
          <w:rFonts w:cs="Times New Roman"/>
          <w:lang w:val="fr-CA"/>
        </w:rPr>
        <w:t xml:space="preserve"> renferme désormais à son livre dixième un code régissant le droit international privé, dont les règles « subsum[e]nt ou complèt[e]nt les règles de procédure civile prescrites par [l</w:t>
      </w:r>
      <w:r>
        <w:rPr>
          <w:rFonts w:cs="Times New Roman"/>
          <w:lang w:val="fr-CA"/>
        </w:rPr>
        <w:t>’</w:t>
      </w:r>
      <w:r w:rsidR="00570FFA">
        <w:rPr>
          <w:rFonts w:cs="Times New Roman"/>
          <w:lang w:val="fr-CA"/>
        </w:rPr>
        <w:t xml:space="preserve">ancien </w:t>
      </w:r>
      <w:r w:rsidRPr="009F420B">
        <w:rPr>
          <w:rFonts w:cs="Times New Roman"/>
          <w:i/>
          <w:lang w:val="fr-CA"/>
        </w:rPr>
        <w:t>C.p.c.</w:t>
      </w:r>
      <w:r w:rsidRPr="009F420B">
        <w:rPr>
          <w:rFonts w:cs="Times New Roman"/>
          <w:lang w:val="fr-CA"/>
        </w:rPr>
        <w:t>] »</w:t>
      </w:r>
      <w:r>
        <w:rPr>
          <w:rFonts w:cs="Times New Roman"/>
          <w:lang w:val="fr-CA"/>
        </w:rPr>
        <w:t> :</w:t>
      </w:r>
      <w:r w:rsidRPr="009F420B">
        <w:rPr>
          <w:rFonts w:cs="Times New Roman"/>
          <w:lang w:val="fr-CA"/>
        </w:rPr>
        <w:t xml:space="preserve"> </w:t>
      </w:r>
      <w:r w:rsidRPr="009F420B">
        <w:rPr>
          <w:rFonts w:cs="Times New Roman"/>
          <w:i/>
          <w:lang w:val="fr-CA"/>
        </w:rPr>
        <w:t>Spar</w:t>
      </w:r>
      <w:r w:rsidRPr="009F420B">
        <w:rPr>
          <w:rFonts w:cs="Times New Roman"/>
          <w:lang w:val="fr-CA"/>
        </w:rPr>
        <w:t xml:space="preserve">, </w:t>
      </w:r>
      <w:r>
        <w:rPr>
          <w:rFonts w:cs="Times New Roman"/>
          <w:lang w:val="fr-CA"/>
        </w:rPr>
        <w:t>par. </w:t>
      </w:r>
      <w:r w:rsidRPr="009F420B">
        <w:rPr>
          <w:rFonts w:cs="Times New Roman"/>
          <w:lang w:val="fr-CA"/>
        </w:rPr>
        <w:t xml:space="preserve">22. Dès lors, « il faut examiner la jurisprudence appliquant les principes qui prévalaient antérieurement à la réforme du </w:t>
      </w:r>
      <w:r w:rsidRPr="009F420B">
        <w:rPr>
          <w:rFonts w:cs="Times New Roman"/>
          <w:i/>
          <w:lang w:val="fr-CA"/>
        </w:rPr>
        <w:t>Code civil</w:t>
      </w:r>
      <w:r w:rsidRPr="009F420B">
        <w:rPr>
          <w:rFonts w:cs="Times New Roman"/>
          <w:lang w:val="fr-CA"/>
        </w:rPr>
        <w:t xml:space="preserve"> avec prudence lorsque vient le temps d</w:t>
      </w:r>
      <w:r>
        <w:rPr>
          <w:rFonts w:cs="Times New Roman"/>
          <w:lang w:val="fr-CA"/>
        </w:rPr>
        <w:t>’</w:t>
      </w:r>
      <w:r w:rsidRPr="009F420B">
        <w:rPr>
          <w:rFonts w:cs="Times New Roman"/>
          <w:lang w:val="fr-CA"/>
        </w:rPr>
        <w:t>apprécier la portée de l</w:t>
      </w:r>
      <w:r>
        <w:rPr>
          <w:rFonts w:cs="Times New Roman"/>
          <w:lang w:val="fr-CA"/>
        </w:rPr>
        <w:t>’art. </w:t>
      </w:r>
      <w:r w:rsidRPr="009F420B">
        <w:rPr>
          <w:rFonts w:cs="Times New Roman"/>
          <w:lang w:val="fr-CA"/>
        </w:rPr>
        <w:t xml:space="preserve">3139 </w:t>
      </w:r>
      <w:r w:rsidRPr="009F420B">
        <w:rPr>
          <w:rFonts w:cs="Times New Roman"/>
          <w:i/>
          <w:lang w:val="fr-CA"/>
        </w:rPr>
        <w:t>C.c.Q.</w:t>
      </w:r>
      <w:r w:rsidRPr="009F420B">
        <w:rPr>
          <w:rFonts w:cs="Times New Roman"/>
          <w:lang w:val="fr-CA"/>
        </w:rPr>
        <w:t> »</w:t>
      </w:r>
      <w:r>
        <w:rPr>
          <w:rFonts w:cs="Times New Roman"/>
          <w:lang w:val="fr-CA"/>
        </w:rPr>
        <w:t> :</w:t>
      </w:r>
      <w:r w:rsidRPr="009F420B">
        <w:rPr>
          <w:rFonts w:cs="Times New Roman"/>
          <w:lang w:val="fr-CA"/>
        </w:rPr>
        <w:t xml:space="preserve"> </w:t>
      </w:r>
      <w:r w:rsidRPr="009F420B">
        <w:rPr>
          <w:rFonts w:cs="Times New Roman"/>
          <w:i/>
          <w:lang w:val="fr-CA"/>
        </w:rPr>
        <w:t>GreCon</w:t>
      </w:r>
      <w:r w:rsidRPr="009F420B">
        <w:rPr>
          <w:rFonts w:cs="Times New Roman"/>
          <w:lang w:val="fr-CA"/>
        </w:rPr>
        <w:t xml:space="preserve">, </w:t>
      </w:r>
      <w:r>
        <w:rPr>
          <w:rFonts w:cs="Times New Roman"/>
          <w:lang w:val="fr-CA"/>
        </w:rPr>
        <w:lastRenderedPageBreak/>
        <w:t>par. </w:t>
      </w:r>
      <w:r w:rsidRPr="009F420B">
        <w:rPr>
          <w:rFonts w:cs="Times New Roman"/>
          <w:lang w:val="fr-CA"/>
        </w:rPr>
        <w:t>56. De plus, cette interprétation de l</w:t>
      </w:r>
      <w:r>
        <w:rPr>
          <w:rFonts w:cs="Times New Roman"/>
          <w:lang w:val="fr-CA"/>
        </w:rPr>
        <w:t>’art. </w:t>
      </w:r>
      <w:r w:rsidR="00570FFA">
        <w:rPr>
          <w:rFonts w:cs="Times New Roman"/>
          <w:lang w:val="fr-CA"/>
        </w:rPr>
        <w:t xml:space="preserve">75 ancien </w:t>
      </w:r>
      <w:r w:rsidRPr="009F420B">
        <w:rPr>
          <w:rFonts w:cs="Times New Roman"/>
          <w:i/>
          <w:lang w:val="fr-CA"/>
        </w:rPr>
        <w:t>C.p.c.</w:t>
      </w:r>
      <w:r w:rsidRPr="009F420B">
        <w:rPr>
          <w:rFonts w:cs="Times New Roman"/>
          <w:lang w:val="fr-CA"/>
        </w:rPr>
        <w:t xml:space="preserve"> ne faisait pas l</w:t>
      </w:r>
      <w:r>
        <w:rPr>
          <w:rFonts w:cs="Times New Roman"/>
          <w:lang w:val="fr-CA"/>
        </w:rPr>
        <w:t>’</w:t>
      </w:r>
      <w:r w:rsidRPr="009F420B">
        <w:rPr>
          <w:rFonts w:cs="Times New Roman"/>
          <w:lang w:val="fr-CA"/>
        </w:rPr>
        <w:t>unanimité</w:t>
      </w:r>
      <w:r>
        <w:rPr>
          <w:rFonts w:cs="Times New Roman"/>
          <w:lang w:val="fr-CA"/>
        </w:rPr>
        <w:t> :</w:t>
      </w:r>
      <w:r w:rsidR="00570FFA">
        <w:rPr>
          <w:rFonts w:cs="Times New Roman"/>
          <w:lang w:val="fr-CA"/>
        </w:rPr>
        <w:t xml:space="preserve"> voir, p.</w:t>
      </w:r>
      <w:r w:rsidRPr="009F420B">
        <w:rPr>
          <w:rFonts w:cs="Times New Roman"/>
          <w:lang w:val="fr-CA"/>
        </w:rPr>
        <w:t xml:space="preserve"> ex., </w:t>
      </w:r>
      <w:r w:rsidRPr="009F420B">
        <w:rPr>
          <w:rFonts w:cs="Times New Roman"/>
          <w:i/>
          <w:lang w:val="fr-CA"/>
        </w:rPr>
        <w:t>Municipalité du village de St</w:t>
      </w:r>
      <w:r>
        <w:rPr>
          <w:rFonts w:cs="Times New Roman"/>
          <w:i/>
          <w:lang w:val="fr-CA"/>
        </w:rPr>
        <w:noBreakHyphen/>
      </w:r>
      <w:r w:rsidRPr="009F420B">
        <w:rPr>
          <w:rFonts w:cs="Times New Roman"/>
          <w:i/>
          <w:lang w:val="fr-CA"/>
        </w:rPr>
        <w:t>Victor c. Allianz du Canada</w:t>
      </w:r>
      <w:r w:rsidRPr="009F420B">
        <w:rPr>
          <w:rFonts w:cs="Times New Roman"/>
          <w:lang w:val="fr-CA"/>
        </w:rPr>
        <w:t xml:space="preserve">, [1996] R.D.J. 123 (C.A.); voir aussi H. Kélada, </w:t>
      </w:r>
      <w:r w:rsidRPr="009F420B">
        <w:rPr>
          <w:rFonts w:cs="Times New Roman"/>
          <w:i/>
          <w:lang w:val="fr-CA"/>
        </w:rPr>
        <w:t>Les conflits de compétences et la reconnaissance des jugements étrangers en droit international privé</w:t>
      </w:r>
      <w:r w:rsidR="009801EC">
        <w:rPr>
          <w:rFonts w:cs="Times New Roman"/>
          <w:i/>
          <w:lang w:val="fr-CA"/>
        </w:rPr>
        <w:t xml:space="preserve"> québécois</w:t>
      </w:r>
      <w:r w:rsidRPr="009F420B">
        <w:rPr>
          <w:rFonts w:cs="Times New Roman"/>
          <w:i/>
          <w:lang w:val="fr-CA"/>
        </w:rPr>
        <w:t xml:space="preserve"> </w:t>
      </w:r>
      <w:r w:rsidRPr="009F420B">
        <w:rPr>
          <w:rFonts w:cs="Times New Roman"/>
          <w:lang w:val="fr-CA"/>
        </w:rPr>
        <w:t xml:space="preserve">(2001), </w:t>
      </w:r>
      <w:r>
        <w:rPr>
          <w:rFonts w:cs="Times New Roman"/>
          <w:lang w:val="fr-CA"/>
        </w:rPr>
        <w:t>p. </w:t>
      </w:r>
      <w:r w:rsidRPr="009F420B">
        <w:rPr>
          <w:rFonts w:cs="Times New Roman"/>
          <w:lang w:val="fr-CA"/>
        </w:rPr>
        <w:t>44 (suivant lequel l</w:t>
      </w:r>
      <w:r>
        <w:rPr>
          <w:rFonts w:cs="Times New Roman"/>
          <w:lang w:val="fr-CA"/>
        </w:rPr>
        <w:t>’art. </w:t>
      </w:r>
      <w:r w:rsidR="00570FFA">
        <w:rPr>
          <w:rFonts w:cs="Times New Roman"/>
          <w:lang w:val="fr-CA"/>
        </w:rPr>
        <w:t xml:space="preserve">75 ancien </w:t>
      </w:r>
      <w:r w:rsidRPr="009F420B">
        <w:rPr>
          <w:rFonts w:cs="Times New Roman"/>
          <w:i/>
          <w:lang w:val="fr-CA"/>
        </w:rPr>
        <w:t>C.p.c.</w:t>
      </w:r>
      <w:r w:rsidRPr="009F420B">
        <w:rPr>
          <w:rFonts w:cs="Times New Roman"/>
          <w:lang w:val="fr-CA"/>
        </w:rPr>
        <w:t xml:space="preserve"> devait également s</w:t>
      </w:r>
      <w:r>
        <w:rPr>
          <w:rFonts w:cs="Times New Roman"/>
          <w:lang w:val="fr-CA"/>
        </w:rPr>
        <w:t>’</w:t>
      </w:r>
      <w:r w:rsidRPr="009F420B">
        <w:rPr>
          <w:rFonts w:cs="Times New Roman"/>
          <w:lang w:val="fr-CA"/>
        </w:rPr>
        <w:t>appliquer aux défendeurs non domiciliés au Québec pourvu qu</w:t>
      </w:r>
      <w:r>
        <w:rPr>
          <w:rFonts w:cs="Times New Roman"/>
          <w:lang w:val="fr-CA"/>
        </w:rPr>
        <w:t>’</w:t>
      </w:r>
      <w:r w:rsidRPr="009F420B">
        <w:rPr>
          <w:rFonts w:cs="Times New Roman"/>
          <w:lang w:val="fr-CA"/>
        </w:rPr>
        <w:t xml:space="preserve">un des codéfendeurs réside au Québec ou y soit domicilié); D. Ferland et B. Emery, </w:t>
      </w:r>
      <w:r w:rsidRPr="009F420B">
        <w:rPr>
          <w:rFonts w:cs="Times New Roman"/>
          <w:i/>
          <w:lang w:val="fr-CA"/>
        </w:rPr>
        <w:t>Précis de procédure civile du Québec</w:t>
      </w:r>
      <w:r w:rsidRPr="009F420B">
        <w:rPr>
          <w:rFonts w:cs="Times New Roman"/>
          <w:lang w:val="fr-CA"/>
        </w:rPr>
        <w:t xml:space="preserve"> (4</w:t>
      </w:r>
      <w:r w:rsidRPr="009F420B">
        <w:rPr>
          <w:rFonts w:cs="Times New Roman"/>
          <w:vertAlign w:val="superscript"/>
          <w:lang w:val="fr-CA"/>
        </w:rPr>
        <w:t>e</w:t>
      </w:r>
      <w:r w:rsidR="00570FFA">
        <w:rPr>
          <w:rFonts w:cs="Times New Roman"/>
          <w:lang w:val="fr-CA"/>
        </w:rPr>
        <w:t xml:space="preserve"> éd.</w:t>
      </w:r>
      <w:r w:rsidRPr="009F420B">
        <w:rPr>
          <w:rFonts w:cs="Times New Roman"/>
          <w:lang w:val="fr-CA"/>
        </w:rPr>
        <w:t xml:space="preserve"> 2003), </w:t>
      </w:r>
      <w:r>
        <w:rPr>
          <w:rFonts w:cs="Times New Roman"/>
          <w:lang w:val="fr-CA"/>
        </w:rPr>
        <w:t>vol. </w:t>
      </w:r>
      <w:r w:rsidRPr="009F420B">
        <w:rPr>
          <w:rFonts w:cs="Times New Roman"/>
          <w:lang w:val="fr-CA"/>
        </w:rPr>
        <w:t xml:space="preserve">1, </w:t>
      </w:r>
      <w:r>
        <w:rPr>
          <w:rFonts w:cs="Times New Roman"/>
          <w:lang w:val="fr-CA"/>
        </w:rPr>
        <w:t>p. </w:t>
      </w:r>
      <w:r w:rsidRPr="009F420B">
        <w:rPr>
          <w:rFonts w:cs="Times New Roman"/>
          <w:lang w:val="fr-CA"/>
        </w:rPr>
        <w:t>180 (suivant lesquels l</w:t>
      </w:r>
      <w:r>
        <w:rPr>
          <w:rFonts w:cs="Times New Roman"/>
          <w:lang w:val="fr-CA"/>
        </w:rPr>
        <w:t>’art. </w:t>
      </w:r>
      <w:r w:rsidR="00570FFA">
        <w:rPr>
          <w:rFonts w:cs="Times New Roman"/>
          <w:lang w:val="fr-CA"/>
        </w:rPr>
        <w:t xml:space="preserve">75 ancien </w:t>
      </w:r>
      <w:r w:rsidRPr="009F420B">
        <w:rPr>
          <w:rFonts w:cs="Times New Roman"/>
          <w:i/>
          <w:lang w:val="fr-CA"/>
        </w:rPr>
        <w:t>C.p.c.</w:t>
      </w:r>
      <w:r w:rsidRPr="009F420B">
        <w:rPr>
          <w:rFonts w:cs="Times New Roman"/>
          <w:lang w:val="fr-CA"/>
        </w:rPr>
        <w:t xml:space="preserve"> s</w:t>
      </w:r>
      <w:r>
        <w:rPr>
          <w:rFonts w:cs="Times New Roman"/>
          <w:lang w:val="fr-CA"/>
        </w:rPr>
        <w:t>’</w:t>
      </w:r>
      <w:r w:rsidRPr="009F420B">
        <w:rPr>
          <w:rFonts w:cs="Times New Roman"/>
          <w:lang w:val="fr-CA"/>
        </w:rPr>
        <w:t>appliquait tant aux défendeurs qui étaient domiciliés au Québec qu</w:t>
      </w:r>
      <w:r>
        <w:rPr>
          <w:rFonts w:cs="Times New Roman"/>
          <w:lang w:val="fr-CA"/>
        </w:rPr>
        <w:t>’</w:t>
      </w:r>
      <w:r w:rsidRPr="009F420B">
        <w:rPr>
          <w:rFonts w:cs="Times New Roman"/>
          <w:lang w:val="fr-CA"/>
        </w:rPr>
        <w:t>à ceux qui n</w:t>
      </w:r>
      <w:r>
        <w:rPr>
          <w:rFonts w:cs="Times New Roman"/>
          <w:lang w:val="fr-CA"/>
        </w:rPr>
        <w:t>’</w:t>
      </w:r>
      <w:r w:rsidRPr="009F420B">
        <w:rPr>
          <w:rFonts w:cs="Times New Roman"/>
          <w:lang w:val="fr-CA"/>
        </w:rPr>
        <w:t xml:space="preserve">y étaient pas domiciliés). </w:t>
      </w:r>
    </w:p>
    <w:p w:rsidR="00AF6697" w:rsidRPr="009F420B" w:rsidRDefault="00AF6697" w:rsidP="00AF6697">
      <w:pPr>
        <w:pStyle w:val="ParaNoNdepar-AltN"/>
        <w:rPr>
          <w:rFonts w:cs="Times New Roman"/>
          <w:lang w:val="fr-CA"/>
        </w:rPr>
      </w:pPr>
      <w:r w:rsidRPr="009F420B">
        <w:rPr>
          <w:rFonts w:cs="Times New Roman"/>
          <w:lang w:val="fr-CA"/>
        </w:rPr>
        <w:t>Cela ne veut pas dire que les règles de l</w:t>
      </w:r>
      <w:r>
        <w:rPr>
          <w:rFonts w:cs="Times New Roman"/>
          <w:lang w:val="fr-CA"/>
        </w:rPr>
        <w:t>’</w:t>
      </w:r>
      <w:r w:rsidR="00570FFA">
        <w:rPr>
          <w:rFonts w:cs="Times New Roman"/>
          <w:lang w:val="fr-CA"/>
        </w:rPr>
        <w:t xml:space="preserve">ancien </w:t>
      </w:r>
      <w:r w:rsidRPr="009F420B">
        <w:rPr>
          <w:rFonts w:cs="Times New Roman"/>
          <w:i/>
          <w:lang w:val="fr-CA"/>
        </w:rPr>
        <w:t>C.p.c.</w:t>
      </w:r>
      <w:r w:rsidRPr="009F420B">
        <w:rPr>
          <w:rFonts w:cs="Times New Roman"/>
          <w:lang w:val="fr-CA"/>
        </w:rPr>
        <w:t xml:space="preserve"> n</w:t>
      </w:r>
      <w:r>
        <w:rPr>
          <w:rFonts w:cs="Times New Roman"/>
          <w:lang w:val="fr-CA"/>
        </w:rPr>
        <w:t>’</w:t>
      </w:r>
      <w:r w:rsidRPr="009F420B">
        <w:rPr>
          <w:rFonts w:cs="Times New Roman"/>
          <w:lang w:val="fr-CA"/>
        </w:rPr>
        <w:t>ont plus aucune influence. Ainsi, l</w:t>
      </w:r>
      <w:r>
        <w:rPr>
          <w:rFonts w:cs="Times New Roman"/>
          <w:lang w:val="fr-CA"/>
        </w:rPr>
        <w:t>’</w:t>
      </w:r>
      <w:r w:rsidRPr="009F420B">
        <w:rPr>
          <w:rFonts w:cs="Times New Roman"/>
          <w:lang w:val="fr-CA"/>
        </w:rPr>
        <w:t>essence de l</w:t>
      </w:r>
      <w:r>
        <w:rPr>
          <w:rFonts w:cs="Times New Roman"/>
          <w:lang w:val="fr-CA"/>
        </w:rPr>
        <w:t>’art. </w:t>
      </w:r>
      <w:r w:rsidRPr="009F420B">
        <w:rPr>
          <w:rFonts w:cs="Times New Roman"/>
          <w:lang w:val="fr-CA"/>
        </w:rPr>
        <w:t xml:space="preserve">71 </w:t>
      </w:r>
      <w:r w:rsidR="00A0354A">
        <w:rPr>
          <w:rFonts w:cs="Times New Roman"/>
          <w:lang w:val="fr-CA"/>
        </w:rPr>
        <w:t xml:space="preserve">de l’ancien </w:t>
      </w:r>
      <w:r w:rsidRPr="009F420B">
        <w:rPr>
          <w:rFonts w:cs="Times New Roman"/>
          <w:i/>
          <w:lang w:val="fr-CA" w:bidi="en-US"/>
        </w:rPr>
        <w:t>C.p.c.</w:t>
      </w:r>
      <w:r w:rsidRPr="009F420B">
        <w:rPr>
          <w:rFonts w:cs="Times New Roman"/>
          <w:vertAlign w:val="superscript"/>
          <w:lang w:val="fr-CA" w:bidi="en-US"/>
        </w:rPr>
        <w:footnoteReference w:id="8"/>
      </w:r>
      <w:r w:rsidRPr="009F420B">
        <w:rPr>
          <w:rFonts w:cs="Times New Roman"/>
          <w:lang w:val="fr-CA" w:bidi="en-US"/>
        </w:rPr>
        <w:t xml:space="preserve"> — que la Cour a interprété comme une disposition autorisant le tribunal québécois à exercer sa compétence sur un défendeur en garantie étranger qui n</w:t>
      </w:r>
      <w:r>
        <w:rPr>
          <w:rFonts w:cs="Times New Roman"/>
          <w:lang w:val="fr-CA" w:bidi="en-US"/>
        </w:rPr>
        <w:t>’</w:t>
      </w:r>
      <w:r w:rsidRPr="009F420B">
        <w:rPr>
          <w:rFonts w:cs="Times New Roman"/>
          <w:lang w:val="fr-CA" w:bidi="en-US"/>
        </w:rPr>
        <w:t>avait aucun domicile, résidence, bureau ou bien au Québec (</w:t>
      </w:r>
      <w:r w:rsidRPr="009F420B">
        <w:rPr>
          <w:rFonts w:cs="Times New Roman"/>
          <w:i/>
          <w:lang w:val="fr-CA"/>
        </w:rPr>
        <w:t>A S G Industries Inc. c. Corporation Superseal</w:t>
      </w:r>
      <w:r w:rsidRPr="009F420B">
        <w:rPr>
          <w:rFonts w:cs="Times New Roman"/>
          <w:lang w:val="fr-CA"/>
        </w:rPr>
        <w:t>, [1983] 1 R.C.S. 781)</w:t>
      </w:r>
      <w:r w:rsidR="00A0354A">
        <w:rPr>
          <w:rFonts w:cs="Times New Roman"/>
          <w:lang w:val="fr-CA"/>
        </w:rPr>
        <w:t xml:space="preserve"> —</w:t>
      </w:r>
      <w:r w:rsidRPr="009F420B">
        <w:rPr>
          <w:rFonts w:cs="Times New Roman"/>
          <w:lang w:val="fr-CA"/>
        </w:rPr>
        <w:t xml:space="preserve"> a été « rep[rise] » dans l</w:t>
      </w:r>
      <w:r>
        <w:rPr>
          <w:rFonts w:cs="Times New Roman"/>
          <w:lang w:val="fr-CA"/>
        </w:rPr>
        <w:t>’art. </w:t>
      </w:r>
      <w:r w:rsidRPr="009F420B">
        <w:rPr>
          <w:rFonts w:cs="Times New Roman"/>
          <w:lang w:val="fr-CA"/>
        </w:rPr>
        <w:t xml:space="preserve">3139 </w:t>
      </w:r>
      <w:r w:rsidRPr="009F420B">
        <w:rPr>
          <w:rFonts w:cs="Times New Roman"/>
          <w:i/>
          <w:lang w:val="fr-CA"/>
        </w:rPr>
        <w:t>C.c.Q.</w:t>
      </w:r>
      <w:r>
        <w:rPr>
          <w:rFonts w:cs="Times New Roman"/>
          <w:i/>
          <w:lang w:val="fr-CA"/>
        </w:rPr>
        <w:t> </w:t>
      </w:r>
      <w:r w:rsidRPr="00A0354A">
        <w:rPr>
          <w:rFonts w:cs="Times New Roman"/>
          <w:lang w:val="fr-CA"/>
        </w:rPr>
        <w:t>:</w:t>
      </w:r>
      <w:r w:rsidRPr="009F420B">
        <w:rPr>
          <w:rFonts w:cs="Times New Roman"/>
          <w:lang w:val="fr-CA"/>
        </w:rPr>
        <w:t xml:space="preserve"> </w:t>
      </w:r>
      <w:r w:rsidRPr="009F420B">
        <w:rPr>
          <w:rFonts w:cs="Times New Roman"/>
          <w:i/>
          <w:lang w:val="fr-CA"/>
        </w:rPr>
        <w:t>GreCon</w:t>
      </w:r>
      <w:r w:rsidRPr="009F420B">
        <w:rPr>
          <w:rFonts w:cs="Times New Roman"/>
          <w:lang w:val="fr-CA"/>
        </w:rPr>
        <w:t xml:space="preserve">, </w:t>
      </w:r>
      <w:r>
        <w:rPr>
          <w:rFonts w:cs="Times New Roman"/>
          <w:lang w:val="fr-CA"/>
        </w:rPr>
        <w:t>par. </w:t>
      </w:r>
      <w:r w:rsidRPr="009F420B">
        <w:rPr>
          <w:rFonts w:cs="Times New Roman"/>
          <w:lang w:val="fr-CA"/>
        </w:rPr>
        <w:t>55. Dans le même ordre d</w:t>
      </w:r>
      <w:r>
        <w:rPr>
          <w:rFonts w:cs="Times New Roman"/>
          <w:lang w:val="fr-CA"/>
        </w:rPr>
        <w:t>’</w:t>
      </w:r>
      <w:r w:rsidRPr="009F420B">
        <w:rPr>
          <w:rFonts w:cs="Times New Roman"/>
          <w:lang w:val="fr-CA"/>
        </w:rPr>
        <w:t>idées, la Cour d</w:t>
      </w:r>
      <w:r>
        <w:rPr>
          <w:rFonts w:cs="Times New Roman"/>
          <w:lang w:val="fr-CA"/>
        </w:rPr>
        <w:t>’</w:t>
      </w:r>
      <w:r w:rsidRPr="009F420B">
        <w:rPr>
          <w:rFonts w:cs="Times New Roman"/>
          <w:lang w:val="fr-CA"/>
        </w:rPr>
        <w:t xml:space="preserve">appel du Québec a récemment décidé que </w:t>
      </w:r>
      <w:r w:rsidRPr="009F420B">
        <w:rPr>
          <w:rFonts w:cs="Times New Roman"/>
          <w:lang w:val="fr-CA"/>
        </w:rPr>
        <w:sym w:font="Symbol" w:char="F05B"/>
      </w:r>
      <w:r w:rsidRPr="009F420B">
        <w:rPr>
          <w:rFonts w:cs="Times New Roman"/>
          <w:smallCaps/>
          <w:lang w:val="fr-CA"/>
        </w:rPr>
        <w:t>traduction</w:t>
      </w:r>
      <w:r w:rsidRPr="009F420B">
        <w:rPr>
          <w:rFonts w:cs="Times New Roman"/>
          <w:lang w:val="fr-CA"/>
        </w:rPr>
        <w:sym w:font="Symbol" w:char="F05D"/>
      </w:r>
      <w:r w:rsidRPr="009F420B">
        <w:rPr>
          <w:rFonts w:cs="Times New Roman"/>
          <w:lang w:val="fr-CA"/>
        </w:rPr>
        <w:t xml:space="preserve"> « la réunion de causes d</w:t>
      </w:r>
      <w:r>
        <w:rPr>
          <w:rFonts w:cs="Times New Roman"/>
          <w:lang w:val="fr-CA"/>
        </w:rPr>
        <w:t>’</w:t>
      </w:r>
      <w:r w:rsidRPr="009F420B">
        <w:rPr>
          <w:rFonts w:cs="Times New Roman"/>
          <w:lang w:val="fr-CA"/>
        </w:rPr>
        <w:t xml:space="preserve">action </w:t>
      </w:r>
      <w:r w:rsidRPr="009F420B">
        <w:rPr>
          <w:rFonts w:cs="Times New Roman"/>
          <w:lang w:val="fr-CA"/>
        </w:rPr>
        <w:sym w:font="Symbol" w:char="F05B"/>
      </w:r>
      <w:r w:rsidRPr="009F420B">
        <w:rPr>
          <w:rFonts w:cs="Times New Roman"/>
          <w:lang w:val="fr-CA"/>
        </w:rPr>
        <w:t>contre un défendeur spécifique</w:t>
      </w:r>
      <w:r w:rsidRPr="009F420B">
        <w:rPr>
          <w:rFonts w:cs="Times New Roman"/>
          <w:lang w:val="fr-CA"/>
        </w:rPr>
        <w:sym w:font="Symbol" w:char="F05D"/>
      </w:r>
      <w:r w:rsidRPr="009F420B">
        <w:rPr>
          <w:rFonts w:cs="Times New Roman"/>
          <w:lang w:val="fr-CA"/>
        </w:rPr>
        <w:t xml:space="preserve"> est autorisée dans le contexte de la compétence internationale »</w:t>
      </w:r>
      <w:r>
        <w:rPr>
          <w:rFonts w:cs="Times New Roman"/>
          <w:lang w:val="fr-CA"/>
        </w:rPr>
        <w:t> :</w:t>
      </w:r>
      <w:r w:rsidRPr="009F420B">
        <w:rPr>
          <w:rFonts w:cs="Times New Roman"/>
          <w:lang w:val="fr-CA"/>
        </w:rPr>
        <w:t xml:space="preserve"> </w:t>
      </w:r>
      <w:r w:rsidRPr="009F420B">
        <w:rPr>
          <w:rFonts w:cs="Times New Roman"/>
          <w:i/>
          <w:lang w:val="fr-CA"/>
        </w:rPr>
        <w:t>E. Hofmann Plastics Inc. c. Tribec Metals Ltd.</w:t>
      </w:r>
      <w:r w:rsidRPr="009F420B">
        <w:rPr>
          <w:rFonts w:cs="Times New Roman"/>
          <w:lang w:val="fr-CA"/>
        </w:rPr>
        <w:t xml:space="preserve">, 2013 QCCA 2112, </w:t>
      </w:r>
      <w:r>
        <w:rPr>
          <w:rFonts w:cs="Times New Roman"/>
          <w:lang w:val="fr-CA"/>
        </w:rPr>
        <w:t>par. </w:t>
      </w:r>
      <w:r w:rsidRPr="009F420B">
        <w:rPr>
          <w:rFonts w:cs="Times New Roman"/>
          <w:lang w:val="fr-CA"/>
        </w:rPr>
        <w:t>12 (CanLII). Plus précisément, la Cour d</w:t>
      </w:r>
      <w:r>
        <w:rPr>
          <w:rFonts w:cs="Times New Roman"/>
          <w:lang w:val="fr-CA"/>
        </w:rPr>
        <w:t>’</w:t>
      </w:r>
      <w:r w:rsidRPr="009F420B">
        <w:rPr>
          <w:rFonts w:cs="Times New Roman"/>
          <w:lang w:val="fr-CA"/>
        </w:rPr>
        <w:t>appel du Québec a décidé que l</w:t>
      </w:r>
      <w:r>
        <w:rPr>
          <w:rFonts w:cs="Times New Roman"/>
          <w:lang w:val="fr-CA"/>
        </w:rPr>
        <w:t>’art. </w:t>
      </w:r>
      <w:r w:rsidRPr="009F420B">
        <w:rPr>
          <w:rFonts w:cs="Times New Roman"/>
          <w:lang w:val="fr-CA"/>
        </w:rPr>
        <w:t xml:space="preserve">3148 </w:t>
      </w:r>
      <w:r>
        <w:rPr>
          <w:rFonts w:cs="Times New Roman"/>
          <w:lang w:val="fr-CA"/>
        </w:rPr>
        <w:t>al. </w:t>
      </w:r>
      <w:r w:rsidRPr="009F420B">
        <w:rPr>
          <w:rFonts w:cs="Times New Roman"/>
          <w:lang w:val="fr-CA"/>
        </w:rPr>
        <w:t xml:space="preserve">1(3) </w:t>
      </w:r>
      <w:r w:rsidRPr="009F420B">
        <w:rPr>
          <w:rFonts w:cs="Times New Roman"/>
          <w:i/>
          <w:lang w:val="fr-CA"/>
        </w:rPr>
        <w:t>C.c.Q.</w:t>
      </w:r>
      <w:r w:rsidRPr="009F420B">
        <w:rPr>
          <w:rFonts w:cs="Times New Roman"/>
          <w:lang w:val="fr-CA"/>
        </w:rPr>
        <w:t xml:space="preserve"> </w:t>
      </w:r>
      <w:r w:rsidRPr="009F420B">
        <w:rPr>
          <w:rFonts w:cs="Times New Roman"/>
          <w:lang w:val="fr-CA"/>
        </w:rPr>
        <w:sym w:font="Symbol" w:char="F05B"/>
      </w:r>
      <w:r w:rsidRPr="009F420B">
        <w:rPr>
          <w:rFonts w:cs="Times New Roman"/>
          <w:smallCaps/>
          <w:lang w:val="fr-CA"/>
        </w:rPr>
        <w:t>traduction</w:t>
      </w:r>
      <w:r w:rsidRPr="009F420B">
        <w:rPr>
          <w:rFonts w:cs="Times New Roman"/>
          <w:lang w:val="fr-CA"/>
        </w:rPr>
        <w:sym w:font="Symbol" w:char="F05D"/>
      </w:r>
      <w:r w:rsidRPr="009F420B">
        <w:rPr>
          <w:rFonts w:cs="Times New Roman"/>
          <w:lang w:val="fr-CA"/>
        </w:rPr>
        <w:t xml:space="preserve"> « n</w:t>
      </w:r>
      <w:r>
        <w:rPr>
          <w:rFonts w:cs="Times New Roman"/>
          <w:lang w:val="fr-CA"/>
        </w:rPr>
        <w:t>’</w:t>
      </w:r>
      <w:r w:rsidRPr="009F420B">
        <w:rPr>
          <w:rFonts w:cs="Times New Roman"/>
          <w:lang w:val="fr-CA"/>
        </w:rPr>
        <w:t>exige pas qu</w:t>
      </w:r>
      <w:r>
        <w:rPr>
          <w:rFonts w:cs="Times New Roman"/>
          <w:lang w:val="fr-CA"/>
        </w:rPr>
        <w:t>’</w:t>
      </w:r>
      <w:r w:rsidRPr="009F420B">
        <w:rPr>
          <w:rFonts w:cs="Times New Roman"/>
          <w:lang w:val="fr-CA"/>
        </w:rPr>
        <w:t>il y ait un facteur de rattachement entre chaque cause d</w:t>
      </w:r>
      <w:r>
        <w:rPr>
          <w:rFonts w:cs="Times New Roman"/>
          <w:lang w:val="fr-CA"/>
        </w:rPr>
        <w:t>’</w:t>
      </w:r>
      <w:r w:rsidRPr="009F420B">
        <w:rPr>
          <w:rFonts w:cs="Times New Roman"/>
          <w:lang w:val="fr-CA"/>
        </w:rPr>
        <w:t>action potentielle et le Québec, et que l</w:t>
      </w:r>
      <w:r>
        <w:rPr>
          <w:rFonts w:cs="Times New Roman"/>
          <w:lang w:val="fr-CA"/>
        </w:rPr>
        <w:t>’</w:t>
      </w:r>
      <w:r w:rsidRPr="009F420B">
        <w:rPr>
          <w:rFonts w:cs="Times New Roman"/>
          <w:lang w:val="fr-CA"/>
        </w:rPr>
        <w:t xml:space="preserve">existence </w:t>
      </w:r>
      <w:r w:rsidRPr="009F420B">
        <w:rPr>
          <w:rFonts w:cs="Times New Roman"/>
          <w:lang w:val="fr-CA"/>
        </w:rPr>
        <w:lastRenderedPageBreak/>
        <w:t>d</w:t>
      </w:r>
      <w:r>
        <w:rPr>
          <w:rFonts w:cs="Times New Roman"/>
          <w:lang w:val="fr-CA"/>
        </w:rPr>
        <w:t>’</w:t>
      </w:r>
      <w:r w:rsidRPr="009F420B">
        <w:rPr>
          <w:rFonts w:cs="Times New Roman"/>
          <w:lang w:val="fr-CA"/>
        </w:rPr>
        <w:t>un tel facteur pour une seule cause d</w:t>
      </w:r>
      <w:r>
        <w:rPr>
          <w:rFonts w:cs="Times New Roman"/>
          <w:lang w:val="fr-CA"/>
        </w:rPr>
        <w:t>’</w:t>
      </w:r>
      <w:r w:rsidRPr="009F420B">
        <w:rPr>
          <w:rFonts w:cs="Times New Roman"/>
          <w:lang w:val="fr-CA"/>
        </w:rPr>
        <w:t>action suffit pour que la compétence soit reconnue »</w:t>
      </w:r>
      <w:r>
        <w:rPr>
          <w:rFonts w:cs="Times New Roman"/>
          <w:lang w:val="fr-CA"/>
        </w:rPr>
        <w:t> :</w:t>
      </w:r>
      <w:r w:rsidRPr="009F420B">
        <w:rPr>
          <w:rFonts w:cs="Times New Roman"/>
          <w:lang w:val="fr-CA"/>
        </w:rPr>
        <w:t xml:space="preserve"> </w:t>
      </w:r>
      <w:r w:rsidRPr="009F420B">
        <w:rPr>
          <w:rFonts w:cs="Times New Roman"/>
          <w:i/>
          <w:lang w:val="fr-CA"/>
        </w:rPr>
        <w:t>Poppy Industries Canada Inc. c. Diva Delights Ltd.</w:t>
      </w:r>
      <w:r w:rsidRPr="009F420B">
        <w:rPr>
          <w:rFonts w:cs="Times New Roman"/>
          <w:lang w:val="fr-CA"/>
        </w:rPr>
        <w:t xml:space="preserve">, 2018 QCCA 163, </w:t>
      </w:r>
      <w:r>
        <w:rPr>
          <w:rFonts w:cs="Times New Roman"/>
          <w:lang w:val="fr-CA"/>
        </w:rPr>
        <w:t>par. </w:t>
      </w:r>
      <w:r w:rsidRPr="009F420B">
        <w:rPr>
          <w:rFonts w:cs="Times New Roman"/>
          <w:lang w:val="fr-CA"/>
        </w:rPr>
        <w:t xml:space="preserve">32 (CanLII). </w:t>
      </w:r>
    </w:p>
    <w:p w:rsidR="00AF6697" w:rsidRPr="009F420B" w:rsidRDefault="00AF6697" w:rsidP="00AF6697">
      <w:pPr>
        <w:pStyle w:val="ParaNoNdepar-AltN"/>
        <w:rPr>
          <w:rFonts w:cs="Times New Roman"/>
          <w:lang w:val="fr-CA"/>
        </w:rPr>
      </w:pPr>
      <w:r w:rsidRPr="009F420B">
        <w:rPr>
          <w:rFonts w:cs="Times New Roman"/>
          <w:lang w:val="fr-CA"/>
        </w:rPr>
        <w:t>Cela tend à confirmer — et c</w:t>
      </w:r>
      <w:r>
        <w:rPr>
          <w:rFonts w:cs="Times New Roman"/>
          <w:lang w:val="fr-CA"/>
        </w:rPr>
        <w:t>’</w:t>
      </w:r>
      <w:r w:rsidRPr="009F420B">
        <w:rPr>
          <w:rFonts w:cs="Times New Roman"/>
          <w:lang w:val="fr-CA"/>
        </w:rPr>
        <w:t>est la conclusion à laquelle j</w:t>
      </w:r>
      <w:r>
        <w:rPr>
          <w:rFonts w:cs="Times New Roman"/>
          <w:lang w:val="fr-CA"/>
        </w:rPr>
        <w:t>’</w:t>
      </w:r>
      <w:r w:rsidRPr="009F420B">
        <w:rPr>
          <w:rFonts w:cs="Times New Roman"/>
          <w:lang w:val="fr-CA"/>
        </w:rPr>
        <w:t>en arrive — que dans les actions personnelles à caractère patrimonial, il est possible d</w:t>
      </w:r>
      <w:r>
        <w:rPr>
          <w:rFonts w:cs="Times New Roman"/>
          <w:lang w:val="fr-CA"/>
        </w:rPr>
        <w:t>’</w:t>
      </w:r>
      <w:r w:rsidRPr="009F420B">
        <w:rPr>
          <w:rFonts w:cs="Times New Roman"/>
          <w:lang w:val="fr-CA"/>
        </w:rPr>
        <w:t>établir la compétence d</w:t>
      </w:r>
      <w:r>
        <w:rPr>
          <w:rFonts w:cs="Times New Roman"/>
          <w:lang w:val="fr-CA"/>
        </w:rPr>
        <w:t>’</w:t>
      </w:r>
      <w:r w:rsidRPr="009F420B">
        <w:rPr>
          <w:rFonts w:cs="Times New Roman"/>
          <w:lang w:val="fr-CA"/>
        </w:rPr>
        <w:t>une autorité étrangère sur un codéfendeur spécifique en application de l</w:t>
      </w:r>
      <w:r>
        <w:rPr>
          <w:rFonts w:cs="Times New Roman"/>
          <w:lang w:val="fr-CA"/>
        </w:rPr>
        <w:t>’art. </w:t>
      </w:r>
      <w:r w:rsidRPr="009F420B">
        <w:rPr>
          <w:rFonts w:cs="Times New Roman"/>
          <w:lang w:val="fr-CA"/>
        </w:rPr>
        <w:t xml:space="preserve">3139 </w:t>
      </w:r>
      <w:r w:rsidRPr="009F420B">
        <w:rPr>
          <w:rFonts w:cs="Times New Roman"/>
          <w:i/>
          <w:lang w:val="fr-CA"/>
        </w:rPr>
        <w:t>C.c.Q.</w:t>
      </w:r>
      <w:r w:rsidRPr="009F420B">
        <w:rPr>
          <w:rFonts w:cs="Times New Roman"/>
          <w:lang w:val="fr-CA"/>
        </w:rPr>
        <w:t>, même lorsque ce codéfendeur n</w:t>
      </w:r>
      <w:r>
        <w:rPr>
          <w:rFonts w:cs="Times New Roman"/>
          <w:lang w:val="fr-CA"/>
        </w:rPr>
        <w:t>’</w:t>
      </w:r>
      <w:r w:rsidRPr="009F420B">
        <w:rPr>
          <w:rFonts w:cs="Times New Roman"/>
          <w:lang w:val="fr-CA"/>
        </w:rPr>
        <w:t>est pas partie au contrat constituant le fondement de la compétence de l</w:t>
      </w:r>
      <w:r>
        <w:rPr>
          <w:rFonts w:cs="Times New Roman"/>
          <w:lang w:val="fr-CA"/>
        </w:rPr>
        <w:t>’</w:t>
      </w:r>
      <w:r w:rsidRPr="009F420B">
        <w:rPr>
          <w:rFonts w:cs="Times New Roman"/>
          <w:lang w:val="fr-CA"/>
        </w:rPr>
        <w:t xml:space="preserve">autorité en question, a) si cette autorité étrangère a compétence sur le litige contractuel principal en application </w:t>
      </w:r>
      <w:r w:rsidR="008B6091">
        <w:rPr>
          <w:rFonts w:cs="Times New Roman"/>
          <w:lang w:val="fr-CA"/>
        </w:rPr>
        <w:t>du par.</w:t>
      </w:r>
      <w:r>
        <w:rPr>
          <w:rFonts w:cs="Times New Roman"/>
          <w:lang w:val="fr-CA"/>
        </w:rPr>
        <w:t> </w:t>
      </w:r>
      <w:r w:rsidRPr="009F420B">
        <w:rPr>
          <w:rFonts w:cs="Times New Roman"/>
          <w:lang w:val="fr-CA"/>
        </w:rPr>
        <w:t xml:space="preserve">3168(4) </w:t>
      </w:r>
      <w:r w:rsidRPr="009F420B">
        <w:rPr>
          <w:rFonts w:cs="Times New Roman"/>
          <w:i/>
          <w:lang w:val="fr-CA"/>
        </w:rPr>
        <w:t>C.c.Q.</w:t>
      </w:r>
      <w:r w:rsidRPr="009F420B">
        <w:rPr>
          <w:rFonts w:cs="Times New Roman"/>
          <w:lang w:val="fr-CA"/>
        </w:rPr>
        <w:t>, b) s</w:t>
      </w:r>
      <w:r>
        <w:rPr>
          <w:rFonts w:cs="Times New Roman"/>
          <w:lang w:val="fr-CA"/>
        </w:rPr>
        <w:t>’</w:t>
      </w:r>
      <w:r w:rsidRPr="009F420B">
        <w:rPr>
          <w:rFonts w:cs="Times New Roman"/>
          <w:lang w:val="fr-CA"/>
        </w:rPr>
        <w:t>il y a un « élément de connexité » entre le contrat et la réclamation formulée contre le codéfendeur (</w:t>
      </w:r>
      <w:r w:rsidRPr="009F420B">
        <w:rPr>
          <w:rFonts w:cs="Times New Roman"/>
          <w:i/>
          <w:lang w:val="fr-CA"/>
        </w:rPr>
        <w:t>GreCon</w:t>
      </w:r>
      <w:r w:rsidRPr="009F420B">
        <w:rPr>
          <w:rFonts w:cs="Times New Roman"/>
          <w:lang w:val="fr-CA"/>
        </w:rPr>
        <w:t xml:space="preserve">, </w:t>
      </w:r>
      <w:r>
        <w:rPr>
          <w:rFonts w:cs="Times New Roman"/>
          <w:lang w:val="fr-CA"/>
        </w:rPr>
        <w:t>par. </w:t>
      </w:r>
      <w:r w:rsidRPr="009F420B">
        <w:rPr>
          <w:rFonts w:cs="Times New Roman"/>
          <w:lang w:val="fr-CA"/>
        </w:rPr>
        <w:t>31) ou si, en d</w:t>
      </w:r>
      <w:r>
        <w:rPr>
          <w:rFonts w:cs="Times New Roman"/>
          <w:lang w:val="fr-CA"/>
        </w:rPr>
        <w:t>’</w:t>
      </w:r>
      <w:r w:rsidRPr="009F420B">
        <w:rPr>
          <w:rFonts w:cs="Times New Roman"/>
          <w:lang w:val="fr-CA"/>
        </w:rPr>
        <w:t>autres termes, la réclamation formulée contre le codéfendeur est « liée » au contrat (</w:t>
      </w:r>
      <w:r w:rsidRPr="009F420B">
        <w:rPr>
          <w:rFonts w:cs="Times New Roman"/>
          <w:i/>
          <w:lang w:val="fr-CA"/>
        </w:rPr>
        <w:t>Lapointe</w:t>
      </w:r>
      <w:r w:rsidRPr="009F420B">
        <w:rPr>
          <w:rFonts w:cs="Times New Roman"/>
          <w:lang w:val="fr-CA"/>
        </w:rPr>
        <w:t xml:space="preserve">, </w:t>
      </w:r>
      <w:r>
        <w:rPr>
          <w:rFonts w:cs="Times New Roman"/>
          <w:lang w:val="fr-CA"/>
        </w:rPr>
        <w:t>par. </w:t>
      </w:r>
      <w:r w:rsidRPr="009F420B">
        <w:rPr>
          <w:rFonts w:cs="Times New Roman"/>
          <w:lang w:val="fr-CA"/>
        </w:rPr>
        <w:t>32, 33 et 44), et c) si le litige (c.</w:t>
      </w:r>
      <w:r>
        <w:rPr>
          <w:rFonts w:cs="Times New Roman"/>
          <w:lang w:val="fr-CA"/>
        </w:rPr>
        <w:noBreakHyphen/>
      </w:r>
      <w:r w:rsidRPr="009F420B">
        <w:rPr>
          <w:rFonts w:cs="Times New Roman"/>
          <w:lang w:val="fr-CA"/>
        </w:rPr>
        <w:t>à</w:t>
      </w:r>
      <w:r>
        <w:rPr>
          <w:rFonts w:cs="Times New Roman"/>
          <w:lang w:val="fr-CA"/>
        </w:rPr>
        <w:noBreakHyphen/>
      </w:r>
      <w:r w:rsidRPr="009F420B">
        <w:rPr>
          <w:rFonts w:cs="Times New Roman"/>
          <w:lang w:val="fr-CA"/>
        </w:rPr>
        <w:t>d. le codéfendeur ou l</w:t>
      </w:r>
      <w:r>
        <w:rPr>
          <w:rFonts w:cs="Times New Roman"/>
          <w:lang w:val="fr-CA"/>
        </w:rPr>
        <w:t>’</w:t>
      </w:r>
      <w:r w:rsidRPr="009F420B">
        <w:rPr>
          <w:rFonts w:cs="Times New Roman"/>
          <w:lang w:val="fr-CA"/>
        </w:rPr>
        <w:t>allégation formulée contre lui) « se rattache d</w:t>
      </w:r>
      <w:r>
        <w:rPr>
          <w:rFonts w:cs="Times New Roman"/>
          <w:lang w:val="fr-CA"/>
        </w:rPr>
        <w:t>’</w:t>
      </w:r>
      <w:r w:rsidRPr="009F420B">
        <w:rPr>
          <w:rFonts w:cs="Times New Roman"/>
          <w:lang w:val="fr-CA"/>
        </w:rPr>
        <w:t>une façon importante » à l</w:t>
      </w:r>
      <w:r>
        <w:rPr>
          <w:rFonts w:cs="Times New Roman"/>
          <w:lang w:val="fr-CA"/>
        </w:rPr>
        <w:t>’</w:t>
      </w:r>
      <w:r w:rsidRPr="009F420B">
        <w:rPr>
          <w:rFonts w:cs="Times New Roman"/>
          <w:lang w:val="fr-CA"/>
        </w:rPr>
        <w:t>État dont l</w:t>
      </w:r>
      <w:r>
        <w:rPr>
          <w:rFonts w:cs="Times New Roman"/>
          <w:lang w:val="fr-CA"/>
        </w:rPr>
        <w:t>’</w:t>
      </w:r>
      <w:r w:rsidRPr="009F420B">
        <w:rPr>
          <w:rFonts w:cs="Times New Roman"/>
          <w:lang w:val="fr-CA"/>
        </w:rPr>
        <w:t>autorité a été saisie</w:t>
      </w:r>
      <w:r>
        <w:rPr>
          <w:rFonts w:cs="Times New Roman"/>
          <w:lang w:val="fr-CA"/>
        </w:rPr>
        <w:t> :</w:t>
      </w:r>
      <w:r w:rsidRPr="009F420B">
        <w:rPr>
          <w:rFonts w:cs="Times New Roman"/>
          <w:lang w:val="fr-CA"/>
        </w:rPr>
        <w:t xml:space="preserve"> </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xml:space="preserve"> Ainsi que la Cour l</w:t>
      </w:r>
      <w:r>
        <w:rPr>
          <w:rFonts w:cs="Times New Roman"/>
          <w:lang w:val="fr-CA"/>
        </w:rPr>
        <w:t>’</w:t>
      </w:r>
      <w:r w:rsidRPr="009F420B">
        <w:rPr>
          <w:rFonts w:cs="Times New Roman"/>
          <w:lang w:val="fr-CA"/>
        </w:rPr>
        <w:t>a expliqué dans l</w:t>
      </w:r>
      <w:r>
        <w:rPr>
          <w:rFonts w:cs="Times New Roman"/>
          <w:lang w:val="fr-CA"/>
        </w:rPr>
        <w:t>’</w:t>
      </w:r>
      <w:r w:rsidRPr="009F420B">
        <w:rPr>
          <w:rFonts w:cs="Times New Roman"/>
          <w:lang w:val="fr-CA"/>
        </w:rPr>
        <w:t xml:space="preserve">arrêt </w:t>
      </w:r>
      <w:r w:rsidRPr="009F420B">
        <w:rPr>
          <w:rFonts w:cs="Times New Roman"/>
          <w:i/>
          <w:lang w:val="fr-CA"/>
        </w:rPr>
        <w:t>Van Breda</w:t>
      </w:r>
      <w:r w:rsidRPr="009F420B">
        <w:rPr>
          <w:rFonts w:cs="Times New Roman"/>
          <w:lang w:val="fr-CA"/>
        </w:rPr>
        <w:t xml:space="preserve"> (</w:t>
      </w:r>
      <w:r>
        <w:rPr>
          <w:rFonts w:cs="Times New Roman"/>
          <w:lang w:val="fr-CA"/>
        </w:rPr>
        <w:t>par. </w:t>
      </w:r>
      <w:r w:rsidRPr="009F420B">
        <w:rPr>
          <w:rFonts w:cs="Times New Roman"/>
          <w:lang w:val="fr-CA"/>
        </w:rPr>
        <w:t>99)</w:t>
      </w:r>
      <w:r>
        <w:rPr>
          <w:rFonts w:cs="Times New Roman"/>
          <w:lang w:val="fr-CA"/>
        </w:rPr>
        <w:t> :</w:t>
      </w:r>
    </w:p>
    <w:p w:rsidR="00AF6697" w:rsidRPr="009F420B" w:rsidRDefault="00AF6697" w:rsidP="00AF6697">
      <w:pPr>
        <w:pStyle w:val="Citation-AltC"/>
        <w:ind w:hanging="1166"/>
        <w:rPr>
          <w:lang w:val="fr-CA"/>
        </w:rPr>
      </w:pPr>
      <w:r>
        <w:rPr>
          <w:lang w:val="fr-CA"/>
        </w:rPr>
        <w:tab/>
      </w:r>
      <w:r>
        <w:rPr>
          <w:lang w:val="fr-CA"/>
        </w:rPr>
        <w:tab/>
      </w:r>
      <w:r w:rsidRPr="009F420B">
        <w:rPr>
          <w:lang w:val="fr-CA"/>
        </w:rPr>
        <w:t>Il convient de préciser qu</w:t>
      </w:r>
      <w:r>
        <w:rPr>
          <w:lang w:val="fr-CA"/>
        </w:rPr>
        <w:t>’</w:t>
      </w:r>
      <w:r w:rsidRPr="009F420B">
        <w:rPr>
          <w:lang w:val="fr-CA"/>
        </w:rPr>
        <w:t>un recours pourrait être fondé à la fois sur un contrat et un délit, ou sur plus d</w:t>
      </w:r>
      <w:r>
        <w:rPr>
          <w:lang w:val="fr-CA"/>
        </w:rPr>
        <w:t>’</w:t>
      </w:r>
      <w:r w:rsidRPr="009F420B">
        <w:rPr>
          <w:lang w:val="fr-CA"/>
        </w:rPr>
        <w:t xml:space="preserve">un délit. </w:t>
      </w:r>
      <w:r w:rsidRPr="009F420B">
        <w:rPr>
          <w:u w:val="single"/>
          <w:lang w:val="fr-CA"/>
        </w:rPr>
        <w:t>Le tribunal devrait</w:t>
      </w:r>
      <w:r>
        <w:rPr>
          <w:u w:val="single"/>
          <w:lang w:val="fr-CA"/>
        </w:rPr>
        <w:noBreakHyphen/>
      </w:r>
      <w:r w:rsidRPr="009F420B">
        <w:rPr>
          <w:u w:val="single"/>
          <w:lang w:val="fr-CA"/>
        </w:rPr>
        <w:t>il alors se limiter à n</w:t>
      </w:r>
      <w:r>
        <w:rPr>
          <w:u w:val="single"/>
          <w:lang w:val="fr-CA"/>
        </w:rPr>
        <w:t>’</w:t>
      </w:r>
      <w:r w:rsidRPr="009F420B">
        <w:rPr>
          <w:u w:val="single"/>
          <w:lang w:val="fr-CA"/>
        </w:rPr>
        <w:t>entendre que la partie du recours pouvant se ra</w:t>
      </w:r>
      <w:r>
        <w:rPr>
          <w:u w:val="single"/>
          <w:lang w:val="fr-CA"/>
        </w:rPr>
        <w:t xml:space="preserve">ttacher directement au ressort? </w:t>
      </w:r>
      <w:r w:rsidRPr="009F420B">
        <w:rPr>
          <w:u w:val="single"/>
          <w:lang w:val="fr-CA"/>
        </w:rPr>
        <w:t>Une telle règle porterait atteinte aux principes d</w:t>
      </w:r>
      <w:r>
        <w:rPr>
          <w:u w:val="single"/>
          <w:lang w:val="fr-CA"/>
        </w:rPr>
        <w:t>’</w:t>
      </w:r>
      <w:r w:rsidRPr="009F420B">
        <w:rPr>
          <w:u w:val="single"/>
          <w:lang w:val="fr-CA"/>
        </w:rPr>
        <w:t>équité et d</w:t>
      </w:r>
      <w:r>
        <w:rPr>
          <w:u w:val="single"/>
          <w:lang w:val="fr-CA"/>
        </w:rPr>
        <w:t>’</w:t>
      </w:r>
      <w:r w:rsidRPr="009F420B">
        <w:rPr>
          <w:u w:val="single"/>
          <w:lang w:val="fr-CA"/>
        </w:rPr>
        <w:t>efficacité qui sous</w:t>
      </w:r>
      <w:r>
        <w:rPr>
          <w:u w:val="single"/>
          <w:lang w:val="fr-CA"/>
        </w:rPr>
        <w:noBreakHyphen/>
      </w:r>
      <w:r w:rsidRPr="009F420B">
        <w:rPr>
          <w:u w:val="single"/>
          <w:lang w:val="fr-CA"/>
        </w:rPr>
        <w:t>tendent la déclaration de compétence.</w:t>
      </w:r>
      <w:r>
        <w:rPr>
          <w:lang w:val="fr-CA"/>
        </w:rPr>
        <w:t xml:space="preserve"> </w:t>
      </w:r>
      <w:r w:rsidRPr="009F420B">
        <w:rPr>
          <w:lang w:val="fr-CA"/>
        </w:rPr>
        <w:t>Les règles de droit international privé visent à établir s</w:t>
      </w:r>
      <w:r>
        <w:rPr>
          <w:lang w:val="fr-CA"/>
        </w:rPr>
        <w:t>’</w:t>
      </w:r>
      <w:r w:rsidRPr="009F420B">
        <w:rPr>
          <w:lang w:val="fr-CA"/>
        </w:rPr>
        <w:t>il existe un lien réel et substantiel entre le tribunal, l</w:t>
      </w:r>
      <w:r>
        <w:rPr>
          <w:lang w:val="fr-CA"/>
        </w:rPr>
        <w:t>’</w:t>
      </w:r>
      <w:r w:rsidRPr="009F420B">
        <w:rPr>
          <w:lang w:val="fr-CA"/>
        </w:rPr>
        <w:t>objet du litige et le défe</w:t>
      </w:r>
      <w:r>
        <w:rPr>
          <w:lang w:val="fr-CA"/>
        </w:rPr>
        <w:t xml:space="preserve">ndeur. </w:t>
      </w:r>
      <w:r w:rsidRPr="009F420B">
        <w:rPr>
          <w:u w:val="single"/>
          <w:lang w:val="fr-CA"/>
        </w:rPr>
        <w:t>Si l</w:t>
      </w:r>
      <w:r>
        <w:rPr>
          <w:u w:val="single"/>
          <w:lang w:val="fr-CA"/>
        </w:rPr>
        <w:t>’</w:t>
      </w:r>
      <w:r w:rsidRPr="009F420B">
        <w:rPr>
          <w:u w:val="single"/>
          <w:lang w:val="fr-CA"/>
        </w:rPr>
        <w:t>existence d</w:t>
      </w:r>
      <w:r>
        <w:rPr>
          <w:u w:val="single"/>
          <w:lang w:val="fr-CA"/>
        </w:rPr>
        <w:t>’</w:t>
      </w:r>
      <w:r w:rsidRPr="009F420B">
        <w:rPr>
          <w:u w:val="single"/>
          <w:lang w:val="fr-CA"/>
        </w:rPr>
        <w:t>un lien à l</w:t>
      </w:r>
      <w:r>
        <w:rPr>
          <w:u w:val="single"/>
          <w:lang w:val="fr-CA"/>
        </w:rPr>
        <w:t>’</w:t>
      </w:r>
      <w:r w:rsidRPr="009F420B">
        <w:rPr>
          <w:u w:val="single"/>
          <w:lang w:val="fr-CA"/>
        </w:rPr>
        <w:t>égard d</w:t>
      </w:r>
      <w:r>
        <w:rPr>
          <w:u w:val="single"/>
          <w:lang w:val="fr-CA"/>
        </w:rPr>
        <w:t>’</w:t>
      </w:r>
      <w:r w:rsidRPr="009F420B">
        <w:rPr>
          <w:u w:val="single"/>
          <w:lang w:val="fr-CA"/>
        </w:rPr>
        <w:t>une situation factuelle et juridique a été établie, le tribunal doit se déclarer compétent relativement à tous les aspects du recours.</w:t>
      </w:r>
      <w:r>
        <w:rPr>
          <w:lang w:val="fr-CA"/>
        </w:rPr>
        <w:t xml:space="preserve"> </w:t>
      </w:r>
      <w:r w:rsidRPr="009F420B">
        <w:rPr>
          <w:lang w:val="fr-CA"/>
        </w:rPr>
        <w:t>Le demandeur ne devrait pas être tenu d</w:t>
      </w:r>
      <w:r>
        <w:rPr>
          <w:lang w:val="fr-CA"/>
        </w:rPr>
        <w:t>’</w:t>
      </w:r>
      <w:r w:rsidRPr="009F420B">
        <w:rPr>
          <w:lang w:val="fr-CA"/>
        </w:rPr>
        <w:t>intenter une action en responsabilité délictuelle au Manitoba et une demande connexe de restitution en Nouvelle</w:t>
      </w:r>
      <w:r>
        <w:rPr>
          <w:lang w:val="fr-CA"/>
        </w:rPr>
        <w:noBreakHyphen/>
      </w:r>
      <w:r w:rsidRPr="009F420B">
        <w:rPr>
          <w:lang w:val="fr-CA"/>
        </w:rPr>
        <w:t>Écosse. La création d</w:t>
      </w:r>
      <w:r>
        <w:rPr>
          <w:lang w:val="fr-CA"/>
        </w:rPr>
        <w:t>’</w:t>
      </w:r>
      <w:r w:rsidRPr="009F420B">
        <w:rPr>
          <w:lang w:val="fr-CA"/>
        </w:rPr>
        <w:t>une telle situation ne respecterait aucun principe d</w:t>
      </w:r>
      <w:r>
        <w:rPr>
          <w:lang w:val="fr-CA"/>
        </w:rPr>
        <w:t>’</w:t>
      </w:r>
      <w:r w:rsidRPr="009F420B">
        <w:rPr>
          <w:lang w:val="fr-CA"/>
        </w:rPr>
        <w:t>équité et d</w:t>
      </w:r>
      <w:r>
        <w:rPr>
          <w:lang w:val="fr-CA"/>
        </w:rPr>
        <w:t>’</w:t>
      </w:r>
      <w:r w:rsidRPr="009F420B">
        <w:rPr>
          <w:lang w:val="fr-CA"/>
        </w:rPr>
        <w:t>efficacité. [Je souligne.]</w:t>
      </w:r>
    </w:p>
    <w:p w:rsidR="00AF6697" w:rsidRPr="009F420B" w:rsidRDefault="00AF6697" w:rsidP="00AF6697">
      <w:pPr>
        <w:pStyle w:val="ParaNoNdepar-AltN"/>
        <w:tabs>
          <w:tab w:val="clear" w:pos="1166"/>
          <w:tab w:val="num" w:pos="1152"/>
        </w:tabs>
        <w:rPr>
          <w:rFonts w:cs="Times New Roman"/>
          <w:lang w:val="fr-CA"/>
        </w:rPr>
      </w:pPr>
      <w:r w:rsidRPr="009F420B">
        <w:rPr>
          <w:rFonts w:cs="Times New Roman"/>
          <w:lang w:val="fr-CA"/>
        </w:rPr>
        <w:lastRenderedPageBreak/>
        <w:t>Il s</w:t>
      </w:r>
      <w:r>
        <w:rPr>
          <w:rFonts w:cs="Times New Roman"/>
          <w:lang w:val="fr-CA"/>
        </w:rPr>
        <w:t>’</w:t>
      </w:r>
      <w:r w:rsidRPr="009F420B">
        <w:rPr>
          <w:rFonts w:cs="Times New Roman"/>
          <w:lang w:val="fr-CA"/>
        </w:rPr>
        <w:t>ensuit que, dans la présente affaire, le tribunal de l</w:t>
      </w:r>
      <w:r>
        <w:rPr>
          <w:rFonts w:cs="Times New Roman"/>
          <w:lang w:val="fr-CA"/>
        </w:rPr>
        <w:t>’</w:t>
      </w:r>
      <w:r w:rsidRPr="009F420B">
        <w:rPr>
          <w:rFonts w:cs="Times New Roman"/>
          <w:lang w:val="fr-CA"/>
        </w:rPr>
        <w:t xml:space="preserve">Utah avait compétence en application </w:t>
      </w:r>
      <w:r w:rsidR="00B5585E">
        <w:rPr>
          <w:rFonts w:cs="Times New Roman"/>
          <w:lang w:val="fr-CA"/>
        </w:rPr>
        <w:t>du par.</w:t>
      </w:r>
      <w:r>
        <w:rPr>
          <w:rFonts w:cs="Times New Roman"/>
          <w:lang w:val="fr-CA"/>
        </w:rPr>
        <w:t> </w:t>
      </w:r>
      <w:r w:rsidRPr="009F420B">
        <w:rPr>
          <w:rFonts w:cs="Times New Roman"/>
          <w:lang w:val="fr-CA"/>
        </w:rPr>
        <w:t xml:space="preserve">3168(4) </w:t>
      </w:r>
      <w:r w:rsidRPr="009F420B">
        <w:rPr>
          <w:rFonts w:cs="Times New Roman"/>
          <w:i/>
          <w:lang w:val="fr-CA"/>
        </w:rPr>
        <w:t>C.c.Q.</w:t>
      </w:r>
      <w:r w:rsidRPr="009F420B">
        <w:rPr>
          <w:rFonts w:cs="Times New Roman"/>
          <w:lang w:val="fr-CA"/>
        </w:rPr>
        <w:t xml:space="preserve"> sur le litige contractuel principal qui opposait Knight et BEC, et qu</w:t>
      </w:r>
      <w:r>
        <w:rPr>
          <w:rFonts w:cs="Times New Roman"/>
          <w:lang w:val="fr-CA"/>
        </w:rPr>
        <w:t>’</w:t>
      </w:r>
      <w:r w:rsidRPr="009F420B">
        <w:rPr>
          <w:rFonts w:cs="Times New Roman"/>
          <w:lang w:val="fr-CA"/>
        </w:rPr>
        <w:t>il existe un « lien » évident entre le contrat et les allégations d</w:t>
      </w:r>
      <w:r>
        <w:rPr>
          <w:rFonts w:cs="Times New Roman"/>
          <w:lang w:val="fr-CA"/>
        </w:rPr>
        <w:t>’</w:t>
      </w:r>
      <w:r w:rsidRPr="009F420B">
        <w:rPr>
          <w:rFonts w:cs="Times New Roman"/>
          <w:lang w:val="fr-CA"/>
        </w:rPr>
        <w:t xml:space="preserve">alter ego et de fraude formulées contre le codéfendeur, M. Barer, personnellement. Je conviens également avec mon collègue </w:t>
      </w:r>
      <w:r w:rsidRPr="009F420B">
        <w:rPr>
          <w:rFonts w:cs="Times New Roman"/>
          <w:szCs w:val="24"/>
          <w:lang w:val="fr-CA"/>
        </w:rPr>
        <w:t>le juge Gascon que l</w:t>
      </w:r>
      <w:r>
        <w:rPr>
          <w:rFonts w:cs="Times New Roman"/>
          <w:szCs w:val="24"/>
          <w:lang w:val="fr-CA"/>
        </w:rPr>
        <w:t>’</w:t>
      </w:r>
      <w:r w:rsidRPr="009F420B">
        <w:rPr>
          <w:rFonts w:cs="Times New Roman"/>
          <w:szCs w:val="24"/>
          <w:lang w:val="fr-CA"/>
        </w:rPr>
        <w:t>existence d</w:t>
      </w:r>
      <w:r>
        <w:rPr>
          <w:rFonts w:cs="Times New Roman"/>
          <w:szCs w:val="24"/>
          <w:lang w:val="fr-CA"/>
        </w:rPr>
        <w:t>’</w:t>
      </w:r>
      <w:r w:rsidRPr="009F420B">
        <w:rPr>
          <w:rFonts w:cs="Times New Roman"/>
          <w:szCs w:val="24"/>
          <w:lang w:val="fr-CA"/>
        </w:rPr>
        <w:t xml:space="preserve">un </w:t>
      </w:r>
      <w:r w:rsidRPr="009F420B">
        <w:rPr>
          <w:rFonts w:cs="Times New Roman"/>
          <w:lang w:val="fr-CA"/>
        </w:rPr>
        <w:t>« rattachement important du litige avec [l</w:t>
      </w:r>
      <w:r>
        <w:rPr>
          <w:rFonts w:cs="Times New Roman"/>
          <w:lang w:val="fr-CA"/>
        </w:rPr>
        <w:t>’</w:t>
      </w:r>
      <w:r w:rsidRPr="009F420B">
        <w:rPr>
          <w:rFonts w:cs="Times New Roman"/>
          <w:lang w:val="fr-CA"/>
        </w:rPr>
        <w:t>Utah] et avec ce tribun</w:t>
      </w:r>
      <w:r>
        <w:rPr>
          <w:rFonts w:cs="Times New Roman"/>
          <w:lang w:val="fr-CA"/>
        </w:rPr>
        <w:t>al </w:t>
      </w:r>
      <w:r w:rsidRPr="009F420B">
        <w:rPr>
          <w:rFonts w:cs="Times New Roman"/>
          <w:lang w:val="fr-CA"/>
        </w:rPr>
        <w:t>» « ne soulève aucune question »</w:t>
      </w:r>
      <w:r w:rsidRPr="009F420B">
        <w:rPr>
          <w:rFonts w:cs="Times New Roman"/>
          <w:szCs w:val="24"/>
          <w:lang w:val="fr-CA"/>
        </w:rPr>
        <w:t> (</w:t>
      </w:r>
      <w:r>
        <w:rPr>
          <w:rFonts w:cs="Times New Roman"/>
          <w:szCs w:val="24"/>
          <w:lang w:val="fr-CA"/>
        </w:rPr>
        <w:t>par. </w:t>
      </w:r>
      <w:r w:rsidRPr="009F420B">
        <w:rPr>
          <w:rFonts w:cs="Times New Roman"/>
          <w:szCs w:val="24"/>
          <w:lang w:val="fr-CA"/>
        </w:rPr>
        <w:t>88), ce qui satisfait aux exigences de l</w:t>
      </w:r>
      <w:r>
        <w:rPr>
          <w:rFonts w:cs="Times New Roman"/>
          <w:szCs w:val="24"/>
          <w:lang w:val="fr-CA"/>
        </w:rPr>
        <w:t>’art. </w:t>
      </w:r>
      <w:r w:rsidRPr="009F420B">
        <w:rPr>
          <w:rFonts w:cs="Times New Roman"/>
          <w:szCs w:val="24"/>
          <w:lang w:val="fr-CA"/>
        </w:rPr>
        <w:t xml:space="preserve">3164 </w:t>
      </w:r>
      <w:r w:rsidRPr="009F420B">
        <w:rPr>
          <w:rFonts w:cs="Times New Roman"/>
          <w:i/>
          <w:szCs w:val="24"/>
          <w:lang w:val="fr-CA"/>
        </w:rPr>
        <w:t>C.c.Q.</w:t>
      </w:r>
      <w:r w:rsidRPr="009F420B">
        <w:rPr>
          <w:rFonts w:cs="Times New Roman"/>
          <w:szCs w:val="24"/>
          <w:lang w:val="fr-CA"/>
        </w:rPr>
        <w:t xml:space="preserve"> — de sorte que, dans les circonstances de la présente cause, il existait un rattachement suffisamment important entre l</w:t>
      </w:r>
      <w:r>
        <w:rPr>
          <w:rFonts w:cs="Times New Roman"/>
          <w:szCs w:val="24"/>
          <w:lang w:val="fr-CA"/>
        </w:rPr>
        <w:t>’</w:t>
      </w:r>
      <w:r w:rsidRPr="009F420B">
        <w:rPr>
          <w:rFonts w:cs="Times New Roman"/>
          <w:szCs w:val="24"/>
          <w:lang w:val="fr-CA"/>
        </w:rPr>
        <w:t xml:space="preserve">Utah et </w:t>
      </w:r>
      <w:r w:rsidRPr="009F420B">
        <w:rPr>
          <w:rFonts w:cs="Times New Roman"/>
          <w:i/>
          <w:szCs w:val="24"/>
          <w:lang w:val="fr-CA"/>
        </w:rPr>
        <w:t xml:space="preserve">à la fois </w:t>
      </w:r>
      <w:r w:rsidRPr="009F420B">
        <w:rPr>
          <w:rFonts w:cs="Times New Roman"/>
          <w:szCs w:val="24"/>
          <w:lang w:val="fr-CA"/>
        </w:rPr>
        <w:t>l</w:t>
      </w:r>
      <w:r>
        <w:rPr>
          <w:rFonts w:cs="Times New Roman"/>
          <w:szCs w:val="24"/>
          <w:lang w:val="fr-CA"/>
        </w:rPr>
        <w:t>’</w:t>
      </w:r>
      <w:r w:rsidRPr="009F420B">
        <w:rPr>
          <w:rFonts w:cs="Times New Roman"/>
          <w:szCs w:val="24"/>
          <w:lang w:val="fr-CA"/>
        </w:rPr>
        <w:t xml:space="preserve">objet du litige </w:t>
      </w:r>
      <w:r w:rsidRPr="009F420B">
        <w:rPr>
          <w:rFonts w:cs="Times New Roman"/>
          <w:i/>
          <w:szCs w:val="24"/>
          <w:lang w:val="fr-CA"/>
        </w:rPr>
        <w:t xml:space="preserve">et </w:t>
      </w:r>
      <w:r w:rsidRPr="009F420B">
        <w:rPr>
          <w:rFonts w:cs="Times New Roman"/>
          <w:szCs w:val="24"/>
          <w:lang w:val="fr-CA"/>
        </w:rPr>
        <w:t>les parties</w:t>
      </w:r>
      <w:r>
        <w:rPr>
          <w:rFonts w:cs="Times New Roman"/>
          <w:szCs w:val="24"/>
          <w:lang w:val="fr-CA"/>
        </w:rPr>
        <w:t>.</w:t>
      </w:r>
    </w:p>
    <w:p w:rsidR="00AF6697" w:rsidRPr="009F420B" w:rsidRDefault="00AF6697" w:rsidP="00AF6697">
      <w:pPr>
        <w:pStyle w:val="ParaNoNdepar-AltN"/>
        <w:tabs>
          <w:tab w:val="clear" w:pos="1166"/>
          <w:tab w:val="num" w:pos="1152"/>
        </w:tabs>
        <w:rPr>
          <w:rFonts w:cs="Times New Roman"/>
          <w:lang w:val="fr-CA"/>
        </w:rPr>
      </w:pPr>
      <w:r w:rsidRPr="009F420B">
        <w:rPr>
          <w:rFonts w:cs="Times New Roman"/>
          <w:lang w:val="fr-CA"/>
        </w:rPr>
        <w:t>En ce qui a trait au rattachement important entre l</w:t>
      </w:r>
      <w:r>
        <w:rPr>
          <w:rFonts w:cs="Times New Roman"/>
          <w:lang w:val="fr-CA"/>
        </w:rPr>
        <w:t>’</w:t>
      </w:r>
      <w:r w:rsidRPr="009F420B">
        <w:rPr>
          <w:rFonts w:cs="Times New Roman"/>
          <w:lang w:val="fr-CA"/>
        </w:rPr>
        <w:t>Utah et le codéfendeur, M. Barer, il vaut la peine de garder à l</w:t>
      </w:r>
      <w:r>
        <w:rPr>
          <w:rFonts w:cs="Times New Roman"/>
          <w:lang w:val="fr-CA"/>
        </w:rPr>
        <w:t>’</w:t>
      </w:r>
      <w:r w:rsidRPr="009F420B">
        <w:rPr>
          <w:rFonts w:cs="Times New Roman"/>
          <w:lang w:val="fr-CA"/>
        </w:rPr>
        <w:t>esprit non seulement que ce dernier « a participé à l</w:t>
      </w:r>
      <w:r>
        <w:rPr>
          <w:rFonts w:cs="Times New Roman"/>
          <w:lang w:val="fr-CA"/>
        </w:rPr>
        <w:t>’</w:t>
      </w:r>
      <w:r w:rsidRPr="009F420B">
        <w:rPr>
          <w:rFonts w:cs="Times New Roman"/>
          <w:lang w:val="fr-CA"/>
        </w:rPr>
        <w:t>instance dans l</w:t>
      </w:r>
      <w:r>
        <w:rPr>
          <w:rFonts w:cs="Times New Roman"/>
          <w:lang w:val="fr-CA"/>
        </w:rPr>
        <w:t>’</w:t>
      </w:r>
      <w:r w:rsidRPr="009F420B">
        <w:rPr>
          <w:rFonts w:cs="Times New Roman"/>
          <w:lang w:val="fr-CA"/>
        </w:rPr>
        <w:t>Utah » (motifs du juge Gascon</w:t>
      </w:r>
      <w:r w:rsidR="00A0354A">
        <w:rPr>
          <w:rFonts w:cs="Times New Roman"/>
          <w:lang w:val="fr-CA"/>
        </w:rPr>
        <w:t>,</w:t>
      </w:r>
      <w:r w:rsidRPr="009F420B">
        <w:rPr>
          <w:rFonts w:cs="Times New Roman"/>
          <w:lang w:val="fr-CA"/>
        </w:rPr>
        <w:t xml:space="preserve"> </w:t>
      </w:r>
      <w:r>
        <w:rPr>
          <w:rFonts w:cs="Times New Roman"/>
          <w:lang w:val="fr-CA"/>
        </w:rPr>
        <w:t>par. </w:t>
      </w:r>
      <w:r w:rsidRPr="009F420B">
        <w:rPr>
          <w:rFonts w:cs="Times New Roman"/>
          <w:lang w:val="fr-CA"/>
        </w:rPr>
        <w:t>88), mais également qu</w:t>
      </w:r>
      <w:r>
        <w:rPr>
          <w:rFonts w:cs="Times New Roman"/>
          <w:lang w:val="fr-CA"/>
        </w:rPr>
        <w:t>’</w:t>
      </w:r>
      <w:r w:rsidRPr="009F420B">
        <w:rPr>
          <w:rFonts w:cs="Times New Roman"/>
          <w:lang w:val="fr-CA"/>
        </w:rPr>
        <w:t xml:space="preserve">il admet avoir joué un </w:t>
      </w:r>
      <w:r w:rsidRPr="009F420B">
        <w:rPr>
          <w:rFonts w:cs="Times New Roman"/>
          <w:lang w:val="fr-CA"/>
        </w:rPr>
        <w:sym w:font="Symbol" w:char="F05B"/>
      </w:r>
      <w:r w:rsidRPr="009F420B">
        <w:rPr>
          <w:rFonts w:cs="Times New Roman"/>
          <w:smallCaps/>
          <w:lang w:val="fr-CA"/>
        </w:rPr>
        <w:t>traduction</w:t>
      </w:r>
      <w:r w:rsidRPr="009F420B">
        <w:rPr>
          <w:rFonts w:cs="Times New Roman"/>
          <w:lang w:val="fr-CA"/>
        </w:rPr>
        <w:sym w:font="Symbol" w:char="F05D"/>
      </w:r>
      <w:r w:rsidRPr="009F420B">
        <w:rPr>
          <w:rFonts w:cs="Times New Roman"/>
          <w:lang w:val="fr-CA"/>
        </w:rPr>
        <w:t xml:space="preserve"> « rôle clé » (en sa qualité de président de BEC) auprès de Knight, qui est une société de l</w:t>
      </w:r>
      <w:r>
        <w:rPr>
          <w:rFonts w:cs="Times New Roman"/>
          <w:lang w:val="fr-CA"/>
        </w:rPr>
        <w:t>’</w:t>
      </w:r>
      <w:r w:rsidRPr="009F420B">
        <w:rPr>
          <w:rFonts w:cs="Times New Roman"/>
          <w:lang w:val="fr-CA"/>
        </w:rPr>
        <w:t>Utah, aux fins de l</w:t>
      </w:r>
      <w:r>
        <w:rPr>
          <w:rFonts w:cs="Times New Roman"/>
          <w:lang w:val="fr-CA"/>
        </w:rPr>
        <w:t>’</w:t>
      </w:r>
      <w:r w:rsidRPr="009F420B">
        <w:rPr>
          <w:rFonts w:cs="Times New Roman"/>
          <w:lang w:val="fr-CA"/>
        </w:rPr>
        <w:t>exécution d</w:t>
      </w:r>
      <w:r>
        <w:rPr>
          <w:rFonts w:cs="Times New Roman"/>
          <w:lang w:val="fr-CA"/>
        </w:rPr>
        <w:t>’</w:t>
      </w:r>
      <w:r w:rsidRPr="009F420B">
        <w:rPr>
          <w:rFonts w:cs="Times New Roman"/>
          <w:lang w:val="fr-CA"/>
        </w:rPr>
        <w:t>un contrat qui devait avoir lieu dans l</w:t>
      </w:r>
      <w:r>
        <w:rPr>
          <w:rFonts w:cs="Times New Roman"/>
          <w:lang w:val="fr-CA"/>
        </w:rPr>
        <w:t>’</w:t>
      </w:r>
      <w:r w:rsidRPr="009F420B">
        <w:rPr>
          <w:rFonts w:cs="Times New Roman"/>
          <w:lang w:val="fr-CA"/>
        </w:rPr>
        <w:t>Utah</w:t>
      </w:r>
      <w:r>
        <w:rPr>
          <w:rFonts w:cs="Times New Roman"/>
          <w:lang w:val="fr-CA"/>
        </w:rPr>
        <w:t> :</w:t>
      </w:r>
      <w:r w:rsidRPr="009F420B">
        <w:rPr>
          <w:rFonts w:cs="Times New Roman"/>
          <w:lang w:val="fr-CA"/>
        </w:rPr>
        <w:t xml:space="preserve"> d.a., </w:t>
      </w:r>
      <w:r>
        <w:rPr>
          <w:rFonts w:cs="Times New Roman"/>
          <w:lang w:val="fr-CA"/>
        </w:rPr>
        <w:t>vol. </w:t>
      </w:r>
      <w:r w:rsidRPr="009F420B">
        <w:rPr>
          <w:rFonts w:cs="Times New Roman"/>
          <w:lang w:val="fr-CA"/>
        </w:rPr>
        <w:t xml:space="preserve">II, </w:t>
      </w:r>
      <w:r>
        <w:rPr>
          <w:rFonts w:cs="Times New Roman"/>
          <w:lang w:val="fr-CA"/>
        </w:rPr>
        <w:t>p. </w:t>
      </w:r>
      <w:r w:rsidRPr="009F420B">
        <w:rPr>
          <w:rFonts w:cs="Times New Roman"/>
          <w:lang w:val="fr-CA"/>
        </w:rPr>
        <w:t>81</w:t>
      </w:r>
      <w:r>
        <w:rPr>
          <w:rFonts w:cs="Times New Roman"/>
          <w:lang w:val="fr-CA"/>
        </w:rPr>
        <w:noBreakHyphen/>
      </w:r>
      <w:r w:rsidRPr="009F420B">
        <w:rPr>
          <w:rFonts w:cs="Times New Roman"/>
          <w:lang w:val="fr-CA"/>
        </w:rPr>
        <w:t xml:space="preserve">82. Il </w:t>
      </w:r>
      <w:r w:rsidRPr="009F420B">
        <w:rPr>
          <w:rFonts w:cs="Times New Roman"/>
          <w:i/>
          <w:lang w:val="fr-CA"/>
        </w:rPr>
        <w:t>ne</w:t>
      </w:r>
      <w:r w:rsidRPr="009F420B">
        <w:rPr>
          <w:rFonts w:cs="Times New Roman"/>
          <w:lang w:val="fr-CA"/>
        </w:rPr>
        <w:t xml:space="preserve"> s</w:t>
      </w:r>
      <w:r>
        <w:rPr>
          <w:rFonts w:cs="Times New Roman"/>
          <w:lang w:val="fr-CA"/>
        </w:rPr>
        <w:t>’</w:t>
      </w:r>
      <w:r w:rsidRPr="009F420B">
        <w:rPr>
          <w:rFonts w:cs="Times New Roman"/>
          <w:lang w:val="fr-CA"/>
        </w:rPr>
        <w:t xml:space="preserve">agit par conséquent </w:t>
      </w:r>
      <w:r w:rsidRPr="009F420B">
        <w:rPr>
          <w:rFonts w:cs="Times New Roman"/>
          <w:i/>
          <w:lang w:val="fr-CA"/>
        </w:rPr>
        <w:t>pas</w:t>
      </w:r>
      <w:r w:rsidRPr="009F420B">
        <w:rPr>
          <w:rFonts w:cs="Times New Roman"/>
          <w:lang w:val="fr-CA"/>
        </w:rPr>
        <w:t xml:space="preserve"> d</w:t>
      </w:r>
      <w:r>
        <w:rPr>
          <w:rFonts w:cs="Times New Roman"/>
          <w:lang w:val="fr-CA"/>
        </w:rPr>
        <w:t>’</w:t>
      </w:r>
      <w:r w:rsidRPr="009F420B">
        <w:rPr>
          <w:rFonts w:cs="Times New Roman"/>
          <w:lang w:val="fr-CA"/>
        </w:rPr>
        <w:t>un cas où le défendeur était « li</w:t>
      </w:r>
      <w:r w:rsidR="00A0354A">
        <w:rPr>
          <w:rFonts w:cs="Times New Roman"/>
          <w:lang w:val="fr-CA"/>
        </w:rPr>
        <w:t>[</w:t>
      </w:r>
      <w:r w:rsidRPr="009F420B">
        <w:rPr>
          <w:rFonts w:cs="Times New Roman"/>
          <w:lang w:val="fr-CA"/>
        </w:rPr>
        <w:t>é</w:t>
      </w:r>
      <w:r w:rsidR="00A0354A">
        <w:rPr>
          <w:rFonts w:cs="Times New Roman"/>
          <w:lang w:val="fr-CA"/>
        </w:rPr>
        <w:t>] [. . .] de loin à un</w:t>
      </w:r>
      <w:r w:rsidRPr="009F420B">
        <w:rPr>
          <w:rFonts w:cs="Times New Roman"/>
          <w:lang w:val="fr-CA"/>
        </w:rPr>
        <w:t xml:space="preserve"> contrat »</w:t>
      </w:r>
      <w:r>
        <w:rPr>
          <w:rFonts w:cs="Times New Roman"/>
          <w:lang w:val="fr-CA"/>
        </w:rPr>
        <w:t> :</w:t>
      </w:r>
      <w:r w:rsidRPr="009F420B">
        <w:rPr>
          <w:rFonts w:cs="Times New Roman"/>
          <w:lang w:val="fr-CA"/>
        </w:rPr>
        <w:t xml:space="preserve"> motifs de la juge Côté, </w:t>
      </w:r>
      <w:r>
        <w:rPr>
          <w:rFonts w:cs="Times New Roman"/>
          <w:lang w:val="fr-CA"/>
        </w:rPr>
        <w:t>par. </w:t>
      </w:r>
      <w:r w:rsidRPr="009F420B">
        <w:rPr>
          <w:rFonts w:cs="Times New Roman"/>
          <w:lang w:val="fr-CA"/>
        </w:rPr>
        <w:t>199. Nous ne sommes pas non plus en présence d</w:t>
      </w:r>
      <w:r>
        <w:rPr>
          <w:rFonts w:cs="Times New Roman"/>
          <w:lang w:val="fr-CA"/>
        </w:rPr>
        <w:t>’</w:t>
      </w:r>
      <w:r w:rsidRPr="009F420B">
        <w:rPr>
          <w:rFonts w:cs="Times New Roman"/>
          <w:lang w:val="fr-CA"/>
        </w:rPr>
        <w:t>une situation où « </w:t>
      </w:r>
      <w:r w:rsidRPr="009F420B">
        <w:rPr>
          <w:rStyle w:val="reference"/>
          <w:lang w:val="fr-CA"/>
        </w:rPr>
        <w:t xml:space="preserve">la </w:t>
      </w:r>
      <w:r w:rsidRPr="009F420B">
        <w:rPr>
          <w:rFonts w:cs="Times New Roman"/>
          <w:lang w:val="fr-CA"/>
        </w:rPr>
        <w:t xml:space="preserve">certitude et la prévisibilité que visent à promouvoir les facteurs de rattachement précis énoncés dans le </w:t>
      </w:r>
      <w:r w:rsidRPr="009F420B">
        <w:rPr>
          <w:rFonts w:cs="Times New Roman"/>
          <w:i/>
          <w:lang w:val="fr-CA"/>
        </w:rPr>
        <w:t>C.c.Q.</w:t>
      </w:r>
      <w:r w:rsidRPr="009F420B">
        <w:rPr>
          <w:rFonts w:cs="Times New Roman"/>
          <w:lang w:val="fr-CA"/>
        </w:rPr>
        <w:t xml:space="preserve"> s</w:t>
      </w:r>
      <w:r>
        <w:rPr>
          <w:rFonts w:cs="Times New Roman"/>
          <w:lang w:val="fr-CA"/>
        </w:rPr>
        <w:t>’</w:t>
      </w:r>
      <w:r w:rsidRPr="009F420B">
        <w:rPr>
          <w:rFonts w:cs="Times New Roman"/>
          <w:lang w:val="fr-CA"/>
        </w:rPr>
        <w:t>en trouveraient minés » (</w:t>
      </w:r>
      <w:r>
        <w:rPr>
          <w:rFonts w:cs="Times New Roman"/>
          <w:lang w:val="fr-CA"/>
        </w:rPr>
        <w:t xml:space="preserve">motifs de la juge </w:t>
      </w:r>
      <w:r w:rsidRPr="009F420B">
        <w:rPr>
          <w:rFonts w:cs="Times New Roman"/>
          <w:lang w:val="fr-CA"/>
        </w:rPr>
        <w:t xml:space="preserve">Côté, </w:t>
      </w:r>
      <w:r>
        <w:rPr>
          <w:rFonts w:cs="Times New Roman"/>
          <w:lang w:val="fr-CA"/>
        </w:rPr>
        <w:t>par. </w:t>
      </w:r>
      <w:r w:rsidRPr="009F420B">
        <w:rPr>
          <w:rFonts w:cs="Times New Roman"/>
          <w:lang w:val="fr-CA"/>
        </w:rPr>
        <w:t>286), puisqu</w:t>
      </w:r>
      <w:r>
        <w:rPr>
          <w:rFonts w:cs="Times New Roman"/>
          <w:lang w:val="fr-CA"/>
        </w:rPr>
        <w:t>’</w:t>
      </w:r>
      <w:r w:rsidRPr="009F420B">
        <w:rPr>
          <w:rFonts w:cs="Times New Roman"/>
          <w:lang w:val="fr-CA"/>
        </w:rPr>
        <w:t>il était tout à fait prévisible que M. Barer pourrait être assujetti à la compétence du tribunal de l</w:t>
      </w:r>
      <w:r>
        <w:rPr>
          <w:rFonts w:cs="Times New Roman"/>
          <w:lang w:val="fr-CA"/>
        </w:rPr>
        <w:t>’</w:t>
      </w:r>
      <w:r w:rsidRPr="009F420B">
        <w:rPr>
          <w:rFonts w:cs="Times New Roman"/>
          <w:lang w:val="fr-CA"/>
        </w:rPr>
        <w:t>Utah en cas de différend avec Knight. Comme la Cour l</w:t>
      </w:r>
      <w:r>
        <w:rPr>
          <w:rFonts w:cs="Times New Roman"/>
          <w:lang w:val="fr-CA"/>
        </w:rPr>
        <w:t>’</w:t>
      </w:r>
      <w:r w:rsidRPr="009F420B">
        <w:rPr>
          <w:rFonts w:cs="Times New Roman"/>
          <w:lang w:val="fr-CA"/>
        </w:rPr>
        <w:t xml:space="preserve">a expliqué au </w:t>
      </w:r>
      <w:r>
        <w:rPr>
          <w:rFonts w:cs="Times New Roman"/>
          <w:lang w:val="fr-CA"/>
        </w:rPr>
        <w:t>par. </w:t>
      </w:r>
      <w:r w:rsidRPr="009F420B">
        <w:rPr>
          <w:rFonts w:cs="Times New Roman"/>
          <w:lang w:val="fr-CA"/>
        </w:rPr>
        <w:t>25 de l</w:t>
      </w:r>
      <w:r>
        <w:rPr>
          <w:rFonts w:cs="Times New Roman"/>
          <w:lang w:val="fr-CA"/>
        </w:rPr>
        <w:t>’</w:t>
      </w:r>
      <w:r w:rsidRPr="009F420B">
        <w:rPr>
          <w:rFonts w:cs="Times New Roman"/>
          <w:lang w:val="fr-CA"/>
        </w:rPr>
        <w:t xml:space="preserve">arrêt </w:t>
      </w:r>
      <w:r w:rsidRPr="009F420B">
        <w:rPr>
          <w:rFonts w:cs="Times New Roman"/>
          <w:i/>
          <w:lang w:val="fr-CA"/>
        </w:rPr>
        <w:t>Beals</w:t>
      </w:r>
      <w:r w:rsidRPr="009F420B">
        <w:rPr>
          <w:rFonts w:cs="Times New Roman"/>
          <w:lang w:val="fr-CA"/>
        </w:rPr>
        <w:t>, en faisant référence à l</w:t>
      </w:r>
      <w:r>
        <w:rPr>
          <w:rFonts w:cs="Times New Roman"/>
          <w:lang w:val="fr-CA"/>
        </w:rPr>
        <w:t>’</w:t>
      </w:r>
      <w:r w:rsidRPr="009F420B">
        <w:rPr>
          <w:rFonts w:cs="Times New Roman"/>
          <w:lang w:val="fr-CA"/>
        </w:rPr>
        <w:t xml:space="preserve">arrêt </w:t>
      </w:r>
      <w:r w:rsidRPr="009F420B">
        <w:rPr>
          <w:rFonts w:cs="Times New Roman"/>
          <w:i/>
          <w:lang w:val="fr-CA"/>
        </w:rPr>
        <w:t>Moran c. Pyle National (Canada) Ltd.</w:t>
      </w:r>
      <w:r w:rsidRPr="009F420B">
        <w:rPr>
          <w:rFonts w:cs="Times New Roman"/>
          <w:lang w:val="fr-CA"/>
        </w:rPr>
        <w:t xml:space="preserve">, [1975] 1 R.C.S. 393, </w:t>
      </w:r>
      <w:r>
        <w:rPr>
          <w:rFonts w:cs="Times New Roman"/>
          <w:lang w:val="fr-CA"/>
        </w:rPr>
        <w:t>p. </w:t>
      </w:r>
      <w:r w:rsidRPr="009F420B">
        <w:rPr>
          <w:rFonts w:cs="Times New Roman"/>
          <w:lang w:val="fr-CA"/>
        </w:rPr>
        <w:t>409, il « est raisonnable d</w:t>
      </w:r>
      <w:r>
        <w:rPr>
          <w:rFonts w:cs="Times New Roman"/>
          <w:lang w:val="fr-CA"/>
        </w:rPr>
        <w:t>’</w:t>
      </w:r>
      <w:r w:rsidRPr="009F420B">
        <w:rPr>
          <w:rFonts w:cs="Times New Roman"/>
          <w:lang w:val="fr-CA"/>
        </w:rPr>
        <w:t xml:space="preserve">obliger les particuliers qui exploitent </w:t>
      </w:r>
      <w:r w:rsidRPr="009F420B">
        <w:rPr>
          <w:rFonts w:cs="Times New Roman"/>
          <w:lang w:val="fr-CA"/>
        </w:rPr>
        <w:lastRenderedPageBreak/>
        <w:t>une entreprise dans un autre ressort [. . .] à opposer une défense à l</w:t>
      </w:r>
      <w:r>
        <w:rPr>
          <w:rFonts w:cs="Times New Roman"/>
          <w:lang w:val="fr-CA"/>
        </w:rPr>
        <w:t>’</w:t>
      </w:r>
      <w:r w:rsidRPr="009F420B">
        <w:rPr>
          <w:rFonts w:cs="Times New Roman"/>
          <w:lang w:val="fr-CA"/>
        </w:rPr>
        <w:t>action intentée contre eux dans ce ressort ».</w:t>
      </w:r>
    </w:p>
    <w:p w:rsidR="00AF6697" w:rsidRPr="009F420B" w:rsidRDefault="00AF6697" w:rsidP="00AF6697">
      <w:pPr>
        <w:pStyle w:val="ParaNoNdepar-AltN"/>
        <w:tabs>
          <w:tab w:val="clear" w:pos="1166"/>
          <w:tab w:val="num" w:pos="1152"/>
        </w:tabs>
        <w:rPr>
          <w:rFonts w:cs="Times New Roman"/>
          <w:lang w:val="fr-CA"/>
        </w:rPr>
      </w:pPr>
      <w:r w:rsidRPr="009F420B">
        <w:rPr>
          <w:rFonts w:cs="Times New Roman"/>
          <w:lang w:val="fr-CA"/>
        </w:rPr>
        <w:t>Même si je suis d</w:t>
      </w:r>
      <w:r>
        <w:rPr>
          <w:rFonts w:cs="Times New Roman"/>
          <w:lang w:val="fr-CA"/>
        </w:rPr>
        <w:t>’</w:t>
      </w:r>
      <w:r w:rsidRPr="009F420B">
        <w:rPr>
          <w:rFonts w:cs="Times New Roman"/>
          <w:lang w:val="fr-CA"/>
        </w:rPr>
        <w:t xml:space="preserve">avis que, dans les circonstances de la présente cause, il </w:t>
      </w:r>
      <w:r w:rsidRPr="009F420B">
        <w:rPr>
          <w:rFonts w:cs="Times New Roman"/>
          <w:i/>
          <w:lang w:val="fr-CA"/>
        </w:rPr>
        <w:t xml:space="preserve">existe </w:t>
      </w:r>
      <w:r w:rsidRPr="009F420B">
        <w:rPr>
          <w:rFonts w:cs="Times New Roman"/>
          <w:lang w:val="fr-CA"/>
        </w:rPr>
        <w:t>un rattachement suffisamment important entre l</w:t>
      </w:r>
      <w:r>
        <w:rPr>
          <w:rFonts w:cs="Times New Roman"/>
          <w:lang w:val="fr-CA"/>
        </w:rPr>
        <w:t>’</w:t>
      </w:r>
      <w:r w:rsidRPr="009F420B">
        <w:rPr>
          <w:rFonts w:cs="Times New Roman"/>
          <w:lang w:val="fr-CA"/>
        </w:rPr>
        <w:t>Utah et le codéfendeur, M. Barer, je devrais ajouter que, suivant la jurisprudence pertinente, il n</w:t>
      </w:r>
      <w:r>
        <w:rPr>
          <w:rFonts w:cs="Times New Roman"/>
          <w:lang w:val="fr-CA"/>
        </w:rPr>
        <w:t>’</w:t>
      </w:r>
      <w:r w:rsidRPr="009F420B">
        <w:rPr>
          <w:rFonts w:cs="Times New Roman"/>
          <w:lang w:val="fr-CA"/>
        </w:rPr>
        <w:t>est pas absolument nécessaire de prouver l</w:t>
      </w:r>
      <w:r>
        <w:rPr>
          <w:rFonts w:cs="Times New Roman"/>
          <w:lang w:val="fr-CA"/>
        </w:rPr>
        <w:t>’</w:t>
      </w:r>
      <w:r w:rsidRPr="009F420B">
        <w:rPr>
          <w:rFonts w:cs="Times New Roman"/>
          <w:lang w:val="fr-CA"/>
        </w:rPr>
        <w:t>existence d</w:t>
      </w:r>
      <w:r>
        <w:rPr>
          <w:rFonts w:cs="Times New Roman"/>
          <w:lang w:val="fr-CA"/>
        </w:rPr>
        <w:t>’</w:t>
      </w:r>
      <w:r w:rsidRPr="009F420B">
        <w:rPr>
          <w:rFonts w:cs="Times New Roman"/>
          <w:lang w:val="fr-CA"/>
        </w:rPr>
        <w:t>un rattachement important entre l</w:t>
      </w:r>
      <w:r>
        <w:rPr>
          <w:rFonts w:cs="Times New Roman"/>
          <w:lang w:val="fr-CA"/>
        </w:rPr>
        <w:t>’</w:t>
      </w:r>
      <w:r w:rsidRPr="009F420B">
        <w:rPr>
          <w:rFonts w:cs="Times New Roman"/>
          <w:lang w:val="fr-CA"/>
        </w:rPr>
        <w:t>État de l</w:t>
      </w:r>
      <w:r>
        <w:rPr>
          <w:rFonts w:cs="Times New Roman"/>
          <w:lang w:val="fr-CA"/>
        </w:rPr>
        <w:t>’</w:t>
      </w:r>
      <w:r w:rsidRPr="009F420B">
        <w:rPr>
          <w:rFonts w:cs="Times New Roman"/>
          <w:lang w:val="fr-CA"/>
        </w:rPr>
        <w:t>autorité étrangère et le défendeur, particulièrement lorsque, comme en l</w:t>
      </w:r>
      <w:r>
        <w:rPr>
          <w:rFonts w:cs="Times New Roman"/>
          <w:lang w:val="fr-CA"/>
        </w:rPr>
        <w:t>’</w:t>
      </w:r>
      <w:r w:rsidRPr="009F420B">
        <w:rPr>
          <w:rFonts w:cs="Times New Roman"/>
          <w:lang w:val="fr-CA"/>
        </w:rPr>
        <w:t>espèce, un tel lien subsiste clairement entre cet État et l</w:t>
      </w:r>
      <w:r>
        <w:rPr>
          <w:rFonts w:cs="Times New Roman"/>
          <w:lang w:val="fr-CA"/>
        </w:rPr>
        <w:t>’</w:t>
      </w:r>
      <w:r w:rsidRPr="009F420B">
        <w:rPr>
          <w:rFonts w:cs="Times New Roman"/>
          <w:lang w:val="fr-CA"/>
        </w:rPr>
        <w:t>objet du litige</w:t>
      </w:r>
      <w:r>
        <w:rPr>
          <w:rFonts w:cs="Times New Roman"/>
          <w:lang w:val="fr-CA"/>
        </w:rPr>
        <w:t> :</w:t>
      </w:r>
      <w:r w:rsidRPr="009F420B">
        <w:rPr>
          <w:rFonts w:cs="Times New Roman"/>
          <w:lang w:val="fr-CA"/>
        </w:rPr>
        <w:t xml:space="preserve"> voir </w:t>
      </w:r>
      <w:r w:rsidRPr="009F420B">
        <w:rPr>
          <w:rFonts w:cs="Times New Roman"/>
          <w:i/>
          <w:lang w:val="fr-CA"/>
        </w:rPr>
        <w:t>Beals</w:t>
      </w:r>
      <w:r w:rsidR="00A0354A" w:rsidRPr="00A0354A">
        <w:rPr>
          <w:rFonts w:cs="Times New Roman"/>
          <w:lang w:val="fr-CA"/>
        </w:rPr>
        <w:t>,</w:t>
      </w:r>
      <w:r w:rsidRPr="009F420B">
        <w:rPr>
          <w:rFonts w:cs="Times New Roman"/>
          <w:i/>
          <w:lang w:val="fr-CA"/>
        </w:rPr>
        <w:t xml:space="preserve"> </w:t>
      </w:r>
      <w:r>
        <w:rPr>
          <w:rFonts w:cs="Times New Roman"/>
          <w:lang w:val="fr-CA"/>
        </w:rPr>
        <w:t>par. </w:t>
      </w:r>
      <w:r w:rsidRPr="009F420B">
        <w:rPr>
          <w:rFonts w:cs="Times New Roman"/>
          <w:lang w:val="fr-CA"/>
        </w:rPr>
        <w:t>23 (« </w:t>
      </w:r>
      <w:r w:rsidR="00507CC0">
        <w:rPr>
          <w:rFonts w:cs="Times New Roman"/>
          <w:lang w:val="fr-CA"/>
        </w:rPr>
        <w:t>[l]</w:t>
      </w:r>
      <w:r>
        <w:rPr>
          <w:rFonts w:cs="Times New Roman"/>
          <w:lang w:val="fr-CA"/>
        </w:rPr>
        <w:t>’</w:t>
      </w:r>
      <w:r w:rsidRPr="009F420B">
        <w:rPr>
          <w:rFonts w:cs="Times New Roman"/>
          <w:lang w:val="fr-CA"/>
        </w:rPr>
        <w:t>existence d</w:t>
      </w:r>
      <w:r>
        <w:rPr>
          <w:rFonts w:cs="Times New Roman"/>
          <w:lang w:val="fr-CA"/>
        </w:rPr>
        <w:t>’</w:t>
      </w:r>
      <w:r w:rsidRPr="009F420B">
        <w:rPr>
          <w:rFonts w:cs="Times New Roman"/>
          <w:lang w:val="fr-CA"/>
        </w:rPr>
        <w:t>un lien substantiel avec l</w:t>
      </w:r>
      <w:r>
        <w:rPr>
          <w:rFonts w:cs="Times New Roman"/>
          <w:lang w:val="fr-CA"/>
        </w:rPr>
        <w:t>’</w:t>
      </w:r>
      <w:r w:rsidRPr="009F420B">
        <w:rPr>
          <w:rFonts w:cs="Times New Roman"/>
          <w:lang w:val="fr-CA"/>
        </w:rPr>
        <w:t>objet de l</w:t>
      </w:r>
      <w:r>
        <w:rPr>
          <w:rFonts w:cs="Times New Roman"/>
          <w:lang w:val="fr-CA"/>
        </w:rPr>
        <w:t>’</w:t>
      </w:r>
      <w:r w:rsidRPr="009F420B">
        <w:rPr>
          <w:rFonts w:cs="Times New Roman"/>
          <w:lang w:val="fr-CA"/>
        </w:rPr>
        <w:t xml:space="preserve">action permet de satisfaire au critère du </w:t>
      </w:r>
      <w:r w:rsidR="00A0354A">
        <w:rPr>
          <w:rFonts w:cs="Times New Roman"/>
          <w:lang w:val="fr-CA"/>
        </w:rPr>
        <w:t>‟</w:t>
      </w:r>
      <w:r w:rsidRPr="009F420B">
        <w:rPr>
          <w:rFonts w:cs="Times New Roman"/>
          <w:lang w:val="fr-CA"/>
        </w:rPr>
        <w:t>lien réel et substantiel</w:t>
      </w:r>
      <w:r w:rsidR="00A0354A">
        <w:rPr>
          <w:rFonts w:cs="Times New Roman"/>
          <w:lang w:val="fr-CA"/>
        </w:rPr>
        <w:t>”</w:t>
      </w:r>
      <w:r w:rsidRPr="009F420B">
        <w:rPr>
          <w:rFonts w:cs="Times New Roman"/>
          <w:lang w:val="fr-CA"/>
        </w:rPr>
        <w:t>, même en l</w:t>
      </w:r>
      <w:r>
        <w:rPr>
          <w:rFonts w:cs="Times New Roman"/>
          <w:lang w:val="fr-CA"/>
        </w:rPr>
        <w:t>’</w:t>
      </w:r>
      <w:r w:rsidRPr="009F420B">
        <w:rPr>
          <w:rFonts w:cs="Times New Roman"/>
          <w:lang w:val="fr-CA"/>
        </w:rPr>
        <w:t>absence d</w:t>
      </w:r>
      <w:r>
        <w:rPr>
          <w:rFonts w:cs="Times New Roman"/>
          <w:lang w:val="fr-CA"/>
        </w:rPr>
        <w:t>’</w:t>
      </w:r>
      <w:r w:rsidRPr="009F420B">
        <w:rPr>
          <w:rFonts w:cs="Times New Roman"/>
          <w:lang w:val="fr-CA"/>
        </w:rPr>
        <w:t>un tel lien avec le défendeur à l</w:t>
      </w:r>
      <w:r>
        <w:rPr>
          <w:rFonts w:cs="Times New Roman"/>
          <w:lang w:val="fr-CA"/>
        </w:rPr>
        <w:t>’</w:t>
      </w:r>
      <w:r w:rsidRPr="009F420B">
        <w:rPr>
          <w:rFonts w:cs="Times New Roman"/>
          <w:lang w:val="fr-CA"/>
        </w:rPr>
        <w:t xml:space="preserve">action »); </w:t>
      </w:r>
      <w:r w:rsidRPr="009F420B">
        <w:rPr>
          <w:rFonts w:cs="Times New Roman"/>
          <w:i/>
          <w:lang w:val="fr-CA"/>
        </w:rPr>
        <w:t>CIMA Plastics Cor</w:t>
      </w:r>
      <w:r>
        <w:rPr>
          <w:rFonts w:cs="Times New Roman"/>
          <w:i/>
          <w:lang w:val="fr-CA"/>
        </w:rPr>
        <w:t>p. </w:t>
      </w:r>
      <w:r w:rsidRPr="009F420B">
        <w:rPr>
          <w:rFonts w:cs="Times New Roman"/>
          <w:i/>
          <w:lang w:val="fr-CA"/>
        </w:rPr>
        <w:t>c. Sandid Enterprises Ltd.</w:t>
      </w:r>
      <w:r w:rsidRPr="009F420B">
        <w:rPr>
          <w:rFonts w:cs="Times New Roman"/>
          <w:lang w:val="fr-CA"/>
        </w:rPr>
        <w:t xml:space="preserve">, 2011 ONCA 589, 341 D.L.R. (4th) 442, </w:t>
      </w:r>
      <w:r>
        <w:rPr>
          <w:rFonts w:cs="Times New Roman"/>
          <w:lang w:val="fr-CA"/>
        </w:rPr>
        <w:t>par. </w:t>
      </w:r>
      <w:r w:rsidRPr="009F420B">
        <w:rPr>
          <w:rFonts w:cs="Times New Roman"/>
          <w:lang w:val="fr-CA"/>
        </w:rPr>
        <w:t>17</w:t>
      </w:r>
      <w:r>
        <w:rPr>
          <w:rFonts w:cs="Times New Roman"/>
          <w:lang w:val="fr-CA"/>
        </w:rPr>
        <w:noBreakHyphen/>
      </w:r>
      <w:r w:rsidRPr="009F420B">
        <w:rPr>
          <w:rFonts w:cs="Times New Roman"/>
          <w:lang w:val="fr-CA"/>
        </w:rPr>
        <w:t xml:space="preserve">18; </w:t>
      </w:r>
      <w:r w:rsidRPr="009F420B">
        <w:rPr>
          <w:rFonts w:cs="Times New Roman"/>
          <w:i/>
          <w:lang w:val="fr-CA"/>
        </w:rPr>
        <w:t>Oakley c. Barry</w:t>
      </w:r>
      <w:r w:rsidRPr="009F420B">
        <w:rPr>
          <w:rFonts w:cs="Times New Roman"/>
          <w:lang w:val="fr-CA"/>
        </w:rPr>
        <w:t xml:space="preserve"> (1998), 158 D.L.R. (4th) 679 (C.A. N.</w:t>
      </w:r>
      <w:r>
        <w:rPr>
          <w:rFonts w:cs="Times New Roman"/>
          <w:lang w:val="fr-CA"/>
        </w:rPr>
        <w:noBreakHyphen/>
      </w:r>
      <w:r w:rsidRPr="009F420B">
        <w:rPr>
          <w:rFonts w:cs="Times New Roman"/>
          <w:lang w:val="fr-CA"/>
        </w:rPr>
        <w:t xml:space="preserve">É.); </w:t>
      </w:r>
      <w:r w:rsidRPr="009F420B">
        <w:rPr>
          <w:rFonts w:cs="Times New Roman"/>
          <w:i/>
          <w:lang w:val="fr-CA"/>
        </w:rPr>
        <w:t>O</w:t>
      </w:r>
      <w:r>
        <w:rPr>
          <w:rFonts w:cs="Times New Roman"/>
          <w:i/>
          <w:lang w:val="fr-CA"/>
        </w:rPr>
        <w:t>’</w:t>
      </w:r>
      <w:r w:rsidRPr="009F420B">
        <w:rPr>
          <w:rFonts w:cs="Times New Roman"/>
          <w:i/>
          <w:lang w:val="fr-CA"/>
        </w:rPr>
        <w:t>Brien c. Canada (Attorney General)</w:t>
      </w:r>
      <w:r w:rsidR="00353F8D">
        <w:rPr>
          <w:rFonts w:cs="Times New Roman"/>
          <w:lang w:val="fr-CA"/>
        </w:rPr>
        <w:t xml:space="preserve"> (2002),</w:t>
      </w:r>
      <w:r w:rsidR="00A0354A">
        <w:rPr>
          <w:rFonts w:cs="Times New Roman"/>
          <w:lang w:val="fr-CA"/>
        </w:rPr>
        <w:t xml:space="preserve"> 210 D.L.R. (4th) 668 </w:t>
      </w:r>
      <w:r w:rsidRPr="009F420B">
        <w:rPr>
          <w:rFonts w:cs="Times New Roman"/>
          <w:lang w:val="fr-CA"/>
        </w:rPr>
        <w:t>(C.A.</w:t>
      </w:r>
      <w:r w:rsidR="00A3616E">
        <w:rPr>
          <w:rFonts w:cs="Times New Roman"/>
          <w:lang w:val="fr-CA"/>
        </w:rPr>
        <w:t> </w:t>
      </w:r>
      <w:r w:rsidR="00A0354A">
        <w:rPr>
          <w:rFonts w:cs="Times New Roman"/>
          <w:lang w:val="fr-CA"/>
        </w:rPr>
        <w:t>N-É.</w:t>
      </w:r>
      <w:r w:rsidRPr="009F420B">
        <w:rPr>
          <w:rFonts w:cs="Times New Roman"/>
          <w:lang w:val="fr-CA"/>
        </w:rPr>
        <w:t xml:space="preserve">) (Q.L.); </w:t>
      </w:r>
      <w:r w:rsidRPr="009F420B">
        <w:rPr>
          <w:rFonts w:cs="Times New Roman"/>
          <w:i/>
          <w:lang w:val="fr-CA"/>
        </w:rPr>
        <w:t>Duncan (Litigation guardian of) c. Neptunia Cor</w:t>
      </w:r>
      <w:r>
        <w:rPr>
          <w:rFonts w:cs="Times New Roman"/>
          <w:i/>
          <w:lang w:val="fr-CA"/>
        </w:rPr>
        <w:t>p. </w:t>
      </w:r>
      <w:r w:rsidRPr="009F420B">
        <w:rPr>
          <w:rFonts w:cs="Times New Roman"/>
          <w:lang w:val="fr-CA"/>
        </w:rPr>
        <w:t xml:space="preserve">(2001), 53 O.R. (3d) 754 (C.S.J.), </w:t>
      </w:r>
      <w:r>
        <w:rPr>
          <w:rFonts w:cs="Times New Roman"/>
          <w:lang w:val="fr-CA"/>
        </w:rPr>
        <w:t>par. </w:t>
      </w:r>
      <w:r w:rsidRPr="009F420B">
        <w:rPr>
          <w:rFonts w:cs="Times New Roman"/>
          <w:lang w:val="fr-CA"/>
        </w:rPr>
        <w:t>41 ([</w:t>
      </w:r>
      <w:r w:rsidRPr="009F420B">
        <w:rPr>
          <w:rFonts w:cs="Times New Roman"/>
          <w:smallCaps/>
          <w:lang w:val="fr-CA"/>
        </w:rPr>
        <w:t>traduction</w:t>
      </w:r>
      <w:r w:rsidRPr="009F420B">
        <w:rPr>
          <w:rFonts w:cs="Times New Roman"/>
          <w:lang w:val="fr-CA"/>
        </w:rPr>
        <w:t>] « </w:t>
      </w:r>
      <w:r w:rsidR="00507CC0">
        <w:rPr>
          <w:rFonts w:cs="Times New Roman"/>
          <w:lang w:val="fr-CA"/>
        </w:rPr>
        <w:t>i</w:t>
      </w:r>
      <w:r w:rsidRPr="009F420B">
        <w:rPr>
          <w:rFonts w:cs="Times New Roman"/>
          <w:lang w:val="fr-CA"/>
        </w:rPr>
        <w:t>l est clair que le lien réel et substantiel entre la province du for et l</w:t>
      </w:r>
      <w:r>
        <w:rPr>
          <w:rFonts w:cs="Times New Roman"/>
          <w:lang w:val="fr-CA"/>
        </w:rPr>
        <w:t>’</w:t>
      </w:r>
      <w:r w:rsidRPr="009F420B">
        <w:rPr>
          <w:rFonts w:cs="Times New Roman"/>
          <w:lang w:val="fr-CA"/>
        </w:rPr>
        <w:t>objet du litige, et pas nécessairement le défendeur, est suffisant pour qu</w:t>
      </w:r>
      <w:r>
        <w:rPr>
          <w:rFonts w:cs="Times New Roman"/>
          <w:lang w:val="fr-CA"/>
        </w:rPr>
        <w:t>’</w:t>
      </w:r>
      <w:r w:rsidRPr="009F420B">
        <w:rPr>
          <w:rFonts w:cs="Times New Roman"/>
          <w:lang w:val="fr-CA"/>
        </w:rPr>
        <w:t xml:space="preserve">il soit satisfait au test »); </w:t>
      </w:r>
      <w:r w:rsidRPr="009F420B">
        <w:rPr>
          <w:rFonts w:cs="Times New Roman"/>
          <w:i/>
          <w:lang w:val="fr-CA"/>
        </w:rPr>
        <w:t>Muscutt</w:t>
      </w:r>
      <w:r w:rsidRPr="009F420B">
        <w:rPr>
          <w:rFonts w:cs="Times New Roman"/>
          <w:lang w:val="fr-CA"/>
        </w:rPr>
        <w:t xml:space="preserve">, </w:t>
      </w:r>
      <w:r>
        <w:rPr>
          <w:rFonts w:cs="Times New Roman"/>
          <w:lang w:val="fr-CA"/>
        </w:rPr>
        <w:t>par. </w:t>
      </w:r>
      <w:r w:rsidRPr="009F420B">
        <w:rPr>
          <w:rFonts w:cs="Times New Roman"/>
          <w:lang w:val="fr-CA"/>
        </w:rPr>
        <w:t xml:space="preserve">74; </w:t>
      </w:r>
      <w:r w:rsidRPr="009F420B">
        <w:rPr>
          <w:rFonts w:cs="Times New Roman"/>
          <w:i/>
          <w:lang w:val="fr-CA"/>
        </w:rPr>
        <w:t>Van Breda c. Village Resorts Limited</w:t>
      </w:r>
      <w:r w:rsidRPr="009F420B">
        <w:rPr>
          <w:rFonts w:cs="Times New Roman"/>
          <w:lang w:val="fr-CA"/>
        </w:rPr>
        <w:t xml:space="preserve">, 2010 ONCA 84, 98 O.R. (3d) 721, </w:t>
      </w:r>
      <w:r>
        <w:rPr>
          <w:rFonts w:cs="Times New Roman"/>
          <w:lang w:val="fr-CA"/>
        </w:rPr>
        <w:t>par. </w:t>
      </w:r>
      <w:r w:rsidRPr="009F420B">
        <w:rPr>
          <w:rFonts w:cs="Times New Roman"/>
          <w:lang w:val="fr-CA"/>
        </w:rPr>
        <w:t>86 ([</w:t>
      </w:r>
      <w:r w:rsidRPr="009F420B">
        <w:rPr>
          <w:rFonts w:cs="Times New Roman"/>
          <w:smallCaps/>
          <w:lang w:val="fr-CA"/>
        </w:rPr>
        <w:t>traduction</w:t>
      </w:r>
      <w:r w:rsidRPr="009F420B">
        <w:rPr>
          <w:rFonts w:cs="Times New Roman"/>
          <w:lang w:val="fr-CA"/>
        </w:rPr>
        <w:t>] « </w:t>
      </w:r>
      <w:r w:rsidR="0033778C">
        <w:rPr>
          <w:rFonts w:cs="Times New Roman"/>
          <w:lang w:val="fr-CA"/>
        </w:rPr>
        <w:t>[j]</w:t>
      </w:r>
      <w:r w:rsidRPr="009F420B">
        <w:rPr>
          <w:rFonts w:cs="Times New Roman"/>
          <w:lang w:val="fr-CA"/>
        </w:rPr>
        <w:t>e ne vois aucune raison de m</w:t>
      </w:r>
      <w:r>
        <w:rPr>
          <w:rFonts w:cs="Times New Roman"/>
          <w:lang w:val="fr-CA"/>
        </w:rPr>
        <w:t>’</w:t>
      </w:r>
      <w:r w:rsidRPr="009F420B">
        <w:rPr>
          <w:rFonts w:cs="Times New Roman"/>
          <w:lang w:val="fr-CA"/>
        </w:rPr>
        <w:t xml:space="preserve">écarter de ce que la cour a affirmé aux </w:t>
      </w:r>
      <w:r>
        <w:rPr>
          <w:rFonts w:cs="Times New Roman"/>
          <w:lang w:val="fr-CA"/>
        </w:rPr>
        <w:t>par. </w:t>
      </w:r>
      <w:r w:rsidRPr="009F420B">
        <w:rPr>
          <w:rFonts w:cs="Times New Roman"/>
          <w:lang w:val="fr-CA"/>
        </w:rPr>
        <w:t>54</w:t>
      </w:r>
      <w:r w:rsidR="0033778C">
        <w:rPr>
          <w:rFonts w:cs="Times New Roman"/>
          <w:lang w:val="fr-CA"/>
        </w:rPr>
        <w:t>-</w:t>
      </w:r>
      <w:r w:rsidRPr="009F420B">
        <w:rPr>
          <w:rFonts w:cs="Times New Roman"/>
          <w:lang w:val="fr-CA"/>
        </w:rPr>
        <w:t xml:space="preserve">74 de </w:t>
      </w:r>
      <w:r w:rsidRPr="009F420B">
        <w:rPr>
          <w:rFonts w:cs="Times New Roman"/>
          <w:i/>
          <w:lang w:val="fr-CA"/>
        </w:rPr>
        <w:t>Muscutt</w:t>
      </w:r>
      <w:r w:rsidRPr="009F420B">
        <w:rPr>
          <w:rFonts w:cs="Times New Roman"/>
          <w:lang w:val="fr-CA"/>
        </w:rPr>
        <w:t>, en rejetant l</w:t>
      </w:r>
      <w:r>
        <w:rPr>
          <w:rFonts w:cs="Times New Roman"/>
          <w:lang w:val="fr-CA"/>
        </w:rPr>
        <w:t>’</w:t>
      </w:r>
      <w:r w:rsidRPr="009F420B">
        <w:rPr>
          <w:rFonts w:cs="Times New Roman"/>
          <w:lang w:val="fr-CA"/>
        </w:rPr>
        <w:t>argument selon lequel la compétence assumée devrait porter exclusivement ou principalement sur la nature et l</w:t>
      </w:r>
      <w:r>
        <w:rPr>
          <w:rFonts w:cs="Times New Roman"/>
          <w:lang w:val="fr-CA"/>
        </w:rPr>
        <w:t>’</w:t>
      </w:r>
      <w:r w:rsidRPr="009F420B">
        <w:rPr>
          <w:rFonts w:cs="Times New Roman"/>
          <w:lang w:val="fr-CA"/>
        </w:rPr>
        <w:t xml:space="preserve">étendue des liens entre le défendeur et le ressort en cause. Nous avons conclu, au </w:t>
      </w:r>
      <w:r>
        <w:rPr>
          <w:rFonts w:cs="Times New Roman"/>
          <w:lang w:val="fr-CA"/>
        </w:rPr>
        <w:t>par. </w:t>
      </w:r>
      <w:r w:rsidRPr="009F420B">
        <w:rPr>
          <w:rFonts w:cs="Times New Roman"/>
          <w:lang w:val="fr-CA"/>
        </w:rPr>
        <w:t>74, que “[s]</w:t>
      </w:r>
      <w:r>
        <w:rPr>
          <w:rFonts w:cs="Times New Roman"/>
          <w:lang w:val="fr-CA"/>
        </w:rPr>
        <w:t>’</w:t>
      </w:r>
      <w:r w:rsidRPr="009F420B">
        <w:rPr>
          <w:rFonts w:cs="Times New Roman"/>
          <w:lang w:val="fr-CA"/>
        </w:rPr>
        <w:t>il est vrai que le lien entre le défendeur et le ressort est un facteur important, il n</w:t>
      </w:r>
      <w:r>
        <w:rPr>
          <w:rFonts w:cs="Times New Roman"/>
          <w:lang w:val="fr-CA"/>
        </w:rPr>
        <w:t>’</w:t>
      </w:r>
      <w:r w:rsidRPr="009F420B">
        <w:rPr>
          <w:rFonts w:cs="Times New Roman"/>
          <w:lang w:val="fr-CA"/>
        </w:rPr>
        <w:t>est pas essentiel” »); G. D. Watson</w:t>
      </w:r>
      <w:r w:rsidR="00A37BEB">
        <w:rPr>
          <w:rFonts w:cs="Times New Roman"/>
          <w:lang w:val="fr-CA"/>
        </w:rPr>
        <w:t xml:space="preserve">, c.r., </w:t>
      </w:r>
      <w:r w:rsidRPr="009F420B">
        <w:rPr>
          <w:rFonts w:cs="Times New Roman"/>
          <w:lang w:val="fr-CA"/>
        </w:rPr>
        <w:t xml:space="preserve">et F. Au, « Constitutional Limits on Service </w:t>
      </w:r>
      <w:r w:rsidRPr="009F420B">
        <w:rPr>
          <w:rFonts w:cs="Times New Roman"/>
          <w:i/>
          <w:lang w:val="fr-CA"/>
        </w:rPr>
        <w:t>Ex Juris</w:t>
      </w:r>
      <w:r w:rsidR="00D44C85">
        <w:rPr>
          <w:rFonts w:cs="Times New Roman"/>
          <w:i/>
          <w:lang w:val="fr-CA"/>
        </w:rPr>
        <w:t xml:space="preserve"> </w:t>
      </w:r>
      <w:r w:rsidRPr="009F420B">
        <w:rPr>
          <w:rFonts w:cs="Times New Roman"/>
          <w:lang w:val="fr-CA"/>
        </w:rPr>
        <w:t xml:space="preserve">: Unanswered Questions from </w:t>
      </w:r>
      <w:r w:rsidRPr="009F420B">
        <w:rPr>
          <w:rFonts w:cs="Times New Roman"/>
          <w:i/>
          <w:lang w:val="fr-CA"/>
        </w:rPr>
        <w:lastRenderedPageBreak/>
        <w:t>Morguard</w:t>
      </w:r>
      <w:r w:rsidRPr="009F420B">
        <w:rPr>
          <w:rFonts w:cs="Times New Roman"/>
          <w:lang w:val="fr-CA"/>
        </w:rPr>
        <w:t xml:space="preserve"> » (2000), 23 </w:t>
      </w:r>
      <w:r w:rsidRPr="009F420B">
        <w:rPr>
          <w:rFonts w:cs="Times New Roman"/>
          <w:i/>
          <w:lang w:val="fr-CA"/>
        </w:rPr>
        <w:t>Adv. Q.</w:t>
      </w:r>
      <w:r w:rsidRPr="009F420B">
        <w:rPr>
          <w:rFonts w:cs="Times New Roman"/>
          <w:lang w:val="fr-CA"/>
        </w:rPr>
        <w:t xml:space="preserve"> 167, </w:t>
      </w:r>
      <w:r>
        <w:rPr>
          <w:rFonts w:cs="Times New Roman"/>
          <w:lang w:val="fr-CA"/>
        </w:rPr>
        <w:t>p. </w:t>
      </w:r>
      <w:r w:rsidRPr="009F420B">
        <w:rPr>
          <w:rFonts w:cs="Times New Roman"/>
          <w:lang w:val="fr-CA"/>
        </w:rPr>
        <w:t>200 ([</w:t>
      </w:r>
      <w:r w:rsidRPr="009F420B">
        <w:rPr>
          <w:rFonts w:cs="Times New Roman"/>
          <w:smallCaps/>
          <w:lang w:val="fr-CA"/>
        </w:rPr>
        <w:t>traduction</w:t>
      </w:r>
      <w:r w:rsidRPr="009F420B">
        <w:rPr>
          <w:rFonts w:cs="Times New Roman"/>
          <w:lang w:val="fr-CA"/>
        </w:rPr>
        <w:t>] « </w:t>
      </w:r>
      <w:r w:rsidR="00D04B40">
        <w:rPr>
          <w:rFonts w:cs="Times New Roman"/>
          <w:lang w:val="fr-CA"/>
        </w:rPr>
        <w:t>d</w:t>
      </w:r>
      <w:r w:rsidRPr="009F420B">
        <w:rPr>
          <w:rFonts w:cs="Times New Roman"/>
          <w:lang w:val="fr-CA"/>
        </w:rPr>
        <w:t>ans les instances complexes où sont en cause maints défendeurs dans différents ressorts, l</w:t>
      </w:r>
      <w:r>
        <w:rPr>
          <w:rFonts w:cs="Times New Roman"/>
          <w:lang w:val="fr-CA"/>
        </w:rPr>
        <w:t>’</w:t>
      </w:r>
      <w:r w:rsidRPr="009F420B">
        <w:rPr>
          <w:rFonts w:cs="Times New Roman"/>
          <w:lang w:val="fr-CA"/>
        </w:rPr>
        <w:t>exigence d</w:t>
      </w:r>
      <w:r>
        <w:rPr>
          <w:rFonts w:cs="Times New Roman"/>
          <w:lang w:val="fr-CA"/>
        </w:rPr>
        <w:t>’</w:t>
      </w:r>
      <w:r w:rsidRPr="009F420B">
        <w:rPr>
          <w:rFonts w:cs="Times New Roman"/>
          <w:lang w:val="fr-CA"/>
        </w:rPr>
        <w:t>un lien substantiel entre chaque défendeur et le ressort peut contribuer à multiplier les actions et mener à des conclusions contradictoires »).</w:t>
      </w:r>
    </w:p>
    <w:p w:rsidR="00AF6697" w:rsidRPr="009F420B" w:rsidRDefault="00AF6697" w:rsidP="00AF6697">
      <w:pPr>
        <w:pStyle w:val="ParaNoNdepar-AltN"/>
        <w:rPr>
          <w:rFonts w:cs="Times New Roman"/>
          <w:lang w:val="fr-CA"/>
        </w:rPr>
      </w:pPr>
      <w:r w:rsidRPr="009F420B">
        <w:rPr>
          <w:rFonts w:cs="Times New Roman"/>
          <w:lang w:val="fr-CA"/>
        </w:rPr>
        <w:t>En ce qui a trait au rattachement important entre l</w:t>
      </w:r>
      <w:r>
        <w:rPr>
          <w:rFonts w:cs="Times New Roman"/>
          <w:lang w:val="fr-CA"/>
        </w:rPr>
        <w:t>’</w:t>
      </w:r>
      <w:r w:rsidRPr="009F420B">
        <w:rPr>
          <w:rFonts w:cs="Times New Roman"/>
          <w:lang w:val="fr-CA"/>
        </w:rPr>
        <w:t>Utah et l</w:t>
      </w:r>
      <w:r>
        <w:rPr>
          <w:rFonts w:cs="Times New Roman"/>
          <w:lang w:val="fr-CA"/>
        </w:rPr>
        <w:t>’</w:t>
      </w:r>
      <w:r w:rsidRPr="009F420B">
        <w:rPr>
          <w:rFonts w:cs="Times New Roman"/>
          <w:lang w:val="fr-CA"/>
        </w:rPr>
        <w:t>objet du litige, il convient de garder à l</w:t>
      </w:r>
      <w:r>
        <w:rPr>
          <w:rFonts w:cs="Times New Roman"/>
          <w:lang w:val="fr-CA"/>
        </w:rPr>
        <w:t>’</w:t>
      </w:r>
      <w:r w:rsidRPr="009F420B">
        <w:rPr>
          <w:rFonts w:cs="Times New Roman"/>
          <w:lang w:val="fr-CA"/>
        </w:rPr>
        <w:t>esprit que le tribunal de cet État avait compétence à l</w:t>
      </w:r>
      <w:r>
        <w:rPr>
          <w:rFonts w:cs="Times New Roman"/>
          <w:lang w:val="fr-CA"/>
        </w:rPr>
        <w:t>’</w:t>
      </w:r>
      <w:r w:rsidRPr="009F420B">
        <w:rPr>
          <w:rFonts w:cs="Times New Roman"/>
          <w:lang w:val="fr-CA"/>
        </w:rPr>
        <w:t xml:space="preserve">égard du litige principal de nature contractuelle en application </w:t>
      </w:r>
      <w:r w:rsidR="00B5585E">
        <w:rPr>
          <w:rFonts w:cs="Times New Roman"/>
          <w:lang w:val="fr-CA"/>
        </w:rPr>
        <w:t>du par.</w:t>
      </w:r>
      <w:r>
        <w:rPr>
          <w:rFonts w:cs="Times New Roman"/>
          <w:lang w:val="fr-CA"/>
        </w:rPr>
        <w:t> </w:t>
      </w:r>
      <w:r w:rsidRPr="009F420B">
        <w:rPr>
          <w:rFonts w:cs="Times New Roman"/>
          <w:lang w:val="fr-CA"/>
        </w:rPr>
        <w:t xml:space="preserve">3168(4) </w:t>
      </w:r>
      <w:r w:rsidRPr="009F420B">
        <w:rPr>
          <w:rFonts w:cs="Times New Roman"/>
          <w:i/>
          <w:lang w:val="fr-CA"/>
        </w:rPr>
        <w:t>C.c.Q.</w:t>
      </w:r>
      <w:r w:rsidRPr="009F420B">
        <w:rPr>
          <w:rFonts w:cs="Times New Roman"/>
          <w:lang w:val="fr-CA"/>
        </w:rPr>
        <w:t>, mais aussi que la possibilité de lever le voile de la personnalité morale est régie par « la loi de l</w:t>
      </w:r>
      <w:r>
        <w:rPr>
          <w:rFonts w:cs="Times New Roman"/>
          <w:lang w:val="fr-CA"/>
        </w:rPr>
        <w:t>’</w:t>
      </w:r>
      <w:r w:rsidRPr="009F420B">
        <w:rPr>
          <w:rFonts w:cs="Times New Roman"/>
          <w:lang w:val="fr-CA"/>
        </w:rPr>
        <w:t>État en vertu de laquelle [la personne morale, en l</w:t>
      </w:r>
      <w:r>
        <w:rPr>
          <w:rFonts w:cs="Times New Roman"/>
          <w:lang w:val="fr-CA"/>
        </w:rPr>
        <w:t>’</w:t>
      </w:r>
      <w:r w:rsidRPr="009F420B">
        <w:rPr>
          <w:rFonts w:cs="Times New Roman"/>
          <w:lang w:val="fr-CA"/>
        </w:rPr>
        <w:t>occurrence, BEC] est constituée [c.</w:t>
      </w:r>
      <w:r>
        <w:rPr>
          <w:rFonts w:cs="Times New Roman"/>
          <w:lang w:val="fr-CA"/>
        </w:rPr>
        <w:noBreakHyphen/>
      </w:r>
      <w:r w:rsidRPr="009F420B">
        <w:rPr>
          <w:rFonts w:cs="Times New Roman"/>
          <w:lang w:val="fr-CA"/>
        </w:rPr>
        <w:t>à</w:t>
      </w:r>
      <w:r>
        <w:rPr>
          <w:rFonts w:cs="Times New Roman"/>
          <w:lang w:val="fr-CA"/>
        </w:rPr>
        <w:noBreakHyphen/>
      </w:r>
      <w:r w:rsidRPr="009F420B">
        <w:rPr>
          <w:rFonts w:cs="Times New Roman"/>
          <w:lang w:val="fr-CA"/>
        </w:rPr>
        <w:t>d. le Vermont], sous réserve, quant à son activité, de la loi du lieu où elle s</w:t>
      </w:r>
      <w:r>
        <w:rPr>
          <w:rFonts w:cs="Times New Roman"/>
          <w:lang w:val="fr-CA"/>
        </w:rPr>
        <w:t>’</w:t>
      </w:r>
      <w:r w:rsidRPr="009F420B">
        <w:rPr>
          <w:rFonts w:cs="Times New Roman"/>
          <w:lang w:val="fr-CA"/>
        </w:rPr>
        <w:t>exerce [c.</w:t>
      </w:r>
      <w:r>
        <w:rPr>
          <w:rFonts w:cs="Times New Roman"/>
          <w:lang w:val="fr-CA"/>
        </w:rPr>
        <w:noBreakHyphen/>
      </w:r>
      <w:r w:rsidRPr="009F420B">
        <w:rPr>
          <w:rFonts w:cs="Times New Roman"/>
          <w:lang w:val="fr-CA"/>
        </w:rPr>
        <w:t>à</w:t>
      </w:r>
      <w:r>
        <w:rPr>
          <w:rFonts w:cs="Times New Roman"/>
          <w:lang w:val="fr-CA"/>
        </w:rPr>
        <w:noBreakHyphen/>
      </w:r>
      <w:r w:rsidRPr="009F420B">
        <w:rPr>
          <w:rFonts w:cs="Times New Roman"/>
          <w:lang w:val="fr-CA"/>
        </w:rPr>
        <w:t>d. l</w:t>
      </w:r>
      <w:r>
        <w:rPr>
          <w:rFonts w:cs="Times New Roman"/>
          <w:lang w:val="fr-CA"/>
        </w:rPr>
        <w:t>’</w:t>
      </w:r>
      <w:r w:rsidRPr="009F420B">
        <w:rPr>
          <w:rFonts w:cs="Times New Roman"/>
          <w:lang w:val="fr-CA"/>
        </w:rPr>
        <w:t>Utah] »</w:t>
      </w:r>
      <w:r>
        <w:rPr>
          <w:rFonts w:cs="Times New Roman"/>
          <w:lang w:val="fr-CA"/>
        </w:rPr>
        <w:t> :</w:t>
      </w:r>
      <w:r w:rsidRPr="009F420B">
        <w:rPr>
          <w:rFonts w:cs="Times New Roman"/>
          <w:lang w:val="fr-CA"/>
        </w:rPr>
        <w:t xml:space="preserve"> </w:t>
      </w:r>
      <w:r>
        <w:rPr>
          <w:rFonts w:cs="Times New Roman"/>
          <w:lang w:val="fr-CA" w:bidi="en-US"/>
        </w:rPr>
        <w:t>art. </w:t>
      </w:r>
      <w:r w:rsidRPr="009F420B">
        <w:rPr>
          <w:rFonts w:cs="Times New Roman"/>
          <w:lang w:val="fr-CA" w:bidi="en-US"/>
        </w:rPr>
        <w:t xml:space="preserve">3083 </w:t>
      </w:r>
      <w:r w:rsidRPr="009F420B">
        <w:rPr>
          <w:rFonts w:cs="Times New Roman"/>
          <w:i/>
          <w:lang w:val="fr-CA" w:bidi="en-US"/>
        </w:rPr>
        <w:t>C.c.Q.</w:t>
      </w:r>
      <w:r w:rsidRPr="009F420B">
        <w:rPr>
          <w:rFonts w:cs="Times New Roman"/>
          <w:lang w:val="fr-CA"/>
        </w:rPr>
        <w:t xml:space="preserve"> Il s</w:t>
      </w:r>
      <w:r>
        <w:rPr>
          <w:rFonts w:cs="Times New Roman"/>
          <w:lang w:val="fr-CA"/>
        </w:rPr>
        <w:t>’</w:t>
      </w:r>
      <w:r w:rsidRPr="009F420B">
        <w:rPr>
          <w:rFonts w:cs="Times New Roman"/>
          <w:lang w:val="fr-CA"/>
        </w:rPr>
        <w:t>ensuit que l</w:t>
      </w:r>
      <w:r>
        <w:rPr>
          <w:rFonts w:cs="Times New Roman"/>
          <w:lang w:val="fr-CA"/>
        </w:rPr>
        <w:t>’</w:t>
      </w:r>
      <w:r w:rsidRPr="009F420B">
        <w:rPr>
          <w:rFonts w:cs="Times New Roman"/>
          <w:lang w:val="fr-CA"/>
        </w:rPr>
        <w:t>allégation d</w:t>
      </w:r>
      <w:r>
        <w:rPr>
          <w:rFonts w:cs="Times New Roman"/>
          <w:lang w:val="fr-CA"/>
        </w:rPr>
        <w:t>’</w:t>
      </w:r>
      <w:r w:rsidRPr="009F420B">
        <w:rPr>
          <w:rFonts w:cs="Times New Roman"/>
          <w:lang w:val="fr-CA"/>
        </w:rPr>
        <w:t>alter ego formulée contre M. Barer personnellement est régie par la loi de l</w:t>
      </w:r>
      <w:r>
        <w:rPr>
          <w:rFonts w:cs="Times New Roman"/>
          <w:lang w:val="fr-CA"/>
        </w:rPr>
        <w:t>’</w:t>
      </w:r>
      <w:r w:rsidRPr="009F420B">
        <w:rPr>
          <w:rFonts w:cs="Times New Roman"/>
          <w:lang w:val="fr-CA"/>
        </w:rPr>
        <w:t>Utah, ce qui constitue un autre indice de l</w:t>
      </w:r>
      <w:r>
        <w:rPr>
          <w:rFonts w:cs="Times New Roman"/>
          <w:lang w:val="fr-CA"/>
        </w:rPr>
        <w:t>’</w:t>
      </w:r>
      <w:r w:rsidRPr="009F420B">
        <w:rPr>
          <w:rFonts w:cs="Times New Roman"/>
          <w:lang w:val="fr-CA"/>
        </w:rPr>
        <w:t>existence d</w:t>
      </w:r>
      <w:r>
        <w:rPr>
          <w:rFonts w:cs="Times New Roman"/>
          <w:lang w:val="fr-CA"/>
        </w:rPr>
        <w:t>’</w:t>
      </w:r>
      <w:r w:rsidRPr="009F420B">
        <w:rPr>
          <w:rFonts w:cs="Times New Roman"/>
          <w:lang w:val="fr-CA"/>
        </w:rPr>
        <w:t>un rattachement important entre cet État et l</w:t>
      </w:r>
      <w:r>
        <w:rPr>
          <w:rFonts w:cs="Times New Roman"/>
          <w:lang w:val="fr-CA"/>
        </w:rPr>
        <w:t>’</w:t>
      </w:r>
      <w:r w:rsidRPr="009F420B">
        <w:rPr>
          <w:rFonts w:cs="Times New Roman"/>
          <w:lang w:val="fr-CA"/>
        </w:rPr>
        <w:t>objet de l</w:t>
      </w:r>
      <w:r>
        <w:rPr>
          <w:rFonts w:cs="Times New Roman"/>
          <w:lang w:val="fr-CA"/>
        </w:rPr>
        <w:t>’</w:t>
      </w:r>
      <w:r w:rsidRPr="009F420B">
        <w:rPr>
          <w:rFonts w:cs="Times New Roman"/>
          <w:i/>
          <w:lang w:val="fr-CA"/>
        </w:rPr>
        <w:t>ensemble</w:t>
      </w:r>
      <w:r w:rsidRPr="009F420B">
        <w:rPr>
          <w:rFonts w:cs="Times New Roman"/>
          <w:lang w:val="fr-CA"/>
        </w:rPr>
        <w:t xml:space="preserve"> du litige, dont l</w:t>
      </w:r>
      <w:r>
        <w:rPr>
          <w:rFonts w:cs="Times New Roman"/>
          <w:lang w:val="fr-CA"/>
        </w:rPr>
        <w:t>’</w:t>
      </w:r>
      <w:r w:rsidRPr="009F420B">
        <w:rPr>
          <w:rFonts w:cs="Times New Roman"/>
          <w:lang w:val="fr-CA"/>
        </w:rPr>
        <w:t>allégation d</w:t>
      </w:r>
      <w:r>
        <w:rPr>
          <w:rFonts w:cs="Times New Roman"/>
          <w:lang w:val="fr-CA"/>
        </w:rPr>
        <w:t>’</w:t>
      </w:r>
      <w:r w:rsidRPr="009F420B">
        <w:rPr>
          <w:rFonts w:cs="Times New Roman"/>
          <w:lang w:val="fr-CA"/>
        </w:rPr>
        <w:t xml:space="preserve">alter ego. </w:t>
      </w:r>
    </w:p>
    <w:p w:rsidR="00AF6697" w:rsidRPr="009F420B" w:rsidRDefault="00AF6697" w:rsidP="00AF6697">
      <w:pPr>
        <w:pStyle w:val="ParaNoNdepar-AltN"/>
        <w:rPr>
          <w:rFonts w:cs="Times New Roman"/>
          <w:lang w:val="fr-CA"/>
        </w:rPr>
      </w:pPr>
      <w:r w:rsidRPr="009F420B">
        <w:rPr>
          <w:rFonts w:cs="Times New Roman"/>
          <w:lang w:val="fr-CA"/>
        </w:rPr>
        <w:t xml:space="preserve">Ma collègue la juge Côté souligne que, aux termes des règles de </w:t>
      </w:r>
      <w:r w:rsidRPr="009F420B">
        <w:rPr>
          <w:rFonts w:cs="Times New Roman"/>
          <w:i/>
          <w:lang w:val="fr-CA"/>
        </w:rPr>
        <w:t>conflits de lois</w:t>
      </w:r>
      <w:r w:rsidRPr="009F420B">
        <w:rPr>
          <w:rFonts w:cs="Times New Roman"/>
          <w:lang w:val="fr-CA"/>
        </w:rPr>
        <w:t xml:space="preserve"> de l</w:t>
      </w:r>
      <w:r>
        <w:rPr>
          <w:rFonts w:cs="Times New Roman"/>
          <w:lang w:val="fr-CA"/>
        </w:rPr>
        <w:t>’</w:t>
      </w:r>
      <w:r w:rsidRPr="009F420B">
        <w:rPr>
          <w:rFonts w:cs="Times New Roman"/>
          <w:lang w:val="fr-CA"/>
        </w:rPr>
        <w:t>Utah, le tribunal de cet État devait appliquer la loi du Vermont pour statuer sur l</w:t>
      </w:r>
      <w:r>
        <w:rPr>
          <w:rFonts w:cs="Times New Roman"/>
          <w:lang w:val="fr-CA"/>
        </w:rPr>
        <w:t>’</w:t>
      </w:r>
      <w:r w:rsidRPr="009F420B">
        <w:rPr>
          <w:rFonts w:cs="Times New Roman"/>
          <w:lang w:val="fr-CA"/>
        </w:rPr>
        <w:t>allégation d</w:t>
      </w:r>
      <w:r>
        <w:rPr>
          <w:rFonts w:cs="Times New Roman"/>
          <w:lang w:val="fr-CA"/>
        </w:rPr>
        <w:t>’</w:t>
      </w:r>
      <w:r w:rsidRPr="009F420B">
        <w:rPr>
          <w:rFonts w:cs="Times New Roman"/>
          <w:lang w:val="fr-CA"/>
        </w:rPr>
        <w:t>alter ego</w:t>
      </w:r>
      <w:r>
        <w:rPr>
          <w:rFonts w:cs="Times New Roman"/>
          <w:lang w:val="fr-CA"/>
        </w:rPr>
        <w:t> :</w:t>
      </w:r>
      <w:r w:rsidRPr="009F420B">
        <w:rPr>
          <w:rFonts w:cs="Times New Roman"/>
          <w:lang w:val="fr-CA"/>
        </w:rPr>
        <w:t xml:space="preserve"> voir d.a., </w:t>
      </w:r>
      <w:r>
        <w:rPr>
          <w:rFonts w:cs="Times New Roman"/>
          <w:lang w:val="fr-CA"/>
        </w:rPr>
        <w:t>vol. </w:t>
      </w:r>
      <w:r w:rsidR="00A3616E">
        <w:rPr>
          <w:rFonts w:cs="Times New Roman"/>
          <w:lang w:val="fr-CA"/>
        </w:rPr>
        <w:t>II</w:t>
      </w:r>
      <w:r w:rsidRPr="009F420B">
        <w:rPr>
          <w:rFonts w:cs="Times New Roman"/>
          <w:lang w:val="fr-CA"/>
        </w:rPr>
        <w:t xml:space="preserve">, </w:t>
      </w:r>
      <w:r>
        <w:rPr>
          <w:rFonts w:cs="Times New Roman"/>
          <w:lang w:val="fr-CA"/>
        </w:rPr>
        <w:t>p. </w:t>
      </w:r>
      <w:r w:rsidR="00A73999">
        <w:rPr>
          <w:rFonts w:cs="Times New Roman"/>
          <w:lang w:val="fr-CA"/>
        </w:rPr>
        <w:t>95 et suiv.</w:t>
      </w:r>
      <w:r w:rsidRPr="009F420B">
        <w:rPr>
          <w:rFonts w:cs="Times New Roman"/>
          <w:lang w:val="fr-CA"/>
        </w:rPr>
        <w:t xml:space="preserve">; motifs de la juge Côté, </w:t>
      </w:r>
      <w:r>
        <w:rPr>
          <w:rFonts w:cs="Times New Roman"/>
          <w:lang w:val="fr-CA"/>
        </w:rPr>
        <w:t>par. </w:t>
      </w:r>
      <w:r w:rsidRPr="009F420B">
        <w:rPr>
          <w:rFonts w:cs="Times New Roman"/>
          <w:lang w:val="fr-CA"/>
        </w:rPr>
        <w:t>273. Or, cela n</w:t>
      </w:r>
      <w:r>
        <w:rPr>
          <w:rFonts w:cs="Times New Roman"/>
          <w:lang w:val="fr-CA"/>
        </w:rPr>
        <w:t>’</w:t>
      </w:r>
      <w:r w:rsidRPr="009F420B">
        <w:rPr>
          <w:rFonts w:cs="Times New Roman"/>
          <w:lang w:val="fr-CA"/>
        </w:rPr>
        <w:t>a aucune incidence sur le plan juridique pour l</w:t>
      </w:r>
      <w:r>
        <w:rPr>
          <w:rFonts w:cs="Times New Roman"/>
          <w:lang w:val="fr-CA"/>
        </w:rPr>
        <w:t>’</w:t>
      </w:r>
      <w:r w:rsidRPr="009F420B">
        <w:rPr>
          <w:rFonts w:cs="Times New Roman"/>
          <w:lang w:val="fr-CA"/>
        </w:rPr>
        <w:t>affaire dont nous sommes saisis. Ce qui importe en l</w:t>
      </w:r>
      <w:r>
        <w:rPr>
          <w:rFonts w:cs="Times New Roman"/>
          <w:lang w:val="fr-CA"/>
        </w:rPr>
        <w:t>’</w:t>
      </w:r>
      <w:r w:rsidRPr="009F420B">
        <w:rPr>
          <w:rFonts w:cs="Times New Roman"/>
          <w:lang w:val="fr-CA"/>
        </w:rPr>
        <w:t>espèce, c</w:t>
      </w:r>
      <w:r>
        <w:rPr>
          <w:rFonts w:cs="Times New Roman"/>
          <w:lang w:val="fr-CA"/>
        </w:rPr>
        <w:t>’</w:t>
      </w:r>
      <w:r w:rsidRPr="009F420B">
        <w:rPr>
          <w:rFonts w:cs="Times New Roman"/>
          <w:lang w:val="fr-CA"/>
        </w:rPr>
        <w:t xml:space="preserve">est que, </w:t>
      </w:r>
      <w:r w:rsidRPr="009F420B">
        <w:rPr>
          <w:rFonts w:cs="Times New Roman"/>
          <w:i/>
          <w:lang w:val="fr-CA"/>
        </w:rPr>
        <w:t>suivant le droit québécois</w:t>
      </w:r>
      <w:r w:rsidRPr="009F420B">
        <w:rPr>
          <w:rFonts w:cs="Times New Roman"/>
          <w:lang w:val="fr-CA"/>
        </w:rPr>
        <w:t xml:space="preserve">, ce sont les règles de </w:t>
      </w:r>
      <w:r w:rsidRPr="009F420B">
        <w:rPr>
          <w:rFonts w:cs="Times New Roman"/>
          <w:i/>
          <w:lang w:val="fr-CA"/>
        </w:rPr>
        <w:t>droit interne</w:t>
      </w:r>
      <w:r w:rsidRPr="009F420B">
        <w:rPr>
          <w:rFonts w:cs="Times New Roman"/>
          <w:lang w:val="fr-CA"/>
        </w:rPr>
        <w:t xml:space="preserve"> de l</w:t>
      </w:r>
      <w:r>
        <w:rPr>
          <w:rFonts w:cs="Times New Roman"/>
          <w:lang w:val="fr-CA"/>
        </w:rPr>
        <w:t>’</w:t>
      </w:r>
      <w:r w:rsidRPr="009F420B">
        <w:rPr>
          <w:rFonts w:cs="Times New Roman"/>
          <w:lang w:val="fr-CA"/>
        </w:rPr>
        <w:t>Utah, et par conséquent l</w:t>
      </w:r>
      <w:r>
        <w:rPr>
          <w:rFonts w:cs="Times New Roman"/>
          <w:lang w:val="fr-CA"/>
        </w:rPr>
        <w:t>’</w:t>
      </w:r>
      <w:r w:rsidRPr="009F420B">
        <w:rPr>
          <w:rFonts w:cs="Times New Roman"/>
          <w:lang w:val="fr-CA"/>
        </w:rPr>
        <w:t>État de l</w:t>
      </w:r>
      <w:r>
        <w:rPr>
          <w:rFonts w:cs="Times New Roman"/>
          <w:lang w:val="fr-CA"/>
        </w:rPr>
        <w:t>’</w:t>
      </w:r>
      <w:r w:rsidRPr="009F420B">
        <w:rPr>
          <w:rFonts w:cs="Times New Roman"/>
          <w:lang w:val="fr-CA"/>
        </w:rPr>
        <w:t>Utah lui</w:t>
      </w:r>
      <w:r>
        <w:rPr>
          <w:rFonts w:cs="Times New Roman"/>
          <w:lang w:val="fr-CA"/>
        </w:rPr>
        <w:noBreakHyphen/>
      </w:r>
      <w:r w:rsidRPr="009F420B">
        <w:rPr>
          <w:rFonts w:cs="Times New Roman"/>
          <w:lang w:val="fr-CA"/>
        </w:rPr>
        <w:t>même, qui présentent les liens les plus étroits avec la question de l</w:t>
      </w:r>
      <w:r>
        <w:rPr>
          <w:rFonts w:cs="Times New Roman"/>
          <w:lang w:val="fr-CA"/>
        </w:rPr>
        <w:t>’</w:t>
      </w:r>
      <w:r w:rsidRPr="009F420B">
        <w:rPr>
          <w:rFonts w:cs="Times New Roman"/>
          <w:lang w:val="fr-CA"/>
        </w:rPr>
        <w:t>alter ego</w:t>
      </w:r>
      <w:r>
        <w:rPr>
          <w:rFonts w:cs="Times New Roman"/>
          <w:lang w:val="fr-CA"/>
        </w:rPr>
        <w:t> :</w:t>
      </w:r>
      <w:r w:rsidRPr="009F420B">
        <w:rPr>
          <w:rFonts w:cs="Times New Roman"/>
          <w:lang w:val="fr-CA"/>
        </w:rPr>
        <w:t xml:space="preserve"> voir l</w:t>
      </w:r>
      <w:r>
        <w:rPr>
          <w:rFonts w:cs="Times New Roman"/>
          <w:lang w:val="fr-CA"/>
        </w:rPr>
        <w:t>’art. </w:t>
      </w:r>
      <w:r w:rsidRPr="009F420B">
        <w:rPr>
          <w:rFonts w:cs="Times New Roman"/>
          <w:lang w:val="fr-CA"/>
        </w:rPr>
        <w:t>3080 </w:t>
      </w:r>
      <w:r w:rsidRPr="009F420B">
        <w:rPr>
          <w:rFonts w:cs="Times New Roman"/>
          <w:i/>
          <w:lang w:val="fr-CA"/>
        </w:rPr>
        <w:t>C.c.Q.</w:t>
      </w:r>
      <w:r w:rsidRPr="009F420B">
        <w:rPr>
          <w:rFonts w:cs="Times New Roman"/>
          <w:lang w:val="fr-CA"/>
        </w:rPr>
        <w:t xml:space="preserve"> Comme l</w:t>
      </w:r>
      <w:r>
        <w:rPr>
          <w:rFonts w:cs="Times New Roman"/>
          <w:lang w:val="fr-CA"/>
        </w:rPr>
        <w:t>’</w:t>
      </w:r>
      <w:r w:rsidRPr="009F420B">
        <w:rPr>
          <w:rFonts w:cs="Times New Roman"/>
          <w:lang w:val="fr-CA"/>
        </w:rPr>
        <w:t>explique le professeur Emanuelli (n</w:t>
      </w:r>
      <w:r w:rsidRPr="009F420B">
        <w:rPr>
          <w:rFonts w:cs="Times New Roman"/>
          <w:vertAlign w:val="superscript"/>
          <w:lang w:val="fr-CA"/>
        </w:rPr>
        <w:t>o</w:t>
      </w:r>
      <w:r w:rsidRPr="009F420B">
        <w:rPr>
          <w:rFonts w:cs="Times New Roman"/>
          <w:lang w:val="fr-CA"/>
        </w:rPr>
        <w:t> 398)</w:t>
      </w:r>
      <w:r>
        <w:rPr>
          <w:rFonts w:cs="Times New Roman"/>
          <w:lang w:val="fr-CA"/>
        </w:rPr>
        <w:t> :</w:t>
      </w:r>
      <w:r w:rsidRPr="009F420B">
        <w:rPr>
          <w:rFonts w:cs="Times New Roman"/>
          <w:lang w:val="fr-CA"/>
        </w:rPr>
        <w:t xml:space="preserve"> </w:t>
      </w:r>
    </w:p>
    <w:p w:rsidR="00AF6697" w:rsidRPr="009F420B" w:rsidRDefault="00AF6697" w:rsidP="00AF6697">
      <w:pPr>
        <w:pStyle w:val="Citation-AltC"/>
        <w:ind w:hanging="1166"/>
        <w:rPr>
          <w:lang w:val="fr-CA"/>
        </w:rPr>
      </w:pPr>
      <w:r>
        <w:rPr>
          <w:lang w:val="fr-CA"/>
        </w:rPr>
        <w:lastRenderedPageBreak/>
        <w:tab/>
      </w:r>
      <w:r>
        <w:rPr>
          <w:lang w:val="fr-CA"/>
        </w:rPr>
        <w:tab/>
      </w:r>
      <w:r w:rsidRPr="009F420B">
        <w:rPr>
          <w:lang w:val="fr-CA"/>
        </w:rPr>
        <w:t>Pour formuler ses règles de conflit nationales, le législateur québécois fait un choix entre différents facteurs de rattachement, selon le type de questions juridiques auquel chaque règle de conflit est destinée à s</w:t>
      </w:r>
      <w:r>
        <w:rPr>
          <w:lang w:val="fr-CA"/>
        </w:rPr>
        <w:t>’</w:t>
      </w:r>
      <w:r w:rsidRPr="009F420B">
        <w:rPr>
          <w:lang w:val="fr-CA"/>
        </w:rPr>
        <w:t xml:space="preserve">appliquer. À chaque type de questions correspondent ainsi un ou plusieurs facteurs de rattachement et une ou plusieurs règles de conflit. </w:t>
      </w:r>
      <w:r w:rsidRPr="009F420B">
        <w:rPr>
          <w:u w:val="single"/>
          <w:lang w:val="fr-CA"/>
        </w:rPr>
        <w:t>Ce choix vise normalement à faire en sorte que la loi compétente soit celle qui présente les liens les plus étroits avec la situation en cause.</w:t>
      </w:r>
      <w:r w:rsidRPr="009F420B">
        <w:rPr>
          <w:lang w:val="fr-CA"/>
        </w:rPr>
        <w:t xml:space="preserve"> [Je souligne; note en bas de page omise.]</w:t>
      </w:r>
    </w:p>
    <w:p w:rsidR="00AF6697" w:rsidRPr="009F420B" w:rsidRDefault="00AF6697" w:rsidP="00AF6697">
      <w:pPr>
        <w:pStyle w:val="ParaNoNdepar-AltN"/>
        <w:tabs>
          <w:tab w:val="clear" w:pos="1166"/>
          <w:tab w:val="num" w:pos="1152"/>
        </w:tabs>
        <w:rPr>
          <w:rFonts w:cs="Times New Roman"/>
          <w:lang w:val="fr-CA"/>
        </w:rPr>
      </w:pPr>
      <w:r w:rsidRPr="009F420B">
        <w:rPr>
          <w:rFonts w:cs="Times New Roman"/>
          <w:lang w:val="fr-CA"/>
        </w:rPr>
        <w:t>Ma collègue la juge Côté affirme que mon approche équivaut à « confond[re] les règles de conflit avec les conditions de reconnaissance des décisions étrangères »</w:t>
      </w:r>
      <w:r w:rsidR="00B13498">
        <w:rPr>
          <w:rFonts w:cs="Times New Roman"/>
          <w:lang w:val="fr-CA"/>
        </w:rPr>
        <w:t> </w:t>
      </w:r>
      <w:r w:rsidRPr="009F420B">
        <w:rPr>
          <w:rFonts w:cs="Times New Roman"/>
          <w:lang w:val="fr-CA"/>
        </w:rPr>
        <w:t xml:space="preserve">: </w:t>
      </w:r>
      <w:r>
        <w:rPr>
          <w:rFonts w:cs="Times New Roman"/>
          <w:lang w:val="fr-CA"/>
        </w:rPr>
        <w:t>par. </w:t>
      </w:r>
      <w:r w:rsidRPr="009F420B">
        <w:rPr>
          <w:rFonts w:cs="Times New Roman"/>
          <w:lang w:val="fr-CA"/>
        </w:rPr>
        <w:t>270. Soit dit en tout respect, j</w:t>
      </w:r>
      <w:r>
        <w:rPr>
          <w:rFonts w:cs="Times New Roman"/>
          <w:lang w:val="fr-CA"/>
        </w:rPr>
        <w:t>’</w:t>
      </w:r>
      <w:r w:rsidRPr="009F420B">
        <w:rPr>
          <w:rFonts w:cs="Times New Roman"/>
          <w:lang w:val="fr-CA"/>
        </w:rPr>
        <w:t>estime qu</w:t>
      </w:r>
      <w:r>
        <w:rPr>
          <w:rFonts w:cs="Times New Roman"/>
          <w:lang w:val="fr-CA"/>
        </w:rPr>
        <w:t>’</w:t>
      </w:r>
      <w:r w:rsidRPr="009F420B">
        <w:rPr>
          <w:rFonts w:cs="Times New Roman"/>
          <w:lang w:val="fr-CA"/>
        </w:rPr>
        <w:t>il n</w:t>
      </w:r>
      <w:r>
        <w:rPr>
          <w:rFonts w:cs="Times New Roman"/>
          <w:lang w:val="fr-CA"/>
        </w:rPr>
        <w:t>’</w:t>
      </w:r>
      <w:r w:rsidRPr="009F420B">
        <w:rPr>
          <w:rFonts w:cs="Times New Roman"/>
          <w:lang w:val="fr-CA"/>
        </w:rPr>
        <w:t>est guère inhabituel que les tribunaux appelés à trancher des questions de compétence examinent les règles régissant le choix du droit applicable. Par exemple, la loi applicable au litige est un facteur pertinent dans le cadre d</w:t>
      </w:r>
      <w:r>
        <w:rPr>
          <w:rFonts w:cs="Times New Roman"/>
          <w:lang w:val="fr-CA"/>
        </w:rPr>
        <w:t>’</w:t>
      </w:r>
      <w:r w:rsidRPr="009F420B">
        <w:rPr>
          <w:rFonts w:cs="Times New Roman"/>
          <w:lang w:val="fr-CA"/>
        </w:rPr>
        <w:t xml:space="preserve">une analyse relative au </w:t>
      </w:r>
      <w:r w:rsidRPr="009F420B">
        <w:rPr>
          <w:rFonts w:cs="Times New Roman"/>
          <w:i/>
          <w:lang w:val="fr-CA"/>
        </w:rPr>
        <w:t>forum non conveniens</w:t>
      </w:r>
      <w:r>
        <w:rPr>
          <w:rFonts w:cs="Times New Roman"/>
          <w:lang w:val="fr-CA"/>
        </w:rPr>
        <w:t> :</w:t>
      </w:r>
      <w:r w:rsidRPr="009F420B">
        <w:rPr>
          <w:rFonts w:cs="Times New Roman"/>
          <w:lang w:val="fr-CA"/>
        </w:rPr>
        <w:t xml:space="preserve"> </w:t>
      </w:r>
      <w:r w:rsidRPr="009F420B">
        <w:rPr>
          <w:rFonts w:cs="Times New Roman"/>
          <w:i/>
          <w:lang w:val="fr-CA"/>
        </w:rPr>
        <w:t>Spar</w:t>
      </w:r>
      <w:r w:rsidRPr="009F420B">
        <w:rPr>
          <w:rFonts w:cs="Times New Roman"/>
          <w:lang w:val="fr-CA"/>
        </w:rPr>
        <w:t xml:space="preserve">, </w:t>
      </w:r>
      <w:r>
        <w:rPr>
          <w:rFonts w:cs="Times New Roman"/>
          <w:lang w:val="fr-CA"/>
        </w:rPr>
        <w:t>par. </w:t>
      </w:r>
      <w:r w:rsidRPr="009F420B">
        <w:rPr>
          <w:rFonts w:cs="Times New Roman"/>
          <w:lang w:val="fr-CA"/>
        </w:rPr>
        <w:t xml:space="preserve">71; </w:t>
      </w:r>
      <w:r w:rsidRPr="009F420B">
        <w:rPr>
          <w:rFonts w:cs="Times New Roman"/>
          <w:i/>
          <w:lang w:val="fr-CA"/>
        </w:rPr>
        <w:t>Van Breda</w:t>
      </w:r>
      <w:r w:rsidRPr="009F420B">
        <w:rPr>
          <w:rFonts w:cs="Times New Roman"/>
          <w:lang w:val="fr-CA"/>
        </w:rPr>
        <w:t xml:space="preserve">, </w:t>
      </w:r>
      <w:r>
        <w:rPr>
          <w:rFonts w:cs="Times New Roman"/>
          <w:lang w:val="fr-CA"/>
        </w:rPr>
        <w:t>par. </w:t>
      </w:r>
      <w:r w:rsidRPr="009F420B">
        <w:rPr>
          <w:rFonts w:cs="Times New Roman"/>
          <w:lang w:val="fr-CA"/>
        </w:rPr>
        <w:t xml:space="preserve">105; </w:t>
      </w:r>
      <w:r w:rsidRPr="009F420B">
        <w:rPr>
          <w:rFonts w:cs="Times New Roman"/>
          <w:i/>
          <w:lang w:val="fr-CA"/>
        </w:rPr>
        <w:t>Éditions Écosociété Inc. c. Banro Corp.</w:t>
      </w:r>
      <w:r w:rsidRPr="009F420B">
        <w:rPr>
          <w:rFonts w:cs="Times New Roman"/>
          <w:lang w:val="fr-CA"/>
        </w:rPr>
        <w:t xml:space="preserve">, 2012 CSC 18, [2012] 1 R.C.S. 636, </w:t>
      </w:r>
      <w:r>
        <w:rPr>
          <w:rFonts w:cs="Times New Roman"/>
          <w:lang w:val="fr-CA"/>
        </w:rPr>
        <w:t>par. </w:t>
      </w:r>
      <w:r w:rsidRPr="009F420B">
        <w:rPr>
          <w:rFonts w:cs="Times New Roman"/>
          <w:lang w:val="fr-CA"/>
        </w:rPr>
        <w:t xml:space="preserve">49; </w:t>
      </w:r>
      <w:r w:rsidRPr="009F420B">
        <w:rPr>
          <w:rFonts w:cs="Times New Roman"/>
          <w:i/>
          <w:lang w:val="fr-CA"/>
        </w:rPr>
        <w:t>Breeden c. Black</w:t>
      </w:r>
      <w:r w:rsidRPr="009F420B">
        <w:rPr>
          <w:rFonts w:cs="Times New Roman"/>
          <w:lang w:val="fr-CA"/>
        </w:rPr>
        <w:t xml:space="preserve">, 2012 CSC 19, [2012] 1 R.C.S. 666, </w:t>
      </w:r>
      <w:r>
        <w:rPr>
          <w:rFonts w:cs="Times New Roman"/>
          <w:lang w:val="fr-CA"/>
        </w:rPr>
        <w:t>par. </w:t>
      </w:r>
      <w:r w:rsidRPr="009F420B">
        <w:rPr>
          <w:rFonts w:cs="Times New Roman"/>
          <w:lang w:val="fr-CA"/>
        </w:rPr>
        <w:t>23</w:t>
      </w:r>
      <w:r>
        <w:rPr>
          <w:rFonts w:cs="Times New Roman"/>
          <w:lang w:val="fr-CA"/>
        </w:rPr>
        <w:noBreakHyphen/>
      </w:r>
      <w:r w:rsidRPr="009F420B">
        <w:rPr>
          <w:rFonts w:cs="Times New Roman"/>
          <w:lang w:val="fr-CA"/>
        </w:rPr>
        <w:t>25 et 32</w:t>
      </w:r>
      <w:r>
        <w:rPr>
          <w:rFonts w:cs="Times New Roman"/>
          <w:lang w:val="fr-CA"/>
        </w:rPr>
        <w:noBreakHyphen/>
      </w:r>
      <w:r w:rsidRPr="009F420B">
        <w:rPr>
          <w:rFonts w:cs="Times New Roman"/>
          <w:lang w:val="fr-CA"/>
        </w:rPr>
        <w:t xml:space="preserve">33; </w:t>
      </w:r>
      <w:r w:rsidR="001222E8">
        <w:rPr>
          <w:rFonts w:cs="Times New Roman"/>
          <w:i/>
          <w:lang w:val="fr-CA"/>
        </w:rPr>
        <w:t>Oppenheim forfa</w:t>
      </w:r>
      <w:r w:rsidRPr="009F420B">
        <w:rPr>
          <w:rFonts w:cs="Times New Roman"/>
          <w:i/>
          <w:lang w:val="fr-CA"/>
        </w:rPr>
        <w:t xml:space="preserve">it </w:t>
      </w:r>
      <w:r w:rsidR="001222E8" w:rsidRPr="009F420B">
        <w:rPr>
          <w:rFonts w:cs="Times New Roman"/>
          <w:i/>
          <w:lang w:val="fr-CA"/>
        </w:rPr>
        <w:t>GMBH</w:t>
      </w:r>
      <w:r w:rsidR="001222E8">
        <w:rPr>
          <w:rFonts w:cs="Times New Roman"/>
          <w:i/>
          <w:lang w:val="fr-CA"/>
        </w:rPr>
        <w:t xml:space="preserve"> c. </w:t>
      </w:r>
      <w:r w:rsidR="001222E8" w:rsidRPr="009F420B">
        <w:rPr>
          <w:rFonts w:cs="Times New Roman"/>
          <w:i/>
          <w:lang w:val="fr-CA"/>
        </w:rPr>
        <w:t>Lexus maritime inc</w:t>
      </w:r>
      <w:r w:rsidR="001222E8">
        <w:rPr>
          <w:rFonts w:cs="Times New Roman"/>
          <w:i/>
          <w:lang w:val="fr-CA"/>
        </w:rPr>
        <w:t>.</w:t>
      </w:r>
      <w:r w:rsidRPr="009F420B">
        <w:rPr>
          <w:rFonts w:cs="Times New Roman"/>
          <w:lang w:val="fr-CA"/>
        </w:rPr>
        <w:t xml:space="preserve">, 1998 CanLII 13001 (C.A. Qc), </w:t>
      </w:r>
      <w:r>
        <w:rPr>
          <w:rFonts w:cs="Times New Roman"/>
          <w:lang w:val="fr-CA"/>
        </w:rPr>
        <w:t>par. </w:t>
      </w:r>
      <w:r w:rsidRPr="009F420B">
        <w:rPr>
          <w:rFonts w:cs="Times New Roman"/>
          <w:lang w:val="fr-CA"/>
        </w:rPr>
        <w:t xml:space="preserve">18; S. G. A. Pitel et N. S. Rafferty, </w:t>
      </w:r>
      <w:r w:rsidRPr="009F420B">
        <w:rPr>
          <w:rFonts w:cs="Times New Roman"/>
          <w:i/>
          <w:lang w:val="fr-CA"/>
        </w:rPr>
        <w:t>Conflict of Laws</w:t>
      </w:r>
      <w:r w:rsidRPr="009F420B">
        <w:rPr>
          <w:rFonts w:cs="Times New Roman"/>
          <w:lang w:val="fr-CA"/>
        </w:rPr>
        <w:t xml:space="preserve"> (2010), </w:t>
      </w:r>
      <w:r>
        <w:rPr>
          <w:rFonts w:cs="Times New Roman"/>
          <w:lang w:val="fr-CA"/>
        </w:rPr>
        <w:t>p. </w:t>
      </w:r>
      <w:r w:rsidRPr="009F420B">
        <w:rPr>
          <w:rFonts w:cs="Times New Roman"/>
          <w:lang w:val="fr-CA"/>
        </w:rPr>
        <w:t>126 ([</w:t>
      </w:r>
      <w:r w:rsidRPr="009F420B">
        <w:rPr>
          <w:rFonts w:cs="Times New Roman"/>
          <w:smallCaps/>
          <w:lang w:val="fr-CA"/>
        </w:rPr>
        <w:t>traduction</w:t>
      </w:r>
      <w:r w:rsidRPr="009F420B">
        <w:rPr>
          <w:rFonts w:cs="Times New Roman"/>
          <w:lang w:val="fr-CA"/>
        </w:rPr>
        <w:t>] « </w:t>
      </w:r>
      <w:r w:rsidR="00D04B40">
        <w:rPr>
          <w:rFonts w:cs="Times New Roman"/>
          <w:lang w:val="fr-CA"/>
        </w:rPr>
        <w:t>[l]</w:t>
      </w:r>
      <w:r w:rsidRPr="009F420B">
        <w:rPr>
          <w:rFonts w:cs="Times New Roman"/>
          <w:lang w:val="fr-CA"/>
        </w:rPr>
        <w:t>es questions de compétence sont généralement soulevées d</w:t>
      </w:r>
      <w:r>
        <w:rPr>
          <w:rFonts w:cs="Times New Roman"/>
          <w:lang w:val="fr-CA"/>
        </w:rPr>
        <w:t>’</w:t>
      </w:r>
      <w:r w:rsidRPr="009F420B">
        <w:rPr>
          <w:rFonts w:cs="Times New Roman"/>
          <w:lang w:val="fr-CA"/>
        </w:rPr>
        <w:t>emblée, elles sont donc beaucoup plus souvent soulevées que les questions concernant le choix du droit applicable, lesquelles sont principalement formulées au procès. Toutefois, l</w:t>
      </w:r>
      <w:r>
        <w:rPr>
          <w:rFonts w:cs="Times New Roman"/>
          <w:lang w:val="fr-CA"/>
        </w:rPr>
        <w:t>’</w:t>
      </w:r>
      <w:r w:rsidRPr="009F420B">
        <w:rPr>
          <w:rFonts w:cs="Times New Roman"/>
          <w:lang w:val="fr-CA"/>
        </w:rPr>
        <w:t xml:space="preserve">analyse relative au </w:t>
      </w:r>
      <w:r w:rsidRPr="009F420B">
        <w:rPr>
          <w:rFonts w:cs="Times New Roman"/>
          <w:i/>
          <w:lang w:val="fr-CA"/>
        </w:rPr>
        <w:t>forum non conveniens</w:t>
      </w:r>
      <w:r w:rsidRPr="009F420B">
        <w:rPr>
          <w:rFonts w:cs="Times New Roman"/>
          <w:lang w:val="fr-CA"/>
        </w:rPr>
        <w:t xml:space="preserve"> qui s</w:t>
      </w:r>
      <w:r>
        <w:rPr>
          <w:rFonts w:cs="Times New Roman"/>
          <w:lang w:val="fr-CA"/>
        </w:rPr>
        <w:t>’</w:t>
      </w:r>
      <w:r w:rsidRPr="009F420B">
        <w:rPr>
          <w:rFonts w:cs="Times New Roman"/>
          <w:lang w:val="fr-CA"/>
        </w:rPr>
        <w:t>intéresse au rôle de la loi applicable au litige [. . .] exige l</w:t>
      </w:r>
      <w:r>
        <w:rPr>
          <w:rFonts w:cs="Times New Roman"/>
          <w:lang w:val="fr-CA"/>
        </w:rPr>
        <w:t>’</w:t>
      </w:r>
      <w:r w:rsidRPr="009F420B">
        <w:rPr>
          <w:rFonts w:cs="Times New Roman"/>
          <w:lang w:val="fr-CA"/>
        </w:rPr>
        <w:t xml:space="preserve">examen, à un stade beaucoup plus précoce des procédures, du droit applicable et, par conséquent, des règles régissant le choix de cette loi pour </w:t>
      </w:r>
      <w:r w:rsidR="00570FFA">
        <w:rPr>
          <w:rFonts w:cs="Times New Roman"/>
          <w:lang w:val="fr-CA"/>
        </w:rPr>
        <w:t>arrêter la décision à cet égard</w:t>
      </w:r>
      <w:r w:rsidRPr="009F420B">
        <w:rPr>
          <w:rFonts w:cs="Times New Roman"/>
          <w:lang w:val="fr-CA"/>
        </w:rPr>
        <w:t> »)</w:t>
      </w:r>
      <w:r w:rsidR="00570FFA">
        <w:rPr>
          <w:rFonts w:cs="Times New Roman"/>
          <w:lang w:val="fr-CA"/>
        </w:rPr>
        <w:t>.</w:t>
      </w:r>
      <w:r w:rsidRPr="009F420B">
        <w:rPr>
          <w:rFonts w:cs="Times New Roman"/>
          <w:lang w:val="fr-CA"/>
        </w:rPr>
        <w:t xml:space="preserve"> Comme l</w:t>
      </w:r>
      <w:r>
        <w:rPr>
          <w:rFonts w:cs="Times New Roman"/>
          <w:lang w:val="fr-CA"/>
        </w:rPr>
        <w:t>’</w:t>
      </w:r>
      <w:r w:rsidRPr="009F420B">
        <w:rPr>
          <w:rFonts w:cs="Times New Roman"/>
          <w:lang w:val="fr-CA"/>
        </w:rPr>
        <w:t>a expliqué la Cour d</w:t>
      </w:r>
      <w:r>
        <w:rPr>
          <w:rFonts w:cs="Times New Roman"/>
          <w:lang w:val="fr-CA"/>
        </w:rPr>
        <w:t>’</w:t>
      </w:r>
      <w:r w:rsidRPr="009F420B">
        <w:rPr>
          <w:rFonts w:cs="Times New Roman"/>
          <w:lang w:val="fr-CA"/>
        </w:rPr>
        <w:t xml:space="preserve">appel du Québec aux </w:t>
      </w:r>
      <w:r>
        <w:rPr>
          <w:rFonts w:cs="Times New Roman"/>
          <w:lang w:val="fr-CA"/>
        </w:rPr>
        <w:t>par. </w:t>
      </w:r>
      <w:r w:rsidRPr="009F420B">
        <w:rPr>
          <w:rFonts w:cs="Times New Roman"/>
          <w:lang w:val="fr-CA"/>
        </w:rPr>
        <w:t>42 et 46 de l</w:t>
      </w:r>
      <w:r>
        <w:rPr>
          <w:rFonts w:cs="Times New Roman"/>
          <w:lang w:val="fr-CA"/>
        </w:rPr>
        <w:t>’</w:t>
      </w:r>
      <w:r w:rsidRPr="009F420B">
        <w:rPr>
          <w:rFonts w:cs="Times New Roman"/>
          <w:lang w:val="fr-CA"/>
        </w:rPr>
        <w:t xml:space="preserve">arrêt </w:t>
      </w:r>
      <w:r w:rsidRPr="009F420B">
        <w:rPr>
          <w:rFonts w:cs="Times New Roman"/>
          <w:i/>
          <w:lang w:val="fr-CA"/>
        </w:rPr>
        <w:t>Ortega</w:t>
      </w:r>
      <w:r w:rsidRPr="009F420B">
        <w:rPr>
          <w:rFonts w:cs="Times New Roman"/>
          <w:lang w:val="fr-CA"/>
        </w:rPr>
        <w:t>, l</w:t>
      </w:r>
      <w:r>
        <w:rPr>
          <w:rFonts w:cs="Times New Roman"/>
          <w:lang w:val="fr-CA"/>
        </w:rPr>
        <w:t>’</w:t>
      </w:r>
      <w:r w:rsidRPr="009F420B">
        <w:rPr>
          <w:rFonts w:cs="Times New Roman"/>
          <w:lang w:val="fr-CA"/>
        </w:rPr>
        <w:t>exigence du « rattachement important » prévue à 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xml:space="preserve"> « oblige le tribunal québécois qui s</w:t>
      </w:r>
      <w:r>
        <w:rPr>
          <w:rFonts w:cs="Times New Roman"/>
          <w:lang w:val="fr-CA"/>
        </w:rPr>
        <w:t>’</w:t>
      </w:r>
      <w:r w:rsidRPr="009F420B">
        <w:rPr>
          <w:rFonts w:cs="Times New Roman"/>
          <w:lang w:val="fr-CA"/>
        </w:rPr>
        <w:t>interroge sur la compétence du tribunal étranger (dans le cas où celle</w:t>
      </w:r>
      <w:r>
        <w:rPr>
          <w:rFonts w:cs="Times New Roman"/>
          <w:lang w:val="fr-CA"/>
        </w:rPr>
        <w:noBreakHyphen/>
      </w:r>
      <w:r w:rsidRPr="009F420B">
        <w:rPr>
          <w:rFonts w:cs="Times New Roman"/>
          <w:lang w:val="fr-CA"/>
        </w:rPr>
        <w:t xml:space="preserve">ci ne résulte pas des articles 3166 </w:t>
      </w:r>
      <w:r w:rsidRPr="009F420B">
        <w:rPr>
          <w:rFonts w:cs="Times New Roman"/>
          <w:lang w:val="fr-CA"/>
        </w:rPr>
        <w:lastRenderedPageBreak/>
        <w:t xml:space="preserve">à 3168 </w:t>
      </w:r>
      <w:r w:rsidRPr="009F420B">
        <w:rPr>
          <w:rFonts w:cs="Times New Roman"/>
          <w:i/>
          <w:lang w:val="fr-CA"/>
        </w:rPr>
        <w:t>C.c.Q.</w:t>
      </w:r>
      <w:r w:rsidRPr="009F420B">
        <w:rPr>
          <w:rFonts w:cs="Times New Roman"/>
          <w:lang w:val="fr-CA"/>
        </w:rPr>
        <w:t xml:space="preserve">) à envisager et à examiner </w:t>
      </w:r>
      <w:r w:rsidRPr="009F420B">
        <w:rPr>
          <w:rFonts w:cs="Times New Roman"/>
          <w:u w:val="single"/>
          <w:lang w:val="fr-CA"/>
        </w:rPr>
        <w:t>toutes les circonstances</w:t>
      </w:r>
      <w:r w:rsidRPr="009F420B">
        <w:rPr>
          <w:rFonts w:cs="Times New Roman"/>
          <w:lang w:val="fr-CA"/>
        </w:rPr>
        <w:t xml:space="preserve"> rattachant le litige à l</w:t>
      </w:r>
      <w:r>
        <w:rPr>
          <w:rFonts w:cs="Times New Roman"/>
          <w:lang w:val="fr-CA"/>
        </w:rPr>
        <w:t>’</w:t>
      </w:r>
      <w:r w:rsidRPr="009F420B">
        <w:rPr>
          <w:rFonts w:cs="Times New Roman"/>
          <w:lang w:val="fr-CA"/>
        </w:rPr>
        <w:t xml:space="preserve">autorité externe” et “une analyse globale nécessite [. . .] un examen de </w:t>
      </w:r>
      <w:r w:rsidRPr="009F420B">
        <w:rPr>
          <w:rFonts w:cs="Times New Roman"/>
          <w:u w:val="single"/>
          <w:lang w:val="fr-CA"/>
        </w:rPr>
        <w:t>toutes et chacune des circonstances</w:t>
      </w:r>
      <w:r w:rsidRPr="009F420B">
        <w:rPr>
          <w:rFonts w:cs="Times New Roman"/>
          <w:lang w:val="fr-CA"/>
        </w:rPr>
        <w:t xml:space="preserve"> pour déterminer d</w:t>
      </w:r>
      <w:r>
        <w:rPr>
          <w:rFonts w:cs="Times New Roman"/>
          <w:lang w:val="fr-CA"/>
        </w:rPr>
        <w:t>’</w:t>
      </w:r>
      <w:r w:rsidRPr="009F420B">
        <w:rPr>
          <w:rFonts w:cs="Times New Roman"/>
          <w:lang w:val="fr-CA"/>
        </w:rPr>
        <w:t>abord leur pertinence et ensuite leur effet respectif sur l</w:t>
      </w:r>
      <w:r>
        <w:rPr>
          <w:rFonts w:cs="Times New Roman"/>
          <w:lang w:val="fr-CA"/>
        </w:rPr>
        <w:t>’</w:t>
      </w:r>
      <w:r w:rsidRPr="009F420B">
        <w:rPr>
          <w:rFonts w:cs="Times New Roman"/>
          <w:lang w:val="fr-CA"/>
        </w:rPr>
        <w:t>intensité du lien de rattachement » (je souligne). On ne saurait donc qualifier de peu orthodoxe l</w:t>
      </w:r>
      <w:r>
        <w:rPr>
          <w:rFonts w:cs="Times New Roman"/>
          <w:lang w:val="fr-CA"/>
        </w:rPr>
        <w:t>’</w:t>
      </w:r>
      <w:r w:rsidRPr="009F420B">
        <w:rPr>
          <w:rFonts w:cs="Times New Roman"/>
          <w:lang w:val="fr-CA"/>
        </w:rPr>
        <w:t>affirmation selon laquelle l</w:t>
      </w:r>
      <w:r>
        <w:rPr>
          <w:rFonts w:cs="Times New Roman"/>
          <w:lang w:val="fr-CA"/>
        </w:rPr>
        <w:t>’art. </w:t>
      </w:r>
      <w:r w:rsidRPr="009F420B">
        <w:rPr>
          <w:rFonts w:cs="Times New Roman"/>
          <w:lang w:val="fr-CA"/>
        </w:rPr>
        <w:t>3083 </w:t>
      </w:r>
      <w:r w:rsidRPr="009F420B">
        <w:rPr>
          <w:rFonts w:cs="Times New Roman"/>
          <w:i/>
          <w:lang w:val="fr-CA"/>
        </w:rPr>
        <w:t>C.c.Q.</w:t>
      </w:r>
      <w:r w:rsidRPr="009F420B">
        <w:rPr>
          <w:rFonts w:cs="Times New Roman"/>
          <w:lang w:val="fr-CA"/>
        </w:rPr>
        <w:t xml:space="preserve"> est pertinent pour apprécier la force du rattachement entre la situation visée par l</w:t>
      </w:r>
      <w:r>
        <w:rPr>
          <w:rFonts w:cs="Times New Roman"/>
          <w:lang w:val="fr-CA"/>
        </w:rPr>
        <w:t>’</w:t>
      </w:r>
      <w:r w:rsidRPr="009F420B">
        <w:rPr>
          <w:rFonts w:cs="Times New Roman"/>
          <w:lang w:val="fr-CA"/>
        </w:rPr>
        <w:t>allégation d</w:t>
      </w:r>
      <w:r>
        <w:rPr>
          <w:rFonts w:cs="Times New Roman"/>
          <w:lang w:val="fr-CA"/>
        </w:rPr>
        <w:t>’</w:t>
      </w:r>
      <w:r w:rsidRPr="009F420B">
        <w:rPr>
          <w:rFonts w:cs="Times New Roman"/>
          <w:lang w:val="fr-CA"/>
        </w:rPr>
        <w:t>alter ego et l</w:t>
      </w:r>
      <w:r>
        <w:rPr>
          <w:rFonts w:cs="Times New Roman"/>
          <w:lang w:val="fr-CA"/>
        </w:rPr>
        <w:t>’</w:t>
      </w:r>
      <w:r w:rsidRPr="009F420B">
        <w:rPr>
          <w:rFonts w:cs="Times New Roman"/>
          <w:lang w:val="fr-CA"/>
        </w:rPr>
        <w:t>État de l</w:t>
      </w:r>
      <w:r>
        <w:rPr>
          <w:rFonts w:cs="Times New Roman"/>
          <w:lang w:val="fr-CA"/>
        </w:rPr>
        <w:t>’</w:t>
      </w:r>
      <w:r w:rsidRPr="009F420B">
        <w:rPr>
          <w:rFonts w:cs="Times New Roman"/>
          <w:lang w:val="fr-CA"/>
        </w:rPr>
        <w:t>Utah. Comme l</w:t>
      </w:r>
      <w:r>
        <w:rPr>
          <w:rFonts w:cs="Times New Roman"/>
          <w:lang w:val="fr-CA"/>
        </w:rPr>
        <w:t>’</w:t>
      </w:r>
      <w:r w:rsidRPr="009F420B">
        <w:rPr>
          <w:rFonts w:cs="Times New Roman"/>
          <w:lang w:val="fr-CA"/>
        </w:rPr>
        <w:t>a expliqué l</w:t>
      </w:r>
      <w:r>
        <w:rPr>
          <w:rFonts w:cs="Times New Roman"/>
          <w:lang w:val="fr-CA"/>
        </w:rPr>
        <w:t>a</w:t>
      </w:r>
      <w:r w:rsidRPr="009F420B">
        <w:rPr>
          <w:rFonts w:cs="Times New Roman"/>
          <w:lang w:val="fr-CA"/>
        </w:rPr>
        <w:t xml:space="preserve"> professeur</w:t>
      </w:r>
      <w:r>
        <w:rPr>
          <w:rFonts w:cs="Times New Roman"/>
          <w:lang w:val="fr-CA"/>
        </w:rPr>
        <w:t>e</w:t>
      </w:r>
      <w:r w:rsidRPr="009F420B">
        <w:rPr>
          <w:rFonts w:cs="Times New Roman"/>
          <w:lang w:val="fr-CA"/>
        </w:rPr>
        <w:t xml:space="preserve"> Walker, </w:t>
      </w:r>
      <w:r>
        <w:rPr>
          <w:rFonts w:cs="Times New Roman"/>
          <w:lang w:val="fr-CA"/>
        </w:rPr>
        <w:t>p. </w:t>
      </w:r>
      <w:r w:rsidRPr="009F420B">
        <w:rPr>
          <w:rFonts w:cs="Times New Roman"/>
          <w:lang w:val="fr-CA"/>
        </w:rPr>
        <w:t>11</w:t>
      </w:r>
      <w:r>
        <w:rPr>
          <w:rFonts w:cs="Times New Roman"/>
          <w:lang w:val="fr-CA"/>
        </w:rPr>
        <w:noBreakHyphen/>
      </w:r>
      <w:r w:rsidRPr="009F420B">
        <w:rPr>
          <w:rFonts w:cs="Times New Roman"/>
          <w:lang w:val="fr-CA"/>
        </w:rPr>
        <w:t>54 et 11</w:t>
      </w:r>
      <w:r>
        <w:rPr>
          <w:rFonts w:cs="Times New Roman"/>
          <w:lang w:val="fr-CA"/>
        </w:rPr>
        <w:noBreakHyphen/>
      </w:r>
      <w:r w:rsidRPr="009F420B">
        <w:rPr>
          <w:rFonts w:cs="Times New Roman"/>
          <w:lang w:val="fr-CA"/>
        </w:rPr>
        <w:t>55 (qui traite des liens réels et substantiels créant une présomption dont a fait état la Conférence pour l</w:t>
      </w:r>
      <w:r>
        <w:rPr>
          <w:rFonts w:cs="Times New Roman"/>
          <w:lang w:val="fr-CA"/>
        </w:rPr>
        <w:t>’</w:t>
      </w:r>
      <w:r w:rsidRPr="009F420B">
        <w:rPr>
          <w:rFonts w:cs="Times New Roman"/>
          <w:lang w:val="fr-CA"/>
        </w:rPr>
        <w:t>harmonisation des lois)</w:t>
      </w:r>
      <w:r>
        <w:rPr>
          <w:rFonts w:cs="Times New Roman"/>
          <w:lang w:val="fr-CA"/>
        </w:rPr>
        <w:t> :</w:t>
      </w:r>
      <w:r w:rsidRPr="009F420B">
        <w:rPr>
          <w:rFonts w:cs="Times New Roman"/>
          <w:lang w:val="fr-CA"/>
        </w:rPr>
        <w:t xml:space="preserve"> </w:t>
      </w:r>
    </w:p>
    <w:p w:rsidR="00AF6697" w:rsidRPr="009F420B" w:rsidRDefault="00AF6697" w:rsidP="00C10BAB">
      <w:pPr>
        <w:pStyle w:val="Citation-AltC"/>
        <w:tabs>
          <w:tab w:val="left" w:pos="1530"/>
        </w:tabs>
        <w:spacing w:after="240"/>
        <w:ind w:left="1168" w:hanging="1168"/>
        <w:contextualSpacing w:val="0"/>
        <w:rPr>
          <w:lang w:val="fr-CA"/>
        </w:rPr>
      </w:pPr>
      <w:r>
        <w:rPr>
          <w:lang w:val="fr-CA"/>
        </w:rPr>
        <w:tab/>
      </w:r>
      <w:r w:rsidR="00C10BAB">
        <w:rPr>
          <w:lang w:val="fr-CA"/>
        </w:rPr>
        <w:tab/>
      </w:r>
      <w:r w:rsidRPr="009F420B">
        <w:rPr>
          <w:lang w:val="fr-CA"/>
        </w:rPr>
        <w:t>[</w:t>
      </w:r>
      <w:r w:rsidRPr="009F420B">
        <w:rPr>
          <w:smallCaps/>
          <w:lang w:val="fr-CA"/>
        </w:rPr>
        <w:t>traduction</w:t>
      </w:r>
      <w:r w:rsidRPr="009F420B">
        <w:rPr>
          <w:lang w:val="fr-CA"/>
        </w:rPr>
        <w:t>] Bien qu</w:t>
      </w:r>
      <w:r>
        <w:rPr>
          <w:lang w:val="fr-CA"/>
        </w:rPr>
        <w:t>’</w:t>
      </w:r>
      <w:r w:rsidRPr="009F420B">
        <w:rPr>
          <w:lang w:val="fr-CA"/>
        </w:rPr>
        <w:t>il soit généralement entendu que la compétence et le choix du droit applicable en cas de conflits des lois relèvent d</w:t>
      </w:r>
      <w:r>
        <w:rPr>
          <w:lang w:val="fr-CA"/>
        </w:rPr>
        <w:t>’</w:t>
      </w:r>
      <w:r w:rsidRPr="009F420B">
        <w:rPr>
          <w:lang w:val="fr-CA"/>
        </w:rPr>
        <w:t>analyses distinctes, dans le présent contexte, elles peuvent être liées.</w:t>
      </w:r>
      <w:r w:rsidR="00C10BAB">
        <w:rPr>
          <w:lang w:val="fr-CA"/>
        </w:rPr>
        <w:t xml:space="preserve"> . .</w:t>
      </w:r>
    </w:p>
    <w:p w:rsidR="00AF6697" w:rsidRPr="009F420B" w:rsidRDefault="00AF6697" w:rsidP="00C10BAB">
      <w:pPr>
        <w:pStyle w:val="Citation-AltC"/>
        <w:tabs>
          <w:tab w:val="left" w:pos="1530"/>
        </w:tabs>
        <w:ind w:hanging="1166"/>
        <w:rPr>
          <w:lang w:val="fr-CA"/>
        </w:rPr>
      </w:pPr>
      <w:r>
        <w:rPr>
          <w:lang w:val="fr-CA"/>
        </w:rPr>
        <w:tab/>
      </w:r>
      <w:r w:rsidR="00C10BAB">
        <w:rPr>
          <w:lang w:val="fr-CA"/>
        </w:rPr>
        <w:tab/>
      </w:r>
      <w:r w:rsidRPr="009F420B">
        <w:rPr>
          <w:lang w:val="fr-CA"/>
        </w:rPr>
        <w:t>Cette définition du principe sous</w:t>
      </w:r>
      <w:r>
        <w:rPr>
          <w:lang w:val="fr-CA"/>
        </w:rPr>
        <w:noBreakHyphen/>
      </w:r>
      <w:r w:rsidRPr="009F420B">
        <w:rPr>
          <w:lang w:val="fr-CA"/>
        </w:rPr>
        <w:t>jacent à la reconnaissance de la compétence sur le fondement de l</w:t>
      </w:r>
      <w:r>
        <w:rPr>
          <w:lang w:val="fr-CA"/>
        </w:rPr>
        <w:t>’</w:t>
      </w:r>
      <w:r w:rsidRPr="009F420B">
        <w:rPr>
          <w:lang w:val="fr-CA"/>
        </w:rPr>
        <w:t xml:space="preserve">existence de liens réels et substantiels est compatible avec une remarque de la Cour suprême du Canada dans </w:t>
      </w:r>
      <w:r w:rsidRPr="009F420B">
        <w:rPr>
          <w:i/>
          <w:lang w:val="fr-CA"/>
        </w:rPr>
        <w:t>Moran c. Pyle</w:t>
      </w:r>
      <w:r w:rsidRPr="009F420B">
        <w:rPr>
          <w:lang w:val="fr-CA"/>
        </w:rPr>
        <w:t>. Renvoyant à Cheshire, 8</w:t>
      </w:r>
      <w:r w:rsidRPr="009F420B">
        <w:rPr>
          <w:vertAlign w:val="superscript"/>
          <w:lang w:val="fr-CA"/>
        </w:rPr>
        <w:t>e</w:t>
      </w:r>
      <w:r w:rsidRPr="009F420B">
        <w:rPr>
          <w:lang w:val="fr-CA"/>
        </w:rPr>
        <w:t xml:space="preserve"> éd., 1970, </w:t>
      </w:r>
      <w:r>
        <w:rPr>
          <w:lang w:val="fr-CA"/>
        </w:rPr>
        <w:t>p. </w:t>
      </w:r>
      <w:r w:rsidRPr="009F420B">
        <w:rPr>
          <w:lang w:val="fr-CA"/>
        </w:rPr>
        <w:t>281</w:t>
      </w:r>
      <w:r>
        <w:rPr>
          <w:lang w:val="fr-CA"/>
        </w:rPr>
        <w:t xml:space="preserve"> </w:t>
      </w:r>
      <w:r w:rsidRPr="009F420B">
        <w:rPr>
          <w:lang w:val="fr-CA"/>
        </w:rPr>
        <w:t>qui, sous la plume du juge Dickson (plus tard juge en chef), a éc</w:t>
      </w:r>
      <w:r w:rsidR="001222E8">
        <w:rPr>
          <w:lang w:val="fr-CA"/>
        </w:rPr>
        <w:t xml:space="preserve">rit </w:t>
      </w:r>
      <w:r w:rsidRPr="009F420B">
        <w:rPr>
          <w:lang w:val="fr-CA"/>
        </w:rPr>
        <w:t>qu</w:t>
      </w:r>
      <w:r>
        <w:rPr>
          <w:lang w:val="fr-CA"/>
        </w:rPr>
        <w:t>’</w:t>
      </w:r>
      <w:r w:rsidRPr="009F420B">
        <w:rPr>
          <w:lang w:val="fr-CA"/>
        </w:rPr>
        <w:t xml:space="preserve">il conviendrait à la rigueur de considérer un délit civil comme étant survenu dans tout pays qui a été substantiellement touché par les activités du défendeur ou par ses conséquences et dont </w:t>
      </w:r>
      <w:r w:rsidRPr="009F420B">
        <w:rPr>
          <w:i/>
          <w:lang w:val="fr-CA"/>
        </w:rPr>
        <w:t>la loi, vraisemblablement, a été raisonnablement envisagée par les parties</w:t>
      </w:r>
      <w:r w:rsidRPr="009F420B">
        <w:rPr>
          <w:lang w:val="fr-CA"/>
        </w:rPr>
        <w:t> ». Cette remarque visait la compétence en matière de responsabilité délictuelle, mais elle peut avoir une portée plus large. Comme il a été mentionné précédemment, l</w:t>
      </w:r>
      <w:r>
        <w:rPr>
          <w:lang w:val="fr-CA"/>
        </w:rPr>
        <w:t>’</w:t>
      </w:r>
      <w:r w:rsidRPr="009F420B">
        <w:rPr>
          <w:lang w:val="fr-CA"/>
        </w:rPr>
        <w:t>intérêt qu</w:t>
      </w:r>
      <w:r>
        <w:rPr>
          <w:lang w:val="fr-CA"/>
        </w:rPr>
        <w:t>’</w:t>
      </w:r>
      <w:r w:rsidRPr="009F420B">
        <w:rPr>
          <w:lang w:val="fr-CA"/>
        </w:rPr>
        <w:t>il y a à contrôler les activités dans l</w:t>
      </w:r>
      <w:r>
        <w:rPr>
          <w:lang w:val="fr-CA"/>
        </w:rPr>
        <w:t>’</w:t>
      </w:r>
      <w:r w:rsidRPr="009F420B">
        <w:rPr>
          <w:lang w:val="fr-CA"/>
        </w:rPr>
        <w:t>État du for est, au fond, justifiable en raison des liens étroits entre ces activités et le contexte juridique susceptible d</w:t>
      </w:r>
      <w:r>
        <w:rPr>
          <w:lang w:val="fr-CA"/>
        </w:rPr>
        <w:t>’</w:t>
      </w:r>
      <w:r w:rsidRPr="009F420B">
        <w:rPr>
          <w:lang w:val="fr-CA"/>
        </w:rPr>
        <w:t>avoir été envisagé par les parties. [</w:t>
      </w:r>
      <w:r w:rsidR="00C10BAB">
        <w:rPr>
          <w:lang w:val="fr-CA"/>
        </w:rPr>
        <w:t>En italique dans l’original</w:t>
      </w:r>
      <w:r w:rsidRPr="009F420B">
        <w:rPr>
          <w:lang w:val="fr-CA"/>
        </w:rPr>
        <w:t>; note en bas de page omise.]</w:t>
      </w:r>
    </w:p>
    <w:p w:rsidR="00AF6697" w:rsidRPr="009F420B" w:rsidRDefault="00AF6697" w:rsidP="00AF6697">
      <w:pPr>
        <w:pStyle w:val="ParaNoNdepar-AltN"/>
        <w:tabs>
          <w:tab w:val="clear" w:pos="1166"/>
          <w:tab w:val="num" w:pos="1152"/>
        </w:tabs>
        <w:rPr>
          <w:rFonts w:cs="Times New Roman"/>
          <w:lang w:val="fr-CA"/>
        </w:rPr>
      </w:pPr>
      <w:r w:rsidRPr="009F420B">
        <w:rPr>
          <w:rFonts w:cs="Times New Roman"/>
          <w:lang w:val="fr-CA"/>
        </w:rPr>
        <w:t>Je reconnais, bien sûr, que « l</w:t>
      </w:r>
      <w:r>
        <w:rPr>
          <w:rFonts w:cs="Times New Roman"/>
          <w:lang w:val="fr-CA"/>
        </w:rPr>
        <w:t>’</w:t>
      </w:r>
      <w:r w:rsidRPr="009F420B">
        <w:rPr>
          <w:rFonts w:cs="Times New Roman"/>
          <w:lang w:val="fr-CA"/>
        </w:rPr>
        <w:t xml:space="preserve">analyse de la simple reconnaissance de compétence et celle relative au </w:t>
      </w:r>
      <w:r w:rsidRPr="009F420B">
        <w:rPr>
          <w:rFonts w:cs="Times New Roman"/>
          <w:i/>
          <w:lang w:val="fr-CA"/>
        </w:rPr>
        <w:t>forum non conveniens</w:t>
      </w:r>
      <w:r w:rsidRPr="009F420B">
        <w:rPr>
          <w:rFonts w:cs="Times New Roman"/>
          <w:lang w:val="fr-CA"/>
        </w:rPr>
        <w:t xml:space="preserve"> devraient s</w:t>
      </w:r>
      <w:r>
        <w:rPr>
          <w:rFonts w:cs="Times New Roman"/>
          <w:lang w:val="fr-CA"/>
        </w:rPr>
        <w:t>’</w:t>
      </w:r>
      <w:r w:rsidRPr="009F420B">
        <w:rPr>
          <w:rFonts w:cs="Times New Roman"/>
          <w:lang w:val="fr-CA"/>
        </w:rPr>
        <w:t>appuyer sur différents facteurs »</w:t>
      </w:r>
      <w:r>
        <w:rPr>
          <w:rFonts w:cs="Times New Roman"/>
          <w:lang w:val="fr-CA"/>
        </w:rPr>
        <w:t> :</w:t>
      </w:r>
      <w:r w:rsidRPr="009F420B">
        <w:rPr>
          <w:rFonts w:cs="Times New Roman"/>
          <w:lang w:val="fr-CA"/>
        </w:rPr>
        <w:t xml:space="preserve"> </w:t>
      </w:r>
      <w:r w:rsidRPr="009F420B">
        <w:rPr>
          <w:rFonts w:cs="Times New Roman"/>
          <w:i/>
          <w:lang w:val="fr-CA"/>
        </w:rPr>
        <w:t>Haaretz.com c. Goldhar</w:t>
      </w:r>
      <w:r w:rsidRPr="009F420B">
        <w:rPr>
          <w:rFonts w:cs="Times New Roman"/>
          <w:lang w:val="fr-CA"/>
        </w:rPr>
        <w:t xml:space="preserve">, 2018 CSC 28, </w:t>
      </w:r>
      <w:r w:rsidR="00684FCF">
        <w:rPr>
          <w:lang w:val="fr-CA"/>
        </w:rPr>
        <w:t>[2018</w:t>
      </w:r>
      <w:r w:rsidR="00684FCF" w:rsidRPr="00342757">
        <w:rPr>
          <w:lang w:val="fr-CA"/>
        </w:rPr>
        <w:t>]</w:t>
      </w:r>
      <w:r w:rsidR="00684FCF">
        <w:rPr>
          <w:lang w:val="fr-CA"/>
        </w:rPr>
        <w:t xml:space="preserve"> 2 R.C.S. 3, </w:t>
      </w:r>
      <w:r>
        <w:rPr>
          <w:rFonts w:cs="Times New Roman"/>
          <w:lang w:val="fr-CA"/>
        </w:rPr>
        <w:t>par. </w:t>
      </w:r>
      <w:r w:rsidRPr="009F420B">
        <w:rPr>
          <w:rFonts w:cs="Times New Roman"/>
          <w:lang w:val="fr-CA"/>
        </w:rPr>
        <w:t xml:space="preserve">90; </w:t>
      </w:r>
      <w:r w:rsidRPr="009F420B">
        <w:rPr>
          <w:rFonts w:cs="Times New Roman"/>
          <w:i/>
          <w:lang w:val="fr-CA"/>
        </w:rPr>
        <w:t>Van Breda</w:t>
      </w:r>
      <w:r w:rsidRPr="009F420B">
        <w:rPr>
          <w:rFonts w:cs="Times New Roman"/>
          <w:lang w:val="fr-CA"/>
        </w:rPr>
        <w:t xml:space="preserve">, </w:t>
      </w:r>
      <w:r>
        <w:rPr>
          <w:rFonts w:cs="Times New Roman"/>
          <w:lang w:val="fr-CA"/>
        </w:rPr>
        <w:t>par. </w:t>
      </w:r>
      <w:r w:rsidRPr="009F420B">
        <w:rPr>
          <w:rFonts w:cs="Times New Roman"/>
          <w:lang w:val="fr-CA"/>
        </w:rPr>
        <w:t xml:space="preserve">56. Ce principe découle toutefois de la distinction qui doit être faite entre le fait de </w:t>
      </w:r>
      <w:r w:rsidRPr="009F420B">
        <w:rPr>
          <w:rFonts w:cs="Times New Roman"/>
          <w:i/>
          <w:lang w:val="fr-CA"/>
        </w:rPr>
        <w:t>déterminer</w:t>
      </w:r>
      <w:r w:rsidRPr="009F420B">
        <w:rPr>
          <w:rFonts w:cs="Times New Roman"/>
          <w:lang w:val="fr-CA"/>
        </w:rPr>
        <w:t xml:space="preserve"> la compétence et celui pour un tribunal de </w:t>
      </w:r>
      <w:r w:rsidRPr="009F420B">
        <w:rPr>
          <w:rFonts w:cs="Times New Roman"/>
          <w:i/>
          <w:lang w:val="fr-CA"/>
        </w:rPr>
        <w:t>décliner</w:t>
      </w:r>
      <w:r w:rsidRPr="009F420B">
        <w:rPr>
          <w:rFonts w:cs="Times New Roman"/>
          <w:lang w:val="fr-CA"/>
        </w:rPr>
        <w:t xml:space="preserve"> sa compétence </w:t>
      </w:r>
      <w:r w:rsidRPr="009F420B">
        <w:rPr>
          <w:rFonts w:cs="Times New Roman"/>
          <w:lang w:val="fr-CA"/>
        </w:rPr>
        <w:lastRenderedPageBreak/>
        <w:t>(ou, pour reprendre les termes de la Cour dans l</w:t>
      </w:r>
      <w:r>
        <w:rPr>
          <w:rFonts w:cs="Times New Roman"/>
          <w:lang w:val="fr-CA"/>
        </w:rPr>
        <w:t>’</w:t>
      </w:r>
      <w:r w:rsidRPr="009F420B">
        <w:rPr>
          <w:rFonts w:cs="Times New Roman"/>
          <w:lang w:val="fr-CA"/>
        </w:rPr>
        <w:t xml:space="preserve">arrêt </w:t>
      </w:r>
      <w:r w:rsidRPr="009F420B">
        <w:rPr>
          <w:rFonts w:cs="Times New Roman"/>
          <w:i/>
          <w:lang w:val="fr-CA"/>
        </w:rPr>
        <w:t>Van Breda</w:t>
      </w:r>
      <w:r w:rsidRPr="009F420B">
        <w:rPr>
          <w:rFonts w:cs="Times New Roman"/>
          <w:lang w:val="fr-CA"/>
        </w:rPr>
        <w:t xml:space="preserve">, </w:t>
      </w:r>
      <w:r>
        <w:rPr>
          <w:rFonts w:cs="Times New Roman"/>
          <w:lang w:val="fr-CA"/>
        </w:rPr>
        <w:t>par. </w:t>
      </w:r>
      <w:r w:rsidRPr="009F420B">
        <w:rPr>
          <w:rFonts w:cs="Times New Roman"/>
          <w:lang w:val="fr-CA"/>
        </w:rPr>
        <w:t>19, entre « la déclaration de compétence (la simple reconnaissance de compétence) » et les « décisions sur l</w:t>
      </w:r>
      <w:r>
        <w:rPr>
          <w:rFonts w:cs="Times New Roman"/>
          <w:lang w:val="fr-CA"/>
        </w:rPr>
        <w:t>’</w:t>
      </w:r>
      <w:r w:rsidRPr="009F420B">
        <w:rPr>
          <w:rFonts w:cs="Times New Roman"/>
          <w:lang w:val="fr-CA"/>
        </w:rPr>
        <w:t xml:space="preserve">opportunité de décliner compétence (le </w:t>
      </w:r>
      <w:r w:rsidRPr="009F420B">
        <w:rPr>
          <w:rFonts w:cs="Times New Roman"/>
          <w:i/>
          <w:lang w:val="fr-CA"/>
        </w:rPr>
        <w:t>forum non conveniens</w:t>
      </w:r>
      <w:r w:rsidRPr="009F420B">
        <w:rPr>
          <w:rFonts w:cs="Times New Roman"/>
          <w:lang w:val="fr-CA"/>
        </w:rPr>
        <w:t>) »). Dans le contexte de la reconnaissance d</w:t>
      </w:r>
      <w:r>
        <w:rPr>
          <w:rFonts w:cs="Times New Roman"/>
          <w:lang w:val="fr-CA"/>
        </w:rPr>
        <w:t>’</w:t>
      </w:r>
      <w:r w:rsidRPr="009F420B">
        <w:rPr>
          <w:rFonts w:cs="Times New Roman"/>
          <w:lang w:val="fr-CA"/>
        </w:rPr>
        <w:t>un jugement étranger, il n</w:t>
      </w:r>
      <w:r>
        <w:rPr>
          <w:rFonts w:cs="Times New Roman"/>
          <w:lang w:val="fr-CA"/>
        </w:rPr>
        <w:t>’</w:t>
      </w:r>
      <w:r w:rsidRPr="009F420B">
        <w:rPr>
          <w:rFonts w:cs="Times New Roman"/>
          <w:lang w:val="fr-CA"/>
        </w:rPr>
        <w:t>est toutefois pas nécessaire d</w:t>
      </w:r>
      <w:r>
        <w:rPr>
          <w:rFonts w:cs="Times New Roman"/>
          <w:lang w:val="fr-CA"/>
        </w:rPr>
        <w:t>’</w:t>
      </w:r>
      <w:r w:rsidRPr="009F420B">
        <w:rPr>
          <w:rFonts w:cs="Times New Roman"/>
          <w:lang w:val="fr-CA"/>
        </w:rPr>
        <w:t xml:space="preserve">établir une distinction entre les facteurs pertinents pour mener à bien les « analyses relatives à la simple reconnaissance de compétence et celle relative au </w:t>
      </w:r>
      <w:r w:rsidRPr="009F420B">
        <w:rPr>
          <w:rFonts w:cs="Times New Roman"/>
          <w:i/>
          <w:lang w:val="fr-CA"/>
        </w:rPr>
        <w:t>forum non conveniens</w:t>
      </w:r>
      <w:r w:rsidRPr="009F420B">
        <w:rPr>
          <w:rFonts w:cs="Times New Roman"/>
          <w:lang w:val="fr-CA"/>
        </w:rPr>
        <w:t> » puisqu</w:t>
      </w:r>
      <w:r>
        <w:rPr>
          <w:rFonts w:cs="Times New Roman"/>
          <w:lang w:val="fr-CA"/>
        </w:rPr>
        <w:t>’</w:t>
      </w:r>
      <w:r w:rsidRPr="009F420B">
        <w:rPr>
          <w:rFonts w:cs="Times New Roman"/>
          <w:lang w:val="fr-CA"/>
        </w:rPr>
        <w:t xml:space="preserve">un tribunal québécois </w:t>
      </w:r>
      <w:r w:rsidRPr="009F420B">
        <w:rPr>
          <w:rFonts w:cs="Times New Roman"/>
          <w:i/>
          <w:lang w:val="fr-CA"/>
        </w:rPr>
        <w:t>ne peut pas</w:t>
      </w:r>
      <w:r w:rsidRPr="009F420B">
        <w:rPr>
          <w:rFonts w:cs="Times New Roman"/>
          <w:lang w:val="fr-CA"/>
        </w:rPr>
        <w:t xml:space="preserve"> refuser de reconnaître un tel jugement au motif que l</w:t>
      </w:r>
      <w:r>
        <w:rPr>
          <w:rFonts w:cs="Times New Roman"/>
          <w:lang w:val="fr-CA"/>
        </w:rPr>
        <w:t>’</w:t>
      </w:r>
      <w:r w:rsidRPr="009F420B">
        <w:rPr>
          <w:rFonts w:cs="Times New Roman"/>
          <w:lang w:val="fr-CA"/>
        </w:rPr>
        <w:t xml:space="preserve">autorité étrangère aurait dû décliner sa compétence en application de la doctrine du </w:t>
      </w:r>
      <w:r w:rsidRPr="009F420B">
        <w:rPr>
          <w:rFonts w:cs="Times New Roman"/>
          <w:i/>
          <w:lang w:val="fr-CA"/>
        </w:rPr>
        <w:t>forum non conveniens</w:t>
      </w:r>
      <w:r>
        <w:rPr>
          <w:rFonts w:cs="Times New Roman"/>
          <w:lang w:val="fr-CA"/>
        </w:rPr>
        <w:t> :</w:t>
      </w:r>
      <w:r w:rsidRPr="009F420B">
        <w:rPr>
          <w:rFonts w:cs="Times New Roman"/>
          <w:lang w:val="fr-CA"/>
        </w:rPr>
        <w:t xml:space="preserve"> </w:t>
      </w:r>
      <w:r w:rsidRPr="009F420B">
        <w:rPr>
          <w:rFonts w:cs="Times New Roman"/>
          <w:i/>
          <w:lang w:val="fr-CA"/>
        </w:rPr>
        <w:t>Lépine</w:t>
      </w:r>
      <w:r w:rsidRPr="009F420B">
        <w:rPr>
          <w:rFonts w:cs="Times New Roman"/>
          <w:lang w:val="fr-CA"/>
        </w:rPr>
        <w:t>. S</w:t>
      </w:r>
      <w:r>
        <w:rPr>
          <w:rFonts w:cs="Times New Roman"/>
          <w:lang w:val="fr-CA"/>
        </w:rPr>
        <w:t>’</w:t>
      </w:r>
      <w:r w:rsidRPr="009F420B">
        <w:rPr>
          <w:rFonts w:cs="Times New Roman"/>
          <w:lang w:val="fr-CA"/>
        </w:rPr>
        <w:t>il faut qu</w:t>
      </w:r>
      <w:r>
        <w:rPr>
          <w:rFonts w:cs="Times New Roman"/>
          <w:lang w:val="fr-CA"/>
        </w:rPr>
        <w:t>’</w:t>
      </w:r>
      <w:r w:rsidRPr="009F420B">
        <w:rPr>
          <w:rFonts w:cs="Times New Roman"/>
          <w:lang w:val="fr-CA"/>
        </w:rPr>
        <w:t>il soit satisfait au critère du « rattachement important » prévu à l</w:t>
      </w:r>
      <w:r>
        <w:rPr>
          <w:rFonts w:cs="Times New Roman"/>
          <w:lang w:val="fr-CA"/>
        </w:rPr>
        <w:t>’art. </w:t>
      </w:r>
      <w:r w:rsidRPr="009F420B">
        <w:rPr>
          <w:rFonts w:cs="Times New Roman"/>
          <w:lang w:val="fr-CA"/>
        </w:rPr>
        <w:t xml:space="preserve">3164 </w:t>
      </w:r>
      <w:r w:rsidRPr="009F420B">
        <w:rPr>
          <w:rFonts w:cs="Times New Roman"/>
          <w:i/>
          <w:lang w:val="fr-CA"/>
        </w:rPr>
        <w:t>C.c.Q.</w:t>
      </w:r>
      <w:r w:rsidRPr="009F420B">
        <w:rPr>
          <w:rFonts w:cs="Times New Roman"/>
          <w:lang w:val="fr-CA"/>
        </w:rPr>
        <w:t xml:space="preserve"> pour que la compétence de l</w:t>
      </w:r>
      <w:r>
        <w:rPr>
          <w:rFonts w:cs="Times New Roman"/>
          <w:lang w:val="fr-CA"/>
        </w:rPr>
        <w:t>’</w:t>
      </w:r>
      <w:r w:rsidRPr="009F420B">
        <w:rPr>
          <w:rFonts w:cs="Times New Roman"/>
          <w:lang w:val="fr-CA"/>
        </w:rPr>
        <w:t xml:space="preserve">autorité étrangère soit reconnue — ce qui est le cas si le tribunal québécois entend fonder sa conclusion de compétence sur une des « dispositions générales » du chapitre premier du titre troisième —, le tribunal québécois doit, à mon avis, analyser </w:t>
      </w:r>
      <w:r w:rsidRPr="009F420B">
        <w:rPr>
          <w:rFonts w:cs="Times New Roman"/>
          <w:i/>
          <w:lang w:val="fr-CA"/>
        </w:rPr>
        <w:t>l</w:t>
      </w:r>
      <w:r>
        <w:rPr>
          <w:rFonts w:cs="Times New Roman"/>
          <w:i/>
          <w:lang w:val="fr-CA"/>
        </w:rPr>
        <w:t>’</w:t>
      </w:r>
      <w:r w:rsidRPr="009F420B">
        <w:rPr>
          <w:rFonts w:cs="Times New Roman"/>
          <w:i/>
          <w:lang w:val="fr-CA"/>
        </w:rPr>
        <w:t>ensemble</w:t>
      </w:r>
      <w:r w:rsidRPr="009F420B">
        <w:rPr>
          <w:rFonts w:cs="Times New Roman"/>
          <w:lang w:val="fr-CA"/>
        </w:rPr>
        <w:t xml:space="preserve"> des facteurs pertinents, y compris le droit applicable</w:t>
      </w:r>
      <w:r>
        <w:rPr>
          <w:rFonts w:cs="Times New Roman"/>
          <w:lang w:val="fr-CA"/>
        </w:rPr>
        <w:t> :</w:t>
      </w:r>
      <w:r w:rsidRPr="009F420B">
        <w:rPr>
          <w:rFonts w:cs="Times New Roman"/>
          <w:lang w:val="fr-CA"/>
        </w:rPr>
        <w:t xml:space="preserve"> </w:t>
      </w:r>
      <w:r w:rsidRPr="009F420B">
        <w:rPr>
          <w:rFonts w:cs="Times New Roman"/>
          <w:i/>
          <w:lang w:val="fr-CA"/>
        </w:rPr>
        <w:t>Ortega</w:t>
      </w:r>
      <w:r w:rsidRPr="009F420B">
        <w:rPr>
          <w:rFonts w:cs="Times New Roman"/>
          <w:lang w:val="fr-CA"/>
        </w:rPr>
        <w:t xml:space="preserve">, </w:t>
      </w:r>
      <w:r>
        <w:rPr>
          <w:rFonts w:cs="Times New Roman"/>
          <w:lang w:val="fr-CA"/>
        </w:rPr>
        <w:t>par. </w:t>
      </w:r>
      <w:r w:rsidRPr="009F420B">
        <w:rPr>
          <w:rFonts w:cs="Times New Roman"/>
          <w:lang w:val="fr-CA"/>
        </w:rPr>
        <w:t>42 et 46. Je réitère que le droit applicable devrait être examiné au regard du critère du « rattachement important » de l</w:t>
      </w:r>
      <w:r>
        <w:rPr>
          <w:rFonts w:cs="Times New Roman"/>
          <w:lang w:val="fr-CA"/>
        </w:rPr>
        <w:t>’</w:t>
      </w:r>
      <w:r w:rsidRPr="009F420B">
        <w:rPr>
          <w:rFonts w:cs="Times New Roman"/>
          <w:lang w:val="fr-CA"/>
        </w:rPr>
        <w:t xml:space="preserve">article 3164 </w:t>
      </w:r>
      <w:r w:rsidRPr="009F420B">
        <w:rPr>
          <w:rFonts w:cs="Times New Roman"/>
          <w:i/>
          <w:lang w:val="fr-CA"/>
        </w:rPr>
        <w:t>C.c.Q.</w:t>
      </w:r>
      <w:r w:rsidRPr="009F420B">
        <w:rPr>
          <w:rFonts w:cs="Times New Roman"/>
          <w:lang w:val="fr-CA"/>
        </w:rPr>
        <w:t xml:space="preserve"> pour </w:t>
      </w:r>
      <w:r w:rsidRPr="009F420B">
        <w:rPr>
          <w:rFonts w:cs="Times New Roman"/>
          <w:i/>
          <w:lang w:val="fr-CA"/>
        </w:rPr>
        <w:t>étendre</w:t>
      </w:r>
      <w:r w:rsidRPr="009F420B">
        <w:rPr>
          <w:rFonts w:cs="Times New Roman"/>
          <w:lang w:val="fr-CA"/>
        </w:rPr>
        <w:t xml:space="preserve"> la compétence reconnue du tribunal étranger, et non pour la </w:t>
      </w:r>
      <w:r w:rsidRPr="009F420B">
        <w:rPr>
          <w:rFonts w:cs="Times New Roman"/>
          <w:i/>
          <w:lang w:val="fr-CA"/>
        </w:rPr>
        <w:t>nier</w:t>
      </w:r>
      <w:r w:rsidRPr="009F420B">
        <w:rPr>
          <w:rFonts w:cs="Times New Roman"/>
          <w:lang w:val="fr-CA"/>
        </w:rPr>
        <w:t xml:space="preserve"> par l</w:t>
      </w:r>
      <w:r>
        <w:rPr>
          <w:rFonts w:cs="Times New Roman"/>
          <w:lang w:val="fr-CA"/>
        </w:rPr>
        <w:t>’</w:t>
      </w:r>
      <w:r w:rsidRPr="009F420B">
        <w:rPr>
          <w:rFonts w:cs="Times New Roman"/>
          <w:lang w:val="fr-CA"/>
        </w:rPr>
        <w:t xml:space="preserve">application indue de la doctrine du </w:t>
      </w:r>
      <w:r w:rsidRPr="009F420B">
        <w:rPr>
          <w:rFonts w:cs="Times New Roman"/>
          <w:i/>
          <w:lang w:val="fr-CA"/>
        </w:rPr>
        <w:t>forum non conveniens</w:t>
      </w:r>
      <w:r w:rsidRPr="009F420B">
        <w:rPr>
          <w:rFonts w:cs="Times New Roman"/>
          <w:lang w:val="fr-CA"/>
        </w:rPr>
        <w:t>.</w:t>
      </w:r>
    </w:p>
    <w:p w:rsidR="00AF6697" w:rsidRPr="009F420B" w:rsidRDefault="00AF6697" w:rsidP="00AF6697">
      <w:pPr>
        <w:pStyle w:val="ParaNoNdepar-AltN"/>
        <w:tabs>
          <w:tab w:val="clear" w:pos="1166"/>
          <w:tab w:val="num" w:pos="1152"/>
        </w:tabs>
        <w:rPr>
          <w:rFonts w:cs="Times New Roman"/>
          <w:lang w:val="fr-CA"/>
        </w:rPr>
      </w:pPr>
      <w:r w:rsidRPr="009F420B">
        <w:rPr>
          <w:rFonts w:cs="Times New Roman"/>
          <w:lang w:val="fr-CA"/>
        </w:rPr>
        <w:t xml:space="preserve">Malgré nos désaccords, mes collègues et moi nous entendons pour dire </w:t>
      </w:r>
      <w:r w:rsidRPr="009F420B">
        <w:rPr>
          <w:rFonts w:cs="Times New Roman"/>
          <w:szCs w:val="24"/>
          <w:lang w:val="fr-CA"/>
        </w:rPr>
        <w:t>qu</w:t>
      </w:r>
      <w:r>
        <w:rPr>
          <w:rFonts w:cs="Times New Roman"/>
          <w:szCs w:val="24"/>
          <w:lang w:val="fr-CA"/>
        </w:rPr>
        <w:t>’</w:t>
      </w:r>
      <w:r w:rsidRPr="009F420B">
        <w:rPr>
          <w:rFonts w:cs="Times New Roman"/>
          <w:szCs w:val="24"/>
          <w:lang w:val="fr-CA"/>
        </w:rPr>
        <w:t>« </w:t>
      </w:r>
      <w:r w:rsidRPr="009F420B">
        <w:rPr>
          <w:rFonts w:cs="Times New Roman"/>
          <w:lang w:val="fr-CA"/>
        </w:rPr>
        <w:t>il est dans l</w:t>
      </w:r>
      <w:r>
        <w:rPr>
          <w:rFonts w:cs="Times New Roman"/>
          <w:lang w:val="fr-CA"/>
        </w:rPr>
        <w:t>’</w:t>
      </w:r>
      <w:r w:rsidRPr="009F420B">
        <w:rPr>
          <w:rFonts w:cs="Times New Roman"/>
          <w:lang w:val="fr-CA"/>
        </w:rPr>
        <w:t>intérêt de la justice que</w:t>
      </w:r>
      <w:r w:rsidR="00333116">
        <w:rPr>
          <w:rFonts w:cs="Times New Roman"/>
          <w:lang w:val="fr-CA"/>
        </w:rPr>
        <w:t xml:space="preserve"> [</w:t>
      </w:r>
      <w:r w:rsidR="00333116" w:rsidRPr="00333116">
        <w:rPr>
          <w:rFonts w:cs="Times New Roman"/>
          <w:smallCaps/>
          <w:lang w:val="fr-CA"/>
        </w:rPr>
        <w:t>traduction</w:t>
      </w:r>
      <w:r w:rsidR="00333116">
        <w:rPr>
          <w:rFonts w:cs="Times New Roman"/>
          <w:lang w:val="fr-CA"/>
        </w:rPr>
        <w:t>]</w:t>
      </w:r>
      <w:r w:rsidRPr="009F420B">
        <w:rPr>
          <w:rFonts w:cs="Times New Roman"/>
          <w:lang w:val="fr-CA"/>
        </w:rPr>
        <w:t xml:space="preserve"> </w:t>
      </w:r>
      <w:r w:rsidR="00333116">
        <w:rPr>
          <w:rFonts w:cs="Times New Roman"/>
          <w:lang w:val="fr-CA"/>
        </w:rPr>
        <w:t>‟</w:t>
      </w:r>
      <w:r w:rsidRPr="009F420B">
        <w:rPr>
          <w:rFonts w:cs="Times New Roman"/>
          <w:lang w:val="fr-CA"/>
        </w:rPr>
        <w:t>l</w:t>
      </w:r>
      <w:r>
        <w:rPr>
          <w:rFonts w:cs="Times New Roman"/>
          <w:lang w:val="fr-CA"/>
        </w:rPr>
        <w:t>’</w:t>
      </w:r>
      <w:r w:rsidRPr="009F420B">
        <w:rPr>
          <w:rFonts w:cs="Times New Roman"/>
          <w:lang w:val="fr-CA"/>
        </w:rPr>
        <w:t xml:space="preserve">ensemble du litige, y compris les allégations </w:t>
      </w:r>
      <w:r w:rsidRPr="00CF02DC">
        <w:rPr>
          <w:rFonts w:cs="Times New Roman"/>
          <w:lang w:val="fr-CA"/>
        </w:rPr>
        <w:t>d’alter ego</w:t>
      </w:r>
      <w:r w:rsidRPr="009F420B">
        <w:rPr>
          <w:rFonts w:cs="Times New Roman"/>
          <w:szCs w:val="24"/>
          <w:lang w:val="fr-CA"/>
        </w:rPr>
        <w:t>”</w:t>
      </w:r>
      <w:r w:rsidRPr="009F420B">
        <w:rPr>
          <w:rFonts w:cs="Times New Roman"/>
          <w:lang w:val="fr-CA"/>
        </w:rPr>
        <w:t>, soit tranché par un seul tribunal »</w:t>
      </w:r>
      <w:r>
        <w:rPr>
          <w:rFonts w:cs="Times New Roman"/>
          <w:szCs w:val="24"/>
          <w:lang w:val="fr-CA"/>
        </w:rPr>
        <w:t> :</w:t>
      </w:r>
      <w:r w:rsidRPr="009F420B">
        <w:rPr>
          <w:rFonts w:cs="Times New Roman"/>
          <w:szCs w:val="24"/>
          <w:lang w:val="fr-CA"/>
        </w:rPr>
        <w:t xml:space="preserve"> motifs du juge Gascon, </w:t>
      </w:r>
      <w:r>
        <w:rPr>
          <w:rFonts w:cs="Times New Roman"/>
          <w:szCs w:val="24"/>
          <w:lang w:val="fr-CA"/>
        </w:rPr>
        <w:t>par. </w:t>
      </w:r>
      <w:r w:rsidRPr="009F420B">
        <w:rPr>
          <w:rFonts w:cs="Times New Roman"/>
          <w:szCs w:val="24"/>
          <w:lang w:val="fr-CA"/>
        </w:rPr>
        <w:t xml:space="preserve">88; voir aussi les motifs de la juge Côté, </w:t>
      </w:r>
      <w:r>
        <w:rPr>
          <w:rFonts w:cs="Times New Roman"/>
          <w:szCs w:val="24"/>
          <w:lang w:val="fr-CA"/>
        </w:rPr>
        <w:t>par. </w:t>
      </w:r>
      <w:r w:rsidRPr="009F420B">
        <w:rPr>
          <w:rFonts w:cs="Times New Roman"/>
          <w:szCs w:val="24"/>
          <w:lang w:val="fr-CA"/>
        </w:rPr>
        <w:t>274. Fort bien. Mais de quel tribunal parle</w:t>
      </w:r>
      <w:r>
        <w:rPr>
          <w:rFonts w:cs="Times New Roman"/>
          <w:szCs w:val="24"/>
          <w:lang w:val="fr-CA"/>
        </w:rPr>
        <w:noBreakHyphen/>
      </w:r>
      <w:r w:rsidRPr="009F420B">
        <w:rPr>
          <w:rFonts w:cs="Times New Roman"/>
          <w:szCs w:val="24"/>
          <w:lang w:val="fr-CA"/>
        </w:rPr>
        <w:t>t</w:t>
      </w:r>
      <w:r>
        <w:rPr>
          <w:rFonts w:cs="Times New Roman"/>
          <w:szCs w:val="24"/>
          <w:lang w:val="fr-CA"/>
        </w:rPr>
        <w:noBreakHyphen/>
      </w:r>
      <w:r w:rsidRPr="009F420B">
        <w:rPr>
          <w:rFonts w:cs="Times New Roman"/>
          <w:szCs w:val="24"/>
          <w:lang w:val="fr-CA"/>
        </w:rPr>
        <w:t>on? Suivant l</w:t>
      </w:r>
      <w:r>
        <w:rPr>
          <w:rFonts w:cs="Times New Roman"/>
          <w:szCs w:val="24"/>
          <w:lang w:val="fr-CA"/>
        </w:rPr>
        <w:t>’</w:t>
      </w:r>
      <w:r w:rsidRPr="009F420B">
        <w:rPr>
          <w:rFonts w:cs="Times New Roman"/>
          <w:szCs w:val="24"/>
          <w:lang w:val="fr-CA"/>
        </w:rPr>
        <w:t xml:space="preserve">article 3148 </w:t>
      </w:r>
      <w:r w:rsidRPr="009F420B">
        <w:rPr>
          <w:rFonts w:cs="Times New Roman"/>
          <w:i/>
          <w:szCs w:val="24"/>
          <w:lang w:val="fr-CA"/>
        </w:rPr>
        <w:t>C.c.Q.</w:t>
      </w:r>
      <w:r w:rsidRPr="009F420B">
        <w:rPr>
          <w:rFonts w:cs="Times New Roman"/>
          <w:szCs w:val="24"/>
          <w:lang w:val="fr-CA"/>
        </w:rPr>
        <w:t>, les autorités québécoises n</w:t>
      </w:r>
      <w:r>
        <w:rPr>
          <w:rFonts w:cs="Times New Roman"/>
          <w:szCs w:val="24"/>
          <w:lang w:val="fr-CA"/>
        </w:rPr>
        <w:t>’</w:t>
      </w:r>
      <w:r w:rsidRPr="009F420B">
        <w:rPr>
          <w:rFonts w:cs="Times New Roman"/>
          <w:szCs w:val="24"/>
          <w:lang w:val="fr-CA"/>
        </w:rPr>
        <w:t>ont pas compétence sur BEC, dont le bureau principal est situé au Vermont. De l</w:t>
      </w:r>
      <w:r>
        <w:rPr>
          <w:rFonts w:cs="Times New Roman"/>
          <w:szCs w:val="24"/>
          <w:lang w:val="fr-CA"/>
        </w:rPr>
        <w:t>’</w:t>
      </w:r>
      <w:r w:rsidRPr="009F420B">
        <w:rPr>
          <w:rFonts w:cs="Times New Roman"/>
          <w:szCs w:val="24"/>
          <w:lang w:val="fr-CA"/>
        </w:rPr>
        <w:t xml:space="preserve">avis de mes </w:t>
      </w:r>
      <w:r w:rsidRPr="009F420B">
        <w:rPr>
          <w:rFonts w:cs="Times New Roman"/>
          <w:szCs w:val="24"/>
          <w:lang w:val="fr-CA"/>
        </w:rPr>
        <w:lastRenderedPageBreak/>
        <w:t>collègues, les juges Gascon et Côté, le tribunal de l</w:t>
      </w:r>
      <w:r>
        <w:rPr>
          <w:rFonts w:cs="Times New Roman"/>
          <w:szCs w:val="24"/>
          <w:lang w:val="fr-CA"/>
        </w:rPr>
        <w:t>’</w:t>
      </w:r>
      <w:r w:rsidRPr="009F420B">
        <w:rPr>
          <w:rFonts w:cs="Times New Roman"/>
          <w:szCs w:val="24"/>
          <w:lang w:val="fr-CA"/>
        </w:rPr>
        <w:t>Utah n</w:t>
      </w:r>
      <w:r>
        <w:rPr>
          <w:rFonts w:cs="Times New Roman"/>
          <w:szCs w:val="24"/>
          <w:lang w:val="fr-CA"/>
        </w:rPr>
        <w:t>’</w:t>
      </w:r>
      <w:r w:rsidRPr="009F420B">
        <w:rPr>
          <w:rFonts w:cs="Times New Roman"/>
          <w:szCs w:val="24"/>
          <w:lang w:val="fr-CA"/>
        </w:rPr>
        <w:t xml:space="preserve">a pas compétence sur M. Barer en application des </w:t>
      </w:r>
      <w:r w:rsidR="00B5585E">
        <w:rPr>
          <w:rFonts w:cs="Times New Roman"/>
          <w:szCs w:val="24"/>
          <w:lang w:val="fr-CA"/>
        </w:rPr>
        <w:t>par.</w:t>
      </w:r>
      <w:r>
        <w:rPr>
          <w:rFonts w:cs="Times New Roman"/>
          <w:szCs w:val="24"/>
          <w:lang w:val="fr-CA"/>
        </w:rPr>
        <w:t> </w:t>
      </w:r>
      <w:r w:rsidRPr="009F420B">
        <w:rPr>
          <w:rFonts w:cs="Times New Roman"/>
          <w:szCs w:val="24"/>
          <w:lang w:val="fr-CA"/>
        </w:rPr>
        <w:t>3168(3) ou (4) </w:t>
      </w:r>
      <w:r w:rsidRPr="009F420B">
        <w:rPr>
          <w:rFonts w:cs="Times New Roman"/>
          <w:i/>
          <w:szCs w:val="24"/>
          <w:lang w:val="fr-CA"/>
        </w:rPr>
        <w:t>C.c.Q.</w:t>
      </w:r>
      <w:r w:rsidRPr="009F420B">
        <w:rPr>
          <w:rFonts w:cs="Times New Roman"/>
          <w:szCs w:val="24"/>
          <w:lang w:val="fr-CA"/>
        </w:rPr>
        <w:t>, en raison de l</w:t>
      </w:r>
      <w:r>
        <w:rPr>
          <w:rFonts w:cs="Times New Roman"/>
          <w:szCs w:val="24"/>
          <w:lang w:val="fr-CA"/>
        </w:rPr>
        <w:t>’</w:t>
      </w:r>
      <w:r w:rsidRPr="009F420B">
        <w:rPr>
          <w:rFonts w:cs="Times New Roman"/>
          <w:szCs w:val="24"/>
          <w:lang w:val="fr-CA"/>
        </w:rPr>
        <w:t>insuffisance de la preuve à ce sujet. Cependant, si la preuve est insuffisante, c</w:t>
      </w:r>
      <w:r>
        <w:rPr>
          <w:rFonts w:cs="Times New Roman"/>
          <w:szCs w:val="24"/>
          <w:lang w:val="fr-CA"/>
        </w:rPr>
        <w:t>’</w:t>
      </w:r>
      <w:r w:rsidRPr="009F420B">
        <w:rPr>
          <w:rFonts w:cs="Times New Roman"/>
          <w:szCs w:val="24"/>
          <w:lang w:val="fr-CA"/>
        </w:rPr>
        <w:t xml:space="preserve">est uniquement parce que M. Barer a choisi de </w:t>
      </w:r>
      <w:r w:rsidRPr="009F420B">
        <w:rPr>
          <w:rFonts w:cs="Times New Roman"/>
          <w:i/>
          <w:szCs w:val="24"/>
          <w:lang w:val="fr-CA"/>
        </w:rPr>
        <w:t>ne</w:t>
      </w:r>
      <w:r w:rsidRPr="009F420B">
        <w:rPr>
          <w:rFonts w:cs="Times New Roman"/>
          <w:szCs w:val="24"/>
          <w:lang w:val="fr-CA"/>
        </w:rPr>
        <w:t xml:space="preserve"> </w:t>
      </w:r>
      <w:r w:rsidRPr="009F420B">
        <w:rPr>
          <w:rFonts w:cs="Times New Roman"/>
          <w:i/>
          <w:szCs w:val="24"/>
          <w:lang w:val="fr-CA"/>
        </w:rPr>
        <w:t>pas</w:t>
      </w:r>
      <w:r w:rsidRPr="009F420B">
        <w:rPr>
          <w:rFonts w:cs="Times New Roman"/>
          <w:szCs w:val="24"/>
          <w:lang w:val="fr-CA"/>
        </w:rPr>
        <w:t xml:space="preserve"> présenter de défense à l</w:t>
      </w:r>
      <w:r>
        <w:rPr>
          <w:rFonts w:cs="Times New Roman"/>
          <w:szCs w:val="24"/>
          <w:lang w:val="fr-CA"/>
        </w:rPr>
        <w:t>’</w:t>
      </w:r>
      <w:r w:rsidRPr="009F420B">
        <w:rPr>
          <w:rFonts w:cs="Times New Roman"/>
          <w:szCs w:val="24"/>
          <w:lang w:val="fr-CA"/>
        </w:rPr>
        <w:t>encontre des allégations d</w:t>
      </w:r>
      <w:r>
        <w:rPr>
          <w:rFonts w:cs="Times New Roman"/>
          <w:szCs w:val="24"/>
          <w:lang w:val="fr-CA"/>
        </w:rPr>
        <w:t>’</w:t>
      </w:r>
      <w:r w:rsidRPr="009F420B">
        <w:rPr>
          <w:rFonts w:cs="Times New Roman"/>
          <w:szCs w:val="24"/>
          <w:lang w:val="fr-CA"/>
        </w:rPr>
        <w:t>alter ego et de fraude, et parce que le tribunal de l</w:t>
      </w:r>
      <w:r>
        <w:rPr>
          <w:rFonts w:cs="Times New Roman"/>
          <w:szCs w:val="24"/>
          <w:lang w:val="fr-CA"/>
        </w:rPr>
        <w:t>’</w:t>
      </w:r>
      <w:r w:rsidRPr="009F420B">
        <w:rPr>
          <w:rFonts w:cs="Times New Roman"/>
          <w:szCs w:val="24"/>
          <w:lang w:val="fr-CA"/>
        </w:rPr>
        <w:t>Utah ne peut par ailleurs pas se déclarer compétent sur lui puisqu</w:t>
      </w:r>
      <w:r>
        <w:rPr>
          <w:rFonts w:cs="Times New Roman"/>
          <w:szCs w:val="24"/>
          <w:lang w:val="fr-CA"/>
        </w:rPr>
        <w:t>’</w:t>
      </w:r>
      <w:r w:rsidRPr="009F420B">
        <w:rPr>
          <w:rFonts w:cs="Times New Roman"/>
          <w:szCs w:val="24"/>
          <w:lang w:val="fr-CA"/>
        </w:rPr>
        <w:t>il est domicilié au Québec. Toutefois, dans une telle « </w:t>
      </w:r>
      <w:r w:rsidRPr="009F420B">
        <w:rPr>
          <w:rFonts w:cs="Times New Roman"/>
          <w:lang w:val="fr-CA"/>
        </w:rPr>
        <w:t>situation juridique complexe où plusieurs parties se trouvent dans des fors différents »</w:t>
      </w:r>
      <w:r w:rsidRPr="009F420B">
        <w:rPr>
          <w:rFonts w:cs="Times New Roman"/>
          <w:szCs w:val="24"/>
          <w:lang w:val="fr-CA"/>
        </w:rPr>
        <w:t xml:space="preserve"> (</w:t>
      </w:r>
      <w:r w:rsidRPr="009F420B">
        <w:rPr>
          <w:rFonts w:cs="Times New Roman"/>
          <w:i/>
          <w:szCs w:val="24"/>
          <w:lang w:val="fr-CA"/>
        </w:rPr>
        <w:t>Lépine</w:t>
      </w:r>
      <w:r w:rsidRPr="009F420B">
        <w:rPr>
          <w:rFonts w:cs="Times New Roman"/>
          <w:szCs w:val="24"/>
          <w:lang w:val="fr-CA"/>
        </w:rPr>
        <w:t xml:space="preserve">, </w:t>
      </w:r>
      <w:r>
        <w:rPr>
          <w:rFonts w:cs="Times New Roman"/>
          <w:szCs w:val="24"/>
          <w:lang w:val="fr-CA"/>
        </w:rPr>
        <w:t>par. </w:t>
      </w:r>
      <w:r w:rsidRPr="009F420B">
        <w:rPr>
          <w:rFonts w:cs="Times New Roman"/>
          <w:szCs w:val="24"/>
          <w:lang w:val="fr-CA"/>
        </w:rPr>
        <w:t>36), et où un rattachement important existe entre leur litige et l</w:t>
      </w:r>
      <w:r>
        <w:rPr>
          <w:rFonts w:cs="Times New Roman"/>
          <w:szCs w:val="24"/>
          <w:lang w:val="fr-CA"/>
        </w:rPr>
        <w:t>’</w:t>
      </w:r>
      <w:r w:rsidRPr="009F420B">
        <w:rPr>
          <w:rFonts w:cs="Times New Roman"/>
          <w:szCs w:val="24"/>
          <w:lang w:val="fr-CA"/>
        </w:rPr>
        <w:t>Utah, j</w:t>
      </w:r>
      <w:r>
        <w:rPr>
          <w:rFonts w:cs="Times New Roman"/>
          <w:szCs w:val="24"/>
          <w:lang w:val="fr-CA"/>
        </w:rPr>
        <w:t>’</w:t>
      </w:r>
      <w:r w:rsidRPr="009F420B">
        <w:rPr>
          <w:rFonts w:cs="Times New Roman"/>
          <w:szCs w:val="24"/>
          <w:lang w:val="fr-CA"/>
        </w:rPr>
        <w:t>estime qu</w:t>
      </w:r>
      <w:r>
        <w:rPr>
          <w:rFonts w:cs="Times New Roman"/>
          <w:szCs w:val="24"/>
          <w:lang w:val="fr-CA"/>
        </w:rPr>
        <w:t>’</w:t>
      </w:r>
      <w:r w:rsidRPr="009F420B">
        <w:rPr>
          <w:rFonts w:cs="Times New Roman"/>
          <w:szCs w:val="24"/>
          <w:lang w:val="fr-CA"/>
        </w:rPr>
        <w:t>il est non seulement souhaitable, mais également nécessaire, dans l</w:t>
      </w:r>
      <w:r>
        <w:rPr>
          <w:rFonts w:cs="Times New Roman"/>
          <w:szCs w:val="24"/>
          <w:lang w:val="fr-CA"/>
        </w:rPr>
        <w:t>’</w:t>
      </w:r>
      <w:r w:rsidRPr="009F420B">
        <w:rPr>
          <w:rFonts w:cs="Times New Roman"/>
          <w:szCs w:val="24"/>
          <w:lang w:val="fr-CA"/>
        </w:rPr>
        <w:t>intérêt de la justice et à la lumière du « principe directeur » de la courtoisie internationale qui sert d</w:t>
      </w:r>
      <w:r>
        <w:rPr>
          <w:rFonts w:cs="Times New Roman"/>
          <w:szCs w:val="24"/>
          <w:lang w:val="fr-CA"/>
        </w:rPr>
        <w:t>’</w:t>
      </w:r>
      <w:r w:rsidRPr="009F420B">
        <w:rPr>
          <w:rFonts w:cs="Times New Roman"/>
          <w:szCs w:val="24"/>
          <w:lang w:val="fr-CA"/>
        </w:rPr>
        <w:t>assise aux différentes règles de droit international privé (</w:t>
      </w:r>
      <w:r w:rsidRPr="009F420B">
        <w:rPr>
          <w:rFonts w:cs="Times New Roman"/>
          <w:i/>
          <w:szCs w:val="24"/>
          <w:lang w:val="fr-CA"/>
        </w:rPr>
        <w:t>Spar</w:t>
      </w:r>
      <w:r w:rsidRPr="009F420B">
        <w:rPr>
          <w:rFonts w:cs="Times New Roman"/>
          <w:szCs w:val="24"/>
          <w:lang w:val="fr-CA"/>
        </w:rPr>
        <w:t xml:space="preserve">, </w:t>
      </w:r>
      <w:r>
        <w:rPr>
          <w:rFonts w:cs="Times New Roman"/>
          <w:szCs w:val="24"/>
          <w:lang w:val="fr-CA"/>
        </w:rPr>
        <w:t>par. </w:t>
      </w:r>
      <w:r w:rsidRPr="009F420B">
        <w:rPr>
          <w:rFonts w:cs="Times New Roman"/>
          <w:szCs w:val="24"/>
          <w:lang w:val="fr-CA"/>
        </w:rPr>
        <w:t>15 et 17), de reconnaître la compétence du tribunal de l</w:t>
      </w:r>
      <w:r>
        <w:rPr>
          <w:rFonts w:cs="Times New Roman"/>
          <w:szCs w:val="24"/>
          <w:lang w:val="fr-CA"/>
        </w:rPr>
        <w:t>’</w:t>
      </w:r>
      <w:r w:rsidRPr="009F420B">
        <w:rPr>
          <w:rFonts w:cs="Times New Roman"/>
          <w:szCs w:val="24"/>
          <w:lang w:val="fr-CA"/>
        </w:rPr>
        <w:t>Utah à l</w:t>
      </w:r>
      <w:r>
        <w:rPr>
          <w:rFonts w:cs="Times New Roman"/>
          <w:szCs w:val="24"/>
          <w:lang w:val="fr-CA"/>
        </w:rPr>
        <w:t>’</w:t>
      </w:r>
      <w:r w:rsidRPr="009F420B">
        <w:rPr>
          <w:rFonts w:cs="Times New Roman"/>
          <w:szCs w:val="24"/>
          <w:lang w:val="fr-CA"/>
        </w:rPr>
        <w:t>égard de « l</w:t>
      </w:r>
      <w:r>
        <w:rPr>
          <w:rFonts w:cs="Times New Roman"/>
          <w:szCs w:val="24"/>
          <w:lang w:val="fr-CA"/>
        </w:rPr>
        <w:t>’</w:t>
      </w:r>
      <w:r w:rsidRPr="009F420B">
        <w:rPr>
          <w:rFonts w:cs="Times New Roman"/>
          <w:szCs w:val="24"/>
          <w:lang w:val="fr-CA"/>
        </w:rPr>
        <w:t xml:space="preserve">ensemble du litige » </w:t>
      </w:r>
      <w:r w:rsidRPr="009F420B">
        <w:rPr>
          <w:rFonts w:cs="Times New Roman"/>
          <w:i/>
          <w:szCs w:val="24"/>
          <w:lang w:val="fr-CA"/>
        </w:rPr>
        <w:t xml:space="preserve">et </w:t>
      </w:r>
      <w:r w:rsidRPr="009F420B">
        <w:rPr>
          <w:rFonts w:cs="Times New Roman"/>
          <w:szCs w:val="24"/>
          <w:lang w:val="fr-CA"/>
        </w:rPr>
        <w:t>de tous les codéfendeurs. À l</w:t>
      </w:r>
      <w:r>
        <w:rPr>
          <w:rFonts w:cs="Times New Roman"/>
          <w:szCs w:val="24"/>
          <w:lang w:val="fr-CA"/>
        </w:rPr>
        <w:t>’</w:t>
      </w:r>
      <w:r w:rsidRPr="009F420B">
        <w:rPr>
          <w:rFonts w:cs="Times New Roman"/>
          <w:szCs w:val="24"/>
          <w:lang w:val="fr-CA"/>
        </w:rPr>
        <w:t>inverse, il semble inutile — et à vrai dire exagéré — d</w:t>
      </w:r>
      <w:r>
        <w:rPr>
          <w:rFonts w:cs="Times New Roman"/>
          <w:szCs w:val="24"/>
          <w:lang w:val="fr-CA"/>
        </w:rPr>
        <w:t>’</w:t>
      </w:r>
      <w:r w:rsidRPr="009F420B">
        <w:rPr>
          <w:rFonts w:cs="Times New Roman"/>
          <w:szCs w:val="24"/>
          <w:lang w:val="fr-CA"/>
        </w:rPr>
        <w:t>imposer à Knight le fardeau additionnel de prouver ses allégations d</w:t>
      </w:r>
      <w:r>
        <w:rPr>
          <w:rFonts w:cs="Times New Roman"/>
          <w:szCs w:val="24"/>
          <w:lang w:val="fr-CA"/>
        </w:rPr>
        <w:t>’</w:t>
      </w:r>
      <w:r w:rsidRPr="009F420B">
        <w:rPr>
          <w:rFonts w:cs="Times New Roman"/>
          <w:szCs w:val="24"/>
          <w:lang w:val="fr-CA"/>
        </w:rPr>
        <w:t>alter ego ou de fraude devant le tribunal québécois, puisqu</w:t>
      </w:r>
      <w:r>
        <w:rPr>
          <w:rFonts w:cs="Times New Roman"/>
          <w:szCs w:val="24"/>
          <w:lang w:val="fr-CA"/>
        </w:rPr>
        <w:t>’</w:t>
      </w:r>
      <w:r w:rsidRPr="009F420B">
        <w:rPr>
          <w:rFonts w:cs="Times New Roman"/>
          <w:szCs w:val="24"/>
          <w:lang w:val="fr-CA"/>
        </w:rPr>
        <w:t xml:space="preserve">il est évident que </w:t>
      </w:r>
      <w:r w:rsidRPr="009F420B">
        <w:rPr>
          <w:rFonts w:cs="Times New Roman"/>
          <w:i/>
          <w:szCs w:val="24"/>
          <w:lang w:val="fr-CA"/>
        </w:rPr>
        <w:t>seules</w:t>
      </w:r>
      <w:r w:rsidRPr="009F420B">
        <w:rPr>
          <w:rFonts w:cs="Times New Roman"/>
          <w:szCs w:val="24"/>
          <w:lang w:val="fr-CA"/>
        </w:rPr>
        <w:t xml:space="preserve"> les autorités de l</w:t>
      </w:r>
      <w:r>
        <w:rPr>
          <w:rFonts w:cs="Times New Roman"/>
          <w:szCs w:val="24"/>
          <w:lang w:val="fr-CA"/>
        </w:rPr>
        <w:t>’</w:t>
      </w:r>
      <w:r w:rsidRPr="009F420B">
        <w:rPr>
          <w:rFonts w:cs="Times New Roman"/>
          <w:szCs w:val="24"/>
          <w:lang w:val="fr-CA"/>
        </w:rPr>
        <w:t xml:space="preserve">Utah avaient intérêt à </w:t>
      </w:r>
      <w:r w:rsidRPr="009F420B">
        <w:rPr>
          <w:rFonts w:cs="Times New Roman"/>
          <w:lang w:val="fr-CA"/>
        </w:rPr>
        <w:t>se déclarer compétentes « relativement à tous les aspects du recours »</w:t>
      </w:r>
      <w:r>
        <w:rPr>
          <w:rFonts w:cs="Times New Roman"/>
          <w:lang w:val="fr-CA"/>
        </w:rPr>
        <w:t> :</w:t>
      </w:r>
      <w:r w:rsidRPr="009F420B">
        <w:rPr>
          <w:rFonts w:cs="Times New Roman"/>
          <w:szCs w:val="24"/>
          <w:lang w:val="fr-CA"/>
        </w:rPr>
        <w:t xml:space="preserve"> </w:t>
      </w:r>
      <w:r w:rsidRPr="009F420B">
        <w:rPr>
          <w:rFonts w:cs="Times New Roman"/>
          <w:i/>
          <w:szCs w:val="24"/>
          <w:lang w:val="fr-CA"/>
        </w:rPr>
        <w:t>Van Breda</w:t>
      </w:r>
      <w:r w:rsidRPr="009F420B">
        <w:rPr>
          <w:rFonts w:cs="Times New Roman"/>
          <w:szCs w:val="24"/>
          <w:lang w:val="fr-CA"/>
        </w:rPr>
        <w:t xml:space="preserve">, </w:t>
      </w:r>
      <w:r>
        <w:rPr>
          <w:rFonts w:cs="Times New Roman"/>
          <w:szCs w:val="24"/>
          <w:lang w:val="fr-CA"/>
        </w:rPr>
        <w:t>par. </w:t>
      </w:r>
      <w:r w:rsidRPr="009F420B">
        <w:rPr>
          <w:rFonts w:cs="Times New Roman"/>
          <w:szCs w:val="24"/>
          <w:lang w:val="fr-CA"/>
        </w:rPr>
        <w:t>99. Ainsi que le tribunal de l</w:t>
      </w:r>
      <w:r>
        <w:rPr>
          <w:rFonts w:cs="Times New Roman"/>
          <w:szCs w:val="24"/>
          <w:lang w:val="fr-CA"/>
        </w:rPr>
        <w:t>’</w:t>
      </w:r>
      <w:r w:rsidRPr="009F420B">
        <w:rPr>
          <w:rFonts w:cs="Times New Roman"/>
          <w:szCs w:val="24"/>
          <w:lang w:val="fr-CA"/>
        </w:rPr>
        <w:t>Utah l</w:t>
      </w:r>
      <w:r>
        <w:rPr>
          <w:rFonts w:cs="Times New Roman"/>
          <w:szCs w:val="24"/>
          <w:lang w:val="fr-CA"/>
        </w:rPr>
        <w:t>’</w:t>
      </w:r>
      <w:r w:rsidRPr="009F420B">
        <w:rPr>
          <w:rFonts w:cs="Times New Roman"/>
          <w:szCs w:val="24"/>
          <w:lang w:val="fr-CA"/>
        </w:rPr>
        <w:t>a souligné en réponse à la requête en irrecevabilité de M. Barer</w:t>
      </w:r>
      <w:r>
        <w:rPr>
          <w:rFonts w:cs="Times New Roman"/>
          <w:szCs w:val="24"/>
          <w:lang w:val="fr-CA"/>
        </w:rPr>
        <w:t> :</w:t>
      </w:r>
    </w:p>
    <w:p w:rsidR="00AF6697" w:rsidRPr="009F420B" w:rsidRDefault="00AF6697" w:rsidP="00AF6697">
      <w:pPr>
        <w:pStyle w:val="Citation-AltC"/>
        <w:spacing w:after="240"/>
        <w:ind w:left="1168" w:hanging="1168"/>
        <w:contextualSpacing w:val="0"/>
        <w:rPr>
          <w:lang w:val="fr-CA"/>
        </w:rPr>
      </w:pPr>
      <w:r>
        <w:rPr>
          <w:lang w:val="fr-CA"/>
        </w:rPr>
        <w:tab/>
      </w:r>
      <w:r w:rsidRPr="009F420B">
        <w:rPr>
          <w:lang w:val="fr-CA"/>
        </w:rPr>
        <w:t>[</w:t>
      </w:r>
      <w:r w:rsidRPr="009F420B">
        <w:rPr>
          <w:smallCaps/>
          <w:lang w:val="fr-CA"/>
        </w:rPr>
        <w:t>traduction</w:t>
      </w:r>
      <w:r w:rsidRPr="009F420B">
        <w:rPr>
          <w:lang w:val="fr-CA"/>
        </w:rPr>
        <w:t>] . . . [La] demanderesse a démontré que David Barer avait des liens minimaux</w:t>
      </w:r>
      <w:r>
        <w:rPr>
          <w:lang w:val="fr-CA"/>
        </w:rPr>
        <w:t xml:space="preserve"> </w:t>
      </w:r>
      <w:r w:rsidRPr="009F420B">
        <w:rPr>
          <w:lang w:val="fr-CA"/>
        </w:rPr>
        <w:t>suffisants avec l</w:t>
      </w:r>
      <w:r>
        <w:rPr>
          <w:lang w:val="fr-CA"/>
        </w:rPr>
        <w:t>’</w:t>
      </w:r>
      <w:r w:rsidRPr="009F420B">
        <w:rPr>
          <w:lang w:val="fr-CA"/>
        </w:rPr>
        <w:t>Utah pour être assujetti à sa compétence personnelle. Il y a eu exercice délibéré du privilège de faire affaire dans l</w:t>
      </w:r>
      <w:r>
        <w:rPr>
          <w:lang w:val="fr-CA"/>
        </w:rPr>
        <w:t>’</w:t>
      </w:r>
      <w:r w:rsidRPr="009F420B">
        <w:rPr>
          <w:lang w:val="fr-CA"/>
        </w:rPr>
        <w:t>Utah lors de la rétention des services d</w:t>
      </w:r>
      <w:r>
        <w:rPr>
          <w:lang w:val="fr-CA"/>
        </w:rPr>
        <w:t>’</w:t>
      </w:r>
      <w:r w:rsidRPr="009F420B">
        <w:rPr>
          <w:lang w:val="fr-CA"/>
        </w:rPr>
        <w:t>une société de cet État pour l</w:t>
      </w:r>
      <w:r>
        <w:rPr>
          <w:lang w:val="fr-CA"/>
        </w:rPr>
        <w:t>’</w:t>
      </w:r>
      <w:r w:rsidRPr="009F420B">
        <w:rPr>
          <w:lang w:val="fr-CA"/>
        </w:rPr>
        <w:t>exécution de travaux dans l</w:t>
      </w:r>
      <w:r>
        <w:rPr>
          <w:lang w:val="fr-CA"/>
        </w:rPr>
        <w:t>’</w:t>
      </w:r>
      <w:r w:rsidRPr="009F420B">
        <w:rPr>
          <w:lang w:val="fr-CA"/>
        </w:rPr>
        <w:t>Utah. Une connexité existe entre ces liens avec l</w:t>
      </w:r>
      <w:r>
        <w:rPr>
          <w:lang w:val="fr-CA"/>
        </w:rPr>
        <w:t>’</w:t>
      </w:r>
      <w:r w:rsidRPr="009F420B">
        <w:rPr>
          <w:lang w:val="fr-CA"/>
        </w:rPr>
        <w:t>État du for et les causes d</w:t>
      </w:r>
      <w:r>
        <w:rPr>
          <w:lang w:val="fr-CA"/>
        </w:rPr>
        <w:t>’</w:t>
      </w:r>
      <w:r w:rsidRPr="009F420B">
        <w:rPr>
          <w:lang w:val="fr-CA"/>
        </w:rPr>
        <w:t>action de la demanderesse, car ils découlent tous des travaux exécutés. Puisque les litiges concernant les autres défendeurs seront tranchés dans cet État, il semblerait que la détermination de la responsabilité personnelle de David Barer, qui est liée à l</w:t>
      </w:r>
      <w:r>
        <w:rPr>
          <w:lang w:val="fr-CA"/>
        </w:rPr>
        <w:t>’</w:t>
      </w:r>
      <w:r w:rsidRPr="009F420B">
        <w:rPr>
          <w:lang w:val="fr-CA"/>
        </w:rPr>
        <w:t>allégation d</w:t>
      </w:r>
      <w:r>
        <w:rPr>
          <w:lang w:val="fr-CA"/>
        </w:rPr>
        <w:t>’</w:t>
      </w:r>
      <w:r w:rsidRPr="009F420B">
        <w:rPr>
          <w:lang w:val="fr-CA"/>
        </w:rPr>
        <w:t>alter ego formulée contre un autre défendeur, par les tribunaux de ce même État, n</w:t>
      </w:r>
      <w:r>
        <w:rPr>
          <w:lang w:val="fr-CA"/>
        </w:rPr>
        <w:t>’</w:t>
      </w:r>
      <w:r w:rsidRPr="009F420B">
        <w:rPr>
          <w:lang w:val="fr-CA"/>
        </w:rPr>
        <w:t>ajouterait que minimalement à son fardeau. L</w:t>
      </w:r>
      <w:r>
        <w:rPr>
          <w:lang w:val="fr-CA"/>
        </w:rPr>
        <w:t>’</w:t>
      </w:r>
      <w:r w:rsidRPr="009F420B">
        <w:rPr>
          <w:lang w:val="fr-CA"/>
        </w:rPr>
        <w:t>État de l</w:t>
      </w:r>
      <w:r>
        <w:rPr>
          <w:lang w:val="fr-CA"/>
        </w:rPr>
        <w:t>’</w:t>
      </w:r>
      <w:r w:rsidRPr="009F420B">
        <w:rPr>
          <w:lang w:val="fr-CA"/>
        </w:rPr>
        <w:t xml:space="preserve">Utah a intérêt à ce que le litige découlant de travaux qui ont été </w:t>
      </w:r>
      <w:r w:rsidRPr="009F420B">
        <w:rPr>
          <w:lang w:val="fr-CA"/>
        </w:rPr>
        <w:lastRenderedPageBreak/>
        <w:t>convenus et exécutés dans cet État y soit tranché, et il est dans l</w:t>
      </w:r>
      <w:r>
        <w:rPr>
          <w:lang w:val="fr-CA"/>
        </w:rPr>
        <w:t>’</w:t>
      </w:r>
      <w:r w:rsidRPr="009F420B">
        <w:rPr>
          <w:lang w:val="fr-CA"/>
        </w:rPr>
        <w:t>intérêt de la demanderesse de pouvoir obtenir une réparation utile et efficace devant les tribunaux du même État où le reste du litige sera tranché. Il est dans l</w:t>
      </w:r>
      <w:r>
        <w:rPr>
          <w:lang w:val="fr-CA"/>
        </w:rPr>
        <w:t>’</w:t>
      </w:r>
      <w:r w:rsidRPr="009F420B">
        <w:rPr>
          <w:lang w:val="fr-CA"/>
        </w:rPr>
        <w:t>intérêt du système de justice inter</w:t>
      </w:r>
      <w:r>
        <w:rPr>
          <w:lang w:val="fr-CA"/>
        </w:rPr>
        <w:noBreakHyphen/>
      </w:r>
      <w:r w:rsidRPr="009F420B">
        <w:rPr>
          <w:lang w:val="fr-CA"/>
        </w:rPr>
        <w:t>État, et en l</w:t>
      </w:r>
      <w:r>
        <w:rPr>
          <w:lang w:val="fr-CA"/>
        </w:rPr>
        <w:t>’</w:t>
      </w:r>
      <w:r w:rsidRPr="009F420B">
        <w:rPr>
          <w:lang w:val="fr-CA"/>
        </w:rPr>
        <w:t>espèce du système de justice international, de faire juger dans une seule et même action efficace la totalité du différend, y compris les allégations ayant trait à l</w:t>
      </w:r>
      <w:r>
        <w:rPr>
          <w:lang w:val="fr-CA"/>
        </w:rPr>
        <w:t>’</w:t>
      </w:r>
      <w:r w:rsidRPr="009F420B">
        <w:rPr>
          <w:lang w:val="fr-CA"/>
        </w:rPr>
        <w:t>alter ego contre les deux défendeurs. En conséquence, la Cour conclut que l</w:t>
      </w:r>
      <w:r>
        <w:rPr>
          <w:lang w:val="fr-CA"/>
        </w:rPr>
        <w:t>’</w:t>
      </w:r>
      <w:r w:rsidRPr="009F420B">
        <w:rPr>
          <w:lang w:val="fr-CA"/>
        </w:rPr>
        <w:t>exercice de la compétence personnelle à l</w:t>
      </w:r>
      <w:r>
        <w:rPr>
          <w:lang w:val="fr-CA"/>
        </w:rPr>
        <w:t>’</w:t>
      </w:r>
      <w:r w:rsidRPr="009F420B">
        <w:rPr>
          <w:lang w:val="fr-CA"/>
        </w:rPr>
        <w:t>endroit de David Barer n</w:t>
      </w:r>
      <w:r>
        <w:rPr>
          <w:lang w:val="fr-CA"/>
        </w:rPr>
        <w:t>’</w:t>
      </w:r>
      <w:r w:rsidRPr="009F420B">
        <w:rPr>
          <w:lang w:val="fr-CA"/>
        </w:rPr>
        <w:t>est pas déraisonnable.</w:t>
      </w:r>
      <w:r w:rsidR="00D44C85">
        <w:rPr>
          <w:lang w:val="fr-CA"/>
        </w:rPr>
        <w:t xml:space="preserve"> [Note en bas de page omise.]</w:t>
      </w:r>
    </w:p>
    <w:p w:rsidR="00AF6697" w:rsidRPr="009F420B" w:rsidRDefault="00AF6697" w:rsidP="00AF6697">
      <w:pPr>
        <w:pStyle w:val="Citation-AltC"/>
        <w:ind w:hanging="1166"/>
        <w:rPr>
          <w:rFonts w:eastAsiaTheme="minorEastAsia"/>
          <w:lang w:val="fr-CA" w:eastAsia="en-US"/>
        </w:rPr>
      </w:pPr>
      <w:r w:rsidRPr="009F420B">
        <w:rPr>
          <w:lang w:val="fr-CA"/>
        </w:rPr>
        <w:t>(</w:t>
      </w:r>
      <w:r w:rsidRPr="009F420B">
        <w:rPr>
          <w:rFonts w:eastAsiaTheme="minorEastAsia"/>
          <w:lang w:val="fr-CA" w:eastAsia="en-US"/>
        </w:rPr>
        <w:t xml:space="preserve">d.a., </w:t>
      </w:r>
      <w:r>
        <w:rPr>
          <w:rFonts w:eastAsiaTheme="minorEastAsia"/>
          <w:lang w:val="fr-CA" w:eastAsia="en-US"/>
        </w:rPr>
        <w:t>vol. </w:t>
      </w:r>
      <w:r w:rsidRPr="009F420B">
        <w:rPr>
          <w:rFonts w:eastAsiaTheme="minorEastAsia"/>
          <w:lang w:val="fr-CA" w:eastAsia="en-US"/>
        </w:rPr>
        <w:t>II, p.</w:t>
      </w:r>
      <w:r w:rsidR="00333116">
        <w:rPr>
          <w:rFonts w:eastAsiaTheme="minorEastAsia"/>
          <w:lang w:val="fr-CA" w:eastAsia="en-US"/>
        </w:rPr>
        <w:t xml:space="preserve"> </w:t>
      </w:r>
      <w:r w:rsidRPr="009F420B">
        <w:rPr>
          <w:rFonts w:eastAsiaTheme="minorEastAsia"/>
          <w:lang w:val="fr-CA" w:eastAsia="en-US"/>
        </w:rPr>
        <w:t>102</w:t>
      </w:r>
      <w:r>
        <w:rPr>
          <w:rFonts w:eastAsiaTheme="minorEastAsia"/>
          <w:lang w:val="fr-CA" w:eastAsia="en-US"/>
        </w:rPr>
        <w:noBreakHyphen/>
      </w:r>
      <w:r w:rsidRPr="009F420B">
        <w:rPr>
          <w:rFonts w:eastAsiaTheme="minorEastAsia"/>
          <w:lang w:val="fr-CA" w:eastAsia="en-US"/>
        </w:rPr>
        <w:t>103)</w:t>
      </w:r>
    </w:p>
    <w:p w:rsidR="00AF6697" w:rsidRPr="009F420B" w:rsidRDefault="00AF6697" w:rsidP="00AF6697">
      <w:pPr>
        <w:pStyle w:val="ParaNoNdepar-AltN"/>
        <w:tabs>
          <w:tab w:val="clear" w:pos="1166"/>
          <w:tab w:val="num" w:pos="1152"/>
        </w:tabs>
        <w:rPr>
          <w:rFonts w:cs="Times New Roman"/>
          <w:szCs w:val="24"/>
          <w:lang w:val="fr-CA"/>
        </w:rPr>
      </w:pPr>
      <w:r w:rsidRPr="009F420B">
        <w:rPr>
          <w:rFonts w:cs="Times New Roman"/>
          <w:szCs w:val="24"/>
          <w:lang w:val="fr-CA"/>
        </w:rPr>
        <w:t>Je reconnais que l</w:t>
      </w:r>
      <w:r>
        <w:rPr>
          <w:rFonts w:cs="Times New Roman"/>
          <w:szCs w:val="24"/>
          <w:lang w:val="fr-CA"/>
        </w:rPr>
        <w:t>’art. </w:t>
      </w:r>
      <w:r w:rsidRPr="009F420B">
        <w:rPr>
          <w:rFonts w:cs="Times New Roman"/>
          <w:szCs w:val="24"/>
          <w:lang w:val="fr-CA"/>
        </w:rPr>
        <w:t xml:space="preserve">3139 </w:t>
      </w:r>
      <w:r w:rsidRPr="009F420B">
        <w:rPr>
          <w:rFonts w:cs="Times New Roman"/>
          <w:i/>
          <w:szCs w:val="24"/>
          <w:lang w:val="fr-CA"/>
        </w:rPr>
        <w:t>C.c.Q.</w:t>
      </w:r>
      <w:r w:rsidRPr="009F420B">
        <w:rPr>
          <w:rFonts w:cs="Times New Roman"/>
          <w:szCs w:val="24"/>
          <w:lang w:val="fr-CA"/>
        </w:rPr>
        <w:t xml:space="preserve"> n</w:t>
      </w:r>
      <w:r>
        <w:rPr>
          <w:rFonts w:cs="Times New Roman"/>
          <w:szCs w:val="24"/>
          <w:lang w:val="fr-CA"/>
        </w:rPr>
        <w:t>’</w:t>
      </w:r>
      <w:r w:rsidRPr="009F420B">
        <w:rPr>
          <w:rFonts w:cs="Times New Roman"/>
          <w:szCs w:val="24"/>
          <w:lang w:val="fr-CA"/>
        </w:rPr>
        <w:t xml:space="preserve">a pas été plaidé de façon approfondie dans le présent pourvoi. Toutefois, </w:t>
      </w:r>
      <w:r w:rsidR="00B5585E">
        <w:rPr>
          <w:rFonts w:cs="Times New Roman"/>
          <w:szCs w:val="24"/>
          <w:lang w:val="fr-CA"/>
        </w:rPr>
        <w:t>le par.</w:t>
      </w:r>
      <w:r>
        <w:rPr>
          <w:rFonts w:cs="Times New Roman"/>
          <w:szCs w:val="24"/>
          <w:lang w:val="fr-CA"/>
        </w:rPr>
        <w:t> </w:t>
      </w:r>
      <w:r w:rsidRPr="009F420B">
        <w:rPr>
          <w:rFonts w:cs="Times New Roman"/>
          <w:szCs w:val="24"/>
          <w:lang w:val="fr-CA"/>
        </w:rPr>
        <w:t xml:space="preserve">3168(4) </w:t>
      </w:r>
      <w:r w:rsidRPr="009F420B">
        <w:rPr>
          <w:rFonts w:cs="Times New Roman"/>
          <w:i/>
          <w:szCs w:val="24"/>
          <w:lang w:val="fr-CA"/>
        </w:rPr>
        <w:t>C.c.Q.</w:t>
      </w:r>
      <w:r w:rsidRPr="009F420B">
        <w:rPr>
          <w:rFonts w:cs="Times New Roman"/>
          <w:szCs w:val="24"/>
          <w:lang w:val="fr-CA"/>
        </w:rPr>
        <w:t xml:space="preserve"> l</w:t>
      </w:r>
      <w:r>
        <w:rPr>
          <w:rFonts w:cs="Times New Roman"/>
          <w:szCs w:val="24"/>
          <w:lang w:val="fr-CA"/>
        </w:rPr>
        <w:t>’</w:t>
      </w:r>
      <w:r w:rsidRPr="009F420B">
        <w:rPr>
          <w:rFonts w:cs="Times New Roman"/>
          <w:szCs w:val="24"/>
          <w:lang w:val="fr-CA"/>
        </w:rPr>
        <w:t>a été et, comme je l</w:t>
      </w:r>
      <w:r>
        <w:rPr>
          <w:rFonts w:cs="Times New Roman"/>
          <w:szCs w:val="24"/>
          <w:lang w:val="fr-CA"/>
        </w:rPr>
        <w:t>’</w:t>
      </w:r>
      <w:r w:rsidRPr="009F420B">
        <w:rPr>
          <w:rFonts w:cs="Times New Roman"/>
          <w:szCs w:val="24"/>
          <w:lang w:val="fr-CA"/>
        </w:rPr>
        <w:t>ai déjà expliqué, sa portée ne peut pas être cernée isolément. L</w:t>
      </w:r>
      <w:r>
        <w:rPr>
          <w:rFonts w:cs="Times New Roman"/>
          <w:szCs w:val="24"/>
          <w:lang w:val="fr-CA"/>
        </w:rPr>
        <w:t>’</w:t>
      </w:r>
      <w:r w:rsidRPr="009F420B">
        <w:rPr>
          <w:rFonts w:cs="Times New Roman"/>
          <w:szCs w:val="24"/>
          <w:lang w:val="fr-CA"/>
        </w:rPr>
        <w:t xml:space="preserve">article 3164 </w:t>
      </w:r>
      <w:r w:rsidRPr="009F420B">
        <w:rPr>
          <w:rFonts w:cs="Times New Roman"/>
          <w:i/>
          <w:szCs w:val="24"/>
          <w:lang w:val="fr-CA"/>
        </w:rPr>
        <w:t>C.c.Q.</w:t>
      </w:r>
      <w:r w:rsidRPr="009F420B">
        <w:rPr>
          <w:rFonts w:cs="Times New Roman"/>
          <w:szCs w:val="24"/>
          <w:lang w:val="fr-CA"/>
        </w:rPr>
        <w:t xml:space="preserve"> a aussi fait l</w:t>
      </w:r>
      <w:r>
        <w:rPr>
          <w:rFonts w:cs="Times New Roman"/>
          <w:szCs w:val="24"/>
          <w:lang w:val="fr-CA"/>
        </w:rPr>
        <w:t>’</w:t>
      </w:r>
      <w:r w:rsidRPr="009F420B">
        <w:rPr>
          <w:rFonts w:cs="Times New Roman"/>
          <w:szCs w:val="24"/>
          <w:lang w:val="fr-CA"/>
        </w:rPr>
        <w:t>objet d</w:t>
      </w:r>
      <w:r>
        <w:rPr>
          <w:rFonts w:cs="Times New Roman"/>
          <w:szCs w:val="24"/>
          <w:lang w:val="fr-CA"/>
        </w:rPr>
        <w:t>’</w:t>
      </w:r>
      <w:r w:rsidRPr="009F420B">
        <w:rPr>
          <w:rFonts w:cs="Times New Roman"/>
          <w:szCs w:val="24"/>
          <w:lang w:val="fr-CA"/>
        </w:rPr>
        <w:t>une attention considérable, tant de la part des parties que de la part du juge Gascon et de la juge Côté dans leurs motifs. À mon avis, ignorer l</w:t>
      </w:r>
      <w:r>
        <w:rPr>
          <w:rFonts w:cs="Times New Roman"/>
          <w:szCs w:val="24"/>
          <w:lang w:val="fr-CA"/>
        </w:rPr>
        <w:t>’</w:t>
      </w:r>
      <w:r w:rsidRPr="009F420B">
        <w:rPr>
          <w:rFonts w:cs="Times New Roman"/>
          <w:szCs w:val="24"/>
          <w:lang w:val="fr-CA"/>
        </w:rPr>
        <w:t>importance de l</w:t>
      </w:r>
      <w:r>
        <w:rPr>
          <w:rFonts w:cs="Times New Roman"/>
          <w:szCs w:val="24"/>
          <w:lang w:val="fr-CA"/>
        </w:rPr>
        <w:t>’art. </w:t>
      </w:r>
      <w:r w:rsidRPr="009F420B">
        <w:rPr>
          <w:rFonts w:cs="Times New Roman"/>
          <w:szCs w:val="24"/>
          <w:lang w:val="fr-CA"/>
        </w:rPr>
        <w:t xml:space="preserve">3164 </w:t>
      </w:r>
      <w:r w:rsidRPr="009F420B">
        <w:rPr>
          <w:rFonts w:cs="Times New Roman"/>
          <w:i/>
          <w:szCs w:val="24"/>
          <w:lang w:val="fr-CA"/>
        </w:rPr>
        <w:t>C.c.Q.</w:t>
      </w:r>
      <w:r w:rsidRPr="009F420B">
        <w:rPr>
          <w:rFonts w:cs="Times New Roman"/>
          <w:szCs w:val="24"/>
          <w:lang w:val="fr-CA"/>
        </w:rPr>
        <w:t xml:space="preserve"> à l</w:t>
      </w:r>
      <w:r>
        <w:rPr>
          <w:rFonts w:cs="Times New Roman"/>
          <w:szCs w:val="24"/>
          <w:lang w:val="fr-CA"/>
        </w:rPr>
        <w:t>’</w:t>
      </w:r>
      <w:r w:rsidRPr="009F420B">
        <w:rPr>
          <w:rFonts w:cs="Times New Roman"/>
          <w:szCs w:val="24"/>
          <w:lang w:val="fr-CA"/>
        </w:rPr>
        <w:t>égard de la compétence du tribunal de l</w:t>
      </w:r>
      <w:r>
        <w:rPr>
          <w:rFonts w:cs="Times New Roman"/>
          <w:szCs w:val="24"/>
          <w:lang w:val="fr-CA"/>
        </w:rPr>
        <w:t>’</w:t>
      </w:r>
      <w:r w:rsidRPr="009F420B">
        <w:rPr>
          <w:rFonts w:cs="Times New Roman"/>
          <w:szCs w:val="24"/>
          <w:lang w:val="fr-CA"/>
        </w:rPr>
        <w:t>Utah est une erreur. De plus, et malgré l</w:t>
      </w:r>
      <w:r>
        <w:rPr>
          <w:rFonts w:cs="Times New Roman"/>
          <w:szCs w:val="24"/>
          <w:lang w:val="fr-CA"/>
        </w:rPr>
        <w:t>’</w:t>
      </w:r>
      <w:r w:rsidRPr="009F420B">
        <w:rPr>
          <w:rFonts w:cs="Times New Roman"/>
          <w:szCs w:val="24"/>
          <w:lang w:val="fr-CA"/>
        </w:rPr>
        <w:t xml:space="preserve">observation de la Cour dans </w:t>
      </w:r>
      <w:r w:rsidRPr="009F420B">
        <w:rPr>
          <w:rFonts w:cs="Times New Roman"/>
          <w:i/>
          <w:szCs w:val="24"/>
          <w:lang w:val="fr-CA"/>
        </w:rPr>
        <w:t>GreCon</w:t>
      </w:r>
      <w:r w:rsidR="00570FFA">
        <w:rPr>
          <w:rFonts w:cs="Times New Roman"/>
          <w:szCs w:val="24"/>
          <w:lang w:val="fr-CA"/>
        </w:rPr>
        <w:t xml:space="preserve"> (</w:t>
      </w:r>
      <w:r>
        <w:rPr>
          <w:rFonts w:cs="Times New Roman"/>
          <w:szCs w:val="24"/>
          <w:lang w:val="fr-CA"/>
        </w:rPr>
        <w:t>par. </w:t>
      </w:r>
      <w:r w:rsidRPr="009F420B">
        <w:rPr>
          <w:rFonts w:cs="Times New Roman"/>
          <w:szCs w:val="24"/>
          <w:lang w:val="fr-CA"/>
        </w:rPr>
        <w:t>32) selon laquelle le libellé de l</w:t>
      </w:r>
      <w:r>
        <w:rPr>
          <w:rFonts w:cs="Times New Roman"/>
          <w:szCs w:val="24"/>
          <w:lang w:val="fr-CA"/>
        </w:rPr>
        <w:t>’art. </w:t>
      </w:r>
      <w:r w:rsidRPr="009F420B">
        <w:rPr>
          <w:rFonts w:cs="Times New Roman"/>
          <w:szCs w:val="24"/>
          <w:lang w:val="fr-CA"/>
        </w:rPr>
        <w:t xml:space="preserve">3139 </w:t>
      </w:r>
      <w:r w:rsidRPr="009F420B">
        <w:rPr>
          <w:rFonts w:cs="Times New Roman"/>
          <w:i/>
          <w:szCs w:val="24"/>
          <w:lang w:val="fr-CA"/>
        </w:rPr>
        <w:t>C.c.Q.</w:t>
      </w:r>
      <w:r w:rsidRPr="009F420B">
        <w:rPr>
          <w:rFonts w:cs="Times New Roman"/>
          <w:szCs w:val="24"/>
          <w:lang w:val="fr-CA"/>
        </w:rPr>
        <w:t xml:space="preserve"> révèle son « caractère facultatif », cette disposition n</w:t>
      </w:r>
      <w:r>
        <w:rPr>
          <w:rFonts w:cs="Times New Roman"/>
          <w:szCs w:val="24"/>
          <w:lang w:val="fr-CA"/>
        </w:rPr>
        <w:t>’</w:t>
      </w:r>
      <w:r w:rsidRPr="009F420B">
        <w:rPr>
          <w:rFonts w:cs="Times New Roman"/>
          <w:szCs w:val="24"/>
          <w:lang w:val="fr-CA"/>
        </w:rPr>
        <w:t>est pas entièrement discrétionnaire. Comme l</w:t>
      </w:r>
      <w:r>
        <w:rPr>
          <w:rFonts w:cs="Times New Roman"/>
          <w:szCs w:val="24"/>
          <w:lang w:val="fr-CA"/>
        </w:rPr>
        <w:t>’</w:t>
      </w:r>
      <w:r w:rsidRPr="009F420B">
        <w:rPr>
          <w:rFonts w:cs="Times New Roman"/>
          <w:szCs w:val="24"/>
          <w:lang w:val="fr-CA"/>
        </w:rPr>
        <w:t>explique le professeur Goldstein (</w:t>
      </w:r>
      <w:r>
        <w:rPr>
          <w:rFonts w:cs="Times New Roman"/>
          <w:szCs w:val="24"/>
          <w:lang w:val="fr-CA"/>
        </w:rPr>
        <w:t>p. </w:t>
      </w:r>
      <w:r w:rsidRPr="009F420B">
        <w:rPr>
          <w:rFonts w:cs="Times New Roman"/>
          <w:szCs w:val="24"/>
          <w:lang w:val="fr-CA"/>
        </w:rPr>
        <w:t>113</w:t>
      </w:r>
      <w:r>
        <w:rPr>
          <w:rFonts w:cs="Times New Roman"/>
          <w:szCs w:val="24"/>
          <w:lang w:val="fr-CA"/>
        </w:rPr>
        <w:noBreakHyphen/>
      </w:r>
      <w:r w:rsidRPr="009F420B">
        <w:rPr>
          <w:rFonts w:cs="Times New Roman"/>
          <w:szCs w:val="24"/>
          <w:lang w:val="fr-CA"/>
        </w:rPr>
        <w:t>114)</w:t>
      </w:r>
      <w:r>
        <w:rPr>
          <w:rFonts w:cs="Times New Roman"/>
          <w:szCs w:val="24"/>
          <w:lang w:val="fr-CA"/>
        </w:rPr>
        <w:t> :</w:t>
      </w:r>
    </w:p>
    <w:p w:rsidR="00AF6697" w:rsidRPr="009F420B" w:rsidRDefault="00AF6697" w:rsidP="00AF6697">
      <w:pPr>
        <w:pStyle w:val="Citation-AltC"/>
        <w:ind w:hanging="1166"/>
        <w:rPr>
          <w:lang w:val="fr-CA"/>
        </w:rPr>
      </w:pPr>
      <w:r w:rsidRPr="000E126A">
        <w:rPr>
          <w:lang w:val="fr-CA"/>
        </w:rPr>
        <w:tab/>
      </w:r>
      <w:r w:rsidRPr="009F420B">
        <w:rPr>
          <w:u w:val="single"/>
          <w:lang w:val="fr-CA"/>
        </w:rPr>
        <w:t>La disposition elle</w:t>
      </w:r>
      <w:r>
        <w:rPr>
          <w:u w:val="single"/>
          <w:lang w:val="fr-CA"/>
        </w:rPr>
        <w:noBreakHyphen/>
      </w:r>
      <w:r w:rsidRPr="009F420B">
        <w:rPr>
          <w:u w:val="single"/>
          <w:lang w:val="fr-CA"/>
        </w:rPr>
        <w:t>même énonce que le tribunal québécois « est compétent », et non « peut se saisir ».</w:t>
      </w:r>
      <w:r w:rsidRPr="009F420B">
        <w:rPr>
          <w:lang w:val="fr-CA"/>
        </w:rPr>
        <w:t xml:space="preserve"> Elle ne semble donc pas inclure un pouvoir discrétionnaire de ne pas l</w:t>
      </w:r>
      <w:r>
        <w:rPr>
          <w:lang w:val="fr-CA"/>
        </w:rPr>
        <w:t>’</w:t>
      </w:r>
      <w:r w:rsidRPr="009F420B">
        <w:rPr>
          <w:lang w:val="fr-CA"/>
        </w:rPr>
        <w:t>exercer. Toutefois, cette rédaction n</w:t>
      </w:r>
      <w:r>
        <w:rPr>
          <w:lang w:val="fr-CA"/>
        </w:rPr>
        <w:t>’</w:t>
      </w:r>
      <w:r w:rsidRPr="009F420B">
        <w:rPr>
          <w:lang w:val="fr-CA"/>
        </w:rPr>
        <w:t>est pas impérative, à la différence de l</w:t>
      </w:r>
      <w:r>
        <w:rPr>
          <w:lang w:val="fr-CA"/>
        </w:rPr>
        <w:t>’</w:t>
      </w:r>
      <w:r w:rsidRPr="009F420B">
        <w:rPr>
          <w:lang w:val="fr-CA"/>
        </w:rPr>
        <w:t>article 71 C.p.c., qui utilise le terme « doit », comme l</w:t>
      </w:r>
      <w:r>
        <w:rPr>
          <w:lang w:val="fr-CA"/>
        </w:rPr>
        <w:t>’</w:t>
      </w:r>
      <w:r w:rsidRPr="009F420B">
        <w:rPr>
          <w:lang w:val="fr-CA"/>
        </w:rPr>
        <w:t>a relevé la Cour suprême dans l</w:t>
      </w:r>
      <w:r>
        <w:rPr>
          <w:lang w:val="fr-CA"/>
        </w:rPr>
        <w:t>’</w:t>
      </w:r>
      <w:r w:rsidRPr="009F420B">
        <w:rPr>
          <w:lang w:val="fr-CA"/>
        </w:rPr>
        <w:t>affaire [</w:t>
      </w:r>
      <w:r w:rsidRPr="009F420B">
        <w:rPr>
          <w:i/>
          <w:lang w:val="fr-CA"/>
        </w:rPr>
        <w:t>GreCon</w:t>
      </w:r>
      <w:r w:rsidRPr="009F420B">
        <w:rPr>
          <w:lang w:val="fr-CA"/>
        </w:rPr>
        <w:t>], en attribuant finalement à cette disposition un caractère facultatif. [Je souligne; notes en bas de page omises.]</w:t>
      </w:r>
    </w:p>
    <w:p w:rsidR="00AF6697" w:rsidRPr="009F420B" w:rsidRDefault="00AF6697" w:rsidP="00AF6697">
      <w:pPr>
        <w:pStyle w:val="ParaNoNdepar-AltN"/>
        <w:tabs>
          <w:tab w:val="clear" w:pos="1166"/>
          <w:tab w:val="num" w:pos="1152"/>
        </w:tabs>
        <w:rPr>
          <w:rFonts w:cs="Times New Roman"/>
          <w:szCs w:val="24"/>
          <w:lang w:val="fr-CA"/>
        </w:rPr>
      </w:pPr>
      <w:r w:rsidRPr="009F420B">
        <w:rPr>
          <w:rFonts w:cs="Times New Roman"/>
          <w:szCs w:val="24"/>
          <w:lang w:val="fr-CA"/>
        </w:rPr>
        <w:t>Je reconnais en outre, comme l</w:t>
      </w:r>
      <w:r>
        <w:rPr>
          <w:rFonts w:cs="Times New Roman"/>
          <w:szCs w:val="24"/>
          <w:lang w:val="fr-CA"/>
        </w:rPr>
        <w:t>’</w:t>
      </w:r>
      <w:r w:rsidRPr="009F420B">
        <w:rPr>
          <w:rFonts w:cs="Times New Roman"/>
          <w:szCs w:val="24"/>
          <w:lang w:val="fr-CA"/>
        </w:rPr>
        <w:t xml:space="preserve">a fait la Cour dans </w:t>
      </w:r>
      <w:r w:rsidRPr="009F420B">
        <w:rPr>
          <w:rFonts w:cs="Times New Roman"/>
          <w:i/>
          <w:szCs w:val="24"/>
          <w:lang w:val="fr-CA"/>
        </w:rPr>
        <w:t>GreCon</w:t>
      </w:r>
      <w:r w:rsidRPr="009F420B">
        <w:rPr>
          <w:rFonts w:cs="Times New Roman"/>
          <w:szCs w:val="24"/>
          <w:lang w:val="fr-CA"/>
        </w:rPr>
        <w:t xml:space="preserve"> (</w:t>
      </w:r>
      <w:r>
        <w:rPr>
          <w:rFonts w:cs="Times New Roman"/>
          <w:szCs w:val="24"/>
          <w:lang w:val="fr-CA"/>
        </w:rPr>
        <w:t>par. </w:t>
      </w:r>
      <w:r w:rsidRPr="009F420B">
        <w:rPr>
          <w:rFonts w:cs="Times New Roman"/>
          <w:szCs w:val="24"/>
          <w:lang w:val="fr-CA"/>
        </w:rPr>
        <w:t>31), que l</w:t>
      </w:r>
      <w:r>
        <w:rPr>
          <w:rFonts w:cs="Times New Roman"/>
          <w:szCs w:val="24"/>
          <w:lang w:val="fr-CA"/>
        </w:rPr>
        <w:t>’art. </w:t>
      </w:r>
      <w:r w:rsidRPr="009F420B">
        <w:rPr>
          <w:rFonts w:cs="Times New Roman"/>
          <w:szCs w:val="24"/>
          <w:lang w:val="fr-CA"/>
        </w:rPr>
        <w:t xml:space="preserve">3139 </w:t>
      </w:r>
      <w:r w:rsidRPr="009F420B">
        <w:rPr>
          <w:rFonts w:cs="Times New Roman"/>
          <w:i/>
          <w:szCs w:val="24"/>
          <w:lang w:val="fr-CA"/>
        </w:rPr>
        <w:t>C.c.Q.</w:t>
      </w:r>
      <w:r w:rsidRPr="009F420B">
        <w:rPr>
          <w:rFonts w:cs="Times New Roman"/>
          <w:szCs w:val="24"/>
          <w:lang w:val="fr-CA"/>
        </w:rPr>
        <w:t xml:space="preserve"> « laisse [. . .] un pouvoir discrétionnaire au juge qui peut décider de dissocier le recours principal du recours en garantie ». Toutefois, comme la Cour l</w:t>
      </w:r>
      <w:r>
        <w:rPr>
          <w:rFonts w:cs="Times New Roman"/>
          <w:szCs w:val="24"/>
          <w:lang w:val="fr-CA"/>
        </w:rPr>
        <w:t>’</w:t>
      </w:r>
      <w:r w:rsidRPr="009F420B">
        <w:rPr>
          <w:rFonts w:cs="Times New Roman"/>
          <w:szCs w:val="24"/>
          <w:lang w:val="fr-CA"/>
        </w:rPr>
        <w:t xml:space="preserve">a expliqué par ailleurs dans </w:t>
      </w:r>
      <w:r w:rsidRPr="009F420B">
        <w:rPr>
          <w:rFonts w:cs="Times New Roman"/>
          <w:i/>
          <w:szCs w:val="24"/>
          <w:lang w:val="fr-CA"/>
        </w:rPr>
        <w:t>Lépine</w:t>
      </w:r>
      <w:r w:rsidRPr="009F420B">
        <w:rPr>
          <w:rFonts w:cs="Times New Roman"/>
          <w:szCs w:val="24"/>
          <w:lang w:val="fr-CA"/>
        </w:rPr>
        <w:t xml:space="preserve"> (</w:t>
      </w:r>
      <w:r>
        <w:rPr>
          <w:rFonts w:cs="Times New Roman"/>
          <w:szCs w:val="24"/>
          <w:lang w:val="fr-CA"/>
        </w:rPr>
        <w:t>par. </w:t>
      </w:r>
      <w:r w:rsidRPr="009F420B">
        <w:rPr>
          <w:rFonts w:cs="Times New Roman"/>
          <w:szCs w:val="24"/>
          <w:lang w:val="fr-CA"/>
        </w:rPr>
        <w:t>34)</w:t>
      </w:r>
      <w:r>
        <w:rPr>
          <w:rFonts w:cs="Times New Roman"/>
          <w:szCs w:val="24"/>
          <w:lang w:val="fr-CA"/>
        </w:rPr>
        <w:t> :</w:t>
      </w:r>
      <w:r w:rsidRPr="009F420B">
        <w:rPr>
          <w:rFonts w:cs="Times New Roman"/>
          <w:szCs w:val="24"/>
          <w:lang w:val="fr-CA"/>
        </w:rPr>
        <w:t xml:space="preserve"> « [l]</w:t>
      </w:r>
      <w:r>
        <w:rPr>
          <w:rFonts w:cs="Times New Roman"/>
          <w:szCs w:val="24"/>
          <w:lang w:val="fr-CA"/>
        </w:rPr>
        <w:t>’</w:t>
      </w:r>
      <w:r w:rsidRPr="009F420B">
        <w:rPr>
          <w:rFonts w:cs="Times New Roman"/>
          <w:i/>
          <w:iCs/>
          <w:szCs w:val="24"/>
          <w:lang w:val="fr-CA"/>
        </w:rPr>
        <w:t>exequatur </w:t>
      </w:r>
      <w:r w:rsidRPr="009F420B">
        <w:rPr>
          <w:rFonts w:cs="Times New Roman"/>
          <w:szCs w:val="24"/>
          <w:lang w:val="fr-CA"/>
        </w:rPr>
        <w:t xml:space="preserve">du tribunal québécois </w:t>
      </w:r>
      <w:r w:rsidRPr="009F420B">
        <w:rPr>
          <w:rFonts w:cs="Times New Roman"/>
          <w:szCs w:val="24"/>
          <w:lang w:val="fr-CA"/>
        </w:rPr>
        <w:lastRenderedPageBreak/>
        <w:t>dépend de l</w:t>
      </w:r>
      <w:r>
        <w:rPr>
          <w:rFonts w:cs="Times New Roman"/>
          <w:szCs w:val="24"/>
          <w:lang w:val="fr-CA"/>
        </w:rPr>
        <w:t>’</w:t>
      </w:r>
      <w:r w:rsidRPr="009F420B">
        <w:rPr>
          <w:rFonts w:cs="Times New Roman"/>
          <w:szCs w:val="24"/>
          <w:lang w:val="fr-CA"/>
        </w:rPr>
        <w:t>existence de la compétence du tribunal étranger, et non des modalités de l</w:t>
      </w:r>
      <w:r>
        <w:rPr>
          <w:rFonts w:cs="Times New Roman"/>
          <w:szCs w:val="24"/>
          <w:lang w:val="fr-CA"/>
        </w:rPr>
        <w:t>’</w:t>
      </w:r>
      <w:r w:rsidRPr="009F420B">
        <w:rPr>
          <w:rFonts w:cs="Times New Roman"/>
          <w:szCs w:val="24"/>
          <w:lang w:val="fr-CA"/>
        </w:rPr>
        <w:t>exercice de celle</w:t>
      </w:r>
      <w:r>
        <w:rPr>
          <w:rFonts w:cs="Times New Roman"/>
          <w:szCs w:val="24"/>
          <w:lang w:val="fr-CA"/>
        </w:rPr>
        <w:noBreakHyphen/>
      </w:r>
      <w:r w:rsidRPr="009F420B">
        <w:rPr>
          <w:rFonts w:cs="Times New Roman"/>
          <w:szCs w:val="24"/>
          <w:lang w:val="fr-CA"/>
        </w:rPr>
        <w:t xml:space="preserve">ci » et il faut quand même prendre dûment en compte « la distinction de base entre </w:t>
      </w:r>
      <w:r w:rsidRPr="009F420B">
        <w:rPr>
          <w:rFonts w:cs="Times New Roman"/>
          <w:szCs w:val="24"/>
          <w:u w:val="single"/>
          <w:lang w:val="fr-CA"/>
        </w:rPr>
        <w:t>la détermination</w:t>
      </w:r>
      <w:r w:rsidRPr="009F420B">
        <w:rPr>
          <w:rFonts w:cs="Times New Roman"/>
          <w:szCs w:val="24"/>
          <w:lang w:val="fr-CA"/>
        </w:rPr>
        <w:t xml:space="preserve"> de la compétence proprement dite et </w:t>
      </w:r>
      <w:r w:rsidRPr="009F420B">
        <w:rPr>
          <w:rFonts w:cs="Times New Roman"/>
          <w:szCs w:val="24"/>
          <w:u w:val="single"/>
          <w:lang w:val="fr-CA"/>
        </w:rPr>
        <w:t>son exercice</w:t>
      </w:r>
      <w:r w:rsidRPr="009F420B">
        <w:rPr>
          <w:rFonts w:cs="Times New Roman"/>
          <w:szCs w:val="24"/>
          <w:lang w:val="fr-CA"/>
        </w:rPr>
        <w:t> » (je souligne). Il s</w:t>
      </w:r>
      <w:r>
        <w:rPr>
          <w:rFonts w:cs="Times New Roman"/>
          <w:szCs w:val="24"/>
          <w:lang w:val="fr-CA"/>
        </w:rPr>
        <w:t>’</w:t>
      </w:r>
      <w:r w:rsidRPr="009F420B">
        <w:rPr>
          <w:rFonts w:cs="Times New Roman"/>
          <w:szCs w:val="24"/>
          <w:lang w:val="fr-CA"/>
        </w:rPr>
        <w:t>ensuit qu</w:t>
      </w:r>
      <w:r>
        <w:rPr>
          <w:rFonts w:cs="Times New Roman"/>
          <w:szCs w:val="24"/>
          <w:lang w:val="fr-CA"/>
        </w:rPr>
        <w:t>’</w:t>
      </w:r>
      <w:r w:rsidRPr="009F420B">
        <w:rPr>
          <w:rFonts w:cs="Times New Roman"/>
          <w:szCs w:val="24"/>
          <w:lang w:val="fr-CA"/>
        </w:rPr>
        <w:t>un tribunal québécois ne peut pas faire abstraction de l</w:t>
      </w:r>
      <w:r>
        <w:rPr>
          <w:rFonts w:cs="Times New Roman"/>
          <w:szCs w:val="24"/>
          <w:lang w:val="fr-CA"/>
        </w:rPr>
        <w:t>’art. </w:t>
      </w:r>
      <w:r w:rsidRPr="009F420B">
        <w:rPr>
          <w:rFonts w:cs="Times New Roman"/>
          <w:szCs w:val="24"/>
          <w:lang w:val="fr-CA"/>
        </w:rPr>
        <w:t>3139 </w:t>
      </w:r>
      <w:r w:rsidRPr="009F420B">
        <w:rPr>
          <w:rFonts w:cs="Times New Roman"/>
          <w:i/>
          <w:szCs w:val="24"/>
          <w:lang w:val="fr-CA"/>
        </w:rPr>
        <w:t>C.c.Q.</w:t>
      </w:r>
      <w:r w:rsidRPr="009F420B">
        <w:rPr>
          <w:rFonts w:cs="Times New Roman"/>
          <w:szCs w:val="24"/>
          <w:lang w:val="fr-CA"/>
        </w:rPr>
        <w:t xml:space="preserve"> en décidant s</w:t>
      </w:r>
      <w:r>
        <w:rPr>
          <w:rFonts w:cs="Times New Roman"/>
          <w:szCs w:val="24"/>
          <w:lang w:val="fr-CA"/>
        </w:rPr>
        <w:t>’</w:t>
      </w:r>
      <w:r w:rsidRPr="009F420B">
        <w:rPr>
          <w:rFonts w:cs="Times New Roman"/>
          <w:szCs w:val="24"/>
          <w:lang w:val="fr-CA"/>
        </w:rPr>
        <w:t>il y a lieu ou non de reconnaître la compétence d</w:t>
      </w:r>
      <w:r>
        <w:rPr>
          <w:rFonts w:cs="Times New Roman"/>
          <w:szCs w:val="24"/>
          <w:lang w:val="fr-CA"/>
        </w:rPr>
        <w:t>’</w:t>
      </w:r>
      <w:r w:rsidRPr="009F420B">
        <w:rPr>
          <w:rFonts w:cs="Times New Roman"/>
          <w:szCs w:val="24"/>
          <w:lang w:val="fr-CA"/>
        </w:rPr>
        <w:t>un tribunal étranger, même si cette disposition confère à ce dernier un pouvoir discrétionnaire de ne pas exercer sa compétence à l</w:t>
      </w:r>
      <w:r>
        <w:rPr>
          <w:rFonts w:cs="Times New Roman"/>
          <w:szCs w:val="24"/>
          <w:lang w:val="fr-CA"/>
        </w:rPr>
        <w:t>’</w:t>
      </w:r>
      <w:r w:rsidRPr="009F420B">
        <w:rPr>
          <w:rFonts w:cs="Times New Roman"/>
          <w:szCs w:val="24"/>
          <w:lang w:val="fr-CA"/>
        </w:rPr>
        <w:t>égard de la « demande incidente ». Dans le présent pourvoi, le tribunal de l</w:t>
      </w:r>
      <w:r>
        <w:rPr>
          <w:rFonts w:cs="Times New Roman"/>
          <w:szCs w:val="24"/>
          <w:lang w:val="fr-CA"/>
        </w:rPr>
        <w:t>’</w:t>
      </w:r>
      <w:r w:rsidRPr="009F420B">
        <w:rPr>
          <w:rFonts w:cs="Times New Roman"/>
          <w:szCs w:val="24"/>
          <w:lang w:val="fr-CA"/>
        </w:rPr>
        <w:t>Utah a choisi de se déclarer compétent à l</w:t>
      </w:r>
      <w:r>
        <w:rPr>
          <w:rFonts w:cs="Times New Roman"/>
          <w:szCs w:val="24"/>
          <w:lang w:val="fr-CA"/>
        </w:rPr>
        <w:t>’</w:t>
      </w:r>
      <w:r w:rsidRPr="009F420B">
        <w:rPr>
          <w:rFonts w:cs="Times New Roman"/>
          <w:szCs w:val="24"/>
          <w:lang w:val="fr-CA"/>
        </w:rPr>
        <w:t>égard de tous les aspects de l</w:t>
      </w:r>
      <w:r>
        <w:rPr>
          <w:rFonts w:cs="Times New Roman"/>
          <w:szCs w:val="24"/>
          <w:lang w:val="fr-CA"/>
        </w:rPr>
        <w:t>’</w:t>
      </w:r>
      <w:r w:rsidRPr="009F420B">
        <w:rPr>
          <w:rFonts w:cs="Times New Roman"/>
          <w:szCs w:val="24"/>
          <w:lang w:val="fr-CA"/>
        </w:rPr>
        <w:t>affaire, y compris les allégations d</w:t>
      </w:r>
      <w:r>
        <w:rPr>
          <w:rFonts w:cs="Times New Roman"/>
          <w:szCs w:val="24"/>
          <w:lang w:val="fr-CA"/>
        </w:rPr>
        <w:t>’</w:t>
      </w:r>
      <w:r w:rsidRPr="009F420B">
        <w:rPr>
          <w:rFonts w:cs="Times New Roman"/>
          <w:szCs w:val="24"/>
          <w:lang w:val="fr-CA"/>
        </w:rPr>
        <w:t>alter ego. Compte tenu de l</w:t>
      </w:r>
      <w:r>
        <w:rPr>
          <w:rFonts w:cs="Times New Roman"/>
          <w:szCs w:val="24"/>
          <w:lang w:val="fr-CA"/>
        </w:rPr>
        <w:t>’art. </w:t>
      </w:r>
      <w:r w:rsidRPr="009F420B">
        <w:rPr>
          <w:rFonts w:cs="Times New Roman"/>
          <w:szCs w:val="24"/>
          <w:lang w:val="fr-CA"/>
        </w:rPr>
        <w:t>3139 </w:t>
      </w:r>
      <w:r w:rsidRPr="009F420B">
        <w:rPr>
          <w:rFonts w:cs="Times New Roman"/>
          <w:i/>
          <w:szCs w:val="24"/>
          <w:lang w:val="fr-CA"/>
        </w:rPr>
        <w:t>C.c.Q.</w:t>
      </w:r>
      <w:r w:rsidRPr="009F420B">
        <w:rPr>
          <w:rFonts w:cs="Times New Roman"/>
          <w:szCs w:val="24"/>
          <w:lang w:val="fr-CA"/>
        </w:rPr>
        <w:t>, le tribunal de l</w:t>
      </w:r>
      <w:r>
        <w:rPr>
          <w:rFonts w:cs="Times New Roman"/>
          <w:szCs w:val="24"/>
          <w:lang w:val="fr-CA"/>
        </w:rPr>
        <w:t>’</w:t>
      </w:r>
      <w:r w:rsidRPr="009F420B">
        <w:rPr>
          <w:rFonts w:cs="Times New Roman"/>
          <w:szCs w:val="24"/>
          <w:lang w:val="fr-CA"/>
        </w:rPr>
        <w:t>Utah était autorisé à faire ce choix et la Cour doit le respecter.</w:t>
      </w:r>
    </w:p>
    <w:p w:rsidR="00AF6697" w:rsidRPr="009F420B" w:rsidRDefault="00AF6697" w:rsidP="00AF6697">
      <w:pPr>
        <w:pStyle w:val="ParaNoNdepar-AltN"/>
        <w:tabs>
          <w:tab w:val="clear" w:pos="1166"/>
          <w:tab w:val="num" w:pos="1152"/>
        </w:tabs>
        <w:rPr>
          <w:rFonts w:cs="Times New Roman"/>
          <w:szCs w:val="24"/>
          <w:lang w:val="fr-CA"/>
        </w:rPr>
      </w:pPr>
      <w:r w:rsidRPr="009F420B">
        <w:rPr>
          <w:rFonts w:cs="Times New Roman"/>
          <w:szCs w:val="24"/>
          <w:lang w:val="fr-CA"/>
        </w:rPr>
        <w:t>Enfin, mon collègue le juge Gascon suggère que Knight n</w:t>
      </w:r>
      <w:r>
        <w:rPr>
          <w:rFonts w:cs="Times New Roman"/>
          <w:szCs w:val="24"/>
          <w:lang w:val="fr-CA"/>
        </w:rPr>
        <w:t>’</w:t>
      </w:r>
      <w:r w:rsidRPr="009F420B">
        <w:rPr>
          <w:rFonts w:cs="Times New Roman"/>
          <w:szCs w:val="24"/>
          <w:lang w:val="fr-CA"/>
        </w:rPr>
        <w:t>a présenté aucune preuve pour étayer « </w:t>
      </w:r>
      <w:r w:rsidRPr="009F420B">
        <w:rPr>
          <w:rFonts w:cs="Times New Roman"/>
          <w:lang w:val="fr-CA"/>
        </w:rPr>
        <w:t>le degré de “connexité” nécessaire entre BEC et M. Barer</w:t>
      </w:r>
      <w:r w:rsidRPr="009F420B">
        <w:rPr>
          <w:rFonts w:cs="Times New Roman"/>
          <w:szCs w:val="24"/>
          <w:lang w:val="fr-CA"/>
        </w:rPr>
        <w:t> »</w:t>
      </w:r>
      <w:r>
        <w:rPr>
          <w:rFonts w:cs="Times New Roman"/>
          <w:szCs w:val="24"/>
          <w:lang w:val="fr-CA"/>
        </w:rPr>
        <w:t> :</w:t>
      </w:r>
      <w:r w:rsidRPr="009F420B">
        <w:rPr>
          <w:rFonts w:cs="Times New Roman"/>
          <w:szCs w:val="24"/>
          <w:lang w:val="fr-CA"/>
        </w:rPr>
        <w:t xml:space="preserve"> </w:t>
      </w:r>
      <w:r>
        <w:rPr>
          <w:rFonts w:cs="Times New Roman"/>
          <w:szCs w:val="24"/>
          <w:lang w:val="fr-CA"/>
        </w:rPr>
        <w:t>par. </w:t>
      </w:r>
      <w:r w:rsidRPr="009F420B">
        <w:rPr>
          <w:rFonts w:cs="Times New Roman"/>
          <w:szCs w:val="24"/>
          <w:lang w:val="fr-CA"/>
        </w:rPr>
        <w:t xml:space="preserve">91; voir aussi les motifs de la juge </w:t>
      </w:r>
      <w:r w:rsidRPr="009F420B">
        <w:rPr>
          <w:rFonts w:cs="Times New Roman"/>
          <w:lang w:val="fr-CA"/>
        </w:rPr>
        <w:t xml:space="preserve">Côté, </w:t>
      </w:r>
      <w:r>
        <w:rPr>
          <w:rFonts w:cs="Times New Roman"/>
          <w:lang w:val="fr-CA"/>
        </w:rPr>
        <w:t>par. </w:t>
      </w:r>
      <w:r w:rsidRPr="009F420B">
        <w:rPr>
          <w:rFonts w:cs="Times New Roman"/>
          <w:lang w:val="fr-CA"/>
        </w:rPr>
        <w:t>285</w:t>
      </w:r>
      <w:r w:rsidRPr="009F420B">
        <w:rPr>
          <w:rFonts w:cs="Times New Roman"/>
          <w:szCs w:val="24"/>
          <w:lang w:val="fr-CA"/>
        </w:rPr>
        <w:t>. Bien entendu, divers aspects du « degré de “connexité” nécessaire » doivent être examinés en l</w:t>
      </w:r>
      <w:r>
        <w:rPr>
          <w:rFonts w:cs="Times New Roman"/>
          <w:szCs w:val="24"/>
          <w:lang w:val="fr-CA"/>
        </w:rPr>
        <w:t>’</w:t>
      </w:r>
      <w:r w:rsidRPr="009F420B">
        <w:rPr>
          <w:rFonts w:cs="Times New Roman"/>
          <w:szCs w:val="24"/>
          <w:lang w:val="fr-CA"/>
        </w:rPr>
        <w:t>espèce</w:t>
      </w:r>
      <w:r>
        <w:rPr>
          <w:rFonts w:cs="Times New Roman"/>
          <w:szCs w:val="24"/>
          <w:lang w:val="fr-CA"/>
        </w:rPr>
        <w:t> :</w:t>
      </w:r>
      <w:r w:rsidRPr="009F420B">
        <w:rPr>
          <w:rFonts w:cs="Times New Roman"/>
          <w:szCs w:val="24"/>
          <w:lang w:val="fr-CA"/>
        </w:rPr>
        <w:t xml:space="preserve"> le rat</w:t>
      </w:r>
      <w:r w:rsidR="00041507">
        <w:rPr>
          <w:rFonts w:cs="Times New Roman"/>
          <w:szCs w:val="24"/>
          <w:lang w:val="fr-CA"/>
        </w:rPr>
        <w:t>tachement entre M. Barer et BEC;</w:t>
      </w:r>
      <w:r w:rsidRPr="009F420B">
        <w:rPr>
          <w:rFonts w:cs="Times New Roman"/>
          <w:szCs w:val="24"/>
          <w:lang w:val="fr-CA"/>
        </w:rPr>
        <w:t xml:space="preserve"> le rattachement entre M. Barer ou les allégations formulées contre lui et l</w:t>
      </w:r>
      <w:r>
        <w:rPr>
          <w:rFonts w:cs="Times New Roman"/>
          <w:szCs w:val="24"/>
          <w:lang w:val="fr-CA"/>
        </w:rPr>
        <w:t>’</w:t>
      </w:r>
      <w:r w:rsidRPr="009F420B">
        <w:rPr>
          <w:rFonts w:cs="Times New Roman"/>
          <w:szCs w:val="24"/>
          <w:lang w:val="fr-CA"/>
        </w:rPr>
        <w:t>État de l</w:t>
      </w:r>
      <w:r>
        <w:rPr>
          <w:rFonts w:cs="Times New Roman"/>
          <w:szCs w:val="24"/>
          <w:lang w:val="fr-CA"/>
        </w:rPr>
        <w:t>’</w:t>
      </w:r>
      <w:r w:rsidRPr="009F420B">
        <w:rPr>
          <w:rFonts w:cs="Times New Roman"/>
          <w:szCs w:val="24"/>
          <w:lang w:val="fr-CA"/>
        </w:rPr>
        <w:t>Utah; et le rattachement entre les allégations contractuelles faites contre BEC et les allégations d</w:t>
      </w:r>
      <w:r>
        <w:rPr>
          <w:rFonts w:cs="Times New Roman"/>
          <w:szCs w:val="24"/>
          <w:lang w:val="fr-CA"/>
        </w:rPr>
        <w:t>’</w:t>
      </w:r>
      <w:r w:rsidRPr="009F420B">
        <w:rPr>
          <w:rFonts w:cs="Times New Roman"/>
          <w:szCs w:val="24"/>
          <w:lang w:val="fr-CA"/>
        </w:rPr>
        <w:t>alter ego formulées contre M. Barer personnellement. En ce qui concerne le rattachement entre M. Barer et BEC, j</w:t>
      </w:r>
      <w:r>
        <w:rPr>
          <w:rFonts w:cs="Times New Roman"/>
          <w:szCs w:val="24"/>
          <w:lang w:val="fr-CA"/>
        </w:rPr>
        <w:t>’</w:t>
      </w:r>
      <w:r w:rsidRPr="009F420B">
        <w:rPr>
          <w:rFonts w:cs="Times New Roman"/>
          <w:szCs w:val="24"/>
          <w:lang w:val="fr-CA"/>
        </w:rPr>
        <w:t>ai déjà relaté la preuve au dossier établissant que M. Barer était, à l</w:t>
      </w:r>
      <w:r>
        <w:rPr>
          <w:rFonts w:cs="Times New Roman"/>
          <w:szCs w:val="24"/>
          <w:lang w:val="fr-CA"/>
        </w:rPr>
        <w:t>’</w:t>
      </w:r>
      <w:r w:rsidRPr="009F420B">
        <w:rPr>
          <w:rFonts w:cs="Times New Roman"/>
          <w:szCs w:val="24"/>
          <w:lang w:val="fr-CA"/>
        </w:rPr>
        <w:t>époque pertinente, le secrétaire et président par intérim de BEC et qu</w:t>
      </w:r>
      <w:r>
        <w:rPr>
          <w:rFonts w:cs="Times New Roman"/>
          <w:szCs w:val="24"/>
          <w:lang w:val="fr-CA"/>
        </w:rPr>
        <w:t>’</w:t>
      </w:r>
      <w:r w:rsidRPr="009F420B">
        <w:rPr>
          <w:rFonts w:cs="Times New Roman"/>
          <w:szCs w:val="24"/>
          <w:lang w:val="fr-CA"/>
        </w:rPr>
        <w:t>il avait eu un « rôle clé » dans les négociations avec Knight au nom de BEC. Quant au rattachement entre M. Barer ou les allégations formulées contre lui et l</w:t>
      </w:r>
      <w:r>
        <w:rPr>
          <w:rFonts w:cs="Times New Roman"/>
          <w:szCs w:val="24"/>
          <w:lang w:val="fr-CA"/>
        </w:rPr>
        <w:t>’</w:t>
      </w:r>
      <w:r w:rsidRPr="009F420B">
        <w:rPr>
          <w:rFonts w:cs="Times New Roman"/>
          <w:szCs w:val="24"/>
          <w:lang w:val="fr-CA"/>
        </w:rPr>
        <w:t>État de l</w:t>
      </w:r>
      <w:r>
        <w:rPr>
          <w:rFonts w:cs="Times New Roman"/>
          <w:szCs w:val="24"/>
          <w:lang w:val="fr-CA"/>
        </w:rPr>
        <w:t>’</w:t>
      </w:r>
      <w:r w:rsidRPr="009F420B">
        <w:rPr>
          <w:rFonts w:cs="Times New Roman"/>
          <w:szCs w:val="24"/>
          <w:lang w:val="fr-CA"/>
        </w:rPr>
        <w:t xml:space="preserve">Utah, je conviens avec mon collègue que le dossier montre un rattachement important (motifs du juge Gascon, </w:t>
      </w:r>
      <w:r>
        <w:rPr>
          <w:rFonts w:cs="Times New Roman"/>
          <w:szCs w:val="24"/>
          <w:lang w:val="fr-CA"/>
        </w:rPr>
        <w:t>par. </w:t>
      </w:r>
      <w:r w:rsidRPr="009F420B">
        <w:rPr>
          <w:rFonts w:cs="Times New Roman"/>
          <w:szCs w:val="24"/>
          <w:lang w:val="fr-CA"/>
        </w:rPr>
        <w:t xml:space="preserve">88), et </w:t>
      </w:r>
      <w:r w:rsidRPr="009F420B">
        <w:rPr>
          <w:rFonts w:cs="Times New Roman"/>
          <w:szCs w:val="24"/>
          <w:lang w:val="fr-CA"/>
        </w:rPr>
        <w:lastRenderedPageBreak/>
        <w:t>j</w:t>
      </w:r>
      <w:r>
        <w:rPr>
          <w:rFonts w:cs="Times New Roman"/>
          <w:szCs w:val="24"/>
          <w:lang w:val="fr-CA"/>
        </w:rPr>
        <w:t>’</w:t>
      </w:r>
      <w:r w:rsidRPr="009F420B">
        <w:rPr>
          <w:rFonts w:cs="Times New Roman"/>
          <w:szCs w:val="24"/>
          <w:lang w:val="fr-CA"/>
        </w:rPr>
        <w:t>ajoute que cela satisfait aux exigences de l</w:t>
      </w:r>
      <w:r>
        <w:rPr>
          <w:rFonts w:cs="Times New Roman"/>
          <w:szCs w:val="24"/>
          <w:lang w:val="fr-CA"/>
        </w:rPr>
        <w:t>’art. </w:t>
      </w:r>
      <w:r w:rsidRPr="009F420B">
        <w:rPr>
          <w:rFonts w:cs="Times New Roman"/>
          <w:szCs w:val="24"/>
          <w:lang w:val="fr-CA"/>
        </w:rPr>
        <w:t xml:space="preserve">3164 </w:t>
      </w:r>
      <w:r w:rsidRPr="009F420B">
        <w:rPr>
          <w:rFonts w:cs="Times New Roman"/>
          <w:i/>
          <w:szCs w:val="24"/>
          <w:lang w:val="fr-CA"/>
        </w:rPr>
        <w:t>C.c.Q</w:t>
      </w:r>
      <w:r w:rsidRPr="009F420B">
        <w:rPr>
          <w:rFonts w:cs="Times New Roman"/>
          <w:szCs w:val="24"/>
          <w:lang w:val="fr-CA"/>
        </w:rPr>
        <w:t>. Enfin, pour ce qui est des allégations contractuelles présentées contre BEC et celles d</w:t>
      </w:r>
      <w:r>
        <w:rPr>
          <w:rFonts w:cs="Times New Roman"/>
          <w:szCs w:val="24"/>
          <w:lang w:val="fr-CA"/>
        </w:rPr>
        <w:t>’</w:t>
      </w:r>
      <w:r w:rsidRPr="00FA47EC">
        <w:rPr>
          <w:rFonts w:cs="Times New Roman"/>
          <w:szCs w:val="24"/>
          <w:lang w:val="fr-CA"/>
        </w:rPr>
        <w:t>alter ego</w:t>
      </w:r>
      <w:r w:rsidRPr="009F420B">
        <w:rPr>
          <w:rFonts w:cs="Times New Roman"/>
          <w:i/>
          <w:szCs w:val="24"/>
          <w:lang w:val="fr-CA"/>
        </w:rPr>
        <w:t xml:space="preserve"> </w:t>
      </w:r>
      <w:r w:rsidRPr="009F420B">
        <w:rPr>
          <w:rFonts w:cs="Times New Roman"/>
          <w:szCs w:val="24"/>
          <w:lang w:val="fr-CA"/>
        </w:rPr>
        <w:t>présentées contre M. Barer personnellement, il ne peut faire aucun doute qu</w:t>
      </w:r>
      <w:r>
        <w:rPr>
          <w:rFonts w:cs="Times New Roman"/>
          <w:szCs w:val="24"/>
          <w:lang w:val="fr-CA"/>
        </w:rPr>
        <w:t>’</w:t>
      </w:r>
      <w:r w:rsidRPr="009F420B">
        <w:rPr>
          <w:rFonts w:cs="Times New Roman"/>
          <w:szCs w:val="24"/>
          <w:lang w:val="fr-CA"/>
        </w:rPr>
        <w:t>elles sont « connexes » comme l</w:t>
      </w:r>
      <w:r>
        <w:rPr>
          <w:rFonts w:cs="Times New Roman"/>
          <w:szCs w:val="24"/>
          <w:lang w:val="fr-CA"/>
        </w:rPr>
        <w:t>’</w:t>
      </w:r>
      <w:r w:rsidRPr="009F420B">
        <w:rPr>
          <w:rFonts w:cs="Times New Roman"/>
          <w:szCs w:val="24"/>
          <w:lang w:val="fr-CA"/>
        </w:rPr>
        <w:t xml:space="preserve">exige </w:t>
      </w:r>
      <w:r w:rsidRPr="009F420B">
        <w:rPr>
          <w:rFonts w:cs="Times New Roman"/>
          <w:i/>
          <w:szCs w:val="24"/>
          <w:lang w:val="fr-CA"/>
        </w:rPr>
        <w:t>GreCon</w:t>
      </w:r>
      <w:r>
        <w:rPr>
          <w:rFonts w:cs="Times New Roman"/>
          <w:szCs w:val="24"/>
          <w:lang w:val="fr-CA"/>
        </w:rPr>
        <w:t> :</w:t>
      </w:r>
      <w:r w:rsidRPr="009F420B">
        <w:rPr>
          <w:rFonts w:cs="Times New Roman"/>
          <w:szCs w:val="24"/>
          <w:lang w:val="fr-CA"/>
        </w:rPr>
        <w:t xml:space="preserve"> </w:t>
      </w:r>
      <w:r>
        <w:rPr>
          <w:rFonts w:cs="Times New Roman"/>
          <w:szCs w:val="24"/>
          <w:lang w:val="fr-CA"/>
        </w:rPr>
        <w:t>par. </w:t>
      </w:r>
      <w:r w:rsidRPr="009F420B">
        <w:rPr>
          <w:rFonts w:cs="Times New Roman"/>
          <w:szCs w:val="24"/>
          <w:lang w:val="fr-CA"/>
        </w:rPr>
        <w:t>31. À cet égard, je considère que l</w:t>
      </w:r>
      <w:r>
        <w:rPr>
          <w:rFonts w:cs="Times New Roman"/>
          <w:szCs w:val="24"/>
          <w:lang w:val="fr-CA"/>
        </w:rPr>
        <w:t>’</w:t>
      </w:r>
      <w:r w:rsidRPr="009F420B">
        <w:rPr>
          <w:rFonts w:cs="Times New Roman"/>
          <w:szCs w:val="24"/>
          <w:lang w:val="fr-CA"/>
        </w:rPr>
        <w:t>affirmation de mon collègue selon laquelle « il est dans l</w:t>
      </w:r>
      <w:r>
        <w:rPr>
          <w:rFonts w:cs="Times New Roman"/>
          <w:szCs w:val="24"/>
          <w:lang w:val="fr-CA"/>
        </w:rPr>
        <w:t>’</w:t>
      </w:r>
      <w:r w:rsidRPr="009F420B">
        <w:rPr>
          <w:rFonts w:cs="Times New Roman"/>
          <w:szCs w:val="24"/>
          <w:lang w:val="fr-CA"/>
        </w:rPr>
        <w:t>intérêt de la justice que [. . .] “l</w:t>
      </w:r>
      <w:r>
        <w:rPr>
          <w:rFonts w:cs="Times New Roman"/>
          <w:szCs w:val="24"/>
          <w:lang w:val="fr-CA"/>
        </w:rPr>
        <w:t>’</w:t>
      </w:r>
      <w:r w:rsidRPr="009F420B">
        <w:rPr>
          <w:rFonts w:cs="Times New Roman"/>
          <w:szCs w:val="24"/>
          <w:lang w:val="fr-CA"/>
        </w:rPr>
        <w:t>ensemble du litige, y compris les allégations d</w:t>
      </w:r>
      <w:r>
        <w:rPr>
          <w:rFonts w:cs="Times New Roman"/>
          <w:szCs w:val="24"/>
          <w:lang w:val="fr-CA"/>
        </w:rPr>
        <w:t>’</w:t>
      </w:r>
      <w:r w:rsidRPr="009F420B">
        <w:rPr>
          <w:rFonts w:cs="Times New Roman"/>
          <w:szCs w:val="24"/>
          <w:lang w:val="fr-CA"/>
        </w:rPr>
        <w:t>alter ego”, soit tranché par un seul tribunal » (</w:t>
      </w:r>
      <w:r>
        <w:rPr>
          <w:rFonts w:cs="Times New Roman"/>
          <w:szCs w:val="24"/>
          <w:lang w:val="fr-CA"/>
        </w:rPr>
        <w:t>par. </w:t>
      </w:r>
      <w:r w:rsidRPr="009F420B">
        <w:rPr>
          <w:rFonts w:cs="Times New Roman"/>
          <w:szCs w:val="24"/>
          <w:lang w:val="fr-CA"/>
        </w:rPr>
        <w:t>88) appuie en grande partie cette proposition, puisqu</w:t>
      </w:r>
      <w:r>
        <w:rPr>
          <w:rFonts w:cs="Times New Roman"/>
          <w:szCs w:val="24"/>
          <w:lang w:val="fr-CA"/>
        </w:rPr>
        <w:t>’</w:t>
      </w:r>
      <w:r w:rsidRPr="009F420B">
        <w:rPr>
          <w:rFonts w:cs="Times New Roman"/>
          <w:szCs w:val="24"/>
          <w:lang w:val="fr-CA"/>
        </w:rPr>
        <w:t>il ne serait pas « dans l</w:t>
      </w:r>
      <w:r>
        <w:rPr>
          <w:rFonts w:cs="Times New Roman"/>
          <w:szCs w:val="24"/>
          <w:lang w:val="fr-CA"/>
        </w:rPr>
        <w:t>’</w:t>
      </w:r>
      <w:r w:rsidRPr="009F420B">
        <w:rPr>
          <w:rFonts w:cs="Times New Roman"/>
          <w:szCs w:val="24"/>
          <w:lang w:val="fr-CA"/>
        </w:rPr>
        <w:t xml:space="preserve">intérêt de la justice » que des allégations </w:t>
      </w:r>
      <w:r w:rsidRPr="009F420B">
        <w:rPr>
          <w:rFonts w:cs="Times New Roman"/>
          <w:i/>
          <w:szCs w:val="24"/>
          <w:lang w:val="fr-CA"/>
        </w:rPr>
        <w:t>non</w:t>
      </w:r>
      <w:r w:rsidRPr="009F420B">
        <w:rPr>
          <w:rFonts w:cs="Times New Roman"/>
          <w:szCs w:val="24"/>
          <w:lang w:val="fr-CA"/>
        </w:rPr>
        <w:t xml:space="preserve"> connexes soient tranchées ensemble par un seul tribunal.</w:t>
      </w:r>
    </w:p>
    <w:p w:rsidR="00AF6697" w:rsidRPr="009F420B" w:rsidRDefault="00AF6697" w:rsidP="00856BD2">
      <w:pPr>
        <w:pStyle w:val="Title1LevelTitre1Niveau-AltL"/>
        <w:rPr>
          <w:lang w:val="fr-CA"/>
        </w:rPr>
      </w:pPr>
      <w:r w:rsidRPr="009F420B">
        <w:rPr>
          <w:lang w:val="fr-CA"/>
        </w:rPr>
        <w:t>Conclusion</w:t>
      </w:r>
    </w:p>
    <w:p w:rsidR="00AF6697" w:rsidRPr="00E15F0B" w:rsidRDefault="00AF6697" w:rsidP="00AF6697">
      <w:pPr>
        <w:pStyle w:val="ParaNoNdepar-AltN"/>
        <w:rPr>
          <w:rFonts w:cs="Times New Roman"/>
          <w:lang w:val="fr-CA"/>
        </w:rPr>
      </w:pPr>
      <w:r w:rsidRPr="009F420B">
        <w:rPr>
          <w:rFonts w:cs="Times New Roman"/>
          <w:lang w:val="fr-CA"/>
        </w:rPr>
        <w:t>Je suis d</w:t>
      </w:r>
      <w:r>
        <w:rPr>
          <w:rFonts w:cs="Times New Roman"/>
          <w:lang w:val="fr-CA"/>
        </w:rPr>
        <w:t>’</w:t>
      </w:r>
      <w:r w:rsidRPr="009F420B">
        <w:rPr>
          <w:rFonts w:cs="Times New Roman"/>
          <w:lang w:val="fr-CA"/>
        </w:rPr>
        <w:t xml:space="preserve">avis de rejeter le pourvoi avec dépens. </w:t>
      </w:r>
    </w:p>
    <w:p w:rsidR="00AF6697" w:rsidRPr="00624CEC" w:rsidRDefault="00AF6697" w:rsidP="009801EC">
      <w:pPr>
        <w:spacing w:after="480" w:line="480" w:lineRule="auto"/>
        <w:ind w:firstLine="1260"/>
        <w:rPr>
          <w:lang w:val="fr-CA"/>
        </w:rPr>
      </w:pPr>
      <w:r w:rsidRPr="00624CEC">
        <w:rPr>
          <w:lang w:val="fr-CA"/>
        </w:rPr>
        <w:t>Version française des motifs rendus par</w:t>
      </w:r>
    </w:p>
    <w:p w:rsidR="00AF6697" w:rsidRPr="00442EE5" w:rsidRDefault="00AF6697" w:rsidP="00AF6697">
      <w:pPr>
        <w:pStyle w:val="JudgeJuge"/>
        <w:spacing w:before="480"/>
        <w:rPr>
          <w:lang w:val="fr-CA"/>
        </w:rPr>
      </w:pPr>
      <w:r w:rsidRPr="00442EE5">
        <w:rPr>
          <w:lang w:val="fr-CA"/>
        </w:rPr>
        <w:tab/>
        <w:t xml:space="preserve">La juge Côté </w:t>
      </w:r>
      <w:r w:rsidR="00E15F0B">
        <w:rPr>
          <w:lang w:val="fr-CA"/>
        </w:rPr>
        <w:t>(</w:t>
      </w:r>
      <w:r w:rsidR="00E15F0B" w:rsidRPr="00DC2E6C">
        <w:rPr>
          <w:smallCaps w:val="0"/>
          <w:lang w:val="fr-CA"/>
        </w:rPr>
        <w:t>dis</w:t>
      </w:r>
      <w:r w:rsidR="00CA7E74" w:rsidRPr="00DC2E6C">
        <w:rPr>
          <w:smallCaps w:val="0"/>
          <w:lang w:val="fr-CA"/>
        </w:rPr>
        <w:t>sidente</w:t>
      </w:r>
      <w:r w:rsidR="00CA7E74">
        <w:rPr>
          <w:lang w:val="fr-CA"/>
        </w:rPr>
        <w:t>)</w:t>
      </w:r>
      <w:r w:rsidR="00856BD2">
        <w:rPr>
          <w:lang w:val="fr-CA"/>
        </w:rPr>
        <w:t xml:space="preserve"> </w:t>
      </w:r>
      <w:r w:rsidRPr="00442EE5">
        <w:rPr>
          <w:lang w:val="fr-CA"/>
        </w:rPr>
        <w:t xml:space="preserve">— </w:t>
      </w:r>
    </w:p>
    <w:p w:rsidR="00AF6697" w:rsidRPr="00856BD2" w:rsidRDefault="00AF6697" w:rsidP="00856BD2">
      <w:pPr>
        <w:pStyle w:val="Title1LevelTitre1Niveau-AltL"/>
        <w:numPr>
          <w:ilvl w:val="0"/>
          <w:numId w:val="19"/>
        </w:numPr>
        <w:jc w:val="both"/>
        <w:rPr>
          <w:rFonts w:cs="Times New Roman"/>
          <w:lang w:val="fr-CA"/>
        </w:rPr>
      </w:pPr>
      <w:r w:rsidRPr="00856BD2">
        <w:rPr>
          <w:rFonts w:cs="Times New Roman"/>
          <w:lang w:val="fr-CA"/>
        </w:rPr>
        <w:t>Introduction</w:t>
      </w:r>
    </w:p>
    <w:p w:rsidR="00AF6697" w:rsidRPr="00442EE5" w:rsidRDefault="00AF6697" w:rsidP="00AF6697">
      <w:pPr>
        <w:pStyle w:val="ParaNoNdepar-AltN"/>
        <w:tabs>
          <w:tab w:val="clear" w:pos="1166"/>
          <w:tab w:val="num" w:pos="1152"/>
        </w:tabs>
        <w:rPr>
          <w:rFonts w:cs="Times New Roman"/>
          <w:lang w:val="fr-CA"/>
        </w:rPr>
      </w:pPr>
      <w:r w:rsidRPr="00442EE5">
        <w:rPr>
          <w:rFonts w:cs="Times New Roman"/>
          <w:lang w:val="fr-CA"/>
        </w:rPr>
        <w:t>Knight Brothers LLC (ci</w:t>
      </w:r>
      <w:r w:rsidRPr="00442EE5">
        <w:rPr>
          <w:rFonts w:cs="Times New Roman"/>
          <w:lang w:val="fr-CA"/>
        </w:rPr>
        <w:noBreakHyphen/>
        <w:t>après l</w:t>
      </w:r>
      <w:r>
        <w:rPr>
          <w:rFonts w:cs="Times New Roman"/>
          <w:lang w:val="fr-CA"/>
        </w:rPr>
        <w:t>’</w:t>
      </w:r>
      <w:r w:rsidRPr="00442EE5">
        <w:rPr>
          <w:rFonts w:cs="Times New Roman"/>
          <w:lang w:val="fr-CA"/>
        </w:rPr>
        <w:t>« intimée » ou « Knight ») a demandé à la Cour supérieure du Québec de reconnaître un jugement rendu par défaut (ci</w:t>
      </w:r>
      <w:r w:rsidRPr="00442EE5">
        <w:rPr>
          <w:rFonts w:cs="Times New Roman"/>
          <w:lang w:val="fr-CA"/>
        </w:rPr>
        <w:noBreakHyphen/>
        <w:t>après le « jugement définitif modifié ») par la Cour de district des États</w:t>
      </w:r>
      <w:r w:rsidRPr="00442EE5">
        <w:rPr>
          <w:rFonts w:cs="Times New Roman"/>
          <w:lang w:val="fr-CA"/>
        </w:rPr>
        <w:noBreakHyphen/>
        <w:t>Unis, division centrale du district de l</w:t>
      </w:r>
      <w:r>
        <w:rPr>
          <w:rFonts w:cs="Times New Roman"/>
          <w:lang w:val="fr-CA"/>
        </w:rPr>
        <w:t>’</w:t>
      </w:r>
      <w:r w:rsidRPr="00442EE5">
        <w:rPr>
          <w:rFonts w:cs="Times New Roman"/>
          <w:lang w:val="fr-CA"/>
        </w:rPr>
        <w:t>Utah (ci</w:t>
      </w:r>
      <w:r w:rsidRPr="00442EE5">
        <w:rPr>
          <w:rFonts w:cs="Times New Roman"/>
          <w:lang w:val="fr-CA"/>
        </w:rPr>
        <w:noBreakHyphen/>
        <w:t>après le « tribunal de l</w:t>
      </w:r>
      <w:r>
        <w:rPr>
          <w:rFonts w:cs="Times New Roman"/>
          <w:lang w:val="fr-CA"/>
        </w:rPr>
        <w:t>’</w:t>
      </w:r>
      <w:r w:rsidRPr="00442EE5">
        <w:rPr>
          <w:rFonts w:cs="Times New Roman"/>
          <w:lang w:val="fr-CA"/>
        </w:rPr>
        <w:t>Utah »), et de déclarer cette décision opposable à David Barer (ci</w:t>
      </w:r>
      <w:r w:rsidRPr="00442EE5">
        <w:rPr>
          <w:rFonts w:cs="Times New Roman"/>
          <w:lang w:val="fr-CA"/>
        </w:rPr>
        <w:noBreakHyphen/>
        <w:t>après l</w:t>
      </w:r>
      <w:r>
        <w:rPr>
          <w:rFonts w:cs="Times New Roman"/>
          <w:lang w:val="fr-CA"/>
        </w:rPr>
        <w:t>’</w:t>
      </w:r>
      <w:r w:rsidRPr="00442EE5">
        <w:rPr>
          <w:rFonts w:cs="Times New Roman"/>
          <w:lang w:val="fr-CA"/>
        </w:rPr>
        <w:t xml:space="preserve">« appelant » ou « M. Barer »). </w:t>
      </w:r>
    </w:p>
    <w:p w:rsidR="00AF6697" w:rsidRPr="00442EE5" w:rsidRDefault="00AF6697" w:rsidP="00AF6697">
      <w:pPr>
        <w:pStyle w:val="ParaNoNdepar-AltN"/>
        <w:rPr>
          <w:rFonts w:cs="Times New Roman"/>
          <w:lang w:val="fr-CA"/>
        </w:rPr>
      </w:pPr>
      <w:r w:rsidRPr="00442EE5">
        <w:rPr>
          <w:rFonts w:cs="Times New Roman"/>
          <w:lang w:val="fr-CA"/>
        </w:rPr>
        <w:lastRenderedPageBreak/>
        <w:t>Les règles régissant la reconnaissance et l</w:t>
      </w:r>
      <w:r>
        <w:rPr>
          <w:rFonts w:cs="Times New Roman"/>
          <w:lang w:val="fr-CA"/>
        </w:rPr>
        <w:t>’</w:t>
      </w:r>
      <w:r w:rsidRPr="00442EE5">
        <w:rPr>
          <w:rFonts w:cs="Times New Roman"/>
          <w:lang w:val="fr-CA"/>
        </w:rPr>
        <w:t xml:space="preserve">exécution des décisions étrangères se trouvent au livre dixième, titre quatrième, du </w:t>
      </w:r>
      <w:r w:rsidRPr="00442EE5">
        <w:rPr>
          <w:rFonts w:cs="Times New Roman"/>
          <w:i/>
          <w:lang w:val="fr-CA"/>
        </w:rPr>
        <w:t xml:space="preserve">Code civil du Québec </w:t>
      </w:r>
      <w:r w:rsidRPr="00442EE5">
        <w:rPr>
          <w:rFonts w:cs="Times New Roman"/>
          <w:lang w:val="fr-CA"/>
        </w:rPr>
        <w:t>(« </w:t>
      </w:r>
      <w:r w:rsidRPr="00442EE5">
        <w:rPr>
          <w:rFonts w:cs="Times New Roman"/>
          <w:i/>
          <w:lang w:val="fr-CA"/>
        </w:rPr>
        <w:t>C.c.Q. </w:t>
      </w:r>
      <w:r w:rsidRPr="00442EE5">
        <w:rPr>
          <w:rFonts w:cs="Times New Roman"/>
          <w:lang w:val="fr-CA"/>
        </w:rPr>
        <w:t>»</w:t>
      </w:r>
      <w:r w:rsidR="00CA7E74">
        <w:rPr>
          <w:rFonts w:cs="Times New Roman"/>
          <w:lang w:val="fr-CA"/>
        </w:rPr>
        <w:t xml:space="preserve"> ou « </w:t>
      </w:r>
      <w:r w:rsidR="00CA7E74" w:rsidRPr="00CA7E74">
        <w:rPr>
          <w:rFonts w:cs="Times New Roman"/>
          <w:i/>
          <w:lang w:val="fr-CA"/>
        </w:rPr>
        <w:t>Code civil</w:t>
      </w:r>
      <w:r w:rsidR="00CA7E74">
        <w:rPr>
          <w:rFonts w:cs="Times New Roman"/>
          <w:lang w:val="fr-CA"/>
        </w:rPr>
        <w:t> »</w:t>
      </w:r>
      <w:r w:rsidRPr="00442EE5">
        <w:rPr>
          <w:rFonts w:cs="Times New Roman"/>
          <w:lang w:val="fr-CA"/>
        </w:rPr>
        <w:t xml:space="preserve">). En principe, toute décision étrangère sera reconnue et, le cas échéant, déclarée exécutoire, sauf exception (art. 3155 </w:t>
      </w:r>
      <w:r w:rsidRPr="00442EE5">
        <w:rPr>
          <w:rFonts w:cs="Times New Roman"/>
          <w:i/>
          <w:lang w:val="fr-CA"/>
        </w:rPr>
        <w:t>C.c.Q.</w:t>
      </w:r>
      <w:r w:rsidRPr="00442EE5">
        <w:rPr>
          <w:rFonts w:cs="Times New Roman"/>
          <w:lang w:val="fr-CA"/>
        </w:rPr>
        <w:t xml:space="preserve">; </w:t>
      </w:r>
      <w:r w:rsidRPr="00442EE5">
        <w:rPr>
          <w:rFonts w:cs="Times New Roman"/>
          <w:i/>
          <w:lang w:val="fr-CA"/>
        </w:rPr>
        <w:t>Société canadienne des postes</w:t>
      </w:r>
      <w:r w:rsidRPr="00442EE5">
        <w:rPr>
          <w:rFonts w:cs="Times New Roman"/>
          <w:lang w:val="fr-CA"/>
        </w:rPr>
        <w:t xml:space="preserve"> </w:t>
      </w:r>
      <w:r w:rsidRPr="00442EE5">
        <w:rPr>
          <w:rFonts w:cs="Times New Roman"/>
          <w:i/>
          <w:lang w:val="fr-CA"/>
        </w:rPr>
        <w:t>c.</w:t>
      </w:r>
      <w:r w:rsidRPr="00442EE5">
        <w:rPr>
          <w:rFonts w:cs="Times New Roman"/>
          <w:lang w:val="fr-CA"/>
        </w:rPr>
        <w:t xml:space="preserve"> </w:t>
      </w:r>
      <w:r w:rsidRPr="00442EE5">
        <w:rPr>
          <w:rFonts w:cs="Times New Roman"/>
          <w:i/>
          <w:lang w:val="fr-CA"/>
        </w:rPr>
        <w:t>Lépine</w:t>
      </w:r>
      <w:r w:rsidRPr="00442EE5">
        <w:rPr>
          <w:rFonts w:cs="Times New Roman"/>
          <w:lang w:val="fr-CA"/>
        </w:rPr>
        <w:t xml:space="preserve">, 2009 CSC 16, [2009] 1 R.C.S. 549, par. 22; </w:t>
      </w:r>
      <w:r w:rsidRPr="00442EE5">
        <w:rPr>
          <w:rFonts w:cs="Times New Roman"/>
          <w:i/>
          <w:lang w:val="fr-CA"/>
        </w:rPr>
        <w:t>Mutual Trust Co. c. St</w:t>
      </w:r>
      <w:r w:rsidRPr="00442EE5">
        <w:rPr>
          <w:rFonts w:cs="Times New Roman"/>
          <w:i/>
          <w:lang w:val="fr-CA"/>
        </w:rPr>
        <w:noBreakHyphen/>
        <w:t>Cyr</w:t>
      </w:r>
      <w:r w:rsidRPr="00442EE5">
        <w:rPr>
          <w:rFonts w:cs="Times New Roman"/>
          <w:lang w:val="fr-CA"/>
        </w:rPr>
        <w:t>, [1996] R.D.J. 623 (C.A.), p. 632</w:t>
      </w:r>
      <w:r w:rsidRPr="00442EE5">
        <w:rPr>
          <w:rFonts w:cs="Times New Roman"/>
          <w:lang w:val="fr-CA"/>
        </w:rPr>
        <w:noBreakHyphen/>
        <w:t xml:space="preserve">633). Les autorités québécoises doivent uniquement vérifier si la décision remplit les conditions prévues par le </w:t>
      </w:r>
      <w:r w:rsidRPr="00442EE5">
        <w:rPr>
          <w:rFonts w:cs="Times New Roman"/>
          <w:i/>
          <w:lang w:val="fr-CA"/>
        </w:rPr>
        <w:t xml:space="preserve">C.c.Q. </w:t>
      </w:r>
      <w:r w:rsidRPr="00442EE5">
        <w:rPr>
          <w:rFonts w:cs="Times New Roman"/>
          <w:lang w:val="fr-CA"/>
        </w:rPr>
        <w:t>sans procéder à l</w:t>
      </w:r>
      <w:r>
        <w:rPr>
          <w:rFonts w:cs="Times New Roman"/>
          <w:lang w:val="fr-CA"/>
        </w:rPr>
        <w:t>’</w:t>
      </w:r>
      <w:r w:rsidRPr="00442EE5">
        <w:rPr>
          <w:rFonts w:cs="Times New Roman"/>
          <w:lang w:val="fr-CA"/>
        </w:rPr>
        <w:t>examen au fond de celle</w:t>
      </w:r>
      <w:r w:rsidRPr="00442EE5">
        <w:rPr>
          <w:rFonts w:cs="Times New Roman"/>
          <w:lang w:val="fr-CA"/>
        </w:rPr>
        <w:noBreakHyphen/>
        <w:t xml:space="preserve">ci (art. 3158 </w:t>
      </w:r>
      <w:r w:rsidRPr="00442EE5">
        <w:rPr>
          <w:rFonts w:cs="Times New Roman"/>
          <w:i/>
          <w:lang w:val="fr-CA"/>
        </w:rPr>
        <w:t>C.c.Q.</w:t>
      </w:r>
      <w:r w:rsidRPr="00442EE5">
        <w:rPr>
          <w:rFonts w:cs="Times New Roman"/>
          <w:lang w:val="fr-CA"/>
        </w:rPr>
        <w:t xml:space="preserve">). </w:t>
      </w:r>
    </w:p>
    <w:p w:rsidR="00AF6697" w:rsidRPr="00442EE5" w:rsidRDefault="00AF6697" w:rsidP="00AF6697">
      <w:pPr>
        <w:pStyle w:val="ParaNoNdepar-AltN"/>
        <w:rPr>
          <w:rFonts w:cs="Times New Roman"/>
          <w:lang w:val="fr-CA"/>
        </w:rPr>
      </w:pPr>
      <w:r w:rsidRPr="00442EE5">
        <w:rPr>
          <w:rFonts w:cs="Times New Roman"/>
          <w:lang w:val="fr-CA"/>
        </w:rPr>
        <w:t>Bien que ces principes favorisent de façon générale la reconnaissance des décisions étrangères, les autorités québécoises ont quand même un rôle important à jouer :</w:t>
      </w:r>
    </w:p>
    <w:p w:rsidR="00AF6697" w:rsidRPr="00442EE5" w:rsidRDefault="00AF6697" w:rsidP="00AF6697">
      <w:pPr>
        <w:pStyle w:val="Citation-AltC"/>
        <w:spacing w:after="240"/>
        <w:ind w:left="1168" w:hanging="1168"/>
        <w:contextualSpacing w:val="0"/>
        <w:rPr>
          <w:lang w:val="fr-CA"/>
        </w:rPr>
      </w:pPr>
      <w:r w:rsidRPr="00442EE5">
        <w:rPr>
          <w:lang w:val="fr-CA"/>
        </w:rPr>
        <w:tab/>
      </w:r>
      <w:r w:rsidRPr="00442EE5">
        <w:rPr>
          <w:lang w:val="fr-CA"/>
        </w:rPr>
        <w:tab/>
        <w:t>Si favorables que soient ces principes à la reconnaissance des décisions étrangères, encore faut</w:t>
      </w:r>
      <w:r w:rsidRPr="00442EE5">
        <w:rPr>
          <w:lang w:val="fr-CA"/>
        </w:rPr>
        <w:noBreakHyphen/>
        <w:t>il qu</w:t>
      </w:r>
      <w:r>
        <w:rPr>
          <w:lang w:val="fr-CA"/>
        </w:rPr>
        <w:t>’</w:t>
      </w:r>
      <w:r w:rsidRPr="00442EE5">
        <w:rPr>
          <w:lang w:val="fr-CA"/>
        </w:rPr>
        <w:t>aucune des exceptions prévues à l</w:t>
      </w:r>
      <w:r>
        <w:rPr>
          <w:lang w:val="fr-CA"/>
        </w:rPr>
        <w:t>’</w:t>
      </w:r>
      <w:r w:rsidRPr="00442EE5">
        <w:rPr>
          <w:lang w:val="fr-CA"/>
        </w:rPr>
        <w:t xml:space="preserve">art. 3155 </w:t>
      </w:r>
      <w:r w:rsidRPr="00442EE5">
        <w:rPr>
          <w:i/>
          <w:lang w:val="fr-CA"/>
        </w:rPr>
        <w:t>C.c.Q.</w:t>
      </w:r>
      <w:r w:rsidRPr="00442EE5">
        <w:rPr>
          <w:lang w:val="fr-CA"/>
        </w:rPr>
        <w:t xml:space="preserve"> ne trouve application. En particulier, </w:t>
      </w:r>
      <w:r w:rsidRPr="00442EE5">
        <w:rPr>
          <w:u w:val="single"/>
          <w:lang w:val="fr-CA"/>
        </w:rPr>
        <w:t>comme le précise le par. 3155(1), le tribunal québécois doit constater que le tribunal de l</w:t>
      </w:r>
      <w:r>
        <w:rPr>
          <w:u w:val="single"/>
          <w:lang w:val="fr-CA"/>
        </w:rPr>
        <w:t>’</w:t>
      </w:r>
      <w:r w:rsidRPr="00442EE5">
        <w:rPr>
          <w:u w:val="single"/>
          <w:lang w:val="fr-CA"/>
        </w:rPr>
        <w:t>État dont provient le jugement avait compétence sur la matière</w:t>
      </w:r>
      <w:r w:rsidRPr="00442EE5">
        <w:rPr>
          <w:lang w:val="fr-CA"/>
        </w:rPr>
        <w:t>. Le titre quatrième édicte alors aux art. 3164 à 3168 des règles destinées à permettre au tribunal québécois de déterminer si l</w:t>
      </w:r>
      <w:r>
        <w:rPr>
          <w:lang w:val="fr-CA"/>
        </w:rPr>
        <w:t>’</w:t>
      </w:r>
      <w:r w:rsidRPr="00442EE5">
        <w:rPr>
          <w:lang w:val="fr-CA"/>
        </w:rPr>
        <w:t>autorité étrangère avait compétence. [Je souligne.]</w:t>
      </w:r>
    </w:p>
    <w:p w:rsidR="00AF6697" w:rsidRPr="00442EE5" w:rsidRDefault="00AF6697" w:rsidP="00213F82">
      <w:pPr>
        <w:pStyle w:val="Citation-AltC"/>
        <w:ind w:left="0"/>
        <w:rPr>
          <w:lang w:val="fr-CA"/>
        </w:rPr>
      </w:pPr>
      <w:r w:rsidRPr="00442EE5">
        <w:rPr>
          <w:lang w:val="fr-CA"/>
        </w:rPr>
        <w:t>(</w:t>
      </w:r>
      <w:r w:rsidRPr="00442EE5">
        <w:rPr>
          <w:i/>
          <w:lang w:val="fr-CA"/>
        </w:rPr>
        <w:t>Lépine</w:t>
      </w:r>
      <w:r w:rsidRPr="00442EE5">
        <w:rPr>
          <w:lang w:val="fr-CA"/>
        </w:rPr>
        <w:t>, par. 24)</w:t>
      </w:r>
    </w:p>
    <w:p w:rsidR="00AF6697" w:rsidRPr="00442EE5" w:rsidRDefault="00AF6697" w:rsidP="00AF6697">
      <w:pPr>
        <w:pStyle w:val="ParaNoNdepar-AltN"/>
        <w:rPr>
          <w:rFonts w:cs="Times New Roman"/>
          <w:lang w:val="fr-CA"/>
        </w:rPr>
      </w:pPr>
      <w:r w:rsidRPr="00442EE5">
        <w:rPr>
          <w:rFonts w:cs="Times New Roman"/>
          <w:lang w:val="fr-CA"/>
        </w:rPr>
        <w:t>La principale question en litige dans le présent pourvoi concerne l</w:t>
      </w:r>
      <w:r>
        <w:rPr>
          <w:rFonts w:cs="Times New Roman"/>
          <w:lang w:val="fr-CA"/>
        </w:rPr>
        <w:t>’</w:t>
      </w:r>
      <w:r w:rsidRPr="00442EE5">
        <w:rPr>
          <w:rFonts w:cs="Times New Roman"/>
          <w:lang w:val="fr-CA"/>
        </w:rPr>
        <w:t>application de l</w:t>
      </w:r>
      <w:r>
        <w:rPr>
          <w:rFonts w:cs="Times New Roman"/>
          <w:lang w:val="fr-CA"/>
        </w:rPr>
        <w:t>’</w:t>
      </w:r>
      <w:r w:rsidRPr="00442EE5">
        <w:rPr>
          <w:rFonts w:cs="Times New Roman"/>
          <w:lang w:val="fr-CA"/>
        </w:rPr>
        <w:t xml:space="preserve">exception prévue </w:t>
      </w:r>
      <w:r w:rsidR="00333116">
        <w:rPr>
          <w:rFonts w:cs="Times New Roman"/>
          <w:lang w:val="fr-CA"/>
        </w:rPr>
        <w:t>au par.</w:t>
      </w:r>
      <w:r w:rsidRPr="00442EE5">
        <w:rPr>
          <w:rFonts w:cs="Times New Roman"/>
          <w:lang w:val="fr-CA"/>
        </w:rPr>
        <w:t xml:space="preserve"> 3155(1) </w:t>
      </w:r>
      <w:r w:rsidRPr="00442EE5">
        <w:rPr>
          <w:rFonts w:cs="Times New Roman"/>
          <w:i/>
          <w:lang w:val="fr-CA"/>
        </w:rPr>
        <w:t>C.c.Q.</w:t>
      </w:r>
      <w:r w:rsidRPr="00442EE5">
        <w:rPr>
          <w:rFonts w:cs="Times New Roman"/>
          <w:lang w:val="fr-CA"/>
        </w:rPr>
        <w:t> :</w:t>
      </w:r>
    </w:p>
    <w:p w:rsidR="00AF6697" w:rsidRPr="00442EE5" w:rsidRDefault="00AF6697" w:rsidP="00AF6697">
      <w:pPr>
        <w:pStyle w:val="Citation-AltC"/>
        <w:spacing w:after="240"/>
        <w:ind w:left="1168" w:hanging="1168"/>
        <w:contextualSpacing w:val="0"/>
        <w:rPr>
          <w:lang w:val="fr-CA"/>
        </w:rPr>
      </w:pPr>
      <w:r w:rsidRPr="00442EE5">
        <w:rPr>
          <w:b/>
          <w:lang w:val="fr-CA"/>
        </w:rPr>
        <w:tab/>
        <w:t>3155</w:t>
      </w:r>
      <w:r w:rsidRPr="00442EE5">
        <w:rPr>
          <w:lang w:val="fr-CA"/>
        </w:rPr>
        <w:t>. Toute décision rendue hors du Québec est reconnue et, le cas échéant, déclarée exécutoire par l</w:t>
      </w:r>
      <w:r>
        <w:rPr>
          <w:lang w:val="fr-CA"/>
        </w:rPr>
        <w:t>’</w:t>
      </w:r>
      <w:r w:rsidRPr="00442EE5">
        <w:rPr>
          <w:lang w:val="fr-CA"/>
        </w:rPr>
        <w:t>autorité du Québec, sauf dans les cas suivants :</w:t>
      </w:r>
    </w:p>
    <w:p w:rsidR="00AF6697" w:rsidRPr="00442EE5" w:rsidRDefault="00AF6697" w:rsidP="00AF6697">
      <w:pPr>
        <w:pStyle w:val="Citation-AltC"/>
        <w:ind w:left="1843"/>
        <w:rPr>
          <w:lang w:val="fr-CA"/>
        </w:rPr>
      </w:pPr>
      <w:r>
        <w:rPr>
          <w:lang w:val="fr-CA"/>
        </w:rPr>
        <w:t>1</w:t>
      </w:r>
      <w:r w:rsidRPr="0049286E">
        <w:rPr>
          <w:vertAlign w:val="superscript"/>
          <w:lang w:val="fr-CA"/>
        </w:rPr>
        <w:t>o</w:t>
      </w:r>
      <w:r>
        <w:rPr>
          <w:vertAlign w:val="superscript"/>
          <w:lang w:val="fr-CA"/>
        </w:rPr>
        <w:t> </w:t>
      </w:r>
      <w:r w:rsidRPr="00442EE5">
        <w:rPr>
          <w:lang w:val="fr-CA"/>
        </w:rPr>
        <w:t>L</w:t>
      </w:r>
      <w:r>
        <w:rPr>
          <w:lang w:val="fr-CA"/>
        </w:rPr>
        <w:t>’</w:t>
      </w:r>
      <w:r w:rsidRPr="00442EE5">
        <w:rPr>
          <w:lang w:val="fr-CA"/>
        </w:rPr>
        <w:t>autorité de l</w:t>
      </w:r>
      <w:r>
        <w:rPr>
          <w:lang w:val="fr-CA"/>
        </w:rPr>
        <w:t>’</w:t>
      </w:r>
      <w:r w:rsidRPr="00442EE5">
        <w:rPr>
          <w:lang w:val="fr-CA"/>
        </w:rPr>
        <w:t>État dans lequel la décision a été rendue n</w:t>
      </w:r>
      <w:r>
        <w:rPr>
          <w:lang w:val="fr-CA"/>
        </w:rPr>
        <w:t>’</w:t>
      </w:r>
      <w:r w:rsidRPr="00442EE5">
        <w:rPr>
          <w:lang w:val="fr-CA"/>
        </w:rPr>
        <w:t>était pas compétente suivant les dispositions du présent titre;</w:t>
      </w:r>
    </w:p>
    <w:p w:rsidR="00AF6697" w:rsidRPr="00442EE5" w:rsidRDefault="00AF6697" w:rsidP="00AF6697">
      <w:pPr>
        <w:pStyle w:val="ParaNoNdepar-AltN"/>
        <w:rPr>
          <w:rFonts w:cs="Times New Roman"/>
          <w:lang w:val="fr-CA"/>
        </w:rPr>
      </w:pPr>
      <w:r w:rsidRPr="00442EE5">
        <w:rPr>
          <w:rFonts w:cs="Times New Roman"/>
          <w:lang w:val="fr-CA"/>
        </w:rPr>
        <w:lastRenderedPageBreak/>
        <w:t>La Cour supérieure du Québec était appelée à déterminer si le tribunal de l</w:t>
      </w:r>
      <w:r>
        <w:rPr>
          <w:rFonts w:cs="Times New Roman"/>
          <w:lang w:val="fr-CA"/>
        </w:rPr>
        <w:t>’</w:t>
      </w:r>
      <w:r w:rsidRPr="00442EE5">
        <w:rPr>
          <w:rFonts w:cs="Times New Roman"/>
          <w:lang w:val="fr-CA"/>
        </w:rPr>
        <w:t>Utah avait compétence pour rendre sa décision contre l</w:t>
      </w:r>
      <w:r>
        <w:rPr>
          <w:rFonts w:cs="Times New Roman"/>
          <w:lang w:val="fr-CA"/>
        </w:rPr>
        <w:t>’</w:t>
      </w:r>
      <w:r w:rsidRPr="00442EE5">
        <w:rPr>
          <w:rFonts w:cs="Times New Roman"/>
          <w:lang w:val="fr-CA"/>
        </w:rPr>
        <w:t>appelant. La procédure pour établir la compétence de l</w:t>
      </w:r>
      <w:r>
        <w:rPr>
          <w:rFonts w:cs="Times New Roman"/>
          <w:lang w:val="fr-CA"/>
        </w:rPr>
        <w:t>’</w:t>
      </w:r>
      <w:r w:rsidRPr="00442EE5">
        <w:rPr>
          <w:rFonts w:cs="Times New Roman"/>
          <w:lang w:val="fr-CA"/>
        </w:rPr>
        <w:t>autorité étrangère est principalement fondée sur la règle énoncée à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c</w:t>
      </w:r>
      <w:r>
        <w:rPr>
          <w:rFonts w:cs="Times New Roman"/>
          <w:lang w:val="fr-CA"/>
        </w:rPr>
        <w:t>’</w:t>
      </w:r>
      <w:r w:rsidRPr="00442EE5">
        <w:rPr>
          <w:rFonts w:cs="Times New Roman"/>
          <w:lang w:val="fr-CA"/>
        </w:rPr>
        <w:t>est</w:t>
      </w:r>
      <w:r w:rsidRPr="00442EE5">
        <w:rPr>
          <w:rFonts w:cs="Times New Roman"/>
          <w:lang w:val="fr-CA"/>
        </w:rPr>
        <w:noBreakHyphen/>
        <w:t>à</w:t>
      </w:r>
      <w:r w:rsidRPr="00442EE5">
        <w:rPr>
          <w:rFonts w:cs="Times New Roman"/>
          <w:lang w:val="fr-CA"/>
        </w:rPr>
        <w:noBreakHyphen/>
        <w:t xml:space="preserve">dire que la compétence est établie </w:t>
      </w:r>
      <w:r w:rsidRPr="00442EE5">
        <w:rPr>
          <w:rFonts w:eastAsia="Times New Roman" w:cs="Times New Roman"/>
          <w:szCs w:val="24"/>
          <w:lang w:val="fr-CA"/>
        </w:rPr>
        <w:t>suivant les règles de compétence applicables aux tribunaux québécois dans la mesure où le litige se rattache d</w:t>
      </w:r>
      <w:r>
        <w:rPr>
          <w:rFonts w:eastAsia="Times New Roman" w:cs="Times New Roman"/>
          <w:szCs w:val="24"/>
          <w:lang w:val="fr-CA"/>
        </w:rPr>
        <w:t>’</w:t>
      </w:r>
      <w:r w:rsidRPr="00442EE5">
        <w:rPr>
          <w:rFonts w:eastAsia="Times New Roman" w:cs="Times New Roman"/>
          <w:szCs w:val="24"/>
          <w:lang w:val="fr-CA"/>
        </w:rPr>
        <w:t>une façon importante à l</w:t>
      </w:r>
      <w:r>
        <w:rPr>
          <w:rFonts w:eastAsia="Times New Roman" w:cs="Times New Roman"/>
          <w:szCs w:val="24"/>
          <w:lang w:val="fr-CA"/>
        </w:rPr>
        <w:t>’</w:t>
      </w:r>
      <w:r w:rsidRPr="00442EE5">
        <w:rPr>
          <w:rFonts w:eastAsia="Times New Roman" w:cs="Times New Roman"/>
          <w:szCs w:val="24"/>
          <w:lang w:val="fr-CA"/>
        </w:rPr>
        <w:t>État étranger dont l</w:t>
      </w:r>
      <w:r>
        <w:rPr>
          <w:rFonts w:eastAsia="Times New Roman" w:cs="Times New Roman"/>
          <w:szCs w:val="24"/>
          <w:lang w:val="fr-CA"/>
        </w:rPr>
        <w:t>’</w:t>
      </w:r>
      <w:r w:rsidRPr="00442EE5">
        <w:rPr>
          <w:rFonts w:eastAsia="Times New Roman" w:cs="Times New Roman"/>
          <w:szCs w:val="24"/>
          <w:lang w:val="fr-CA"/>
        </w:rPr>
        <w:t>autorité a été saisie.</w:t>
      </w:r>
    </w:p>
    <w:p w:rsidR="00AF6697" w:rsidRPr="00442EE5" w:rsidRDefault="00AF6697" w:rsidP="00AF6697">
      <w:pPr>
        <w:pStyle w:val="ParaNoNdepar-AltN"/>
        <w:rPr>
          <w:rFonts w:cs="Times New Roman"/>
          <w:lang w:val="fr-CA"/>
        </w:rPr>
      </w:pPr>
      <w:r w:rsidRPr="00442EE5">
        <w:rPr>
          <w:rFonts w:cs="Times New Roman"/>
          <w:lang w:val="fr-CA"/>
        </w:rPr>
        <w:t>Plus précisément, dans une action personnelle à caractère patrimonial comme celle qui nous intéresse en l</w:t>
      </w:r>
      <w:r>
        <w:rPr>
          <w:rFonts w:cs="Times New Roman"/>
          <w:lang w:val="fr-CA"/>
        </w:rPr>
        <w:t>’</w:t>
      </w:r>
      <w:r w:rsidRPr="00442EE5">
        <w:rPr>
          <w:rFonts w:cs="Times New Roman"/>
          <w:lang w:val="fr-CA"/>
        </w:rPr>
        <w:t xml:space="preserve">espèce, la compétence des autorités étrangères ne sera reconnue que dans les cas suivants (art. 3168 </w:t>
      </w:r>
      <w:r w:rsidRPr="00442EE5">
        <w:rPr>
          <w:rFonts w:cs="Times New Roman"/>
          <w:i/>
          <w:lang w:val="fr-CA"/>
        </w:rPr>
        <w:t>C.c.Q.</w:t>
      </w:r>
      <w:r w:rsidRPr="00442EE5">
        <w:rPr>
          <w:rFonts w:cs="Times New Roman"/>
          <w:lang w:val="fr-CA"/>
        </w:rPr>
        <w:t xml:space="preserve">) : </w:t>
      </w:r>
    </w:p>
    <w:p w:rsidR="00AF6697" w:rsidRPr="00442EE5" w:rsidRDefault="00AF6697" w:rsidP="00AF6697">
      <w:pPr>
        <w:pStyle w:val="Citation-AltC"/>
        <w:spacing w:after="240"/>
        <w:ind w:left="1701"/>
        <w:contextualSpacing w:val="0"/>
        <w:rPr>
          <w:lang w:val="fr-CA"/>
        </w:rPr>
      </w:pPr>
      <w:r>
        <w:rPr>
          <w:lang w:val="fr-CA"/>
        </w:rPr>
        <w:t>1</w:t>
      </w:r>
      <w:r w:rsidRPr="00786B5F">
        <w:rPr>
          <w:vertAlign w:val="superscript"/>
          <w:lang w:val="fr-CA"/>
        </w:rPr>
        <w:t>o</w:t>
      </w:r>
      <w:r>
        <w:rPr>
          <w:vertAlign w:val="superscript"/>
          <w:lang w:val="fr-CA"/>
        </w:rPr>
        <w:t> </w:t>
      </w:r>
      <w:r w:rsidRPr="00442EE5">
        <w:rPr>
          <w:lang w:val="fr-CA"/>
        </w:rPr>
        <w:t>Le défendeur était domicilié dans l</w:t>
      </w:r>
      <w:r>
        <w:rPr>
          <w:lang w:val="fr-CA"/>
        </w:rPr>
        <w:t>’</w:t>
      </w:r>
      <w:r w:rsidRPr="00442EE5">
        <w:rPr>
          <w:lang w:val="fr-CA"/>
        </w:rPr>
        <w:t>État où la décision a été rendue;</w:t>
      </w:r>
    </w:p>
    <w:p w:rsidR="00AF6697" w:rsidRPr="00442EE5" w:rsidRDefault="00AF6697" w:rsidP="00AF6697">
      <w:pPr>
        <w:pStyle w:val="Citation-AltC"/>
        <w:spacing w:after="240"/>
        <w:ind w:left="1701"/>
        <w:contextualSpacing w:val="0"/>
        <w:rPr>
          <w:lang w:val="fr-CA"/>
        </w:rPr>
      </w:pPr>
      <w:r>
        <w:rPr>
          <w:lang w:val="fr-CA"/>
        </w:rPr>
        <w:t>2</w:t>
      </w:r>
      <w:r w:rsidRPr="00786B5F">
        <w:rPr>
          <w:vertAlign w:val="superscript"/>
          <w:lang w:val="fr-CA"/>
        </w:rPr>
        <w:t>o</w:t>
      </w:r>
      <w:r>
        <w:rPr>
          <w:vertAlign w:val="superscript"/>
          <w:lang w:val="fr-CA"/>
        </w:rPr>
        <w:t> </w:t>
      </w:r>
      <w:r w:rsidRPr="00442EE5">
        <w:rPr>
          <w:lang w:val="fr-CA"/>
        </w:rPr>
        <w:t>Le défendeur avait un établissement dans l</w:t>
      </w:r>
      <w:r>
        <w:rPr>
          <w:lang w:val="fr-CA"/>
        </w:rPr>
        <w:t>’</w:t>
      </w:r>
      <w:r w:rsidRPr="00442EE5">
        <w:rPr>
          <w:lang w:val="fr-CA"/>
        </w:rPr>
        <w:t>État où la décision a été rendue et la contestation est relative à son activité dans cet État;</w:t>
      </w:r>
    </w:p>
    <w:p w:rsidR="00AF6697" w:rsidRPr="00442EE5" w:rsidRDefault="00AF6697" w:rsidP="00AF6697">
      <w:pPr>
        <w:pStyle w:val="Citation-AltC"/>
        <w:spacing w:after="240"/>
        <w:ind w:left="1701"/>
        <w:contextualSpacing w:val="0"/>
        <w:rPr>
          <w:lang w:val="fr-CA"/>
        </w:rPr>
      </w:pPr>
      <w:r w:rsidRPr="00786B5F">
        <w:rPr>
          <w:lang w:val="fr-CA"/>
        </w:rPr>
        <w:t>3</w:t>
      </w:r>
      <w:r w:rsidRPr="00786B5F">
        <w:rPr>
          <w:vertAlign w:val="superscript"/>
          <w:lang w:val="fr-CA"/>
        </w:rPr>
        <w:t>o</w:t>
      </w:r>
      <w:r>
        <w:rPr>
          <w:vertAlign w:val="superscript"/>
          <w:lang w:val="fr-CA"/>
        </w:rPr>
        <w:t> </w:t>
      </w:r>
      <w:r w:rsidRPr="00442EE5">
        <w:rPr>
          <w:u w:val="single"/>
          <w:lang w:val="fr-CA"/>
        </w:rPr>
        <w:t>Un préjudice a été subi dans l</w:t>
      </w:r>
      <w:r>
        <w:rPr>
          <w:u w:val="single"/>
          <w:lang w:val="fr-CA"/>
        </w:rPr>
        <w:t>’</w:t>
      </w:r>
      <w:r w:rsidRPr="00442EE5">
        <w:rPr>
          <w:u w:val="single"/>
          <w:lang w:val="fr-CA"/>
        </w:rPr>
        <w:t>État où la décision a été rendue et il résulte d</w:t>
      </w:r>
      <w:r>
        <w:rPr>
          <w:u w:val="single"/>
          <w:lang w:val="fr-CA"/>
        </w:rPr>
        <w:t>’</w:t>
      </w:r>
      <w:r w:rsidRPr="00442EE5">
        <w:rPr>
          <w:u w:val="single"/>
          <w:lang w:val="fr-CA"/>
        </w:rPr>
        <w:t>une faute qui y a été commise ou d</w:t>
      </w:r>
      <w:r>
        <w:rPr>
          <w:u w:val="single"/>
          <w:lang w:val="fr-CA"/>
        </w:rPr>
        <w:t>’</w:t>
      </w:r>
      <w:r w:rsidRPr="00442EE5">
        <w:rPr>
          <w:u w:val="single"/>
          <w:lang w:val="fr-CA"/>
        </w:rPr>
        <w:t>un fait dommageable qui s</w:t>
      </w:r>
      <w:r>
        <w:rPr>
          <w:u w:val="single"/>
          <w:lang w:val="fr-CA"/>
        </w:rPr>
        <w:t>’</w:t>
      </w:r>
      <w:r w:rsidRPr="00442EE5">
        <w:rPr>
          <w:u w:val="single"/>
          <w:lang w:val="fr-CA"/>
        </w:rPr>
        <w:t>y est produit;</w:t>
      </w:r>
    </w:p>
    <w:p w:rsidR="00AF6697" w:rsidRPr="00442EE5" w:rsidRDefault="00AF6697" w:rsidP="00AF6697">
      <w:pPr>
        <w:pStyle w:val="Citation-AltC"/>
        <w:spacing w:after="240"/>
        <w:ind w:left="1701"/>
        <w:contextualSpacing w:val="0"/>
        <w:rPr>
          <w:lang w:val="fr-CA"/>
        </w:rPr>
      </w:pPr>
      <w:r w:rsidRPr="00786B5F">
        <w:rPr>
          <w:lang w:val="fr-CA"/>
        </w:rPr>
        <w:t>4</w:t>
      </w:r>
      <w:r w:rsidRPr="00786B5F">
        <w:rPr>
          <w:vertAlign w:val="superscript"/>
          <w:lang w:val="fr-CA"/>
        </w:rPr>
        <w:t>o</w:t>
      </w:r>
      <w:r>
        <w:rPr>
          <w:vertAlign w:val="superscript"/>
          <w:lang w:val="fr-CA"/>
        </w:rPr>
        <w:t> </w:t>
      </w:r>
      <w:r w:rsidRPr="00442EE5">
        <w:rPr>
          <w:u w:val="single"/>
          <w:lang w:val="fr-CA"/>
        </w:rPr>
        <w:t>Les obligations découlant d</w:t>
      </w:r>
      <w:r>
        <w:rPr>
          <w:u w:val="single"/>
          <w:lang w:val="fr-CA"/>
        </w:rPr>
        <w:t>’</w:t>
      </w:r>
      <w:r w:rsidRPr="00442EE5">
        <w:rPr>
          <w:u w:val="single"/>
          <w:lang w:val="fr-CA"/>
        </w:rPr>
        <w:t>un contrat devaient y être exécutées</w:t>
      </w:r>
      <w:r w:rsidRPr="002E41CC">
        <w:rPr>
          <w:u w:val="single"/>
          <w:lang w:val="fr-CA"/>
        </w:rPr>
        <w:t>;</w:t>
      </w:r>
    </w:p>
    <w:p w:rsidR="00AF6697" w:rsidRPr="00442EE5" w:rsidRDefault="00AF6697" w:rsidP="00AF6697">
      <w:pPr>
        <w:pStyle w:val="Citation-AltC"/>
        <w:spacing w:after="240"/>
        <w:ind w:left="1701"/>
        <w:contextualSpacing w:val="0"/>
        <w:rPr>
          <w:lang w:val="fr-CA"/>
        </w:rPr>
      </w:pPr>
      <w:r>
        <w:rPr>
          <w:lang w:val="fr-CA"/>
        </w:rPr>
        <w:t>5</w:t>
      </w:r>
      <w:r w:rsidRPr="00786B5F">
        <w:rPr>
          <w:vertAlign w:val="superscript"/>
          <w:lang w:val="fr-CA"/>
        </w:rPr>
        <w:t>o</w:t>
      </w:r>
      <w:r>
        <w:rPr>
          <w:vertAlign w:val="superscript"/>
          <w:lang w:val="fr-CA"/>
        </w:rPr>
        <w:t> </w:t>
      </w:r>
      <w:r w:rsidRPr="00786B5F">
        <w:rPr>
          <w:lang w:val="fr-CA"/>
        </w:rPr>
        <w:t>Les</w:t>
      </w:r>
      <w:r w:rsidRPr="00442EE5">
        <w:rPr>
          <w:lang w:val="fr-CA"/>
        </w:rPr>
        <w:t xml:space="preserve"> parties leur ont soumis les litiges nés ou à naître entre elles à l</w:t>
      </w:r>
      <w:r>
        <w:rPr>
          <w:lang w:val="fr-CA"/>
        </w:rPr>
        <w:t>’</w:t>
      </w:r>
      <w:r w:rsidRPr="00442EE5">
        <w:rPr>
          <w:lang w:val="fr-CA"/>
        </w:rPr>
        <w:t>occasion d</w:t>
      </w:r>
      <w:r>
        <w:rPr>
          <w:lang w:val="fr-CA"/>
        </w:rPr>
        <w:t>’</w:t>
      </w:r>
      <w:r w:rsidRPr="00442EE5">
        <w:rPr>
          <w:lang w:val="fr-CA"/>
        </w:rPr>
        <w:t>un rapport de droit déterminé; cependant, la renonciation du consommateur ou du travailleur à la compétence de l</w:t>
      </w:r>
      <w:r>
        <w:rPr>
          <w:lang w:val="fr-CA"/>
        </w:rPr>
        <w:t>’</w:t>
      </w:r>
      <w:r w:rsidRPr="00442EE5">
        <w:rPr>
          <w:lang w:val="fr-CA"/>
        </w:rPr>
        <w:t>autorité de son domicile ne peut lui être opposée;</w:t>
      </w:r>
    </w:p>
    <w:p w:rsidR="00AF6697" w:rsidRPr="00442EE5" w:rsidRDefault="00AF6697" w:rsidP="00AF6697">
      <w:pPr>
        <w:pStyle w:val="Citation-AltC"/>
        <w:ind w:left="1701"/>
        <w:contextualSpacing w:val="0"/>
        <w:rPr>
          <w:lang w:val="fr-CA"/>
        </w:rPr>
      </w:pPr>
      <w:r w:rsidRPr="00786B5F">
        <w:rPr>
          <w:lang w:val="fr-CA"/>
        </w:rPr>
        <w:t>6</w:t>
      </w:r>
      <w:r w:rsidRPr="00786B5F">
        <w:rPr>
          <w:vertAlign w:val="superscript"/>
          <w:lang w:val="fr-CA"/>
        </w:rPr>
        <w:t>o</w:t>
      </w:r>
      <w:r>
        <w:rPr>
          <w:vertAlign w:val="superscript"/>
          <w:lang w:val="fr-CA"/>
        </w:rPr>
        <w:t> </w:t>
      </w:r>
      <w:r w:rsidRPr="00442EE5">
        <w:rPr>
          <w:u w:val="single"/>
          <w:lang w:val="fr-CA"/>
        </w:rPr>
        <w:t>Le défendeur a reconnu leur compétence</w:t>
      </w:r>
      <w:r w:rsidRPr="00227020">
        <w:rPr>
          <w:u w:val="single"/>
          <w:lang w:val="fr-CA"/>
        </w:rPr>
        <w:t>.</w:t>
      </w:r>
    </w:p>
    <w:p w:rsidR="00AF6697" w:rsidRPr="00442EE5" w:rsidRDefault="00AF6697" w:rsidP="00AF6697">
      <w:pPr>
        <w:pStyle w:val="ParaNoNdepar-AltN"/>
        <w:rPr>
          <w:rFonts w:cs="Times New Roman"/>
          <w:lang w:val="fr-CA"/>
        </w:rPr>
      </w:pPr>
      <w:r w:rsidRPr="00442EE5">
        <w:rPr>
          <w:rFonts w:cs="Times New Roman"/>
          <w:lang w:val="fr-CA"/>
        </w:rPr>
        <w:t xml:space="preserve">Le juge Blanchard de la Cour supérieure a conclu que les </w:t>
      </w:r>
      <w:r w:rsidR="00B5585E">
        <w:rPr>
          <w:rFonts w:cs="Times New Roman"/>
          <w:lang w:val="fr-CA"/>
        </w:rPr>
        <w:t>par.</w:t>
      </w:r>
      <w:r w:rsidRPr="00442EE5">
        <w:rPr>
          <w:rFonts w:cs="Times New Roman"/>
          <w:lang w:val="fr-CA"/>
        </w:rPr>
        <w:t> 3168(3), (4) et (6) pouvaient tous servir à établir la compétence du tribunal de l</w:t>
      </w:r>
      <w:r>
        <w:rPr>
          <w:rFonts w:cs="Times New Roman"/>
          <w:lang w:val="fr-CA"/>
        </w:rPr>
        <w:t>’</w:t>
      </w:r>
      <w:r w:rsidRPr="00442EE5">
        <w:rPr>
          <w:rFonts w:cs="Times New Roman"/>
          <w:lang w:val="fr-CA"/>
        </w:rPr>
        <w:t>Utah (2016 QCCS 3471 (« motifs de la C.S. »), par. 10, 16 et 20 (CanLII)). Il a par conséquent reconnu la décision étrangère et l</w:t>
      </w:r>
      <w:r>
        <w:rPr>
          <w:rFonts w:cs="Times New Roman"/>
          <w:lang w:val="fr-CA"/>
        </w:rPr>
        <w:t>’</w:t>
      </w:r>
      <w:r w:rsidRPr="00442EE5">
        <w:rPr>
          <w:rFonts w:cs="Times New Roman"/>
          <w:lang w:val="fr-CA"/>
        </w:rPr>
        <w:t>a déclarée opposable à l</w:t>
      </w:r>
      <w:r>
        <w:rPr>
          <w:rFonts w:cs="Times New Roman"/>
          <w:lang w:val="fr-CA"/>
        </w:rPr>
        <w:t>’</w:t>
      </w:r>
      <w:r w:rsidRPr="00442EE5">
        <w:rPr>
          <w:rFonts w:cs="Times New Roman"/>
          <w:lang w:val="fr-CA"/>
        </w:rPr>
        <w:t xml:space="preserve">appelant au Québec. </w:t>
      </w:r>
    </w:p>
    <w:p w:rsidR="00AF6697" w:rsidRPr="00442EE5" w:rsidRDefault="00AF6697" w:rsidP="00AF6697">
      <w:pPr>
        <w:pStyle w:val="ParaNoNdepar-AltN"/>
        <w:rPr>
          <w:rFonts w:cs="Times New Roman"/>
          <w:lang w:val="fr-CA"/>
        </w:rPr>
      </w:pPr>
      <w:r w:rsidRPr="00442EE5">
        <w:rPr>
          <w:rFonts w:cs="Times New Roman"/>
          <w:lang w:val="fr-CA"/>
        </w:rPr>
        <w:lastRenderedPageBreak/>
        <w:t>La Cour d</w:t>
      </w:r>
      <w:r>
        <w:rPr>
          <w:rFonts w:cs="Times New Roman"/>
          <w:lang w:val="fr-CA"/>
        </w:rPr>
        <w:t>’</w:t>
      </w:r>
      <w:r w:rsidRPr="00442EE5">
        <w:rPr>
          <w:rFonts w:cs="Times New Roman"/>
          <w:lang w:val="fr-CA"/>
        </w:rPr>
        <w:t>appel du Québec a confirmé la décision du juge Blanchard et a rejeté l</w:t>
      </w:r>
      <w:r>
        <w:rPr>
          <w:rFonts w:cs="Times New Roman"/>
          <w:lang w:val="fr-CA"/>
        </w:rPr>
        <w:t>’</w:t>
      </w:r>
      <w:r w:rsidRPr="00442EE5">
        <w:rPr>
          <w:rFonts w:cs="Times New Roman"/>
          <w:lang w:val="fr-CA"/>
        </w:rPr>
        <w:t xml:space="preserve">appel. Elle a toutefois déclaré ce qui suit : </w:t>
      </w:r>
    </w:p>
    <w:p w:rsidR="00AF6697" w:rsidRPr="00442EE5" w:rsidRDefault="00AF6697" w:rsidP="00227020">
      <w:pPr>
        <w:pStyle w:val="Citation-AltC"/>
        <w:tabs>
          <w:tab w:val="left" w:pos="1530"/>
          <w:tab w:val="left" w:pos="2160"/>
        </w:tabs>
        <w:spacing w:after="240"/>
        <w:ind w:left="1168" w:hanging="1168"/>
        <w:contextualSpacing w:val="0"/>
        <w:rPr>
          <w:lang w:val="fr-CA"/>
        </w:rPr>
      </w:pPr>
      <w:r w:rsidRPr="00442EE5">
        <w:rPr>
          <w:lang w:val="fr-CA"/>
        </w:rPr>
        <w:tab/>
      </w:r>
      <w:r w:rsidR="00227020">
        <w:rPr>
          <w:lang w:val="fr-CA"/>
        </w:rPr>
        <w:tab/>
      </w:r>
      <w:r w:rsidR="00DC2E6C" w:rsidRPr="00442EE5">
        <w:rPr>
          <w:lang w:val="fr-CA"/>
        </w:rPr>
        <w:t>[</w:t>
      </w:r>
      <w:r w:rsidR="00DC2E6C" w:rsidRPr="00442EE5">
        <w:rPr>
          <w:smallCaps/>
          <w:lang w:val="fr-CA"/>
        </w:rPr>
        <w:t>traduction</w:t>
      </w:r>
      <w:r w:rsidR="00DC2E6C" w:rsidRPr="00442EE5">
        <w:rPr>
          <w:lang w:val="fr-CA"/>
        </w:rPr>
        <w:t xml:space="preserve">] </w:t>
      </w:r>
      <w:r w:rsidRPr="00442EE5">
        <w:rPr>
          <w:u w:val="single"/>
          <w:lang w:val="fr-CA"/>
        </w:rPr>
        <w:t>Sans souscrire à tous les motifs du juge de première instance</w:t>
      </w:r>
      <w:r w:rsidRPr="00442EE5">
        <w:rPr>
          <w:lang w:val="fr-CA"/>
        </w:rPr>
        <w:t>, nous sommes néanmoins tous d</w:t>
      </w:r>
      <w:r>
        <w:rPr>
          <w:lang w:val="fr-CA"/>
        </w:rPr>
        <w:t>’</w:t>
      </w:r>
      <w:r w:rsidRPr="00442EE5">
        <w:rPr>
          <w:lang w:val="fr-CA"/>
        </w:rPr>
        <w:t>avis qu</w:t>
      </w:r>
      <w:r>
        <w:rPr>
          <w:lang w:val="fr-CA"/>
        </w:rPr>
        <w:t>’</w:t>
      </w:r>
      <w:r w:rsidRPr="00442EE5">
        <w:rPr>
          <w:lang w:val="fr-CA"/>
        </w:rPr>
        <w:t>il y avait suffisamment d</w:t>
      </w:r>
      <w:r>
        <w:rPr>
          <w:lang w:val="fr-CA"/>
        </w:rPr>
        <w:t>’</w:t>
      </w:r>
      <w:r w:rsidRPr="00442EE5">
        <w:rPr>
          <w:lang w:val="fr-CA"/>
        </w:rPr>
        <w:t>éléments pour permettre de conclure comme il l</w:t>
      </w:r>
      <w:r>
        <w:rPr>
          <w:lang w:val="fr-CA"/>
        </w:rPr>
        <w:t>’</w:t>
      </w:r>
      <w:r w:rsidRPr="00442EE5">
        <w:rPr>
          <w:lang w:val="fr-CA"/>
        </w:rPr>
        <w:t>a fait. [Je souligne.]</w:t>
      </w:r>
    </w:p>
    <w:p w:rsidR="00AF6697" w:rsidRPr="00442EE5" w:rsidRDefault="00AF6697" w:rsidP="00864BFB">
      <w:pPr>
        <w:pStyle w:val="Citation-AltC"/>
        <w:tabs>
          <w:tab w:val="left" w:pos="2160"/>
        </w:tabs>
        <w:ind w:left="0" w:hanging="1166"/>
        <w:rPr>
          <w:lang w:val="fr-CA"/>
        </w:rPr>
      </w:pPr>
      <w:r w:rsidRPr="00442EE5">
        <w:rPr>
          <w:lang w:val="fr-CA"/>
        </w:rPr>
        <w:tab/>
        <w:t>(2017 QCCA 597, par. 1 (CanLII))</w:t>
      </w:r>
    </w:p>
    <w:p w:rsidR="00AF6697" w:rsidRPr="00442EE5" w:rsidRDefault="00AF6697" w:rsidP="00AF6697">
      <w:pPr>
        <w:pStyle w:val="ParaNoNdepar-AltN"/>
        <w:rPr>
          <w:rFonts w:cs="Times New Roman"/>
          <w:lang w:val="fr-CA"/>
        </w:rPr>
      </w:pPr>
      <w:r w:rsidRPr="00442EE5">
        <w:rPr>
          <w:rFonts w:cs="Times New Roman"/>
          <w:lang w:val="fr-CA"/>
        </w:rPr>
        <w:t>La Cour d</w:t>
      </w:r>
      <w:r>
        <w:rPr>
          <w:rFonts w:cs="Times New Roman"/>
          <w:lang w:val="fr-CA"/>
        </w:rPr>
        <w:t>’</w:t>
      </w:r>
      <w:r w:rsidRPr="00442EE5">
        <w:rPr>
          <w:rFonts w:cs="Times New Roman"/>
          <w:lang w:val="fr-CA"/>
        </w:rPr>
        <w:t>appel n</w:t>
      </w:r>
      <w:r>
        <w:rPr>
          <w:rFonts w:cs="Times New Roman"/>
          <w:lang w:val="fr-CA"/>
        </w:rPr>
        <w:t>’</w:t>
      </w:r>
      <w:r w:rsidRPr="00442EE5">
        <w:rPr>
          <w:rFonts w:cs="Times New Roman"/>
          <w:lang w:val="fr-CA"/>
        </w:rPr>
        <w:t>a pas précisé si elle avait décelé des erreurs dans la décision de la Cour supérieure ni à quels aspects des motifs elle ne souscrivait pas. Le jugement qu</w:t>
      </w:r>
      <w:r>
        <w:rPr>
          <w:rFonts w:cs="Times New Roman"/>
          <w:lang w:val="fr-CA"/>
        </w:rPr>
        <w:t>’</w:t>
      </w:r>
      <w:r w:rsidRPr="00442EE5">
        <w:rPr>
          <w:rFonts w:cs="Times New Roman"/>
          <w:lang w:val="fr-CA"/>
        </w:rPr>
        <w:t>elle a rendu est donc de peu d</w:t>
      </w:r>
      <w:r>
        <w:rPr>
          <w:rFonts w:cs="Times New Roman"/>
          <w:lang w:val="fr-CA"/>
        </w:rPr>
        <w:t>’</w:t>
      </w:r>
      <w:r w:rsidRPr="00442EE5">
        <w:rPr>
          <w:rFonts w:cs="Times New Roman"/>
          <w:lang w:val="fr-CA"/>
        </w:rPr>
        <w:t>utilité pour trancher la question en l</w:t>
      </w:r>
      <w:r>
        <w:rPr>
          <w:rFonts w:cs="Times New Roman"/>
          <w:lang w:val="fr-CA"/>
        </w:rPr>
        <w:t>’</w:t>
      </w:r>
      <w:r w:rsidRPr="00442EE5">
        <w:rPr>
          <w:rFonts w:cs="Times New Roman"/>
          <w:lang w:val="fr-CA"/>
        </w:rPr>
        <w:t xml:space="preserve">espèce. </w:t>
      </w:r>
    </w:p>
    <w:p w:rsidR="00AF6697" w:rsidRPr="00442EE5" w:rsidRDefault="00AF6697" w:rsidP="00AF6697">
      <w:pPr>
        <w:pStyle w:val="ParaNoNdepar-AltN"/>
        <w:rPr>
          <w:rFonts w:cs="Times New Roman"/>
          <w:lang w:val="fr-CA"/>
        </w:rPr>
      </w:pPr>
      <w:r w:rsidRPr="00442EE5">
        <w:rPr>
          <w:rFonts w:cs="Times New Roman"/>
          <w:lang w:val="fr-CA"/>
        </w:rPr>
        <w:t>À mon avis, la décision de la Cour supérieure comporte plusieurs erreurs qui justifient l</w:t>
      </w:r>
      <w:r>
        <w:rPr>
          <w:rFonts w:cs="Times New Roman"/>
          <w:lang w:val="fr-CA"/>
        </w:rPr>
        <w:t>’</w:t>
      </w:r>
      <w:r w:rsidRPr="00442EE5">
        <w:rPr>
          <w:rFonts w:cs="Times New Roman"/>
          <w:lang w:val="fr-CA"/>
        </w:rPr>
        <w:t xml:space="preserve">intervention de notre Cour. En premier lieu, sous le régime du </w:t>
      </w:r>
      <w:r w:rsidRPr="00442EE5">
        <w:rPr>
          <w:rFonts w:cs="Times New Roman"/>
          <w:i/>
          <w:iCs/>
          <w:lang w:val="fr-CA"/>
        </w:rPr>
        <w:t>Code civil</w:t>
      </w:r>
      <w:r w:rsidRPr="00442EE5">
        <w:rPr>
          <w:rFonts w:cs="Times New Roman"/>
          <w:lang w:val="fr-CA"/>
        </w:rPr>
        <w:t>, le tribunal saisi d</w:t>
      </w:r>
      <w:r>
        <w:rPr>
          <w:rFonts w:cs="Times New Roman"/>
          <w:lang w:val="fr-CA"/>
        </w:rPr>
        <w:t>’</w:t>
      </w:r>
      <w:r w:rsidRPr="00442EE5">
        <w:rPr>
          <w:rFonts w:cs="Times New Roman"/>
          <w:lang w:val="fr-CA"/>
        </w:rPr>
        <w:t>une demande de reconnaissance et d</w:t>
      </w:r>
      <w:r>
        <w:rPr>
          <w:rFonts w:cs="Times New Roman"/>
          <w:lang w:val="fr-CA"/>
        </w:rPr>
        <w:t>’</w:t>
      </w:r>
      <w:r w:rsidRPr="00442EE5">
        <w:rPr>
          <w:rFonts w:cs="Times New Roman"/>
          <w:lang w:val="fr-CA"/>
        </w:rPr>
        <w:t>exécution d</w:t>
      </w:r>
      <w:r>
        <w:rPr>
          <w:rFonts w:cs="Times New Roman"/>
          <w:lang w:val="fr-CA"/>
        </w:rPr>
        <w:t>’</w:t>
      </w:r>
      <w:r w:rsidRPr="00442EE5">
        <w:rPr>
          <w:rFonts w:cs="Times New Roman"/>
          <w:lang w:val="fr-CA"/>
        </w:rPr>
        <w:t>une décision étrangère doit examiner les éléments de preuve qui ont été soumis et s</w:t>
      </w:r>
      <w:r>
        <w:rPr>
          <w:rFonts w:cs="Times New Roman"/>
          <w:lang w:val="fr-CA"/>
        </w:rPr>
        <w:t>’</w:t>
      </w:r>
      <w:r w:rsidRPr="00442EE5">
        <w:rPr>
          <w:rFonts w:cs="Times New Roman"/>
          <w:lang w:val="fr-CA"/>
        </w:rPr>
        <w:t>assurer que l</w:t>
      </w:r>
      <w:r>
        <w:rPr>
          <w:rFonts w:cs="Times New Roman"/>
          <w:lang w:val="fr-CA"/>
        </w:rPr>
        <w:t>’</w:t>
      </w:r>
      <w:r w:rsidRPr="00442EE5">
        <w:rPr>
          <w:rFonts w:cs="Times New Roman"/>
          <w:lang w:val="fr-CA"/>
        </w:rPr>
        <w:t>autorité étrangère avait compétence sur l</w:t>
      </w:r>
      <w:r>
        <w:rPr>
          <w:rFonts w:cs="Times New Roman"/>
          <w:lang w:val="fr-CA"/>
        </w:rPr>
        <w:t>’</w:t>
      </w:r>
      <w:r w:rsidRPr="00442EE5">
        <w:rPr>
          <w:rFonts w:cs="Times New Roman"/>
          <w:lang w:val="fr-CA"/>
        </w:rPr>
        <w:t>affaire (</w:t>
      </w:r>
      <w:r w:rsidRPr="00442EE5">
        <w:rPr>
          <w:rFonts w:cs="Times New Roman"/>
          <w:i/>
          <w:iCs/>
          <w:lang w:val="fr-CA"/>
        </w:rPr>
        <w:t>Iraq (State of)</w:t>
      </w:r>
      <w:r w:rsidRPr="00442EE5">
        <w:rPr>
          <w:rFonts w:cs="Times New Roman"/>
          <w:lang w:val="fr-CA"/>
        </w:rPr>
        <w:t xml:space="preserve"> </w:t>
      </w:r>
      <w:r w:rsidRPr="00442EE5">
        <w:rPr>
          <w:rFonts w:cs="Times New Roman"/>
          <w:i/>
          <w:lang w:val="fr-CA"/>
        </w:rPr>
        <w:t>c.</w:t>
      </w:r>
      <w:r w:rsidRPr="00442EE5">
        <w:rPr>
          <w:rFonts w:cs="Times New Roman"/>
          <w:lang w:val="fr-CA"/>
        </w:rPr>
        <w:t xml:space="preserve"> </w:t>
      </w:r>
      <w:r w:rsidRPr="00442EE5">
        <w:rPr>
          <w:rFonts w:cs="Times New Roman"/>
          <w:i/>
          <w:iCs/>
          <w:lang w:val="fr-CA"/>
        </w:rPr>
        <w:t>Heerema Zwijndrecht, b.v.</w:t>
      </w:r>
      <w:r w:rsidRPr="00442EE5">
        <w:rPr>
          <w:rFonts w:cs="Times New Roman"/>
          <w:lang w:val="fr-CA"/>
        </w:rPr>
        <w:t>, 2013 QCCA 1112, par. 15</w:t>
      </w:r>
      <w:r w:rsidR="00227020">
        <w:rPr>
          <w:rFonts w:cs="Times New Roman"/>
          <w:lang w:val="fr-CA"/>
        </w:rPr>
        <w:t xml:space="preserve"> (CanLII)</w:t>
      </w:r>
      <w:r w:rsidRPr="00442EE5">
        <w:rPr>
          <w:rFonts w:cs="Times New Roman"/>
          <w:lang w:val="fr-CA"/>
        </w:rPr>
        <w:t xml:space="preserve">). Dans le cas qui nous occupe, la Cour supérieure a commis une erreur manifeste et dominante en concluant que les conditions prévues aux </w:t>
      </w:r>
      <w:r w:rsidR="00B5585E">
        <w:rPr>
          <w:rFonts w:cs="Times New Roman"/>
          <w:lang w:val="fr-CA"/>
        </w:rPr>
        <w:t>par.</w:t>
      </w:r>
      <w:r w:rsidRPr="00442EE5">
        <w:rPr>
          <w:rFonts w:cs="Times New Roman"/>
          <w:lang w:val="fr-CA"/>
        </w:rPr>
        <w:t> 3168(3) et (4) étaient remplies malgré l</w:t>
      </w:r>
      <w:r>
        <w:rPr>
          <w:rFonts w:cs="Times New Roman"/>
          <w:lang w:val="fr-CA"/>
        </w:rPr>
        <w:t>’</w:t>
      </w:r>
      <w:r w:rsidRPr="00442EE5">
        <w:rPr>
          <w:rFonts w:cs="Times New Roman"/>
          <w:lang w:val="fr-CA"/>
        </w:rPr>
        <w:t>absence de toute preuve concernant une faute commise en Utah ou une obligation contractuelle de M. Barer à exécuter en Utah. En second lieu, la Cour supérieure a fait erreur en jugeant que l</w:t>
      </w:r>
      <w:r>
        <w:rPr>
          <w:rFonts w:cs="Times New Roman"/>
          <w:lang w:val="fr-CA"/>
        </w:rPr>
        <w:t>’</w:t>
      </w:r>
      <w:r w:rsidRPr="00442EE5">
        <w:rPr>
          <w:rFonts w:cs="Times New Roman"/>
          <w:lang w:val="fr-CA"/>
        </w:rPr>
        <w:t>appelant avait reconnu la compétence du tribunal de l</w:t>
      </w:r>
      <w:r>
        <w:rPr>
          <w:rFonts w:cs="Times New Roman"/>
          <w:lang w:val="fr-CA"/>
        </w:rPr>
        <w:t>’</w:t>
      </w:r>
      <w:r w:rsidRPr="00442EE5">
        <w:rPr>
          <w:rFonts w:cs="Times New Roman"/>
          <w:lang w:val="fr-CA"/>
        </w:rPr>
        <w:t xml:space="preserve">Utah conformément </w:t>
      </w:r>
      <w:r w:rsidR="00227020">
        <w:rPr>
          <w:rFonts w:cs="Times New Roman"/>
          <w:lang w:val="fr-CA"/>
        </w:rPr>
        <w:t>au par.</w:t>
      </w:r>
      <w:r w:rsidRPr="00442EE5">
        <w:rPr>
          <w:rFonts w:cs="Times New Roman"/>
          <w:lang w:val="fr-CA"/>
        </w:rPr>
        <w:t> 3168(6) du simple fait qu</w:t>
      </w:r>
      <w:r>
        <w:rPr>
          <w:rFonts w:cs="Times New Roman"/>
          <w:lang w:val="fr-CA"/>
        </w:rPr>
        <w:t>’</w:t>
      </w:r>
      <w:r w:rsidRPr="00442EE5">
        <w:rPr>
          <w:rFonts w:cs="Times New Roman"/>
          <w:lang w:val="fr-CA"/>
        </w:rPr>
        <w:t>il avait soulevé des arguments de fond dans sa requête en irrecevabilité. Par conséquent, la compétence du tribunal de l</w:t>
      </w:r>
      <w:r>
        <w:rPr>
          <w:rFonts w:cs="Times New Roman"/>
          <w:lang w:val="fr-CA"/>
        </w:rPr>
        <w:t>’</w:t>
      </w:r>
      <w:r w:rsidRPr="00442EE5">
        <w:rPr>
          <w:rFonts w:cs="Times New Roman"/>
          <w:lang w:val="fr-CA"/>
        </w:rPr>
        <w:t>Utah sur l</w:t>
      </w:r>
      <w:r>
        <w:rPr>
          <w:rFonts w:cs="Times New Roman"/>
          <w:lang w:val="fr-CA"/>
        </w:rPr>
        <w:t>’</w:t>
      </w:r>
      <w:r w:rsidRPr="00442EE5">
        <w:rPr>
          <w:rFonts w:cs="Times New Roman"/>
          <w:lang w:val="fr-CA"/>
        </w:rPr>
        <w:t>affaire n</w:t>
      </w:r>
      <w:r>
        <w:rPr>
          <w:rFonts w:cs="Times New Roman"/>
          <w:lang w:val="fr-CA"/>
        </w:rPr>
        <w:t>’</w:t>
      </w:r>
      <w:r w:rsidRPr="00442EE5">
        <w:rPr>
          <w:rFonts w:cs="Times New Roman"/>
          <w:lang w:val="fr-CA"/>
        </w:rPr>
        <w:t>a pas été établie et le jugement définitif modifié ne peut pas être reconnu et déclaré opposable à l</w:t>
      </w:r>
      <w:r>
        <w:rPr>
          <w:rFonts w:cs="Times New Roman"/>
          <w:lang w:val="fr-CA"/>
        </w:rPr>
        <w:t>’</w:t>
      </w:r>
      <w:r w:rsidRPr="00442EE5">
        <w:rPr>
          <w:rFonts w:cs="Times New Roman"/>
          <w:lang w:val="fr-CA"/>
        </w:rPr>
        <w:t>appelant.</w:t>
      </w:r>
    </w:p>
    <w:p w:rsidR="00AF6697" w:rsidRPr="00CA7E74" w:rsidRDefault="00B5585E" w:rsidP="00CA7E74">
      <w:pPr>
        <w:pStyle w:val="Title1LevelTitre1Niveau-AltL"/>
        <w:numPr>
          <w:ilvl w:val="0"/>
          <w:numId w:val="12"/>
        </w:numPr>
        <w:jc w:val="both"/>
        <w:rPr>
          <w:rFonts w:cs="Times New Roman"/>
          <w:lang w:val="fr-CA"/>
        </w:rPr>
      </w:pPr>
      <w:r>
        <w:rPr>
          <w:rFonts w:cs="Times New Roman"/>
          <w:lang w:val="fr-CA"/>
        </w:rPr>
        <w:lastRenderedPageBreak/>
        <w:t>Paragraphes</w:t>
      </w:r>
      <w:r w:rsidR="00AF6697" w:rsidRPr="00CA7E74">
        <w:rPr>
          <w:rFonts w:cs="Times New Roman"/>
          <w:lang w:val="fr-CA"/>
        </w:rPr>
        <w:t xml:space="preserve"> 3168(3) et (4) </w:t>
      </w:r>
      <w:r w:rsidR="00AF6697" w:rsidRPr="00CA7E74">
        <w:rPr>
          <w:rFonts w:cs="Times New Roman"/>
          <w:i/>
          <w:lang w:val="fr-CA"/>
        </w:rPr>
        <w:t>C.c.Q.</w:t>
      </w:r>
      <w:r w:rsidR="00AF6697" w:rsidRPr="00CA7E74">
        <w:rPr>
          <w:rFonts w:cs="Times New Roman"/>
          <w:lang w:val="fr-CA"/>
        </w:rPr>
        <w:t xml:space="preserve"> </w:t>
      </w:r>
    </w:p>
    <w:p w:rsidR="00AF6697" w:rsidRPr="00442EE5" w:rsidRDefault="00AF6697" w:rsidP="00AF6697">
      <w:pPr>
        <w:pStyle w:val="ParaNoNdepar-AltN"/>
        <w:rPr>
          <w:rFonts w:cs="Times New Roman"/>
          <w:lang w:val="fr-CA"/>
        </w:rPr>
      </w:pPr>
      <w:r w:rsidRPr="00442EE5">
        <w:rPr>
          <w:rFonts w:cs="Times New Roman"/>
          <w:lang w:val="fr-CA"/>
        </w:rPr>
        <w:t>Je souscris à la conclusion de mon collègue le juge Gascon suivant laquelle Knight ne s</w:t>
      </w:r>
      <w:r>
        <w:rPr>
          <w:rFonts w:cs="Times New Roman"/>
          <w:lang w:val="fr-CA"/>
        </w:rPr>
        <w:t>’</w:t>
      </w:r>
      <w:r w:rsidRPr="00442EE5">
        <w:rPr>
          <w:rFonts w:cs="Times New Roman"/>
          <w:lang w:val="fr-CA"/>
        </w:rPr>
        <w:t>est pas déchargée du fardeau qui lui incombait d</w:t>
      </w:r>
      <w:r>
        <w:rPr>
          <w:rFonts w:cs="Times New Roman"/>
          <w:lang w:val="fr-CA"/>
        </w:rPr>
        <w:t>’</w:t>
      </w:r>
      <w:r w:rsidRPr="00442EE5">
        <w:rPr>
          <w:rFonts w:cs="Times New Roman"/>
          <w:lang w:val="fr-CA"/>
        </w:rPr>
        <w:t>établir la compétence du tribunal de l</w:t>
      </w:r>
      <w:r>
        <w:rPr>
          <w:rFonts w:cs="Times New Roman"/>
          <w:lang w:val="fr-CA"/>
        </w:rPr>
        <w:t>’</w:t>
      </w:r>
      <w:r w:rsidRPr="00442EE5">
        <w:rPr>
          <w:rFonts w:cs="Times New Roman"/>
          <w:lang w:val="fr-CA"/>
        </w:rPr>
        <w:t>Utah à l</w:t>
      </w:r>
      <w:r>
        <w:rPr>
          <w:rFonts w:cs="Times New Roman"/>
          <w:lang w:val="fr-CA"/>
        </w:rPr>
        <w:t>’</w:t>
      </w:r>
      <w:r w:rsidRPr="00442EE5">
        <w:rPr>
          <w:rFonts w:cs="Times New Roman"/>
          <w:lang w:val="fr-CA"/>
        </w:rPr>
        <w:t xml:space="preserve">égard de M. Barer en vertu des </w:t>
      </w:r>
      <w:r w:rsidR="00B5585E">
        <w:rPr>
          <w:rFonts w:cs="Times New Roman"/>
          <w:lang w:val="fr-CA"/>
        </w:rPr>
        <w:t>par.</w:t>
      </w:r>
      <w:r w:rsidRPr="00442EE5">
        <w:rPr>
          <w:rFonts w:cs="Times New Roman"/>
          <w:lang w:val="fr-CA"/>
        </w:rPr>
        <w:t xml:space="preserve"> 3168(3) et (4) </w:t>
      </w:r>
      <w:r w:rsidRPr="00442EE5">
        <w:rPr>
          <w:rFonts w:cs="Times New Roman"/>
          <w:i/>
          <w:lang w:val="fr-CA"/>
        </w:rPr>
        <w:t>C.c.Q</w:t>
      </w:r>
      <w:r w:rsidRPr="00442EE5">
        <w:rPr>
          <w:rFonts w:cs="Times New Roman"/>
          <w:lang w:val="fr-CA"/>
        </w:rPr>
        <w:t xml:space="preserve">. Par ailleurs, je tiens à ajouter les commentaires suivants. </w:t>
      </w:r>
    </w:p>
    <w:p w:rsidR="00AF6697" w:rsidRPr="00CA7E74" w:rsidRDefault="00AF6697" w:rsidP="00CA7E74">
      <w:pPr>
        <w:pStyle w:val="Title2LevelTitre2Niveau"/>
        <w:rPr>
          <w:lang w:val="fr-CA"/>
        </w:rPr>
      </w:pPr>
      <w:r w:rsidRPr="00CA7E74">
        <w:rPr>
          <w:lang w:val="fr-CA"/>
        </w:rPr>
        <w:t xml:space="preserve">La preuve requise pour la reconnaissance d’une décision étrangère </w:t>
      </w:r>
    </w:p>
    <w:p w:rsidR="00AF6697" w:rsidRPr="00442EE5" w:rsidRDefault="00AF6697" w:rsidP="00AF6697">
      <w:pPr>
        <w:pStyle w:val="ParaNoNdepar-AltN"/>
        <w:rPr>
          <w:rFonts w:cs="Times New Roman"/>
          <w:lang w:val="fr-CA"/>
        </w:rPr>
      </w:pPr>
      <w:r w:rsidRPr="00442EE5">
        <w:rPr>
          <w:rFonts w:eastAsia="Times New Roman" w:cs="Times New Roman"/>
          <w:lang w:val="fr-CA"/>
        </w:rPr>
        <w:t>Lorsqu</w:t>
      </w:r>
      <w:r>
        <w:rPr>
          <w:rFonts w:eastAsia="Times New Roman" w:cs="Times New Roman"/>
          <w:lang w:val="fr-CA"/>
        </w:rPr>
        <w:t>’</w:t>
      </w:r>
      <w:r w:rsidRPr="00442EE5">
        <w:rPr>
          <w:rFonts w:eastAsia="Times New Roman" w:cs="Times New Roman"/>
          <w:lang w:val="fr-CA"/>
        </w:rPr>
        <w:t>il est saisi d</w:t>
      </w:r>
      <w:r>
        <w:rPr>
          <w:rFonts w:eastAsia="Times New Roman" w:cs="Times New Roman"/>
          <w:lang w:val="fr-CA"/>
        </w:rPr>
        <w:t>’</w:t>
      </w:r>
      <w:r w:rsidRPr="00442EE5">
        <w:rPr>
          <w:rFonts w:eastAsia="Times New Roman" w:cs="Times New Roman"/>
          <w:lang w:val="fr-CA"/>
        </w:rPr>
        <w:t>une demande de reconnaissance d</w:t>
      </w:r>
      <w:r>
        <w:rPr>
          <w:rFonts w:eastAsia="Times New Roman" w:cs="Times New Roman"/>
          <w:lang w:val="fr-CA"/>
        </w:rPr>
        <w:t>’</w:t>
      </w:r>
      <w:r w:rsidRPr="00442EE5">
        <w:rPr>
          <w:rFonts w:eastAsia="Times New Roman" w:cs="Times New Roman"/>
          <w:lang w:val="fr-CA"/>
        </w:rPr>
        <w:t>une décision étrangère, le tribunal québécois doit examiner la preuve soumise et déterminer si l</w:t>
      </w:r>
      <w:r>
        <w:rPr>
          <w:rFonts w:eastAsia="Times New Roman" w:cs="Times New Roman"/>
          <w:lang w:val="fr-CA"/>
        </w:rPr>
        <w:t>’</w:t>
      </w:r>
      <w:r w:rsidRPr="00442EE5">
        <w:rPr>
          <w:rFonts w:eastAsia="Times New Roman" w:cs="Times New Roman"/>
          <w:lang w:val="fr-CA"/>
        </w:rPr>
        <w:t>autorité de l</w:t>
      </w:r>
      <w:r>
        <w:rPr>
          <w:rFonts w:eastAsia="Times New Roman" w:cs="Times New Roman"/>
          <w:lang w:val="fr-CA"/>
        </w:rPr>
        <w:t>’</w:t>
      </w:r>
      <w:r w:rsidRPr="00442EE5">
        <w:rPr>
          <w:rFonts w:eastAsia="Times New Roman" w:cs="Times New Roman"/>
          <w:lang w:val="fr-CA"/>
        </w:rPr>
        <w:t>État dans lequel la décision a été rendue avait compétence sur l</w:t>
      </w:r>
      <w:r>
        <w:rPr>
          <w:rFonts w:eastAsia="Times New Roman" w:cs="Times New Roman"/>
          <w:lang w:val="fr-CA"/>
        </w:rPr>
        <w:t>’</w:t>
      </w:r>
      <w:r w:rsidRPr="00442EE5">
        <w:rPr>
          <w:rFonts w:eastAsia="Times New Roman" w:cs="Times New Roman"/>
          <w:lang w:val="fr-CA"/>
        </w:rPr>
        <w:t>affaire :</w:t>
      </w:r>
    </w:p>
    <w:p w:rsidR="00AF6697" w:rsidRPr="00442EE5" w:rsidRDefault="00AF6697" w:rsidP="00AF6697">
      <w:pPr>
        <w:pStyle w:val="Citation-AltC"/>
        <w:spacing w:after="240"/>
        <w:ind w:left="1168" w:hanging="1168"/>
        <w:contextualSpacing w:val="0"/>
        <w:rPr>
          <w:lang w:val="fr-CA"/>
        </w:rPr>
      </w:pPr>
      <w:r w:rsidRPr="00442EE5">
        <w:rPr>
          <w:lang w:val="fr-CA"/>
        </w:rPr>
        <w:tab/>
      </w:r>
      <w:r w:rsidRPr="00442EE5">
        <w:rPr>
          <w:lang w:val="fr-CA"/>
        </w:rPr>
        <w:tab/>
        <w:t>Il appartient, par ailleurs, au tribunal saisi de la demande de reconnaissance d</w:t>
      </w:r>
      <w:r>
        <w:rPr>
          <w:lang w:val="fr-CA"/>
        </w:rPr>
        <w:t>’</w:t>
      </w:r>
      <w:r w:rsidRPr="00442EE5">
        <w:rPr>
          <w:lang w:val="fr-CA"/>
        </w:rPr>
        <w:t>examiner la preuve soumise pour s</w:t>
      </w:r>
      <w:r>
        <w:rPr>
          <w:lang w:val="fr-CA"/>
        </w:rPr>
        <w:t>’</w:t>
      </w:r>
      <w:r w:rsidRPr="00442EE5">
        <w:rPr>
          <w:lang w:val="fr-CA"/>
        </w:rPr>
        <w:t>assurer que le tribunal étranger avait compétence sur la matière.</w:t>
      </w:r>
      <w:r w:rsidR="00B37CCB">
        <w:rPr>
          <w:lang w:val="fr-CA"/>
        </w:rPr>
        <w:t> . .</w:t>
      </w:r>
    </w:p>
    <w:p w:rsidR="00AF6697" w:rsidRPr="00442EE5" w:rsidRDefault="00AF6697" w:rsidP="00864BFB">
      <w:pPr>
        <w:pStyle w:val="Citation-AltC"/>
        <w:ind w:left="0" w:hanging="1166"/>
        <w:rPr>
          <w:lang w:val="fr-CA"/>
        </w:rPr>
      </w:pPr>
      <w:r w:rsidRPr="00442EE5">
        <w:rPr>
          <w:lang w:val="fr-CA"/>
        </w:rPr>
        <w:tab/>
        <w:t>(</w:t>
      </w:r>
      <w:r w:rsidRPr="00442EE5">
        <w:rPr>
          <w:i/>
          <w:lang w:val="fr-CA"/>
        </w:rPr>
        <w:t>Heerema</w:t>
      </w:r>
      <w:r w:rsidRPr="00442EE5">
        <w:rPr>
          <w:lang w:val="fr-CA"/>
        </w:rPr>
        <w:t>, par. 15)</w:t>
      </w:r>
    </w:p>
    <w:p w:rsidR="00AF6697" w:rsidRPr="00442EE5" w:rsidRDefault="00AF6697" w:rsidP="00AF6697">
      <w:pPr>
        <w:pStyle w:val="ParaNoNdepar-AltN"/>
        <w:rPr>
          <w:rFonts w:cs="Times New Roman"/>
          <w:lang w:val="fr-CA"/>
        </w:rPr>
      </w:pPr>
      <w:r w:rsidRPr="00442EE5">
        <w:rPr>
          <w:rFonts w:cs="Times New Roman"/>
          <w:lang w:val="fr-CA"/>
        </w:rPr>
        <w:t>Il importe de signaler que, lorsqu</w:t>
      </w:r>
      <w:r>
        <w:rPr>
          <w:rFonts w:cs="Times New Roman"/>
          <w:lang w:val="fr-CA"/>
        </w:rPr>
        <w:t>’</w:t>
      </w:r>
      <w:r w:rsidRPr="00442EE5">
        <w:rPr>
          <w:rFonts w:cs="Times New Roman"/>
          <w:lang w:val="fr-CA"/>
        </w:rPr>
        <w:t>un tribunal québécois examine sa propre compétence en vertu de l</w:t>
      </w:r>
      <w:r>
        <w:rPr>
          <w:rFonts w:cs="Times New Roman"/>
          <w:lang w:val="fr-CA"/>
        </w:rPr>
        <w:t>’</w:t>
      </w:r>
      <w:r w:rsidRPr="00442EE5">
        <w:rPr>
          <w:rFonts w:cs="Times New Roman"/>
          <w:lang w:val="fr-CA"/>
        </w:rPr>
        <w:t xml:space="preserve">art. 3148 </w:t>
      </w:r>
      <w:r w:rsidRPr="00442EE5">
        <w:rPr>
          <w:rFonts w:cs="Times New Roman"/>
          <w:i/>
          <w:lang w:val="fr-CA"/>
        </w:rPr>
        <w:t>C.c.Q.</w:t>
      </w:r>
      <w:r w:rsidRPr="00442EE5">
        <w:rPr>
          <w:rFonts w:cs="Times New Roman"/>
          <w:lang w:val="fr-CA"/>
        </w:rPr>
        <w:t>,</w:t>
      </w:r>
      <w:r w:rsidRPr="00442EE5">
        <w:rPr>
          <w:rFonts w:cs="Times New Roman"/>
          <w:i/>
          <w:lang w:val="fr-CA"/>
        </w:rPr>
        <w:t xml:space="preserve"> </w:t>
      </w:r>
      <w:r w:rsidRPr="00442EE5">
        <w:rPr>
          <w:rFonts w:cs="Times New Roman"/>
          <w:lang w:val="fr-CA"/>
        </w:rPr>
        <w:t>il tiendra pour avérés les faits allégués, à moins que ceux</w:t>
      </w:r>
      <w:r w:rsidRPr="00442EE5">
        <w:rPr>
          <w:rFonts w:cs="Times New Roman"/>
          <w:lang w:val="fr-CA"/>
        </w:rPr>
        <w:noBreakHyphen/>
        <w:t>ci ne soient expressément contestés par les parties (</w:t>
      </w:r>
      <w:r w:rsidRPr="00442EE5">
        <w:rPr>
          <w:rFonts w:cs="Times New Roman"/>
          <w:i/>
          <w:lang w:val="fr-CA"/>
        </w:rPr>
        <w:t>Spar Aerospace Ltée c. American Mobile Satellite Corp.</w:t>
      </w:r>
      <w:r w:rsidRPr="00442EE5">
        <w:rPr>
          <w:rFonts w:cs="Times New Roman"/>
          <w:lang w:val="fr-CA"/>
        </w:rPr>
        <w:t>, 2002 CSC 78, [2002] 4 R.C.S. 205, par. 31</w:t>
      </w:r>
      <w:r w:rsidRPr="00442EE5">
        <w:rPr>
          <w:rFonts w:cs="Times New Roman"/>
          <w:lang w:val="fr-CA"/>
        </w:rPr>
        <w:noBreakHyphen/>
        <w:t xml:space="preserve">33), auquel cas il exigera simplement une preuve </w:t>
      </w:r>
      <w:r w:rsidRPr="00442EE5">
        <w:rPr>
          <w:rFonts w:cs="Times New Roman"/>
          <w:i/>
          <w:lang w:val="fr-CA"/>
        </w:rPr>
        <w:t>prima facie</w:t>
      </w:r>
      <w:r w:rsidRPr="00442EE5">
        <w:rPr>
          <w:rFonts w:cs="Times New Roman"/>
          <w:lang w:val="fr-CA"/>
        </w:rPr>
        <w:t xml:space="preserve"> établissant l</w:t>
      </w:r>
      <w:r>
        <w:rPr>
          <w:rFonts w:cs="Times New Roman"/>
          <w:lang w:val="fr-CA"/>
        </w:rPr>
        <w:t>’</w:t>
      </w:r>
      <w:r w:rsidRPr="00442EE5">
        <w:rPr>
          <w:rFonts w:cs="Times New Roman"/>
          <w:lang w:val="fr-CA"/>
        </w:rPr>
        <w:t>un des facteurs énoncés à cet article. C</w:t>
      </w:r>
      <w:r>
        <w:rPr>
          <w:rFonts w:cs="Times New Roman"/>
          <w:lang w:val="fr-CA"/>
        </w:rPr>
        <w:t>’</w:t>
      </w:r>
      <w:r w:rsidRPr="00442EE5">
        <w:rPr>
          <w:rFonts w:cs="Times New Roman"/>
          <w:lang w:val="fr-CA"/>
        </w:rPr>
        <w:t>est ce qu</w:t>
      </w:r>
      <w:r>
        <w:rPr>
          <w:rFonts w:cs="Times New Roman"/>
          <w:lang w:val="fr-CA"/>
        </w:rPr>
        <w:t>’</w:t>
      </w:r>
      <w:r w:rsidRPr="00442EE5">
        <w:rPr>
          <w:rFonts w:cs="Times New Roman"/>
          <w:lang w:val="fr-CA"/>
        </w:rPr>
        <w:t>implique le contexte procédural de l</w:t>
      </w:r>
      <w:r>
        <w:rPr>
          <w:rFonts w:cs="Times New Roman"/>
          <w:lang w:val="fr-CA"/>
        </w:rPr>
        <w:t>’</w:t>
      </w:r>
      <w:r w:rsidRPr="00442EE5">
        <w:rPr>
          <w:rFonts w:cs="Times New Roman"/>
          <w:lang w:val="fr-CA"/>
        </w:rPr>
        <w:t xml:space="preserve">art. 167 du nouveau </w:t>
      </w:r>
      <w:r w:rsidRPr="00442EE5">
        <w:rPr>
          <w:rFonts w:cs="Times New Roman"/>
          <w:i/>
          <w:lang w:val="fr-CA"/>
        </w:rPr>
        <w:t>Code de procédure civile</w:t>
      </w:r>
      <w:r w:rsidRPr="00442EE5">
        <w:rPr>
          <w:rFonts w:cs="Times New Roman"/>
          <w:lang w:val="fr-CA"/>
        </w:rPr>
        <w:t>, RLRQ, c. C</w:t>
      </w:r>
      <w:r w:rsidRPr="00442EE5">
        <w:rPr>
          <w:rFonts w:cs="Times New Roman"/>
          <w:lang w:val="fr-CA"/>
        </w:rPr>
        <w:noBreakHyphen/>
        <w:t xml:space="preserve">25.01 (« nouveau </w:t>
      </w:r>
      <w:r w:rsidRPr="00442EE5">
        <w:rPr>
          <w:rFonts w:cs="Times New Roman"/>
          <w:i/>
          <w:lang w:val="fr-CA"/>
        </w:rPr>
        <w:t>C.p.c.</w:t>
      </w:r>
      <w:r w:rsidRPr="00442EE5">
        <w:rPr>
          <w:rFonts w:cs="Times New Roman"/>
          <w:lang w:val="fr-CA"/>
        </w:rPr>
        <w:t> ») :</w:t>
      </w:r>
    </w:p>
    <w:p w:rsidR="00AF6697" w:rsidRPr="00442EE5" w:rsidRDefault="00AF6697" w:rsidP="00666920">
      <w:pPr>
        <w:pStyle w:val="Citation-AltC"/>
        <w:tabs>
          <w:tab w:val="left" w:pos="1530"/>
        </w:tabs>
        <w:spacing w:after="240"/>
        <w:ind w:left="1168" w:hanging="1168"/>
        <w:contextualSpacing w:val="0"/>
        <w:rPr>
          <w:lang w:val="fr-CA"/>
        </w:rPr>
      </w:pPr>
      <w:r w:rsidRPr="00442EE5">
        <w:rPr>
          <w:lang w:val="fr-CA"/>
        </w:rPr>
        <w:lastRenderedPageBreak/>
        <w:tab/>
      </w:r>
      <w:r w:rsidRPr="00442EE5">
        <w:rPr>
          <w:lang w:val="fr-CA"/>
        </w:rPr>
        <w:tab/>
        <w:t>En premier lieu, il appert que le contexte procédural permettant de contester la compétence au stade préliminaire confirme l</w:t>
      </w:r>
      <w:r>
        <w:rPr>
          <w:lang w:val="fr-CA"/>
        </w:rPr>
        <w:t>’</w:t>
      </w:r>
      <w:r w:rsidRPr="00442EE5">
        <w:rPr>
          <w:lang w:val="fr-CA"/>
        </w:rPr>
        <w:t>idée que l</w:t>
      </w:r>
      <w:r>
        <w:rPr>
          <w:lang w:val="fr-CA"/>
        </w:rPr>
        <w:t>’</w:t>
      </w:r>
      <w:r w:rsidRPr="00442EE5">
        <w:rPr>
          <w:lang w:val="fr-CA"/>
        </w:rPr>
        <w:t>art. 3148 établit un large fondement permettant de conclure à la compétence d</w:t>
      </w:r>
      <w:r>
        <w:rPr>
          <w:lang w:val="fr-CA"/>
        </w:rPr>
        <w:t>’</w:t>
      </w:r>
      <w:r w:rsidRPr="00442EE5">
        <w:rPr>
          <w:lang w:val="fr-CA"/>
        </w:rPr>
        <w:t>un tribunal. Pour contester la compétence dans le cadre d</w:t>
      </w:r>
      <w:r>
        <w:rPr>
          <w:lang w:val="fr-CA"/>
        </w:rPr>
        <w:t>’</w:t>
      </w:r>
      <w:r w:rsidRPr="00442EE5">
        <w:rPr>
          <w:lang w:val="fr-CA"/>
        </w:rPr>
        <w:t>une requête préliminaire, il faut demander le rejet de la demande en présentant une requête en exception déclinatoire conformément à l</w:t>
      </w:r>
      <w:r>
        <w:rPr>
          <w:lang w:val="fr-CA"/>
        </w:rPr>
        <w:t>’</w:t>
      </w:r>
      <w:r w:rsidRPr="00442EE5">
        <w:rPr>
          <w:lang w:val="fr-CA"/>
        </w:rPr>
        <w:t>art. 163 [maintenant l</w:t>
      </w:r>
      <w:r>
        <w:rPr>
          <w:lang w:val="fr-CA"/>
        </w:rPr>
        <w:t>’</w:t>
      </w:r>
      <w:r w:rsidRPr="00442EE5">
        <w:rPr>
          <w:lang w:val="fr-CA"/>
        </w:rPr>
        <w:t xml:space="preserve">art. 167] </w:t>
      </w:r>
      <w:r w:rsidRPr="00442EE5">
        <w:rPr>
          <w:i/>
          <w:iCs/>
          <w:lang w:val="fr-CA"/>
        </w:rPr>
        <w:t>C.p.c</w:t>
      </w:r>
      <w:r w:rsidRPr="00442EE5">
        <w:rPr>
          <w:iCs/>
          <w:lang w:val="fr-CA"/>
        </w:rPr>
        <w:t>.</w:t>
      </w:r>
      <w:r w:rsidRPr="00442EE5">
        <w:rPr>
          <w:lang w:val="fr-CA"/>
        </w:rPr>
        <w:t xml:space="preserve"> Selon la jurisprudence, le juge saisi de ce genre de requête n</w:t>
      </w:r>
      <w:r>
        <w:rPr>
          <w:lang w:val="fr-CA"/>
        </w:rPr>
        <w:t>’</w:t>
      </w:r>
      <w:r w:rsidRPr="00442EE5">
        <w:rPr>
          <w:lang w:val="fr-CA"/>
        </w:rPr>
        <w:t>a pas à se prononcer sur le fond du litige, mais doit plutôt tenir pour avérés les faits que le demandeur allègue pour que la compétence des tribunaux du Québec soit reconnue . . . [R</w:t>
      </w:r>
      <w:r w:rsidR="00D31781">
        <w:rPr>
          <w:lang w:val="fr-CA"/>
        </w:rPr>
        <w:t>envois omi</w:t>
      </w:r>
      <w:r w:rsidRPr="00442EE5">
        <w:rPr>
          <w:lang w:val="fr-CA"/>
        </w:rPr>
        <w:t xml:space="preserve">s.] </w:t>
      </w:r>
    </w:p>
    <w:p w:rsidR="00AF6697" w:rsidRPr="00442EE5" w:rsidRDefault="00AF6697" w:rsidP="00864BFB">
      <w:pPr>
        <w:pStyle w:val="Citation-AltC"/>
        <w:ind w:left="0" w:hanging="1166"/>
        <w:rPr>
          <w:lang w:val="fr-CA"/>
        </w:rPr>
      </w:pPr>
      <w:r w:rsidRPr="00442EE5">
        <w:rPr>
          <w:lang w:val="fr-CA"/>
        </w:rPr>
        <w:tab/>
        <w:t>(</w:t>
      </w:r>
      <w:r w:rsidRPr="00442EE5">
        <w:rPr>
          <w:i/>
          <w:lang w:val="fr-CA"/>
        </w:rPr>
        <w:t>Spar</w:t>
      </w:r>
      <w:r w:rsidRPr="00442EE5">
        <w:rPr>
          <w:lang w:val="fr-CA"/>
        </w:rPr>
        <w:t>, par. 31)</w:t>
      </w:r>
    </w:p>
    <w:p w:rsidR="00AF6697" w:rsidRPr="00442EE5" w:rsidRDefault="00AF6697" w:rsidP="00AF6697">
      <w:pPr>
        <w:pStyle w:val="ParaNoNdepar-AltN"/>
        <w:rPr>
          <w:rFonts w:cs="Times New Roman"/>
          <w:lang w:val="fr-CA"/>
        </w:rPr>
      </w:pPr>
      <w:r w:rsidRPr="00442EE5">
        <w:rPr>
          <w:rFonts w:cs="Times New Roman"/>
          <w:lang w:val="fr-CA"/>
        </w:rPr>
        <w:t>Cependant, le contexte procédural n</w:t>
      </w:r>
      <w:r>
        <w:rPr>
          <w:rFonts w:cs="Times New Roman"/>
          <w:lang w:val="fr-CA"/>
        </w:rPr>
        <w:t>’</w:t>
      </w:r>
      <w:r w:rsidRPr="00442EE5">
        <w:rPr>
          <w:rFonts w:cs="Times New Roman"/>
          <w:lang w:val="fr-CA"/>
        </w:rPr>
        <w:t>est pas le même pour une demande de reconnaissance d</w:t>
      </w:r>
      <w:r>
        <w:rPr>
          <w:rFonts w:cs="Times New Roman"/>
          <w:lang w:val="fr-CA"/>
        </w:rPr>
        <w:t>’</w:t>
      </w:r>
      <w:r w:rsidRPr="00442EE5">
        <w:rPr>
          <w:rFonts w:cs="Times New Roman"/>
          <w:lang w:val="fr-CA"/>
        </w:rPr>
        <w:t>une décision étrangère. En pareil cas, ce sont les règles générales de la preuve qui s</w:t>
      </w:r>
      <w:r>
        <w:rPr>
          <w:rFonts w:cs="Times New Roman"/>
          <w:lang w:val="fr-CA"/>
        </w:rPr>
        <w:t>’</w:t>
      </w:r>
      <w:r w:rsidRPr="00442EE5">
        <w:rPr>
          <w:rFonts w:cs="Times New Roman"/>
          <w:lang w:val="fr-CA"/>
        </w:rPr>
        <w:t xml:space="preserve">appliquent, les allégations ne seront pas tenues pour avérées et une preuve </w:t>
      </w:r>
      <w:r w:rsidRPr="00442EE5">
        <w:rPr>
          <w:rFonts w:cs="Times New Roman"/>
          <w:i/>
          <w:lang w:val="fr-CA"/>
        </w:rPr>
        <w:t xml:space="preserve">prima facie </w:t>
      </w:r>
      <w:r w:rsidRPr="00442EE5">
        <w:rPr>
          <w:rFonts w:cs="Times New Roman"/>
          <w:lang w:val="fr-CA"/>
        </w:rPr>
        <w:t>ne suffira pas. Le tribunal analysera alors les éléments de preuve produits afin de déterminer si l</w:t>
      </w:r>
      <w:r>
        <w:rPr>
          <w:rFonts w:cs="Times New Roman"/>
          <w:lang w:val="fr-CA"/>
        </w:rPr>
        <w:t>’</w:t>
      </w:r>
      <w:r w:rsidRPr="00442EE5">
        <w:rPr>
          <w:rFonts w:cs="Times New Roman"/>
          <w:lang w:val="fr-CA"/>
        </w:rPr>
        <w:t>autorité étrangère avait compétence sur l</w:t>
      </w:r>
      <w:r>
        <w:rPr>
          <w:rFonts w:cs="Times New Roman"/>
          <w:lang w:val="fr-CA"/>
        </w:rPr>
        <w:t>’</w:t>
      </w:r>
      <w:r w:rsidRPr="00442EE5">
        <w:rPr>
          <w:rFonts w:cs="Times New Roman"/>
          <w:lang w:val="fr-CA"/>
        </w:rPr>
        <w:t>affaire. Par exemple, si la reconnaissance de la compétence de l</w:t>
      </w:r>
      <w:r>
        <w:rPr>
          <w:rFonts w:cs="Times New Roman"/>
          <w:lang w:val="fr-CA"/>
        </w:rPr>
        <w:t>’</w:t>
      </w:r>
      <w:r w:rsidRPr="00442EE5">
        <w:rPr>
          <w:rFonts w:cs="Times New Roman"/>
          <w:lang w:val="fr-CA"/>
        </w:rPr>
        <w:t xml:space="preserve">autorité étrangère est fondée sur le domicile du défendeur (voir </w:t>
      </w:r>
      <w:r w:rsidR="00B5585E">
        <w:rPr>
          <w:rFonts w:cs="Times New Roman"/>
          <w:lang w:val="fr-CA"/>
        </w:rPr>
        <w:t>le par.</w:t>
      </w:r>
      <w:r w:rsidRPr="00442EE5">
        <w:rPr>
          <w:rFonts w:cs="Times New Roman"/>
          <w:lang w:val="fr-CA"/>
        </w:rPr>
        <w:t xml:space="preserve"> 3168(1) </w:t>
      </w:r>
      <w:r w:rsidRPr="00442EE5">
        <w:rPr>
          <w:rFonts w:cs="Times New Roman"/>
          <w:i/>
          <w:lang w:val="fr-CA"/>
        </w:rPr>
        <w:t>C.c.Q.</w:t>
      </w:r>
      <w:r w:rsidRPr="00442EE5">
        <w:rPr>
          <w:rFonts w:cs="Times New Roman"/>
          <w:lang w:val="fr-CA"/>
        </w:rPr>
        <w:t>), l</w:t>
      </w:r>
      <w:r>
        <w:rPr>
          <w:rFonts w:cs="Times New Roman"/>
          <w:lang w:val="fr-CA"/>
        </w:rPr>
        <w:t>’</w:t>
      </w:r>
      <w:r w:rsidRPr="00442EE5">
        <w:rPr>
          <w:rFonts w:cs="Times New Roman"/>
          <w:lang w:val="fr-CA"/>
        </w:rPr>
        <w:t>autorité québécoise exigera une preuve de ce domicile et ne se contentera pas d</w:t>
      </w:r>
      <w:r>
        <w:rPr>
          <w:rFonts w:cs="Times New Roman"/>
          <w:lang w:val="fr-CA"/>
        </w:rPr>
        <w:t>’</w:t>
      </w:r>
      <w:r w:rsidRPr="00442EE5">
        <w:rPr>
          <w:rFonts w:cs="Times New Roman"/>
          <w:lang w:val="fr-CA"/>
        </w:rPr>
        <w:t>une simple allégation ou d</w:t>
      </w:r>
      <w:r>
        <w:rPr>
          <w:rFonts w:cs="Times New Roman"/>
          <w:lang w:val="fr-CA"/>
        </w:rPr>
        <w:t>’</w:t>
      </w:r>
      <w:r w:rsidRPr="00442EE5">
        <w:rPr>
          <w:rFonts w:cs="Times New Roman"/>
          <w:lang w:val="fr-CA"/>
        </w:rPr>
        <w:t xml:space="preserve">une preuve </w:t>
      </w:r>
      <w:r w:rsidRPr="00442EE5">
        <w:rPr>
          <w:rFonts w:cs="Times New Roman"/>
          <w:i/>
          <w:lang w:val="fr-CA"/>
        </w:rPr>
        <w:t>prima facie</w:t>
      </w:r>
      <w:r w:rsidRPr="00442EE5">
        <w:rPr>
          <w:rFonts w:cs="Times New Roman"/>
          <w:lang w:val="fr-CA"/>
        </w:rPr>
        <w:t>. Il en va de même pour tous les motifs d</w:t>
      </w:r>
      <w:r>
        <w:rPr>
          <w:rFonts w:cs="Times New Roman"/>
          <w:lang w:val="fr-CA"/>
        </w:rPr>
        <w:t>’</w:t>
      </w:r>
      <w:r w:rsidRPr="00442EE5">
        <w:rPr>
          <w:rFonts w:cs="Times New Roman"/>
          <w:lang w:val="fr-CA"/>
        </w:rPr>
        <w:t>attribution de compétence énoncés à l</w:t>
      </w:r>
      <w:r>
        <w:rPr>
          <w:rFonts w:cs="Times New Roman"/>
          <w:lang w:val="fr-CA"/>
        </w:rPr>
        <w:t>’</w:t>
      </w:r>
      <w:r w:rsidRPr="00442EE5">
        <w:rPr>
          <w:rFonts w:cs="Times New Roman"/>
          <w:lang w:val="fr-CA"/>
        </w:rPr>
        <w:t>art. 3168 </w:t>
      </w:r>
      <w:r w:rsidRPr="00442EE5">
        <w:rPr>
          <w:rFonts w:cs="Times New Roman"/>
          <w:i/>
          <w:lang w:val="fr-CA"/>
        </w:rPr>
        <w:t>C.c.Q</w:t>
      </w:r>
      <w:r w:rsidRPr="00442EE5">
        <w:rPr>
          <w:rFonts w:cs="Times New Roman"/>
          <w:lang w:val="fr-CA"/>
        </w:rPr>
        <w:t xml:space="preserve">. </w:t>
      </w:r>
    </w:p>
    <w:p w:rsidR="00AF6697" w:rsidRPr="00442EE5" w:rsidRDefault="00AF6697" w:rsidP="00AF6697">
      <w:pPr>
        <w:pStyle w:val="ParaNoNdepar-AltN"/>
        <w:rPr>
          <w:rFonts w:cs="Times New Roman"/>
          <w:lang w:val="fr-CA"/>
        </w:rPr>
      </w:pPr>
      <w:r w:rsidRPr="00442EE5">
        <w:rPr>
          <w:rFonts w:cs="Times New Roman"/>
          <w:lang w:val="fr-CA"/>
        </w:rPr>
        <w:t xml:space="preserve">En conséquence, suivant les </w:t>
      </w:r>
      <w:r w:rsidR="00B5585E">
        <w:rPr>
          <w:rFonts w:cs="Times New Roman"/>
          <w:lang w:val="fr-CA"/>
        </w:rPr>
        <w:t>par.</w:t>
      </w:r>
      <w:r w:rsidRPr="00442EE5">
        <w:rPr>
          <w:rFonts w:cs="Times New Roman"/>
          <w:lang w:val="fr-CA"/>
        </w:rPr>
        <w:t xml:space="preserve"> 3168(3) et (4) </w:t>
      </w:r>
      <w:r w:rsidRPr="00442EE5">
        <w:rPr>
          <w:rFonts w:cs="Times New Roman"/>
          <w:i/>
          <w:lang w:val="fr-CA"/>
        </w:rPr>
        <w:t>C.c.Q.</w:t>
      </w:r>
      <w:r w:rsidRPr="00442EE5">
        <w:rPr>
          <w:rFonts w:cs="Times New Roman"/>
          <w:lang w:val="fr-CA"/>
        </w:rPr>
        <w:t>, la compétence du tribunal de l</w:t>
      </w:r>
      <w:r>
        <w:rPr>
          <w:rFonts w:cs="Times New Roman"/>
          <w:lang w:val="fr-CA"/>
        </w:rPr>
        <w:t>’</w:t>
      </w:r>
      <w:r w:rsidRPr="00442EE5">
        <w:rPr>
          <w:rFonts w:cs="Times New Roman"/>
          <w:lang w:val="fr-CA"/>
        </w:rPr>
        <w:t>Utah ne devrait être reconnue que si l</w:t>
      </w:r>
      <w:r>
        <w:rPr>
          <w:rFonts w:cs="Times New Roman"/>
          <w:lang w:val="fr-CA"/>
        </w:rPr>
        <w:t>’</w:t>
      </w:r>
      <w:r w:rsidRPr="00442EE5">
        <w:rPr>
          <w:rFonts w:cs="Times New Roman"/>
          <w:lang w:val="fr-CA"/>
        </w:rPr>
        <w:t>autorité québécoise conclut, eu égard à la preuve produite, que l</w:t>
      </w:r>
      <w:r>
        <w:rPr>
          <w:rFonts w:cs="Times New Roman"/>
          <w:lang w:val="fr-CA"/>
        </w:rPr>
        <w:t>’</w:t>
      </w:r>
      <w:r w:rsidRPr="00442EE5">
        <w:rPr>
          <w:rFonts w:cs="Times New Roman"/>
          <w:lang w:val="fr-CA"/>
        </w:rPr>
        <w:t>une ou l</w:t>
      </w:r>
      <w:r>
        <w:rPr>
          <w:rFonts w:cs="Times New Roman"/>
          <w:lang w:val="fr-CA"/>
        </w:rPr>
        <w:t>’</w:t>
      </w:r>
      <w:r w:rsidRPr="00442EE5">
        <w:rPr>
          <w:rFonts w:cs="Times New Roman"/>
          <w:lang w:val="fr-CA"/>
        </w:rPr>
        <w:t xml:space="preserve">autre des conditions suivantes est remplie : </w:t>
      </w:r>
    </w:p>
    <w:p w:rsidR="00AF6697" w:rsidRPr="00442EE5" w:rsidRDefault="00CA7E74" w:rsidP="00CA7E74">
      <w:pPr>
        <w:pStyle w:val="Citation-AltC"/>
        <w:spacing w:after="240"/>
        <w:ind w:left="1526"/>
        <w:contextualSpacing w:val="0"/>
        <w:rPr>
          <w:lang w:val="fr-CA"/>
        </w:rPr>
      </w:pPr>
      <w:r>
        <w:rPr>
          <w:lang w:val="fr-CA"/>
        </w:rPr>
        <w:t>3</w:t>
      </w:r>
      <w:r>
        <w:rPr>
          <w:vertAlign w:val="superscript"/>
          <w:lang w:val="fr-CA"/>
        </w:rPr>
        <w:t>o</w:t>
      </w:r>
      <w:r w:rsidRPr="00442EE5">
        <w:rPr>
          <w:lang w:val="fr-CA"/>
        </w:rPr>
        <w:t xml:space="preserve"> </w:t>
      </w:r>
      <w:r w:rsidR="00AF6697" w:rsidRPr="00442EE5">
        <w:rPr>
          <w:lang w:val="fr-CA"/>
        </w:rPr>
        <w:t>[</w:t>
      </w:r>
      <w:r w:rsidR="00AF6697" w:rsidRPr="00442EE5">
        <w:rPr>
          <w:lang w:val="fr-CA" w:eastAsia="fr-CA"/>
        </w:rPr>
        <w:t>u]n préjudice a été subi [en Utah] et il résulte d</w:t>
      </w:r>
      <w:r w:rsidR="00AF6697">
        <w:rPr>
          <w:lang w:val="fr-CA" w:eastAsia="fr-CA"/>
        </w:rPr>
        <w:t>’</w:t>
      </w:r>
      <w:r w:rsidR="00AF6697" w:rsidRPr="00442EE5">
        <w:rPr>
          <w:lang w:val="fr-CA" w:eastAsia="fr-CA"/>
        </w:rPr>
        <w:t>une faute qui y a été commise ou d</w:t>
      </w:r>
      <w:r w:rsidR="00AF6697">
        <w:rPr>
          <w:lang w:val="fr-CA" w:eastAsia="fr-CA"/>
        </w:rPr>
        <w:t>’</w:t>
      </w:r>
      <w:r w:rsidR="00AF6697" w:rsidRPr="00442EE5">
        <w:rPr>
          <w:lang w:val="fr-CA" w:eastAsia="fr-CA"/>
        </w:rPr>
        <w:t>un fait dommageable qui s</w:t>
      </w:r>
      <w:r w:rsidR="00AF6697">
        <w:rPr>
          <w:lang w:val="fr-CA" w:eastAsia="fr-CA"/>
        </w:rPr>
        <w:t>’</w:t>
      </w:r>
      <w:r w:rsidR="00AF6697" w:rsidRPr="00442EE5">
        <w:rPr>
          <w:lang w:val="fr-CA" w:eastAsia="fr-CA"/>
        </w:rPr>
        <w:t>y est produit;</w:t>
      </w:r>
      <w:r w:rsidR="00AF6697" w:rsidRPr="00442EE5">
        <w:rPr>
          <w:lang w:val="fr-CA"/>
        </w:rPr>
        <w:t xml:space="preserve"> </w:t>
      </w:r>
      <w:r w:rsidR="002E41CC">
        <w:rPr>
          <w:lang w:val="fr-CA"/>
        </w:rPr>
        <w:t>[ou]</w:t>
      </w:r>
    </w:p>
    <w:p w:rsidR="00AF6697" w:rsidRPr="00442EE5" w:rsidRDefault="00CA7E74" w:rsidP="00CA7E74">
      <w:pPr>
        <w:pStyle w:val="Citation-AltC"/>
        <w:ind w:left="1526"/>
        <w:rPr>
          <w:lang w:val="fr-CA"/>
        </w:rPr>
      </w:pPr>
      <w:r>
        <w:rPr>
          <w:lang w:val="fr-CA" w:eastAsia="fr-CA"/>
        </w:rPr>
        <w:t>4</w:t>
      </w:r>
      <w:r w:rsidRPr="00CA7E74">
        <w:rPr>
          <w:vertAlign w:val="superscript"/>
          <w:lang w:val="fr-CA" w:eastAsia="fr-CA"/>
        </w:rPr>
        <w:t>o</w:t>
      </w:r>
      <w:r>
        <w:rPr>
          <w:lang w:val="fr-CA" w:eastAsia="fr-CA"/>
        </w:rPr>
        <w:t xml:space="preserve"> </w:t>
      </w:r>
      <w:r w:rsidR="00AF6697" w:rsidRPr="00442EE5">
        <w:rPr>
          <w:lang w:val="fr-CA" w:eastAsia="fr-CA"/>
        </w:rPr>
        <w:t>les obligations découlant d</w:t>
      </w:r>
      <w:r w:rsidR="00AF6697">
        <w:rPr>
          <w:lang w:val="fr-CA" w:eastAsia="fr-CA"/>
        </w:rPr>
        <w:t>’</w:t>
      </w:r>
      <w:r w:rsidR="00AF6697" w:rsidRPr="00442EE5">
        <w:rPr>
          <w:lang w:val="fr-CA" w:eastAsia="fr-CA"/>
        </w:rPr>
        <w:t>un contrat devaient [. . .] être exécutées</w:t>
      </w:r>
      <w:r w:rsidR="00AF6697" w:rsidRPr="00442EE5">
        <w:rPr>
          <w:lang w:val="fr-CA"/>
        </w:rPr>
        <w:t xml:space="preserve"> [en Utah.]</w:t>
      </w:r>
    </w:p>
    <w:p w:rsidR="00AF6697" w:rsidRPr="00442EE5" w:rsidRDefault="00AF6697" w:rsidP="00AF6697">
      <w:pPr>
        <w:pStyle w:val="ParaNoNdepar-AltN"/>
        <w:rPr>
          <w:rFonts w:eastAsia="Times New Roman" w:cs="Times New Roman"/>
          <w:lang w:val="fr-CA"/>
        </w:rPr>
      </w:pPr>
      <w:r w:rsidRPr="00442EE5">
        <w:rPr>
          <w:rFonts w:eastAsia="Times New Roman" w:cs="Times New Roman"/>
          <w:lang w:val="fr-CA"/>
        </w:rPr>
        <w:lastRenderedPageBreak/>
        <w:t xml:space="preserve">Selon le juge Blanchard, les </w:t>
      </w:r>
      <w:r w:rsidR="00B5585E">
        <w:rPr>
          <w:rFonts w:eastAsia="Times New Roman" w:cs="Times New Roman"/>
          <w:lang w:val="fr-CA"/>
        </w:rPr>
        <w:t>par.</w:t>
      </w:r>
      <w:r w:rsidRPr="00442EE5">
        <w:rPr>
          <w:rFonts w:eastAsia="Times New Roman" w:cs="Times New Roman"/>
          <w:lang w:val="fr-CA"/>
        </w:rPr>
        <w:t xml:space="preserve"> 3168(3) et (4) </w:t>
      </w:r>
      <w:r w:rsidRPr="00442EE5">
        <w:rPr>
          <w:rFonts w:eastAsia="Times New Roman" w:cs="Times New Roman"/>
          <w:i/>
          <w:lang w:val="fr-CA"/>
        </w:rPr>
        <w:t xml:space="preserve">C.c.Q. </w:t>
      </w:r>
      <w:r w:rsidRPr="00442EE5">
        <w:rPr>
          <w:rFonts w:eastAsia="Times New Roman" w:cs="Times New Roman"/>
          <w:lang w:val="fr-CA"/>
        </w:rPr>
        <w:t>pouvaient servir à reconnaître l</w:t>
      </w:r>
      <w:r w:rsidRPr="00442EE5">
        <w:rPr>
          <w:rFonts w:cs="Times New Roman"/>
          <w:lang w:val="fr-CA"/>
        </w:rPr>
        <w:t>a compétence du tribunal de l</w:t>
      </w:r>
      <w:r>
        <w:rPr>
          <w:rFonts w:cs="Times New Roman"/>
          <w:lang w:val="fr-CA"/>
        </w:rPr>
        <w:t>’</w:t>
      </w:r>
      <w:r w:rsidRPr="00442EE5">
        <w:rPr>
          <w:rFonts w:cs="Times New Roman"/>
          <w:lang w:val="fr-CA"/>
        </w:rPr>
        <w:t>Utah dans la mesure où [</w:t>
      </w:r>
      <w:r w:rsidRPr="00442EE5">
        <w:rPr>
          <w:rFonts w:cs="Times New Roman"/>
          <w:smallCaps/>
          <w:lang w:val="fr-CA"/>
        </w:rPr>
        <w:t>traduction</w:t>
      </w:r>
      <w:r w:rsidRPr="00442EE5">
        <w:rPr>
          <w:rFonts w:cs="Times New Roman"/>
          <w:lang w:val="fr-CA"/>
        </w:rPr>
        <w:t>] « l</w:t>
      </w:r>
      <w:r>
        <w:rPr>
          <w:rFonts w:cs="Times New Roman"/>
          <w:lang w:val="fr-CA"/>
        </w:rPr>
        <w:t>’</w:t>
      </w:r>
      <w:r w:rsidRPr="00442EE5">
        <w:rPr>
          <w:rFonts w:cs="Times New Roman"/>
          <w:lang w:val="fr-CA"/>
        </w:rPr>
        <w:t xml:space="preserve">acceptation de la </w:t>
      </w:r>
      <w:r w:rsidRPr="00442EE5">
        <w:rPr>
          <w:rFonts w:cs="Times New Roman"/>
          <w:u w:val="single"/>
          <w:lang w:val="fr-CA"/>
        </w:rPr>
        <w:t>prétendue</w:t>
      </w:r>
      <w:r w:rsidRPr="00442EE5">
        <w:rPr>
          <w:rFonts w:cs="Times New Roman"/>
          <w:lang w:val="fr-CA"/>
        </w:rPr>
        <w:t xml:space="preserve"> promesse de [M.] Barer de payer avait été reçue en Utah et où celle</w:t>
      </w:r>
      <w:r w:rsidRPr="00442EE5">
        <w:rPr>
          <w:rFonts w:cs="Times New Roman"/>
          <w:lang w:val="fr-CA"/>
        </w:rPr>
        <w:noBreakHyphen/>
        <w:t xml:space="preserve">ci devait être exécutée dans cet État » (motifs de la C.S., par. 20 (je souligne)). La </w:t>
      </w:r>
      <w:r w:rsidRPr="00442EE5">
        <w:rPr>
          <w:rFonts w:eastAsia="Times New Roman" w:cs="Times New Roman"/>
          <w:i/>
          <w:lang w:val="fr-CA"/>
        </w:rPr>
        <w:t>prétendue</w:t>
      </w:r>
      <w:r w:rsidRPr="00442EE5">
        <w:rPr>
          <w:rFonts w:eastAsia="Times New Roman" w:cs="Times New Roman"/>
          <w:lang w:val="fr-CA"/>
        </w:rPr>
        <w:t xml:space="preserve"> promesse de payer à laquelle le juge Blanchard a fait référence a été décrite comme suit dans la deuxième poursuite modifiée déposée par l</w:t>
      </w:r>
      <w:r>
        <w:rPr>
          <w:rFonts w:eastAsia="Times New Roman" w:cs="Times New Roman"/>
          <w:lang w:val="fr-CA"/>
        </w:rPr>
        <w:t>’</w:t>
      </w:r>
      <w:r w:rsidRPr="00442EE5">
        <w:rPr>
          <w:rFonts w:eastAsia="Times New Roman" w:cs="Times New Roman"/>
          <w:lang w:val="fr-CA"/>
        </w:rPr>
        <w:t>intimée en Utah</w:t>
      </w:r>
      <w:r w:rsidRPr="00442EE5">
        <w:rPr>
          <w:rFonts w:cs="Times New Roman"/>
          <w:lang w:val="fr-CA"/>
        </w:rPr>
        <w:t xml:space="preserve"> : </w:t>
      </w:r>
    </w:p>
    <w:p w:rsidR="00AF6697" w:rsidRPr="00442EE5" w:rsidRDefault="00AF6697" w:rsidP="00AF6697">
      <w:pPr>
        <w:pStyle w:val="Citation-AltC"/>
        <w:spacing w:after="240"/>
        <w:ind w:left="1168"/>
        <w:contextualSpacing w:val="0"/>
        <w:rPr>
          <w:lang w:val="fr-CA"/>
        </w:rPr>
      </w:pPr>
      <w:r w:rsidRPr="00442EE5">
        <w:rPr>
          <w:lang w:val="fr-CA"/>
        </w:rPr>
        <w:tab/>
      </w:r>
      <w:r w:rsidR="00B37CCB" w:rsidRPr="00442EE5">
        <w:rPr>
          <w:lang w:val="fr-CA"/>
        </w:rPr>
        <w:t>[</w:t>
      </w:r>
      <w:r w:rsidR="00B37CCB" w:rsidRPr="00442EE5">
        <w:rPr>
          <w:smallCaps/>
          <w:lang w:val="fr-CA"/>
        </w:rPr>
        <w:t>traduction</w:t>
      </w:r>
      <w:r w:rsidR="00B37CCB" w:rsidRPr="00442EE5">
        <w:rPr>
          <w:lang w:val="fr-CA"/>
        </w:rPr>
        <w:t>]</w:t>
      </w:r>
      <w:r w:rsidR="00B37CCB">
        <w:rPr>
          <w:lang w:val="fr-CA"/>
        </w:rPr>
        <w:t xml:space="preserve"> </w:t>
      </w:r>
      <w:r w:rsidRPr="00442EE5">
        <w:rPr>
          <w:lang w:val="fr-CA"/>
        </w:rPr>
        <w:t>Au cours d</w:t>
      </w:r>
      <w:r>
        <w:rPr>
          <w:lang w:val="fr-CA"/>
        </w:rPr>
        <w:t>’</w:t>
      </w:r>
      <w:r w:rsidRPr="00442EE5">
        <w:rPr>
          <w:lang w:val="fr-CA"/>
        </w:rPr>
        <w:t>une conversation téléphonique, David Barer a affirmé à Mike McKnight, président d</w:t>
      </w:r>
      <w:r>
        <w:rPr>
          <w:lang w:val="fr-CA"/>
        </w:rPr>
        <w:t>’</w:t>
      </w:r>
      <w:r w:rsidRPr="00442EE5">
        <w:rPr>
          <w:lang w:val="fr-CA"/>
        </w:rPr>
        <w:t xml:space="preserve">Intermountain Rigging, que les défendeurs paieraient le prix majoré des travaux de fondations effectués par Intermountain Rigging dans le cadre du projet. </w:t>
      </w:r>
    </w:p>
    <w:p w:rsidR="00AF6697" w:rsidRPr="00442EE5" w:rsidRDefault="00AF6697" w:rsidP="00AF6697">
      <w:pPr>
        <w:pStyle w:val="Citation-AltC"/>
        <w:spacing w:after="240"/>
        <w:ind w:left="1168" w:hanging="1168"/>
        <w:contextualSpacing w:val="0"/>
        <w:rPr>
          <w:lang w:val="fr-CA"/>
        </w:rPr>
      </w:pPr>
      <w:r w:rsidRPr="00442EE5">
        <w:rPr>
          <w:lang w:val="fr-CA"/>
        </w:rPr>
        <w:tab/>
      </w:r>
      <w:r w:rsidRPr="00442EE5">
        <w:rPr>
          <w:lang w:val="fr-CA"/>
        </w:rPr>
        <w:tab/>
        <w:t>Au moment où David Barer a fait cette déclaration à Intermountain Rigging, il savait qu</w:t>
      </w:r>
      <w:r>
        <w:rPr>
          <w:lang w:val="fr-CA"/>
        </w:rPr>
        <w:t>’</w:t>
      </w:r>
      <w:r w:rsidRPr="00442EE5">
        <w:rPr>
          <w:lang w:val="fr-CA"/>
        </w:rPr>
        <w:t>elle était fausse.</w:t>
      </w:r>
    </w:p>
    <w:p w:rsidR="00AF6697" w:rsidRPr="00442EE5" w:rsidRDefault="00AF6697" w:rsidP="00AF6697">
      <w:pPr>
        <w:pStyle w:val="Citation-AltC"/>
        <w:spacing w:after="240"/>
        <w:ind w:left="1168" w:hanging="1168"/>
        <w:contextualSpacing w:val="0"/>
        <w:rPr>
          <w:lang w:val="fr-CA"/>
        </w:rPr>
      </w:pPr>
      <w:r w:rsidRPr="00442EE5">
        <w:rPr>
          <w:lang w:val="fr-CA"/>
        </w:rPr>
        <w:tab/>
      </w:r>
      <w:r w:rsidRPr="00442EE5">
        <w:rPr>
          <w:lang w:val="fr-CA"/>
        </w:rPr>
        <w:tab/>
        <w:t>David Barer a déclaré à Intermountain Rigging que les défendeurs paieraient le prix majoré des travaux de fondations dans le but exprès d</w:t>
      </w:r>
      <w:r>
        <w:rPr>
          <w:lang w:val="fr-CA"/>
        </w:rPr>
        <w:t>’</w:t>
      </w:r>
      <w:r w:rsidRPr="00442EE5">
        <w:rPr>
          <w:lang w:val="fr-CA"/>
        </w:rPr>
        <w:t xml:space="preserve">inciter Intermountain Rigging à poursuivre et à terminer les travaux prévus par le projet sans la payer. </w:t>
      </w:r>
    </w:p>
    <w:p w:rsidR="00AF6697" w:rsidRPr="00442EE5" w:rsidRDefault="00AF6697" w:rsidP="00AF6697">
      <w:pPr>
        <w:pStyle w:val="Citation-AltC"/>
        <w:spacing w:after="240"/>
        <w:ind w:left="1168" w:hanging="1168"/>
        <w:contextualSpacing w:val="0"/>
        <w:rPr>
          <w:lang w:val="fr-CA"/>
        </w:rPr>
      </w:pPr>
      <w:r w:rsidRPr="00442EE5">
        <w:rPr>
          <w:lang w:val="fr-CA"/>
        </w:rPr>
        <w:tab/>
      </w:r>
      <w:r w:rsidRPr="00442EE5">
        <w:rPr>
          <w:lang w:val="fr-CA"/>
        </w:rPr>
        <w:tab/>
        <w:t>Intermountain Rigging, agissant de façon raisonnable et sans savoir que les déclarations de David Barer étaient fausses, s</w:t>
      </w:r>
      <w:r>
        <w:rPr>
          <w:lang w:val="fr-CA"/>
        </w:rPr>
        <w:t>’</w:t>
      </w:r>
      <w:r w:rsidRPr="00442EE5">
        <w:rPr>
          <w:lang w:val="fr-CA"/>
        </w:rPr>
        <w:t>est fiée à celles</w:t>
      </w:r>
      <w:r w:rsidRPr="00442EE5">
        <w:rPr>
          <w:lang w:val="fr-CA"/>
        </w:rPr>
        <w:noBreakHyphen/>
        <w:t>ci et a été incitée à poursuivre les travaux et à fournir les services additionnels nécessaires pour permettre aux défendeurs de mener à bien le projet.</w:t>
      </w:r>
    </w:p>
    <w:p w:rsidR="00AF6697" w:rsidRPr="00442EE5" w:rsidRDefault="00AF6697" w:rsidP="00AF6697">
      <w:pPr>
        <w:pStyle w:val="Citation-AltC"/>
        <w:spacing w:after="240"/>
        <w:ind w:left="1168" w:hanging="1168"/>
        <w:contextualSpacing w:val="0"/>
        <w:rPr>
          <w:lang w:val="fr-CA"/>
        </w:rPr>
      </w:pPr>
      <w:r w:rsidRPr="00442EE5">
        <w:rPr>
          <w:lang w:val="fr-CA"/>
        </w:rPr>
        <w:tab/>
      </w:r>
      <w:r w:rsidRPr="00442EE5">
        <w:rPr>
          <w:lang w:val="fr-CA"/>
        </w:rPr>
        <w:tab/>
        <w:t xml:space="preserve">En conséquence directe des déclarations frauduleuses de David Barer, Intermountain Rigging a subi un préjudice dont le montant devra être déterminé au procès. </w:t>
      </w:r>
    </w:p>
    <w:p w:rsidR="00AF6697" w:rsidRPr="00442EE5" w:rsidRDefault="00AF6697" w:rsidP="00AF6697">
      <w:pPr>
        <w:pStyle w:val="Citation-AltC"/>
        <w:spacing w:after="240"/>
        <w:ind w:left="1168" w:hanging="1168"/>
        <w:contextualSpacing w:val="0"/>
        <w:rPr>
          <w:lang w:val="fr-CA"/>
        </w:rPr>
      </w:pPr>
      <w:r w:rsidRPr="00442EE5">
        <w:rPr>
          <w:lang w:val="fr-CA"/>
        </w:rPr>
        <w:tab/>
      </w:r>
      <w:r w:rsidRPr="00442EE5">
        <w:rPr>
          <w:lang w:val="fr-CA"/>
        </w:rPr>
        <w:tab/>
        <w:t>PAR CONSÉQUENT, Intermountain Rigging réclame des dommages</w:t>
      </w:r>
      <w:r w:rsidRPr="00442EE5">
        <w:rPr>
          <w:lang w:val="fr-CA"/>
        </w:rPr>
        <w:noBreakHyphen/>
        <w:t>intérêts ainsi que le prononcé d</w:t>
      </w:r>
      <w:r>
        <w:rPr>
          <w:lang w:val="fr-CA"/>
        </w:rPr>
        <w:t>’</w:t>
      </w:r>
      <w:r w:rsidRPr="00442EE5">
        <w:rPr>
          <w:lang w:val="fr-CA"/>
        </w:rPr>
        <w:t>un jugement contre le défendeur David Barer, tel qu</w:t>
      </w:r>
      <w:r>
        <w:rPr>
          <w:lang w:val="fr-CA"/>
        </w:rPr>
        <w:t>’</w:t>
      </w:r>
      <w:r w:rsidRPr="00442EE5">
        <w:rPr>
          <w:lang w:val="fr-CA"/>
        </w:rPr>
        <w:t>il est prévu ci</w:t>
      </w:r>
      <w:r w:rsidRPr="00442EE5">
        <w:rPr>
          <w:lang w:val="fr-CA"/>
        </w:rPr>
        <w:noBreakHyphen/>
        <w:t xml:space="preserve">après. </w:t>
      </w:r>
    </w:p>
    <w:p w:rsidR="00AF6697" w:rsidRPr="000E183B" w:rsidRDefault="00AF6697" w:rsidP="00864BFB">
      <w:pPr>
        <w:pStyle w:val="Citation-AltC"/>
        <w:tabs>
          <w:tab w:val="left" w:pos="0"/>
          <w:tab w:val="left" w:pos="270"/>
        </w:tabs>
        <w:ind w:left="0"/>
        <w:rPr>
          <w:lang w:val="fr-CA"/>
        </w:rPr>
      </w:pPr>
      <w:r w:rsidRPr="00442EE5">
        <w:rPr>
          <w:lang w:val="fr-CA"/>
        </w:rPr>
        <w:t>(par. 64</w:t>
      </w:r>
      <w:r w:rsidRPr="00442EE5">
        <w:rPr>
          <w:lang w:val="fr-CA"/>
        </w:rPr>
        <w:noBreakHyphen/>
        <w:t>68; voir aussi par. 4 et 30</w:t>
      </w:r>
      <w:r w:rsidRPr="00442EE5">
        <w:rPr>
          <w:lang w:val="fr-CA"/>
        </w:rPr>
        <w:noBreakHyphen/>
        <w:t>31</w:t>
      </w:r>
      <w:r w:rsidR="000E183B">
        <w:rPr>
          <w:lang w:val="fr-CA"/>
        </w:rPr>
        <w:t>.</w:t>
      </w:r>
      <w:r w:rsidRPr="00442EE5">
        <w:rPr>
          <w:lang w:val="fr-CA"/>
        </w:rPr>
        <w:t>)</w:t>
      </w:r>
    </w:p>
    <w:p w:rsidR="00AF6697" w:rsidRPr="00442EE5" w:rsidRDefault="00AF6697" w:rsidP="00AF6697">
      <w:pPr>
        <w:pStyle w:val="ParaNoNdepar-AltN"/>
        <w:rPr>
          <w:rFonts w:cs="Times New Roman"/>
          <w:lang w:val="fr-CA"/>
        </w:rPr>
      </w:pPr>
      <w:r w:rsidRPr="00442EE5">
        <w:rPr>
          <w:rFonts w:cs="Times New Roman"/>
          <w:lang w:val="fr-CA"/>
        </w:rPr>
        <w:t>Devant la Cour supérieure, l</w:t>
      </w:r>
      <w:r>
        <w:rPr>
          <w:rFonts w:cs="Times New Roman"/>
          <w:lang w:val="fr-CA"/>
        </w:rPr>
        <w:t>’</w:t>
      </w:r>
      <w:r w:rsidRPr="00442EE5">
        <w:rPr>
          <w:rFonts w:cs="Times New Roman"/>
          <w:lang w:val="fr-CA"/>
        </w:rPr>
        <w:t>appelant a soutenu que le tribunal de l</w:t>
      </w:r>
      <w:r>
        <w:rPr>
          <w:rFonts w:cs="Times New Roman"/>
          <w:lang w:val="fr-CA"/>
        </w:rPr>
        <w:t>’</w:t>
      </w:r>
      <w:r w:rsidRPr="00442EE5">
        <w:rPr>
          <w:rFonts w:cs="Times New Roman"/>
          <w:lang w:val="fr-CA"/>
        </w:rPr>
        <w:t>Utah n</w:t>
      </w:r>
      <w:r>
        <w:rPr>
          <w:rFonts w:cs="Times New Roman"/>
          <w:lang w:val="fr-CA"/>
        </w:rPr>
        <w:t>’</w:t>
      </w:r>
      <w:r w:rsidRPr="00442EE5">
        <w:rPr>
          <w:rFonts w:cs="Times New Roman"/>
          <w:lang w:val="fr-CA"/>
        </w:rPr>
        <w:t>avait pas compétence pour rendre un jugement contre lui. L</w:t>
      </w:r>
      <w:r>
        <w:rPr>
          <w:rFonts w:cs="Times New Roman"/>
          <w:lang w:val="fr-CA"/>
        </w:rPr>
        <w:t>’</w:t>
      </w:r>
      <w:r w:rsidRPr="00442EE5">
        <w:rPr>
          <w:rFonts w:cs="Times New Roman"/>
          <w:lang w:val="fr-CA"/>
        </w:rPr>
        <w:t xml:space="preserve">intimée a joint à sa demande des éléments de preuve documentaire consistant essentiellement en des actes </w:t>
      </w:r>
      <w:r w:rsidRPr="00442EE5">
        <w:rPr>
          <w:rFonts w:cs="Times New Roman"/>
          <w:lang w:val="fr-CA"/>
        </w:rPr>
        <w:lastRenderedPageBreak/>
        <w:t>de procédure et des décisions tirées de l</w:t>
      </w:r>
      <w:r>
        <w:rPr>
          <w:rFonts w:cs="Times New Roman"/>
          <w:lang w:val="fr-CA"/>
        </w:rPr>
        <w:t>’</w:t>
      </w:r>
      <w:r w:rsidRPr="00442EE5">
        <w:rPr>
          <w:rFonts w:cs="Times New Roman"/>
          <w:lang w:val="fr-CA"/>
        </w:rPr>
        <w:t>instance en Utah. Plus particulièrement, elle a déposé le jugement définitif modifié, la deuxième poursuite modifiée, la requête en irrecevabilité, le mémoire soumis par David Barer à l</w:t>
      </w:r>
      <w:r>
        <w:rPr>
          <w:rFonts w:cs="Times New Roman"/>
          <w:lang w:val="fr-CA"/>
        </w:rPr>
        <w:t>’</w:t>
      </w:r>
      <w:r w:rsidRPr="00442EE5">
        <w:rPr>
          <w:rFonts w:cs="Times New Roman"/>
          <w:lang w:val="fr-CA"/>
        </w:rPr>
        <w:t>appui de la requête en irrecevabilité, et la décision et l</w:t>
      </w:r>
      <w:r>
        <w:rPr>
          <w:rFonts w:cs="Times New Roman"/>
          <w:lang w:val="fr-CA"/>
        </w:rPr>
        <w:t>’</w:t>
      </w:r>
      <w:r w:rsidRPr="00442EE5">
        <w:rPr>
          <w:rFonts w:cs="Times New Roman"/>
          <w:lang w:val="fr-CA"/>
        </w:rPr>
        <w:t>ordonnance rejetant la requête en irrecevabilité de M. Barer.</w:t>
      </w:r>
    </w:p>
    <w:p w:rsidR="00AF6697" w:rsidRPr="00442EE5" w:rsidRDefault="00AF6697" w:rsidP="00AF6697">
      <w:pPr>
        <w:pStyle w:val="ParaNoNdepar-AltN"/>
        <w:rPr>
          <w:rFonts w:eastAsia="Times New Roman" w:cs="Times New Roman"/>
          <w:lang w:val="fr-CA"/>
        </w:rPr>
      </w:pPr>
      <w:r w:rsidRPr="00442EE5">
        <w:rPr>
          <w:rFonts w:cs="Times New Roman"/>
          <w:lang w:val="fr-CA"/>
        </w:rPr>
        <w:t>L</w:t>
      </w:r>
      <w:r>
        <w:rPr>
          <w:rFonts w:cs="Times New Roman"/>
          <w:lang w:val="fr-CA"/>
        </w:rPr>
        <w:t>’</w:t>
      </w:r>
      <w:r w:rsidRPr="00442EE5">
        <w:rPr>
          <w:rFonts w:cs="Times New Roman"/>
          <w:lang w:val="fr-CA"/>
        </w:rPr>
        <w:t>intimée a prétendu que ces documents contenaient suffisamment d</w:t>
      </w:r>
      <w:r>
        <w:rPr>
          <w:rFonts w:cs="Times New Roman"/>
          <w:lang w:val="fr-CA"/>
        </w:rPr>
        <w:t>’</w:t>
      </w:r>
      <w:r w:rsidRPr="00442EE5">
        <w:rPr>
          <w:rFonts w:cs="Times New Roman"/>
          <w:lang w:val="fr-CA"/>
        </w:rPr>
        <w:t>éléments de preuve pour établir la compétence du tribunal de l</w:t>
      </w:r>
      <w:r>
        <w:rPr>
          <w:rFonts w:cs="Times New Roman"/>
          <w:lang w:val="fr-CA"/>
        </w:rPr>
        <w:t>’</w:t>
      </w:r>
      <w:r w:rsidRPr="00442EE5">
        <w:rPr>
          <w:rFonts w:cs="Times New Roman"/>
          <w:lang w:val="fr-CA"/>
        </w:rPr>
        <w:t>Utah. Je ne suis pas de cet avis. L</w:t>
      </w:r>
      <w:r>
        <w:rPr>
          <w:rFonts w:cs="Times New Roman"/>
          <w:lang w:val="fr-CA"/>
        </w:rPr>
        <w:t>’</w:t>
      </w:r>
      <w:r w:rsidRPr="00442EE5">
        <w:rPr>
          <w:rFonts w:cs="Times New Roman"/>
          <w:lang w:val="fr-CA"/>
        </w:rPr>
        <w:t>intimée a effectivement produit des éléments de preuve tendant à démontrer que l</w:t>
      </w:r>
      <w:r>
        <w:rPr>
          <w:rFonts w:cs="Times New Roman"/>
          <w:lang w:val="fr-CA"/>
        </w:rPr>
        <w:t>’</w:t>
      </w:r>
      <w:r w:rsidRPr="00442EE5">
        <w:rPr>
          <w:rFonts w:cs="Times New Roman"/>
          <w:lang w:val="fr-CA"/>
        </w:rPr>
        <w:t>appelant avait reçu signification de la poursuite (motifs de la C.S., par. 4) et que la décision étrangère était définitive. Toutefois, aucun des documents présentés n</w:t>
      </w:r>
      <w:r>
        <w:rPr>
          <w:rFonts w:cs="Times New Roman"/>
          <w:lang w:val="fr-CA"/>
        </w:rPr>
        <w:t>’</w:t>
      </w:r>
      <w:r w:rsidRPr="00442EE5">
        <w:rPr>
          <w:rFonts w:cs="Times New Roman"/>
          <w:lang w:val="fr-CA"/>
        </w:rPr>
        <w:t>offrait le moindre élément de preuve tendant à démontrer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une faute commise par l</w:t>
      </w:r>
      <w:r>
        <w:rPr>
          <w:rFonts w:cs="Times New Roman"/>
          <w:lang w:val="fr-CA"/>
        </w:rPr>
        <w:t>’</w:t>
      </w:r>
      <w:r w:rsidRPr="00442EE5">
        <w:rPr>
          <w:rFonts w:cs="Times New Roman"/>
          <w:lang w:val="fr-CA"/>
        </w:rPr>
        <w:t>appelant en Utah ou d</w:t>
      </w:r>
      <w:r>
        <w:rPr>
          <w:rFonts w:cs="Times New Roman"/>
          <w:lang w:val="fr-CA"/>
        </w:rPr>
        <w:t>’</w:t>
      </w:r>
      <w:r w:rsidRPr="00442EE5">
        <w:rPr>
          <w:rFonts w:cs="Times New Roman"/>
          <w:lang w:val="fr-CA"/>
        </w:rPr>
        <w:t>une obligation contractuelle que l</w:t>
      </w:r>
      <w:r>
        <w:rPr>
          <w:rFonts w:cs="Times New Roman"/>
          <w:lang w:val="fr-CA"/>
        </w:rPr>
        <w:t>’</w:t>
      </w:r>
      <w:r w:rsidRPr="00442EE5">
        <w:rPr>
          <w:rFonts w:cs="Times New Roman"/>
          <w:lang w:val="fr-CA"/>
        </w:rPr>
        <w:t xml:space="preserve">appelant devait exécuter dans cet État. </w:t>
      </w:r>
    </w:p>
    <w:p w:rsidR="00AF6697" w:rsidRPr="00442EE5" w:rsidRDefault="00AF6697" w:rsidP="00AF6697">
      <w:pPr>
        <w:pStyle w:val="ParaNoNdepar-AltN"/>
        <w:rPr>
          <w:rFonts w:cs="Times New Roman"/>
          <w:lang w:val="fr-CA"/>
        </w:rPr>
      </w:pPr>
      <w:r w:rsidRPr="00442EE5">
        <w:rPr>
          <w:rFonts w:cs="Times New Roman"/>
          <w:lang w:val="fr-CA"/>
        </w:rPr>
        <w:t>Le professeur Emanuelli décrit de la façon suivante la force probante d</w:t>
      </w:r>
      <w:r>
        <w:rPr>
          <w:rFonts w:cs="Times New Roman"/>
          <w:lang w:val="fr-CA"/>
        </w:rPr>
        <w:t>’</w:t>
      </w:r>
      <w:r w:rsidRPr="00442EE5">
        <w:rPr>
          <w:rFonts w:cs="Times New Roman"/>
          <w:lang w:val="fr-CA"/>
        </w:rPr>
        <w:t xml:space="preserve">une décision étrangère devant les tribunaux québécois : </w:t>
      </w:r>
    </w:p>
    <w:p w:rsidR="00AF6697" w:rsidRPr="00442EE5" w:rsidRDefault="00AF6697" w:rsidP="00AF6697">
      <w:pPr>
        <w:pStyle w:val="Citation-AltC"/>
        <w:numPr>
          <w:ilvl w:val="0"/>
          <w:numId w:val="6"/>
        </w:numPr>
        <w:spacing w:after="240"/>
        <w:ind w:left="1525" w:hanging="357"/>
        <w:contextualSpacing w:val="0"/>
        <w:rPr>
          <w:u w:val="single"/>
          <w:lang w:val="fr-CA"/>
        </w:rPr>
      </w:pPr>
      <w:r w:rsidRPr="00442EE5">
        <w:rPr>
          <w:u w:val="single"/>
          <w:lang w:val="fr-CA"/>
        </w:rPr>
        <w:t>La décision étrangère est un moyen de preuve</w:t>
      </w:r>
      <w:r w:rsidRPr="00F6790C">
        <w:rPr>
          <w:u w:val="single"/>
          <w:lang w:val="fr-CA"/>
        </w:rPr>
        <w:t>.</w:t>
      </w:r>
      <w:r w:rsidRPr="00442EE5">
        <w:rPr>
          <w:lang w:val="fr-CA"/>
        </w:rPr>
        <w:t xml:space="preserve"> Il permet, par exemple, de prouver qu</w:t>
      </w:r>
      <w:r>
        <w:rPr>
          <w:lang w:val="fr-CA"/>
        </w:rPr>
        <w:t>’</w:t>
      </w:r>
      <w:r w:rsidRPr="00442EE5">
        <w:rPr>
          <w:lang w:val="fr-CA"/>
        </w:rPr>
        <w:t>un jugement de divorce a bien été prononcé à l</w:t>
      </w:r>
      <w:r>
        <w:rPr>
          <w:lang w:val="fr-CA"/>
        </w:rPr>
        <w:t>’</w:t>
      </w:r>
      <w:r w:rsidRPr="00442EE5">
        <w:rPr>
          <w:lang w:val="fr-CA"/>
        </w:rPr>
        <w:t>étranger, mettant fin à l</w:t>
      </w:r>
      <w:r>
        <w:rPr>
          <w:lang w:val="fr-CA"/>
        </w:rPr>
        <w:t>’</w:t>
      </w:r>
      <w:r w:rsidRPr="00442EE5">
        <w:rPr>
          <w:lang w:val="fr-CA"/>
        </w:rPr>
        <w:t>union entre les parties, même s</w:t>
      </w:r>
      <w:r>
        <w:rPr>
          <w:lang w:val="fr-CA"/>
        </w:rPr>
        <w:t>’</w:t>
      </w:r>
      <w:r w:rsidRPr="00442EE5">
        <w:rPr>
          <w:lang w:val="fr-CA"/>
        </w:rPr>
        <w:t xml:space="preserve">il est possible de contester la validité de ce divorce. </w:t>
      </w:r>
      <w:r w:rsidRPr="00442EE5">
        <w:rPr>
          <w:u w:val="single"/>
          <w:lang w:val="fr-CA"/>
        </w:rPr>
        <w:t>Ce jugement a été prononcé sur la base de certains motifs (adultère, cruauté mentale, etc.) constatés par le juge étranger. Le juge québécois doit tenir compte des constatations de fait du juge étranger. Il peut en tirer des informations</w:t>
      </w:r>
      <w:r w:rsidRPr="00F6790C">
        <w:rPr>
          <w:u w:val="single"/>
          <w:lang w:val="fr-CA"/>
        </w:rPr>
        <w:t>.</w:t>
      </w:r>
      <w:r w:rsidRPr="00442EE5">
        <w:rPr>
          <w:lang w:val="fr-CA"/>
        </w:rPr>
        <w:t xml:space="preserve"> [Je souligne; notes en bas de page omises.]</w:t>
      </w:r>
    </w:p>
    <w:p w:rsidR="00AF6697" w:rsidRPr="00442EE5" w:rsidRDefault="00AF6697" w:rsidP="00213F82">
      <w:pPr>
        <w:pStyle w:val="Citation-AltC"/>
        <w:tabs>
          <w:tab w:val="left" w:pos="0"/>
        </w:tabs>
        <w:ind w:left="0" w:hanging="1166"/>
        <w:rPr>
          <w:lang w:val="fr-CA"/>
        </w:rPr>
      </w:pPr>
      <w:r w:rsidRPr="00442EE5">
        <w:rPr>
          <w:lang w:val="fr-CA"/>
        </w:rPr>
        <w:tab/>
        <w:t xml:space="preserve">(C. Emanuelli, </w:t>
      </w:r>
      <w:r w:rsidRPr="00B37CCB">
        <w:rPr>
          <w:i/>
          <w:lang w:val="fr-CA"/>
        </w:rPr>
        <w:t>Droit international privé québécois</w:t>
      </w:r>
      <w:r w:rsidRPr="00442EE5">
        <w:rPr>
          <w:lang w:val="fr-CA"/>
        </w:rPr>
        <w:t xml:space="preserve"> (3</w:t>
      </w:r>
      <w:r w:rsidRPr="00442EE5">
        <w:rPr>
          <w:vertAlign w:val="superscript"/>
          <w:lang w:val="fr-CA"/>
        </w:rPr>
        <w:t>e</w:t>
      </w:r>
      <w:r w:rsidRPr="00442EE5">
        <w:rPr>
          <w:lang w:val="fr-CA"/>
        </w:rPr>
        <w:t> éd. 2011),</w:t>
      </w:r>
      <w:r w:rsidR="009801EC">
        <w:rPr>
          <w:lang w:val="fr-CA"/>
        </w:rPr>
        <w:t xml:space="preserve"> n</w:t>
      </w:r>
      <w:r w:rsidR="009801EC" w:rsidRPr="009801EC">
        <w:rPr>
          <w:vertAlign w:val="superscript"/>
          <w:lang w:val="fr-CA"/>
        </w:rPr>
        <w:t>o</w:t>
      </w:r>
      <w:r w:rsidRPr="00442EE5">
        <w:rPr>
          <w:lang w:val="fr-CA"/>
        </w:rPr>
        <w:t> 327)</w:t>
      </w:r>
    </w:p>
    <w:p w:rsidR="00AF6697" w:rsidRPr="00442EE5" w:rsidRDefault="00AF6697" w:rsidP="00AF6697">
      <w:pPr>
        <w:pStyle w:val="ParaNoNdepar-AltN"/>
        <w:rPr>
          <w:rFonts w:eastAsia="Times New Roman" w:cs="Times New Roman"/>
          <w:lang w:val="fr-CA"/>
        </w:rPr>
      </w:pPr>
      <w:r w:rsidRPr="00442EE5">
        <w:rPr>
          <w:rFonts w:eastAsia="Times New Roman" w:cs="Times New Roman"/>
          <w:lang w:val="fr-CA"/>
        </w:rPr>
        <w:lastRenderedPageBreak/>
        <w:t>En toute déférence, et contrairement au juge Blanchard, je ne crois pas que la deuxième poursuite modifiée, la décision et l</w:t>
      </w:r>
      <w:r>
        <w:rPr>
          <w:rFonts w:eastAsia="Times New Roman" w:cs="Times New Roman"/>
          <w:lang w:val="fr-CA"/>
        </w:rPr>
        <w:t>’</w:t>
      </w:r>
      <w:r w:rsidRPr="00442EE5">
        <w:rPr>
          <w:rFonts w:eastAsia="Times New Roman" w:cs="Times New Roman"/>
          <w:lang w:val="fr-CA"/>
        </w:rPr>
        <w:t>ordonnance rejetant la requête en irrecevabilité de M. Barer, le jugement définitif modifié, et les autres pièces qui ont été déposées au Québec renferment des éléments de preuve qui permettraient de reconnaître la compétence du tribunal de l</w:t>
      </w:r>
      <w:r>
        <w:rPr>
          <w:rFonts w:eastAsia="Times New Roman" w:cs="Times New Roman"/>
          <w:lang w:val="fr-CA"/>
        </w:rPr>
        <w:t>’</w:t>
      </w:r>
      <w:r w:rsidRPr="00442EE5">
        <w:rPr>
          <w:rFonts w:eastAsia="Times New Roman" w:cs="Times New Roman"/>
          <w:lang w:val="fr-CA"/>
        </w:rPr>
        <w:t>Utah. Les allégations relatives à la promesse de payer et à l</w:t>
      </w:r>
      <w:r>
        <w:rPr>
          <w:rFonts w:eastAsia="Times New Roman" w:cs="Times New Roman"/>
          <w:lang w:val="fr-CA"/>
        </w:rPr>
        <w:t>’</w:t>
      </w:r>
      <w:r w:rsidRPr="00442EE5">
        <w:rPr>
          <w:rFonts w:eastAsia="Times New Roman" w:cs="Times New Roman"/>
          <w:lang w:val="fr-CA"/>
        </w:rPr>
        <w:t>existence d</w:t>
      </w:r>
      <w:r>
        <w:rPr>
          <w:rFonts w:eastAsia="Times New Roman" w:cs="Times New Roman"/>
          <w:lang w:val="fr-CA"/>
        </w:rPr>
        <w:t>’</w:t>
      </w:r>
      <w:r w:rsidRPr="00442EE5">
        <w:rPr>
          <w:rFonts w:eastAsia="Times New Roman" w:cs="Times New Roman"/>
          <w:lang w:val="fr-CA"/>
        </w:rPr>
        <w:t>un alter ego</w:t>
      </w:r>
      <w:r w:rsidRPr="00442EE5">
        <w:rPr>
          <w:rFonts w:eastAsia="Times New Roman" w:cs="Times New Roman"/>
          <w:i/>
          <w:lang w:val="fr-CA"/>
        </w:rPr>
        <w:t xml:space="preserve"> </w:t>
      </w:r>
      <w:r w:rsidRPr="00442EE5">
        <w:rPr>
          <w:rFonts w:eastAsia="Times New Roman" w:cs="Times New Roman"/>
          <w:lang w:val="fr-CA"/>
        </w:rPr>
        <w:t>que l</w:t>
      </w:r>
      <w:r>
        <w:rPr>
          <w:rFonts w:eastAsia="Times New Roman" w:cs="Times New Roman"/>
          <w:lang w:val="fr-CA"/>
        </w:rPr>
        <w:t>’</w:t>
      </w:r>
      <w:r w:rsidRPr="00442EE5">
        <w:rPr>
          <w:rFonts w:eastAsia="Times New Roman" w:cs="Times New Roman"/>
          <w:lang w:val="fr-CA"/>
        </w:rPr>
        <w:t>on trouve dans la deuxième poursuite modifiée n</w:t>
      </w:r>
      <w:r>
        <w:rPr>
          <w:rFonts w:eastAsia="Times New Roman" w:cs="Times New Roman"/>
          <w:lang w:val="fr-CA"/>
        </w:rPr>
        <w:t>’</w:t>
      </w:r>
      <w:r w:rsidRPr="00442EE5">
        <w:rPr>
          <w:rFonts w:eastAsia="Times New Roman" w:cs="Times New Roman"/>
          <w:lang w:val="fr-CA"/>
        </w:rPr>
        <w:t>ont pas encore été prouvées devant un tribunal. En fait, l</w:t>
      </w:r>
      <w:r>
        <w:rPr>
          <w:rFonts w:eastAsia="Times New Roman" w:cs="Times New Roman"/>
          <w:lang w:val="fr-CA"/>
        </w:rPr>
        <w:t>’</w:t>
      </w:r>
      <w:r w:rsidRPr="00442EE5">
        <w:rPr>
          <w:rFonts w:eastAsia="Times New Roman" w:cs="Times New Roman"/>
          <w:lang w:val="fr-CA"/>
        </w:rPr>
        <w:t>appelant a expressément nié ces allégations et aucune preuve de la prétendue promesse de payer, de sa teneur ou de son acceptation n</w:t>
      </w:r>
      <w:r>
        <w:rPr>
          <w:rFonts w:eastAsia="Times New Roman" w:cs="Times New Roman"/>
          <w:lang w:val="fr-CA"/>
        </w:rPr>
        <w:t>’</w:t>
      </w:r>
      <w:r w:rsidRPr="00442EE5">
        <w:rPr>
          <w:rFonts w:eastAsia="Times New Roman" w:cs="Times New Roman"/>
          <w:lang w:val="fr-CA"/>
        </w:rPr>
        <w:t>a été présentée à quelque autre moment au cours de l</w:t>
      </w:r>
      <w:r>
        <w:rPr>
          <w:rFonts w:eastAsia="Times New Roman" w:cs="Times New Roman"/>
          <w:lang w:val="fr-CA"/>
        </w:rPr>
        <w:t>’</w:t>
      </w:r>
      <w:r w:rsidRPr="00442EE5">
        <w:rPr>
          <w:rFonts w:eastAsia="Times New Roman" w:cs="Times New Roman"/>
          <w:lang w:val="fr-CA"/>
        </w:rPr>
        <w:t>instance en Utah. Bien que les décisions du tribunal de l</w:t>
      </w:r>
      <w:r>
        <w:rPr>
          <w:rFonts w:eastAsia="Times New Roman" w:cs="Times New Roman"/>
          <w:lang w:val="fr-CA"/>
        </w:rPr>
        <w:t>’</w:t>
      </w:r>
      <w:r w:rsidRPr="00442EE5">
        <w:rPr>
          <w:rFonts w:eastAsia="Times New Roman" w:cs="Times New Roman"/>
          <w:lang w:val="fr-CA"/>
        </w:rPr>
        <w:t>Utah qui ont été produites en preuve constituent des actes semi</w:t>
      </w:r>
      <w:r w:rsidRPr="00442EE5">
        <w:rPr>
          <w:rFonts w:eastAsia="Times New Roman" w:cs="Times New Roman"/>
          <w:lang w:val="fr-CA"/>
        </w:rPr>
        <w:noBreakHyphen/>
        <w:t>authentiques qui font preuve de leur contenu en vertu de l</w:t>
      </w:r>
      <w:r>
        <w:rPr>
          <w:rFonts w:eastAsia="Times New Roman" w:cs="Times New Roman"/>
          <w:lang w:val="fr-CA"/>
        </w:rPr>
        <w:t>’</w:t>
      </w:r>
      <w:r w:rsidRPr="00442EE5">
        <w:rPr>
          <w:rFonts w:eastAsia="Times New Roman" w:cs="Times New Roman"/>
          <w:lang w:val="fr-CA"/>
        </w:rPr>
        <w:t xml:space="preserve">art. 2822 </w:t>
      </w:r>
      <w:r w:rsidRPr="00442EE5">
        <w:rPr>
          <w:rFonts w:eastAsia="Times New Roman" w:cs="Times New Roman"/>
          <w:i/>
          <w:lang w:val="fr-CA"/>
        </w:rPr>
        <w:t>C.c.Q.</w:t>
      </w:r>
      <w:r w:rsidRPr="00442EE5">
        <w:rPr>
          <w:rFonts w:eastAsia="Times New Roman" w:cs="Times New Roman"/>
          <w:lang w:val="fr-CA"/>
        </w:rPr>
        <w:t>, il s</w:t>
      </w:r>
      <w:r>
        <w:rPr>
          <w:rFonts w:eastAsia="Times New Roman" w:cs="Times New Roman"/>
          <w:lang w:val="fr-CA"/>
        </w:rPr>
        <w:t>’</w:t>
      </w:r>
      <w:r w:rsidRPr="00442EE5">
        <w:rPr>
          <w:rFonts w:eastAsia="Times New Roman" w:cs="Times New Roman"/>
          <w:lang w:val="fr-CA"/>
        </w:rPr>
        <w:t>agit de jugements rendus par défaut qui ne contiennent aucune conclusion de fait sur laquelle se fonder, dans le cadre de l</w:t>
      </w:r>
      <w:r>
        <w:rPr>
          <w:rFonts w:eastAsia="Times New Roman" w:cs="Times New Roman"/>
          <w:lang w:val="fr-CA"/>
        </w:rPr>
        <w:t>’</w:t>
      </w:r>
      <w:r w:rsidRPr="00442EE5">
        <w:rPr>
          <w:rFonts w:eastAsia="Times New Roman" w:cs="Times New Roman"/>
          <w:lang w:val="fr-CA"/>
        </w:rPr>
        <w:t>instance québécoise, pour conclure que l</w:t>
      </w:r>
      <w:r>
        <w:rPr>
          <w:rFonts w:eastAsia="Times New Roman" w:cs="Times New Roman"/>
          <w:lang w:val="fr-CA"/>
        </w:rPr>
        <w:t>’</w:t>
      </w:r>
      <w:r w:rsidRPr="00442EE5">
        <w:rPr>
          <w:rFonts w:eastAsia="Times New Roman" w:cs="Times New Roman"/>
          <w:lang w:val="fr-CA"/>
        </w:rPr>
        <w:t>autorité étrangère avait compétence.</w:t>
      </w:r>
    </w:p>
    <w:p w:rsidR="00AF6697" w:rsidRPr="00442EE5" w:rsidRDefault="00AF6697" w:rsidP="00AF6697">
      <w:pPr>
        <w:pStyle w:val="ParaNoNdepar-AltN"/>
        <w:rPr>
          <w:rFonts w:eastAsia="Times New Roman" w:cs="Times New Roman"/>
          <w:lang w:val="fr-CA"/>
        </w:rPr>
      </w:pPr>
      <w:r w:rsidRPr="00442EE5">
        <w:rPr>
          <w:rFonts w:eastAsia="Times New Roman" w:cs="Times New Roman"/>
          <w:lang w:val="fr-CA"/>
        </w:rPr>
        <w:t xml:space="preserve">Suivant le juge Blanchard, </w:t>
      </w:r>
      <w:r w:rsidRPr="00442EE5">
        <w:rPr>
          <w:rFonts w:cs="Times New Roman"/>
          <w:lang w:val="fr-CA"/>
        </w:rPr>
        <w:t>la preuve soumise au tribunal de l</w:t>
      </w:r>
      <w:r>
        <w:rPr>
          <w:rFonts w:cs="Times New Roman"/>
          <w:lang w:val="fr-CA"/>
        </w:rPr>
        <w:t>’</w:t>
      </w:r>
      <w:r w:rsidRPr="00442EE5">
        <w:rPr>
          <w:rFonts w:cs="Times New Roman"/>
          <w:lang w:val="fr-CA"/>
        </w:rPr>
        <w:t>Utah dans le contexte de la requête en irrecevabilité constituait [</w:t>
      </w:r>
      <w:r w:rsidRPr="00442EE5">
        <w:rPr>
          <w:rFonts w:cs="Times New Roman"/>
          <w:smallCaps/>
          <w:lang w:val="fr-CA"/>
        </w:rPr>
        <w:t>traduction</w:t>
      </w:r>
      <w:r w:rsidRPr="00442EE5">
        <w:rPr>
          <w:rFonts w:cs="Times New Roman"/>
          <w:lang w:val="fr-CA"/>
        </w:rPr>
        <w:t>] « une preuve suffisante en droit québécois que les conditions d</w:t>
      </w:r>
      <w:r>
        <w:rPr>
          <w:rFonts w:cs="Times New Roman"/>
          <w:lang w:val="fr-CA"/>
        </w:rPr>
        <w:t>’</w:t>
      </w:r>
      <w:r w:rsidRPr="00442EE5">
        <w:rPr>
          <w:rFonts w:cs="Times New Roman"/>
          <w:lang w:val="fr-CA"/>
        </w:rPr>
        <w:t>attribution de la compétence au tribunal de l</w:t>
      </w:r>
      <w:r>
        <w:rPr>
          <w:rFonts w:cs="Times New Roman"/>
          <w:lang w:val="fr-CA"/>
        </w:rPr>
        <w:t>’</w:t>
      </w:r>
      <w:r w:rsidRPr="00442EE5">
        <w:rPr>
          <w:rFonts w:cs="Times New Roman"/>
          <w:lang w:val="fr-CA"/>
        </w:rPr>
        <w:t>Utah à l</w:t>
      </w:r>
      <w:r>
        <w:rPr>
          <w:rFonts w:cs="Times New Roman"/>
          <w:lang w:val="fr-CA"/>
        </w:rPr>
        <w:t>’</w:t>
      </w:r>
      <w:r w:rsidRPr="00442EE5">
        <w:rPr>
          <w:rFonts w:cs="Times New Roman"/>
          <w:lang w:val="fr-CA"/>
        </w:rPr>
        <w:t xml:space="preserve">égard de M. Barer étaient remplies » (motifs de la C.S., par. 17). </w:t>
      </w:r>
      <w:r w:rsidRPr="00442EE5">
        <w:rPr>
          <w:rFonts w:eastAsia="Times New Roman" w:cs="Times New Roman"/>
          <w:lang w:val="fr-CA"/>
        </w:rPr>
        <w:t>Toutefois, comme il s</w:t>
      </w:r>
      <w:r>
        <w:rPr>
          <w:rFonts w:eastAsia="Times New Roman" w:cs="Times New Roman"/>
          <w:lang w:val="fr-CA"/>
        </w:rPr>
        <w:t>’</w:t>
      </w:r>
      <w:r w:rsidRPr="00442EE5">
        <w:rPr>
          <w:rFonts w:eastAsia="Times New Roman" w:cs="Times New Roman"/>
          <w:lang w:val="fr-CA"/>
        </w:rPr>
        <w:t>agissait d</w:t>
      </w:r>
      <w:r>
        <w:rPr>
          <w:rFonts w:eastAsia="Times New Roman" w:cs="Times New Roman"/>
          <w:lang w:val="fr-CA"/>
        </w:rPr>
        <w:t>’</w:t>
      </w:r>
      <w:r w:rsidRPr="00442EE5">
        <w:rPr>
          <w:rFonts w:eastAsia="Times New Roman" w:cs="Times New Roman"/>
          <w:lang w:val="fr-CA"/>
        </w:rPr>
        <w:t>une requête en irrecevabilité, les allégations ont simplement été tenues pour avérées. Là encore, la décision sur cette requête ne renferme aucune conclusion de fait susceptible d</w:t>
      </w:r>
      <w:r>
        <w:rPr>
          <w:rFonts w:eastAsia="Times New Roman" w:cs="Times New Roman"/>
          <w:lang w:val="fr-CA"/>
        </w:rPr>
        <w:t>’</w:t>
      </w:r>
      <w:r w:rsidRPr="00442EE5">
        <w:rPr>
          <w:rFonts w:eastAsia="Times New Roman" w:cs="Times New Roman"/>
          <w:lang w:val="fr-CA"/>
        </w:rPr>
        <w:t>étayer les allégations.</w:t>
      </w:r>
    </w:p>
    <w:p w:rsidR="00AF6697" w:rsidRPr="00442EE5" w:rsidRDefault="00AF6697" w:rsidP="00AF6697">
      <w:pPr>
        <w:pStyle w:val="ParaNoNdepar-AltN"/>
        <w:rPr>
          <w:rFonts w:eastAsia="Times New Roman" w:cs="Times New Roman"/>
          <w:lang w:val="fr-CA"/>
        </w:rPr>
      </w:pPr>
      <w:r w:rsidRPr="00442EE5">
        <w:rPr>
          <w:rFonts w:eastAsia="Times New Roman" w:cs="Times New Roman"/>
          <w:lang w:val="fr-CA"/>
        </w:rPr>
        <w:t xml:space="preserve">Dans son mémoire, </w:t>
      </w:r>
      <w:r w:rsidRPr="00442EE5">
        <w:rPr>
          <w:rFonts w:cs="Times New Roman"/>
          <w:lang w:val="fr-CA"/>
        </w:rPr>
        <w:t>l</w:t>
      </w:r>
      <w:r>
        <w:rPr>
          <w:rFonts w:cs="Times New Roman"/>
          <w:lang w:val="fr-CA"/>
        </w:rPr>
        <w:t>’</w:t>
      </w:r>
      <w:r w:rsidRPr="00442EE5">
        <w:rPr>
          <w:rFonts w:cs="Times New Roman"/>
          <w:lang w:val="fr-CA"/>
        </w:rPr>
        <w:t>intimée cite l</w:t>
      </w:r>
      <w:r>
        <w:rPr>
          <w:rFonts w:cs="Times New Roman"/>
          <w:lang w:val="fr-CA"/>
        </w:rPr>
        <w:t>’</w:t>
      </w:r>
      <w:r w:rsidRPr="00442EE5">
        <w:rPr>
          <w:rFonts w:cs="Times New Roman"/>
          <w:lang w:val="fr-CA"/>
        </w:rPr>
        <w:t>arrêt rendu par la Cour d</w:t>
      </w:r>
      <w:r>
        <w:rPr>
          <w:rFonts w:cs="Times New Roman"/>
          <w:lang w:val="fr-CA"/>
        </w:rPr>
        <w:t>’</w:t>
      </w:r>
      <w:r w:rsidRPr="00442EE5">
        <w:rPr>
          <w:rFonts w:cs="Times New Roman"/>
          <w:lang w:val="fr-CA"/>
        </w:rPr>
        <w:t>appel du Québec dans l</w:t>
      </w:r>
      <w:r>
        <w:rPr>
          <w:rFonts w:cs="Times New Roman"/>
          <w:lang w:val="fr-CA"/>
        </w:rPr>
        <w:t>’</w:t>
      </w:r>
      <w:r w:rsidRPr="00442EE5">
        <w:rPr>
          <w:rFonts w:cs="Times New Roman"/>
          <w:lang w:val="fr-CA"/>
        </w:rPr>
        <w:t xml:space="preserve">affaire </w:t>
      </w:r>
      <w:r w:rsidRPr="00442EE5">
        <w:rPr>
          <w:rFonts w:cs="Times New Roman"/>
          <w:i/>
          <w:lang w:val="fr-CA"/>
        </w:rPr>
        <w:t>Aboud c. Eplus Technology Inc</w:t>
      </w:r>
      <w:r w:rsidRPr="00442EE5">
        <w:rPr>
          <w:rFonts w:cs="Times New Roman"/>
          <w:lang w:val="fr-CA"/>
        </w:rPr>
        <w:t xml:space="preserve">., 2005 QCCA 2, comme « un bel </w:t>
      </w:r>
      <w:r w:rsidRPr="00442EE5">
        <w:rPr>
          <w:rFonts w:cs="Times New Roman"/>
          <w:lang w:val="fr-CA"/>
        </w:rPr>
        <w:lastRenderedPageBreak/>
        <w:t>exemple d</w:t>
      </w:r>
      <w:r>
        <w:rPr>
          <w:rFonts w:cs="Times New Roman"/>
          <w:lang w:val="fr-CA"/>
        </w:rPr>
        <w:t>’</w:t>
      </w:r>
      <w:r w:rsidRPr="00442EE5">
        <w:rPr>
          <w:rFonts w:cs="Times New Roman"/>
          <w:lang w:val="fr-CA"/>
        </w:rPr>
        <w:t>application des facteurs de rattachement d</w:t>
      </w:r>
      <w:r>
        <w:rPr>
          <w:rFonts w:cs="Times New Roman"/>
          <w:lang w:val="fr-CA"/>
        </w:rPr>
        <w:t>’</w:t>
      </w:r>
      <w:r w:rsidRPr="00442EE5">
        <w:rPr>
          <w:rFonts w:cs="Times New Roman"/>
          <w:lang w:val="fr-CA"/>
        </w:rPr>
        <w:t>un litige pour établir la compétence d</w:t>
      </w:r>
      <w:r>
        <w:rPr>
          <w:rFonts w:cs="Times New Roman"/>
          <w:lang w:val="fr-CA"/>
        </w:rPr>
        <w:t>’</w:t>
      </w:r>
      <w:r w:rsidRPr="00442EE5">
        <w:rPr>
          <w:rFonts w:cs="Times New Roman"/>
          <w:lang w:val="fr-CA"/>
        </w:rPr>
        <w:t>un tribunal étranger ». Dans cet arrêt, la Cour d</w:t>
      </w:r>
      <w:r>
        <w:rPr>
          <w:rFonts w:cs="Times New Roman"/>
          <w:lang w:val="fr-CA"/>
        </w:rPr>
        <w:t>’</w:t>
      </w:r>
      <w:r w:rsidRPr="00442EE5">
        <w:rPr>
          <w:rFonts w:cs="Times New Roman"/>
          <w:lang w:val="fr-CA"/>
        </w:rPr>
        <w:t>appel a estimé que les pièces produites au Québec, notamment les jugements étrangers, étaient suffisantes pour permettre de reconnaître la compétence de la Cour de district des États</w:t>
      </w:r>
      <w:r w:rsidRPr="00442EE5">
        <w:rPr>
          <w:rFonts w:cs="Times New Roman"/>
          <w:lang w:val="fr-CA"/>
        </w:rPr>
        <w:noBreakHyphen/>
        <w:t xml:space="preserve">Unis du district est de la Virginie en vertu </w:t>
      </w:r>
      <w:r w:rsidR="00B5585E">
        <w:rPr>
          <w:rFonts w:cs="Times New Roman"/>
          <w:lang w:val="fr-CA"/>
        </w:rPr>
        <w:t>du par.</w:t>
      </w:r>
      <w:r w:rsidRPr="00442EE5">
        <w:rPr>
          <w:rFonts w:cs="Times New Roman"/>
          <w:lang w:val="fr-CA"/>
        </w:rPr>
        <w:t xml:space="preserve"> 3168(3) </w:t>
      </w:r>
      <w:r w:rsidRPr="00442EE5">
        <w:rPr>
          <w:rFonts w:cs="Times New Roman"/>
          <w:i/>
          <w:lang w:val="fr-CA"/>
        </w:rPr>
        <w:t>C.c.Q.</w:t>
      </w:r>
      <w:r w:rsidRPr="00442EE5">
        <w:rPr>
          <w:rFonts w:cs="Times New Roman"/>
          <w:lang w:val="fr-CA"/>
        </w:rPr>
        <w:t xml:space="preserve"> (</w:t>
      </w:r>
      <w:r w:rsidRPr="00442EE5">
        <w:rPr>
          <w:rFonts w:cs="Times New Roman"/>
          <w:i/>
          <w:lang w:val="fr-CA"/>
        </w:rPr>
        <w:t>Aboud</w:t>
      </w:r>
      <w:r w:rsidRPr="00442EE5">
        <w:rPr>
          <w:rFonts w:cs="Times New Roman"/>
          <w:lang w:val="fr-CA"/>
        </w:rPr>
        <w:t>, par. 10</w:t>
      </w:r>
      <w:r w:rsidR="000E183B">
        <w:rPr>
          <w:rFonts w:cs="Times New Roman"/>
          <w:lang w:val="fr-CA"/>
        </w:rPr>
        <w:t xml:space="preserve"> (CanLII)</w:t>
      </w:r>
      <w:r w:rsidRPr="00442EE5">
        <w:rPr>
          <w:rFonts w:cs="Times New Roman"/>
          <w:lang w:val="fr-CA"/>
        </w:rPr>
        <w:t>). Les autorités québécoises étaient toutefois appelées à reconnaître non pas un jugement par défaut, mais bien un jugement sur le fond, qui avait par ailleurs été confirmé en appel. En pareil cas, les autorités québécoises pouvaient fort bien examiner les conclusions de fait de ces deux décisions afin de reconnaître la compétence du tribunal étranger en vertu d</w:t>
      </w:r>
      <w:r>
        <w:rPr>
          <w:rFonts w:cs="Times New Roman"/>
          <w:lang w:val="fr-CA"/>
        </w:rPr>
        <w:t>’</w:t>
      </w:r>
      <w:r w:rsidRPr="00442EE5">
        <w:rPr>
          <w:rFonts w:cs="Times New Roman"/>
          <w:lang w:val="fr-CA"/>
        </w:rPr>
        <w:t>un des facteurs énoncés à l</w:t>
      </w:r>
      <w:r>
        <w:rPr>
          <w:rFonts w:cs="Times New Roman"/>
          <w:lang w:val="fr-CA"/>
        </w:rPr>
        <w:t>’</w:t>
      </w:r>
      <w:r w:rsidRPr="00442EE5">
        <w:rPr>
          <w:rFonts w:cs="Times New Roman"/>
          <w:lang w:val="fr-CA"/>
        </w:rPr>
        <w:t xml:space="preserve">art. 3168 </w:t>
      </w:r>
      <w:r w:rsidRPr="00442EE5">
        <w:rPr>
          <w:rFonts w:cs="Times New Roman"/>
          <w:i/>
          <w:lang w:val="fr-CA"/>
        </w:rPr>
        <w:t>C.c.Q</w:t>
      </w:r>
      <w:r w:rsidRPr="00442EE5">
        <w:rPr>
          <w:rFonts w:cs="Times New Roman"/>
          <w:lang w:val="fr-CA"/>
        </w:rPr>
        <w:t>. De plus, dans l</w:t>
      </w:r>
      <w:r>
        <w:rPr>
          <w:rFonts w:cs="Times New Roman"/>
          <w:lang w:val="fr-CA"/>
        </w:rPr>
        <w:t>’</w:t>
      </w:r>
      <w:r w:rsidRPr="00442EE5">
        <w:rPr>
          <w:rFonts w:cs="Times New Roman"/>
          <w:lang w:val="fr-CA"/>
        </w:rPr>
        <w:t xml:space="preserve">affaire </w:t>
      </w:r>
      <w:r w:rsidRPr="00442EE5">
        <w:rPr>
          <w:rFonts w:cs="Times New Roman"/>
          <w:i/>
          <w:lang w:val="fr-CA"/>
        </w:rPr>
        <w:t>Aboud</w:t>
      </w:r>
      <w:r w:rsidRPr="00442EE5">
        <w:rPr>
          <w:rFonts w:cs="Times New Roman"/>
          <w:lang w:val="fr-CA"/>
        </w:rPr>
        <w:t>, la requérante ne s</w:t>
      </w:r>
      <w:r>
        <w:rPr>
          <w:rFonts w:cs="Times New Roman"/>
          <w:lang w:val="fr-CA"/>
        </w:rPr>
        <w:t>’</w:t>
      </w:r>
      <w:r w:rsidRPr="00442EE5">
        <w:rPr>
          <w:rFonts w:cs="Times New Roman"/>
          <w:lang w:val="fr-CA"/>
        </w:rPr>
        <w:t>était pas contentée de produire les décisions étrangères, mais elle avait aussi présenté d</w:t>
      </w:r>
      <w:r>
        <w:rPr>
          <w:rFonts w:cs="Times New Roman"/>
          <w:lang w:val="fr-CA"/>
        </w:rPr>
        <w:t>’</w:t>
      </w:r>
      <w:r w:rsidRPr="00442EE5">
        <w:rPr>
          <w:rFonts w:cs="Times New Roman"/>
          <w:lang w:val="fr-CA"/>
        </w:rPr>
        <w:t>autres éléments de preuve, en faisant notamment entendre un témoin qui avait expliqué que le contrat avait été formé dans l</w:t>
      </w:r>
      <w:r>
        <w:rPr>
          <w:rFonts w:cs="Times New Roman"/>
          <w:lang w:val="fr-CA"/>
        </w:rPr>
        <w:t>’</w:t>
      </w:r>
      <w:r w:rsidRPr="00442EE5">
        <w:rPr>
          <w:rFonts w:cs="Times New Roman"/>
          <w:lang w:val="fr-CA"/>
        </w:rPr>
        <w:t>État de Virginie (</w:t>
      </w:r>
      <w:r w:rsidRPr="00442EE5">
        <w:rPr>
          <w:rFonts w:cs="Times New Roman"/>
          <w:i/>
          <w:lang w:val="fr-CA"/>
        </w:rPr>
        <w:t>Eplus Technology Inc. c. Aboud</w:t>
      </w:r>
      <w:r w:rsidRPr="00442EE5">
        <w:rPr>
          <w:rFonts w:cs="Times New Roman"/>
          <w:lang w:val="fr-CA"/>
        </w:rPr>
        <w:t>, [2003] AZ</w:t>
      </w:r>
      <w:r w:rsidRPr="00442EE5">
        <w:rPr>
          <w:rFonts w:cs="Times New Roman"/>
          <w:lang w:val="fr-CA"/>
        </w:rPr>
        <w:noBreakHyphen/>
        <w:t>50402261 (C.S. Qc), par. 13</w:t>
      </w:r>
      <w:r w:rsidRPr="00442EE5">
        <w:rPr>
          <w:rFonts w:cs="Times New Roman"/>
          <w:lang w:val="fr-CA"/>
        </w:rPr>
        <w:noBreakHyphen/>
        <w:t>15).</w:t>
      </w:r>
    </w:p>
    <w:p w:rsidR="00AF6697" w:rsidRPr="00442EE5" w:rsidRDefault="00AF6697" w:rsidP="00AF6697">
      <w:pPr>
        <w:pStyle w:val="ParaNoNdepar-AltN"/>
        <w:rPr>
          <w:rFonts w:cs="Times New Roman"/>
          <w:lang w:val="fr-CA"/>
        </w:rPr>
      </w:pPr>
      <w:r w:rsidRPr="00442EE5">
        <w:rPr>
          <w:rFonts w:cs="Times New Roman"/>
          <w:lang w:val="fr-CA"/>
        </w:rPr>
        <w:t>En l</w:t>
      </w:r>
      <w:r>
        <w:rPr>
          <w:rFonts w:cs="Times New Roman"/>
          <w:lang w:val="fr-CA"/>
        </w:rPr>
        <w:t>’</w:t>
      </w:r>
      <w:r w:rsidRPr="00442EE5">
        <w:rPr>
          <w:rFonts w:cs="Times New Roman"/>
          <w:lang w:val="fr-CA"/>
        </w:rPr>
        <w:t>espèce, par contre,</w:t>
      </w:r>
      <w:r w:rsidRPr="00442EE5">
        <w:rPr>
          <w:rFonts w:eastAsia="Times New Roman" w:cs="Times New Roman"/>
          <w:szCs w:val="24"/>
          <w:lang w:val="fr-CA" w:eastAsia="en-CA"/>
        </w:rPr>
        <w:t xml:space="preserve"> </w:t>
      </w:r>
      <w:r w:rsidRPr="00442EE5">
        <w:rPr>
          <w:rFonts w:cs="Times New Roman"/>
          <w:lang w:val="fr-CA"/>
        </w:rPr>
        <w:t>il n</w:t>
      </w:r>
      <w:r>
        <w:rPr>
          <w:rFonts w:cs="Times New Roman"/>
          <w:lang w:val="fr-CA"/>
        </w:rPr>
        <w:t>’</w:t>
      </w:r>
      <w:r w:rsidRPr="00442EE5">
        <w:rPr>
          <w:rFonts w:cs="Times New Roman"/>
          <w:lang w:val="fr-CA"/>
        </w:rPr>
        <w:t>y avait aucune preuve qui pouvait permettre à la Cour supérieure de reconnaître la compétence du tribunal de l</w:t>
      </w:r>
      <w:r>
        <w:rPr>
          <w:rFonts w:cs="Times New Roman"/>
          <w:lang w:val="fr-CA"/>
        </w:rPr>
        <w:t>’</w:t>
      </w:r>
      <w:r w:rsidRPr="00442EE5">
        <w:rPr>
          <w:rFonts w:cs="Times New Roman"/>
          <w:lang w:val="fr-CA"/>
        </w:rPr>
        <w:t xml:space="preserve">Utah en vertu des </w:t>
      </w:r>
      <w:r w:rsidR="00B5585E">
        <w:rPr>
          <w:rFonts w:cs="Times New Roman"/>
          <w:lang w:val="fr-CA"/>
        </w:rPr>
        <w:t>par.</w:t>
      </w:r>
      <w:r w:rsidRPr="00442EE5">
        <w:rPr>
          <w:rFonts w:cs="Times New Roman"/>
          <w:lang w:val="fr-CA"/>
        </w:rPr>
        <w:t xml:space="preserve"> 3168(3) ou (4) </w:t>
      </w:r>
      <w:r w:rsidRPr="00442EE5">
        <w:rPr>
          <w:rFonts w:cs="Times New Roman"/>
          <w:i/>
          <w:lang w:val="fr-CA"/>
        </w:rPr>
        <w:t>C.c.Q</w:t>
      </w:r>
      <w:r w:rsidRPr="00442EE5">
        <w:rPr>
          <w:rFonts w:cs="Times New Roman"/>
          <w:lang w:val="fr-CA"/>
        </w:rPr>
        <w:t>. Pour cette raison, je suis d</w:t>
      </w:r>
      <w:r>
        <w:rPr>
          <w:rFonts w:cs="Times New Roman"/>
          <w:lang w:val="fr-CA"/>
        </w:rPr>
        <w:t>’</w:t>
      </w:r>
      <w:r w:rsidRPr="00442EE5">
        <w:rPr>
          <w:rFonts w:cs="Times New Roman"/>
          <w:lang w:val="fr-CA"/>
        </w:rPr>
        <w:t>avis de conclure que le juge Blanchard a commis une erreur manifeste et dominante (motifs de la C.S., par. 20). Il ne s</w:t>
      </w:r>
      <w:r>
        <w:rPr>
          <w:rFonts w:cs="Times New Roman"/>
          <w:lang w:val="fr-CA"/>
        </w:rPr>
        <w:t>’</w:t>
      </w:r>
      <w:r w:rsidRPr="00442EE5">
        <w:rPr>
          <w:rFonts w:cs="Times New Roman"/>
          <w:lang w:val="fr-CA"/>
        </w:rPr>
        <w:t>ensuit pas pour autant que les décisions rendues par défaut ne seront jamais reconnues au Québec ou que les tribunaux québécois devraient tenir un nouveau procès. Toutefois, pour que soit reconnu un jugement rendu dans une action personnelle à caractère patrimonial, il faut que le demandeur produise suffisamment d</w:t>
      </w:r>
      <w:r>
        <w:rPr>
          <w:rFonts w:cs="Times New Roman"/>
          <w:lang w:val="fr-CA"/>
        </w:rPr>
        <w:t>’</w:t>
      </w:r>
      <w:r w:rsidRPr="00442EE5">
        <w:rPr>
          <w:rFonts w:cs="Times New Roman"/>
          <w:lang w:val="fr-CA"/>
        </w:rPr>
        <w:t>éléments de preuve pour prouver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 des facteurs énumérés à l</w:t>
      </w:r>
      <w:r>
        <w:rPr>
          <w:rFonts w:cs="Times New Roman"/>
          <w:lang w:val="fr-CA"/>
        </w:rPr>
        <w:t>’</w:t>
      </w:r>
      <w:r w:rsidRPr="00442EE5">
        <w:rPr>
          <w:rFonts w:cs="Times New Roman"/>
          <w:lang w:val="fr-CA"/>
        </w:rPr>
        <w:t xml:space="preserve">art. 3168 </w:t>
      </w:r>
      <w:r w:rsidRPr="00442EE5">
        <w:rPr>
          <w:rFonts w:cs="Times New Roman"/>
          <w:i/>
          <w:lang w:val="fr-CA"/>
        </w:rPr>
        <w:t>C.c.Q.</w:t>
      </w:r>
    </w:p>
    <w:p w:rsidR="00AF6697" w:rsidRPr="00442EE5" w:rsidRDefault="00AF6697" w:rsidP="00856BD2">
      <w:pPr>
        <w:pStyle w:val="Title2LevelTitre2Niveau"/>
        <w:rPr>
          <w:rFonts w:cs="Times New Roman"/>
          <w:i w:val="0"/>
          <w:lang w:val="fr-CA"/>
        </w:rPr>
      </w:pPr>
      <w:r w:rsidRPr="00442EE5">
        <w:rPr>
          <w:rFonts w:cs="Times New Roman"/>
          <w:lang w:val="fr-CA"/>
        </w:rPr>
        <w:lastRenderedPageBreak/>
        <w:t xml:space="preserve">Le voile corporatif sous le régime </w:t>
      </w:r>
      <w:r w:rsidR="00B5585E">
        <w:rPr>
          <w:rFonts w:cs="Times New Roman"/>
          <w:lang w:val="fr-CA"/>
        </w:rPr>
        <w:t>du par.</w:t>
      </w:r>
      <w:r w:rsidRPr="00442EE5">
        <w:rPr>
          <w:rFonts w:cs="Times New Roman"/>
          <w:lang w:val="fr-CA"/>
        </w:rPr>
        <w:t> 3168(4) C.c.Q.</w:t>
      </w:r>
    </w:p>
    <w:p w:rsidR="00AF6697" w:rsidRPr="00442EE5" w:rsidRDefault="00AF6697" w:rsidP="00AF6697">
      <w:pPr>
        <w:pStyle w:val="ParaNoNdepar-AltN"/>
        <w:rPr>
          <w:rFonts w:cs="Times New Roman"/>
          <w:lang w:val="fr-CA"/>
        </w:rPr>
      </w:pPr>
      <w:r w:rsidRPr="00442EE5">
        <w:rPr>
          <w:rFonts w:cs="Times New Roman"/>
          <w:lang w:val="fr-CA"/>
        </w:rPr>
        <w:t>J</w:t>
      </w:r>
      <w:r>
        <w:rPr>
          <w:rFonts w:cs="Times New Roman"/>
          <w:lang w:val="fr-CA"/>
        </w:rPr>
        <w:t>’</w:t>
      </w:r>
      <w:r w:rsidRPr="00442EE5">
        <w:rPr>
          <w:rFonts w:cs="Times New Roman"/>
          <w:lang w:val="fr-CA"/>
        </w:rPr>
        <w:t>ajouterais que l</w:t>
      </w:r>
      <w:r>
        <w:rPr>
          <w:rFonts w:cs="Times New Roman"/>
          <w:lang w:val="fr-CA"/>
        </w:rPr>
        <w:t>’</w:t>
      </w:r>
      <w:r w:rsidRPr="00442EE5">
        <w:rPr>
          <w:rFonts w:cs="Times New Roman"/>
          <w:lang w:val="fr-CA"/>
        </w:rPr>
        <w:t xml:space="preserve">intimée ne pouvait invoquer </w:t>
      </w:r>
      <w:r w:rsidR="00B5585E">
        <w:rPr>
          <w:rFonts w:cs="Times New Roman"/>
          <w:lang w:val="fr-CA"/>
        </w:rPr>
        <w:t>le par.</w:t>
      </w:r>
      <w:r w:rsidRPr="00442EE5">
        <w:rPr>
          <w:rFonts w:cs="Times New Roman"/>
          <w:lang w:val="fr-CA"/>
        </w:rPr>
        <w:t xml:space="preserve"> 3168(4) </w:t>
      </w:r>
      <w:r w:rsidRPr="00442EE5">
        <w:rPr>
          <w:rFonts w:cs="Times New Roman"/>
          <w:i/>
          <w:lang w:val="fr-CA"/>
        </w:rPr>
        <w:t>C.c.Q.</w:t>
      </w:r>
      <w:r w:rsidRPr="00442EE5">
        <w:rPr>
          <w:rFonts w:cs="Times New Roman"/>
          <w:lang w:val="fr-CA"/>
        </w:rPr>
        <w:t xml:space="preserve"> — qui s</w:t>
      </w:r>
      <w:r>
        <w:rPr>
          <w:rFonts w:cs="Times New Roman"/>
          <w:lang w:val="fr-CA"/>
        </w:rPr>
        <w:t>’</w:t>
      </w:r>
      <w:r w:rsidRPr="00442EE5">
        <w:rPr>
          <w:rFonts w:cs="Times New Roman"/>
          <w:lang w:val="fr-CA"/>
        </w:rPr>
        <w:t>applique dans les cas où « les obligations découlant d</w:t>
      </w:r>
      <w:r>
        <w:rPr>
          <w:rFonts w:cs="Times New Roman"/>
          <w:lang w:val="fr-CA"/>
        </w:rPr>
        <w:t>’</w:t>
      </w:r>
      <w:r w:rsidRPr="00442EE5">
        <w:rPr>
          <w:rFonts w:cs="Times New Roman"/>
          <w:lang w:val="fr-CA"/>
        </w:rPr>
        <w:t>un contrat devaient [. . .] être exécutées [dans l</w:t>
      </w:r>
      <w:r>
        <w:rPr>
          <w:rFonts w:cs="Times New Roman"/>
          <w:lang w:val="fr-CA"/>
        </w:rPr>
        <w:t>’</w:t>
      </w:r>
      <w:r w:rsidRPr="00442EE5">
        <w:rPr>
          <w:rFonts w:cs="Times New Roman"/>
          <w:lang w:val="fr-CA"/>
        </w:rPr>
        <w:t>État où la décision a été rendue] » — en l</w:t>
      </w:r>
      <w:r>
        <w:rPr>
          <w:rFonts w:cs="Times New Roman"/>
          <w:lang w:val="fr-CA"/>
        </w:rPr>
        <w:t>’</w:t>
      </w:r>
      <w:r w:rsidRPr="00442EE5">
        <w:rPr>
          <w:rFonts w:cs="Times New Roman"/>
          <w:lang w:val="fr-CA"/>
        </w:rPr>
        <w:t>absence d</w:t>
      </w:r>
      <w:r>
        <w:rPr>
          <w:rFonts w:cs="Times New Roman"/>
          <w:lang w:val="fr-CA"/>
        </w:rPr>
        <w:t>’</w:t>
      </w:r>
      <w:r w:rsidRPr="00442EE5">
        <w:rPr>
          <w:rFonts w:cs="Times New Roman"/>
          <w:lang w:val="fr-CA"/>
        </w:rPr>
        <w:t xml:space="preserve">éléments de preuve qui auraient permis de percer le voile corporatif sous le régime du droit québécois (voir </w:t>
      </w:r>
      <w:r w:rsidRPr="00442EE5">
        <w:rPr>
          <w:rFonts w:cs="Times New Roman"/>
          <w:i/>
          <w:lang w:val="fr-CA"/>
        </w:rPr>
        <w:t>Zimmermann inc. c. Barer</w:t>
      </w:r>
      <w:r w:rsidRPr="00442EE5">
        <w:rPr>
          <w:rFonts w:cs="Times New Roman"/>
          <w:lang w:val="fr-CA"/>
        </w:rPr>
        <w:t>, 2016 QCCA 260, par. 22 (CanLII)). Cette conclusion me semble inévitable étant donné que M. Barer n</w:t>
      </w:r>
      <w:r>
        <w:rPr>
          <w:rFonts w:cs="Times New Roman"/>
          <w:lang w:val="fr-CA"/>
        </w:rPr>
        <w:t>’</w:t>
      </w:r>
      <w:r w:rsidRPr="00442EE5">
        <w:rPr>
          <w:rFonts w:cs="Times New Roman"/>
          <w:lang w:val="fr-CA"/>
        </w:rPr>
        <w:t>est pas lui</w:t>
      </w:r>
      <w:r w:rsidRPr="00442EE5">
        <w:rPr>
          <w:rFonts w:cs="Times New Roman"/>
          <w:lang w:val="fr-CA"/>
        </w:rPr>
        <w:noBreakHyphen/>
        <w:t>même partie au contrat en cause.</w:t>
      </w:r>
    </w:p>
    <w:p w:rsidR="00AF6697" w:rsidRPr="00442EE5" w:rsidRDefault="00B5585E" w:rsidP="00AF6697">
      <w:pPr>
        <w:pStyle w:val="ParaNoNdepar-AltN"/>
        <w:rPr>
          <w:rFonts w:cs="Times New Roman"/>
          <w:lang w:val="fr-CA"/>
        </w:rPr>
      </w:pPr>
      <w:r>
        <w:rPr>
          <w:rFonts w:cs="Times New Roman"/>
          <w:lang w:val="fr-CA"/>
        </w:rPr>
        <w:t>Le paragraphe</w:t>
      </w:r>
      <w:r w:rsidR="00AF6697" w:rsidRPr="00442EE5">
        <w:rPr>
          <w:rFonts w:cs="Times New Roman"/>
          <w:lang w:val="fr-CA"/>
        </w:rPr>
        <w:t xml:space="preserve"> 3168(4) </w:t>
      </w:r>
      <w:r w:rsidR="00AF6697" w:rsidRPr="00442EE5">
        <w:rPr>
          <w:rFonts w:cs="Times New Roman"/>
          <w:i/>
          <w:lang w:val="fr-CA"/>
        </w:rPr>
        <w:t>C.c.Q.</w:t>
      </w:r>
      <w:r w:rsidR="00AF6697" w:rsidRPr="00442EE5">
        <w:rPr>
          <w:rFonts w:cs="Times New Roman"/>
          <w:lang w:val="fr-CA"/>
        </w:rPr>
        <w:t xml:space="preserve"> ne peut être invoqué pour établir la compétence à l</w:t>
      </w:r>
      <w:r w:rsidR="00AF6697">
        <w:rPr>
          <w:rFonts w:cs="Times New Roman"/>
          <w:lang w:val="fr-CA"/>
        </w:rPr>
        <w:t>’</w:t>
      </w:r>
      <w:r w:rsidR="00AF6697" w:rsidRPr="00442EE5">
        <w:rPr>
          <w:rFonts w:cs="Times New Roman"/>
          <w:lang w:val="fr-CA"/>
        </w:rPr>
        <w:t>égard de toute personne liée de près ou de loin à un contrat. L</w:t>
      </w:r>
      <w:r w:rsidR="00AF6697">
        <w:rPr>
          <w:rFonts w:cs="Times New Roman"/>
          <w:lang w:val="fr-CA"/>
        </w:rPr>
        <w:t>’</w:t>
      </w:r>
      <w:r w:rsidR="00AF6697" w:rsidRPr="00442EE5">
        <w:rPr>
          <w:rFonts w:cs="Times New Roman"/>
          <w:lang w:val="fr-CA"/>
        </w:rPr>
        <w:t>action doit être fondée sur « les obligations découlant d</w:t>
      </w:r>
      <w:r w:rsidR="00AF6697">
        <w:rPr>
          <w:rFonts w:cs="Times New Roman"/>
          <w:lang w:val="fr-CA"/>
        </w:rPr>
        <w:t>’</w:t>
      </w:r>
      <w:r w:rsidR="00AF6697" w:rsidRPr="00442EE5">
        <w:rPr>
          <w:rFonts w:cs="Times New Roman"/>
          <w:lang w:val="fr-CA"/>
        </w:rPr>
        <w:t>un contrat », ce qui signifie que le demandeur poursuit une partie contractante qui n</w:t>
      </w:r>
      <w:r w:rsidR="00AF6697">
        <w:rPr>
          <w:rFonts w:cs="Times New Roman"/>
          <w:lang w:val="fr-CA"/>
        </w:rPr>
        <w:t>’</w:t>
      </w:r>
      <w:r w:rsidR="00AF6697" w:rsidRPr="00442EE5">
        <w:rPr>
          <w:rFonts w:cs="Times New Roman"/>
          <w:lang w:val="fr-CA"/>
        </w:rPr>
        <w:t>a pas respecté ses obligations contractuelles. En conséquence, et contrairement à ce que suggère</w:t>
      </w:r>
      <w:r w:rsidR="00CA7E74">
        <w:rPr>
          <w:rFonts w:cs="Times New Roman"/>
          <w:lang w:val="fr-CA"/>
        </w:rPr>
        <w:t xml:space="preserve"> mon collègue le juge Brown (</w:t>
      </w:r>
      <w:r w:rsidR="00AF6697" w:rsidRPr="00442EE5">
        <w:rPr>
          <w:rFonts w:cs="Times New Roman"/>
          <w:lang w:val="fr-CA"/>
        </w:rPr>
        <w:t xml:space="preserve">par. 99), </w:t>
      </w:r>
      <w:r>
        <w:rPr>
          <w:rFonts w:cs="Times New Roman"/>
          <w:lang w:val="fr-CA"/>
        </w:rPr>
        <w:t>le par.</w:t>
      </w:r>
      <w:r w:rsidR="00AF6697" w:rsidRPr="00442EE5">
        <w:rPr>
          <w:rFonts w:cs="Times New Roman"/>
          <w:lang w:val="fr-CA"/>
        </w:rPr>
        <w:t> 3168(4)</w:t>
      </w:r>
      <w:r w:rsidR="00AF6697" w:rsidRPr="00442EE5">
        <w:rPr>
          <w:rFonts w:cs="Times New Roman"/>
          <w:i/>
          <w:lang w:val="fr-CA"/>
        </w:rPr>
        <w:t xml:space="preserve"> C.c.Q</w:t>
      </w:r>
      <w:r w:rsidR="00AF6697" w:rsidRPr="00442EE5">
        <w:rPr>
          <w:rFonts w:cs="Times New Roman"/>
          <w:lang w:val="fr-CA"/>
        </w:rPr>
        <w:t>. exige la présence d</w:t>
      </w:r>
      <w:r w:rsidR="00AF6697">
        <w:rPr>
          <w:rFonts w:cs="Times New Roman"/>
          <w:lang w:val="fr-CA"/>
        </w:rPr>
        <w:t>’</w:t>
      </w:r>
      <w:r w:rsidR="00AF6697" w:rsidRPr="00442EE5">
        <w:rPr>
          <w:rFonts w:cs="Times New Roman"/>
          <w:lang w:val="fr-CA"/>
        </w:rPr>
        <w:t>un lien non seulement avec l</w:t>
      </w:r>
      <w:r w:rsidR="00AF6697">
        <w:rPr>
          <w:rFonts w:cs="Times New Roman"/>
          <w:lang w:val="fr-CA"/>
        </w:rPr>
        <w:t>’</w:t>
      </w:r>
      <w:r w:rsidR="00AF6697" w:rsidRPr="00442EE5">
        <w:rPr>
          <w:rFonts w:cs="Times New Roman"/>
          <w:lang w:val="fr-CA"/>
        </w:rPr>
        <w:t>objet du litige (c.</w:t>
      </w:r>
      <w:r w:rsidR="00AF6697" w:rsidRPr="00442EE5">
        <w:rPr>
          <w:rFonts w:cs="Times New Roman"/>
          <w:lang w:val="fr-CA"/>
        </w:rPr>
        <w:noBreakHyphen/>
        <w:t>à</w:t>
      </w:r>
      <w:r w:rsidR="00AF6697" w:rsidRPr="00442EE5">
        <w:rPr>
          <w:rFonts w:cs="Times New Roman"/>
          <w:lang w:val="fr-CA"/>
        </w:rPr>
        <w:noBreakHyphen/>
        <w:t>d. le contrat), mais aussi avec le défendeur (c.</w:t>
      </w:r>
      <w:r w:rsidR="00AF6697" w:rsidRPr="00442EE5">
        <w:rPr>
          <w:rFonts w:cs="Times New Roman"/>
          <w:lang w:val="fr-CA"/>
        </w:rPr>
        <w:noBreakHyphen/>
        <w:t>à</w:t>
      </w:r>
      <w:r w:rsidR="00AF6697" w:rsidRPr="00442EE5">
        <w:rPr>
          <w:rFonts w:cs="Times New Roman"/>
          <w:lang w:val="fr-CA"/>
        </w:rPr>
        <w:noBreakHyphen/>
        <w:t>d. la personne responsable des obligations contractuelles). Conclure autrement rendrait ce facteur de rattachement indéterminé et vague, de sorte qu</w:t>
      </w:r>
      <w:r w:rsidR="00AF6697">
        <w:rPr>
          <w:rFonts w:cs="Times New Roman"/>
          <w:lang w:val="fr-CA"/>
        </w:rPr>
        <w:t>’</w:t>
      </w:r>
      <w:r w:rsidR="00AF6697" w:rsidRPr="00442EE5">
        <w:rPr>
          <w:rFonts w:cs="Times New Roman"/>
          <w:lang w:val="fr-CA"/>
        </w:rPr>
        <w:t>il deviendrait difficile pour certaines parties au litige — par exemple, les actionnaires, les administrateurs et les employés d</w:t>
      </w:r>
      <w:r w:rsidR="00AF6697">
        <w:rPr>
          <w:rFonts w:cs="Times New Roman"/>
          <w:lang w:val="fr-CA"/>
        </w:rPr>
        <w:t>’</w:t>
      </w:r>
      <w:r w:rsidR="00AF6697" w:rsidRPr="00442EE5">
        <w:rPr>
          <w:rFonts w:cs="Times New Roman"/>
          <w:lang w:val="fr-CA"/>
        </w:rPr>
        <w:t>une société qui exécute des obligations contractuelles dans un État étranger — de prédire avec une certitude raisonnable si une décision étrangère rendue contre eux pourra être reconnue au Québec, ce qui irait à l</w:t>
      </w:r>
      <w:r w:rsidR="00AF6697">
        <w:rPr>
          <w:rFonts w:cs="Times New Roman"/>
          <w:lang w:val="fr-CA"/>
        </w:rPr>
        <w:t>’</w:t>
      </w:r>
      <w:r w:rsidR="00AF6697" w:rsidRPr="00442EE5">
        <w:rPr>
          <w:rFonts w:cs="Times New Roman"/>
          <w:lang w:val="fr-CA"/>
        </w:rPr>
        <w:t>encontre de l</w:t>
      </w:r>
      <w:r w:rsidR="00AF6697">
        <w:rPr>
          <w:rFonts w:cs="Times New Roman"/>
          <w:lang w:val="fr-CA"/>
        </w:rPr>
        <w:t>’</w:t>
      </w:r>
      <w:r w:rsidR="00AF6697" w:rsidRPr="00442EE5">
        <w:rPr>
          <w:rFonts w:cs="Times New Roman"/>
          <w:lang w:val="fr-CA"/>
        </w:rPr>
        <w:t>objet même de l</w:t>
      </w:r>
      <w:r w:rsidR="00AF6697">
        <w:rPr>
          <w:rFonts w:cs="Times New Roman"/>
          <w:lang w:val="fr-CA"/>
        </w:rPr>
        <w:t>’</w:t>
      </w:r>
      <w:r w:rsidR="00AF6697" w:rsidRPr="00442EE5">
        <w:rPr>
          <w:rFonts w:cs="Times New Roman"/>
          <w:lang w:val="fr-CA"/>
        </w:rPr>
        <w:t>adoption de facteurs de rattachement clairs.</w:t>
      </w:r>
    </w:p>
    <w:p w:rsidR="00AF6697" w:rsidRPr="00442EE5" w:rsidRDefault="00AF6697" w:rsidP="00AF6697">
      <w:pPr>
        <w:pStyle w:val="ParaNoNdepar-AltN"/>
        <w:rPr>
          <w:rFonts w:cs="Times New Roman"/>
          <w:lang w:val="fr-CA"/>
        </w:rPr>
      </w:pPr>
      <w:r w:rsidRPr="00442EE5">
        <w:rPr>
          <w:rFonts w:cs="Times New Roman"/>
          <w:lang w:val="fr-CA"/>
        </w:rPr>
        <w:lastRenderedPageBreak/>
        <w:t>À cet égard, je ne suis pas d</w:t>
      </w:r>
      <w:r>
        <w:rPr>
          <w:rFonts w:cs="Times New Roman"/>
          <w:lang w:val="fr-CA"/>
        </w:rPr>
        <w:t>’</w:t>
      </w:r>
      <w:r w:rsidRPr="00442EE5">
        <w:rPr>
          <w:rFonts w:cs="Times New Roman"/>
          <w:lang w:val="fr-CA"/>
        </w:rPr>
        <w:t>accord avec mon collègue le juge Brown (par. 105</w:t>
      </w:r>
      <w:r w:rsidRPr="00442EE5">
        <w:rPr>
          <w:rFonts w:cs="Times New Roman"/>
          <w:lang w:val="fr-CA"/>
        </w:rPr>
        <w:noBreakHyphen/>
        <w:t>106) pour dire que l</w:t>
      </w:r>
      <w:r>
        <w:rPr>
          <w:rFonts w:cs="Times New Roman"/>
          <w:lang w:val="fr-CA"/>
        </w:rPr>
        <w:t>’</w:t>
      </w:r>
      <w:r w:rsidRPr="00442EE5">
        <w:rPr>
          <w:rFonts w:cs="Times New Roman"/>
          <w:lang w:val="fr-CA"/>
        </w:rPr>
        <w:t xml:space="preserve">arrêt de common law </w:t>
      </w:r>
      <w:r w:rsidRPr="00442EE5">
        <w:rPr>
          <w:rFonts w:cs="Times New Roman"/>
          <w:i/>
          <w:lang w:val="fr-CA"/>
        </w:rPr>
        <w:t>Lapointe Rosenstein Marchand Melançon S.E.N.C.R.L. c. Cassels Brock &amp; Blackwell LLP</w:t>
      </w:r>
      <w:r w:rsidRPr="00442EE5">
        <w:rPr>
          <w:rFonts w:cs="Times New Roman"/>
          <w:lang w:val="fr-CA"/>
        </w:rPr>
        <w:t>, 2016 CSC 30, [2016] 1 R.C.S. 851, est pertinent pour l</w:t>
      </w:r>
      <w:r>
        <w:rPr>
          <w:rFonts w:cs="Times New Roman"/>
          <w:lang w:val="fr-CA"/>
        </w:rPr>
        <w:t>’</w:t>
      </w:r>
      <w:r w:rsidRPr="00442EE5">
        <w:rPr>
          <w:rFonts w:cs="Times New Roman"/>
          <w:lang w:val="fr-CA"/>
        </w:rPr>
        <w:t xml:space="preserve">interprétation </w:t>
      </w:r>
      <w:r w:rsidR="00B5585E">
        <w:rPr>
          <w:rFonts w:cs="Times New Roman"/>
          <w:lang w:val="fr-CA"/>
        </w:rPr>
        <w:t>du par.</w:t>
      </w:r>
      <w:r w:rsidRPr="00442EE5">
        <w:rPr>
          <w:rFonts w:cs="Times New Roman"/>
          <w:lang w:val="fr-CA"/>
        </w:rPr>
        <w:t xml:space="preserve"> 3168(4) </w:t>
      </w:r>
      <w:r w:rsidRPr="00442EE5">
        <w:rPr>
          <w:rFonts w:cs="Times New Roman"/>
          <w:i/>
          <w:lang w:val="fr-CA"/>
        </w:rPr>
        <w:t>C.c.Q</w:t>
      </w:r>
      <w:r w:rsidRPr="00442EE5">
        <w:rPr>
          <w:rFonts w:cs="Times New Roman"/>
          <w:lang w:val="fr-CA"/>
        </w:rPr>
        <w:t xml:space="preserve">. Dans cet arrêt, les juges majoritaires ont estimé que, dans les actions en </w:t>
      </w:r>
      <w:r w:rsidRPr="00442EE5">
        <w:rPr>
          <w:rFonts w:cs="Times New Roman"/>
          <w:i/>
          <w:lang w:val="fr-CA"/>
        </w:rPr>
        <w:t>responsabilité délictuelle</w:t>
      </w:r>
      <w:r w:rsidRPr="00442EE5">
        <w:rPr>
          <w:rFonts w:cs="Times New Roman"/>
          <w:lang w:val="fr-CA"/>
        </w:rPr>
        <w:t>, le tribunal peut se déclarer compétent à l</w:t>
      </w:r>
      <w:r>
        <w:rPr>
          <w:rFonts w:cs="Times New Roman"/>
          <w:lang w:val="fr-CA"/>
        </w:rPr>
        <w:t>’</w:t>
      </w:r>
      <w:r w:rsidRPr="00442EE5">
        <w:rPr>
          <w:rFonts w:cs="Times New Roman"/>
          <w:lang w:val="fr-CA"/>
        </w:rPr>
        <w:t>égard d</w:t>
      </w:r>
      <w:r>
        <w:rPr>
          <w:rFonts w:cs="Times New Roman"/>
          <w:lang w:val="fr-CA"/>
        </w:rPr>
        <w:t>’</w:t>
      </w:r>
      <w:r w:rsidRPr="00442EE5">
        <w:rPr>
          <w:rFonts w:cs="Times New Roman"/>
          <w:lang w:val="fr-CA"/>
        </w:rPr>
        <w:t>un litige « si un contrat lié au litige a été conclu dans la province », même si le défendeur n</w:t>
      </w:r>
      <w:r>
        <w:rPr>
          <w:rFonts w:cs="Times New Roman"/>
          <w:lang w:val="fr-CA"/>
        </w:rPr>
        <w:t>’</w:t>
      </w:r>
      <w:r w:rsidRPr="00442EE5">
        <w:rPr>
          <w:rFonts w:cs="Times New Roman"/>
          <w:lang w:val="fr-CA"/>
        </w:rPr>
        <w:t xml:space="preserve">était pas partie au contrat (par. 44). Le texte du </w:t>
      </w:r>
      <w:r w:rsidRPr="00442EE5">
        <w:rPr>
          <w:rFonts w:cs="Times New Roman"/>
          <w:i/>
          <w:lang w:val="fr-CA"/>
        </w:rPr>
        <w:t xml:space="preserve">C.c.Q. </w:t>
      </w:r>
      <w:r w:rsidRPr="00442EE5">
        <w:rPr>
          <w:rFonts w:cs="Times New Roman"/>
          <w:lang w:val="fr-CA"/>
        </w:rPr>
        <w:t>est plus restrictif et ne conduit pas à une telle interprétation. Si l</w:t>
      </w:r>
      <w:r>
        <w:rPr>
          <w:rFonts w:cs="Times New Roman"/>
          <w:lang w:val="fr-CA"/>
        </w:rPr>
        <w:t>’</w:t>
      </w:r>
      <w:r w:rsidRPr="00442EE5">
        <w:rPr>
          <w:rFonts w:cs="Times New Roman"/>
          <w:lang w:val="fr-CA"/>
        </w:rPr>
        <w:t>action est de nature extracontractuelle — l</w:t>
      </w:r>
      <w:r>
        <w:rPr>
          <w:rFonts w:cs="Times New Roman"/>
          <w:lang w:val="fr-CA"/>
        </w:rPr>
        <w:t>’</w:t>
      </w:r>
      <w:r w:rsidRPr="00442EE5">
        <w:rPr>
          <w:rFonts w:cs="Times New Roman"/>
          <w:lang w:val="fr-CA"/>
        </w:rPr>
        <w:t>équivalent en droit civil de l</w:t>
      </w:r>
      <w:r>
        <w:rPr>
          <w:rFonts w:cs="Times New Roman"/>
          <w:lang w:val="fr-CA"/>
        </w:rPr>
        <w:t>’</w:t>
      </w:r>
      <w:r w:rsidRPr="00442EE5">
        <w:rPr>
          <w:rFonts w:cs="Times New Roman"/>
          <w:lang w:val="fr-CA"/>
        </w:rPr>
        <w:t xml:space="preserve">action en responsabilité délictuelle —, le demandeur doit invoquer </w:t>
      </w:r>
      <w:r w:rsidR="00B5585E">
        <w:rPr>
          <w:rFonts w:cs="Times New Roman"/>
          <w:lang w:val="fr-CA"/>
        </w:rPr>
        <w:t>le par.</w:t>
      </w:r>
      <w:r w:rsidRPr="00442EE5">
        <w:rPr>
          <w:rFonts w:cs="Times New Roman"/>
          <w:lang w:val="fr-CA"/>
        </w:rPr>
        <w:t xml:space="preserve"> 3168(3) </w:t>
      </w:r>
      <w:r w:rsidRPr="00442EE5">
        <w:rPr>
          <w:rFonts w:cs="Times New Roman"/>
          <w:i/>
          <w:lang w:val="fr-CA"/>
        </w:rPr>
        <w:t>C.c.Q.</w:t>
      </w:r>
      <w:r w:rsidRPr="00442EE5">
        <w:rPr>
          <w:rFonts w:cs="Times New Roman"/>
          <w:lang w:val="fr-CA"/>
        </w:rPr>
        <w:t>, qui vise les cas où il est question d</w:t>
      </w:r>
      <w:r>
        <w:rPr>
          <w:rFonts w:cs="Times New Roman"/>
          <w:lang w:val="fr-CA"/>
        </w:rPr>
        <w:t>’</w:t>
      </w:r>
      <w:r w:rsidRPr="00442EE5">
        <w:rPr>
          <w:rFonts w:cs="Times New Roman"/>
          <w:lang w:val="fr-CA"/>
        </w:rPr>
        <w:t>un préjudice résultant d</w:t>
      </w:r>
      <w:r>
        <w:rPr>
          <w:rFonts w:cs="Times New Roman"/>
          <w:lang w:val="fr-CA"/>
        </w:rPr>
        <w:t>’</w:t>
      </w:r>
      <w:r w:rsidRPr="00442EE5">
        <w:rPr>
          <w:rFonts w:cs="Times New Roman"/>
          <w:lang w:val="fr-CA"/>
        </w:rPr>
        <w:t>une faute. Toute autre interprétation estomperait la distinction entre les deux facteurs de rattachement.</w:t>
      </w:r>
    </w:p>
    <w:p w:rsidR="00AF6697" w:rsidRPr="00442EE5" w:rsidRDefault="00AF6697" w:rsidP="00AF6697">
      <w:pPr>
        <w:pStyle w:val="ParaNoNdepar-AltN"/>
        <w:rPr>
          <w:rFonts w:cs="Times New Roman"/>
          <w:lang w:val="fr-CA"/>
        </w:rPr>
      </w:pPr>
      <w:r w:rsidRPr="00442EE5">
        <w:rPr>
          <w:rFonts w:eastAsia="Times New Roman" w:cs="Times New Roman"/>
          <w:lang w:val="fr-CA"/>
        </w:rPr>
        <w:t>Par souci de précision, j</w:t>
      </w:r>
      <w:r>
        <w:rPr>
          <w:rFonts w:eastAsia="Times New Roman" w:cs="Times New Roman"/>
          <w:lang w:val="fr-CA"/>
        </w:rPr>
        <w:t>’</w:t>
      </w:r>
      <w:r w:rsidRPr="00442EE5">
        <w:rPr>
          <w:rFonts w:eastAsia="Times New Roman" w:cs="Times New Roman"/>
          <w:lang w:val="fr-CA"/>
        </w:rPr>
        <w:t>ajouterais que, lorsque le défendeur n</w:t>
      </w:r>
      <w:r>
        <w:rPr>
          <w:rFonts w:eastAsia="Times New Roman" w:cs="Times New Roman"/>
          <w:lang w:val="fr-CA"/>
        </w:rPr>
        <w:t>’</w:t>
      </w:r>
      <w:r w:rsidRPr="00442EE5">
        <w:rPr>
          <w:rFonts w:eastAsia="Times New Roman" w:cs="Times New Roman"/>
          <w:lang w:val="fr-CA"/>
        </w:rPr>
        <w:t xml:space="preserve">est pas partie au contrat en cause, le demandeur ne peut invoquer </w:t>
      </w:r>
      <w:r w:rsidR="00B5585E">
        <w:rPr>
          <w:rFonts w:eastAsia="Times New Roman" w:cs="Times New Roman"/>
          <w:lang w:val="fr-CA"/>
        </w:rPr>
        <w:t>le par.</w:t>
      </w:r>
      <w:r w:rsidRPr="00442EE5">
        <w:rPr>
          <w:rFonts w:eastAsia="Times New Roman" w:cs="Times New Roman"/>
          <w:lang w:val="fr-CA"/>
        </w:rPr>
        <w:t xml:space="preserve"> 3168(4) </w:t>
      </w:r>
      <w:r w:rsidRPr="00442EE5">
        <w:rPr>
          <w:rFonts w:eastAsia="Times New Roman" w:cs="Times New Roman"/>
          <w:i/>
          <w:lang w:val="fr-CA"/>
        </w:rPr>
        <w:t>C.c.Q.</w:t>
      </w:r>
      <w:r w:rsidRPr="00442EE5">
        <w:rPr>
          <w:rFonts w:eastAsia="Times New Roman" w:cs="Times New Roman"/>
          <w:lang w:val="fr-CA"/>
        </w:rPr>
        <w:t>, à moins qu</w:t>
      </w:r>
      <w:r>
        <w:rPr>
          <w:rFonts w:eastAsia="Times New Roman" w:cs="Times New Roman"/>
          <w:lang w:val="fr-CA"/>
        </w:rPr>
        <w:t>’</w:t>
      </w:r>
      <w:r w:rsidRPr="00442EE5">
        <w:rPr>
          <w:rFonts w:eastAsia="Times New Roman" w:cs="Times New Roman"/>
          <w:lang w:val="fr-CA"/>
        </w:rPr>
        <w:t>il ne soit démontré que le défendeur est par ailleurs responsable personnellement des obligations contractuelles en vertu du droit québécois. En pratique, il ne suffirait donc pas de démontrer que Barer Engineering Company of America (« BEC ») était l</w:t>
      </w:r>
      <w:r>
        <w:rPr>
          <w:rFonts w:eastAsia="Times New Roman" w:cs="Times New Roman"/>
          <w:lang w:val="fr-CA"/>
        </w:rPr>
        <w:t>’</w:t>
      </w:r>
      <w:r w:rsidRPr="00442EE5">
        <w:rPr>
          <w:rFonts w:eastAsia="Times New Roman" w:cs="Times New Roman"/>
          <w:lang w:val="fr-CA"/>
        </w:rPr>
        <w:t>alter ego de M. Barer. L</w:t>
      </w:r>
      <w:r>
        <w:rPr>
          <w:rFonts w:eastAsia="Times New Roman" w:cs="Times New Roman"/>
          <w:lang w:val="fr-CA"/>
        </w:rPr>
        <w:t>’</w:t>
      </w:r>
      <w:r w:rsidRPr="00442EE5">
        <w:rPr>
          <w:rFonts w:eastAsia="Times New Roman" w:cs="Times New Roman"/>
          <w:lang w:val="fr-CA"/>
        </w:rPr>
        <w:t>intimée devrait également présenter une preuve établissant que M. Barer a invoqué la personnalité juridique de BEC « pour masquer la fraude, l</w:t>
      </w:r>
      <w:r>
        <w:rPr>
          <w:rFonts w:eastAsia="Times New Roman" w:cs="Times New Roman"/>
          <w:lang w:val="fr-CA"/>
        </w:rPr>
        <w:t>’</w:t>
      </w:r>
      <w:r w:rsidRPr="00442EE5">
        <w:rPr>
          <w:rFonts w:eastAsia="Times New Roman" w:cs="Times New Roman"/>
          <w:lang w:val="fr-CA"/>
        </w:rPr>
        <w:t>abus de droit ou une contravention à une règle intéressant l</w:t>
      </w:r>
      <w:r>
        <w:rPr>
          <w:rFonts w:eastAsia="Times New Roman" w:cs="Times New Roman"/>
          <w:lang w:val="fr-CA"/>
        </w:rPr>
        <w:t>’</w:t>
      </w:r>
      <w:r w:rsidRPr="00442EE5">
        <w:rPr>
          <w:rFonts w:eastAsia="Times New Roman" w:cs="Times New Roman"/>
          <w:lang w:val="fr-CA"/>
        </w:rPr>
        <w:t>ordre public »</w:t>
      </w:r>
      <w:r w:rsidRPr="00442EE5">
        <w:rPr>
          <w:rFonts w:cs="Times New Roman"/>
          <w:lang w:val="fr-CA"/>
        </w:rPr>
        <w:t xml:space="preserve"> au sens de l</w:t>
      </w:r>
      <w:r>
        <w:rPr>
          <w:rFonts w:cs="Times New Roman"/>
          <w:lang w:val="fr-CA"/>
        </w:rPr>
        <w:t>’</w:t>
      </w:r>
      <w:r w:rsidRPr="00442EE5">
        <w:rPr>
          <w:rFonts w:cs="Times New Roman"/>
          <w:lang w:val="fr-CA"/>
        </w:rPr>
        <w:t xml:space="preserve">art. 317 </w:t>
      </w:r>
      <w:r w:rsidRPr="00442EE5">
        <w:rPr>
          <w:rFonts w:cs="Times New Roman"/>
          <w:i/>
          <w:lang w:val="fr-CA"/>
        </w:rPr>
        <w:t xml:space="preserve">C.c.Q. </w:t>
      </w:r>
      <w:r w:rsidRPr="00442EE5">
        <w:rPr>
          <w:rFonts w:cs="Times New Roman"/>
          <w:lang w:val="fr-CA"/>
        </w:rPr>
        <w:t xml:space="preserve">(voir, p. ex., </w:t>
      </w:r>
      <w:r w:rsidRPr="00442EE5">
        <w:rPr>
          <w:rFonts w:cs="Times New Roman"/>
          <w:i/>
          <w:lang w:val="fr-CA"/>
        </w:rPr>
        <w:t>Domaine de l</w:t>
      </w:r>
      <w:r>
        <w:rPr>
          <w:rFonts w:cs="Times New Roman"/>
          <w:i/>
          <w:lang w:val="fr-CA"/>
        </w:rPr>
        <w:t>’</w:t>
      </w:r>
      <w:r w:rsidRPr="00442EE5">
        <w:rPr>
          <w:rFonts w:cs="Times New Roman"/>
          <w:i/>
          <w:lang w:val="fr-CA"/>
        </w:rPr>
        <w:t>Orée des bois La Plaine inc. c. Garon</w:t>
      </w:r>
      <w:r w:rsidRPr="00442EE5">
        <w:rPr>
          <w:rFonts w:cs="Times New Roman"/>
          <w:lang w:val="fr-CA"/>
        </w:rPr>
        <w:t xml:space="preserve">, 2012 QCCA 269, par. 9 (CanLII); </w:t>
      </w:r>
      <w:r w:rsidRPr="00442EE5">
        <w:rPr>
          <w:rFonts w:cs="Times New Roman"/>
          <w:i/>
          <w:lang w:val="fr-CA"/>
        </w:rPr>
        <w:t>Lanoue c. Brasserie Labatt ltée</w:t>
      </w:r>
      <w:r w:rsidRPr="00442EE5">
        <w:rPr>
          <w:rFonts w:cs="Times New Roman"/>
          <w:lang w:val="fr-CA"/>
        </w:rPr>
        <w:t>, 1999 CanLII 13784 (C.A. Qc), p. 9</w:t>
      </w:r>
      <w:r w:rsidRPr="00442EE5">
        <w:rPr>
          <w:rFonts w:cs="Times New Roman"/>
          <w:lang w:val="fr-CA"/>
        </w:rPr>
        <w:noBreakHyphen/>
        <w:t xml:space="preserve">12; </w:t>
      </w:r>
      <w:r w:rsidRPr="00442EE5">
        <w:rPr>
          <w:rFonts w:cs="Times New Roman"/>
          <w:i/>
          <w:lang w:val="fr-CA"/>
        </w:rPr>
        <w:t xml:space="preserve">Coutu c. Québec (Commission des droits de la </w:t>
      </w:r>
      <w:r w:rsidRPr="00442EE5">
        <w:rPr>
          <w:rFonts w:cs="Times New Roman"/>
          <w:i/>
          <w:lang w:val="fr-CA"/>
        </w:rPr>
        <w:lastRenderedPageBreak/>
        <w:t>personne)</w:t>
      </w:r>
      <w:r w:rsidRPr="00442EE5">
        <w:rPr>
          <w:rFonts w:cs="Times New Roman"/>
          <w:lang w:val="fr-CA"/>
        </w:rPr>
        <w:t>, 1998 CanLII 13100 (C.A. Qc), p. 14</w:t>
      </w:r>
      <w:r w:rsidRPr="00442EE5">
        <w:rPr>
          <w:rFonts w:cs="Times New Roman"/>
          <w:lang w:val="fr-CA"/>
        </w:rPr>
        <w:noBreakHyphen/>
        <w:t xml:space="preserve">18; P. Martel, </w:t>
      </w:r>
      <w:r w:rsidRPr="00442EE5">
        <w:rPr>
          <w:rFonts w:cs="Times New Roman"/>
          <w:i/>
          <w:lang w:val="fr-CA"/>
        </w:rPr>
        <w:t>L</w:t>
      </w:r>
      <w:r w:rsidR="00CA7E74">
        <w:rPr>
          <w:rFonts w:cs="Times New Roman"/>
          <w:i/>
          <w:lang w:val="fr-CA"/>
        </w:rPr>
        <w:t>a société par actions au Québec</w:t>
      </w:r>
      <w:r w:rsidR="004B0D17">
        <w:rPr>
          <w:rFonts w:cs="Times New Roman"/>
          <w:lang w:val="fr-CA"/>
        </w:rPr>
        <w:t>, vol. I</w:t>
      </w:r>
      <w:r w:rsidR="00B37CCB">
        <w:rPr>
          <w:rFonts w:cs="Times New Roman"/>
          <w:lang w:val="fr-CA"/>
        </w:rPr>
        <w:t xml:space="preserve">, </w:t>
      </w:r>
      <w:r w:rsidR="00B37CCB" w:rsidRPr="00B37CCB">
        <w:rPr>
          <w:rFonts w:cs="Times New Roman"/>
          <w:i/>
          <w:lang w:val="fr-CA"/>
        </w:rPr>
        <w:t>Les aspects juridiques</w:t>
      </w:r>
      <w:r w:rsidRPr="00B37CCB">
        <w:rPr>
          <w:rFonts w:cs="Times New Roman"/>
          <w:i/>
          <w:lang w:val="fr-CA"/>
        </w:rPr>
        <w:t xml:space="preserve"> </w:t>
      </w:r>
      <w:r w:rsidRPr="00442EE5">
        <w:rPr>
          <w:rFonts w:cs="Times New Roman"/>
          <w:lang w:val="fr-CA"/>
        </w:rPr>
        <w:t>(feuilles mobiles), par. 1</w:t>
      </w:r>
      <w:r w:rsidRPr="00442EE5">
        <w:rPr>
          <w:rFonts w:cs="Times New Roman"/>
          <w:lang w:val="fr-CA"/>
        </w:rPr>
        <w:noBreakHyphen/>
        <w:t>289</w:t>
      </w:r>
      <w:r w:rsidR="00AC6756">
        <w:rPr>
          <w:rFonts w:cs="Times New Roman"/>
          <w:lang w:val="fr-CA"/>
        </w:rPr>
        <w:t xml:space="preserve"> à </w:t>
      </w:r>
      <w:r w:rsidRPr="00442EE5">
        <w:rPr>
          <w:rFonts w:cs="Times New Roman"/>
          <w:lang w:val="fr-CA"/>
        </w:rPr>
        <w:t>1</w:t>
      </w:r>
      <w:r w:rsidRPr="00442EE5">
        <w:rPr>
          <w:rFonts w:cs="Times New Roman"/>
          <w:lang w:val="fr-CA"/>
        </w:rPr>
        <w:noBreakHyphen/>
        <w:t>290</w:t>
      </w:r>
      <w:r w:rsidR="002E41CC">
        <w:rPr>
          <w:rFonts w:cs="Times New Roman"/>
          <w:lang w:val="fr-CA"/>
        </w:rPr>
        <w:t>.1</w:t>
      </w:r>
      <w:r w:rsidRPr="00442EE5">
        <w:rPr>
          <w:rFonts w:cs="Times New Roman"/>
          <w:lang w:val="fr-CA"/>
        </w:rPr>
        <w:t>).</w:t>
      </w:r>
    </w:p>
    <w:p w:rsidR="00AF6697" w:rsidRPr="00442EE5" w:rsidRDefault="00AF6697" w:rsidP="00AF6697">
      <w:pPr>
        <w:pStyle w:val="ParaNoNdepar-AltN"/>
        <w:rPr>
          <w:rFonts w:eastAsia="Times New Roman" w:cs="Times New Roman"/>
          <w:lang w:val="fr-CA"/>
        </w:rPr>
      </w:pPr>
      <w:r w:rsidRPr="00442EE5">
        <w:rPr>
          <w:rFonts w:eastAsia="Times New Roman" w:cs="Times New Roman"/>
          <w:lang w:val="fr-CA"/>
        </w:rPr>
        <w:t>Exiger une telle preuve n</w:t>
      </w:r>
      <w:r>
        <w:rPr>
          <w:rFonts w:eastAsia="Times New Roman" w:cs="Times New Roman"/>
          <w:lang w:val="fr-CA"/>
        </w:rPr>
        <w:t>’</w:t>
      </w:r>
      <w:r w:rsidRPr="00442EE5">
        <w:rPr>
          <w:rFonts w:eastAsia="Times New Roman" w:cs="Times New Roman"/>
          <w:lang w:val="fr-CA"/>
        </w:rPr>
        <w:t>équivaut pas à réexaminer d</w:t>
      </w:r>
      <w:r>
        <w:rPr>
          <w:rFonts w:eastAsia="Times New Roman" w:cs="Times New Roman"/>
          <w:lang w:val="fr-CA"/>
        </w:rPr>
        <w:t>’</w:t>
      </w:r>
      <w:r w:rsidRPr="00442EE5">
        <w:rPr>
          <w:rFonts w:eastAsia="Times New Roman" w:cs="Times New Roman"/>
          <w:lang w:val="fr-CA"/>
        </w:rPr>
        <w:t>une manière « inacceptable » le fond de l</w:t>
      </w:r>
      <w:r>
        <w:rPr>
          <w:rFonts w:eastAsia="Times New Roman" w:cs="Times New Roman"/>
          <w:lang w:val="fr-CA"/>
        </w:rPr>
        <w:t>’</w:t>
      </w:r>
      <w:r w:rsidRPr="00442EE5">
        <w:rPr>
          <w:rFonts w:eastAsia="Times New Roman" w:cs="Times New Roman"/>
          <w:lang w:val="fr-CA"/>
        </w:rPr>
        <w:t>affaire (</w:t>
      </w:r>
      <w:r>
        <w:rPr>
          <w:rFonts w:eastAsia="Times New Roman" w:cs="Times New Roman"/>
          <w:lang w:val="fr-CA"/>
        </w:rPr>
        <w:t xml:space="preserve">motifs du juge </w:t>
      </w:r>
      <w:r w:rsidRPr="00442EE5">
        <w:rPr>
          <w:rFonts w:eastAsia="Times New Roman" w:cs="Times New Roman"/>
          <w:lang w:val="fr-CA"/>
        </w:rPr>
        <w:t>Brown, par. 101). L</w:t>
      </w:r>
      <w:r>
        <w:rPr>
          <w:rFonts w:eastAsia="Times New Roman" w:cs="Times New Roman"/>
          <w:lang w:val="fr-CA"/>
        </w:rPr>
        <w:t>’</w:t>
      </w:r>
      <w:r w:rsidRPr="00442EE5">
        <w:rPr>
          <w:rFonts w:eastAsia="Times New Roman" w:cs="Times New Roman"/>
          <w:lang w:val="fr-CA"/>
        </w:rPr>
        <w:t>analyse ne vise pas à juger à nouveau l</w:t>
      </w:r>
      <w:r>
        <w:rPr>
          <w:rFonts w:eastAsia="Times New Roman" w:cs="Times New Roman"/>
          <w:lang w:val="fr-CA"/>
        </w:rPr>
        <w:t>’</w:t>
      </w:r>
      <w:r w:rsidRPr="00442EE5">
        <w:rPr>
          <w:rFonts w:eastAsia="Times New Roman" w:cs="Times New Roman"/>
          <w:lang w:val="fr-CA"/>
        </w:rPr>
        <w:t xml:space="preserve">affaire, mais bien à vérifier si les conditions de la reconnaissance sont remplies (art. 3158 </w:t>
      </w:r>
      <w:r w:rsidRPr="00442EE5">
        <w:rPr>
          <w:rFonts w:eastAsia="Times New Roman" w:cs="Times New Roman"/>
          <w:i/>
          <w:lang w:val="fr-CA"/>
        </w:rPr>
        <w:t>C.c.Q.</w:t>
      </w:r>
      <w:r w:rsidRPr="00442EE5">
        <w:rPr>
          <w:rFonts w:eastAsia="Times New Roman" w:cs="Times New Roman"/>
          <w:lang w:val="fr-CA"/>
        </w:rPr>
        <w:t>). La Cour d</w:t>
      </w:r>
      <w:r>
        <w:rPr>
          <w:rFonts w:eastAsia="Times New Roman" w:cs="Times New Roman"/>
          <w:lang w:val="fr-CA"/>
        </w:rPr>
        <w:t>’</w:t>
      </w:r>
      <w:r w:rsidRPr="00442EE5">
        <w:rPr>
          <w:rFonts w:eastAsia="Times New Roman" w:cs="Times New Roman"/>
          <w:lang w:val="fr-CA"/>
        </w:rPr>
        <w:t xml:space="preserve">appel du Québec a bien expliqué la distinction dans </w:t>
      </w:r>
      <w:r w:rsidRPr="00442EE5">
        <w:rPr>
          <w:rFonts w:eastAsia="Times New Roman" w:cs="Times New Roman"/>
          <w:i/>
          <w:lang w:val="fr-CA"/>
        </w:rPr>
        <w:t>Zimmermann</w:t>
      </w:r>
      <w:r w:rsidR="002E41CC">
        <w:rPr>
          <w:rFonts w:eastAsia="Times New Roman" w:cs="Times New Roman"/>
          <w:lang w:val="fr-CA"/>
        </w:rPr>
        <w:t>, par. 15 et 18-20</w:t>
      </w:r>
      <w:r w:rsidRPr="001E129B">
        <w:rPr>
          <w:rFonts w:eastAsia="Times New Roman" w:cs="Times New Roman"/>
          <w:lang w:val="fr-CA"/>
        </w:rPr>
        <w:t> :</w:t>
      </w:r>
    </w:p>
    <w:p w:rsidR="00AF6697" w:rsidRPr="00442EE5" w:rsidRDefault="00AF6697" w:rsidP="00AF6697">
      <w:pPr>
        <w:pStyle w:val="Citation-AltC"/>
        <w:spacing w:after="240"/>
        <w:contextualSpacing w:val="0"/>
        <w:rPr>
          <w:lang w:val="fr-CA"/>
        </w:rPr>
      </w:pPr>
      <w:r w:rsidRPr="00442EE5">
        <w:rPr>
          <w:lang w:val="fr-CA"/>
        </w:rPr>
        <w:tab/>
      </w:r>
      <w:r w:rsidR="00A10325" w:rsidRPr="00442EE5">
        <w:rPr>
          <w:lang w:val="fr-CA"/>
        </w:rPr>
        <w:t>[</w:t>
      </w:r>
      <w:r w:rsidR="00A10325" w:rsidRPr="00442EE5">
        <w:rPr>
          <w:smallCaps/>
          <w:lang w:val="fr-CA"/>
        </w:rPr>
        <w:t>traduction</w:t>
      </w:r>
      <w:r w:rsidR="00A10325" w:rsidRPr="00442EE5">
        <w:rPr>
          <w:lang w:val="fr-CA"/>
        </w:rPr>
        <w:t>]</w:t>
      </w:r>
      <w:r w:rsidR="00A10325">
        <w:rPr>
          <w:lang w:val="fr-CA"/>
        </w:rPr>
        <w:t xml:space="preserve"> </w:t>
      </w:r>
      <w:r w:rsidRPr="00442EE5">
        <w:rPr>
          <w:lang w:val="fr-CA"/>
        </w:rPr>
        <w:t>Les appelantes affirment que la juge de première instance a commis une erreur en réexaminant le fond de l</w:t>
      </w:r>
      <w:r>
        <w:rPr>
          <w:lang w:val="fr-CA"/>
        </w:rPr>
        <w:t>’</w:t>
      </w:r>
      <w:r w:rsidRPr="00442EE5">
        <w:rPr>
          <w:lang w:val="fr-CA"/>
        </w:rPr>
        <w:t>affaire qui avait été tranchée au Vermont, contrairement à l</w:t>
      </w:r>
      <w:r>
        <w:rPr>
          <w:lang w:val="fr-CA"/>
        </w:rPr>
        <w:t>’</w:t>
      </w:r>
      <w:r w:rsidRPr="00442EE5">
        <w:rPr>
          <w:lang w:val="fr-CA"/>
        </w:rPr>
        <w:t xml:space="preserve">art. 3158 </w:t>
      </w:r>
      <w:r w:rsidRPr="00442EE5">
        <w:rPr>
          <w:i/>
          <w:lang w:val="fr-CA"/>
        </w:rPr>
        <w:t>C.c.Q.</w:t>
      </w:r>
      <w:r w:rsidRPr="00442EE5">
        <w:rPr>
          <w:lang w:val="fr-CA"/>
        </w:rPr>
        <w:t xml:space="preserve"> Elles soutiennent également qu</w:t>
      </w:r>
      <w:r>
        <w:rPr>
          <w:lang w:val="fr-CA"/>
        </w:rPr>
        <w:t>’</w:t>
      </w:r>
      <w:r w:rsidRPr="00442EE5">
        <w:rPr>
          <w:lang w:val="fr-CA"/>
        </w:rPr>
        <w:t>elle a commis une erreur en concluant qu</w:t>
      </w:r>
      <w:r>
        <w:rPr>
          <w:lang w:val="fr-CA"/>
        </w:rPr>
        <w:t>’</w:t>
      </w:r>
      <w:r w:rsidRPr="00442EE5">
        <w:rPr>
          <w:lang w:val="fr-CA"/>
        </w:rPr>
        <w:t>il était nécessaire que d</w:t>
      </w:r>
      <w:r>
        <w:rPr>
          <w:lang w:val="fr-CA"/>
        </w:rPr>
        <w:t>’</w:t>
      </w:r>
      <w:r w:rsidRPr="00442EE5">
        <w:rPr>
          <w:lang w:val="fr-CA"/>
        </w:rPr>
        <w:t>autres éléments de preuve lui soient présentés pour qu</w:t>
      </w:r>
      <w:r>
        <w:rPr>
          <w:lang w:val="fr-CA"/>
        </w:rPr>
        <w:t>’</w:t>
      </w:r>
      <w:r w:rsidRPr="00442EE5">
        <w:rPr>
          <w:lang w:val="fr-CA"/>
        </w:rPr>
        <w:t>elle puisse reconnaître la compétence de la Cour de district à l</w:t>
      </w:r>
      <w:r>
        <w:rPr>
          <w:lang w:val="fr-CA"/>
        </w:rPr>
        <w:t>’</w:t>
      </w:r>
      <w:r w:rsidRPr="00442EE5">
        <w:rPr>
          <w:lang w:val="fr-CA"/>
        </w:rPr>
        <w:t>égard de l</w:t>
      </w:r>
      <w:r>
        <w:rPr>
          <w:lang w:val="fr-CA"/>
        </w:rPr>
        <w:t>’</w:t>
      </w:r>
      <w:r w:rsidRPr="00442EE5">
        <w:rPr>
          <w:lang w:val="fr-CA"/>
        </w:rPr>
        <w:t>intimé. Enfin, elles affirment qu</w:t>
      </w:r>
      <w:r>
        <w:rPr>
          <w:lang w:val="fr-CA"/>
        </w:rPr>
        <w:t>’</w:t>
      </w:r>
      <w:r w:rsidRPr="00442EE5">
        <w:rPr>
          <w:lang w:val="fr-CA"/>
        </w:rPr>
        <w:t>elle aurait dû conclure que la Cour de district avait compétence à l</w:t>
      </w:r>
      <w:r>
        <w:rPr>
          <w:lang w:val="fr-CA"/>
        </w:rPr>
        <w:t>’</w:t>
      </w:r>
      <w:r w:rsidRPr="00442EE5">
        <w:rPr>
          <w:lang w:val="fr-CA"/>
        </w:rPr>
        <w:t>égard de l</w:t>
      </w:r>
      <w:r>
        <w:rPr>
          <w:lang w:val="fr-CA"/>
        </w:rPr>
        <w:t>’</w:t>
      </w:r>
      <w:r w:rsidRPr="00442EE5">
        <w:rPr>
          <w:lang w:val="fr-CA"/>
        </w:rPr>
        <w:t>intimé, étant donné qu</w:t>
      </w:r>
      <w:r>
        <w:rPr>
          <w:lang w:val="fr-CA"/>
        </w:rPr>
        <w:t>’</w:t>
      </w:r>
      <w:r w:rsidRPr="00442EE5">
        <w:rPr>
          <w:lang w:val="fr-CA"/>
        </w:rPr>
        <w:t>elle a appliqué la doctrine de l</w:t>
      </w:r>
      <w:r>
        <w:rPr>
          <w:lang w:val="fr-CA"/>
        </w:rPr>
        <w:t>’</w:t>
      </w:r>
      <w:r w:rsidRPr="00661B67">
        <w:rPr>
          <w:i/>
          <w:lang w:val="fr-CA"/>
        </w:rPr>
        <w:t xml:space="preserve">alter ego </w:t>
      </w:r>
      <w:r w:rsidRPr="00442EE5">
        <w:rPr>
          <w:lang w:val="fr-CA"/>
        </w:rPr>
        <w:t>afin de soulever le voile corporatif et de pouvoir ainsi déclarer celui</w:t>
      </w:r>
      <w:r w:rsidRPr="00442EE5">
        <w:rPr>
          <w:lang w:val="fr-CA"/>
        </w:rPr>
        <w:noBreakHyphen/>
        <w:t>ci personnellement responsable. Par conséquent, suivant le principe du miroir énoncé à l</w:t>
      </w:r>
      <w:r>
        <w:rPr>
          <w:lang w:val="fr-CA"/>
        </w:rPr>
        <w:t>’</w:t>
      </w:r>
      <w:r w:rsidRPr="00442EE5">
        <w:rPr>
          <w:lang w:val="fr-CA"/>
        </w:rPr>
        <w:t xml:space="preserve">art. 3164 </w:t>
      </w:r>
      <w:r w:rsidRPr="00442EE5">
        <w:rPr>
          <w:i/>
          <w:lang w:val="fr-CA"/>
        </w:rPr>
        <w:t>C.c.Q.</w:t>
      </w:r>
      <w:r w:rsidRPr="00442EE5">
        <w:rPr>
          <w:lang w:val="fr-CA"/>
        </w:rPr>
        <w:t>, les appel</w:t>
      </w:r>
      <w:r w:rsidR="00E8201D">
        <w:rPr>
          <w:lang w:val="fr-CA"/>
        </w:rPr>
        <w:t>antes soutiennent que « </w:t>
      </w:r>
      <w:r w:rsidRPr="00442EE5">
        <w:rPr>
          <w:lang w:val="fr-CA"/>
        </w:rPr>
        <w:t>s</w:t>
      </w:r>
      <w:r>
        <w:rPr>
          <w:lang w:val="fr-CA"/>
        </w:rPr>
        <w:t>’</w:t>
      </w:r>
      <w:r w:rsidRPr="00442EE5">
        <w:rPr>
          <w:lang w:val="fr-CA"/>
        </w:rPr>
        <w:t xml:space="preserve">ils peuvent appliquer la doctrine de </w:t>
      </w:r>
      <w:r w:rsidRPr="00661B67">
        <w:rPr>
          <w:i/>
          <w:lang w:val="fr-CA"/>
        </w:rPr>
        <w:t>l’alter ego</w:t>
      </w:r>
      <w:r w:rsidRPr="00442EE5">
        <w:rPr>
          <w:i/>
          <w:lang w:val="fr-CA"/>
        </w:rPr>
        <w:t xml:space="preserve"> </w:t>
      </w:r>
      <w:r w:rsidRPr="00442EE5">
        <w:rPr>
          <w:lang w:val="fr-CA"/>
        </w:rPr>
        <w:t>pour se déclarer compétents à l</w:t>
      </w:r>
      <w:r>
        <w:rPr>
          <w:lang w:val="fr-CA"/>
        </w:rPr>
        <w:t>’</w:t>
      </w:r>
      <w:r w:rsidRPr="00442EE5">
        <w:rPr>
          <w:lang w:val="fr-CA"/>
        </w:rPr>
        <w:t>égard de l</w:t>
      </w:r>
      <w:r>
        <w:rPr>
          <w:lang w:val="fr-CA"/>
        </w:rPr>
        <w:t>’</w:t>
      </w:r>
      <w:r w:rsidRPr="00661B67">
        <w:rPr>
          <w:i/>
          <w:lang w:val="fr-CA"/>
        </w:rPr>
        <w:t xml:space="preserve">alter ego </w:t>
      </w:r>
      <w:r w:rsidRPr="00442EE5">
        <w:rPr>
          <w:lang w:val="fr-CA"/>
        </w:rPr>
        <w:t>étranger d</w:t>
      </w:r>
      <w:r>
        <w:rPr>
          <w:lang w:val="fr-CA"/>
        </w:rPr>
        <w:t>’</w:t>
      </w:r>
      <w:r w:rsidRPr="00442EE5">
        <w:rPr>
          <w:lang w:val="fr-CA"/>
        </w:rPr>
        <w:t>une société québécoise, les tribunaux québécois doivent aussi respecter la décision rendue par le tribunal étranger qui se déclare compétent sur l</w:t>
      </w:r>
      <w:r>
        <w:rPr>
          <w:lang w:val="fr-CA"/>
        </w:rPr>
        <w:t>’</w:t>
      </w:r>
      <w:r w:rsidRPr="00442EE5">
        <w:rPr>
          <w:lang w:val="fr-CA"/>
        </w:rPr>
        <w:t>alter ego québécois d</w:t>
      </w:r>
      <w:r>
        <w:rPr>
          <w:lang w:val="fr-CA"/>
        </w:rPr>
        <w:t>’</w:t>
      </w:r>
      <w:r w:rsidRPr="00442EE5">
        <w:rPr>
          <w:lang w:val="fr-CA"/>
        </w:rPr>
        <w:t>une société immatricul</w:t>
      </w:r>
      <w:r w:rsidR="00661B67">
        <w:rPr>
          <w:lang w:val="fr-CA"/>
        </w:rPr>
        <w:t>ée sous le régime de leurs lois</w:t>
      </w:r>
      <w:r w:rsidRPr="00442EE5">
        <w:rPr>
          <w:lang w:val="fr-CA"/>
        </w:rPr>
        <w:t> »</w:t>
      </w:r>
      <w:r w:rsidR="00661B67">
        <w:rPr>
          <w:lang w:val="fr-CA"/>
        </w:rPr>
        <w:t>.</w:t>
      </w:r>
      <w:r w:rsidRPr="00442EE5">
        <w:rPr>
          <w:lang w:val="fr-CA"/>
        </w:rPr>
        <w:t xml:space="preserve"> </w:t>
      </w:r>
    </w:p>
    <w:p w:rsidR="00AF6697" w:rsidRPr="00442EE5" w:rsidRDefault="00CA7E74" w:rsidP="00AF6697">
      <w:pPr>
        <w:pStyle w:val="Citation-AltC"/>
        <w:tabs>
          <w:tab w:val="left" w:pos="2160"/>
        </w:tabs>
        <w:spacing w:after="240"/>
        <w:ind w:hanging="1166"/>
        <w:contextualSpacing w:val="0"/>
        <w:jc w:val="center"/>
        <w:rPr>
          <w:lang w:val="fr-CA"/>
        </w:rPr>
      </w:pPr>
      <w:r>
        <w:rPr>
          <w:lang w:val="fr-CA"/>
        </w:rPr>
        <w:tab/>
      </w:r>
      <w:r w:rsidR="00AF6697" w:rsidRPr="00442EE5">
        <w:rPr>
          <w:lang w:val="fr-CA"/>
        </w:rPr>
        <w:t>. . .</w:t>
      </w:r>
    </w:p>
    <w:p w:rsidR="00AF6697" w:rsidRPr="00442EE5" w:rsidRDefault="00AF6697" w:rsidP="00AF6697">
      <w:pPr>
        <w:pStyle w:val="Citation-AltC"/>
        <w:spacing w:after="240"/>
        <w:ind w:hanging="1166"/>
        <w:contextualSpacing w:val="0"/>
        <w:rPr>
          <w:lang w:val="fr-CA"/>
        </w:rPr>
      </w:pPr>
      <w:r>
        <w:rPr>
          <w:lang w:val="fr-CA"/>
        </w:rPr>
        <w:tab/>
      </w:r>
      <w:r>
        <w:rPr>
          <w:lang w:val="fr-CA"/>
        </w:rPr>
        <w:tab/>
      </w:r>
      <w:r w:rsidRPr="00442EE5">
        <w:rPr>
          <w:lang w:val="fr-CA"/>
        </w:rPr>
        <w:t>Alors qu</w:t>
      </w:r>
      <w:r>
        <w:rPr>
          <w:lang w:val="fr-CA"/>
        </w:rPr>
        <w:t>’</w:t>
      </w:r>
      <w:r w:rsidRPr="00442EE5">
        <w:rPr>
          <w:lang w:val="fr-CA"/>
        </w:rPr>
        <w:t>ils formulaient leurs commentaires au sujet de l</w:t>
      </w:r>
      <w:r>
        <w:rPr>
          <w:lang w:val="fr-CA"/>
        </w:rPr>
        <w:t>’</w:t>
      </w:r>
      <w:r w:rsidRPr="00442EE5">
        <w:rPr>
          <w:lang w:val="fr-CA"/>
        </w:rPr>
        <w:t xml:space="preserve">art. 3520 du projet de loi ayant mené à la révision du </w:t>
      </w:r>
      <w:r w:rsidRPr="00442EE5">
        <w:rPr>
          <w:i/>
          <w:lang w:val="fr-CA"/>
        </w:rPr>
        <w:t>Code civil du Québec</w:t>
      </w:r>
      <w:r w:rsidRPr="00442EE5">
        <w:rPr>
          <w:lang w:val="fr-CA"/>
        </w:rPr>
        <w:t xml:space="preserve"> (c.</w:t>
      </w:r>
      <w:r w:rsidRPr="00442EE5">
        <w:rPr>
          <w:lang w:val="fr-CA"/>
        </w:rPr>
        <w:noBreakHyphen/>
        <w:t>à</w:t>
      </w:r>
      <w:r w:rsidRPr="00442EE5">
        <w:rPr>
          <w:lang w:val="fr-CA"/>
        </w:rPr>
        <w:noBreakHyphen/>
        <w:t>d. l</w:t>
      </w:r>
      <w:r>
        <w:rPr>
          <w:lang w:val="fr-CA"/>
        </w:rPr>
        <w:t>’</w:t>
      </w:r>
      <w:r w:rsidRPr="00442EE5">
        <w:rPr>
          <w:lang w:val="fr-CA"/>
        </w:rPr>
        <w:t xml:space="preserve">art. 3158 </w:t>
      </w:r>
      <w:r w:rsidRPr="00442EE5">
        <w:rPr>
          <w:i/>
          <w:lang w:val="fr-CA"/>
        </w:rPr>
        <w:t>C.c.Q.</w:t>
      </w:r>
      <w:r w:rsidRPr="00442EE5">
        <w:rPr>
          <w:lang w:val="fr-CA"/>
        </w:rPr>
        <w:t xml:space="preserve"> actuel), les professeurs Talpis et Goldstein ont circonscrit de la façon suivante le rôle que joue l</w:t>
      </w:r>
      <w:r>
        <w:rPr>
          <w:lang w:val="fr-CA"/>
        </w:rPr>
        <w:t>’</w:t>
      </w:r>
      <w:r w:rsidRPr="00442EE5">
        <w:rPr>
          <w:lang w:val="fr-CA"/>
        </w:rPr>
        <w:t>autorité québécoise lorsqu</w:t>
      </w:r>
      <w:r>
        <w:rPr>
          <w:lang w:val="fr-CA"/>
        </w:rPr>
        <w:t>’</w:t>
      </w:r>
      <w:r w:rsidRPr="00442EE5">
        <w:rPr>
          <w:lang w:val="fr-CA"/>
        </w:rPr>
        <w:t>elle révise un jugement étranger :</w:t>
      </w:r>
    </w:p>
    <w:p w:rsidR="00CA7E74" w:rsidRDefault="00AF6697" w:rsidP="00CA7E74">
      <w:pPr>
        <w:pStyle w:val="Citation-AltC"/>
        <w:spacing w:after="240"/>
        <w:ind w:left="1440" w:hanging="1440"/>
        <w:contextualSpacing w:val="0"/>
        <w:rPr>
          <w:lang w:val="fr-CA"/>
        </w:rPr>
      </w:pPr>
      <w:r>
        <w:rPr>
          <w:lang w:val="fr-CA"/>
        </w:rPr>
        <w:tab/>
      </w:r>
      <w:r w:rsidRPr="00442EE5">
        <w:rPr>
          <w:lang w:val="fr-CA"/>
        </w:rPr>
        <w:t>L</w:t>
      </w:r>
      <w:r>
        <w:rPr>
          <w:lang w:val="fr-CA"/>
        </w:rPr>
        <w:t>’</w:t>
      </w:r>
      <w:r w:rsidR="00A10325">
        <w:rPr>
          <w:lang w:val="fr-CA"/>
        </w:rPr>
        <w:t>article</w:t>
      </w:r>
      <w:r w:rsidRPr="00442EE5">
        <w:rPr>
          <w:lang w:val="fr-CA"/>
        </w:rPr>
        <w:t> 3520 précise que la révision au fond du jugement étranger est exclue en principe. Cependant, on doit faire remarquer que le juge québécois réexamine au fond les appréciations du juge étranger, en mettant en œuvre certaines conditions de reconnaissance ou d</w:t>
      </w:r>
      <w:r>
        <w:rPr>
          <w:lang w:val="fr-CA"/>
        </w:rPr>
        <w:t>’</w:t>
      </w:r>
      <w:r w:rsidR="00CA7E74">
        <w:rPr>
          <w:lang w:val="fr-CA"/>
        </w:rPr>
        <w:t xml:space="preserve">exécution. </w:t>
      </w:r>
    </w:p>
    <w:p w:rsidR="00AF6697" w:rsidRPr="00442EE5" w:rsidRDefault="00AF6697" w:rsidP="00CA7E74">
      <w:pPr>
        <w:pStyle w:val="Citation-AltC"/>
        <w:spacing w:after="240"/>
        <w:ind w:left="1440"/>
        <w:contextualSpacing w:val="0"/>
        <w:rPr>
          <w:lang w:val="fr-CA"/>
        </w:rPr>
      </w:pPr>
      <w:r w:rsidRPr="00442EE5">
        <w:rPr>
          <w:lang w:val="fr-CA"/>
        </w:rPr>
        <w:t xml:space="preserve">En effet, </w:t>
      </w:r>
      <w:r w:rsidRPr="00442EE5">
        <w:rPr>
          <w:i/>
          <w:lang w:val="fr-CA"/>
        </w:rPr>
        <w:t xml:space="preserve">il est impossible de supprimer tout examen au fond de la décision car le contrôle de certaines conditions de la reconnaissance ne </w:t>
      </w:r>
      <w:r w:rsidRPr="00442EE5">
        <w:rPr>
          <w:i/>
          <w:lang w:val="fr-CA"/>
        </w:rPr>
        <w:lastRenderedPageBreak/>
        <w:t>peut s</w:t>
      </w:r>
      <w:r>
        <w:rPr>
          <w:i/>
          <w:lang w:val="fr-CA"/>
        </w:rPr>
        <w:t>’</w:t>
      </w:r>
      <w:r w:rsidRPr="00442EE5">
        <w:rPr>
          <w:i/>
          <w:lang w:val="fr-CA"/>
        </w:rPr>
        <w:t>exercer effectivement que si le juge québécois réexamine la qualification des faits par son collègue étranger</w:t>
      </w:r>
      <w:r w:rsidRPr="00442EE5">
        <w:rPr>
          <w:lang w:val="fr-CA"/>
        </w:rPr>
        <w:t xml:space="preserve">. [. . .] </w:t>
      </w:r>
      <w:r w:rsidRPr="00442EE5">
        <w:rPr>
          <w:u w:val="single"/>
          <w:lang w:val="fr-CA"/>
        </w:rPr>
        <w:t>Si l</w:t>
      </w:r>
      <w:r>
        <w:rPr>
          <w:u w:val="single"/>
          <w:lang w:val="fr-CA"/>
        </w:rPr>
        <w:t>’</w:t>
      </w:r>
      <w:r w:rsidRPr="00442EE5">
        <w:rPr>
          <w:u w:val="single"/>
          <w:lang w:val="fr-CA"/>
        </w:rPr>
        <w:t>une des parties à l</w:t>
      </w:r>
      <w:r>
        <w:rPr>
          <w:u w:val="single"/>
          <w:lang w:val="fr-CA"/>
        </w:rPr>
        <w:t>’</w:t>
      </w:r>
      <w:r w:rsidRPr="00442EE5">
        <w:rPr>
          <w:u w:val="single"/>
          <w:lang w:val="fr-CA"/>
        </w:rPr>
        <w:t>action en exécution au Québec conteste la compétence du juge ontarien, le tribunal québécois ne pourra pas se fier à l</w:t>
      </w:r>
      <w:r>
        <w:rPr>
          <w:u w:val="single"/>
          <w:lang w:val="fr-CA"/>
        </w:rPr>
        <w:t>’</w:t>
      </w:r>
      <w:r w:rsidRPr="00442EE5">
        <w:rPr>
          <w:u w:val="single"/>
          <w:lang w:val="fr-CA"/>
        </w:rPr>
        <w:t>appréciation ontarienne du domicile, mais devra examiner à nouveau les faits pour savoir si à ses yeux — selon les règles de compétence indirecte québécoise — le défendeur était bien domicilié en Ontario. Cette nouvelle appréciation des faits par le juge québécois est normale parce que le juge ontarien ne se préoccupait pas des règles de compétence internationale indirecte québécoise</w:t>
      </w:r>
      <w:r w:rsidRPr="00F6790C">
        <w:rPr>
          <w:u w:val="single"/>
          <w:lang w:val="fr-CA"/>
        </w:rPr>
        <w:t>.</w:t>
      </w:r>
    </w:p>
    <w:p w:rsidR="00AF6697" w:rsidRPr="00442EE5" w:rsidRDefault="00AF6697" w:rsidP="00A10325">
      <w:pPr>
        <w:pStyle w:val="Citation-AltC"/>
        <w:spacing w:after="240"/>
        <w:ind w:left="1440" w:hanging="1166"/>
        <w:contextualSpacing w:val="0"/>
        <w:rPr>
          <w:lang w:val="fr-CA"/>
        </w:rPr>
      </w:pPr>
      <w:r w:rsidRPr="0026258C">
        <w:rPr>
          <w:lang w:val="fr-CA"/>
        </w:rPr>
        <w:tab/>
      </w:r>
      <w:r w:rsidRPr="00442EE5">
        <w:rPr>
          <w:u w:val="single"/>
          <w:lang w:val="fr-CA"/>
        </w:rPr>
        <w:t>Le tribunal québécois ne peut être lié à ce sujet par l</w:t>
      </w:r>
      <w:r>
        <w:rPr>
          <w:u w:val="single"/>
          <w:lang w:val="fr-CA"/>
        </w:rPr>
        <w:t>’</w:t>
      </w:r>
      <w:r w:rsidRPr="00442EE5">
        <w:rPr>
          <w:u w:val="single"/>
          <w:lang w:val="fr-CA"/>
        </w:rPr>
        <w:t>application étrangère des faits, sinon tout contrôle de la compétence indirecte deviendrait formel</w:t>
      </w:r>
      <w:r w:rsidRPr="00F6790C">
        <w:rPr>
          <w:u w:val="single"/>
          <w:lang w:val="fr-CA"/>
        </w:rPr>
        <w:t>.</w:t>
      </w:r>
    </w:p>
    <w:p w:rsidR="00AF6697" w:rsidRPr="00442EE5" w:rsidRDefault="00AF6697" w:rsidP="00A10325">
      <w:pPr>
        <w:pStyle w:val="Citation-AltC"/>
        <w:spacing w:after="240"/>
        <w:ind w:left="1440" w:hanging="1166"/>
        <w:contextualSpacing w:val="0"/>
        <w:rPr>
          <w:lang w:val="fr-CA"/>
        </w:rPr>
      </w:pPr>
      <w:r>
        <w:rPr>
          <w:i/>
          <w:lang w:val="fr-CA"/>
        </w:rPr>
        <w:tab/>
      </w:r>
      <w:r w:rsidRPr="00442EE5">
        <w:rPr>
          <w:i/>
          <w:lang w:val="fr-CA"/>
        </w:rPr>
        <w:t>Donc, on ne doit pas assimiler absence de révision au fond et absence d</w:t>
      </w:r>
      <w:r>
        <w:rPr>
          <w:i/>
          <w:lang w:val="fr-CA"/>
        </w:rPr>
        <w:t>’</w:t>
      </w:r>
      <w:r w:rsidRPr="00442EE5">
        <w:rPr>
          <w:i/>
          <w:lang w:val="fr-CA"/>
        </w:rPr>
        <w:t>appréciation du jugement étranger au fond</w:t>
      </w:r>
      <w:r w:rsidRPr="00442EE5">
        <w:rPr>
          <w:lang w:val="fr-CA"/>
        </w:rPr>
        <w:t>. Le tribunal québécois conserve également un droit critique sur le travail de son collègue étranger en matière d</w:t>
      </w:r>
      <w:r>
        <w:rPr>
          <w:lang w:val="fr-CA"/>
        </w:rPr>
        <w:t>’</w:t>
      </w:r>
      <w:r w:rsidRPr="00442EE5">
        <w:rPr>
          <w:lang w:val="fr-CA"/>
        </w:rPr>
        <w:t xml:space="preserve">ordre public, procédural ou autre, comme nous allons </w:t>
      </w:r>
      <w:r w:rsidR="00661B67">
        <w:rPr>
          <w:lang w:val="fr-CA"/>
        </w:rPr>
        <w:t xml:space="preserve">nous en rendre compte </w:t>
      </w:r>
      <w:r w:rsidRPr="00442EE5">
        <w:rPr>
          <w:lang w:val="fr-CA"/>
        </w:rPr>
        <w:t xml:space="preserve">un peu plus loin. </w:t>
      </w:r>
    </w:p>
    <w:p w:rsidR="00AF6697" w:rsidRPr="00442EE5" w:rsidRDefault="00AF6697" w:rsidP="00AF6697">
      <w:pPr>
        <w:pStyle w:val="Citation-AltC"/>
        <w:spacing w:after="240"/>
        <w:ind w:hanging="1166"/>
        <w:contextualSpacing w:val="0"/>
        <w:rPr>
          <w:lang w:val="fr-CA"/>
        </w:rPr>
      </w:pPr>
      <w:r>
        <w:rPr>
          <w:lang w:val="fr-CA"/>
        </w:rPr>
        <w:tab/>
      </w:r>
      <w:r>
        <w:rPr>
          <w:lang w:val="fr-CA"/>
        </w:rPr>
        <w:tab/>
      </w:r>
      <w:r w:rsidRPr="00442EE5">
        <w:rPr>
          <w:lang w:val="fr-CA"/>
        </w:rPr>
        <w:t>Les auteurs Serge Gaudet et Patrick Ferland abondent dans le même sens :</w:t>
      </w:r>
    </w:p>
    <w:p w:rsidR="00AF6697" w:rsidRPr="00442EE5" w:rsidRDefault="00AF6697" w:rsidP="00CA7E74">
      <w:pPr>
        <w:pStyle w:val="Citation-AltC"/>
        <w:spacing w:after="240"/>
        <w:ind w:left="1440"/>
        <w:contextualSpacing w:val="0"/>
        <w:rPr>
          <w:lang w:val="fr-CA"/>
        </w:rPr>
      </w:pPr>
      <w:r w:rsidRPr="00442EE5">
        <w:rPr>
          <w:lang w:val="fr-CA"/>
        </w:rPr>
        <w:t>Essentiellement, le tribunal saisi d</w:t>
      </w:r>
      <w:r>
        <w:rPr>
          <w:lang w:val="fr-CA"/>
        </w:rPr>
        <w:t>’</w:t>
      </w:r>
      <w:r w:rsidRPr="00442EE5">
        <w:rPr>
          <w:lang w:val="fr-CA"/>
        </w:rPr>
        <w:t>une demande d</w:t>
      </w:r>
      <w:r>
        <w:rPr>
          <w:lang w:val="fr-CA"/>
        </w:rPr>
        <w:t>’</w:t>
      </w:r>
      <w:r w:rsidRPr="00442EE5">
        <w:rPr>
          <w:i/>
          <w:lang w:val="fr-CA"/>
        </w:rPr>
        <w:t>exequatur</w:t>
      </w:r>
      <w:r w:rsidRPr="00442EE5">
        <w:rPr>
          <w:lang w:val="fr-CA"/>
        </w:rPr>
        <w:t xml:space="preserve"> doit donc prendre le jugement tel quel et déterminer, sur la simple base des conditions énoncées par le titre quatrième, s</w:t>
      </w:r>
      <w:r>
        <w:rPr>
          <w:lang w:val="fr-CA"/>
        </w:rPr>
        <w:t>’</w:t>
      </w:r>
      <w:r w:rsidRPr="00442EE5">
        <w:rPr>
          <w:lang w:val="fr-CA"/>
        </w:rPr>
        <w:t>il convient d</w:t>
      </w:r>
      <w:r>
        <w:rPr>
          <w:lang w:val="fr-CA"/>
        </w:rPr>
        <w:t>’</w:t>
      </w:r>
      <w:r w:rsidRPr="00442EE5">
        <w:rPr>
          <w:lang w:val="fr-CA"/>
        </w:rPr>
        <w:t>en reconnaître ou non le dispositif à l</w:t>
      </w:r>
      <w:r>
        <w:rPr>
          <w:lang w:val="fr-CA"/>
        </w:rPr>
        <w:t>’</w:t>
      </w:r>
      <w:r w:rsidRPr="00442EE5">
        <w:rPr>
          <w:lang w:val="fr-CA"/>
        </w:rPr>
        <w:t xml:space="preserve">encontre du défendeur. </w:t>
      </w:r>
      <w:r w:rsidRPr="00442EE5">
        <w:rPr>
          <w:u w:val="single"/>
          <w:lang w:val="fr-CA"/>
        </w:rPr>
        <w:t>Le principe de non</w:t>
      </w:r>
      <w:r w:rsidRPr="00442EE5">
        <w:rPr>
          <w:u w:val="single"/>
          <w:lang w:val="fr-CA"/>
        </w:rPr>
        <w:noBreakHyphen/>
        <w:t>intervention à l</w:t>
      </w:r>
      <w:r>
        <w:rPr>
          <w:u w:val="single"/>
          <w:lang w:val="fr-CA"/>
        </w:rPr>
        <w:t>’</w:t>
      </w:r>
      <w:r w:rsidRPr="00442EE5">
        <w:rPr>
          <w:u w:val="single"/>
          <w:lang w:val="fr-CA"/>
        </w:rPr>
        <w:t>égard du bien</w:t>
      </w:r>
      <w:r w:rsidRPr="00442EE5">
        <w:rPr>
          <w:u w:val="single"/>
          <w:lang w:val="fr-CA"/>
        </w:rPr>
        <w:noBreakHyphen/>
        <w:t>fondé de la décision n</w:t>
      </w:r>
      <w:r>
        <w:rPr>
          <w:u w:val="single"/>
          <w:lang w:val="fr-CA"/>
        </w:rPr>
        <w:t>’</w:t>
      </w:r>
      <w:r w:rsidRPr="00442EE5">
        <w:rPr>
          <w:u w:val="single"/>
          <w:lang w:val="fr-CA"/>
        </w:rPr>
        <w:t>a toutefois pas pour effet de priver le tribunal québécois du droit de vérifier l</w:t>
      </w:r>
      <w:r>
        <w:rPr>
          <w:u w:val="single"/>
          <w:lang w:val="fr-CA"/>
        </w:rPr>
        <w:t>’</w:t>
      </w:r>
      <w:r w:rsidRPr="00442EE5">
        <w:rPr>
          <w:u w:val="single"/>
          <w:lang w:val="fr-CA"/>
        </w:rPr>
        <w:t>existence des conditions requises pour fonder la compétence de l</w:t>
      </w:r>
      <w:r>
        <w:rPr>
          <w:u w:val="single"/>
          <w:lang w:val="fr-CA"/>
        </w:rPr>
        <w:t>’</w:t>
      </w:r>
      <w:r w:rsidRPr="00442EE5">
        <w:rPr>
          <w:u w:val="single"/>
          <w:lang w:val="fr-CA"/>
        </w:rPr>
        <w:t>autorité étrangère ayant rendu la décision</w:t>
      </w:r>
      <w:r w:rsidRPr="00442EE5">
        <w:rPr>
          <w:lang w:val="fr-CA"/>
        </w:rPr>
        <w:t xml:space="preserve"> (domicile du défendeur ou survenance d</w:t>
      </w:r>
      <w:r>
        <w:rPr>
          <w:lang w:val="fr-CA"/>
        </w:rPr>
        <w:t>’</w:t>
      </w:r>
      <w:r w:rsidRPr="00442EE5">
        <w:rPr>
          <w:lang w:val="fr-CA"/>
        </w:rPr>
        <w:t>une faute ou d</w:t>
      </w:r>
      <w:r>
        <w:rPr>
          <w:lang w:val="fr-CA"/>
        </w:rPr>
        <w:t>’</w:t>
      </w:r>
      <w:r w:rsidRPr="00442EE5">
        <w:rPr>
          <w:lang w:val="fr-CA"/>
        </w:rPr>
        <w:t>u</w:t>
      </w:r>
      <w:r w:rsidR="00661B67">
        <w:rPr>
          <w:lang w:val="fr-CA"/>
        </w:rPr>
        <w:t>[</w:t>
      </w:r>
      <w:r w:rsidRPr="00442EE5">
        <w:rPr>
          <w:lang w:val="fr-CA"/>
        </w:rPr>
        <w:t>n</w:t>
      </w:r>
      <w:r w:rsidR="00661B67">
        <w:rPr>
          <w:lang w:val="fr-CA"/>
        </w:rPr>
        <w:t>]</w:t>
      </w:r>
      <w:r w:rsidRPr="00442EE5">
        <w:rPr>
          <w:lang w:val="fr-CA"/>
        </w:rPr>
        <w:t xml:space="preserve"> préjudice dans la juridiction, par exemple).</w:t>
      </w:r>
    </w:p>
    <w:p w:rsidR="00AF6697" w:rsidRPr="00442EE5" w:rsidRDefault="00AF6697" w:rsidP="00AF6697">
      <w:pPr>
        <w:pStyle w:val="Citation-AltC"/>
        <w:spacing w:after="240"/>
        <w:contextualSpacing w:val="0"/>
        <w:rPr>
          <w:lang w:val="fr-CA"/>
        </w:rPr>
      </w:pPr>
      <w:r w:rsidRPr="00442EE5">
        <w:rPr>
          <w:lang w:val="fr-CA"/>
        </w:rPr>
        <w:tab/>
      </w:r>
      <w:r w:rsidRPr="00442EE5">
        <w:rPr>
          <w:i/>
          <w:lang w:val="fr-CA"/>
        </w:rPr>
        <w:t>La juge de première instance</w:t>
      </w:r>
      <w:r w:rsidRPr="00442EE5">
        <w:rPr>
          <w:lang w:val="fr-CA"/>
        </w:rPr>
        <w:t xml:space="preserve"> a examiné toutes les situations envisagées par l</w:t>
      </w:r>
      <w:r>
        <w:rPr>
          <w:lang w:val="fr-CA"/>
        </w:rPr>
        <w:t>’</w:t>
      </w:r>
      <w:r w:rsidRPr="00442EE5">
        <w:rPr>
          <w:lang w:val="fr-CA"/>
        </w:rPr>
        <w:t xml:space="preserve">art. 3168 </w:t>
      </w:r>
      <w:r w:rsidRPr="00442EE5">
        <w:rPr>
          <w:i/>
          <w:lang w:val="fr-CA"/>
        </w:rPr>
        <w:t>C.c.Q.</w:t>
      </w:r>
      <w:r w:rsidRPr="00442EE5">
        <w:rPr>
          <w:lang w:val="fr-CA"/>
        </w:rPr>
        <w:t>, à l</w:t>
      </w:r>
      <w:r>
        <w:rPr>
          <w:lang w:val="fr-CA"/>
        </w:rPr>
        <w:t>’</w:t>
      </w:r>
      <w:r w:rsidRPr="00442EE5">
        <w:rPr>
          <w:lang w:val="fr-CA"/>
        </w:rPr>
        <w:t>exception de celles prévues à l</w:t>
      </w:r>
      <w:r>
        <w:rPr>
          <w:lang w:val="fr-CA"/>
        </w:rPr>
        <w:t>’</w:t>
      </w:r>
      <w:r w:rsidRPr="00442EE5">
        <w:rPr>
          <w:lang w:val="fr-CA"/>
        </w:rPr>
        <w:t>art. 3168(3), puisque les deux parties avaient convenu que cette disposition ne s</w:t>
      </w:r>
      <w:r>
        <w:rPr>
          <w:lang w:val="fr-CA"/>
        </w:rPr>
        <w:t>’</w:t>
      </w:r>
      <w:r w:rsidRPr="00442EE5">
        <w:rPr>
          <w:lang w:val="fr-CA"/>
        </w:rPr>
        <w:t xml:space="preserve">appliquait pas. Elle </w:t>
      </w:r>
      <w:r w:rsidRPr="00442EE5">
        <w:rPr>
          <w:i/>
          <w:lang w:val="fr-CA"/>
        </w:rPr>
        <w:t>a estimé qu</w:t>
      </w:r>
      <w:r>
        <w:rPr>
          <w:i/>
          <w:lang w:val="fr-CA"/>
        </w:rPr>
        <w:t>’</w:t>
      </w:r>
      <w:r w:rsidRPr="00442EE5">
        <w:rPr>
          <w:i/>
          <w:lang w:val="fr-CA"/>
        </w:rPr>
        <w:t>il n</w:t>
      </w:r>
      <w:r>
        <w:rPr>
          <w:i/>
          <w:lang w:val="fr-CA"/>
        </w:rPr>
        <w:t>’</w:t>
      </w:r>
      <w:r w:rsidRPr="00442EE5">
        <w:rPr>
          <w:i/>
          <w:lang w:val="fr-CA"/>
        </w:rPr>
        <w:t>y avait aucun élément de preuve au dossier qui lui permettait de conclure que la Cour de district, en appliquant la doctrine de l</w:t>
      </w:r>
      <w:r>
        <w:rPr>
          <w:i/>
          <w:lang w:val="fr-CA"/>
        </w:rPr>
        <w:t>’</w:t>
      </w:r>
      <w:r w:rsidRPr="00442EE5">
        <w:rPr>
          <w:i/>
          <w:lang w:val="fr-CA"/>
        </w:rPr>
        <w:t>alter ego et en perçant le voile corporatif, avait compétence sur l</w:t>
      </w:r>
      <w:r>
        <w:rPr>
          <w:i/>
          <w:lang w:val="fr-CA"/>
        </w:rPr>
        <w:t>’</w:t>
      </w:r>
      <w:r w:rsidRPr="00442EE5">
        <w:rPr>
          <w:i/>
          <w:lang w:val="fr-CA"/>
        </w:rPr>
        <w:t>intimé en vertu de l</w:t>
      </w:r>
      <w:r>
        <w:rPr>
          <w:i/>
          <w:lang w:val="fr-CA"/>
        </w:rPr>
        <w:t>’</w:t>
      </w:r>
      <w:r w:rsidRPr="00442EE5">
        <w:rPr>
          <w:i/>
          <w:lang w:val="fr-CA"/>
        </w:rPr>
        <w:t>art. 3168 C.c.Q.</w:t>
      </w:r>
      <w:r w:rsidRPr="00442EE5">
        <w:rPr>
          <w:lang w:val="fr-CA"/>
        </w:rPr>
        <w:t xml:space="preserve"> Eu égard aux circonstances particulières de l</w:t>
      </w:r>
      <w:r>
        <w:rPr>
          <w:lang w:val="fr-CA"/>
        </w:rPr>
        <w:t>’</w:t>
      </w:r>
      <w:r w:rsidRPr="00442EE5">
        <w:rPr>
          <w:lang w:val="fr-CA"/>
        </w:rPr>
        <w:t>espèce, les appelantes ne nous ont pas convaincus que cette conclusion est erronée en droit ou entachée d</w:t>
      </w:r>
      <w:r>
        <w:rPr>
          <w:lang w:val="fr-CA"/>
        </w:rPr>
        <w:t>’</w:t>
      </w:r>
      <w:r w:rsidRPr="00442EE5">
        <w:rPr>
          <w:lang w:val="fr-CA"/>
        </w:rPr>
        <w:t>une erreur m</w:t>
      </w:r>
      <w:r w:rsidR="00FF6174">
        <w:rPr>
          <w:lang w:val="fr-CA"/>
        </w:rPr>
        <w:t>anifeste et dominante. [Soulignement</w:t>
      </w:r>
      <w:r w:rsidRPr="00442EE5">
        <w:rPr>
          <w:lang w:val="fr-CA"/>
        </w:rPr>
        <w:t xml:space="preserve"> dans l</w:t>
      </w:r>
      <w:r>
        <w:rPr>
          <w:lang w:val="fr-CA"/>
        </w:rPr>
        <w:t>’</w:t>
      </w:r>
      <w:r w:rsidRPr="00442EE5">
        <w:rPr>
          <w:lang w:val="fr-CA"/>
        </w:rPr>
        <w:t>original;</w:t>
      </w:r>
      <w:r w:rsidR="00FF6174">
        <w:rPr>
          <w:lang w:val="fr-CA"/>
        </w:rPr>
        <w:t xml:space="preserve"> italiques ajoutés; notes en bas de page omises</w:t>
      </w:r>
      <w:r>
        <w:rPr>
          <w:lang w:val="fr-CA"/>
        </w:rPr>
        <w:t>.</w:t>
      </w:r>
      <w:r w:rsidRPr="00442EE5">
        <w:rPr>
          <w:lang w:val="fr-CA"/>
        </w:rPr>
        <w:t>]</w:t>
      </w:r>
    </w:p>
    <w:p w:rsidR="00AF6697" w:rsidRPr="00442EE5" w:rsidRDefault="009D2362" w:rsidP="009D2362">
      <w:pPr>
        <w:pStyle w:val="Citation-AltC"/>
        <w:ind w:left="0"/>
        <w:rPr>
          <w:lang w:val="fr-CA"/>
        </w:rPr>
      </w:pPr>
      <w:r>
        <w:rPr>
          <w:lang w:val="fr-CA"/>
        </w:rPr>
        <w:t>(C</w:t>
      </w:r>
      <w:r w:rsidR="00AF6697">
        <w:rPr>
          <w:lang w:val="fr-CA"/>
        </w:rPr>
        <w:t>itant J. A. Talpis et G. </w:t>
      </w:r>
      <w:r w:rsidR="00AF6697" w:rsidRPr="00442EE5">
        <w:rPr>
          <w:lang w:val="fr-CA"/>
        </w:rPr>
        <w:t>Goldstein, « Analyse critique de l</w:t>
      </w:r>
      <w:r w:rsidR="00AF6697">
        <w:rPr>
          <w:lang w:val="fr-CA"/>
        </w:rPr>
        <w:t>’</w:t>
      </w:r>
      <w:r w:rsidR="00AF6697" w:rsidRPr="00442EE5">
        <w:rPr>
          <w:lang w:val="fr-CA"/>
        </w:rPr>
        <w:t>avant</w:t>
      </w:r>
      <w:r w:rsidR="00AF6697" w:rsidRPr="00442EE5">
        <w:rPr>
          <w:lang w:val="fr-CA"/>
        </w:rPr>
        <w:noBreakHyphen/>
        <w:t>projet de loi du Québec</w:t>
      </w:r>
      <w:r w:rsidR="00CA7E74">
        <w:rPr>
          <w:lang w:val="fr-CA"/>
        </w:rPr>
        <w:t xml:space="preserve"> en droit international privé »</w:t>
      </w:r>
      <w:r>
        <w:rPr>
          <w:lang w:val="fr-CA"/>
        </w:rPr>
        <w:t xml:space="preserve"> (1988</w:t>
      </w:r>
      <w:r w:rsidR="00AF6697" w:rsidRPr="00442EE5">
        <w:rPr>
          <w:lang w:val="fr-CA"/>
        </w:rPr>
        <w:t xml:space="preserve">) 91 </w:t>
      </w:r>
      <w:r w:rsidR="00AF6697" w:rsidRPr="00442EE5">
        <w:rPr>
          <w:i/>
          <w:lang w:val="fr-CA"/>
        </w:rPr>
        <w:t>R. du N.</w:t>
      </w:r>
      <w:r w:rsidR="00AF6697" w:rsidRPr="00442EE5">
        <w:rPr>
          <w:lang w:val="fr-CA"/>
        </w:rPr>
        <w:t xml:space="preserve"> 606, p. 627</w:t>
      </w:r>
      <w:r w:rsidR="00AF6697" w:rsidRPr="00442EE5">
        <w:rPr>
          <w:lang w:val="fr-CA"/>
        </w:rPr>
        <w:noBreakHyphen/>
      </w:r>
      <w:r w:rsidR="00AF6697">
        <w:rPr>
          <w:lang w:val="fr-CA"/>
        </w:rPr>
        <w:t>628; S. </w:t>
      </w:r>
      <w:r w:rsidR="00AF6697" w:rsidRPr="00442EE5">
        <w:rPr>
          <w:lang w:val="fr-CA"/>
        </w:rPr>
        <w:t>Gaudet et P. Ferland, « Le droit international privé », dans Collection de droit de l</w:t>
      </w:r>
      <w:r w:rsidR="00AF6697">
        <w:rPr>
          <w:lang w:val="fr-CA"/>
        </w:rPr>
        <w:t>’</w:t>
      </w:r>
      <w:r w:rsidR="00AF6697" w:rsidRPr="00442EE5">
        <w:rPr>
          <w:lang w:val="fr-CA"/>
        </w:rPr>
        <w:t xml:space="preserve">École du </w:t>
      </w:r>
      <w:r w:rsidR="00AF6697" w:rsidRPr="00442EE5">
        <w:rPr>
          <w:lang w:val="fr-CA"/>
        </w:rPr>
        <w:lastRenderedPageBreak/>
        <w:t>Barreau du Québec 2015</w:t>
      </w:r>
      <w:r w:rsidR="00AF6697" w:rsidRPr="00442EE5">
        <w:rPr>
          <w:lang w:val="fr-CA"/>
        </w:rPr>
        <w:noBreakHyphen/>
        <w:t xml:space="preserve">2016, vol. 6, </w:t>
      </w:r>
      <w:r w:rsidR="00AF6697" w:rsidRPr="00442EE5">
        <w:rPr>
          <w:i/>
          <w:lang w:val="fr-CA"/>
        </w:rPr>
        <w:t>Contrats, sûretés, publicité des droits et droit international privé</w:t>
      </w:r>
      <w:r w:rsidR="00AF6697">
        <w:rPr>
          <w:i/>
          <w:lang w:val="fr-CA"/>
        </w:rPr>
        <w:t xml:space="preserve"> </w:t>
      </w:r>
      <w:r w:rsidR="00AF6697" w:rsidRPr="004729B2">
        <w:rPr>
          <w:lang w:val="fr-CA"/>
        </w:rPr>
        <w:t>(2015);</w:t>
      </w:r>
      <w:r w:rsidR="00AF6697" w:rsidRPr="00442EE5">
        <w:rPr>
          <w:lang w:val="fr-CA"/>
        </w:rPr>
        <w:t xml:space="preserve"> voir aussi </w:t>
      </w:r>
      <w:r w:rsidR="00AF6697" w:rsidRPr="00442EE5">
        <w:rPr>
          <w:i/>
          <w:lang w:val="fr-CA"/>
        </w:rPr>
        <w:t>Mutual Trust</w:t>
      </w:r>
      <w:r w:rsidR="00AF6697" w:rsidRPr="00442EE5">
        <w:rPr>
          <w:lang w:val="fr-CA"/>
        </w:rPr>
        <w:t>, p. 633</w:t>
      </w:r>
      <w:r w:rsidR="001E0152">
        <w:rPr>
          <w:lang w:val="fr-CA"/>
        </w:rPr>
        <w:t>.</w:t>
      </w:r>
      <w:r w:rsidR="00AF6697" w:rsidRPr="00442EE5">
        <w:rPr>
          <w:lang w:val="fr-CA"/>
        </w:rPr>
        <w:t xml:space="preserve">) </w:t>
      </w:r>
    </w:p>
    <w:p w:rsidR="00AF6697" w:rsidRPr="00442EE5" w:rsidRDefault="00AF6697" w:rsidP="00AF6697">
      <w:pPr>
        <w:pStyle w:val="ParaNoNdepar-AltN"/>
        <w:rPr>
          <w:rFonts w:cs="Times New Roman"/>
          <w:lang w:val="fr-CA"/>
        </w:rPr>
      </w:pPr>
      <w:r w:rsidRPr="00442EE5">
        <w:rPr>
          <w:rFonts w:cs="Times New Roman"/>
          <w:lang w:val="fr-CA"/>
        </w:rPr>
        <w:t>De la même façon, en l</w:t>
      </w:r>
      <w:r>
        <w:rPr>
          <w:rFonts w:cs="Times New Roman"/>
          <w:lang w:val="fr-CA"/>
        </w:rPr>
        <w:t>’</w:t>
      </w:r>
      <w:r w:rsidRPr="00442EE5">
        <w:rPr>
          <w:rFonts w:cs="Times New Roman"/>
          <w:lang w:val="fr-CA"/>
        </w:rPr>
        <w:t>espèce, l</w:t>
      </w:r>
      <w:r>
        <w:rPr>
          <w:rFonts w:cs="Times New Roman"/>
          <w:lang w:val="fr-CA"/>
        </w:rPr>
        <w:t>’</w:t>
      </w:r>
      <w:r w:rsidRPr="00442EE5">
        <w:rPr>
          <w:rFonts w:cs="Times New Roman"/>
          <w:lang w:val="fr-CA"/>
        </w:rPr>
        <w:t>intimée devait présenter suffisamment d</w:t>
      </w:r>
      <w:r>
        <w:rPr>
          <w:rFonts w:cs="Times New Roman"/>
          <w:lang w:val="fr-CA"/>
        </w:rPr>
        <w:t>’</w:t>
      </w:r>
      <w:r w:rsidRPr="00442EE5">
        <w:rPr>
          <w:rFonts w:cs="Times New Roman"/>
          <w:lang w:val="fr-CA"/>
        </w:rPr>
        <w:t>éléments de preuve pour permettre de percer le voile corporatif. Autrement, M. Barer n</w:t>
      </w:r>
      <w:r>
        <w:rPr>
          <w:rFonts w:cs="Times New Roman"/>
          <w:lang w:val="fr-CA"/>
        </w:rPr>
        <w:t>’</w:t>
      </w:r>
      <w:r w:rsidRPr="00442EE5">
        <w:rPr>
          <w:rFonts w:cs="Times New Roman"/>
          <w:lang w:val="fr-CA"/>
        </w:rPr>
        <w:t>avait pas d</w:t>
      </w:r>
      <w:r>
        <w:rPr>
          <w:rFonts w:cs="Times New Roman"/>
          <w:lang w:val="fr-CA"/>
        </w:rPr>
        <w:t>’</w:t>
      </w:r>
      <w:r w:rsidRPr="00442EE5">
        <w:rPr>
          <w:rFonts w:cs="Times New Roman"/>
          <w:lang w:val="fr-CA"/>
        </w:rPr>
        <w:t>« obligations découlant d</w:t>
      </w:r>
      <w:r>
        <w:rPr>
          <w:rFonts w:cs="Times New Roman"/>
          <w:lang w:val="fr-CA"/>
        </w:rPr>
        <w:t>’</w:t>
      </w:r>
      <w:r w:rsidRPr="00442EE5">
        <w:rPr>
          <w:rFonts w:cs="Times New Roman"/>
          <w:lang w:val="fr-CA"/>
        </w:rPr>
        <w:t xml:space="preserve">un contrat » à exécuter en Utah et il ne pouvait y avoir de déclaration de compétence à son égard au titre </w:t>
      </w:r>
      <w:r w:rsidR="006151FE">
        <w:rPr>
          <w:rFonts w:cs="Times New Roman"/>
          <w:lang w:val="fr-CA"/>
        </w:rPr>
        <w:t>du par</w:t>
      </w:r>
      <w:r w:rsidRPr="00442EE5">
        <w:rPr>
          <w:rFonts w:cs="Times New Roman"/>
          <w:lang w:val="fr-CA"/>
        </w:rPr>
        <w:t xml:space="preserve">. 3168(4) </w:t>
      </w:r>
      <w:r w:rsidRPr="00442EE5">
        <w:rPr>
          <w:rFonts w:cs="Times New Roman"/>
          <w:i/>
          <w:lang w:val="fr-CA"/>
        </w:rPr>
        <w:t>C.c.Q</w:t>
      </w:r>
      <w:r w:rsidRPr="00442EE5">
        <w:rPr>
          <w:rFonts w:cs="Times New Roman"/>
          <w:lang w:val="fr-CA"/>
        </w:rPr>
        <w:t>. Dans les circonstances de l</w:t>
      </w:r>
      <w:r>
        <w:rPr>
          <w:rFonts w:cs="Times New Roman"/>
          <w:lang w:val="fr-CA"/>
        </w:rPr>
        <w:t>’</w:t>
      </w:r>
      <w:r w:rsidRPr="00442EE5">
        <w:rPr>
          <w:rFonts w:cs="Times New Roman"/>
          <w:lang w:val="fr-CA"/>
        </w:rPr>
        <w:t>espèce, il s</w:t>
      </w:r>
      <w:r>
        <w:rPr>
          <w:rFonts w:cs="Times New Roman"/>
          <w:lang w:val="fr-CA"/>
        </w:rPr>
        <w:t>’</w:t>
      </w:r>
      <w:r w:rsidRPr="00442EE5">
        <w:rPr>
          <w:rFonts w:cs="Times New Roman"/>
          <w:lang w:val="fr-CA"/>
        </w:rPr>
        <w:t>agit d</w:t>
      </w:r>
      <w:r>
        <w:rPr>
          <w:rFonts w:cs="Times New Roman"/>
          <w:lang w:val="fr-CA"/>
        </w:rPr>
        <w:t>’</w:t>
      </w:r>
      <w:r w:rsidRPr="00442EE5">
        <w:rPr>
          <w:rFonts w:cs="Times New Roman"/>
          <w:lang w:val="fr-CA"/>
        </w:rPr>
        <w:t>une question de compétence, et non d</w:t>
      </w:r>
      <w:r>
        <w:rPr>
          <w:rFonts w:cs="Times New Roman"/>
          <w:lang w:val="fr-CA"/>
        </w:rPr>
        <w:t>’</w:t>
      </w:r>
      <w:r w:rsidRPr="00442EE5">
        <w:rPr>
          <w:rFonts w:cs="Times New Roman"/>
          <w:lang w:val="fr-CA"/>
        </w:rPr>
        <w:t>une question de fond.</w:t>
      </w:r>
    </w:p>
    <w:p w:rsidR="00AF6697" w:rsidRPr="00442EE5" w:rsidRDefault="00AF6697" w:rsidP="00AF6697">
      <w:pPr>
        <w:pStyle w:val="ParaNoNdepar-AltN"/>
        <w:rPr>
          <w:rFonts w:cs="Times New Roman"/>
          <w:lang w:val="fr-CA"/>
        </w:rPr>
      </w:pPr>
      <w:r w:rsidRPr="00442EE5">
        <w:rPr>
          <w:rFonts w:cs="Times New Roman"/>
          <w:lang w:val="fr-CA"/>
        </w:rPr>
        <w:t>Je rappelle qu</w:t>
      </w:r>
      <w:r>
        <w:rPr>
          <w:rFonts w:cs="Times New Roman"/>
          <w:lang w:val="fr-CA"/>
        </w:rPr>
        <w:t>’</w:t>
      </w:r>
      <w:r w:rsidRPr="00442EE5">
        <w:rPr>
          <w:rFonts w:cs="Times New Roman"/>
          <w:lang w:val="fr-CA"/>
        </w:rPr>
        <w:t xml:space="preserve">en ce qui concerne la </w:t>
      </w:r>
      <w:r w:rsidRPr="00442EE5">
        <w:rPr>
          <w:rFonts w:cs="Times New Roman"/>
          <w:i/>
          <w:lang w:val="fr-CA"/>
        </w:rPr>
        <w:t>compétence</w:t>
      </w:r>
      <w:r w:rsidRPr="00442EE5">
        <w:rPr>
          <w:rFonts w:cs="Times New Roman"/>
          <w:lang w:val="fr-CA"/>
        </w:rPr>
        <w:t>, le droit applicable pour déterminer s</w:t>
      </w:r>
      <w:r>
        <w:rPr>
          <w:rFonts w:cs="Times New Roman"/>
          <w:lang w:val="fr-CA"/>
        </w:rPr>
        <w:t>’</w:t>
      </w:r>
      <w:r w:rsidRPr="00442EE5">
        <w:rPr>
          <w:rFonts w:cs="Times New Roman"/>
          <w:lang w:val="fr-CA"/>
        </w:rPr>
        <w:t>il convient de percer le voile corporatif est celui du Québec, et non celui de l</w:t>
      </w:r>
      <w:r>
        <w:rPr>
          <w:rFonts w:cs="Times New Roman"/>
          <w:lang w:val="fr-CA"/>
        </w:rPr>
        <w:t>’</w:t>
      </w:r>
      <w:r w:rsidRPr="00442EE5">
        <w:rPr>
          <w:rFonts w:cs="Times New Roman"/>
          <w:lang w:val="fr-CA"/>
        </w:rPr>
        <w:t>Utah. Contrairement à ce qu</w:t>
      </w:r>
      <w:r>
        <w:rPr>
          <w:rFonts w:cs="Times New Roman"/>
          <w:lang w:val="fr-CA"/>
        </w:rPr>
        <w:t>’</w:t>
      </w:r>
      <w:r w:rsidRPr="00442EE5">
        <w:rPr>
          <w:rFonts w:cs="Times New Roman"/>
          <w:lang w:val="fr-CA"/>
        </w:rPr>
        <w:t>affirme</w:t>
      </w:r>
      <w:r w:rsidR="004527AC">
        <w:rPr>
          <w:rFonts w:cs="Times New Roman"/>
          <w:lang w:val="fr-CA"/>
        </w:rPr>
        <w:t xml:space="preserve"> mon collègue le juge Brown (</w:t>
      </w:r>
      <w:r w:rsidRPr="00442EE5">
        <w:rPr>
          <w:rFonts w:cs="Times New Roman"/>
          <w:lang w:val="fr-CA"/>
        </w:rPr>
        <w:t>par. 101), il importe peu de savoir que l</w:t>
      </w:r>
      <w:r>
        <w:rPr>
          <w:rFonts w:cs="Times New Roman"/>
          <w:lang w:val="fr-CA"/>
        </w:rPr>
        <w:t>’</w:t>
      </w:r>
      <w:r w:rsidRPr="00442EE5">
        <w:rPr>
          <w:rFonts w:cs="Times New Roman"/>
          <w:lang w:val="fr-CA"/>
        </w:rPr>
        <w:t>allégation d</w:t>
      </w:r>
      <w:r>
        <w:rPr>
          <w:rFonts w:cs="Times New Roman"/>
          <w:lang w:val="fr-CA"/>
        </w:rPr>
        <w:t>’</w:t>
      </w:r>
      <w:r w:rsidRPr="00442EE5">
        <w:rPr>
          <w:rFonts w:cs="Times New Roman"/>
          <w:lang w:val="fr-CA"/>
        </w:rPr>
        <w:t>alter ego aurait pu être régie par le droit de l</w:t>
      </w:r>
      <w:r>
        <w:rPr>
          <w:rFonts w:cs="Times New Roman"/>
          <w:lang w:val="fr-CA"/>
        </w:rPr>
        <w:t>’</w:t>
      </w:r>
      <w:r w:rsidRPr="00442EE5">
        <w:rPr>
          <w:rFonts w:cs="Times New Roman"/>
          <w:lang w:val="fr-CA"/>
        </w:rPr>
        <w:t>Utah si M. Barer avait été poursuivi au Québec. La question qui se pose en l</w:t>
      </w:r>
      <w:r>
        <w:rPr>
          <w:rFonts w:cs="Times New Roman"/>
          <w:lang w:val="fr-CA"/>
        </w:rPr>
        <w:t>’</w:t>
      </w:r>
      <w:r w:rsidRPr="00442EE5">
        <w:rPr>
          <w:rFonts w:cs="Times New Roman"/>
          <w:lang w:val="fr-CA"/>
        </w:rPr>
        <w:t>espèce est de savoir non pas quel droit il convient d</w:t>
      </w:r>
      <w:r>
        <w:rPr>
          <w:rFonts w:cs="Times New Roman"/>
          <w:lang w:val="fr-CA"/>
        </w:rPr>
        <w:t>’</w:t>
      </w:r>
      <w:r w:rsidRPr="00442EE5">
        <w:rPr>
          <w:rFonts w:cs="Times New Roman"/>
          <w:lang w:val="fr-CA"/>
        </w:rPr>
        <w:t xml:space="preserve">appliquer au fond, mais plutôt si le jugement étranger rendu contre M. Barer peut </w:t>
      </w:r>
      <w:r w:rsidR="006151FE">
        <w:rPr>
          <w:rFonts w:cs="Times New Roman"/>
          <w:lang w:val="fr-CA"/>
        </w:rPr>
        <w:t>être reconnu sur le fondement du</w:t>
      </w:r>
      <w:r w:rsidRPr="00442EE5">
        <w:rPr>
          <w:rFonts w:cs="Times New Roman"/>
          <w:lang w:val="fr-CA"/>
        </w:rPr>
        <w:t xml:space="preserve"> </w:t>
      </w:r>
      <w:r w:rsidR="006151FE">
        <w:rPr>
          <w:rFonts w:cs="Times New Roman"/>
          <w:lang w:val="fr-CA"/>
        </w:rPr>
        <w:t>par.</w:t>
      </w:r>
      <w:r w:rsidRPr="00442EE5">
        <w:rPr>
          <w:rFonts w:cs="Times New Roman"/>
          <w:lang w:val="fr-CA"/>
        </w:rPr>
        <w:t xml:space="preserve"> 3168(4) </w:t>
      </w:r>
      <w:r w:rsidRPr="00442EE5">
        <w:rPr>
          <w:rFonts w:cs="Times New Roman"/>
          <w:i/>
          <w:lang w:val="fr-CA"/>
        </w:rPr>
        <w:t>C.c.Q</w:t>
      </w:r>
      <w:r w:rsidRPr="00442EE5">
        <w:rPr>
          <w:rFonts w:cs="Times New Roman"/>
          <w:lang w:val="fr-CA"/>
        </w:rPr>
        <w:t>.</w:t>
      </w:r>
    </w:p>
    <w:p w:rsidR="00AF6697" w:rsidRPr="00442EE5" w:rsidRDefault="00AF6697" w:rsidP="00AF6697">
      <w:pPr>
        <w:pStyle w:val="ParaNoNdepar-AltN"/>
        <w:rPr>
          <w:rFonts w:cs="Times New Roman"/>
          <w:lang w:val="fr-CA"/>
        </w:rPr>
      </w:pPr>
      <w:r w:rsidRPr="00442EE5">
        <w:rPr>
          <w:rFonts w:cs="Times New Roman"/>
          <w:lang w:val="fr-CA"/>
        </w:rPr>
        <w:t>La nature et la portée d</w:t>
      </w:r>
      <w:r>
        <w:rPr>
          <w:rFonts w:cs="Times New Roman"/>
          <w:lang w:val="fr-CA"/>
        </w:rPr>
        <w:t>’</w:t>
      </w:r>
      <w:r w:rsidRPr="00442EE5">
        <w:rPr>
          <w:rFonts w:cs="Times New Roman"/>
          <w:lang w:val="fr-CA"/>
        </w:rPr>
        <w:t xml:space="preserve">un facteur de rattachement codifié dans le </w:t>
      </w:r>
      <w:r w:rsidRPr="00442EE5">
        <w:rPr>
          <w:rFonts w:cs="Times New Roman"/>
          <w:i/>
          <w:lang w:val="fr-CA"/>
        </w:rPr>
        <w:t xml:space="preserve">Code civil </w:t>
      </w:r>
      <w:r w:rsidRPr="00442EE5">
        <w:rPr>
          <w:rFonts w:cs="Times New Roman"/>
          <w:lang w:val="fr-CA"/>
        </w:rPr>
        <w:t>doivent être déterminées selon le droit québécois. Elles ne varient pas en fonction de l</w:t>
      </w:r>
      <w:r>
        <w:rPr>
          <w:rFonts w:cs="Times New Roman"/>
          <w:lang w:val="fr-CA"/>
        </w:rPr>
        <w:t>’</w:t>
      </w:r>
      <w:r w:rsidRPr="00442EE5">
        <w:rPr>
          <w:rFonts w:cs="Times New Roman"/>
          <w:lang w:val="fr-CA"/>
        </w:rPr>
        <w:t>autorité étrangère en cause. Comme l</w:t>
      </w:r>
      <w:r>
        <w:rPr>
          <w:rFonts w:cs="Times New Roman"/>
          <w:lang w:val="fr-CA"/>
        </w:rPr>
        <w:t>’</w:t>
      </w:r>
      <w:r w:rsidRPr="00442EE5">
        <w:rPr>
          <w:rFonts w:cs="Times New Roman"/>
          <w:lang w:val="fr-CA"/>
        </w:rPr>
        <w:t>expliquent P. Ferland et G. Laganière dans le contexte des règles de conflit :</w:t>
      </w:r>
    </w:p>
    <w:p w:rsidR="00AF6697" w:rsidRPr="00442EE5" w:rsidRDefault="00AF6697" w:rsidP="00AF6697">
      <w:pPr>
        <w:pStyle w:val="Citation-AltC"/>
        <w:spacing w:after="240"/>
        <w:ind w:left="1168" w:hanging="1168"/>
        <w:contextualSpacing w:val="0"/>
        <w:rPr>
          <w:lang w:val="fr-CA"/>
        </w:rPr>
      </w:pPr>
      <w:r>
        <w:rPr>
          <w:lang w:val="fr-CA"/>
        </w:rPr>
        <w:tab/>
      </w:r>
      <w:r w:rsidRPr="00442EE5">
        <w:rPr>
          <w:lang w:val="fr-CA"/>
        </w:rPr>
        <w:t>Or, on ne voit pas pourquoi l</w:t>
      </w:r>
      <w:r>
        <w:rPr>
          <w:lang w:val="fr-CA"/>
        </w:rPr>
        <w:t>’</w:t>
      </w:r>
      <w:r w:rsidRPr="00442EE5">
        <w:rPr>
          <w:lang w:val="fr-CA"/>
        </w:rPr>
        <w:t>interprétation des règles de conflit étrangères devrait influencer l</w:t>
      </w:r>
      <w:r>
        <w:rPr>
          <w:lang w:val="fr-CA"/>
        </w:rPr>
        <w:t>’</w:t>
      </w:r>
      <w:r w:rsidRPr="00442EE5">
        <w:rPr>
          <w:lang w:val="fr-CA"/>
        </w:rPr>
        <w:t>interprétation des règles de conflits québécoises : si un tribunal québécois est saisi d</w:t>
      </w:r>
      <w:r>
        <w:rPr>
          <w:lang w:val="fr-CA"/>
        </w:rPr>
        <w:t>’</w:t>
      </w:r>
      <w:r w:rsidRPr="00442EE5">
        <w:rPr>
          <w:lang w:val="fr-CA"/>
        </w:rPr>
        <w:t>une question de droit international privé, c</w:t>
      </w:r>
      <w:r>
        <w:rPr>
          <w:lang w:val="fr-CA"/>
        </w:rPr>
        <w:t>’</w:t>
      </w:r>
      <w:r w:rsidRPr="00442EE5">
        <w:rPr>
          <w:lang w:val="fr-CA"/>
        </w:rPr>
        <w:t>est à ce tribunal de délimiter le champ d</w:t>
      </w:r>
      <w:r>
        <w:rPr>
          <w:lang w:val="fr-CA"/>
        </w:rPr>
        <w:t>’</w:t>
      </w:r>
      <w:r w:rsidRPr="00442EE5">
        <w:rPr>
          <w:lang w:val="fr-CA"/>
        </w:rPr>
        <w:t xml:space="preserve">application des règles de conflit </w:t>
      </w:r>
      <w:r w:rsidRPr="00442EE5">
        <w:rPr>
          <w:lang w:val="fr-CA"/>
        </w:rPr>
        <w:lastRenderedPageBreak/>
        <w:t>québécoises pertinentes (donc à interpréter ces règles), et ce, à l</w:t>
      </w:r>
      <w:r>
        <w:rPr>
          <w:lang w:val="fr-CA"/>
        </w:rPr>
        <w:t>’</w:t>
      </w:r>
      <w:r w:rsidRPr="00442EE5">
        <w:rPr>
          <w:lang w:val="fr-CA"/>
        </w:rPr>
        <w:t>aide des concepts du droit québécois.</w:t>
      </w:r>
      <w:r w:rsidR="00A66314">
        <w:rPr>
          <w:lang w:val="fr-CA"/>
        </w:rPr>
        <w:t xml:space="preserve"> . .</w:t>
      </w:r>
    </w:p>
    <w:p w:rsidR="00AF6697" w:rsidRPr="00442EE5" w:rsidRDefault="00AF6697" w:rsidP="009D2362">
      <w:pPr>
        <w:pStyle w:val="Citation-AltC"/>
        <w:ind w:left="0"/>
        <w:rPr>
          <w:sz w:val="20"/>
          <w:lang w:val="fr-CA"/>
        </w:rPr>
      </w:pPr>
      <w:r w:rsidRPr="00442EE5">
        <w:rPr>
          <w:sz w:val="20"/>
          <w:lang w:val="fr-CA"/>
        </w:rPr>
        <w:t>(« </w:t>
      </w:r>
      <w:r w:rsidRPr="00442EE5">
        <w:rPr>
          <w:lang w:val="fr-CA"/>
        </w:rPr>
        <w:t>Le droit international privé », dans Collection de droit de l</w:t>
      </w:r>
      <w:r>
        <w:rPr>
          <w:lang w:val="fr-CA"/>
        </w:rPr>
        <w:t>’</w:t>
      </w:r>
      <w:r w:rsidRPr="00442EE5">
        <w:rPr>
          <w:lang w:val="fr-CA"/>
        </w:rPr>
        <w:t>École du Barreau du Québec 2017</w:t>
      </w:r>
      <w:r w:rsidRPr="00442EE5">
        <w:rPr>
          <w:lang w:val="fr-CA"/>
        </w:rPr>
        <w:noBreakHyphen/>
        <w:t xml:space="preserve">2018, vol. 7, </w:t>
      </w:r>
      <w:r w:rsidRPr="00442EE5">
        <w:rPr>
          <w:i/>
          <w:lang w:val="fr-CA"/>
        </w:rPr>
        <w:t>Contrats, sûretés, publicité des droits et droit international privé</w:t>
      </w:r>
      <w:r>
        <w:rPr>
          <w:i/>
          <w:lang w:val="fr-CA"/>
        </w:rPr>
        <w:t xml:space="preserve"> </w:t>
      </w:r>
      <w:r>
        <w:rPr>
          <w:lang w:val="fr-CA"/>
        </w:rPr>
        <w:t>(2017)</w:t>
      </w:r>
      <w:r w:rsidRPr="00442EE5">
        <w:rPr>
          <w:lang w:val="fr-CA"/>
        </w:rPr>
        <w:t xml:space="preserve">, </w:t>
      </w:r>
      <w:r w:rsidR="004527AC">
        <w:rPr>
          <w:lang w:val="fr-CA"/>
        </w:rPr>
        <w:t xml:space="preserve">253, </w:t>
      </w:r>
      <w:r w:rsidRPr="00442EE5">
        <w:rPr>
          <w:lang w:val="fr-CA"/>
        </w:rPr>
        <w:t>p. 257)</w:t>
      </w:r>
    </w:p>
    <w:p w:rsidR="00AF6697" w:rsidRPr="00442EE5" w:rsidRDefault="00AF6697" w:rsidP="00AF6697">
      <w:pPr>
        <w:pStyle w:val="ParaNoNdepar-AltN"/>
        <w:rPr>
          <w:rFonts w:cs="Times New Roman"/>
          <w:lang w:val="fr-CA"/>
        </w:rPr>
      </w:pPr>
      <w:r w:rsidRPr="00442EE5">
        <w:rPr>
          <w:rFonts w:cs="Times New Roman"/>
          <w:lang w:val="fr-CA"/>
        </w:rPr>
        <w:t>Par exemple, il fait peu de doute que la n</w:t>
      </w:r>
      <w:r w:rsidR="00D23D5D">
        <w:rPr>
          <w:rFonts w:cs="Times New Roman"/>
          <w:lang w:val="fr-CA"/>
        </w:rPr>
        <w:t>otion de « domicile » au sens du</w:t>
      </w:r>
      <w:r w:rsidRPr="00442EE5">
        <w:rPr>
          <w:rFonts w:cs="Times New Roman"/>
          <w:lang w:val="fr-CA"/>
        </w:rPr>
        <w:t xml:space="preserve"> </w:t>
      </w:r>
      <w:r w:rsidR="00D23D5D">
        <w:rPr>
          <w:rFonts w:cs="Times New Roman"/>
          <w:lang w:val="fr-CA"/>
        </w:rPr>
        <w:t>par.</w:t>
      </w:r>
      <w:r w:rsidRPr="00442EE5">
        <w:rPr>
          <w:rFonts w:cs="Times New Roman"/>
          <w:lang w:val="fr-CA"/>
        </w:rPr>
        <w:t xml:space="preserve"> 3168(1) </w:t>
      </w:r>
      <w:r w:rsidRPr="00442EE5">
        <w:rPr>
          <w:rFonts w:cs="Times New Roman"/>
          <w:i/>
          <w:lang w:val="fr-CA"/>
        </w:rPr>
        <w:t>C.c.Q.</w:t>
      </w:r>
      <w:r w:rsidRPr="00442EE5">
        <w:rPr>
          <w:rFonts w:cs="Times New Roman"/>
          <w:lang w:val="fr-CA"/>
        </w:rPr>
        <w:t xml:space="preserve"> doit être interprétée à la lumière du droit civil québécois (art. 75 et 307 </w:t>
      </w:r>
      <w:r w:rsidRPr="00442EE5">
        <w:rPr>
          <w:rFonts w:cs="Times New Roman"/>
          <w:i/>
          <w:lang w:val="fr-CA"/>
        </w:rPr>
        <w:t>C.c.Q.</w:t>
      </w:r>
      <w:r w:rsidRPr="00442EE5">
        <w:rPr>
          <w:rFonts w:cs="Times New Roman"/>
          <w:lang w:val="fr-CA"/>
        </w:rPr>
        <w:t>). Comme l</w:t>
      </w:r>
      <w:r>
        <w:rPr>
          <w:rFonts w:cs="Times New Roman"/>
          <w:lang w:val="fr-CA"/>
        </w:rPr>
        <w:t>’</w:t>
      </w:r>
      <w:r w:rsidRPr="00442EE5">
        <w:rPr>
          <w:rFonts w:cs="Times New Roman"/>
          <w:lang w:val="fr-CA"/>
        </w:rPr>
        <w:t xml:space="preserve">affirme le professeur Goldstein, « la </w:t>
      </w:r>
      <w:r w:rsidRPr="00442EE5">
        <w:rPr>
          <w:rFonts w:cs="Times New Roman"/>
          <w:i/>
          <w:iCs/>
          <w:lang w:val="fr-CA"/>
        </w:rPr>
        <w:t xml:space="preserve">définition </w:t>
      </w:r>
      <w:r w:rsidRPr="00442EE5">
        <w:rPr>
          <w:rFonts w:cs="Times New Roman"/>
          <w:lang w:val="fr-CA"/>
        </w:rPr>
        <w:t>même du domicile de l</w:t>
      </w:r>
      <w:r>
        <w:rPr>
          <w:rFonts w:cs="Times New Roman"/>
          <w:lang w:val="fr-CA"/>
        </w:rPr>
        <w:t>’</w:t>
      </w:r>
      <w:r w:rsidRPr="00442EE5">
        <w:rPr>
          <w:rFonts w:cs="Times New Roman"/>
          <w:lang w:val="fr-CA"/>
        </w:rPr>
        <w:t>article 3168 C.c.Q. ne peut provenir que du droit québécois puisqu</w:t>
      </w:r>
      <w:r>
        <w:rPr>
          <w:rFonts w:cs="Times New Roman"/>
          <w:lang w:val="fr-CA"/>
        </w:rPr>
        <w:t>’</w:t>
      </w:r>
      <w:r w:rsidRPr="00442EE5">
        <w:rPr>
          <w:rFonts w:cs="Times New Roman"/>
          <w:lang w:val="fr-CA"/>
        </w:rPr>
        <w:t>il s</w:t>
      </w:r>
      <w:r>
        <w:rPr>
          <w:rFonts w:cs="Times New Roman"/>
          <w:lang w:val="fr-CA"/>
        </w:rPr>
        <w:t>’</w:t>
      </w:r>
      <w:r w:rsidRPr="00442EE5">
        <w:rPr>
          <w:rFonts w:cs="Times New Roman"/>
          <w:lang w:val="fr-CA"/>
        </w:rPr>
        <w:t>agit d</w:t>
      </w:r>
      <w:r>
        <w:rPr>
          <w:rFonts w:cs="Times New Roman"/>
          <w:lang w:val="fr-CA"/>
        </w:rPr>
        <w:t>’</w:t>
      </w:r>
      <w:r w:rsidRPr="00442EE5">
        <w:rPr>
          <w:rFonts w:cs="Times New Roman"/>
          <w:lang w:val="fr-CA"/>
        </w:rPr>
        <w:t>interpréter des dispositions québécoises » (</w:t>
      </w:r>
      <w:r w:rsidR="004527AC" w:rsidRPr="00A66314">
        <w:rPr>
          <w:rFonts w:cs="Times New Roman"/>
          <w:i/>
          <w:lang w:val="fr-CA"/>
        </w:rPr>
        <w:t>Droit interna</w:t>
      </w:r>
      <w:r w:rsidR="00A66314" w:rsidRPr="00A66314">
        <w:rPr>
          <w:rFonts w:cs="Times New Roman"/>
          <w:i/>
          <w:lang w:val="fr-CA"/>
        </w:rPr>
        <w:t>tional privé</w:t>
      </w:r>
      <w:r w:rsidR="004527AC">
        <w:rPr>
          <w:rFonts w:cs="Times New Roman"/>
          <w:lang w:val="fr-CA"/>
        </w:rPr>
        <w:t xml:space="preserve">, vol. 2, </w:t>
      </w:r>
      <w:r w:rsidRPr="00442EE5">
        <w:rPr>
          <w:rFonts w:cs="Times New Roman"/>
          <w:i/>
          <w:lang w:val="fr-CA"/>
        </w:rPr>
        <w:t xml:space="preserve">Compétence internationale des autorités québécoises et effets des décisions étrangères (Art. 3134 à 3168 C.c.Q.) </w:t>
      </w:r>
      <w:r w:rsidRPr="00442EE5">
        <w:rPr>
          <w:rFonts w:cs="Times New Roman"/>
          <w:lang w:val="fr-CA"/>
        </w:rPr>
        <w:t xml:space="preserve">(2012), p. 441; voir également Ferland et Laganière, p. 304; G. Goldstein et E. Groffier, </w:t>
      </w:r>
      <w:r w:rsidRPr="00442EE5">
        <w:rPr>
          <w:rFonts w:cs="Times New Roman"/>
          <w:i/>
          <w:lang w:val="fr-CA"/>
        </w:rPr>
        <w:t>Droit international privé</w:t>
      </w:r>
      <w:r w:rsidR="004527AC">
        <w:rPr>
          <w:rFonts w:cs="Times New Roman"/>
          <w:lang w:val="fr-CA"/>
        </w:rPr>
        <w:t>, t</w:t>
      </w:r>
      <w:r w:rsidRPr="00442EE5">
        <w:rPr>
          <w:rFonts w:cs="Times New Roman"/>
          <w:lang w:val="fr-CA"/>
        </w:rPr>
        <w:t xml:space="preserve">. 1, </w:t>
      </w:r>
      <w:r w:rsidRPr="00442EE5">
        <w:rPr>
          <w:rFonts w:cs="Times New Roman"/>
          <w:i/>
          <w:lang w:val="fr-CA"/>
        </w:rPr>
        <w:t>Théorie générale</w:t>
      </w:r>
      <w:r w:rsidRPr="00442EE5">
        <w:rPr>
          <w:rFonts w:cs="Times New Roman"/>
          <w:lang w:val="fr-CA"/>
        </w:rPr>
        <w:t xml:space="preserve"> (1998) p. 428; Emanuelli, p. 166). Ce qui constitue une reconnaissance au sens d</w:t>
      </w:r>
      <w:r w:rsidR="00D23D5D">
        <w:rPr>
          <w:rFonts w:cs="Times New Roman"/>
          <w:lang w:val="fr-CA"/>
        </w:rPr>
        <w:t>u</w:t>
      </w:r>
      <w:r w:rsidRPr="00442EE5">
        <w:rPr>
          <w:rFonts w:cs="Times New Roman"/>
          <w:lang w:val="fr-CA"/>
        </w:rPr>
        <w:t xml:space="preserve"> </w:t>
      </w:r>
      <w:r w:rsidR="00D23D5D">
        <w:rPr>
          <w:rFonts w:cs="Times New Roman"/>
          <w:lang w:val="fr-CA"/>
        </w:rPr>
        <w:t>par</w:t>
      </w:r>
      <w:r w:rsidRPr="00442EE5">
        <w:rPr>
          <w:rFonts w:cs="Times New Roman"/>
          <w:lang w:val="fr-CA"/>
        </w:rPr>
        <w:t xml:space="preserve">. 3168(6) </w:t>
      </w:r>
      <w:r w:rsidRPr="00442EE5">
        <w:rPr>
          <w:rFonts w:cs="Times New Roman"/>
          <w:i/>
          <w:lang w:val="fr-CA"/>
        </w:rPr>
        <w:t>C.c.Q</w:t>
      </w:r>
      <w:r w:rsidRPr="00442EE5">
        <w:rPr>
          <w:rFonts w:cs="Times New Roman"/>
          <w:lang w:val="fr-CA"/>
        </w:rPr>
        <w:t>. est aussi établi en fonction du droit québécois (J. Walker,</w:t>
      </w:r>
      <w:r w:rsidRPr="00442EE5">
        <w:rPr>
          <w:rFonts w:cs="Times New Roman"/>
          <w:i/>
          <w:lang w:val="fr-CA"/>
        </w:rPr>
        <w:t xml:space="preserve"> </w:t>
      </w:r>
      <w:r w:rsidR="009D2362">
        <w:rPr>
          <w:rFonts w:cs="Times New Roman"/>
          <w:i/>
          <w:lang w:val="fr-CA"/>
        </w:rPr>
        <w:t xml:space="preserve">Castel &amp; Walker : </w:t>
      </w:r>
      <w:r w:rsidRPr="00442EE5">
        <w:rPr>
          <w:rFonts w:cs="Times New Roman"/>
          <w:i/>
          <w:lang w:val="fr-CA"/>
        </w:rPr>
        <w:t>Canadian Conflict of Laws</w:t>
      </w:r>
      <w:r w:rsidRPr="00442EE5">
        <w:rPr>
          <w:rFonts w:cs="Times New Roman"/>
          <w:lang w:val="fr-CA"/>
        </w:rPr>
        <w:t xml:space="preserve"> (6</w:t>
      </w:r>
      <w:r w:rsidRPr="00442EE5">
        <w:rPr>
          <w:rFonts w:cs="Times New Roman"/>
          <w:vertAlign w:val="superscript"/>
          <w:lang w:val="fr-CA"/>
        </w:rPr>
        <w:t>e</w:t>
      </w:r>
      <w:r w:rsidRPr="00442EE5">
        <w:rPr>
          <w:rFonts w:cs="Times New Roman"/>
          <w:lang w:val="fr-CA"/>
        </w:rPr>
        <w:t> éd. (feuilles mobiles)), p. 14</w:t>
      </w:r>
      <w:r w:rsidRPr="00442EE5">
        <w:rPr>
          <w:rFonts w:cs="Times New Roman"/>
          <w:lang w:val="fr-CA"/>
        </w:rPr>
        <w:noBreakHyphen/>
        <w:t>24), tout comme la définition d</w:t>
      </w:r>
      <w:r>
        <w:rPr>
          <w:rFonts w:cs="Times New Roman"/>
          <w:lang w:val="fr-CA"/>
        </w:rPr>
        <w:t>’</w:t>
      </w:r>
      <w:r w:rsidRPr="00442EE5">
        <w:rPr>
          <w:rFonts w:cs="Times New Roman"/>
          <w:lang w:val="fr-CA"/>
        </w:rPr>
        <w:t>une demande incidente au sens de l</w:t>
      </w:r>
      <w:r>
        <w:rPr>
          <w:rFonts w:cs="Times New Roman"/>
          <w:lang w:val="fr-CA"/>
        </w:rPr>
        <w:t>’</w:t>
      </w:r>
      <w:r w:rsidRPr="00442EE5">
        <w:rPr>
          <w:rFonts w:cs="Times New Roman"/>
          <w:lang w:val="fr-CA"/>
        </w:rPr>
        <w:t xml:space="preserve">art. 3139 </w:t>
      </w:r>
      <w:r w:rsidRPr="00442EE5">
        <w:rPr>
          <w:rFonts w:cs="Times New Roman"/>
          <w:i/>
          <w:lang w:val="fr-CA"/>
        </w:rPr>
        <w:t>C.c.Q.</w:t>
      </w:r>
      <w:r w:rsidRPr="00442EE5">
        <w:rPr>
          <w:rFonts w:cs="Times New Roman"/>
          <w:lang w:val="fr-CA"/>
        </w:rPr>
        <w:t xml:space="preserve"> (G. Goldstein, « Compétence internationale indirecte du tribunal étranger », dans </w:t>
      </w:r>
      <w:r w:rsidRPr="00442EE5">
        <w:rPr>
          <w:rFonts w:cs="Times New Roman"/>
          <w:i/>
          <w:lang w:val="fr-CA"/>
        </w:rPr>
        <w:t>JurisClasseur Québec — Droit international privé</w:t>
      </w:r>
      <w:r w:rsidRPr="00442EE5">
        <w:rPr>
          <w:rFonts w:cs="Times New Roman"/>
          <w:lang w:val="fr-CA"/>
        </w:rPr>
        <w:t xml:space="preserve"> (feuilles mobiles), par P.</w:t>
      </w:r>
      <w:r w:rsidRPr="00442EE5">
        <w:rPr>
          <w:rFonts w:cs="Times New Roman"/>
          <w:lang w:val="fr-CA"/>
        </w:rPr>
        <w:noBreakHyphen/>
        <w:t>C. Lafond, dir., fasc. 11, par. 41). À mon avis, il en est de même pour les autres facteurs de rattachement, notamment les obligations découlant d</w:t>
      </w:r>
      <w:r>
        <w:rPr>
          <w:rFonts w:cs="Times New Roman"/>
          <w:lang w:val="fr-CA"/>
        </w:rPr>
        <w:t>’</w:t>
      </w:r>
      <w:r w:rsidRPr="00442EE5">
        <w:rPr>
          <w:rFonts w:cs="Times New Roman"/>
          <w:lang w:val="fr-CA"/>
        </w:rPr>
        <w:t xml:space="preserve">un contrat visées par </w:t>
      </w:r>
      <w:r w:rsidR="005F4E7E">
        <w:rPr>
          <w:rFonts w:cs="Times New Roman"/>
          <w:lang w:val="fr-CA"/>
        </w:rPr>
        <w:t>le par.</w:t>
      </w:r>
      <w:r w:rsidRPr="00442EE5">
        <w:rPr>
          <w:rFonts w:cs="Times New Roman"/>
          <w:lang w:val="fr-CA"/>
        </w:rPr>
        <w:t xml:space="preserve"> 3168(4) </w:t>
      </w:r>
      <w:r w:rsidRPr="00442EE5">
        <w:rPr>
          <w:rFonts w:cs="Times New Roman"/>
          <w:i/>
          <w:lang w:val="fr-CA"/>
        </w:rPr>
        <w:t>C.c.Q</w:t>
      </w:r>
      <w:r w:rsidRPr="00442EE5">
        <w:rPr>
          <w:rFonts w:cs="Times New Roman"/>
          <w:lang w:val="fr-CA"/>
        </w:rPr>
        <w:t>. Si, par exemple, l</w:t>
      </w:r>
      <w:r>
        <w:rPr>
          <w:rFonts w:cs="Times New Roman"/>
          <w:lang w:val="fr-CA"/>
        </w:rPr>
        <w:t>’</w:t>
      </w:r>
      <w:r w:rsidRPr="00442EE5">
        <w:rPr>
          <w:rFonts w:cs="Times New Roman"/>
          <w:lang w:val="fr-CA"/>
        </w:rPr>
        <w:t>existence même du contrat était en cause, nous nous appuierions, en ce qui concerne la compétence, sur les règles contractuelles du Québec. La présente situation n</w:t>
      </w:r>
      <w:r>
        <w:rPr>
          <w:rFonts w:cs="Times New Roman"/>
          <w:lang w:val="fr-CA"/>
        </w:rPr>
        <w:t>’</w:t>
      </w:r>
      <w:r w:rsidRPr="00442EE5">
        <w:rPr>
          <w:rFonts w:cs="Times New Roman"/>
          <w:lang w:val="fr-CA"/>
        </w:rPr>
        <w:t>est pas différente.</w:t>
      </w:r>
    </w:p>
    <w:p w:rsidR="00AF6697" w:rsidRPr="00442EE5" w:rsidRDefault="00AF6697" w:rsidP="00AF6697">
      <w:pPr>
        <w:pStyle w:val="ParaNoNdepar-AltN"/>
        <w:rPr>
          <w:rFonts w:cs="Times New Roman"/>
          <w:lang w:val="fr-CA"/>
        </w:rPr>
      </w:pPr>
      <w:r w:rsidRPr="00442EE5">
        <w:rPr>
          <w:rFonts w:cs="Times New Roman"/>
          <w:lang w:val="fr-CA"/>
        </w:rPr>
        <w:lastRenderedPageBreak/>
        <w:t>De toute façon, même dans l</w:t>
      </w:r>
      <w:r>
        <w:rPr>
          <w:rFonts w:cs="Times New Roman"/>
          <w:lang w:val="fr-CA"/>
        </w:rPr>
        <w:t>’</w:t>
      </w:r>
      <w:r w:rsidRPr="00442EE5">
        <w:rPr>
          <w:rFonts w:cs="Times New Roman"/>
          <w:lang w:val="fr-CA"/>
        </w:rPr>
        <w:t>hypothèse où le tribunal devrait examiner le droit applicable au fond pour déterminer s</w:t>
      </w:r>
      <w:r>
        <w:rPr>
          <w:rFonts w:cs="Times New Roman"/>
          <w:lang w:val="fr-CA"/>
        </w:rPr>
        <w:t>’</w:t>
      </w:r>
      <w:r w:rsidRPr="00442EE5">
        <w:rPr>
          <w:rFonts w:cs="Times New Roman"/>
          <w:lang w:val="fr-CA"/>
        </w:rPr>
        <w:t>il peut se déclarer compétent à l</w:t>
      </w:r>
      <w:r>
        <w:rPr>
          <w:rFonts w:cs="Times New Roman"/>
          <w:lang w:val="fr-CA"/>
        </w:rPr>
        <w:t>’</w:t>
      </w:r>
      <w:r w:rsidRPr="00442EE5">
        <w:rPr>
          <w:rFonts w:cs="Times New Roman"/>
          <w:lang w:val="fr-CA"/>
        </w:rPr>
        <w:t>égard d</w:t>
      </w:r>
      <w:r>
        <w:rPr>
          <w:rFonts w:cs="Times New Roman"/>
          <w:lang w:val="fr-CA"/>
        </w:rPr>
        <w:t>’</w:t>
      </w:r>
      <w:r w:rsidRPr="00442EE5">
        <w:rPr>
          <w:rFonts w:cs="Times New Roman"/>
          <w:lang w:val="fr-CA"/>
        </w:rPr>
        <w:t>une allégation d</w:t>
      </w:r>
      <w:r>
        <w:rPr>
          <w:rFonts w:cs="Times New Roman"/>
          <w:lang w:val="fr-CA"/>
        </w:rPr>
        <w:t>’</w:t>
      </w:r>
      <w:r w:rsidRPr="00442EE5">
        <w:rPr>
          <w:rFonts w:cs="Times New Roman"/>
          <w:lang w:val="fr-CA"/>
        </w:rPr>
        <w:t xml:space="preserve">alter ego en vertu </w:t>
      </w:r>
      <w:r w:rsidR="005F4E7E">
        <w:rPr>
          <w:rFonts w:cs="Times New Roman"/>
          <w:lang w:val="fr-CA"/>
        </w:rPr>
        <w:t>du par.</w:t>
      </w:r>
      <w:r w:rsidRPr="00442EE5">
        <w:rPr>
          <w:rFonts w:cs="Times New Roman"/>
          <w:lang w:val="fr-CA"/>
        </w:rPr>
        <w:t xml:space="preserve"> 3168(4) </w:t>
      </w:r>
      <w:r w:rsidRPr="00442EE5">
        <w:rPr>
          <w:rFonts w:cs="Times New Roman"/>
          <w:i/>
          <w:lang w:val="fr-CA"/>
        </w:rPr>
        <w:t>C.c.Q.</w:t>
      </w:r>
      <w:r w:rsidRPr="00442EE5">
        <w:rPr>
          <w:rFonts w:cs="Times New Roman"/>
          <w:lang w:val="fr-CA"/>
        </w:rPr>
        <w:t>, la présente affaire serait quand même régie par le droit québécois. Selon les règles de preuve québécoises, lorsque le droit étranger n</w:t>
      </w:r>
      <w:r>
        <w:rPr>
          <w:rFonts w:cs="Times New Roman"/>
          <w:lang w:val="fr-CA"/>
        </w:rPr>
        <w:t>’</w:t>
      </w:r>
      <w:r w:rsidRPr="00442EE5">
        <w:rPr>
          <w:rFonts w:cs="Times New Roman"/>
          <w:lang w:val="fr-CA"/>
        </w:rPr>
        <w:t>a pas été allégué ou que sa teneur n</w:t>
      </w:r>
      <w:r>
        <w:rPr>
          <w:rFonts w:cs="Times New Roman"/>
          <w:lang w:val="fr-CA"/>
        </w:rPr>
        <w:t>’</w:t>
      </w:r>
      <w:r w:rsidRPr="00442EE5">
        <w:rPr>
          <w:rFonts w:cs="Times New Roman"/>
          <w:lang w:val="fr-CA"/>
        </w:rPr>
        <w:t xml:space="preserve">a pas été établie, le tribunal applique le droit en vigueur au Québec (art. 2809 </w:t>
      </w:r>
      <w:r w:rsidRPr="00442EE5">
        <w:rPr>
          <w:rFonts w:cs="Times New Roman"/>
          <w:i/>
          <w:lang w:val="fr-CA"/>
        </w:rPr>
        <w:t>C.c.Q.</w:t>
      </w:r>
      <w:r w:rsidRPr="00442EE5">
        <w:rPr>
          <w:rFonts w:cs="Times New Roman"/>
          <w:lang w:val="fr-CA"/>
        </w:rPr>
        <w:t>)</w:t>
      </w:r>
      <w:r w:rsidRPr="00442EE5">
        <w:rPr>
          <w:rFonts w:cs="Times New Roman"/>
          <w:sz w:val="18"/>
          <w:szCs w:val="18"/>
          <w:lang w:val="fr-CA"/>
        </w:rPr>
        <w:t>.</w:t>
      </w:r>
      <w:r w:rsidRPr="00442EE5">
        <w:rPr>
          <w:rFonts w:cs="Times New Roman"/>
          <w:lang w:val="fr-CA"/>
        </w:rPr>
        <w:t xml:space="preserve"> Comme le droit de l</w:t>
      </w:r>
      <w:r>
        <w:rPr>
          <w:rFonts w:cs="Times New Roman"/>
          <w:lang w:val="fr-CA"/>
        </w:rPr>
        <w:t>’</w:t>
      </w:r>
      <w:r w:rsidRPr="00442EE5">
        <w:rPr>
          <w:rFonts w:cs="Times New Roman"/>
          <w:lang w:val="fr-CA"/>
        </w:rPr>
        <w:t>Utah se rapportant aux allégations d</w:t>
      </w:r>
      <w:r>
        <w:rPr>
          <w:rFonts w:cs="Times New Roman"/>
          <w:lang w:val="fr-CA"/>
        </w:rPr>
        <w:t>’</w:t>
      </w:r>
      <w:r w:rsidRPr="00442EE5">
        <w:rPr>
          <w:rFonts w:cs="Times New Roman"/>
          <w:lang w:val="fr-CA"/>
        </w:rPr>
        <w:t>alter ego n</w:t>
      </w:r>
      <w:r>
        <w:rPr>
          <w:rFonts w:cs="Times New Roman"/>
          <w:lang w:val="fr-CA"/>
        </w:rPr>
        <w:t>’</w:t>
      </w:r>
      <w:r w:rsidRPr="00442EE5">
        <w:rPr>
          <w:rFonts w:cs="Times New Roman"/>
          <w:lang w:val="fr-CA"/>
        </w:rPr>
        <w:t>a été ni allégué ni établi, l</w:t>
      </w:r>
      <w:r>
        <w:rPr>
          <w:rFonts w:cs="Times New Roman"/>
          <w:lang w:val="fr-CA"/>
        </w:rPr>
        <w:t>’</w:t>
      </w:r>
      <w:r w:rsidRPr="00442EE5">
        <w:rPr>
          <w:rFonts w:cs="Times New Roman"/>
          <w:lang w:val="fr-CA"/>
        </w:rPr>
        <w:t xml:space="preserve">art. 317 </w:t>
      </w:r>
      <w:r w:rsidRPr="00442EE5">
        <w:rPr>
          <w:rFonts w:cs="Times New Roman"/>
          <w:i/>
          <w:lang w:val="fr-CA"/>
        </w:rPr>
        <w:t xml:space="preserve">C.c.Q. </w:t>
      </w:r>
      <w:r w:rsidRPr="00442EE5">
        <w:rPr>
          <w:rFonts w:cs="Times New Roman"/>
          <w:lang w:val="fr-CA"/>
        </w:rPr>
        <w:t>s</w:t>
      </w:r>
      <w:r>
        <w:rPr>
          <w:rFonts w:cs="Times New Roman"/>
          <w:lang w:val="fr-CA"/>
        </w:rPr>
        <w:t>’</w:t>
      </w:r>
      <w:r w:rsidRPr="00442EE5">
        <w:rPr>
          <w:rFonts w:cs="Times New Roman"/>
          <w:lang w:val="fr-CA"/>
        </w:rPr>
        <w:t>appliquerait par défaut — indépendamment des règles en matière de conflits de lois.</w:t>
      </w:r>
    </w:p>
    <w:p w:rsidR="00AF6697" w:rsidRPr="00442EE5" w:rsidRDefault="00AF6697" w:rsidP="00AF6697">
      <w:pPr>
        <w:pStyle w:val="ParaNoNdepar-AltN"/>
        <w:rPr>
          <w:rFonts w:cs="Times New Roman"/>
          <w:lang w:val="fr-CA"/>
        </w:rPr>
      </w:pPr>
      <w:r w:rsidRPr="00442EE5">
        <w:rPr>
          <w:rFonts w:cs="Times New Roman"/>
          <w:lang w:val="fr-CA"/>
        </w:rPr>
        <w:t xml:space="preserve">En pratique, si la décision avait été rendue au fond, et non par défaut, le tribunal québécois appliquerait le droit </w:t>
      </w:r>
      <w:r w:rsidRPr="00442EE5">
        <w:rPr>
          <w:rFonts w:cs="Times New Roman"/>
          <w:i/>
          <w:lang w:val="fr-CA"/>
        </w:rPr>
        <w:t>québécois</w:t>
      </w:r>
      <w:r w:rsidRPr="00442EE5">
        <w:rPr>
          <w:rFonts w:cs="Times New Roman"/>
          <w:lang w:val="fr-CA"/>
        </w:rPr>
        <w:t xml:space="preserve"> aux conclusions de fait de l</w:t>
      </w:r>
      <w:r>
        <w:rPr>
          <w:rFonts w:cs="Times New Roman"/>
          <w:lang w:val="fr-CA"/>
        </w:rPr>
        <w:t>’</w:t>
      </w:r>
      <w:r w:rsidRPr="00442EE5">
        <w:rPr>
          <w:rFonts w:cs="Times New Roman"/>
          <w:lang w:val="fr-CA"/>
        </w:rPr>
        <w:t>autorité étrangère pour déterminer s</w:t>
      </w:r>
      <w:r>
        <w:rPr>
          <w:rFonts w:cs="Times New Roman"/>
          <w:lang w:val="fr-CA"/>
        </w:rPr>
        <w:t>’</w:t>
      </w:r>
      <w:r w:rsidRPr="00442EE5">
        <w:rPr>
          <w:rFonts w:cs="Times New Roman"/>
          <w:lang w:val="fr-CA"/>
        </w:rPr>
        <w:t xml:space="preserve">il convient de percer le voile corporatif afin de reconnaître la décision au titre </w:t>
      </w:r>
      <w:r w:rsidR="005F4E7E">
        <w:rPr>
          <w:rFonts w:cs="Times New Roman"/>
          <w:lang w:val="fr-CA"/>
        </w:rPr>
        <w:t>du par.</w:t>
      </w:r>
      <w:r w:rsidRPr="00442EE5">
        <w:rPr>
          <w:rFonts w:cs="Times New Roman"/>
          <w:lang w:val="fr-CA"/>
        </w:rPr>
        <w:t xml:space="preserve"> 3168(4) </w:t>
      </w:r>
      <w:r w:rsidRPr="00442EE5">
        <w:rPr>
          <w:rFonts w:cs="Times New Roman"/>
          <w:i/>
          <w:lang w:val="fr-CA"/>
        </w:rPr>
        <w:t>C.c.Q</w:t>
      </w:r>
      <w:r w:rsidRPr="00442EE5">
        <w:rPr>
          <w:rFonts w:cs="Times New Roman"/>
          <w:lang w:val="fr-CA"/>
        </w:rPr>
        <w:t>. Dans le cas d</w:t>
      </w:r>
      <w:r>
        <w:rPr>
          <w:rFonts w:cs="Times New Roman"/>
          <w:lang w:val="fr-CA"/>
        </w:rPr>
        <w:t>’</w:t>
      </w:r>
      <w:r w:rsidRPr="00442EE5">
        <w:rPr>
          <w:rFonts w:cs="Times New Roman"/>
          <w:lang w:val="fr-CA"/>
        </w:rPr>
        <w:t>un jugement par défaut, cependant, aucune conclusion de fait n</w:t>
      </w:r>
      <w:r>
        <w:rPr>
          <w:rFonts w:cs="Times New Roman"/>
          <w:lang w:val="fr-CA"/>
        </w:rPr>
        <w:t>’</w:t>
      </w:r>
      <w:r w:rsidRPr="00442EE5">
        <w:rPr>
          <w:rFonts w:cs="Times New Roman"/>
          <w:lang w:val="fr-CA"/>
        </w:rPr>
        <w:t>a été tirée et le tribunal québécois doit forcément exiger des éléments de preuve concrets qui justifieraient de percer le voile corporatif aux fins de la compétence.</w:t>
      </w:r>
    </w:p>
    <w:p w:rsidR="00AF6697" w:rsidRPr="00442EE5" w:rsidRDefault="00AF6697" w:rsidP="00AF6697">
      <w:pPr>
        <w:pStyle w:val="ParaNoNdepar-AltN"/>
        <w:rPr>
          <w:rFonts w:cs="Times New Roman"/>
          <w:lang w:val="fr-CA"/>
        </w:rPr>
      </w:pPr>
      <w:r w:rsidRPr="00442EE5">
        <w:rPr>
          <w:rFonts w:cs="Times New Roman"/>
          <w:lang w:val="fr-CA"/>
        </w:rPr>
        <w:t>Comme je l</w:t>
      </w:r>
      <w:r>
        <w:rPr>
          <w:rFonts w:cs="Times New Roman"/>
          <w:lang w:val="fr-CA"/>
        </w:rPr>
        <w:t>’</w:t>
      </w:r>
      <w:r w:rsidRPr="00442EE5">
        <w:rPr>
          <w:rFonts w:cs="Times New Roman"/>
          <w:lang w:val="fr-CA"/>
        </w:rPr>
        <w:t>ai déjà mentionné, en l</w:t>
      </w:r>
      <w:r>
        <w:rPr>
          <w:rFonts w:cs="Times New Roman"/>
          <w:lang w:val="fr-CA"/>
        </w:rPr>
        <w:t>’</w:t>
      </w:r>
      <w:r w:rsidRPr="00442EE5">
        <w:rPr>
          <w:rFonts w:cs="Times New Roman"/>
          <w:lang w:val="fr-CA"/>
        </w:rPr>
        <w:t>espèce, les allégations d</w:t>
      </w:r>
      <w:r>
        <w:rPr>
          <w:rFonts w:cs="Times New Roman"/>
          <w:lang w:val="fr-CA"/>
        </w:rPr>
        <w:t>’</w:t>
      </w:r>
      <w:r w:rsidRPr="00442EE5">
        <w:rPr>
          <w:rFonts w:cs="Times New Roman"/>
          <w:lang w:val="fr-CA"/>
        </w:rPr>
        <w:t>alter ego ne sont que cela, des allégations qui n</w:t>
      </w:r>
      <w:r>
        <w:rPr>
          <w:rFonts w:cs="Times New Roman"/>
          <w:lang w:val="fr-CA"/>
        </w:rPr>
        <w:t>’</w:t>
      </w:r>
      <w:r w:rsidRPr="00442EE5">
        <w:rPr>
          <w:rFonts w:cs="Times New Roman"/>
          <w:lang w:val="fr-CA"/>
        </w:rPr>
        <w:t>ont pas été prouvées devant un tribunal. Fait plus important, il n</w:t>
      </w:r>
      <w:r>
        <w:rPr>
          <w:rFonts w:cs="Times New Roman"/>
          <w:lang w:val="fr-CA"/>
        </w:rPr>
        <w:t>’</w:t>
      </w:r>
      <w:r w:rsidRPr="00442EE5">
        <w:rPr>
          <w:rFonts w:cs="Times New Roman"/>
          <w:lang w:val="fr-CA"/>
        </w:rPr>
        <w:t>existe tout simplement pas d</w:t>
      </w:r>
      <w:r>
        <w:rPr>
          <w:rFonts w:cs="Times New Roman"/>
          <w:lang w:val="fr-CA"/>
        </w:rPr>
        <w:t>’</w:t>
      </w:r>
      <w:r w:rsidRPr="00442EE5">
        <w:rPr>
          <w:rFonts w:cs="Times New Roman"/>
          <w:lang w:val="fr-CA"/>
        </w:rPr>
        <w:t>allégations, et encore moins d</w:t>
      </w:r>
      <w:r>
        <w:rPr>
          <w:rFonts w:cs="Times New Roman"/>
          <w:lang w:val="fr-CA"/>
        </w:rPr>
        <w:t>’</w:t>
      </w:r>
      <w:r w:rsidRPr="00442EE5">
        <w:rPr>
          <w:rFonts w:cs="Times New Roman"/>
          <w:lang w:val="fr-CA"/>
        </w:rPr>
        <w:t>éléments de preuve, voulant que M. Barer se soit servi de la personnalité juridique de BEC « pour masquer la fraude, l</w:t>
      </w:r>
      <w:r>
        <w:rPr>
          <w:rFonts w:cs="Times New Roman"/>
          <w:lang w:val="fr-CA"/>
        </w:rPr>
        <w:t>’</w:t>
      </w:r>
      <w:r w:rsidRPr="00442EE5">
        <w:rPr>
          <w:rFonts w:cs="Times New Roman"/>
          <w:lang w:val="fr-CA"/>
        </w:rPr>
        <w:t>abus de droit ou une contravention à une règle intéressant l</w:t>
      </w:r>
      <w:r>
        <w:rPr>
          <w:rFonts w:cs="Times New Roman"/>
          <w:lang w:val="fr-CA"/>
        </w:rPr>
        <w:t>’</w:t>
      </w:r>
      <w:r w:rsidRPr="00442EE5">
        <w:rPr>
          <w:rFonts w:cs="Times New Roman"/>
          <w:lang w:val="fr-CA"/>
        </w:rPr>
        <w:t>ordre public » au sens de l</w:t>
      </w:r>
      <w:r>
        <w:rPr>
          <w:rFonts w:cs="Times New Roman"/>
          <w:lang w:val="fr-CA"/>
        </w:rPr>
        <w:t>’</w:t>
      </w:r>
      <w:r w:rsidRPr="00442EE5">
        <w:rPr>
          <w:rFonts w:cs="Times New Roman"/>
          <w:lang w:val="fr-CA"/>
        </w:rPr>
        <w:t xml:space="preserve">art. 317 </w:t>
      </w:r>
      <w:r w:rsidRPr="00442EE5">
        <w:rPr>
          <w:rFonts w:cs="Times New Roman"/>
          <w:i/>
          <w:lang w:val="fr-CA"/>
        </w:rPr>
        <w:t>C.c.Q</w:t>
      </w:r>
      <w:r w:rsidRPr="00442EE5">
        <w:rPr>
          <w:rFonts w:cs="Times New Roman"/>
          <w:lang w:val="fr-CA"/>
        </w:rPr>
        <w:t>. En conséquence, il n</w:t>
      </w:r>
      <w:r>
        <w:rPr>
          <w:rFonts w:cs="Times New Roman"/>
          <w:lang w:val="fr-CA"/>
        </w:rPr>
        <w:t>’</w:t>
      </w:r>
      <w:r w:rsidRPr="00442EE5">
        <w:rPr>
          <w:rFonts w:cs="Times New Roman"/>
          <w:lang w:val="fr-CA"/>
        </w:rPr>
        <w:t xml:space="preserve">a pas été établi que M. Barer était responsable des « obligations découlant d[u] contrat » et le jugement étranger ne peut être reconnu en vertu </w:t>
      </w:r>
      <w:r w:rsidR="005F4E7E">
        <w:rPr>
          <w:rFonts w:cs="Times New Roman"/>
          <w:lang w:val="fr-CA"/>
        </w:rPr>
        <w:t>du par.</w:t>
      </w:r>
      <w:r w:rsidRPr="00442EE5">
        <w:rPr>
          <w:rFonts w:cs="Times New Roman"/>
          <w:lang w:val="fr-CA"/>
        </w:rPr>
        <w:t xml:space="preserve"> 3168(4) </w:t>
      </w:r>
      <w:r w:rsidRPr="00442EE5">
        <w:rPr>
          <w:rFonts w:cs="Times New Roman"/>
          <w:i/>
          <w:lang w:val="fr-CA"/>
        </w:rPr>
        <w:t>C.c.Q</w:t>
      </w:r>
      <w:r w:rsidRPr="00442EE5">
        <w:rPr>
          <w:rFonts w:cs="Times New Roman"/>
          <w:lang w:val="fr-CA"/>
        </w:rPr>
        <w:t>.</w:t>
      </w:r>
      <w:r w:rsidRPr="00442EE5">
        <w:rPr>
          <w:rFonts w:eastAsia="Times New Roman" w:cs="Times New Roman"/>
          <w:szCs w:val="24"/>
          <w:lang w:val="fr-CA" w:eastAsia="en-CA"/>
        </w:rPr>
        <w:t xml:space="preserve"> Bien que mon collègue le juge </w:t>
      </w:r>
      <w:r w:rsidRPr="00442EE5">
        <w:rPr>
          <w:rFonts w:cs="Times New Roman"/>
          <w:lang w:val="fr-CA"/>
        </w:rPr>
        <w:t xml:space="preserve">Brown </w:t>
      </w:r>
      <w:r w:rsidRPr="00442EE5">
        <w:rPr>
          <w:rFonts w:cs="Times New Roman"/>
          <w:lang w:val="fr-CA"/>
        </w:rPr>
        <w:lastRenderedPageBreak/>
        <w:t>critique l</w:t>
      </w:r>
      <w:r>
        <w:rPr>
          <w:rFonts w:cs="Times New Roman"/>
          <w:lang w:val="fr-CA"/>
        </w:rPr>
        <w:t>’</w:t>
      </w:r>
      <w:r w:rsidRPr="00442EE5">
        <w:rPr>
          <w:rFonts w:cs="Times New Roman"/>
          <w:lang w:val="fr-CA"/>
        </w:rPr>
        <w:t>interprétation que j</w:t>
      </w:r>
      <w:r>
        <w:rPr>
          <w:rFonts w:cs="Times New Roman"/>
          <w:lang w:val="fr-CA"/>
        </w:rPr>
        <w:t>’</w:t>
      </w:r>
      <w:r w:rsidRPr="00442EE5">
        <w:rPr>
          <w:rFonts w:cs="Times New Roman"/>
          <w:lang w:val="fr-CA"/>
        </w:rPr>
        <w:t>adopte, je tiens à souligner qu</w:t>
      </w:r>
      <w:r>
        <w:rPr>
          <w:rFonts w:cs="Times New Roman"/>
          <w:lang w:val="fr-CA"/>
        </w:rPr>
        <w:t>’</w:t>
      </w:r>
      <w:r w:rsidRPr="00442EE5">
        <w:rPr>
          <w:rFonts w:cs="Times New Roman"/>
          <w:lang w:val="fr-CA"/>
        </w:rPr>
        <w:t xml:space="preserve">il reconnaît que </w:t>
      </w:r>
      <w:r w:rsidR="005F4E7E">
        <w:rPr>
          <w:rFonts w:cs="Times New Roman"/>
          <w:lang w:val="fr-CA"/>
        </w:rPr>
        <w:t>le par.</w:t>
      </w:r>
      <w:r w:rsidRPr="00442EE5">
        <w:rPr>
          <w:rFonts w:cs="Times New Roman"/>
          <w:lang w:val="fr-CA"/>
        </w:rPr>
        <w:t xml:space="preserve"> 3168(4) </w:t>
      </w:r>
      <w:r w:rsidRPr="00442EE5">
        <w:rPr>
          <w:rFonts w:cs="Times New Roman"/>
          <w:i/>
          <w:lang w:val="fr-CA"/>
        </w:rPr>
        <w:t>C.c.Q.</w:t>
      </w:r>
      <w:r w:rsidRPr="00442EE5">
        <w:rPr>
          <w:rFonts w:cs="Times New Roman"/>
          <w:lang w:val="fr-CA"/>
        </w:rPr>
        <w:t xml:space="preserve"> ne permet pas en soi d</w:t>
      </w:r>
      <w:r>
        <w:rPr>
          <w:rFonts w:cs="Times New Roman"/>
          <w:lang w:val="fr-CA"/>
        </w:rPr>
        <w:t>’</w:t>
      </w:r>
      <w:r w:rsidRPr="00442EE5">
        <w:rPr>
          <w:rFonts w:cs="Times New Roman"/>
          <w:lang w:val="fr-CA"/>
        </w:rPr>
        <w:t>établir la compétence à l</w:t>
      </w:r>
      <w:r>
        <w:rPr>
          <w:rFonts w:cs="Times New Roman"/>
          <w:lang w:val="fr-CA"/>
        </w:rPr>
        <w:t>’</w:t>
      </w:r>
      <w:r w:rsidRPr="00442EE5">
        <w:rPr>
          <w:rFonts w:cs="Times New Roman"/>
          <w:lang w:val="fr-CA"/>
        </w:rPr>
        <w:t>égard de M. Barer puisqu</w:t>
      </w:r>
      <w:r>
        <w:rPr>
          <w:rFonts w:cs="Times New Roman"/>
          <w:lang w:val="fr-CA"/>
        </w:rPr>
        <w:t>’</w:t>
      </w:r>
      <w:r w:rsidRPr="00442EE5">
        <w:rPr>
          <w:rFonts w:cs="Times New Roman"/>
          <w:lang w:val="fr-CA"/>
        </w:rPr>
        <w:t>il s</w:t>
      </w:r>
      <w:r>
        <w:rPr>
          <w:rFonts w:cs="Times New Roman"/>
          <w:lang w:val="fr-CA"/>
        </w:rPr>
        <w:t>’</w:t>
      </w:r>
      <w:r w:rsidRPr="00442EE5">
        <w:rPr>
          <w:rFonts w:cs="Times New Roman"/>
          <w:lang w:val="fr-CA"/>
        </w:rPr>
        <w:t>appuierait en définitive sur l</w:t>
      </w:r>
      <w:r>
        <w:rPr>
          <w:rFonts w:cs="Times New Roman"/>
          <w:lang w:val="fr-CA"/>
        </w:rPr>
        <w:t>’</w:t>
      </w:r>
      <w:r w:rsidRPr="00442EE5">
        <w:rPr>
          <w:rFonts w:cs="Times New Roman"/>
          <w:lang w:val="fr-CA"/>
        </w:rPr>
        <w:t xml:space="preserve">art. 3139 </w:t>
      </w:r>
      <w:r w:rsidRPr="00442EE5">
        <w:rPr>
          <w:rFonts w:cs="Times New Roman"/>
          <w:i/>
          <w:lang w:val="fr-CA"/>
        </w:rPr>
        <w:t xml:space="preserve">C.c.Q. </w:t>
      </w:r>
      <w:r w:rsidRPr="00442EE5">
        <w:rPr>
          <w:rFonts w:cs="Times New Roman"/>
          <w:lang w:val="fr-CA"/>
        </w:rPr>
        <w:t>— qui s</w:t>
      </w:r>
      <w:r>
        <w:rPr>
          <w:rFonts w:cs="Times New Roman"/>
          <w:lang w:val="fr-CA"/>
        </w:rPr>
        <w:t>’</w:t>
      </w:r>
      <w:r w:rsidRPr="00442EE5">
        <w:rPr>
          <w:rFonts w:cs="Times New Roman"/>
          <w:lang w:val="fr-CA"/>
        </w:rPr>
        <w:t>applique aux demandes incidentes — pour reconnaître le jugement de l</w:t>
      </w:r>
      <w:r>
        <w:rPr>
          <w:rFonts w:cs="Times New Roman"/>
          <w:lang w:val="fr-CA"/>
        </w:rPr>
        <w:t>’</w:t>
      </w:r>
      <w:r w:rsidRPr="00442EE5">
        <w:rPr>
          <w:rFonts w:cs="Times New Roman"/>
          <w:lang w:val="fr-CA"/>
        </w:rPr>
        <w:t>Utah. Je commenterai son approche à la fin de mes motifs.</w:t>
      </w:r>
    </w:p>
    <w:p w:rsidR="00AF6697" w:rsidRPr="00442EE5" w:rsidRDefault="005F4E7E" w:rsidP="00856BD2">
      <w:pPr>
        <w:pStyle w:val="Title1LevelTitre1Niveau-AltL"/>
        <w:jc w:val="both"/>
        <w:rPr>
          <w:rFonts w:cs="Times New Roman"/>
          <w:lang w:val="fr-CA"/>
        </w:rPr>
      </w:pPr>
      <w:r>
        <w:rPr>
          <w:rFonts w:cs="Times New Roman"/>
          <w:lang w:val="fr-CA"/>
        </w:rPr>
        <w:t>Paragraphe</w:t>
      </w:r>
      <w:r w:rsidR="00AF6697" w:rsidRPr="00442EE5">
        <w:rPr>
          <w:rFonts w:cs="Times New Roman"/>
          <w:lang w:val="fr-CA"/>
        </w:rPr>
        <w:t xml:space="preserve"> 3168(6) </w:t>
      </w:r>
      <w:r w:rsidR="00AF6697" w:rsidRPr="00442EE5">
        <w:rPr>
          <w:rFonts w:cs="Times New Roman"/>
          <w:i/>
          <w:lang w:val="fr-CA"/>
        </w:rPr>
        <w:t>C.c.Q.</w:t>
      </w:r>
    </w:p>
    <w:p w:rsidR="00AF6697" w:rsidRPr="00442EE5" w:rsidRDefault="00AF6697" w:rsidP="00AF6697">
      <w:pPr>
        <w:pStyle w:val="ParaNoNdepar-AltN"/>
        <w:rPr>
          <w:rFonts w:cs="Times New Roman"/>
          <w:lang w:val="fr-CA"/>
        </w:rPr>
      </w:pPr>
      <w:r w:rsidRPr="00442EE5">
        <w:rPr>
          <w:rFonts w:cs="Times New Roman"/>
          <w:lang w:val="fr-CA"/>
        </w:rPr>
        <w:t>Sur la question de la reconnaissance de l</w:t>
      </w:r>
      <w:r>
        <w:rPr>
          <w:rFonts w:cs="Times New Roman"/>
          <w:lang w:val="fr-CA"/>
        </w:rPr>
        <w:t>’</w:t>
      </w:r>
      <w:r w:rsidR="005F4E7E">
        <w:rPr>
          <w:rFonts w:cs="Times New Roman"/>
          <w:lang w:val="fr-CA"/>
        </w:rPr>
        <w:t>autorité étrangère en vertu du</w:t>
      </w:r>
      <w:r w:rsidRPr="00442EE5">
        <w:rPr>
          <w:rFonts w:cs="Times New Roman"/>
          <w:lang w:val="fr-CA"/>
        </w:rPr>
        <w:t xml:space="preserve"> </w:t>
      </w:r>
      <w:r w:rsidR="005F4E7E">
        <w:rPr>
          <w:rFonts w:cs="Times New Roman"/>
          <w:lang w:val="fr-CA"/>
        </w:rPr>
        <w:t>par.</w:t>
      </w:r>
      <w:r w:rsidRPr="00442EE5">
        <w:rPr>
          <w:rFonts w:cs="Times New Roman"/>
          <w:lang w:val="fr-CA"/>
        </w:rPr>
        <w:t xml:space="preserve"> 3168(6) </w:t>
      </w:r>
      <w:r w:rsidRPr="00442EE5">
        <w:rPr>
          <w:rFonts w:cs="Times New Roman"/>
          <w:i/>
          <w:lang w:val="fr-CA"/>
        </w:rPr>
        <w:t>C.c.Q.</w:t>
      </w:r>
      <w:r w:rsidRPr="00442EE5">
        <w:rPr>
          <w:rFonts w:cs="Times New Roman"/>
          <w:lang w:val="fr-CA"/>
        </w:rPr>
        <w:t>, je ne puis souscrire au test énoncé par le juge Gascon et je conclurais en l</w:t>
      </w:r>
      <w:r>
        <w:rPr>
          <w:rFonts w:cs="Times New Roman"/>
          <w:lang w:val="fr-CA"/>
        </w:rPr>
        <w:t>’</w:t>
      </w:r>
      <w:r w:rsidRPr="00442EE5">
        <w:rPr>
          <w:rFonts w:cs="Times New Roman"/>
          <w:lang w:val="fr-CA"/>
        </w:rPr>
        <w:t>espèce que M. Barer n</w:t>
      </w:r>
      <w:r>
        <w:rPr>
          <w:rFonts w:cs="Times New Roman"/>
          <w:lang w:val="fr-CA"/>
        </w:rPr>
        <w:t>’</w:t>
      </w:r>
      <w:r w:rsidRPr="00442EE5">
        <w:rPr>
          <w:rFonts w:cs="Times New Roman"/>
          <w:lang w:val="fr-CA"/>
        </w:rPr>
        <w:t>a pas reconnu la compétence du tribunal de l</w:t>
      </w:r>
      <w:r>
        <w:rPr>
          <w:rFonts w:cs="Times New Roman"/>
          <w:lang w:val="fr-CA"/>
        </w:rPr>
        <w:t>’</w:t>
      </w:r>
      <w:r w:rsidRPr="00442EE5">
        <w:rPr>
          <w:rFonts w:cs="Times New Roman"/>
          <w:lang w:val="fr-CA"/>
        </w:rPr>
        <w:t>Utah. Le juge saisi de la demande a commis des erreurs de droit en concluant que la personne qui soulève une question de fond reconnaît nécessairement la compétence de l</w:t>
      </w:r>
      <w:r>
        <w:rPr>
          <w:rFonts w:cs="Times New Roman"/>
          <w:lang w:val="fr-CA"/>
        </w:rPr>
        <w:t>’</w:t>
      </w:r>
      <w:r w:rsidRPr="00442EE5">
        <w:rPr>
          <w:rFonts w:cs="Times New Roman"/>
          <w:lang w:val="fr-CA"/>
        </w:rPr>
        <w:t>autorité étrangère (motifs de la C.S., par. 16) et en renversant le fardeau de la preuve de manière à ce que M. Barer ait à réfuter cette reconnaissance (motifs de la C.S., par. 15).</w:t>
      </w:r>
    </w:p>
    <w:p w:rsidR="00AF6697" w:rsidRPr="00442EE5" w:rsidRDefault="00AF6697" w:rsidP="00AF6697">
      <w:pPr>
        <w:pStyle w:val="ParaNoNdepar-AltN"/>
        <w:rPr>
          <w:rFonts w:cs="Times New Roman"/>
          <w:lang w:val="fr-CA"/>
        </w:rPr>
      </w:pPr>
      <w:r w:rsidRPr="00442EE5">
        <w:rPr>
          <w:rFonts w:cs="Times New Roman"/>
          <w:lang w:val="fr-CA"/>
        </w:rPr>
        <w:t>Mon collègue le juge Gascon estime que le défendeur reconnaît la compétence d</w:t>
      </w:r>
      <w:r>
        <w:rPr>
          <w:rFonts w:cs="Times New Roman"/>
          <w:lang w:val="fr-CA"/>
        </w:rPr>
        <w:t>’</w:t>
      </w:r>
      <w:r w:rsidRPr="00442EE5">
        <w:rPr>
          <w:rFonts w:cs="Times New Roman"/>
          <w:lang w:val="fr-CA"/>
        </w:rPr>
        <w:t>une autorité étrangère « lorsqu</w:t>
      </w:r>
      <w:r>
        <w:rPr>
          <w:rFonts w:cs="Times New Roman"/>
          <w:lang w:val="fr-CA"/>
        </w:rPr>
        <w:t>’</w:t>
      </w:r>
      <w:r w:rsidRPr="00442EE5">
        <w:rPr>
          <w:rFonts w:cs="Times New Roman"/>
          <w:lang w:val="fr-CA"/>
        </w:rPr>
        <w:t>il présente des arguments de fond qui, s</w:t>
      </w:r>
      <w:r>
        <w:rPr>
          <w:rFonts w:cs="Times New Roman"/>
          <w:lang w:val="fr-CA"/>
        </w:rPr>
        <w:t>’</w:t>
      </w:r>
      <w:r w:rsidRPr="00442EE5">
        <w:rPr>
          <w:rFonts w:cs="Times New Roman"/>
          <w:lang w:val="fr-CA"/>
        </w:rPr>
        <w:t>ils étaient retenus, permettraient de trancher le litige sur le fond, en tout ou en partie » (par. 69). Cette approche rigide vise à empêcher le défendeur de présenter devant un tribunal des arguments complets sur la preuve et le droit pour ensuite contester la compétence de ce tribunal et obliger le demandeur à reprendre l</w:t>
      </w:r>
      <w:r>
        <w:rPr>
          <w:rFonts w:cs="Times New Roman"/>
          <w:lang w:val="fr-CA"/>
        </w:rPr>
        <w:t>’</w:t>
      </w:r>
      <w:r w:rsidRPr="00442EE5">
        <w:rPr>
          <w:rFonts w:cs="Times New Roman"/>
          <w:lang w:val="fr-CA"/>
        </w:rPr>
        <w:t xml:space="preserve">affaire au complet, ce qui imposerait un fardeau sur le plan des ressources judiciaires (par. 67). </w:t>
      </w:r>
    </w:p>
    <w:p w:rsidR="00AF6697" w:rsidRPr="00442EE5" w:rsidRDefault="00AF6697" w:rsidP="00AF6697">
      <w:pPr>
        <w:pStyle w:val="ParaNoNdepar-AltN"/>
        <w:rPr>
          <w:rFonts w:cs="Times New Roman"/>
        </w:rPr>
      </w:pPr>
      <w:r w:rsidRPr="00442EE5">
        <w:rPr>
          <w:rFonts w:cs="Times New Roman"/>
          <w:lang w:val="fr-CA"/>
        </w:rPr>
        <w:lastRenderedPageBreak/>
        <w:t>En toute déférence, j</w:t>
      </w:r>
      <w:r>
        <w:rPr>
          <w:rFonts w:cs="Times New Roman"/>
          <w:lang w:val="fr-CA"/>
        </w:rPr>
        <w:t>’</w:t>
      </w:r>
      <w:r w:rsidRPr="00442EE5">
        <w:rPr>
          <w:rFonts w:cs="Times New Roman"/>
          <w:lang w:val="fr-CA"/>
        </w:rPr>
        <w:t>estime que ce test est trop strict. Il ne tient pas compte du fait que [</w:t>
      </w:r>
      <w:r w:rsidRPr="00442EE5">
        <w:rPr>
          <w:rFonts w:cs="Times New Roman"/>
          <w:smallCaps/>
          <w:lang w:val="fr-CA"/>
        </w:rPr>
        <w:t>traduction</w:t>
      </w:r>
      <w:r>
        <w:rPr>
          <w:rFonts w:cs="Times New Roman"/>
          <w:lang w:val="fr-CA"/>
        </w:rPr>
        <w:t xml:space="preserve">] </w:t>
      </w:r>
      <w:r w:rsidRPr="00442EE5">
        <w:rPr>
          <w:rFonts w:cs="Times New Roman"/>
          <w:lang w:val="fr-CA"/>
        </w:rPr>
        <w:t>« le critère servant à déterminer si la participation est suffisante pour constituer une reconnaissance de compétence est subjectif », en ce sens qu</w:t>
      </w:r>
      <w:r>
        <w:rPr>
          <w:rFonts w:cs="Times New Roman"/>
          <w:lang w:val="fr-CA"/>
        </w:rPr>
        <w:t>’</w:t>
      </w:r>
      <w:r w:rsidRPr="00442EE5">
        <w:rPr>
          <w:rFonts w:cs="Times New Roman"/>
          <w:lang w:val="fr-CA"/>
        </w:rPr>
        <w:t>il doit tenir compte de l</w:t>
      </w:r>
      <w:r>
        <w:rPr>
          <w:rFonts w:cs="Times New Roman"/>
          <w:lang w:val="fr-CA"/>
        </w:rPr>
        <w:t>’</w:t>
      </w:r>
      <w:r w:rsidRPr="00442EE5">
        <w:rPr>
          <w:rFonts w:cs="Times New Roman"/>
          <w:lang w:val="fr-CA"/>
        </w:rPr>
        <w:t xml:space="preserve">intention subjective du défendeur (J. A. Talpis, avec la collaboration de S. L. Kath, </w:t>
      </w:r>
      <w:r w:rsidRPr="00442EE5">
        <w:rPr>
          <w:rFonts w:cs="Times New Roman"/>
          <w:i/>
          <w:lang w:val="fr-CA"/>
        </w:rPr>
        <w:t>« If I am from Grand</w:t>
      </w:r>
      <w:r w:rsidRPr="00442EE5">
        <w:rPr>
          <w:rFonts w:cs="Times New Roman"/>
          <w:i/>
          <w:lang w:val="fr-CA"/>
        </w:rPr>
        <w:noBreakHyphen/>
        <w:t xml:space="preserve">Mère, Why Am I Being Sued in Texas? » </w:t>
      </w:r>
      <w:r w:rsidRPr="00442EE5">
        <w:rPr>
          <w:rFonts w:cs="Times New Roman"/>
          <w:i/>
        </w:rPr>
        <w:t>Responding to Inappropriate Foreign Jurisdiction in Quebec</w:t>
      </w:r>
      <w:r w:rsidRPr="00442EE5">
        <w:rPr>
          <w:rFonts w:cs="Times New Roman"/>
          <w:i/>
        </w:rPr>
        <w:noBreakHyphen/>
        <w:t>United States Crossborder Litigation</w:t>
      </w:r>
      <w:r w:rsidRPr="00442EE5">
        <w:rPr>
          <w:rFonts w:cs="Times New Roman"/>
        </w:rPr>
        <w:t xml:space="preserve"> (2001), p. 114). </w:t>
      </w:r>
    </w:p>
    <w:p w:rsidR="00AF6697" w:rsidRPr="00442EE5" w:rsidRDefault="00AF6697" w:rsidP="00AF6697">
      <w:pPr>
        <w:pStyle w:val="ParaNoNdepar-AltN"/>
        <w:rPr>
          <w:rFonts w:cs="Times New Roman"/>
          <w:lang w:val="fr-CA"/>
        </w:rPr>
      </w:pPr>
      <w:r w:rsidRPr="00442EE5">
        <w:rPr>
          <w:rFonts w:cs="Times New Roman"/>
          <w:lang w:val="fr-CA"/>
        </w:rPr>
        <w:t>J</w:t>
      </w:r>
      <w:r>
        <w:rPr>
          <w:rFonts w:cs="Times New Roman"/>
          <w:lang w:val="fr-CA"/>
        </w:rPr>
        <w:t>’</w:t>
      </w:r>
      <w:r w:rsidRPr="00442EE5">
        <w:rPr>
          <w:rFonts w:cs="Times New Roman"/>
          <w:lang w:val="fr-CA"/>
        </w:rPr>
        <w:t>adopterais une approche plus souple pour déterminer si le défendeur a reconnu la compétence de l</w:t>
      </w:r>
      <w:r>
        <w:rPr>
          <w:rFonts w:cs="Times New Roman"/>
          <w:lang w:val="fr-CA"/>
        </w:rPr>
        <w:t>’</w:t>
      </w:r>
      <w:r w:rsidRPr="00442EE5">
        <w:rPr>
          <w:rFonts w:cs="Times New Roman"/>
          <w:lang w:val="fr-CA"/>
        </w:rPr>
        <w:t>autorité étrangère. Le défendeur qui souhaite contester la compétence d</w:t>
      </w:r>
      <w:r>
        <w:rPr>
          <w:rFonts w:cs="Times New Roman"/>
          <w:lang w:val="fr-CA"/>
        </w:rPr>
        <w:t>’</w:t>
      </w:r>
      <w:r w:rsidRPr="00442EE5">
        <w:rPr>
          <w:rFonts w:cs="Times New Roman"/>
          <w:lang w:val="fr-CA"/>
        </w:rPr>
        <w:t>une autorité étrangère devrait être en mesure d</w:t>
      </w:r>
      <w:r>
        <w:rPr>
          <w:rFonts w:cs="Times New Roman"/>
          <w:lang w:val="fr-CA"/>
        </w:rPr>
        <w:t>’</w:t>
      </w:r>
      <w:r w:rsidRPr="00442EE5">
        <w:rPr>
          <w:rFonts w:cs="Times New Roman"/>
          <w:lang w:val="fr-CA"/>
        </w:rPr>
        <w:t xml:space="preserve">expliquer </w:t>
      </w:r>
      <w:r w:rsidRPr="00442EE5">
        <w:rPr>
          <w:rFonts w:cs="Times New Roman"/>
          <w:i/>
          <w:lang w:val="fr-CA"/>
        </w:rPr>
        <w:t>pourquoi</w:t>
      </w:r>
      <w:r w:rsidRPr="00442EE5">
        <w:rPr>
          <w:rFonts w:cs="Times New Roman"/>
          <w:lang w:val="fr-CA"/>
        </w:rPr>
        <w:t xml:space="preserve"> cette autorité n</w:t>
      </w:r>
      <w:r>
        <w:rPr>
          <w:rFonts w:cs="Times New Roman"/>
          <w:lang w:val="fr-CA"/>
        </w:rPr>
        <w:t>’</w:t>
      </w:r>
      <w:r w:rsidRPr="00442EE5">
        <w:rPr>
          <w:rFonts w:cs="Times New Roman"/>
          <w:lang w:val="fr-CA"/>
        </w:rPr>
        <w:t>est pas compétente sans courir le risque qu</w:t>
      </w:r>
      <w:r>
        <w:rPr>
          <w:rFonts w:cs="Times New Roman"/>
          <w:lang w:val="fr-CA"/>
        </w:rPr>
        <w:t>’</w:t>
      </w:r>
      <w:r w:rsidRPr="00442EE5">
        <w:rPr>
          <w:rFonts w:cs="Times New Roman"/>
          <w:lang w:val="fr-CA"/>
        </w:rPr>
        <w:t>un tribunal en arrive à la conclusion qu</w:t>
      </w:r>
      <w:r>
        <w:rPr>
          <w:rFonts w:cs="Times New Roman"/>
          <w:lang w:val="fr-CA"/>
        </w:rPr>
        <w:t>’</w:t>
      </w:r>
      <w:r w:rsidRPr="00442EE5">
        <w:rPr>
          <w:rFonts w:cs="Times New Roman"/>
          <w:lang w:val="fr-CA"/>
        </w:rPr>
        <w:t>il a reconnu cette compétence. De plus, dans les ressorts où la procédure exige que des arguments de fond soient présentés en même temps que les moyens déclinatoires, le défendeur ne devrait pas subir un préjudice parce qu</w:t>
      </w:r>
      <w:r>
        <w:rPr>
          <w:rFonts w:cs="Times New Roman"/>
          <w:lang w:val="fr-CA"/>
        </w:rPr>
        <w:t>’</w:t>
      </w:r>
      <w:r w:rsidRPr="00442EE5">
        <w:rPr>
          <w:rFonts w:cs="Times New Roman"/>
          <w:lang w:val="fr-CA"/>
        </w:rPr>
        <w:t xml:space="preserve">il a soulevé des arguments de fond à cette étape. </w:t>
      </w:r>
    </w:p>
    <w:p w:rsidR="00AF6697" w:rsidRPr="00442EE5" w:rsidRDefault="00AF6697" w:rsidP="00AF6697">
      <w:pPr>
        <w:pStyle w:val="ParaNoNdepar-AltN"/>
        <w:rPr>
          <w:rFonts w:cs="Times New Roman"/>
          <w:lang w:val="fr-CA"/>
        </w:rPr>
      </w:pPr>
      <w:r w:rsidRPr="00442EE5">
        <w:rPr>
          <w:rFonts w:cs="Times New Roman"/>
          <w:lang w:val="fr-CA"/>
        </w:rPr>
        <w:t>Les raisons qui militent en faveur d</w:t>
      </w:r>
      <w:r>
        <w:rPr>
          <w:rFonts w:cs="Times New Roman"/>
          <w:lang w:val="fr-CA"/>
        </w:rPr>
        <w:t>’</w:t>
      </w:r>
      <w:r w:rsidRPr="00442EE5">
        <w:rPr>
          <w:rFonts w:cs="Times New Roman"/>
          <w:lang w:val="fr-CA"/>
        </w:rPr>
        <w:t xml:space="preserve">une telle approche ont été résumées dans la décision </w:t>
      </w:r>
      <w:r w:rsidRPr="00442EE5">
        <w:rPr>
          <w:rFonts w:cs="Times New Roman"/>
          <w:i/>
          <w:lang w:val="fr-CA"/>
        </w:rPr>
        <w:t>Cortas Canning and Refrigerating Co. c. Suidan Bros. inc./Suidan Frères inc.</w:t>
      </w:r>
      <w:r w:rsidRPr="00442EE5">
        <w:rPr>
          <w:rFonts w:cs="Times New Roman"/>
          <w:lang w:val="fr-CA"/>
        </w:rPr>
        <w:t>, [1999] R.J.Q. 1227 (C.S.), p. 1244 :</w:t>
      </w:r>
    </w:p>
    <w:p w:rsidR="00AF6697" w:rsidRPr="00442EE5" w:rsidRDefault="00AF6697" w:rsidP="00C45A79">
      <w:pPr>
        <w:pStyle w:val="Citation-AltC"/>
        <w:tabs>
          <w:tab w:val="left" w:pos="1620"/>
          <w:tab w:val="left" w:pos="2160"/>
        </w:tabs>
        <w:rPr>
          <w:lang w:val="fr-CA"/>
        </w:rPr>
      </w:pPr>
      <w:r w:rsidRPr="00442EE5">
        <w:rPr>
          <w:lang w:val="fr-CA"/>
        </w:rPr>
        <w:tab/>
      </w:r>
      <w:r w:rsidR="00C45A79" w:rsidRPr="00442EE5">
        <w:rPr>
          <w:lang w:val="fr-CA"/>
        </w:rPr>
        <w:t>[</w:t>
      </w:r>
      <w:r w:rsidR="00C45A79" w:rsidRPr="00442EE5">
        <w:rPr>
          <w:smallCaps/>
          <w:lang w:val="fr-CA"/>
        </w:rPr>
        <w:t>traduction</w:t>
      </w:r>
      <w:r w:rsidR="00C45A79" w:rsidRPr="00442EE5">
        <w:rPr>
          <w:lang w:val="fr-CA"/>
        </w:rPr>
        <w:t>]</w:t>
      </w:r>
      <w:r w:rsidR="00C45A79">
        <w:rPr>
          <w:lang w:val="fr-CA"/>
        </w:rPr>
        <w:t xml:space="preserve"> </w:t>
      </w:r>
      <w:r w:rsidRPr="00442EE5">
        <w:rPr>
          <w:lang w:val="fr-CA"/>
        </w:rPr>
        <w:t>Les auteurs semblent être favorables à l</w:t>
      </w:r>
      <w:r>
        <w:rPr>
          <w:lang w:val="fr-CA"/>
        </w:rPr>
        <w:t>’</w:t>
      </w:r>
      <w:r w:rsidRPr="00442EE5">
        <w:rPr>
          <w:lang w:val="fr-CA"/>
        </w:rPr>
        <w:t xml:space="preserve">idée de permettre au défendeur de « sauver les meubles » devant le tribunal étranger sans reconnaître la compétence de ce dernier. Cela pourrait également permettre au défendeur de se défendre </w:t>
      </w:r>
      <w:r w:rsidRPr="00442EE5">
        <w:rPr>
          <w:u w:val="single"/>
          <w:lang w:val="fr-CA"/>
        </w:rPr>
        <w:t>dans les situations où le demandeur recherche le tribunal et le ressort qui lui est le plus favorable tant pour ce qui est du montant auquel il pourrait être condamné qu</w:t>
      </w:r>
      <w:r>
        <w:rPr>
          <w:u w:val="single"/>
          <w:lang w:val="fr-CA"/>
        </w:rPr>
        <w:t>’</w:t>
      </w:r>
      <w:r w:rsidRPr="00442EE5">
        <w:rPr>
          <w:u w:val="single"/>
          <w:lang w:val="fr-CA"/>
        </w:rPr>
        <w:t>en ce qui concerne le droit substantiel applicable</w:t>
      </w:r>
      <w:r w:rsidRPr="00442EE5">
        <w:rPr>
          <w:lang w:val="fr-CA"/>
        </w:rPr>
        <w:t xml:space="preserve">, mais </w:t>
      </w:r>
      <w:r w:rsidRPr="00442EE5">
        <w:rPr>
          <w:u w:val="single"/>
          <w:lang w:val="fr-CA"/>
        </w:rPr>
        <w:t>où il n</w:t>
      </w:r>
      <w:r>
        <w:rPr>
          <w:u w:val="single"/>
          <w:lang w:val="fr-CA"/>
        </w:rPr>
        <w:t>’</w:t>
      </w:r>
      <w:r w:rsidRPr="00442EE5">
        <w:rPr>
          <w:u w:val="single"/>
          <w:lang w:val="fr-CA"/>
        </w:rPr>
        <w:t>existe pas de lien de rattachement important entre lui et le tribunal étranger</w:t>
      </w:r>
      <w:r w:rsidRPr="00442EE5">
        <w:rPr>
          <w:lang w:val="fr-CA"/>
        </w:rPr>
        <w:t>. De l</w:t>
      </w:r>
      <w:r>
        <w:rPr>
          <w:lang w:val="fr-CA"/>
        </w:rPr>
        <w:t>’</w:t>
      </w:r>
      <w:r w:rsidRPr="00442EE5">
        <w:rPr>
          <w:lang w:val="fr-CA"/>
        </w:rPr>
        <w:t xml:space="preserve">avis de la </w:t>
      </w:r>
      <w:r w:rsidRPr="00442EE5">
        <w:rPr>
          <w:lang w:val="fr-CA"/>
        </w:rPr>
        <w:lastRenderedPageBreak/>
        <w:t>Cour, ce raisonnement est bien fondé en droit. Il permet au défendeur de soulever la question de la compétence au début de l</w:t>
      </w:r>
      <w:r>
        <w:rPr>
          <w:lang w:val="fr-CA"/>
        </w:rPr>
        <w:t>’</w:t>
      </w:r>
      <w:r w:rsidRPr="00442EE5">
        <w:rPr>
          <w:lang w:val="fr-CA"/>
        </w:rPr>
        <w:t>instruction; il lui donne le temps de soupeser comme il se doit les risques et les avantages de chaque avenue avant d</w:t>
      </w:r>
      <w:r>
        <w:rPr>
          <w:lang w:val="fr-CA"/>
        </w:rPr>
        <w:t>’</w:t>
      </w:r>
      <w:r w:rsidRPr="00442EE5">
        <w:rPr>
          <w:lang w:val="fr-CA"/>
        </w:rPr>
        <w:t>accepter de reconnaître la compétence du tribunal étranger. [Je souligne.]</w:t>
      </w:r>
    </w:p>
    <w:p w:rsidR="00AF6697" w:rsidRPr="00442EE5" w:rsidRDefault="00AF6697" w:rsidP="00AF6697">
      <w:pPr>
        <w:pStyle w:val="ParaNoNdepar-AltN"/>
        <w:rPr>
          <w:rFonts w:cs="Times New Roman"/>
          <w:lang w:val="fr-CA"/>
        </w:rPr>
      </w:pPr>
      <w:r w:rsidRPr="00442EE5">
        <w:rPr>
          <w:rFonts w:cs="Times New Roman"/>
          <w:lang w:val="fr-CA"/>
        </w:rPr>
        <w:t>En fin de compte, la reconnaissance de compétence dépend de l</w:t>
      </w:r>
      <w:r>
        <w:rPr>
          <w:rFonts w:cs="Times New Roman"/>
          <w:lang w:val="fr-CA"/>
        </w:rPr>
        <w:t>’</w:t>
      </w:r>
      <w:r w:rsidRPr="00442EE5">
        <w:rPr>
          <w:rFonts w:cs="Times New Roman"/>
          <w:lang w:val="fr-CA"/>
        </w:rPr>
        <w:t>intention du défendeur (Goldstein et Groffier, p. 430) et cette intention doit être claire (</w:t>
      </w:r>
      <w:r w:rsidRPr="00442EE5">
        <w:rPr>
          <w:rFonts w:cs="Times New Roman"/>
          <w:i/>
          <w:szCs w:val="24"/>
          <w:lang w:val="fr-CA"/>
        </w:rPr>
        <w:t>171486 Canada Inc. c. Rogers Cantel Inc.</w:t>
      </w:r>
      <w:r w:rsidRPr="00442EE5">
        <w:rPr>
          <w:rFonts w:cs="Times New Roman"/>
          <w:szCs w:val="24"/>
          <w:lang w:val="fr-CA"/>
        </w:rPr>
        <w:t xml:space="preserve">, [1995] R.D.J. 91, p. 98; </w:t>
      </w:r>
      <w:r w:rsidRPr="00442EE5">
        <w:rPr>
          <w:rFonts w:cs="Times New Roman"/>
          <w:i/>
          <w:szCs w:val="24"/>
          <w:lang w:val="fr-CA"/>
        </w:rPr>
        <w:t>Forest Fibers Inc. c. CSAV Norasia Container Lines Ltd.</w:t>
      </w:r>
      <w:r w:rsidRPr="00442EE5">
        <w:rPr>
          <w:rFonts w:cs="Times New Roman"/>
          <w:szCs w:val="24"/>
          <w:lang w:val="fr-CA"/>
        </w:rPr>
        <w:t xml:space="preserve">, 2007 QCCS 4794, par. 44 (CanLII); </w:t>
      </w:r>
      <w:r w:rsidRPr="00442EE5">
        <w:rPr>
          <w:rFonts w:cs="Times New Roman"/>
          <w:i/>
          <w:szCs w:val="24"/>
          <w:lang w:val="fr-CA"/>
        </w:rPr>
        <w:t>Conserviera S.p.A. c. Paesana Import</w:t>
      </w:r>
      <w:r w:rsidRPr="00442EE5">
        <w:rPr>
          <w:rFonts w:cs="Times New Roman"/>
          <w:i/>
          <w:szCs w:val="24"/>
          <w:lang w:val="fr-CA"/>
        </w:rPr>
        <w:noBreakHyphen/>
        <w:t>Export Inc.</w:t>
      </w:r>
      <w:r w:rsidRPr="00442EE5">
        <w:rPr>
          <w:rFonts w:cs="Times New Roman"/>
          <w:szCs w:val="24"/>
          <w:lang w:val="fr-CA"/>
        </w:rPr>
        <w:t>, 2001 CanLII 24802 (C.S. Qc), par. 63</w:t>
      </w:r>
      <w:r w:rsidRPr="00442EE5">
        <w:rPr>
          <w:rFonts w:cs="Times New Roman"/>
          <w:szCs w:val="24"/>
          <w:lang w:val="fr-CA"/>
        </w:rPr>
        <w:noBreakHyphen/>
        <w:t>64)</w:t>
      </w:r>
      <w:r w:rsidRPr="00442EE5">
        <w:rPr>
          <w:rFonts w:cs="Times New Roman"/>
          <w:lang w:val="fr-CA"/>
        </w:rPr>
        <w:t>. Pour déterminer si un défendeur a reconnu la compétence d</w:t>
      </w:r>
      <w:r>
        <w:rPr>
          <w:rFonts w:cs="Times New Roman"/>
          <w:lang w:val="fr-CA"/>
        </w:rPr>
        <w:t>’</w:t>
      </w:r>
      <w:r w:rsidRPr="00442EE5">
        <w:rPr>
          <w:rFonts w:cs="Times New Roman"/>
          <w:lang w:val="fr-CA"/>
        </w:rPr>
        <w:t>une autorité étrangère, les tribunaux québécois devraient se demander si les actes du défendeur démontrent qu</w:t>
      </w:r>
      <w:r>
        <w:rPr>
          <w:rFonts w:cs="Times New Roman"/>
          <w:lang w:val="fr-CA"/>
        </w:rPr>
        <w:t>’</w:t>
      </w:r>
      <w:r w:rsidRPr="00442EE5">
        <w:rPr>
          <w:rFonts w:cs="Times New Roman"/>
          <w:lang w:val="fr-CA"/>
        </w:rPr>
        <w:t>il avait une telle intention.</w:t>
      </w:r>
    </w:p>
    <w:p w:rsidR="00AF6697" w:rsidRPr="00442EE5" w:rsidRDefault="00AF6697" w:rsidP="00AF6697">
      <w:pPr>
        <w:pStyle w:val="ParaNoNdepar-AltN"/>
        <w:rPr>
          <w:rFonts w:cs="Times New Roman"/>
          <w:lang w:val="fr-CA"/>
        </w:rPr>
      </w:pPr>
      <w:r w:rsidRPr="00442EE5">
        <w:rPr>
          <w:rFonts w:cs="Times New Roman"/>
          <w:lang w:val="fr-CA"/>
        </w:rPr>
        <w:t>Il faut permettre au défendeur de faire valoir des arguments et des considérations susceptibles de convaincre une autorité étrangère qu</w:t>
      </w:r>
      <w:r>
        <w:rPr>
          <w:rFonts w:cs="Times New Roman"/>
          <w:lang w:val="fr-CA"/>
        </w:rPr>
        <w:t>’</w:t>
      </w:r>
      <w:r w:rsidRPr="00442EE5">
        <w:rPr>
          <w:rFonts w:cs="Times New Roman"/>
          <w:lang w:val="fr-CA"/>
        </w:rPr>
        <w:t>elle ne devrait pas se déclarer compétente. Il est déraisonnable de soutenir que le défendeur qui le fait reconnaît nécessairement la compétence de l</w:t>
      </w:r>
      <w:r>
        <w:rPr>
          <w:rFonts w:cs="Times New Roman"/>
          <w:lang w:val="fr-CA"/>
        </w:rPr>
        <w:t>’</w:t>
      </w:r>
      <w:r w:rsidRPr="00442EE5">
        <w:rPr>
          <w:rFonts w:cs="Times New Roman"/>
          <w:lang w:val="fr-CA"/>
        </w:rPr>
        <w:t>autorité étrangère. Cela placerait celui</w:t>
      </w:r>
      <w:r w:rsidRPr="00442EE5">
        <w:rPr>
          <w:rFonts w:cs="Times New Roman"/>
          <w:lang w:val="fr-CA"/>
        </w:rPr>
        <w:noBreakHyphen/>
        <w:t>ci dans une situation sans issue. S</w:t>
      </w:r>
      <w:r>
        <w:rPr>
          <w:rFonts w:cs="Times New Roman"/>
          <w:lang w:val="fr-CA"/>
        </w:rPr>
        <w:t>’</w:t>
      </w:r>
      <w:r w:rsidRPr="00442EE5">
        <w:rPr>
          <w:rFonts w:cs="Times New Roman"/>
          <w:lang w:val="fr-CA"/>
        </w:rPr>
        <w:t>il essaie de contester la compétence d</w:t>
      </w:r>
      <w:r>
        <w:rPr>
          <w:rFonts w:cs="Times New Roman"/>
          <w:lang w:val="fr-CA"/>
        </w:rPr>
        <w:t>’</w:t>
      </w:r>
      <w:r w:rsidRPr="00442EE5">
        <w:rPr>
          <w:rFonts w:cs="Times New Roman"/>
          <w:lang w:val="fr-CA"/>
        </w:rPr>
        <w:t>une autorité étrangère, il risque d</w:t>
      </w:r>
      <w:r>
        <w:rPr>
          <w:rFonts w:cs="Times New Roman"/>
          <w:lang w:val="fr-CA"/>
        </w:rPr>
        <w:t>’</w:t>
      </w:r>
      <w:r w:rsidRPr="00442EE5">
        <w:rPr>
          <w:rFonts w:cs="Times New Roman"/>
          <w:lang w:val="fr-CA"/>
        </w:rPr>
        <w:t>être considéré comme ayant reconnu la compétence de cette autorité aux yeux d</w:t>
      </w:r>
      <w:r>
        <w:rPr>
          <w:rFonts w:cs="Times New Roman"/>
          <w:lang w:val="fr-CA"/>
        </w:rPr>
        <w:t>’</w:t>
      </w:r>
      <w:r w:rsidRPr="00442EE5">
        <w:rPr>
          <w:rFonts w:cs="Times New Roman"/>
          <w:lang w:val="fr-CA"/>
        </w:rPr>
        <w:t>un tribunal québécois, exposant ainsi ses actifs personnels au Québec. S</w:t>
      </w:r>
      <w:r>
        <w:rPr>
          <w:rFonts w:cs="Times New Roman"/>
          <w:lang w:val="fr-CA"/>
        </w:rPr>
        <w:t>’</w:t>
      </w:r>
      <w:r w:rsidRPr="00442EE5">
        <w:rPr>
          <w:rFonts w:cs="Times New Roman"/>
          <w:lang w:val="fr-CA"/>
        </w:rPr>
        <w:t>il ne le fait pas, il se trouvera vraisemblablement aux prises avec un jugement par défaut étranger qui pourrait sérieusement restreindre sa capacité de faire des affaires (ou d</w:t>
      </w:r>
      <w:r>
        <w:rPr>
          <w:rFonts w:cs="Times New Roman"/>
          <w:lang w:val="fr-CA"/>
        </w:rPr>
        <w:t>’</w:t>
      </w:r>
      <w:r w:rsidRPr="00442EE5">
        <w:rPr>
          <w:rFonts w:cs="Times New Roman"/>
          <w:lang w:val="fr-CA"/>
        </w:rPr>
        <w:t>exercer toute autre activité) dans le ressort étranger. Les conséquences pratiques sont réelles et graves.</w:t>
      </w:r>
    </w:p>
    <w:p w:rsidR="00AF6697" w:rsidRPr="00442EE5" w:rsidRDefault="00AF6697" w:rsidP="00AF6697">
      <w:pPr>
        <w:pStyle w:val="ParaNoNdepar-AltN"/>
        <w:rPr>
          <w:rFonts w:cs="Times New Roman"/>
          <w:lang w:val="fr-CA"/>
        </w:rPr>
      </w:pPr>
      <w:r w:rsidRPr="00442EE5">
        <w:rPr>
          <w:rFonts w:cs="Times New Roman"/>
          <w:lang w:val="fr-CA"/>
        </w:rPr>
        <w:lastRenderedPageBreak/>
        <w:t>J</w:t>
      </w:r>
      <w:r>
        <w:rPr>
          <w:rFonts w:cs="Times New Roman"/>
          <w:lang w:val="fr-CA"/>
        </w:rPr>
        <w:t>’</w:t>
      </w:r>
      <w:r w:rsidRPr="00442EE5">
        <w:rPr>
          <w:rFonts w:cs="Times New Roman"/>
          <w:lang w:val="fr-CA"/>
        </w:rPr>
        <w:t>examine maintenant les faits en l</w:t>
      </w:r>
      <w:r>
        <w:rPr>
          <w:rFonts w:cs="Times New Roman"/>
          <w:lang w:val="fr-CA"/>
        </w:rPr>
        <w:t>’</w:t>
      </w:r>
      <w:r w:rsidRPr="00442EE5">
        <w:rPr>
          <w:rFonts w:cs="Times New Roman"/>
          <w:lang w:val="fr-CA"/>
        </w:rPr>
        <w:t>espèce. Le juge Blanchard a conclu que l</w:t>
      </w:r>
      <w:r>
        <w:rPr>
          <w:rFonts w:cs="Times New Roman"/>
          <w:lang w:val="fr-CA"/>
        </w:rPr>
        <w:t>’</w:t>
      </w:r>
      <w:r w:rsidRPr="00442EE5">
        <w:rPr>
          <w:rFonts w:cs="Times New Roman"/>
          <w:lang w:val="fr-CA"/>
        </w:rPr>
        <w:t>appelant avait reconnu la compétence du tribunal de l</w:t>
      </w:r>
      <w:r>
        <w:rPr>
          <w:rFonts w:cs="Times New Roman"/>
          <w:lang w:val="fr-CA"/>
        </w:rPr>
        <w:t>’</w:t>
      </w:r>
      <w:r w:rsidRPr="00442EE5">
        <w:rPr>
          <w:rFonts w:cs="Times New Roman"/>
          <w:lang w:val="fr-CA"/>
        </w:rPr>
        <w:t>Utah en soulevant les questions suivantes dans sa requête en irrecevabilité :</w:t>
      </w:r>
    </w:p>
    <w:p w:rsidR="00AF6697" w:rsidRPr="00442EE5" w:rsidRDefault="00AF6697" w:rsidP="00AF6697">
      <w:pPr>
        <w:pStyle w:val="ParaNoNdepar-AltN"/>
        <w:numPr>
          <w:ilvl w:val="0"/>
          <w:numId w:val="0"/>
        </w:numPr>
        <w:spacing w:after="240" w:line="240" w:lineRule="auto"/>
        <w:ind w:left="1134"/>
        <w:rPr>
          <w:rFonts w:cs="Times New Roman"/>
          <w:lang w:val="fr-CA"/>
        </w:rPr>
      </w:pPr>
      <w:r w:rsidRPr="00442EE5">
        <w:rPr>
          <w:rFonts w:cs="Times New Roman"/>
          <w:lang w:val="fr-CA"/>
        </w:rPr>
        <w:t>[</w:t>
      </w:r>
      <w:r w:rsidRPr="00442EE5">
        <w:rPr>
          <w:rFonts w:cs="Times New Roman"/>
          <w:smallCaps/>
          <w:lang w:val="fr-CA"/>
        </w:rPr>
        <w:t>traduction</w:t>
      </w:r>
      <w:r w:rsidRPr="00442EE5">
        <w:rPr>
          <w:rFonts w:cs="Times New Roman"/>
          <w:lang w:val="fr-CA"/>
        </w:rPr>
        <w:t>]</w:t>
      </w:r>
    </w:p>
    <w:p w:rsidR="00AF6697" w:rsidRPr="00442EE5" w:rsidRDefault="00AF6697" w:rsidP="00AF6697">
      <w:pPr>
        <w:pStyle w:val="Citation-AltC"/>
        <w:tabs>
          <w:tab w:val="left" w:pos="1620"/>
        </w:tabs>
        <w:spacing w:after="240"/>
        <w:ind w:firstLine="4"/>
        <w:contextualSpacing w:val="0"/>
        <w:rPr>
          <w:lang w:val="fr-CA"/>
        </w:rPr>
      </w:pPr>
      <w:r w:rsidRPr="00442EE5">
        <w:rPr>
          <w:lang w:val="fr-CA"/>
        </w:rPr>
        <w:tab/>
        <w:t>1.</w:t>
      </w:r>
      <w:r w:rsidRPr="00442EE5">
        <w:rPr>
          <w:lang w:val="fr-CA"/>
        </w:rPr>
        <w:tab/>
        <w:t>La demanderesse n</w:t>
      </w:r>
      <w:r>
        <w:rPr>
          <w:lang w:val="fr-CA"/>
        </w:rPr>
        <w:t>’</w:t>
      </w:r>
      <w:r w:rsidRPr="00442EE5">
        <w:rPr>
          <w:lang w:val="fr-CA"/>
        </w:rPr>
        <w:t>a pas allégué la fraude, car cette allégation, telle que formulée, est irrecevable en raison de la règle des pertes financières;</w:t>
      </w:r>
    </w:p>
    <w:p w:rsidR="00AF6697" w:rsidRPr="00442EE5" w:rsidRDefault="00AF6697" w:rsidP="00AF6697">
      <w:pPr>
        <w:pStyle w:val="Citation-AltC"/>
        <w:tabs>
          <w:tab w:val="left" w:pos="1620"/>
        </w:tabs>
        <w:spacing w:after="240"/>
        <w:contextualSpacing w:val="0"/>
        <w:rPr>
          <w:lang w:val="fr-CA"/>
        </w:rPr>
      </w:pPr>
      <w:r w:rsidRPr="00442EE5">
        <w:rPr>
          <w:lang w:val="fr-CA"/>
        </w:rPr>
        <w:tab/>
        <w:t>2.</w:t>
      </w:r>
      <w:r w:rsidRPr="00442EE5">
        <w:rPr>
          <w:lang w:val="fr-CA"/>
        </w:rPr>
        <w:tab/>
        <w:t>La demanderesse n</w:t>
      </w:r>
      <w:r>
        <w:rPr>
          <w:lang w:val="fr-CA"/>
        </w:rPr>
        <w:t>’</w:t>
      </w:r>
      <w:r w:rsidRPr="00442EE5">
        <w:rPr>
          <w:lang w:val="fr-CA"/>
        </w:rPr>
        <w:t>a pas allégué suffisamment de faits pour pouvoir faire valoir une allégation d</w:t>
      </w:r>
      <w:r>
        <w:rPr>
          <w:lang w:val="fr-CA"/>
        </w:rPr>
        <w:t>’</w:t>
      </w:r>
      <w:r w:rsidRPr="00442EE5">
        <w:rPr>
          <w:lang w:val="fr-CA"/>
        </w:rPr>
        <w:t xml:space="preserve">alter ego contre M. Barer; </w:t>
      </w:r>
      <w:r w:rsidR="00432155">
        <w:rPr>
          <w:lang w:val="fr-CA"/>
        </w:rPr>
        <w:t>et</w:t>
      </w:r>
    </w:p>
    <w:p w:rsidR="00AF6697" w:rsidRPr="00442EE5" w:rsidRDefault="00AF6697" w:rsidP="00AF6697">
      <w:pPr>
        <w:pStyle w:val="Citation-AltC"/>
        <w:tabs>
          <w:tab w:val="left" w:pos="1620"/>
        </w:tabs>
        <w:spacing w:after="240"/>
        <w:contextualSpacing w:val="0"/>
        <w:rPr>
          <w:lang w:val="fr-CA"/>
        </w:rPr>
      </w:pPr>
      <w:r w:rsidRPr="00442EE5">
        <w:rPr>
          <w:lang w:val="fr-CA"/>
        </w:rPr>
        <w:tab/>
        <w:t>3.</w:t>
      </w:r>
      <w:r w:rsidRPr="00442EE5">
        <w:rPr>
          <w:lang w:val="fr-CA"/>
        </w:rPr>
        <w:tab/>
        <w:t>La demanderesse n</w:t>
      </w:r>
      <w:r>
        <w:rPr>
          <w:lang w:val="fr-CA"/>
        </w:rPr>
        <w:t>’</w:t>
      </w:r>
      <w:r w:rsidRPr="00442EE5">
        <w:rPr>
          <w:lang w:val="fr-CA"/>
        </w:rPr>
        <w:t>a pas allégué suffisamment de faits pour justifier une déclaration de compétence personnelle à l</w:t>
      </w:r>
      <w:r>
        <w:rPr>
          <w:lang w:val="fr-CA"/>
        </w:rPr>
        <w:t>’</w:t>
      </w:r>
      <w:r w:rsidRPr="00442EE5">
        <w:rPr>
          <w:lang w:val="fr-CA"/>
        </w:rPr>
        <w:t>égard de M. Barer.</w:t>
      </w:r>
    </w:p>
    <w:p w:rsidR="00AF6697" w:rsidRPr="00442EE5" w:rsidRDefault="00AF6697" w:rsidP="00864BFB">
      <w:pPr>
        <w:pStyle w:val="Citation-AltC"/>
        <w:tabs>
          <w:tab w:val="left" w:pos="0"/>
        </w:tabs>
        <w:ind w:left="0" w:hanging="1166"/>
        <w:rPr>
          <w:lang w:val="fr-CA"/>
        </w:rPr>
      </w:pPr>
      <w:r>
        <w:rPr>
          <w:lang w:val="fr-CA"/>
        </w:rPr>
        <w:tab/>
      </w:r>
      <w:r w:rsidR="00C45A79">
        <w:rPr>
          <w:lang w:val="fr-CA"/>
        </w:rPr>
        <w:t>(V</w:t>
      </w:r>
      <w:r w:rsidRPr="00442EE5">
        <w:rPr>
          <w:lang w:val="fr-CA"/>
        </w:rPr>
        <w:t>oir aussi motifs de la C.S., par. 6</w:t>
      </w:r>
      <w:r w:rsidR="00C45A79">
        <w:rPr>
          <w:lang w:val="fr-CA"/>
        </w:rPr>
        <w:t>.</w:t>
      </w:r>
      <w:r w:rsidRPr="00442EE5">
        <w:rPr>
          <w:lang w:val="fr-CA"/>
        </w:rPr>
        <w:t>)</w:t>
      </w:r>
    </w:p>
    <w:p w:rsidR="00AF6697" w:rsidRPr="00442EE5" w:rsidRDefault="00AF6697" w:rsidP="00AF6697">
      <w:pPr>
        <w:pStyle w:val="ParaNoNdepar-AltN"/>
        <w:rPr>
          <w:rFonts w:cs="Times New Roman"/>
          <w:lang w:val="fr-CA"/>
        </w:rPr>
      </w:pPr>
      <w:r w:rsidRPr="00442EE5">
        <w:rPr>
          <w:rFonts w:cs="Times New Roman"/>
          <w:lang w:val="fr-CA"/>
        </w:rPr>
        <w:t>Mon collègue le juge Gascon concède que M. Barer n</w:t>
      </w:r>
      <w:r>
        <w:rPr>
          <w:rFonts w:cs="Times New Roman"/>
          <w:lang w:val="fr-CA"/>
        </w:rPr>
        <w:t>’</w:t>
      </w:r>
      <w:r w:rsidRPr="00442EE5">
        <w:rPr>
          <w:rFonts w:cs="Times New Roman"/>
          <w:lang w:val="fr-CA"/>
        </w:rPr>
        <w:t>a pas présenté de défense sur le fond. Il insiste plutôt sur le premier des arguments soulevés par M. Barer dans sa requête en irrecevabilité et conclut que, comme il a soutenu que l</w:t>
      </w:r>
      <w:r>
        <w:rPr>
          <w:rFonts w:cs="Times New Roman"/>
          <w:lang w:val="fr-CA"/>
        </w:rPr>
        <w:t>’</w:t>
      </w:r>
      <w:r w:rsidRPr="00442EE5">
        <w:rPr>
          <w:rFonts w:cs="Times New Roman"/>
          <w:lang w:val="fr-CA"/>
        </w:rPr>
        <w:t>allégation de déclarations inexactes frauduleuses faites par Knight était irrecevable en droit en raison de la règle relative aux pertes strictement financières, M. Barer a nécessairement reconnu la compétence du tribunal de l</w:t>
      </w:r>
      <w:r>
        <w:rPr>
          <w:rFonts w:cs="Times New Roman"/>
          <w:lang w:val="fr-CA"/>
        </w:rPr>
        <w:t>’</w:t>
      </w:r>
      <w:r w:rsidRPr="00442EE5">
        <w:rPr>
          <w:rFonts w:cs="Times New Roman"/>
          <w:lang w:val="fr-CA"/>
        </w:rPr>
        <w:t xml:space="preserve">Utah (par. 71). Pour les motifs qui suivent, je ne puis souscrire à cette conclusion. </w:t>
      </w:r>
    </w:p>
    <w:p w:rsidR="00AF6697" w:rsidRPr="00442EE5" w:rsidRDefault="00AF6697" w:rsidP="00AF6697">
      <w:pPr>
        <w:pStyle w:val="ParaNoNdepar-AltN"/>
        <w:rPr>
          <w:rFonts w:cs="Times New Roman"/>
          <w:lang w:val="fr-CA"/>
        </w:rPr>
      </w:pPr>
      <w:r w:rsidRPr="00442EE5">
        <w:rPr>
          <w:rFonts w:cs="Times New Roman"/>
          <w:lang w:val="fr-CA"/>
        </w:rPr>
        <w:t>La décision sur la requête en irrecevabilité présentée en Utah établit, d</w:t>
      </w:r>
      <w:r>
        <w:rPr>
          <w:rFonts w:cs="Times New Roman"/>
          <w:lang w:val="fr-CA"/>
        </w:rPr>
        <w:t>’</w:t>
      </w:r>
      <w:r w:rsidRPr="00442EE5">
        <w:rPr>
          <w:rFonts w:cs="Times New Roman"/>
          <w:lang w:val="fr-CA"/>
        </w:rPr>
        <w:t>une part, que [</w:t>
      </w:r>
      <w:r w:rsidRPr="00442EE5">
        <w:rPr>
          <w:rFonts w:cs="Times New Roman"/>
          <w:smallCaps/>
          <w:lang w:val="fr-CA"/>
        </w:rPr>
        <w:t>traduction</w:t>
      </w:r>
      <w:r>
        <w:rPr>
          <w:rFonts w:cs="Times New Roman"/>
          <w:lang w:val="fr-CA"/>
        </w:rPr>
        <w:t xml:space="preserve">] </w:t>
      </w:r>
      <w:r w:rsidRPr="00442EE5">
        <w:rPr>
          <w:rFonts w:cs="Times New Roman"/>
          <w:lang w:val="fr-CA"/>
        </w:rPr>
        <w:t xml:space="preserve">« “[p]our faire échec à une preuve </w:t>
      </w:r>
      <w:r w:rsidRPr="00442EE5">
        <w:rPr>
          <w:rFonts w:cs="Times New Roman"/>
          <w:i/>
          <w:lang w:val="fr-CA"/>
        </w:rPr>
        <w:t xml:space="preserve">prima facie </w:t>
      </w:r>
      <w:r w:rsidRPr="00442EE5">
        <w:rPr>
          <w:rFonts w:cs="Times New Roman"/>
          <w:lang w:val="fr-CA"/>
        </w:rPr>
        <w:t>de compétence, le défendeur doit démontrer que la présence de certaines autres considérations rendrait déraisonnable une déclaration de compétence” » et, d</w:t>
      </w:r>
      <w:r>
        <w:rPr>
          <w:rFonts w:cs="Times New Roman"/>
          <w:lang w:val="fr-CA"/>
        </w:rPr>
        <w:t>’</w:t>
      </w:r>
      <w:r w:rsidR="00432155">
        <w:rPr>
          <w:rFonts w:cs="Times New Roman"/>
          <w:lang w:val="fr-CA"/>
        </w:rPr>
        <w:t>autre part, que « </w:t>
      </w:r>
      <w:r w:rsidRPr="00442EE5">
        <w:rPr>
          <w:rFonts w:cs="Times New Roman"/>
          <w:lang w:val="fr-CA"/>
        </w:rPr>
        <w:t>l</w:t>
      </w:r>
      <w:r>
        <w:rPr>
          <w:rFonts w:cs="Times New Roman"/>
          <w:lang w:val="fr-CA"/>
        </w:rPr>
        <w:t>’</w:t>
      </w:r>
      <w:r w:rsidR="00432155">
        <w:rPr>
          <w:rFonts w:cs="Times New Roman"/>
          <w:lang w:val="fr-CA"/>
        </w:rPr>
        <w:t>“</w:t>
      </w:r>
      <w:r w:rsidRPr="00442EE5">
        <w:rPr>
          <w:rFonts w:cs="Times New Roman"/>
          <w:lang w:val="fr-CA"/>
        </w:rPr>
        <w:t>analyse de la compétence dans les affaires de l</w:t>
      </w:r>
      <w:r>
        <w:rPr>
          <w:rFonts w:cs="Times New Roman"/>
          <w:lang w:val="fr-CA"/>
        </w:rPr>
        <w:t>’</w:t>
      </w:r>
      <w:r w:rsidRPr="00442EE5">
        <w:rPr>
          <w:rFonts w:cs="Times New Roman"/>
          <w:lang w:val="fr-CA"/>
        </w:rPr>
        <w:t>Utah mettant en cause des parties de diverses citoyennetés se résume à une seule question : les défendeurs avaient</w:t>
      </w:r>
      <w:r w:rsidRPr="00442EE5">
        <w:rPr>
          <w:rFonts w:cs="Times New Roman"/>
          <w:lang w:val="fr-CA"/>
        </w:rPr>
        <w:noBreakHyphen/>
        <w:t xml:space="preserve">ils des </w:t>
      </w:r>
      <w:r>
        <w:rPr>
          <w:rFonts w:cs="Times New Roman"/>
          <w:lang w:val="fr-CA"/>
        </w:rPr>
        <w:t>‘</w:t>
      </w:r>
      <w:r w:rsidRPr="00442EE5">
        <w:rPr>
          <w:rFonts w:cs="Times New Roman"/>
          <w:lang w:val="fr-CA"/>
        </w:rPr>
        <w:t xml:space="preserve">liens </w:t>
      </w:r>
      <w:r w:rsidRPr="00442EE5">
        <w:rPr>
          <w:rFonts w:cs="Times New Roman"/>
          <w:lang w:val="fr-CA"/>
        </w:rPr>
        <w:lastRenderedPageBreak/>
        <w:t>minimaux</w:t>
      </w:r>
      <w:r>
        <w:rPr>
          <w:rFonts w:cs="Times New Roman"/>
          <w:lang w:val="fr-CA"/>
        </w:rPr>
        <w:t>’</w:t>
      </w:r>
      <w:r w:rsidRPr="00442EE5">
        <w:rPr>
          <w:rFonts w:cs="Times New Roman"/>
          <w:lang w:val="fr-CA"/>
        </w:rPr>
        <w:t xml:space="preserve"> avec l</w:t>
      </w:r>
      <w:r>
        <w:rPr>
          <w:rFonts w:cs="Times New Roman"/>
          <w:lang w:val="fr-CA"/>
        </w:rPr>
        <w:t>’</w:t>
      </w:r>
      <w:r w:rsidRPr="00442EE5">
        <w:rPr>
          <w:rFonts w:cs="Times New Roman"/>
          <w:lang w:val="fr-CA"/>
        </w:rPr>
        <w:t>État de l</w:t>
      </w:r>
      <w:r>
        <w:rPr>
          <w:rFonts w:cs="Times New Roman"/>
          <w:lang w:val="fr-CA"/>
        </w:rPr>
        <w:t>’</w:t>
      </w:r>
      <w:r w:rsidRPr="00442EE5">
        <w:rPr>
          <w:rFonts w:cs="Times New Roman"/>
          <w:lang w:val="fr-CA"/>
        </w:rPr>
        <w:t>Utah de manière à établir une compétence personnelle à leur égard?” ». À la lumière de cet énoncé du droit, un vaste éventail d</w:t>
      </w:r>
      <w:r>
        <w:rPr>
          <w:rFonts w:cs="Times New Roman"/>
          <w:lang w:val="fr-CA"/>
        </w:rPr>
        <w:t>’</w:t>
      </w:r>
      <w:r w:rsidRPr="00442EE5">
        <w:rPr>
          <w:rFonts w:cs="Times New Roman"/>
          <w:lang w:val="fr-CA"/>
        </w:rPr>
        <w:t>arguments peut convaincre un tribunal de l</w:t>
      </w:r>
      <w:r>
        <w:rPr>
          <w:rFonts w:cs="Times New Roman"/>
          <w:lang w:val="fr-CA"/>
        </w:rPr>
        <w:t>’</w:t>
      </w:r>
      <w:r w:rsidRPr="00442EE5">
        <w:rPr>
          <w:rFonts w:cs="Times New Roman"/>
          <w:lang w:val="fr-CA"/>
        </w:rPr>
        <w:t>Utah qu</w:t>
      </w:r>
      <w:r>
        <w:rPr>
          <w:rFonts w:cs="Times New Roman"/>
          <w:lang w:val="fr-CA"/>
        </w:rPr>
        <w:t>’</w:t>
      </w:r>
      <w:r w:rsidRPr="00442EE5">
        <w:rPr>
          <w:rFonts w:cs="Times New Roman"/>
          <w:lang w:val="fr-CA"/>
        </w:rPr>
        <w:t>il n</w:t>
      </w:r>
      <w:r>
        <w:rPr>
          <w:rFonts w:cs="Times New Roman"/>
          <w:lang w:val="fr-CA"/>
        </w:rPr>
        <w:t>’</w:t>
      </w:r>
      <w:r w:rsidRPr="00442EE5">
        <w:rPr>
          <w:rFonts w:cs="Times New Roman"/>
          <w:lang w:val="fr-CA"/>
        </w:rPr>
        <w:t>a pas compétence sur une affaire. Le défendeur doit avoir la possibilité de présenter ces arguments. En conséquence, le fait de soulever un argument susceptible de convaincre le tribunal qu</w:t>
      </w:r>
      <w:r>
        <w:rPr>
          <w:rFonts w:cs="Times New Roman"/>
          <w:lang w:val="fr-CA"/>
        </w:rPr>
        <w:t>’</w:t>
      </w:r>
      <w:r w:rsidRPr="00442EE5">
        <w:rPr>
          <w:rFonts w:cs="Times New Roman"/>
          <w:lang w:val="fr-CA"/>
        </w:rPr>
        <w:t>il serait déraisonnable de se déclarer compétent ne peut être considéré comme une reconnaissance de la compétence de ce tribunal. </w:t>
      </w:r>
    </w:p>
    <w:p w:rsidR="00AF6697" w:rsidRPr="00442EE5" w:rsidRDefault="00AF6697" w:rsidP="00AF6697">
      <w:pPr>
        <w:pStyle w:val="ParaNoNdepar-AltN"/>
        <w:rPr>
          <w:rFonts w:cs="Times New Roman"/>
          <w:lang w:val="fr-CA"/>
        </w:rPr>
      </w:pPr>
      <w:r w:rsidRPr="00442EE5">
        <w:rPr>
          <w:rFonts w:cs="Times New Roman"/>
          <w:lang w:val="fr-CA"/>
        </w:rPr>
        <w:t>Comme mon collègue le juge Gascon le souligne au par. 49, la question de savoir si une personne a reconnu la compétence d</w:t>
      </w:r>
      <w:r>
        <w:rPr>
          <w:rFonts w:cs="Times New Roman"/>
          <w:lang w:val="fr-CA"/>
        </w:rPr>
        <w:t>’</w:t>
      </w:r>
      <w:r w:rsidRPr="00442EE5">
        <w:rPr>
          <w:rFonts w:cs="Times New Roman"/>
          <w:lang w:val="fr-CA"/>
        </w:rPr>
        <w:t>une autorité étrangère est « une question mixte de fait et de droit ». Les faits en l</w:t>
      </w:r>
      <w:r>
        <w:rPr>
          <w:rFonts w:cs="Times New Roman"/>
          <w:lang w:val="fr-CA"/>
        </w:rPr>
        <w:t>’</w:t>
      </w:r>
      <w:r w:rsidRPr="00442EE5">
        <w:rPr>
          <w:rFonts w:cs="Times New Roman"/>
          <w:lang w:val="fr-CA"/>
        </w:rPr>
        <w:t>espèce me donnent peu de raisons d</w:t>
      </w:r>
      <w:r>
        <w:rPr>
          <w:rFonts w:cs="Times New Roman"/>
          <w:lang w:val="fr-CA"/>
        </w:rPr>
        <w:t>’</w:t>
      </w:r>
      <w:r w:rsidRPr="00442EE5">
        <w:rPr>
          <w:rFonts w:cs="Times New Roman"/>
          <w:lang w:val="fr-CA"/>
        </w:rPr>
        <w:t>inférer que l</w:t>
      </w:r>
      <w:r>
        <w:rPr>
          <w:rFonts w:cs="Times New Roman"/>
          <w:lang w:val="fr-CA"/>
        </w:rPr>
        <w:t>’</w:t>
      </w:r>
      <w:r w:rsidRPr="00442EE5">
        <w:rPr>
          <w:rFonts w:cs="Times New Roman"/>
          <w:lang w:val="fr-CA"/>
        </w:rPr>
        <w:t>appelant a reconnu la compétence du tribunal de l</w:t>
      </w:r>
      <w:r>
        <w:rPr>
          <w:rFonts w:cs="Times New Roman"/>
          <w:lang w:val="fr-CA"/>
        </w:rPr>
        <w:t>’</w:t>
      </w:r>
      <w:r w:rsidRPr="00442EE5">
        <w:rPr>
          <w:rFonts w:cs="Times New Roman"/>
          <w:lang w:val="fr-CA"/>
        </w:rPr>
        <w:t>Utah. Bien que M. Barer ait effectivement présenté des arguments de fond quant à la règle des pertes financières et à l</w:t>
      </w:r>
      <w:r>
        <w:rPr>
          <w:rFonts w:cs="Times New Roman"/>
          <w:lang w:val="fr-CA"/>
        </w:rPr>
        <w:t>’</w:t>
      </w:r>
      <w:r w:rsidRPr="00442EE5">
        <w:rPr>
          <w:rFonts w:cs="Times New Roman"/>
          <w:lang w:val="fr-CA"/>
        </w:rPr>
        <w:t>allégation d</w:t>
      </w:r>
      <w:r>
        <w:rPr>
          <w:rFonts w:cs="Times New Roman"/>
          <w:lang w:val="fr-CA"/>
        </w:rPr>
        <w:t>’</w:t>
      </w:r>
      <w:r w:rsidRPr="00442EE5">
        <w:rPr>
          <w:rFonts w:cs="Times New Roman"/>
          <w:lang w:val="fr-CA"/>
        </w:rPr>
        <w:t>alter ego, il les a présentés en même temps que ses arguments relatifs à la compétence en vue d</w:t>
      </w:r>
      <w:r>
        <w:rPr>
          <w:rFonts w:cs="Times New Roman"/>
          <w:lang w:val="fr-CA"/>
        </w:rPr>
        <w:t>’</w:t>
      </w:r>
      <w:r w:rsidRPr="00442EE5">
        <w:rPr>
          <w:rFonts w:cs="Times New Roman"/>
          <w:lang w:val="fr-CA"/>
        </w:rPr>
        <w:t>étayer sa thèse suivant laquelle le tribunal de l</w:t>
      </w:r>
      <w:r>
        <w:rPr>
          <w:rFonts w:cs="Times New Roman"/>
          <w:lang w:val="fr-CA"/>
        </w:rPr>
        <w:t>’</w:t>
      </w:r>
      <w:r w:rsidRPr="00442EE5">
        <w:rPr>
          <w:rFonts w:cs="Times New Roman"/>
          <w:lang w:val="fr-CA"/>
        </w:rPr>
        <w:t>Utah n</w:t>
      </w:r>
      <w:r>
        <w:rPr>
          <w:rFonts w:cs="Times New Roman"/>
          <w:lang w:val="fr-CA"/>
        </w:rPr>
        <w:t>’</w:t>
      </w:r>
      <w:r w:rsidRPr="00442EE5">
        <w:rPr>
          <w:rFonts w:cs="Times New Roman"/>
          <w:lang w:val="fr-CA"/>
        </w:rPr>
        <w:t>avait pas compétence. Si la reconnaissance de compétence peut être explicite ou implicite, elle doit, comme l</w:t>
      </w:r>
      <w:r>
        <w:rPr>
          <w:rFonts w:cs="Times New Roman"/>
          <w:lang w:val="fr-CA"/>
        </w:rPr>
        <w:t>’</w:t>
      </w:r>
      <w:r w:rsidRPr="00442EE5">
        <w:rPr>
          <w:rFonts w:cs="Times New Roman"/>
          <w:lang w:val="fr-CA"/>
        </w:rPr>
        <w:t xml:space="preserve">affirme mon collègue, être claire (motifs du juge Gascon, par. 52; </w:t>
      </w:r>
      <w:r w:rsidRPr="00442EE5">
        <w:rPr>
          <w:rFonts w:cs="Times New Roman"/>
          <w:i/>
          <w:lang w:val="fr-CA"/>
        </w:rPr>
        <w:t>Rogers Cantel</w:t>
      </w:r>
      <w:r w:rsidRPr="00442EE5">
        <w:rPr>
          <w:rFonts w:cs="Times New Roman"/>
          <w:lang w:val="fr-CA"/>
        </w:rPr>
        <w:t>,</w:t>
      </w:r>
      <w:r w:rsidRPr="00442EE5">
        <w:rPr>
          <w:rFonts w:cs="Times New Roman"/>
          <w:i/>
          <w:lang w:val="fr-CA"/>
        </w:rPr>
        <w:t xml:space="preserve"> </w:t>
      </w:r>
      <w:r w:rsidRPr="00442EE5">
        <w:rPr>
          <w:rFonts w:cs="Times New Roman"/>
          <w:lang w:val="fr-CA"/>
        </w:rPr>
        <w:t xml:space="preserve">p. 98). </w:t>
      </w:r>
    </w:p>
    <w:p w:rsidR="00AF6697" w:rsidRPr="00442EE5" w:rsidRDefault="00AF6697" w:rsidP="00AF6697">
      <w:pPr>
        <w:pStyle w:val="ParaNoNdepar-AltN"/>
        <w:rPr>
          <w:rFonts w:cs="Times New Roman"/>
          <w:lang w:val="fr-CA"/>
        </w:rPr>
      </w:pPr>
      <w:r w:rsidRPr="00442EE5">
        <w:rPr>
          <w:rFonts w:cs="Times New Roman"/>
          <w:lang w:val="fr-CA"/>
        </w:rPr>
        <w:t>Mon collègue rejette l</w:t>
      </w:r>
      <w:r>
        <w:rPr>
          <w:rFonts w:cs="Times New Roman"/>
          <w:lang w:val="fr-CA"/>
        </w:rPr>
        <w:t>’</w:t>
      </w:r>
      <w:r w:rsidRPr="00442EE5">
        <w:rPr>
          <w:rFonts w:cs="Times New Roman"/>
          <w:lang w:val="fr-CA"/>
        </w:rPr>
        <w:t>argument de l</w:t>
      </w:r>
      <w:r>
        <w:rPr>
          <w:rFonts w:cs="Times New Roman"/>
          <w:lang w:val="fr-CA"/>
        </w:rPr>
        <w:t>’</w:t>
      </w:r>
      <w:r w:rsidRPr="00442EE5">
        <w:rPr>
          <w:rFonts w:cs="Times New Roman"/>
          <w:lang w:val="fr-CA"/>
        </w:rPr>
        <w:t>appelant suivant lequel il n</w:t>
      </w:r>
      <w:r>
        <w:rPr>
          <w:rFonts w:cs="Times New Roman"/>
          <w:lang w:val="fr-CA"/>
        </w:rPr>
        <w:t>’</w:t>
      </w:r>
      <w:r w:rsidRPr="00442EE5">
        <w:rPr>
          <w:rFonts w:cs="Times New Roman"/>
          <w:lang w:val="fr-CA"/>
        </w:rPr>
        <w:t>avait d</w:t>
      </w:r>
      <w:r>
        <w:rPr>
          <w:rFonts w:cs="Times New Roman"/>
          <w:lang w:val="fr-CA"/>
        </w:rPr>
        <w:t>’</w:t>
      </w:r>
      <w:r w:rsidRPr="00442EE5">
        <w:rPr>
          <w:rFonts w:cs="Times New Roman"/>
          <w:lang w:val="fr-CA"/>
        </w:rPr>
        <w:t>autre choix que de présenter tous ses moyens préliminaires ensemble dans le cadre de l</w:t>
      </w:r>
      <w:r>
        <w:rPr>
          <w:rFonts w:cs="Times New Roman"/>
          <w:lang w:val="fr-CA"/>
        </w:rPr>
        <w:t>’</w:t>
      </w:r>
      <w:r w:rsidRPr="00442EE5">
        <w:rPr>
          <w:rFonts w:cs="Times New Roman"/>
          <w:lang w:val="fr-CA"/>
        </w:rPr>
        <w:t>instance en Utah, concluant que le fardeau de la preuve incombait à l</w:t>
      </w:r>
      <w:r>
        <w:rPr>
          <w:rFonts w:cs="Times New Roman"/>
          <w:lang w:val="fr-CA"/>
        </w:rPr>
        <w:t>’</w:t>
      </w:r>
      <w:r w:rsidRPr="00442EE5">
        <w:rPr>
          <w:rFonts w:cs="Times New Roman"/>
          <w:lang w:val="fr-CA"/>
        </w:rPr>
        <w:t>appelant à cet égard (motifs du juge Gascon, par. 73 et 78). Avec respect, ce passage semble contredire la conclusion précédente de mon collègue suivant laquelle « [i]l incombe donc à la personne qui demande la reconnaissance d</w:t>
      </w:r>
      <w:r>
        <w:rPr>
          <w:rFonts w:cs="Times New Roman"/>
          <w:lang w:val="fr-CA"/>
        </w:rPr>
        <w:t>’</w:t>
      </w:r>
      <w:r w:rsidRPr="00442EE5">
        <w:rPr>
          <w:rFonts w:cs="Times New Roman"/>
          <w:lang w:val="fr-CA"/>
        </w:rPr>
        <w:t xml:space="preserve">une décision étrangère de prouver </w:t>
      </w:r>
      <w:r w:rsidRPr="00442EE5">
        <w:rPr>
          <w:rFonts w:cs="Times New Roman"/>
          <w:lang w:val="fr-CA"/>
        </w:rPr>
        <w:lastRenderedPageBreak/>
        <w:t>les faits sur lesquels se fonde la compétence internationale indirecte de l</w:t>
      </w:r>
      <w:r>
        <w:rPr>
          <w:rFonts w:cs="Times New Roman"/>
          <w:lang w:val="fr-CA"/>
        </w:rPr>
        <w:t>’</w:t>
      </w:r>
      <w:r w:rsidRPr="00442EE5">
        <w:rPr>
          <w:rFonts w:cs="Times New Roman"/>
          <w:lang w:val="fr-CA"/>
        </w:rPr>
        <w:t xml:space="preserve">autorité étrangère » (par. 33). </w:t>
      </w:r>
    </w:p>
    <w:p w:rsidR="00AF6697" w:rsidRPr="00442EE5" w:rsidRDefault="00AF6697" w:rsidP="00AF6697">
      <w:pPr>
        <w:pStyle w:val="ParaNoNdepar-AltN"/>
        <w:rPr>
          <w:rFonts w:cs="Times New Roman"/>
          <w:lang w:val="fr-CA"/>
        </w:rPr>
      </w:pPr>
      <w:r w:rsidRPr="00442EE5">
        <w:rPr>
          <w:rFonts w:cs="Times New Roman"/>
          <w:lang w:val="fr-CA"/>
        </w:rPr>
        <w:t>J</w:t>
      </w:r>
      <w:r>
        <w:rPr>
          <w:rFonts w:cs="Times New Roman"/>
          <w:lang w:val="fr-CA"/>
        </w:rPr>
        <w:t>’</w:t>
      </w:r>
      <w:r w:rsidRPr="00442EE5">
        <w:rPr>
          <w:rFonts w:cs="Times New Roman"/>
          <w:lang w:val="fr-CA"/>
        </w:rPr>
        <w:t>estime qu</w:t>
      </w:r>
      <w:r>
        <w:rPr>
          <w:rFonts w:cs="Times New Roman"/>
          <w:lang w:val="fr-CA"/>
        </w:rPr>
        <w:t>’</w:t>
      </w:r>
      <w:r w:rsidRPr="00442EE5">
        <w:rPr>
          <w:rFonts w:cs="Times New Roman"/>
          <w:lang w:val="fr-CA"/>
        </w:rPr>
        <w:t>en alléguant que le tribunal de l</w:t>
      </w:r>
      <w:r>
        <w:rPr>
          <w:rFonts w:cs="Times New Roman"/>
          <w:lang w:val="fr-CA"/>
        </w:rPr>
        <w:t>’</w:t>
      </w:r>
      <w:r w:rsidRPr="00442EE5">
        <w:rPr>
          <w:rFonts w:cs="Times New Roman"/>
          <w:lang w:val="fr-CA"/>
        </w:rPr>
        <w:t>Utah avait compétence à l</w:t>
      </w:r>
      <w:r>
        <w:rPr>
          <w:rFonts w:cs="Times New Roman"/>
          <w:lang w:val="fr-CA"/>
        </w:rPr>
        <w:t>’</w:t>
      </w:r>
      <w:r w:rsidRPr="00442EE5">
        <w:rPr>
          <w:rFonts w:cs="Times New Roman"/>
          <w:lang w:val="fr-CA"/>
        </w:rPr>
        <w:t>égard de l</w:t>
      </w:r>
      <w:r>
        <w:rPr>
          <w:rFonts w:cs="Times New Roman"/>
          <w:lang w:val="fr-CA"/>
        </w:rPr>
        <w:t>’</w:t>
      </w:r>
      <w:r w:rsidRPr="00442EE5">
        <w:rPr>
          <w:rFonts w:cs="Times New Roman"/>
          <w:lang w:val="fr-CA"/>
        </w:rPr>
        <w:t>appelant, l</w:t>
      </w:r>
      <w:r>
        <w:rPr>
          <w:rFonts w:cs="Times New Roman"/>
          <w:lang w:val="fr-CA"/>
        </w:rPr>
        <w:t>’</w:t>
      </w:r>
      <w:r w:rsidRPr="00442EE5">
        <w:rPr>
          <w:rFonts w:cs="Times New Roman"/>
          <w:lang w:val="fr-CA"/>
        </w:rPr>
        <w:t>intimée avait la charge de démontrer que l</w:t>
      </w:r>
      <w:r>
        <w:rPr>
          <w:rFonts w:cs="Times New Roman"/>
          <w:lang w:val="fr-CA"/>
        </w:rPr>
        <w:t>’</w:t>
      </w:r>
      <w:r w:rsidRPr="00442EE5">
        <w:rPr>
          <w:rFonts w:cs="Times New Roman"/>
          <w:lang w:val="fr-CA"/>
        </w:rPr>
        <w:t>appelant avait effectivement le choix, en vertu des règles de procédure de l</w:t>
      </w:r>
      <w:r>
        <w:rPr>
          <w:rFonts w:cs="Times New Roman"/>
          <w:lang w:val="fr-CA"/>
        </w:rPr>
        <w:t>’</w:t>
      </w:r>
      <w:r w:rsidRPr="00442EE5">
        <w:rPr>
          <w:rFonts w:cs="Times New Roman"/>
          <w:lang w:val="fr-CA"/>
        </w:rPr>
        <w:t>Utah, de ne pas procéder comme il l</w:t>
      </w:r>
      <w:r>
        <w:rPr>
          <w:rFonts w:cs="Times New Roman"/>
          <w:lang w:val="fr-CA"/>
        </w:rPr>
        <w:t>’</w:t>
      </w:r>
      <w:r w:rsidRPr="00442EE5">
        <w:rPr>
          <w:rFonts w:cs="Times New Roman"/>
          <w:lang w:val="fr-CA"/>
        </w:rPr>
        <w:t>a fait lorsqu</w:t>
      </w:r>
      <w:r>
        <w:rPr>
          <w:rFonts w:cs="Times New Roman"/>
          <w:lang w:val="fr-CA"/>
        </w:rPr>
        <w:t>’</w:t>
      </w:r>
      <w:r w:rsidRPr="00442EE5">
        <w:rPr>
          <w:rFonts w:cs="Times New Roman"/>
          <w:lang w:val="fr-CA"/>
        </w:rPr>
        <w:t>il a présenté ses arguments dans sa requête en irrecevabilité. Cette conclusion s</w:t>
      </w:r>
      <w:r>
        <w:rPr>
          <w:rFonts w:cs="Times New Roman"/>
          <w:lang w:val="fr-CA"/>
        </w:rPr>
        <w:t>’</w:t>
      </w:r>
      <w:r w:rsidRPr="00442EE5">
        <w:rPr>
          <w:rFonts w:cs="Times New Roman"/>
          <w:lang w:val="fr-CA"/>
        </w:rPr>
        <w:t>accorde avec le principe bien établi suivant lequel, au Québec, il incombe au demandeur de prouver les faits sur lesquels repose la compétence du tribunal (</w:t>
      </w:r>
      <w:r w:rsidRPr="00442EE5">
        <w:rPr>
          <w:rFonts w:cs="Times New Roman"/>
          <w:i/>
          <w:lang w:val="fr-CA"/>
        </w:rPr>
        <w:t>Transax Technologies inc. c. Red Baron Corp. Ltd.</w:t>
      </w:r>
      <w:r w:rsidRPr="00442EE5">
        <w:rPr>
          <w:rFonts w:cs="Times New Roman"/>
          <w:lang w:val="fr-CA"/>
        </w:rPr>
        <w:t>,</w:t>
      </w:r>
      <w:r w:rsidRPr="00442EE5">
        <w:rPr>
          <w:rFonts w:cs="Times New Roman"/>
          <w:i/>
          <w:lang w:val="fr-CA"/>
        </w:rPr>
        <w:t xml:space="preserve"> </w:t>
      </w:r>
      <w:r w:rsidRPr="00442EE5">
        <w:rPr>
          <w:rFonts w:cs="Times New Roman"/>
          <w:lang w:val="fr-CA"/>
        </w:rPr>
        <w:t xml:space="preserve">2017 QCCA 626, par. 13 (CanLII); </w:t>
      </w:r>
      <w:r w:rsidRPr="00442EE5">
        <w:rPr>
          <w:rFonts w:cs="Times New Roman"/>
          <w:i/>
          <w:lang w:val="fr-CA"/>
        </w:rPr>
        <w:t>Shamji c. Tajdin</w:t>
      </w:r>
      <w:r w:rsidRPr="00442EE5">
        <w:rPr>
          <w:rFonts w:cs="Times New Roman"/>
          <w:lang w:val="fr-CA"/>
        </w:rPr>
        <w:t xml:space="preserve">, 2006 QCCA 314, par. 16 (CanLII); </w:t>
      </w:r>
      <w:r w:rsidRPr="00442EE5">
        <w:rPr>
          <w:rFonts w:cs="Times New Roman"/>
          <w:i/>
          <w:lang w:val="fr-CA"/>
        </w:rPr>
        <w:t>Bank of Montreal c. Hydro Aluminum Wells Inc.</w:t>
      </w:r>
      <w:r w:rsidRPr="00442EE5">
        <w:rPr>
          <w:rFonts w:cs="Times New Roman"/>
          <w:lang w:val="fr-CA"/>
        </w:rPr>
        <w:t>,</w:t>
      </w:r>
      <w:r w:rsidRPr="00442EE5">
        <w:rPr>
          <w:rFonts w:cs="Times New Roman"/>
          <w:i/>
          <w:lang w:val="fr-CA"/>
        </w:rPr>
        <w:t xml:space="preserve"> </w:t>
      </w:r>
      <w:r w:rsidRPr="00442EE5">
        <w:rPr>
          <w:rFonts w:cs="Times New Roman"/>
          <w:lang w:val="fr-CA"/>
        </w:rPr>
        <w:t xml:space="preserve">2002 CanLII 3111 (C.S. Qc), par. 12). </w:t>
      </w:r>
    </w:p>
    <w:p w:rsidR="00AF6697" w:rsidRPr="00442EE5" w:rsidRDefault="00AF6697" w:rsidP="00AF6697">
      <w:pPr>
        <w:pStyle w:val="ParaNoNdepar-AltN"/>
        <w:rPr>
          <w:rFonts w:cs="Times New Roman"/>
          <w:lang w:val="fr-CA"/>
        </w:rPr>
      </w:pPr>
      <w:r w:rsidRPr="00442EE5">
        <w:rPr>
          <w:rFonts w:cs="Times New Roman"/>
          <w:lang w:val="fr-CA"/>
        </w:rPr>
        <w:t>Il s</w:t>
      </w:r>
      <w:r>
        <w:rPr>
          <w:rFonts w:cs="Times New Roman"/>
          <w:lang w:val="fr-CA"/>
        </w:rPr>
        <w:t>’</w:t>
      </w:r>
      <w:r w:rsidRPr="00442EE5">
        <w:rPr>
          <w:rFonts w:cs="Times New Roman"/>
          <w:lang w:val="fr-CA"/>
        </w:rPr>
        <w:t>agit donc de savoir si l</w:t>
      </w:r>
      <w:r>
        <w:rPr>
          <w:rFonts w:cs="Times New Roman"/>
          <w:lang w:val="fr-CA"/>
        </w:rPr>
        <w:t>’</w:t>
      </w:r>
      <w:r w:rsidRPr="00442EE5">
        <w:rPr>
          <w:rFonts w:cs="Times New Roman"/>
          <w:lang w:val="fr-CA"/>
        </w:rPr>
        <w:t>intimée a démontré que, selon le droit procédural de l</w:t>
      </w:r>
      <w:r>
        <w:rPr>
          <w:rFonts w:cs="Times New Roman"/>
          <w:lang w:val="fr-CA"/>
        </w:rPr>
        <w:t>’</w:t>
      </w:r>
      <w:r w:rsidRPr="00442EE5">
        <w:rPr>
          <w:rFonts w:cs="Times New Roman"/>
          <w:lang w:val="fr-CA"/>
        </w:rPr>
        <w:t>Utah, M. Barer était tenu de soulever ses arguments de fond en même temps que ses moyens déclinatoires. Les propos suivants du professeur Talpis sont instructifs :</w:t>
      </w:r>
    </w:p>
    <w:p w:rsidR="00AF6697" w:rsidRPr="00442EE5" w:rsidRDefault="00AF6697" w:rsidP="00A66314">
      <w:pPr>
        <w:pStyle w:val="Citation-AltC"/>
        <w:tabs>
          <w:tab w:val="left" w:pos="1530"/>
        </w:tabs>
        <w:spacing w:after="240"/>
        <w:ind w:left="1168" w:hanging="1168"/>
        <w:contextualSpacing w:val="0"/>
        <w:rPr>
          <w:lang w:val="fr-CA"/>
        </w:rPr>
      </w:pPr>
      <w:r>
        <w:rPr>
          <w:lang w:val="fr-CA"/>
        </w:rPr>
        <w:tab/>
      </w:r>
      <w:r w:rsidR="00A66314">
        <w:rPr>
          <w:lang w:val="fr-CA"/>
        </w:rPr>
        <w:tab/>
      </w:r>
      <w:r w:rsidRPr="00442EE5">
        <w:rPr>
          <w:lang w:val="fr-CA"/>
        </w:rPr>
        <w:t>[</w:t>
      </w:r>
      <w:r w:rsidRPr="00442EE5">
        <w:rPr>
          <w:smallCaps/>
          <w:lang w:val="fr-CA"/>
        </w:rPr>
        <w:t>traduction</w:t>
      </w:r>
      <w:r w:rsidRPr="00442EE5">
        <w:rPr>
          <w:lang w:val="fr-CA"/>
        </w:rPr>
        <w:t>] . . . l</w:t>
      </w:r>
      <w:r w:rsidR="00432155">
        <w:rPr>
          <w:lang w:val="fr-CA"/>
        </w:rPr>
        <w:t>’</w:t>
      </w:r>
      <w:r w:rsidRPr="00442EE5">
        <w:rPr>
          <w:lang w:val="fr-CA"/>
        </w:rPr>
        <w:t xml:space="preserve">approche </w:t>
      </w:r>
      <w:r>
        <w:rPr>
          <w:lang w:val="fr-CA"/>
        </w:rPr>
        <w:t>[</w:t>
      </w:r>
      <w:r w:rsidRPr="00442EE5">
        <w:rPr>
          <w:lang w:val="fr-CA"/>
        </w:rPr>
        <w:t>« sauver les meubles »</w:t>
      </w:r>
      <w:r>
        <w:rPr>
          <w:lang w:val="fr-CA"/>
        </w:rPr>
        <w:t>]</w:t>
      </w:r>
      <w:r w:rsidRPr="00442EE5">
        <w:rPr>
          <w:lang w:val="fr-CA"/>
        </w:rPr>
        <w:t xml:space="preserve"> est bien fondée dans une certaine mesure lorsque le défendeur a agi par nécessité, par exemple, lorsqu</w:t>
      </w:r>
      <w:r>
        <w:rPr>
          <w:lang w:val="fr-CA"/>
        </w:rPr>
        <w:t>’</w:t>
      </w:r>
      <w:r w:rsidRPr="00442EE5">
        <w:rPr>
          <w:lang w:val="fr-CA"/>
        </w:rPr>
        <w:t>il n</w:t>
      </w:r>
      <w:r>
        <w:rPr>
          <w:lang w:val="fr-CA"/>
        </w:rPr>
        <w:t>’</w:t>
      </w:r>
      <w:r w:rsidRPr="00442EE5">
        <w:rPr>
          <w:lang w:val="fr-CA"/>
        </w:rPr>
        <w:t>aurait pas pu contester la compétence sans plaider en même temps sur le fond (comme dans le cas de la procédure simplifiée du Québec) ou lorsqu</w:t>
      </w:r>
      <w:r>
        <w:rPr>
          <w:lang w:val="fr-CA"/>
        </w:rPr>
        <w:t>’</w:t>
      </w:r>
      <w:r w:rsidRPr="00442EE5">
        <w:rPr>
          <w:lang w:val="fr-CA"/>
        </w:rPr>
        <w:t>il était urgent pour lui d</w:t>
      </w:r>
      <w:r>
        <w:rPr>
          <w:lang w:val="fr-CA"/>
        </w:rPr>
        <w:t>’</w:t>
      </w:r>
      <w:r w:rsidRPr="00442EE5">
        <w:rPr>
          <w:lang w:val="fr-CA"/>
        </w:rPr>
        <w:t xml:space="preserve">agir pour éviter de graves conséquences . . . </w:t>
      </w:r>
    </w:p>
    <w:p w:rsidR="00AF6697" w:rsidRPr="00442EE5" w:rsidRDefault="00AF6697" w:rsidP="00AF6697">
      <w:pPr>
        <w:pStyle w:val="Citation-AltC"/>
        <w:ind w:hanging="1166"/>
        <w:rPr>
          <w:lang w:val="fr-CA"/>
        </w:rPr>
      </w:pPr>
      <w:r w:rsidRPr="00442EE5">
        <w:rPr>
          <w:lang w:val="fr-CA"/>
        </w:rPr>
        <w:t>(Talpis,</w:t>
      </w:r>
      <w:r w:rsidRPr="00442EE5">
        <w:rPr>
          <w:i/>
          <w:lang w:val="fr-CA"/>
        </w:rPr>
        <w:t xml:space="preserve"> </w:t>
      </w:r>
      <w:r w:rsidRPr="00442EE5">
        <w:rPr>
          <w:lang w:val="fr-CA"/>
        </w:rPr>
        <w:t>p. 115)</w:t>
      </w:r>
    </w:p>
    <w:p w:rsidR="00AF6697" w:rsidRPr="00442EE5" w:rsidRDefault="00AF6697" w:rsidP="00AF6697">
      <w:pPr>
        <w:pStyle w:val="ParaNoNdepar-AltN"/>
        <w:rPr>
          <w:rFonts w:cs="Times New Roman"/>
          <w:lang w:val="fr-CA"/>
        </w:rPr>
      </w:pPr>
      <w:r w:rsidRPr="00442EE5">
        <w:rPr>
          <w:rFonts w:cs="Times New Roman"/>
          <w:lang w:val="fr-CA"/>
        </w:rPr>
        <w:t>À mon avis, l</w:t>
      </w:r>
      <w:r>
        <w:rPr>
          <w:rFonts w:cs="Times New Roman"/>
          <w:lang w:val="fr-CA"/>
        </w:rPr>
        <w:t>’</w:t>
      </w:r>
      <w:r w:rsidRPr="00442EE5">
        <w:rPr>
          <w:rFonts w:cs="Times New Roman"/>
          <w:lang w:val="fr-CA"/>
        </w:rPr>
        <w:t>intimée ne s</w:t>
      </w:r>
      <w:r>
        <w:rPr>
          <w:rFonts w:cs="Times New Roman"/>
          <w:lang w:val="fr-CA"/>
        </w:rPr>
        <w:t>’</w:t>
      </w:r>
      <w:r w:rsidRPr="00442EE5">
        <w:rPr>
          <w:rFonts w:cs="Times New Roman"/>
          <w:lang w:val="fr-CA"/>
        </w:rPr>
        <w:t xml:space="preserve">est pas déchargée du fardeau qui lui incombait à cet égard. Le dossier ne renferme aucun élément de preuve indiquant que M. Barer </w:t>
      </w:r>
      <w:r w:rsidRPr="00442EE5">
        <w:rPr>
          <w:rFonts w:cs="Times New Roman"/>
          <w:lang w:val="fr-CA"/>
        </w:rPr>
        <w:lastRenderedPageBreak/>
        <w:t>avait la possibilité, sur le plan de la procédure, de ne pas soulever, à l</w:t>
      </w:r>
      <w:r>
        <w:rPr>
          <w:rFonts w:cs="Times New Roman"/>
          <w:lang w:val="fr-CA"/>
        </w:rPr>
        <w:t>’</w:t>
      </w:r>
      <w:r w:rsidRPr="00442EE5">
        <w:rPr>
          <w:rFonts w:cs="Times New Roman"/>
          <w:lang w:val="fr-CA"/>
        </w:rPr>
        <w:t>étape des moyens déclinatoires, d</w:t>
      </w:r>
      <w:r>
        <w:rPr>
          <w:rFonts w:cs="Times New Roman"/>
          <w:lang w:val="fr-CA"/>
        </w:rPr>
        <w:t>’</w:t>
      </w:r>
      <w:r w:rsidRPr="00442EE5">
        <w:rPr>
          <w:rFonts w:cs="Times New Roman"/>
          <w:lang w:val="fr-CA"/>
        </w:rPr>
        <w:t>argument concernant la règle des pertes financières et la cause d</w:t>
      </w:r>
      <w:r>
        <w:rPr>
          <w:rFonts w:cs="Times New Roman"/>
          <w:lang w:val="fr-CA"/>
        </w:rPr>
        <w:t>’</w:t>
      </w:r>
      <w:r w:rsidRPr="00442EE5">
        <w:rPr>
          <w:rFonts w:cs="Times New Roman"/>
          <w:lang w:val="fr-CA"/>
        </w:rPr>
        <w:t>action fondée sur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 alter ego. Je suis par conséquent d</w:t>
      </w:r>
      <w:r>
        <w:rPr>
          <w:rFonts w:cs="Times New Roman"/>
          <w:lang w:val="fr-CA"/>
        </w:rPr>
        <w:t>’</w:t>
      </w:r>
      <w:r w:rsidRPr="00442EE5">
        <w:rPr>
          <w:rFonts w:cs="Times New Roman"/>
          <w:lang w:val="fr-CA"/>
        </w:rPr>
        <w:t xml:space="preserve">avis que </w:t>
      </w:r>
      <w:r>
        <w:rPr>
          <w:rFonts w:cs="Times New Roman"/>
          <w:lang w:val="fr-CA"/>
        </w:rPr>
        <w:t>M. </w:t>
      </w:r>
      <w:r w:rsidRPr="00442EE5">
        <w:rPr>
          <w:rFonts w:cs="Times New Roman"/>
          <w:lang w:val="fr-CA"/>
        </w:rPr>
        <w:t>Barer n</w:t>
      </w:r>
      <w:r>
        <w:rPr>
          <w:rFonts w:cs="Times New Roman"/>
          <w:lang w:val="fr-CA"/>
        </w:rPr>
        <w:t>’</w:t>
      </w:r>
      <w:r w:rsidRPr="00442EE5">
        <w:rPr>
          <w:rFonts w:cs="Times New Roman"/>
          <w:lang w:val="fr-CA"/>
        </w:rPr>
        <w:t>a pas reconnu la compétence du tribunal de l</w:t>
      </w:r>
      <w:r>
        <w:rPr>
          <w:rFonts w:cs="Times New Roman"/>
          <w:lang w:val="fr-CA"/>
        </w:rPr>
        <w:t>’</w:t>
      </w:r>
      <w:r w:rsidRPr="00442EE5">
        <w:rPr>
          <w:rFonts w:cs="Times New Roman"/>
          <w:lang w:val="fr-CA"/>
        </w:rPr>
        <w:t xml:space="preserve">Utah en raison de ces arguments. </w:t>
      </w:r>
    </w:p>
    <w:p w:rsidR="00AF6697" w:rsidRPr="00442EE5" w:rsidRDefault="00AF6697" w:rsidP="00AF6697">
      <w:pPr>
        <w:pStyle w:val="ParaNoNdepar-AltN"/>
        <w:rPr>
          <w:rFonts w:cs="Times New Roman"/>
          <w:lang w:val="fr-CA"/>
        </w:rPr>
      </w:pPr>
      <w:r w:rsidRPr="00442EE5">
        <w:rPr>
          <w:rFonts w:cs="Times New Roman"/>
          <w:lang w:val="fr-CA"/>
        </w:rPr>
        <w:t>Étant donné qu</w:t>
      </w:r>
      <w:r>
        <w:rPr>
          <w:rFonts w:cs="Times New Roman"/>
          <w:lang w:val="fr-CA"/>
        </w:rPr>
        <w:t>’</w:t>
      </w:r>
      <w:r w:rsidRPr="00442EE5">
        <w:rPr>
          <w:rFonts w:cs="Times New Roman"/>
          <w:lang w:val="fr-CA"/>
        </w:rPr>
        <w:t>eu égard au premier des trois arguments soulevés dans la requête en irrecevabilité, il conclut que l</w:t>
      </w:r>
      <w:r>
        <w:rPr>
          <w:rFonts w:cs="Times New Roman"/>
          <w:lang w:val="fr-CA"/>
        </w:rPr>
        <w:t>’</w:t>
      </w:r>
      <w:r w:rsidRPr="00442EE5">
        <w:rPr>
          <w:rFonts w:cs="Times New Roman"/>
          <w:lang w:val="fr-CA"/>
        </w:rPr>
        <w:t>appelant a reconnu la compétence du tribunal de l</w:t>
      </w:r>
      <w:r>
        <w:rPr>
          <w:rFonts w:cs="Times New Roman"/>
          <w:lang w:val="fr-CA"/>
        </w:rPr>
        <w:t>’</w:t>
      </w:r>
      <w:r w:rsidRPr="00442EE5">
        <w:rPr>
          <w:rFonts w:cs="Times New Roman"/>
          <w:lang w:val="fr-CA"/>
        </w:rPr>
        <w:t>Utah, mon collègue le juge Gascon ne traite pas des deux autres arguments invoqués par M. Barer dans sa requête. Pour les motifs qui suivent, je conclurais que ces arguments se rapportent directement à la compétence du tribunal de l</w:t>
      </w:r>
      <w:r>
        <w:rPr>
          <w:rFonts w:cs="Times New Roman"/>
          <w:lang w:val="fr-CA"/>
        </w:rPr>
        <w:t>’</w:t>
      </w:r>
      <w:r w:rsidRPr="00442EE5">
        <w:rPr>
          <w:rFonts w:cs="Times New Roman"/>
          <w:lang w:val="fr-CA"/>
        </w:rPr>
        <w:t xml:space="preserve">Utah et que le fait de les soulever ne saurait donc équivaloir à une reconnaissance de compétence. </w:t>
      </w:r>
    </w:p>
    <w:p w:rsidR="00AF6697" w:rsidRPr="00442EE5" w:rsidRDefault="00AF6697" w:rsidP="00AF6697">
      <w:pPr>
        <w:pStyle w:val="ParaNoNdepar-AltN"/>
        <w:rPr>
          <w:rFonts w:cs="Times New Roman"/>
          <w:lang w:val="fr-CA"/>
        </w:rPr>
      </w:pPr>
      <w:r w:rsidRPr="00442EE5">
        <w:rPr>
          <w:rFonts w:cs="Times New Roman"/>
          <w:lang w:val="fr-CA"/>
        </w:rPr>
        <w:t>Dans sa deuxième poursuite modifiée, l</w:t>
      </w:r>
      <w:r>
        <w:rPr>
          <w:rFonts w:cs="Times New Roman"/>
          <w:lang w:val="fr-CA"/>
        </w:rPr>
        <w:t>’</w:t>
      </w:r>
      <w:r w:rsidRPr="00442EE5">
        <w:rPr>
          <w:rFonts w:cs="Times New Roman"/>
          <w:lang w:val="fr-CA"/>
        </w:rPr>
        <w:t>intimée a allégué que les sociétés établies aux États</w:t>
      </w:r>
      <w:r w:rsidRPr="00442EE5">
        <w:rPr>
          <w:rFonts w:cs="Times New Roman"/>
          <w:lang w:val="fr-CA"/>
        </w:rPr>
        <w:noBreakHyphen/>
        <w:t>Unis agissaient à titre d</w:t>
      </w:r>
      <w:r>
        <w:rPr>
          <w:rFonts w:cs="Times New Roman"/>
          <w:lang w:val="fr-CA"/>
        </w:rPr>
        <w:t>’</w:t>
      </w:r>
      <w:r w:rsidRPr="00442EE5">
        <w:rPr>
          <w:rFonts w:cs="Times New Roman"/>
          <w:lang w:val="fr-CA"/>
        </w:rPr>
        <w:t>alter ego</w:t>
      </w:r>
      <w:r w:rsidRPr="00442EE5">
        <w:rPr>
          <w:rFonts w:cs="Times New Roman"/>
          <w:i/>
          <w:lang w:val="fr-CA"/>
        </w:rPr>
        <w:t xml:space="preserve"> </w:t>
      </w:r>
      <w:r w:rsidRPr="00442EE5">
        <w:rPr>
          <w:rFonts w:cs="Times New Roman"/>
          <w:lang w:val="fr-CA"/>
        </w:rPr>
        <w:t>de l</w:t>
      </w:r>
      <w:r>
        <w:rPr>
          <w:rFonts w:cs="Times New Roman"/>
          <w:lang w:val="fr-CA"/>
        </w:rPr>
        <w:t>’</w:t>
      </w:r>
      <w:r w:rsidRPr="00442EE5">
        <w:rPr>
          <w:rFonts w:cs="Times New Roman"/>
          <w:lang w:val="fr-CA"/>
        </w:rPr>
        <w:t>appelant, ce qui, à son avis, rendait l</w:t>
      </w:r>
      <w:r>
        <w:rPr>
          <w:rFonts w:cs="Times New Roman"/>
          <w:lang w:val="fr-CA"/>
        </w:rPr>
        <w:t>’</w:t>
      </w:r>
      <w:r w:rsidRPr="00442EE5">
        <w:rPr>
          <w:rFonts w:cs="Times New Roman"/>
          <w:lang w:val="fr-CA"/>
        </w:rPr>
        <w:t>appelant personnellement responsable des obligations des sociétés en question et faisait en sorte qu</w:t>
      </w:r>
      <w:r>
        <w:rPr>
          <w:rFonts w:cs="Times New Roman"/>
          <w:lang w:val="fr-CA"/>
        </w:rPr>
        <w:t>’</w:t>
      </w:r>
      <w:r w:rsidRPr="00442EE5">
        <w:rPr>
          <w:rFonts w:cs="Times New Roman"/>
          <w:lang w:val="fr-CA"/>
        </w:rPr>
        <w:t>il devait être tenu responsable des dommages causés par celles</w:t>
      </w:r>
      <w:r w:rsidRPr="00442EE5">
        <w:rPr>
          <w:rFonts w:cs="Times New Roman"/>
          <w:lang w:val="fr-CA"/>
        </w:rPr>
        <w:noBreakHyphen/>
        <w:t>ci</w:t>
      </w:r>
      <w:r w:rsidRPr="00712B5E">
        <w:rPr>
          <w:rStyle w:val="Hyperlink"/>
          <w:vertAlign w:val="superscript"/>
        </w:rPr>
        <w:footnoteReference w:id="9"/>
      </w:r>
      <w:r w:rsidRPr="00442EE5">
        <w:rPr>
          <w:rFonts w:cs="Times New Roman"/>
          <w:lang w:val="fr-CA"/>
        </w:rPr>
        <w:t>. Il s</w:t>
      </w:r>
      <w:r>
        <w:rPr>
          <w:rFonts w:cs="Times New Roman"/>
          <w:lang w:val="fr-CA"/>
        </w:rPr>
        <w:t>’</w:t>
      </w:r>
      <w:r w:rsidRPr="00442EE5">
        <w:rPr>
          <w:rFonts w:cs="Times New Roman"/>
          <w:lang w:val="fr-CA"/>
        </w:rPr>
        <w:t>agissait d</w:t>
      </w:r>
      <w:r>
        <w:rPr>
          <w:rFonts w:cs="Times New Roman"/>
          <w:lang w:val="fr-CA"/>
        </w:rPr>
        <w:t>’</w:t>
      </w:r>
      <w:r w:rsidRPr="00442EE5">
        <w:rPr>
          <w:rFonts w:cs="Times New Roman"/>
          <w:lang w:val="fr-CA"/>
        </w:rPr>
        <w:t>un des motifs justifiant une déclaration de compétence personnelle à l</w:t>
      </w:r>
      <w:r>
        <w:rPr>
          <w:rFonts w:cs="Times New Roman"/>
          <w:lang w:val="fr-CA"/>
        </w:rPr>
        <w:t>’</w:t>
      </w:r>
      <w:r w:rsidRPr="00442EE5">
        <w:rPr>
          <w:rFonts w:cs="Times New Roman"/>
          <w:lang w:val="fr-CA"/>
        </w:rPr>
        <w:t>égard de M. Barer et il était donc naturel que des arguments sur cette question soient soulevés dans le cadre d</w:t>
      </w:r>
      <w:r>
        <w:rPr>
          <w:rFonts w:cs="Times New Roman"/>
          <w:lang w:val="fr-CA"/>
        </w:rPr>
        <w:t>’</w:t>
      </w:r>
      <w:r w:rsidRPr="00442EE5">
        <w:rPr>
          <w:rFonts w:cs="Times New Roman"/>
          <w:lang w:val="fr-CA"/>
        </w:rPr>
        <w:t>une contestation de la compétence, comme en témoigne le fait que le tribunal de l</w:t>
      </w:r>
      <w:r>
        <w:rPr>
          <w:rFonts w:cs="Times New Roman"/>
          <w:lang w:val="fr-CA"/>
        </w:rPr>
        <w:t>’</w:t>
      </w:r>
      <w:r w:rsidRPr="00442EE5">
        <w:rPr>
          <w:rFonts w:cs="Times New Roman"/>
          <w:lang w:val="fr-CA"/>
        </w:rPr>
        <w:t>Utah s</w:t>
      </w:r>
      <w:r>
        <w:rPr>
          <w:rFonts w:cs="Times New Roman"/>
          <w:lang w:val="fr-CA"/>
        </w:rPr>
        <w:t>’</w:t>
      </w:r>
      <w:r w:rsidRPr="00442EE5">
        <w:rPr>
          <w:rFonts w:cs="Times New Roman"/>
          <w:lang w:val="fr-CA"/>
        </w:rPr>
        <w:t>est lui</w:t>
      </w:r>
      <w:r w:rsidRPr="00442EE5">
        <w:rPr>
          <w:rFonts w:cs="Times New Roman"/>
          <w:lang w:val="fr-CA"/>
        </w:rPr>
        <w:noBreakHyphen/>
        <w:t xml:space="preserve">même expressément penché sur les arguments relatifs </w:t>
      </w:r>
      <w:r w:rsidRPr="00442EE5">
        <w:rPr>
          <w:rFonts w:cs="Times New Roman"/>
          <w:lang w:val="fr-CA"/>
        </w:rPr>
        <w:lastRenderedPageBreak/>
        <w:t>à l</w:t>
      </w:r>
      <w:r>
        <w:rPr>
          <w:rFonts w:cs="Times New Roman"/>
          <w:lang w:val="fr-CA"/>
        </w:rPr>
        <w:t>’</w:t>
      </w:r>
      <w:r w:rsidRPr="00442EE5">
        <w:rPr>
          <w:rFonts w:cs="Times New Roman"/>
          <w:lang w:val="fr-CA"/>
        </w:rPr>
        <w:t>alter ego</w:t>
      </w:r>
      <w:r w:rsidRPr="00442EE5">
        <w:rPr>
          <w:rFonts w:cs="Times New Roman"/>
          <w:i/>
          <w:lang w:val="fr-CA"/>
        </w:rPr>
        <w:t xml:space="preserve"> </w:t>
      </w:r>
      <w:r w:rsidRPr="00442EE5">
        <w:rPr>
          <w:rFonts w:cs="Times New Roman"/>
          <w:lang w:val="fr-CA"/>
        </w:rPr>
        <w:t>pour décider s</w:t>
      </w:r>
      <w:r>
        <w:rPr>
          <w:rFonts w:cs="Times New Roman"/>
          <w:lang w:val="fr-CA"/>
        </w:rPr>
        <w:t>’</w:t>
      </w:r>
      <w:r w:rsidRPr="00442EE5">
        <w:rPr>
          <w:rFonts w:cs="Times New Roman"/>
          <w:lang w:val="fr-CA"/>
        </w:rPr>
        <w:t>il avait compétence personnelle à l</w:t>
      </w:r>
      <w:r>
        <w:rPr>
          <w:rFonts w:cs="Times New Roman"/>
          <w:lang w:val="fr-CA"/>
        </w:rPr>
        <w:t>’</w:t>
      </w:r>
      <w:r w:rsidRPr="00442EE5">
        <w:rPr>
          <w:rFonts w:cs="Times New Roman"/>
          <w:lang w:val="fr-CA"/>
        </w:rPr>
        <w:t>égard de l</w:t>
      </w:r>
      <w:r>
        <w:rPr>
          <w:rFonts w:cs="Times New Roman"/>
          <w:lang w:val="fr-CA"/>
        </w:rPr>
        <w:t>’</w:t>
      </w:r>
      <w:r w:rsidRPr="00442EE5">
        <w:rPr>
          <w:rFonts w:cs="Times New Roman"/>
          <w:lang w:val="fr-CA"/>
        </w:rPr>
        <w:t>appelant. Il fallait s</w:t>
      </w:r>
      <w:r>
        <w:rPr>
          <w:rFonts w:cs="Times New Roman"/>
          <w:lang w:val="fr-CA"/>
        </w:rPr>
        <w:t>’</w:t>
      </w:r>
      <w:r w:rsidRPr="00442EE5">
        <w:rPr>
          <w:rFonts w:cs="Times New Roman"/>
          <w:lang w:val="fr-CA"/>
        </w:rPr>
        <w:t>attendre à ce que l</w:t>
      </w:r>
      <w:r>
        <w:rPr>
          <w:rFonts w:cs="Times New Roman"/>
          <w:lang w:val="fr-CA"/>
        </w:rPr>
        <w:t>’</w:t>
      </w:r>
      <w:r w:rsidRPr="00442EE5">
        <w:rPr>
          <w:rFonts w:cs="Times New Roman"/>
          <w:lang w:val="fr-CA"/>
        </w:rPr>
        <w:t>appelant invoque simultanément les mêmes arguments à l</w:t>
      </w:r>
      <w:r>
        <w:rPr>
          <w:rFonts w:cs="Times New Roman"/>
          <w:lang w:val="fr-CA"/>
        </w:rPr>
        <w:t>’</w:t>
      </w:r>
      <w:r w:rsidRPr="00442EE5">
        <w:rPr>
          <w:rFonts w:cs="Times New Roman"/>
          <w:lang w:val="fr-CA"/>
        </w:rPr>
        <w:t>encontre de la théorie de l</w:t>
      </w:r>
      <w:r>
        <w:rPr>
          <w:rFonts w:cs="Times New Roman"/>
          <w:lang w:val="fr-CA"/>
        </w:rPr>
        <w:t>’</w:t>
      </w:r>
      <w:r w:rsidRPr="00442EE5">
        <w:rPr>
          <w:rFonts w:cs="Times New Roman"/>
          <w:lang w:val="fr-CA"/>
        </w:rPr>
        <w:t>alter ego pour contester la demande sur le fond. Qu</w:t>
      </w:r>
      <w:r>
        <w:rPr>
          <w:rFonts w:cs="Times New Roman"/>
          <w:lang w:val="fr-CA"/>
        </w:rPr>
        <w:t>’</w:t>
      </w:r>
      <w:r w:rsidRPr="00442EE5">
        <w:rPr>
          <w:rFonts w:cs="Times New Roman"/>
          <w:lang w:val="fr-CA"/>
        </w:rPr>
        <w:t>il ait cherché à faire d</w:t>
      </w:r>
      <w:r>
        <w:rPr>
          <w:rFonts w:cs="Times New Roman"/>
          <w:lang w:val="fr-CA"/>
        </w:rPr>
        <w:t>’</w:t>
      </w:r>
      <w:r w:rsidRPr="00442EE5">
        <w:rPr>
          <w:rFonts w:cs="Times New Roman"/>
          <w:lang w:val="fr-CA"/>
        </w:rPr>
        <w:t>une pierre deux coups n</w:t>
      </w:r>
      <w:r>
        <w:rPr>
          <w:rFonts w:cs="Times New Roman"/>
          <w:lang w:val="fr-CA"/>
        </w:rPr>
        <w:t>’</w:t>
      </w:r>
      <w:r w:rsidRPr="00442EE5">
        <w:rPr>
          <w:rFonts w:cs="Times New Roman"/>
          <w:lang w:val="fr-CA"/>
        </w:rPr>
        <w:t>indique pas qu</w:t>
      </w:r>
      <w:r>
        <w:rPr>
          <w:rFonts w:cs="Times New Roman"/>
          <w:lang w:val="fr-CA"/>
        </w:rPr>
        <w:t>’</w:t>
      </w:r>
      <w:r w:rsidRPr="00442EE5">
        <w:rPr>
          <w:rFonts w:cs="Times New Roman"/>
          <w:lang w:val="fr-CA"/>
        </w:rPr>
        <w:t>il avait clairement l</w:t>
      </w:r>
      <w:r>
        <w:rPr>
          <w:rFonts w:cs="Times New Roman"/>
          <w:lang w:val="fr-CA"/>
        </w:rPr>
        <w:t>’</w:t>
      </w:r>
      <w:r w:rsidRPr="00442EE5">
        <w:rPr>
          <w:rFonts w:cs="Times New Roman"/>
          <w:lang w:val="fr-CA"/>
        </w:rPr>
        <w:t>intention de reconnaître la compétence du tribunal de l</w:t>
      </w:r>
      <w:r>
        <w:rPr>
          <w:rFonts w:cs="Times New Roman"/>
          <w:lang w:val="fr-CA"/>
        </w:rPr>
        <w:t>’</w:t>
      </w:r>
      <w:r w:rsidRPr="00442EE5">
        <w:rPr>
          <w:rFonts w:cs="Times New Roman"/>
          <w:lang w:val="fr-CA"/>
        </w:rPr>
        <w:t>Utah.</w:t>
      </w:r>
    </w:p>
    <w:p w:rsidR="00AF6697" w:rsidRPr="00442EE5" w:rsidRDefault="00AF6697" w:rsidP="00AF6697">
      <w:pPr>
        <w:pStyle w:val="ParaNoNdepar-AltN"/>
        <w:rPr>
          <w:rFonts w:cs="Times New Roman"/>
          <w:lang w:val="fr-CA"/>
        </w:rPr>
      </w:pPr>
      <w:r w:rsidRPr="00442EE5">
        <w:rPr>
          <w:rFonts w:cs="Times New Roman"/>
          <w:lang w:val="fr-CA"/>
        </w:rPr>
        <w:t>Le seul autre motif justifiant une déclaration de compétence personnelle à l</w:t>
      </w:r>
      <w:r>
        <w:rPr>
          <w:rFonts w:cs="Times New Roman"/>
          <w:lang w:val="fr-CA"/>
        </w:rPr>
        <w:t>’</w:t>
      </w:r>
      <w:r w:rsidRPr="00442EE5">
        <w:rPr>
          <w:rFonts w:cs="Times New Roman"/>
          <w:lang w:val="fr-CA"/>
        </w:rPr>
        <w:t>égard de M. Barer était les prétendues déclarations inexactes frauduleuses. Dans sa requête en irrecevabilité,</w:t>
      </w:r>
      <w:r>
        <w:rPr>
          <w:rFonts w:cs="Times New Roman"/>
          <w:lang w:val="fr-CA"/>
        </w:rPr>
        <w:t xml:space="preserve"> M. </w:t>
      </w:r>
      <w:r w:rsidRPr="00442EE5">
        <w:rPr>
          <w:rFonts w:cs="Times New Roman"/>
          <w:lang w:val="fr-CA"/>
        </w:rPr>
        <w:t>Barer a soutenu que l</w:t>
      </w:r>
      <w:r>
        <w:rPr>
          <w:rFonts w:cs="Times New Roman"/>
          <w:lang w:val="fr-CA"/>
        </w:rPr>
        <w:t>’</w:t>
      </w:r>
      <w:r w:rsidRPr="00442EE5">
        <w:rPr>
          <w:rFonts w:cs="Times New Roman"/>
          <w:lang w:val="fr-CA"/>
        </w:rPr>
        <w:t>intimée n</w:t>
      </w:r>
      <w:r>
        <w:rPr>
          <w:rFonts w:cs="Times New Roman"/>
          <w:lang w:val="fr-CA"/>
        </w:rPr>
        <w:t>’</w:t>
      </w:r>
      <w:r w:rsidRPr="00442EE5">
        <w:rPr>
          <w:rFonts w:cs="Times New Roman"/>
          <w:lang w:val="fr-CA"/>
        </w:rPr>
        <w:t>avait pas allégué qu</w:t>
      </w:r>
      <w:r>
        <w:rPr>
          <w:rFonts w:cs="Times New Roman"/>
          <w:lang w:val="fr-CA"/>
        </w:rPr>
        <w:t>’</w:t>
      </w:r>
      <w:r w:rsidRPr="00442EE5">
        <w:rPr>
          <w:rFonts w:cs="Times New Roman"/>
          <w:lang w:val="fr-CA"/>
        </w:rPr>
        <w:t>il s</w:t>
      </w:r>
      <w:r>
        <w:rPr>
          <w:rFonts w:cs="Times New Roman"/>
          <w:lang w:val="fr-CA"/>
        </w:rPr>
        <w:t>’</w:t>
      </w:r>
      <w:r w:rsidRPr="00442EE5">
        <w:rPr>
          <w:rFonts w:cs="Times New Roman"/>
          <w:lang w:val="fr-CA"/>
        </w:rPr>
        <w:t>était personnellement engagé à payer et qu</w:t>
      </w:r>
      <w:r>
        <w:rPr>
          <w:rFonts w:cs="Times New Roman"/>
          <w:lang w:val="fr-CA"/>
        </w:rPr>
        <w:t>’</w:t>
      </w:r>
      <w:r w:rsidRPr="00442EE5">
        <w:rPr>
          <w:rFonts w:cs="Times New Roman"/>
          <w:lang w:val="fr-CA"/>
        </w:rPr>
        <w:t xml:space="preserve">elle prétendait en fait que BEC était tenue de payer le prix majoré. </w:t>
      </w:r>
    </w:p>
    <w:p w:rsidR="00AF6697" w:rsidRPr="00442EE5" w:rsidRDefault="00AF6697" w:rsidP="00AF6697">
      <w:pPr>
        <w:pStyle w:val="ParaNoNdepar-AltN"/>
        <w:rPr>
          <w:rFonts w:cs="Times New Roman"/>
          <w:lang w:val="fr-CA"/>
        </w:rPr>
      </w:pPr>
      <w:r w:rsidRPr="00442EE5">
        <w:rPr>
          <w:rFonts w:cs="Times New Roman"/>
          <w:lang w:val="fr-CA"/>
        </w:rPr>
        <w:t>Si les arguments de M. Barer relatifs à l</w:t>
      </w:r>
      <w:r>
        <w:rPr>
          <w:rFonts w:cs="Times New Roman"/>
          <w:lang w:val="fr-CA"/>
        </w:rPr>
        <w:t>’</w:t>
      </w:r>
      <w:r w:rsidRPr="00442EE5">
        <w:rPr>
          <w:rFonts w:cs="Times New Roman"/>
          <w:lang w:val="fr-CA"/>
        </w:rPr>
        <w:t>alter ego</w:t>
      </w:r>
      <w:r w:rsidRPr="00442EE5">
        <w:rPr>
          <w:rFonts w:cs="Times New Roman"/>
          <w:i/>
          <w:lang w:val="fr-CA"/>
        </w:rPr>
        <w:t xml:space="preserve"> </w:t>
      </w:r>
      <w:r w:rsidRPr="00442EE5">
        <w:rPr>
          <w:rFonts w:cs="Times New Roman"/>
          <w:lang w:val="fr-CA"/>
        </w:rPr>
        <w:t>et aux déclarations inexactes avaient été acceptés, il n</w:t>
      </w:r>
      <w:r>
        <w:rPr>
          <w:rFonts w:cs="Times New Roman"/>
          <w:lang w:val="fr-CA"/>
        </w:rPr>
        <w:t>’</w:t>
      </w:r>
      <w:r w:rsidRPr="00442EE5">
        <w:rPr>
          <w:rFonts w:cs="Times New Roman"/>
          <w:lang w:val="fr-CA"/>
        </w:rPr>
        <w:t>y aurait eu aucun motif justifiant une déclaration de compétence personnelle à l</w:t>
      </w:r>
      <w:r>
        <w:rPr>
          <w:rFonts w:cs="Times New Roman"/>
          <w:lang w:val="fr-CA"/>
        </w:rPr>
        <w:t>’</w:t>
      </w:r>
      <w:r w:rsidRPr="00442EE5">
        <w:rPr>
          <w:rFonts w:cs="Times New Roman"/>
          <w:lang w:val="fr-CA"/>
        </w:rPr>
        <w:t>égard de celui</w:t>
      </w:r>
      <w:r w:rsidRPr="00442EE5">
        <w:rPr>
          <w:rFonts w:cs="Times New Roman"/>
          <w:lang w:val="fr-CA"/>
        </w:rPr>
        <w:noBreakHyphen/>
        <w:t>ci. Ces arguments visaient tous deux à se décharger du fardeau énoncé par le tribunal de l</w:t>
      </w:r>
      <w:r>
        <w:rPr>
          <w:rFonts w:cs="Times New Roman"/>
          <w:lang w:val="fr-CA"/>
        </w:rPr>
        <w:t>’</w:t>
      </w:r>
      <w:r w:rsidRPr="00442EE5">
        <w:rPr>
          <w:rFonts w:cs="Times New Roman"/>
          <w:lang w:val="fr-CA"/>
        </w:rPr>
        <w:t>Utah : [</w:t>
      </w:r>
      <w:r w:rsidRPr="00442EE5">
        <w:rPr>
          <w:rFonts w:cs="Times New Roman"/>
          <w:smallCaps/>
          <w:lang w:val="fr-CA"/>
        </w:rPr>
        <w:t>traduction</w:t>
      </w:r>
      <w:r w:rsidRPr="00442EE5">
        <w:rPr>
          <w:rFonts w:cs="Times New Roman"/>
          <w:lang w:val="fr-CA"/>
        </w:rPr>
        <w:t>]</w:t>
      </w:r>
      <w:r>
        <w:rPr>
          <w:rFonts w:cs="Times New Roman"/>
          <w:lang w:val="fr-CA"/>
        </w:rPr>
        <w:t xml:space="preserve"> </w:t>
      </w:r>
      <w:r w:rsidRPr="00442EE5">
        <w:rPr>
          <w:rFonts w:cs="Times New Roman"/>
          <w:lang w:val="fr-CA"/>
        </w:rPr>
        <w:t>« le défendeur doit démontrer que la présence de certaines autres considérations rendrait déraisonnable une déclaration de compétence ». Ainsi, même s</w:t>
      </w:r>
      <w:r>
        <w:rPr>
          <w:rFonts w:cs="Times New Roman"/>
          <w:lang w:val="fr-CA"/>
        </w:rPr>
        <w:t>’</w:t>
      </w:r>
      <w:r w:rsidRPr="00442EE5">
        <w:rPr>
          <w:rFonts w:cs="Times New Roman"/>
          <w:lang w:val="fr-CA"/>
        </w:rPr>
        <w:t>ils ne concernaient pas exclusivement la compétence, ces arguments étaient liés à l</w:t>
      </w:r>
      <w:r>
        <w:rPr>
          <w:rFonts w:cs="Times New Roman"/>
          <w:lang w:val="fr-CA"/>
        </w:rPr>
        <w:t>’</w:t>
      </w:r>
      <w:r w:rsidRPr="00442EE5">
        <w:rPr>
          <w:rFonts w:cs="Times New Roman"/>
          <w:lang w:val="fr-CA"/>
        </w:rPr>
        <w:t>allégation suivant laquelle le tribunal de l</w:t>
      </w:r>
      <w:r>
        <w:rPr>
          <w:rFonts w:cs="Times New Roman"/>
          <w:lang w:val="fr-CA"/>
        </w:rPr>
        <w:t>’</w:t>
      </w:r>
      <w:r w:rsidRPr="00442EE5">
        <w:rPr>
          <w:rFonts w:cs="Times New Roman"/>
          <w:lang w:val="fr-CA"/>
        </w:rPr>
        <w:t>Utah n</w:t>
      </w:r>
      <w:r>
        <w:rPr>
          <w:rFonts w:cs="Times New Roman"/>
          <w:lang w:val="fr-CA"/>
        </w:rPr>
        <w:t>’</w:t>
      </w:r>
      <w:r w:rsidRPr="00442EE5">
        <w:rPr>
          <w:rFonts w:cs="Times New Roman"/>
          <w:lang w:val="fr-CA"/>
        </w:rPr>
        <w:t>avait pas compétence. L</w:t>
      </w:r>
      <w:r>
        <w:rPr>
          <w:rFonts w:cs="Times New Roman"/>
          <w:lang w:val="fr-CA"/>
        </w:rPr>
        <w:t>’</w:t>
      </w:r>
      <w:r w:rsidRPr="00442EE5">
        <w:rPr>
          <w:rFonts w:cs="Times New Roman"/>
          <w:lang w:val="fr-CA"/>
        </w:rPr>
        <w:t>avocat de l</w:t>
      </w:r>
      <w:r>
        <w:rPr>
          <w:rFonts w:cs="Times New Roman"/>
          <w:lang w:val="fr-CA"/>
        </w:rPr>
        <w:t>’</w:t>
      </w:r>
      <w:r w:rsidRPr="00442EE5">
        <w:rPr>
          <w:rFonts w:cs="Times New Roman"/>
          <w:lang w:val="fr-CA"/>
        </w:rPr>
        <w:t>appelant ne pouvait simplement affirmer que ce tribunal n</w:t>
      </w:r>
      <w:r>
        <w:rPr>
          <w:rFonts w:cs="Times New Roman"/>
          <w:lang w:val="fr-CA"/>
        </w:rPr>
        <w:t>’</w:t>
      </w:r>
      <w:r w:rsidRPr="00442EE5">
        <w:rPr>
          <w:rFonts w:cs="Times New Roman"/>
          <w:lang w:val="fr-CA"/>
        </w:rPr>
        <w:t>était pas compétent. Il devait expliquer pourquoi il ne l</w:t>
      </w:r>
      <w:r>
        <w:rPr>
          <w:rFonts w:cs="Times New Roman"/>
          <w:lang w:val="fr-CA"/>
        </w:rPr>
        <w:t>’</w:t>
      </w:r>
      <w:r w:rsidRPr="00442EE5">
        <w:rPr>
          <w:rFonts w:cs="Times New Roman"/>
          <w:lang w:val="fr-CA"/>
        </w:rPr>
        <w:t>était pas et présenter des arguments convaincants à l</w:t>
      </w:r>
      <w:r>
        <w:rPr>
          <w:rFonts w:cs="Times New Roman"/>
          <w:lang w:val="fr-CA"/>
        </w:rPr>
        <w:t>’</w:t>
      </w:r>
      <w:r w:rsidRPr="00442EE5">
        <w:rPr>
          <w:rFonts w:cs="Times New Roman"/>
          <w:lang w:val="fr-CA"/>
        </w:rPr>
        <w:t xml:space="preserve">appui de cette prétention, des arguments inévitablement liés aux arguments sur le fond. </w:t>
      </w:r>
    </w:p>
    <w:p w:rsidR="00AF6697" w:rsidRPr="00442EE5" w:rsidRDefault="00AF6697" w:rsidP="00AF6697">
      <w:pPr>
        <w:pStyle w:val="ParaNoNdepar-AltN"/>
        <w:rPr>
          <w:rFonts w:cs="Times New Roman"/>
          <w:lang w:val="fr-CA"/>
        </w:rPr>
      </w:pPr>
      <w:r w:rsidRPr="00442EE5">
        <w:rPr>
          <w:rFonts w:cs="Times New Roman"/>
          <w:lang w:val="fr-CA"/>
        </w:rPr>
        <w:lastRenderedPageBreak/>
        <w:t>À mon avis, un des objectifs qui sous</w:t>
      </w:r>
      <w:r w:rsidRPr="00442EE5">
        <w:rPr>
          <w:rFonts w:cs="Times New Roman"/>
          <w:lang w:val="fr-CA"/>
        </w:rPr>
        <w:noBreakHyphen/>
        <w:t xml:space="preserve">tend </w:t>
      </w:r>
      <w:r w:rsidR="005F4E7E">
        <w:rPr>
          <w:rFonts w:cs="Times New Roman"/>
          <w:lang w:val="fr-CA"/>
        </w:rPr>
        <w:t>le par.</w:t>
      </w:r>
      <w:r w:rsidRPr="00442EE5">
        <w:rPr>
          <w:rFonts w:cs="Times New Roman"/>
          <w:lang w:val="fr-CA"/>
        </w:rPr>
        <w:t> 3168(6) est de faire en sorte que la compétence soit établie tôt dans le processus judiciaire. Le défendeur ne devrait pas être autorisé à prendre part au procès et à plaider sur le fond dans un ressort étranger pour ensuite contester la compétence de ce tribunal au Québec et réclamer la tenue d</w:t>
      </w:r>
      <w:r>
        <w:rPr>
          <w:rFonts w:cs="Times New Roman"/>
          <w:lang w:val="fr-CA"/>
        </w:rPr>
        <w:t>’</w:t>
      </w:r>
      <w:r w:rsidRPr="00442EE5">
        <w:rPr>
          <w:rFonts w:cs="Times New Roman"/>
          <w:lang w:val="fr-CA"/>
        </w:rPr>
        <w:t>un autre procès. Ce n</w:t>
      </w:r>
      <w:r>
        <w:rPr>
          <w:rFonts w:cs="Times New Roman"/>
          <w:lang w:val="fr-CA"/>
        </w:rPr>
        <w:t>’</w:t>
      </w:r>
      <w:r w:rsidRPr="00442EE5">
        <w:rPr>
          <w:rFonts w:cs="Times New Roman"/>
          <w:lang w:val="fr-CA"/>
        </w:rPr>
        <w:t>est toutefois pas ce qui s</w:t>
      </w:r>
      <w:r>
        <w:rPr>
          <w:rFonts w:cs="Times New Roman"/>
          <w:lang w:val="fr-CA"/>
        </w:rPr>
        <w:t>’</w:t>
      </w:r>
      <w:r w:rsidRPr="00442EE5">
        <w:rPr>
          <w:rFonts w:cs="Times New Roman"/>
          <w:lang w:val="fr-CA"/>
        </w:rPr>
        <w:t>est passé en l</w:t>
      </w:r>
      <w:r>
        <w:rPr>
          <w:rFonts w:cs="Times New Roman"/>
          <w:lang w:val="fr-CA"/>
        </w:rPr>
        <w:t>’</w:t>
      </w:r>
      <w:r w:rsidRPr="00442EE5">
        <w:rPr>
          <w:rFonts w:cs="Times New Roman"/>
          <w:lang w:val="fr-CA"/>
        </w:rPr>
        <w:t>espèce.</w:t>
      </w:r>
    </w:p>
    <w:p w:rsidR="00AF6697" w:rsidRPr="00442EE5" w:rsidRDefault="00AF6697" w:rsidP="00AF6697">
      <w:pPr>
        <w:pStyle w:val="ParaNoNdepar-AltN"/>
        <w:rPr>
          <w:rFonts w:cs="Times New Roman"/>
          <w:lang w:val="fr-CA"/>
        </w:rPr>
      </w:pPr>
      <w:r w:rsidRPr="00442EE5">
        <w:rPr>
          <w:rFonts w:cs="Times New Roman"/>
          <w:lang w:val="fr-CA"/>
        </w:rPr>
        <w:t>Mon collègue le juge Gascon invoque également la conduite qu</w:t>
      </w:r>
      <w:r>
        <w:rPr>
          <w:rFonts w:cs="Times New Roman"/>
          <w:lang w:val="fr-CA"/>
        </w:rPr>
        <w:t>’</w:t>
      </w:r>
      <w:r w:rsidRPr="00442EE5">
        <w:rPr>
          <w:rFonts w:cs="Times New Roman"/>
          <w:lang w:val="fr-CA"/>
        </w:rPr>
        <w:t>a eue l</w:t>
      </w:r>
      <w:r>
        <w:rPr>
          <w:rFonts w:cs="Times New Roman"/>
          <w:lang w:val="fr-CA"/>
        </w:rPr>
        <w:t>’</w:t>
      </w:r>
      <w:r w:rsidRPr="00442EE5">
        <w:rPr>
          <w:rFonts w:cs="Times New Roman"/>
          <w:lang w:val="fr-CA"/>
        </w:rPr>
        <w:t>appelant après avoir été débouté de sa requête en irrecevabilité pour étoffer sa conclusion que l</w:t>
      </w:r>
      <w:r>
        <w:rPr>
          <w:rFonts w:cs="Times New Roman"/>
          <w:lang w:val="fr-CA"/>
        </w:rPr>
        <w:t>’</w:t>
      </w:r>
      <w:r w:rsidRPr="00442EE5">
        <w:rPr>
          <w:rFonts w:cs="Times New Roman"/>
          <w:lang w:val="fr-CA"/>
        </w:rPr>
        <w:t>appelant a reconnu la compétence du tribunal de l</w:t>
      </w:r>
      <w:r>
        <w:rPr>
          <w:rFonts w:cs="Times New Roman"/>
          <w:lang w:val="fr-CA"/>
        </w:rPr>
        <w:t>’</w:t>
      </w:r>
      <w:r w:rsidRPr="00442EE5">
        <w:rPr>
          <w:rFonts w:cs="Times New Roman"/>
          <w:lang w:val="fr-CA"/>
        </w:rPr>
        <w:t>Utah (par. 82). Toutefois, comme il le fait observer au par. 63, des mesures comme celles prises par l</w:t>
      </w:r>
      <w:r>
        <w:rPr>
          <w:rFonts w:cs="Times New Roman"/>
          <w:lang w:val="fr-CA"/>
        </w:rPr>
        <w:t>’</w:t>
      </w:r>
      <w:r w:rsidRPr="00442EE5">
        <w:rPr>
          <w:rFonts w:cs="Times New Roman"/>
          <w:lang w:val="fr-CA"/>
        </w:rPr>
        <w:t>appelant ne sont en règle générale pas interprétées comme équivalant à une reconnaissance de compétence. L</w:t>
      </w:r>
      <w:r>
        <w:rPr>
          <w:rFonts w:cs="Times New Roman"/>
          <w:lang w:val="fr-CA"/>
        </w:rPr>
        <w:t>’</w:t>
      </w:r>
      <w:r w:rsidRPr="00442EE5">
        <w:rPr>
          <w:rFonts w:cs="Times New Roman"/>
          <w:lang w:val="fr-CA"/>
        </w:rPr>
        <w:t>appelant a demandé une prorogation de délai et a participé à une conférence en vue d</w:t>
      </w:r>
      <w:r>
        <w:rPr>
          <w:rFonts w:cs="Times New Roman"/>
          <w:lang w:val="fr-CA"/>
        </w:rPr>
        <w:t>’</w:t>
      </w:r>
      <w:r w:rsidRPr="00442EE5">
        <w:rPr>
          <w:rFonts w:cs="Times New Roman"/>
          <w:lang w:val="fr-CA"/>
        </w:rPr>
        <w:t>un règlement à l</w:t>
      </w:r>
      <w:r>
        <w:rPr>
          <w:rFonts w:cs="Times New Roman"/>
          <w:lang w:val="fr-CA"/>
        </w:rPr>
        <w:t>’</w:t>
      </w:r>
      <w:r w:rsidRPr="00442EE5">
        <w:rPr>
          <w:rFonts w:cs="Times New Roman"/>
          <w:lang w:val="fr-CA"/>
        </w:rPr>
        <w:t>amiable à laquelle les sociétés défenderesses et lui avaient reçu l</w:t>
      </w:r>
      <w:r>
        <w:rPr>
          <w:rFonts w:cs="Times New Roman"/>
          <w:lang w:val="fr-CA"/>
        </w:rPr>
        <w:t>’</w:t>
      </w:r>
      <w:r w:rsidRPr="00442EE5">
        <w:rPr>
          <w:rFonts w:cs="Times New Roman"/>
          <w:lang w:val="fr-CA"/>
        </w:rPr>
        <w:t>ordre de participer par le tribunal de l</w:t>
      </w:r>
      <w:r>
        <w:rPr>
          <w:rFonts w:cs="Times New Roman"/>
          <w:lang w:val="fr-CA"/>
        </w:rPr>
        <w:t>’</w:t>
      </w:r>
      <w:r w:rsidRPr="00442EE5">
        <w:rPr>
          <w:rFonts w:cs="Times New Roman"/>
          <w:lang w:val="fr-CA"/>
        </w:rPr>
        <w:t>Utah (m.a., par. 47; motifs du juge Gascon, par. 15). À mon avis, ces mesures n</w:t>
      </w:r>
      <w:r>
        <w:rPr>
          <w:rFonts w:cs="Times New Roman"/>
          <w:lang w:val="fr-CA"/>
        </w:rPr>
        <w:t>’</w:t>
      </w:r>
      <w:r w:rsidRPr="00442EE5">
        <w:rPr>
          <w:rFonts w:cs="Times New Roman"/>
          <w:lang w:val="fr-CA"/>
        </w:rPr>
        <w:t>indiquent pas que l</w:t>
      </w:r>
      <w:r>
        <w:rPr>
          <w:rFonts w:cs="Times New Roman"/>
          <w:lang w:val="fr-CA"/>
        </w:rPr>
        <w:t>’</w:t>
      </w:r>
      <w:r w:rsidRPr="00442EE5">
        <w:rPr>
          <w:rFonts w:cs="Times New Roman"/>
          <w:lang w:val="fr-CA"/>
        </w:rPr>
        <w:t>appelant avait l</w:t>
      </w:r>
      <w:r>
        <w:rPr>
          <w:rFonts w:cs="Times New Roman"/>
          <w:lang w:val="fr-CA"/>
        </w:rPr>
        <w:t>’</w:t>
      </w:r>
      <w:r w:rsidRPr="00442EE5">
        <w:rPr>
          <w:rFonts w:cs="Times New Roman"/>
          <w:lang w:val="fr-CA"/>
        </w:rPr>
        <w:t>intention de faire trancher le litige par le tribunal de l</w:t>
      </w:r>
      <w:r>
        <w:rPr>
          <w:rFonts w:cs="Times New Roman"/>
          <w:lang w:val="fr-CA"/>
        </w:rPr>
        <w:t>’</w:t>
      </w:r>
      <w:r w:rsidRPr="00442EE5">
        <w:rPr>
          <w:rFonts w:cs="Times New Roman"/>
          <w:lang w:val="fr-CA"/>
        </w:rPr>
        <w:t xml:space="preserve">Utah (motifs du juge Gascon, par. 61; voir aussi </w:t>
      </w:r>
      <w:r w:rsidRPr="00442EE5">
        <w:rPr>
          <w:rFonts w:cs="Times New Roman"/>
          <w:i/>
          <w:lang w:val="fr-CA"/>
        </w:rPr>
        <w:t>Cortas Canning</w:t>
      </w:r>
      <w:r w:rsidRPr="00442EE5">
        <w:rPr>
          <w:rFonts w:cs="Times New Roman"/>
          <w:lang w:val="fr-CA"/>
        </w:rPr>
        <w:t>, p. 1241 et 1243</w:t>
      </w:r>
      <w:r w:rsidRPr="00442EE5">
        <w:rPr>
          <w:rFonts w:cs="Times New Roman"/>
          <w:lang w:val="fr-CA"/>
        </w:rPr>
        <w:noBreakHyphen/>
        <w:t xml:space="preserve">1244). </w:t>
      </w:r>
    </w:p>
    <w:p w:rsidR="00AF6697" w:rsidRPr="00442EE5" w:rsidRDefault="00AF6697" w:rsidP="00AF6697">
      <w:pPr>
        <w:pStyle w:val="ParaNoNdepar-AltN"/>
        <w:rPr>
          <w:rFonts w:cs="Times New Roman"/>
          <w:lang w:val="fr-CA"/>
        </w:rPr>
      </w:pPr>
      <w:r w:rsidRPr="00442EE5">
        <w:rPr>
          <w:rFonts w:cs="Times New Roman"/>
          <w:lang w:val="fr-CA"/>
        </w:rPr>
        <w:t>En fait, je tirerais une inférence contraire de la conduite de l</w:t>
      </w:r>
      <w:r>
        <w:rPr>
          <w:rFonts w:cs="Times New Roman"/>
          <w:lang w:val="fr-CA"/>
        </w:rPr>
        <w:t>’</w:t>
      </w:r>
      <w:r w:rsidRPr="00442EE5">
        <w:rPr>
          <w:rFonts w:cs="Times New Roman"/>
          <w:lang w:val="fr-CA"/>
        </w:rPr>
        <w:t>appelant. Le fait qu</w:t>
      </w:r>
      <w:r>
        <w:rPr>
          <w:rFonts w:cs="Times New Roman"/>
          <w:lang w:val="fr-CA"/>
        </w:rPr>
        <w:t>’</w:t>
      </w:r>
      <w:r w:rsidRPr="00442EE5">
        <w:rPr>
          <w:rFonts w:cs="Times New Roman"/>
          <w:lang w:val="fr-CA"/>
        </w:rPr>
        <w:t>il n</w:t>
      </w:r>
      <w:r>
        <w:rPr>
          <w:rFonts w:cs="Times New Roman"/>
          <w:lang w:val="fr-CA"/>
        </w:rPr>
        <w:t>’</w:t>
      </w:r>
      <w:r w:rsidRPr="00442EE5">
        <w:rPr>
          <w:rFonts w:cs="Times New Roman"/>
          <w:lang w:val="fr-CA"/>
        </w:rPr>
        <w:t>a pas pris part à l</w:t>
      </w:r>
      <w:r>
        <w:rPr>
          <w:rFonts w:cs="Times New Roman"/>
          <w:lang w:val="fr-CA"/>
        </w:rPr>
        <w:t>’</w:t>
      </w:r>
      <w:r w:rsidRPr="00442EE5">
        <w:rPr>
          <w:rFonts w:cs="Times New Roman"/>
          <w:lang w:val="fr-CA"/>
        </w:rPr>
        <w:t>action autrement qu</w:t>
      </w:r>
      <w:r>
        <w:rPr>
          <w:rFonts w:cs="Times New Roman"/>
          <w:lang w:val="fr-CA"/>
        </w:rPr>
        <w:t>’</w:t>
      </w:r>
      <w:r w:rsidRPr="00442EE5">
        <w:rPr>
          <w:rFonts w:cs="Times New Roman"/>
          <w:lang w:val="fr-CA"/>
        </w:rPr>
        <w:t>en demandant une prorogation de délai et en participant à une conférence en vue d</w:t>
      </w:r>
      <w:r>
        <w:rPr>
          <w:rFonts w:cs="Times New Roman"/>
          <w:lang w:val="fr-CA"/>
        </w:rPr>
        <w:t>’</w:t>
      </w:r>
      <w:r w:rsidRPr="00442EE5">
        <w:rPr>
          <w:rFonts w:cs="Times New Roman"/>
          <w:lang w:val="fr-CA"/>
        </w:rPr>
        <w:t>un règlement à l</w:t>
      </w:r>
      <w:r>
        <w:rPr>
          <w:rFonts w:cs="Times New Roman"/>
          <w:lang w:val="fr-CA"/>
        </w:rPr>
        <w:t>’</w:t>
      </w:r>
      <w:r w:rsidRPr="00442EE5">
        <w:rPr>
          <w:rFonts w:cs="Times New Roman"/>
          <w:lang w:val="fr-CA"/>
        </w:rPr>
        <w:t>amiable ordonnée par le tribunal de l</w:t>
      </w:r>
      <w:r>
        <w:rPr>
          <w:rFonts w:cs="Times New Roman"/>
          <w:lang w:val="fr-CA"/>
        </w:rPr>
        <w:t>’</w:t>
      </w:r>
      <w:r w:rsidRPr="00442EE5">
        <w:rPr>
          <w:rFonts w:cs="Times New Roman"/>
          <w:lang w:val="fr-CA"/>
        </w:rPr>
        <w:t>Utah indiquait qu</w:t>
      </w:r>
      <w:r>
        <w:rPr>
          <w:rFonts w:cs="Times New Roman"/>
          <w:lang w:val="fr-CA"/>
        </w:rPr>
        <w:t>’</w:t>
      </w:r>
      <w:r w:rsidRPr="00442EE5">
        <w:rPr>
          <w:rFonts w:cs="Times New Roman"/>
          <w:lang w:val="fr-CA"/>
        </w:rPr>
        <w:t>il avait clairement l</w:t>
      </w:r>
      <w:r>
        <w:rPr>
          <w:rFonts w:cs="Times New Roman"/>
          <w:lang w:val="fr-CA"/>
        </w:rPr>
        <w:t>’</w:t>
      </w:r>
      <w:r w:rsidRPr="00442EE5">
        <w:rPr>
          <w:rFonts w:cs="Times New Roman"/>
          <w:lang w:val="fr-CA"/>
        </w:rPr>
        <w:t>intention de ne pas reconnaître la compétence de ce tribunal. </w:t>
      </w:r>
    </w:p>
    <w:p w:rsidR="00AF6697" w:rsidRPr="00442EE5" w:rsidRDefault="00AF6697" w:rsidP="00AF6697">
      <w:pPr>
        <w:pStyle w:val="ParaNoNdepar-AltN"/>
        <w:rPr>
          <w:rFonts w:cs="Times New Roman"/>
          <w:lang w:val="fr-CA"/>
        </w:rPr>
      </w:pPr>
      <w:r w:rsidRPr="00442EE5">
        <w:rPr>
          <w:rFonts w:cs="Times New Roman"/>
          <w:lang w:val="fr-CA"/>
        </w:rPr>
        <w:lastRenderedPageBreak/>
        <w:t>J</w:t>
      </w:r>
      <w:r>
        <w:rPr>
          <w:rFonts w:cs="Times New Roman"/>
          <w:lang w:val="fr-CA"/>
        </w:rPr>
        <w:t>’</w:t>
      </w:r>
      <w:r w:rsidRPr="00442EE5">
        <w:rPr>
          <w:rFonts w:cs="Times New Roman"/>
          <w:lang w:val="fr-CA"/>
        </w:rPr>
        <w:t>estime donc que le juge Blanchard a commis une erreur en concluant que l</w:t>
      </w:r>
      <w:r>
        <w:rPr>
          <w:rFonts w:cs="Times New Roman"/>
          <w:lang w:val="fr-CA"/>
        </w:rPr>
        <w:t>’</w:t>
      </w:r>
      <w:r w:rsidRPr="00442EE5">
        <w:rPr>
          <w:rFonts w:cs="Times New Roman"/>
          <w:lang w:val="fr-CA"/>
        </w:rPr>
        <w:t>appelant avait reconnu la compétence du tribunal de l</w:t>
      </w:r>
      <w:r>
        <w:rPr>
          <w:rFonts w:cs="Times New Roman"/>
          <w:lang w:val="fr-CA"/>
        </w:rPr>
        <w:t>’</w:t>
      </w:r>
      <w:r w:rsidRPr="00442EE5">
        <w:rPr>
          <w:rFonts w:cs="Times New Roman"/>
          <w:lang w:val="fr-CA"/>
        </w:rPr>
        <w:t xml:space="preserve">Utah conformément </w:t>
      </w:r>
      <w:r w:rsidR="005F4E7E">
        <w:rPr>
          <w:rFonts w:cs="Times New Roman"/>
          <w:lang w:val="fr-CA"/>
        </w:rPr>
        <w:t>au</w:t>
      </w:r>
      <w:r w:rsidRPr="00442EE5">
        <w:rPr>
          <w:rFonts w:cs="Times New Roman"/>
          <w:lang w:val="fr-CA"/>
        </w:rPr>
        <w:t xml:space="preserve"> </w:t>
      </w:r>
      <w:r w:rsidR="005F4E7E">
        <w:rPr>
          <w:rFonts w:cs="Times New Roman"/>
          <w:lang w:val="fr-CA"/>
        </w:rPr>
        <w:t>par</w:t>
      </w:r>
      <w:r w:rsidRPr="00442EE5">
        <w:rPr>
          <w:rFonts w:cs="Times New Roman"/>
          <w:lang w:val="fr-CA"/>
        </w:rPr>
        <w:t xml:space="preserve">. 3168(6) </w:t>
      </w:r>
      <w:r w:rsidRPr="00442EE5">
        <w:rPr>
          <w:rFonts w:cs="Times New Roman"/>
          <w:i/>
          <w:lang w:val="fr-CA"/>
        </w:rPr>
        <w:t>C.c.Q.</w:t>
      </w:r>
      <w:r w:rsidRPr="00442EE5">
        <w:rPr>
          <w:rFonts w:cs="Times New Roman"/>
          <w:lang w:val="fr-CA"/>
        </w:rPr>
        <w:t xml:space="preserve"> (motifs de la C.S., par. 16).</w:t>
      </w:r>
    </w:p>
    <w:p w:rsidR="00AF6697" w:rsidRPr="00442EE5" w:rsidRDefault="00AF6697" w:rsidP="00856BD2">
      <w:pPr>
        <w:pStyle w:val="Title1LevelTitre1Niveau-AltL"/>
        <w:jc w:val="both"/>
        <w:rPr>
          <w:rFonts w:cs="Times New Roman"/>
          <w:lang w:val="fr-CA"/>
        </w:rPr>
      </w:pPr>
      <w:r w:rsidRPr="00442EE5">
        <w:rPr>
          <w:rFonts w:cs="Times New Roman"/>
          <w:lang w:val="fr-CA"/>
        </w:rPr>
        <w:t xml:space="preserve">Article 3164 </w:t>
      </w:r>
      <w:r w:rsidRPr="00442EE5">
        <w:rPr>
          <w:rFonts w:cs="Times New Roman"/>
          <w:i/>
          <w:lang w:val="fr-CA"/>
        </w:rPr>
        <w:t>C.c.Q</w:t>
      </w:r>
      <w:r w:rsidR="00423AC6">
        <w:rPr>
          <w:rFonts w:cs="Times New Roman"/>
          <w:i/>
          <w:lang w:val="fr-CA"/>
        </w:rPr>
        <w:t>.</w:t>
      </w:r>
    </w:p>
    <w:p w:rsidR="00AF6697" w:rsidRPr="00442EE5" w:rsidRDefault="00AF6697" w:rsidP="00AF6697">
      <w:pPr>
        <w:pStyle w:val="ParaNoNdepar-AltN"/>
        <w:rPr>
          <w:rFonts w:cs="Times New Roman"/>
          <w:lang w:val="fr-CA"/>
        </w:rPr>
      </w:pPr>
      <w:r w:rsidRPr="00442EE5">
        <w:rPr>
          <w:rFonts w:cs="Times New Roman"/>
          <w:lang w:val="fr-CA"/>
        </w:rPr>
        <w:t>Étant donné qu</w:t>
      </w:r>
      <w:r>
        <w:rPr>
          <w:rFonts w:cs="Times New Roman"/>
          <w:lang w:val="fr-CA"/>
        </w:rPr>
        <w:t>’</w:t>
      </w:r>
      <w:r w:rsidRPr="00442EE5">
        <w:rPr>
          <w:rFonts w:cs="Times New Roman"/>
          <w:lang w:val="fr-CA"/>
        </w:rPr>
        <w:t>aucun des facteurs de rattachement énoncés à l</w:t>
      </w:r>
      <w:r>
        <w:rPr>
          <w:rFonts w:cs="Times New Roman"/>
          <w:lang w:val="fr-CA"/>
        </w:rPr>
        <w:t>’</w:t>
      </w:r>
      <w:r w:rsidRPr="00442EE5">
        <w:rPr>
          <w:rFonts w:cs="Times New Roman"/>
          <w:lang w:val="fr-CA"/>
        </w:rPr>
        <w:t xml:space="preserve">art. 3168 </w:t>
      </w:r>
      <w:r w:rsidRPr="00442EE5">
        <w:rPr>
          <w:rFonts w:cs="Times New Roman"/>
          <w:i/>
          <w:lang w:val="fr-CA"/>
        </w:rPr>
        <w:t>C.c.Q.</w:t>
      </w:r>
      <w:r w:rsidRPr="00442EE5">
        <w:rPr>
          <w:rFonts w:cs="Times New Roman"/>
          <w:lang w:val="fr-CA"/>
        </w:rPr>
        <w:t xml:space="preserve"> n</w:t>
      </w:r>
      <w:r>
        <w:rPr>
          <w:rFonts w:cs="Times New Roman"/>
          <w:lang w:val="fr-CA"/>
        </w:rPr>
        <w:t>’</w:t>
      </w:r>
      <w:r w:rsidRPr="00442EE5">
        <w:rPr>
          <w:rFonts w:cs="Times New Roman"/>
          <w:lang w:val="fr-CA"/>
        </w:rPr>
        <w:t>est présent, il n</w:t>
      </w:r>
      <w:r>
        <w:rPr>
          <w:rFonts w:cs="Times New Roman"/>
          <w:lang w:val="fr-CA"/>
        </w:rPr>
        <w:t>’</w:t>
      </w:r>
      <w:r w:rsidRPr="00442EE5">
        <w:rPr>
          <w:rFonts w:cs="Times New Roman"/>
          <w:lang w:val="fr-CA"/>
        </w:rPr>
        <w:t>est pas nécessaire de se demander si le litige « se rattache d</w:t>
      </w:r>
      <w:r>
        <w:rPr>
          <w:rFonts w:cs="Times New Roman"/>
          <w:lang w:val="fr-CA"/>
        </w:rPr>
        <w:t>’</w:t>
      </w:r>
      <w:r w:rsidRPr="00442EE5">
        <w:rPr>
          <w:rFonts w:cs="Times New Roman"/>
          <w:lang w:val="fr-CA"/>
        </w:rPr>
        <w:t>une façon importante » à l</w:t>
      </w:r>
      <w:r>
        <w:rPr>
          <w:rFonts w:cs="Times New Roman"/>
          <w:lang w:val="fr-CA"/>
        </w:rPr>
        <w:t>’</w:t>
      </w:r>
      <w:r w:rsidRPr="00442EE5">
        <w:rPr>
          <w:rFonts w:cs="Times New Roman"/>
          <w:lang w:val="fr-CA"/>
        </w:rPr>
        <w:t>État étranger au sens de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Comme le libellé de l</w:t>
      </w:r>
      <w:r>
        <w:rPr>
          <w:rFonts w:cs="Times New Roman"/>
          <w:lang w:val="fr-CA"/>
        </w:rPr>
        <w:t>’</w:t>
      </w:r>
      <w:r w:rsidRPr="00442EE5">
        <w:rPr>
          <w:rFonts w:cs="Times New Roman"/>
          <w:lang w:val="fr-CA"/>
        </w:rPr>
        <w:t xml:space="preserve">art. 3168 </w:t>
      </w:r>
      <w:r w:rsidRPr="00442EE5">
        <w:rPr>
          <w:rFonts w:cs="Times New Roman"/>
          <w:i/>
          <w:lang w:val="fr-CA"/>
        </w:rPr>
        <w:t>C.c.Q.</w:t>
      </w:r>
      <w:r w:rsidRPr="00442EE5">
        <w:rPr>
          <w:rFonts w:cs="Times New Roman"/>
          <w:lang w:val="fr-CA"/>
        </w:rPr>
        <w:t xml:space="preserve"> l</w:t>
      </w:r>
      <w:r>
        <w:rPr>
          <w:rFonts w:cs="Times New Roman"/>
          <w:lang w:val="fr-CA"/>
        </w:rPr>
        <w:t>’</w:t>
      </w:r>
      <w:r w:rsidRPr="00442EE5">
        <w:rPr>
          <w:rFonts w:cs="Times New Roman"/>
          <w:lang w:val="fr-CA"/>
        </w:rPr>
        <w:t>indique clairement, dans les actions personnelles à caractère patrimonial, la compétence des autorités étrangères n</w:t>
      </w:r>
      <w:r>
        <w:rPr>
          <w:rFonts w:cs="Times New Roman"/>
          <w:lang w:val="fr-CA"/>
        </w:rPr>
        <w:t>’</w:t>
      </w:r>
      <w:r w:rsidRPr="00442EE5">
        <w:rPr>
          <w:rFonts w:cs="Times New Roman"/>
          <w:lang w:val="fr-CA"/>
        </w:rPr>
        <w:t xml:space="preserve">est reconnue </w:t>
      </w:r>
      <w:r w:rsidRPr="00442EE5">
        <w:rPr>
          <w:rFonts w:cs="Times New Roman"/>
          <w:i/>
          <w:lang w:val="fr-CA"/>
        </w:rPr>
        <w:t>que</w:t>
      </w:r>
      <w:r w:rsidRPr="00442EE5">
        <w:rPr>
          <w:rFonts w:cs="Times New Roman"/>
          <w:lang w:val="fr-CA"/>
        </w:rPr>
        <w:t xml:space="preserve"> lorsque l</w:t>
      </w:r>
      <w:r>
        <w:rPr>
          <w:rFonts w:cs="Times New Roman"/>
          <w:lang w:val="fr-CA"/>
        </w:rPr>
        <w:t>’</w:t>
      </w:r>
      <w:r w:rsidRPr="00442EE5">
        <w:rPr>
          <w:rFonts w:cs="Times New Roman"/>
          <w:lang w:val="fr-CA"/>
        </w:rPr>
        <w:t>un des facteurs énumérés est présent. Ce n</w:t>
      </w:r>
      <w:r>
        <w:rPr>
          <w:rFonts w:cs="Times New Roman"/>
          <w:lang w:val="fr-CA"/>
        </w:rPr>
        <w:t>’</w:t>
      </w:r>
      <w:r w:rsidRPr="00442EE5">
        <w:rPr>
          <w:rFonts w:cs="Times New Roman"/>
          <w:lang w:val="fr-CA"/>
        </w:rPr>
        <w:t>est pas le cas en l</w:t>
      </w:r>
      <w:r>
        <w:rPr>
          <w:rFonts w:cs="Times New Roman"/>
          <w:lang w:val="fr-CA"/>
        </w:rPr>
        <w:t>’</w:t>
      </w:r>
      <w:r w:rsidRPr="00442EE5">
        <w:rPr>
          <w:rFonts w:cs="Times New Roman"/>
          <w:lang w:val="fr-CA"/>
        </w:rPr>
        <w:t>espèce.</w:t>
      </w:r>
    </w:p>
    <w:p w:rsidR="00AF6697" w:rsidRPr="00442EE5" w:rsidRDefault="00AF6697" w:rsidP="00AF6697">
      <w:pPr>
        <w:pStyle w:val="ParaNoNdepar-AltN"/>
        <w:rPr>
          <w:rFonts w:cs="Times New Roman"/>
          <w:lang w:val="fr-CA"/>
        </w:rPr>
      </w:pPr>
      <w:r w:rsidRPr="00442EE5">
        <w:rPr>
          <w:rFonts w:cs="Times New Roman"/>
          <w:lang w:val="fr-CA"/>
        </w:rPr>
        <w:t>Cependant, même si j</w:t>
      </w:r>
      <w:r>
        <w:rPr>
          <w:rFonts w:cs="Times New Roman"/>
          <w:lang w:val="fr-CA"/>
        </w:rPr>
        <w:t>’</w:t>
      </w:r>
      <w:r w:rsidRPr="00442EE5">
        <w:rPr>
          <w:rFonts w:cs="Times New Roman"/>
          <w:lang w:val="fr-CA"/>
        </w:rPr>
        <w:t>étais d</w:t>
      </w:r>
      <w:r>
        <w:rPr>
          <w:rFonts w:cs="Times New Roman"/>
          <w:lang w:val="fr-CA"/>
        </w:rPr>
        <w:t>’</w:t>
      </w:r>
      <w:r w:rsidRPr="00442EE5">
        <w:rPr>
          <w:rFonts w:cs="Times New Roman"/>
          <w:lang w:val="fr-CA"/>
        </w:rPr>
        <w:t>accord avec mon collègue le juge Gascon pour dire que M. Barer a reconnu la compétence du tribunal de l</w:t>
      </w:r>
      <w:r>
        <w:rPr>
          <w:rFonts w:cs="Times New Roman"/>
          <w:lang w:val="fr-CA"/>
        </w:rPr>
        <w:t>’</w:t>
      </w:r>
      <w:r w:rsidRPr="00442EE5">
        <w:rPr>
          <w:rFonts w:cs="Times New Roman"/>
          <w:lang w:val="fr-CA"/>
        </w:rPr>
        <w:t>Utah, je serais d</w:t>
      </w:r>
      <w:r>
        <w:rPr>
          <w:rFonts w:cs="Times New Roman"/>
          <w:lang w:val="fr-CA"/>
        </w:rPr>
        <w:t>’</w:t>
      </w:r>
      <w:r w:rsidRPr="00442EE5">
        <w:rPr>
          <w:rFonts w:cs="Times New Roman"/>
          <w:lang w:val="fr-CA"/>
        </w:rPr>
        <w:t>avis qu</w:t>
      </w:r>
      <w:r>
        <w:rPr>
          <w:rFonts w:cs="Times New Roman"/>
          <w:lang w:val="fr-CA"/>
        </w:rPr>
        <w:t>’</w:t>
      </w:r>
      <w:r w:rsidRPr="00442EE5">
        <w:rPr>
          <w:rFonts w:cs="Times New Roman"/>
          <w:lang w:val="fr-CA"/>
        </w:rPr>
        <w:t>il n</w:t>
      </w:r>
      <w:r>
        <w:rPr>
          <w:rFonts w:cs="Times New Roman"/>
          <w:lang w:val="fr-CA"/>
        </w:rPr>
        <w:t>’</w:t>
      </w:r>
      <w:r w:rsidRPr="00442EE5">
        <w:rPr>
          <w:rFonts w:cs="Times New Roman"/>
          <w:lang w:val="fr-CA"/>
        </w:rPr>
        <w:t>existe pas de lien de rattachement important entre le litige et l</w:t>
      </w:r>
      <w:r>
        <w:rPr>
          <w:rFonts w:cs="Times New Roman"/>
          <w:lang w:val="fr-CA"/>
        </w:rPr>
        <w:t>’</w:t>
      </w:r>
      <w:r w:rsidRPr="00442EE5">
        <w:rPr>
          <w:rFonts w:cs="Times New Roman"/>
          <w:lang w:val="fr-CA"/>
        </w:rPr>
        <w:t>Utah au sens de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xml:space="preserve">, de sorte que la reconnaissance devrait être refusée. </w:t>
      </w:r>
    </w:p>
    <w:p w:rsidR="00AF6697" w:rsidRPr="00442EE5" w:rsidRDefault="00AF6697" w:rsidP="00AF6697">
      <w:pPr>
        <w:pStyle w:val="ParaNoNdepar-AltN"/>
        <w:rPr>
          <w:rFonts w:cs="Times New Roman"/>
          <w:lang w:val="fr-CA"/>
        </w:rPr>
      </w:pPr>
      <w:r w:rsidRPr="00442EE5">
        <w:rPr>
          <w:rFonts w:cs="Times New Roman"/>
          <w:lang w:val="fr-CA"/>
        </w:rPr>
        <w:t>Bien que cela ne soit pas essentiel à la solution du présent litige, il est néanmoins souhaitable de confirmer qu</w:t>
      </w:r>
      <w:r>
        <w:rPr>
          <w:rFonts w:cs="Times New Roman"/>
          <w:lang w:val="fr-CA"/>
        </w:rPr>
        <w:t>’</w:t>
      </w:r>
      <w:r w:rsidRPr="00442EE5">
        <w:rPr>
          <w:rFonts w:cs="Times New Roman"/>
          <w:lang w:val="fr-CA"/>
        </w:rPr>
        <w:t>un rattachement important au sens de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xml:space="preserve"> doit parfois être démontré même dans les cas où l</w:t>
      </w:r>
      <w:r>
        <w:rPr>
          <w:rFonts w:cs="Times New Roman"/>
          <w:lang w:val="fr-CA"/>
        </w:rPr>
        <w:t>’</w:t>
      </w:r>
      <w:r w:rsidRPr="00442EE5">
        <w:rPr>
          <w:rFonts w:cs="Times New Roman"/>
          <w:lang w:val="fr-CA"/>
        </w:rPr>
        <w:t>un des facteurs de rattachement énoncés à l</w:t>
      </w:r>
      <w:r>
        <w:rPr>
          <w:rFonts w:cs="Times New Roman"/>
          <w:lang w:val="fr-CA"/>
        </w:rPr>
        <w:t>’</w:t>
      </w:r>
      <w:r w:rsidRPr="00442EE5">
        <w:rPr>
          <w:rFonts w:cs="Times New Roman"/>
          <w:lang w:val="fr-CA"/>
        </w:rPr>
        <w:t xml:space="preserve">art. 3168 </w:t>
      </w:r>
      <w:r w:rsidRPr="00442EE5">
        <w:rPr>
          <w:rFonts w:cs="Times New Roman"/>
          <w:i/>
          <w:lang w:val="fr-CA"/>
        </w:rPr>
        <w:t>C.c.Q.</w:t>
      </w:r>
      <w:r w:rsidRPr="00442EE5">
        <w:rPr>
          <w:rFonts w:cs="Times New Roman"/>
          <w:lang w:val="fr-CA"/>
        </w:rPr>
        <w:t xml:space="preserve"> existe déjà. Il s</w:t>
      </w:r>
      <w:r>
        <w:rPr>
          <w:rFonts w:cs="Times New Roman"/>
          <w:lang w:val="fr-CA"/>
        </w:rPr>
        <w:t>’</w:t>
      </w:r>
      <w:r w:rsidRPr="00442EE5">
        <w:rPr>
          <w:rFonts w:cs="Times New Roman"/>
          <w:lang w:val="fr-CA"/>
        </w:rPr>
        <w:t>agit de l</w:t>
      </w:r>
      <w:r>
        <w:rPr>
          <w:rFonts w:cs="Times New Roman"/>
          <w:lang w:val="fr-CA"/>
        </w:rPr>
        <w:t>’</w:t>
      </w:r>
      <w:r w:rsidRPr="00442EE5">
        <w:rPr>
          <w:rFonts w:cs="Times New Roman"/>
          <w:lang w:val="fr-CA"/>
        </w:rPr>
        <w:t>approche qui prévaut à la Cour d</w:t>
      </w:r>
      <w:r>
        <w:rPr>
          <w:rFonts w:cs="Times New Roman"/>
          <w:lang w:val="fr-CA"/>
        </w:rPr>
        <w:t>’</w:t>
      </w:r>
      <w:r w:rsidRPr="00442EE5">
        <w:rPr>
          <w:rFonts w:cs="Times New Roman"/>
          <w:lang w:val="fr-CA"/>
        </w:rPr>
        <w:t>appel, et confirmer sa jurisprudence sur ce point renforcerait la clarté et la certitude du droit. Il convient d</w:t>
      </w:r>
      <w:r>
        <w:rPr>
          <w:rFonts w:cs="Times New Roman"/>
          <w:lang w:val="fr-CA"/>
        </w:rPr>
        <w:t>’</w:t>
      </w:r>
      <w:r w:rsidRPr="00442EE5">
        <w:rPr>
          <w:rFonts w:cs="Times New Roman"/>
          <w:lang w:val="fr-CA"/>
        </w:rPr>
        <w:t xml:space="preserve">autant plus de nous prononcer sur la question que le juge saisi de la demande en </w:t>
      </w:r>
      <w:r>
        <w:rPr>
          <w:rFonts w:cs="Times New Roman"/>
          <w:lang w:val="fr-CA"/>
        </w:rPr>
        <w:t xml:space="preserve">a </w:t>
      </w:r>
      <w:r w:rsidRPr="00442EE5">
        <w:rPr>
          <w:rFonts w:cs="Times New Roman"/>
          <w:lang w:val="fr-CA"/>
        </w:rPr>
        <w:t>traité (sans tenir compte, faut</w:t>
      </w:r>
      <w:r w:rsidRPr="00442EE5">
        <w:rPr>
          <w:rFonts w:cs="Times New Roman"/>
          <w:lang w:val="fr-CA"/>
        </w:rPr>
        <w:noBreakHyphen/>
        <w:t xml:space="preserve">il le souligner, de la </w:t>
      </w:r>
      <w:r w:rsidRPr="00442EE5">
        <w:rPr>
          <w:rFonts w:cs="Times New Roman"/>
          <w:lang w:val="fr-CA"/>
        </w:rPr>
        <w:lastRenderedPageBreak/>
        <w:t>jurisprudence pertinente de la Cour d</w:t>
      </w:r>
      <w:r>
        <w:rPr>
          <w:rFonts w:cs="Times New Roman"/>
          <w:lang w:val="fr-CA"/>
        </w:rPr>
        <w:t>’</w:t>
      </w:r>
      <w:r w:rsidRPr="00442EE5">
        <w:rPr>
          <w:rFonts w:cs="Times New Roman"/>
          <w:lang w:val="fr-CA"/>
        </w:rPr>
        <w:t>appel) et que les deux parties ont présenté des arguments assez détaillés à ce sujet.</w:t>
      </w:r>
    </w:p>
    <w:p w:rsidR="00AF6697" w:rsidRPr="00442EE5" w:rsidRDefault="00AF6697" w:rsidP="00AF6697">
      <w:pPr>
        <w:pStyle w:val="Title2LevelTitre2Niveau"/>
        <w:numPr>
          <w:ilvl w:val="1"/>
          <w:numId w:val="4"/>
        </w:numPr>
        <w:jc w:val="both"/>
        <w:rPr>
          <w:rFonts w:cs="Times New Roman"/>
          <w:lang w:val="fr-CA"/>
        </w:rPr>
      </w:pPr>
      <w:r w:rsidRPr="00442EE5">
        <w:rPr>
          <w:rFonts w:cs="Times New Roman"/>
          <w:lang w:val="fr-CA"/>
        </w:rPr>
        <w:t>L</w:t>
      </w:r>
      <w:r>
        <w:rPr>
          <w:rFonts w:cs="Times New Roman"/>
          <w:lang w:val="fr-CA"/>
        </w:rPr>
        <w:t>’</w:t>
      </w:r>
      <w:r w:rsidRPr="00442EE5">
        <w:rPr>
          <w:rFonts w:cs="Times New Roman"/>
          <w:lang w:val="fr-CA"/>
        </w:rPr>
        <w:t>exigence du rattachement important</w:t>
      </w:r>
    </w:p>
    <w:p w:rsidR="00AF6697" w:rsidRPr="00442EE5" w:rsidRDefault="00AF6697" w:rsidP="00AF6697">
      <w:pPr>
        <w:pStyle w:val="ParaNoNdepar-AltN"/>
        <w:rPr>
          <w:rFonts w:cs="Times New Roman"/>
          <w:lang w:val="fr-CA"/>
        </w:rPr>
      </w:pPr>
      <w:r w:rsidRPr="00442EE5">
        <w:rPr>
          <w:rFonts w:cs="Times New Roman"/>
          <w:lang w:val="fr-CA"/>
        </w:rPr>
        <w:t>À mon avis, il y aura des circonstances exceptionnelles où, malgré la présence de l</w:t>
      </w:r>
      <w:r>
        <w:rPr>
          <w:rFonts w:cs="Times New Roman"/>
          <w:lang w:val="fr-CA"/>
        </w:rPr>
        <w:t>’</w:t>
      </w:r>
      <w:r w:rsidRPr="00442EE5">
        <w:rPr>
          <w:rFonts w:cs="Times New Roman"/>
          <w:lang w:val="fr-CA"/>
        </w:rPr>
        <w:t>un des facteurs de rattachement énoncés à l</w:t>
      </w:r>
      <w:r>
        <w:rPr>
          <w:rFonts w:cs="Times New Roman"/>
          <w:lang w:val="fr-CA"/>
        </w:rPr>
        <w:t>’</w:t>
      </w:r>
      <w:r w:rsidRPr="00442EE5">
        <w:rPr>
          <w:rFonts w:cs="Times New Roman"/>
          <w:lang w:val="fr-CA"/>
        </w:rPr>
        <w:t xml:space="preserve">art. 3168 </w:t>
      </w:r>
      <w:r w:rsidRPr="00442EE5">
        <w:rPr>
          <w:rFonts w:cs="Times New Roman"/>
          <w:i/>
          <w:lang w:val="fr-CA"/>
        </w:rPr>
        <w:t>C.c.Q.</w:t>
      </w:r>
      <w:r w:rsidRPr="00442EE5">
        <w:rPr>
          <w:rFonts w:cs="Times New Roman"/>
          <w:lang w:val="fr-CA"/>
        </w:rPr>
        <w:t>,</w:t>
      </w:r>
      <w:r w:rsidRPr="00442EE5">
        <w:rPr>
          <w:rFonts w:cs="Times New Roman"/>
          <w:i/>
          <w:lang w:val="fr-CA"/>
        </w:rPr>
        <w:t xml:space="preserve"> </w:t>
      </w:r>
      <w:r w:rsidRPr="00442EE5">
        <w:rPr>
          <w:rFonts w:cs="Times New Roman"/>
          <w:lang w:val="fr-CA"/>
        </w:rPr>
        <w:t>il faudra procéder à une analyse plus poussée, fondée sur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w:t>
      </w:r>
      <w:r w:rsidRPr="00442EE5">
        <w:rPr>
          <w:rFonts w:cs="Times New Roman"/>
          <w:i/>
          <w:lang w:val="fr-CA"/>
        </w:rPr>
        <w:t xml:space="preserve"> </w:t>
      </w:r>
      <w:r w:rsidRPr="00442EE5">
        <w:rPr>
          <w:rFonts w:cs="Times New Roman"/>
          <w:lang w:val="fr-CA"/>
        </w:rPr>
        <w:t>afin de déterminer s</w:t>
      </w:r>
      <w:r>
        <w:rPr>
          <w:rFonts w:cs="Times New Roman"/>
          <w:lang w:val="fr-CA"/>
        </w:rPr>
        <w:t>’</w:t>
      </w:r>
      <w:r w:rsidRPr="00442EE5">
        <w:rPr>
          <w:rFonts w:cs="Times New Roman"/>
          <w:lang w:val="fr-CA"/>
        </w:rPr>
        <w:t>il existe un rattachement important entre l</w:t>
      </w:r>
      <w:r>
        <w:rPr>
          <w:rFonts w:cs="Times New Roman"/>
          <w:lang w:val="fr-CA"/>
        </w:rPr>
        <w:t>’</w:t>
      </w:r>
      <w:r w:rsidRPr="00442EE5">
        <w:rPr>
          <w:rFonts w:cs="Times New Roman"/>
          <w:lang w:val="fr-CA"/>
        </w:rPr>
        <w:t>État étranger et le litige. Un rattachement avec le litige signifie un rattachement à la fois avec l</w:t>
      </w:r>
      <w:r>
        <w:rPr>
          <w:rFonts w:cs="Times New Roman"/>
          <w:lang w:val="fr-CA"/>
        </w:rPr>
        <w:t>’</w:t>
      </w:r>
      <w:r w:rsidRPr="00442EE5">
        <w:rPr>
          <w:rFonts w:cs="Times New Roman"/>
          <w:lang w:val="fr-CA"/>
        </w:rPr>
        <w:t xml:space="preserve">objet du litige </w:t>
      </w:r>
      <w:r w:rsidRPr="00442EE5">
        <w:rPr>
          <w:rFonts w:cs="Times New Roman"/>
          <w:i/>
          <w:lang w:val="fr-CA"/>
        </w:rPr>
        <w:t>et</w:t>
      </w:r>
      <w:r w:rsidRPr="00442EE5">
        <w:rPr>
          <w:rFonts w:cs="Times New Roman"/>
          <w:lang w:val="fr-CA"/>
        </w:rPr>
        <w:t xml:space="preserve"> les parties (J.</w:t>
      </w:r>
      <w:r w:rsidR="005F4E7E">
        <w:rPr>
          <w:rFonts w:cs="Times New Roman"/>
          <w:lang w:val="fr-CA"/>
        </w:rPr>
        <w:t> </w:t>
      </w:r>
      <w:r w:rsidRPr="00442EE5">
        <w:rPr>
          <w:rFonts w:cs="Times New Roman"/>
          <w:lang w:val="fr-CA"/>
        </w:rPr>
        <w:t>A. Talpis et J.</w:t>
      </w:r>
      <w:r w:rsidRPr="00442EE5">
        <w:rPr>
          <w:rFonts w:cs="Times New Roman"/>
          <w:lang w:val="fr-CA"/>
        </w:rPr>
        <w:noBreakHyphen/>
        <w:t xml:space="preserve">G. Castel, « Interprétation des règles du droit international privé », dans </w:t>
      </w:r>
      <w:r w:rsidRPr="00442EE5">
        <w:rPr>
          <w:rFonts w:cs="Times New Roman"/>
          <w:i/>
          <w:lang w:val="fr-CA"/>
        </w:rPr>
        <w:t>La réforme du Code civil</w:t>
      </w:r>
      <w:r w:rsidRPr="00442EE5">
        <w:rPr>
          <w:rFonts w:cs="Times New Roman"/>
          <w:lang w:val="fr-CA"/>
        </w:rPr>
        <w:t xml:space="preserve">, t. 3, </w:t>
      </w:r>
      <w:r w:rsidRPr="00442EE5">
        <w:rPr>
          <w:rFonts w:cs="Times New Roman"/>
          <w:i/>
          <w:lang w:val="fr-CA"/>
        </w:rPr>
        <w:t>Priorités et hypothèques, preuve et prescription, publicité des droits, droit international privé, dispositions transitoires</w:t>
      </w:r>
      <w:r w:rsidRPr="00442EE5">
        <w:rPr>
          <w:rFonts w:cs="Times New Roman"/>
          <w:lang w:val="fr-CA"/>
        </w:rPr>
        <w:t xml:space="preserve"> (1993), par. 486; voir également </w:t>
      </w:r>
      <w:r w:rsidRPr="00442EE5">
        <w:rPr>
          <w:rFonts w:cs="Times New Roman"/>
          <w:i/>
          <w:lang w:val="fr-CA"/>
        </w:rPr>
        <w:t>Club Resorts Ltd. c. Van Breda</w:t>
      </w:r>
      <w:r w:rsidRPr="00442EE5">
        <w:rPr>
          <w:rFonts w:cs="Times New Roman"/>
          <w:lang w:val="fr-CA"/>
        </w:rPr>
        <w:t xml:space="preserve">, 2012 CSC 17, [2012] 1 R.C.S. 572, par. 79 et 99; </w:t>
      </w:r>
      <w:r w:rsidRPr="00442EE5">
        <w:rPr>
          <w:rFonts w:cs="Times New Roman"/>
          <w:i/>
          <w:lang w:val="fr-CA"/>
        </w:rPr>
        <w:t>Morguard Investments Ltd. c. De Savoye</w:t>
      </w:r>
      <w:r w:rsidRPr="00442EE5">
        <w:rPr>
          <w:rFonts w:cs="Times New Roman"/>
          <w:lang w:val="fr-CA"/>
        </w:rPr>
        <w:t>,</w:t>
      </w:r>
      <w:r w:rsidRPr="00442EE5">
        <w:rPr>
          <w:rFonts w:cs="Times New Roman"/>
          <w:i/>
          <w:lang w:val="fr-CA"/>
        </w:rPr>
        <w:t xml:space="preserve"> </w:t>
      </w:r>
      <w:r w:rsidRPr="00442EE5">
        <w:rPr>
          <w:rFonts w:cs="Times New Roman"/>
          <w:lang w:val="fr-CA"/>
        </w:rPr>
        <w:t>[1990] 3 R.C.S</w:t>
      </w:r>
      <w:r w:rsidR="00423AC6">
        <w:rPr>
          <w:rFonts w:cs="Times New Roman"/>
          <w:lang w:val="fr-CA"/>
        </w:rPr>
        <w:t>.</w:t>
      </w:r>
      <w:r w:rsidRPr="00442EE5">
        <w:rPr>
          <w:rFonts w:cs="Times New Roman"/>
          <w:lang w:val="fr-CA"/>
        </w:rPr>
        <w:t> 1077, p. 1108).</w:t>
      </w:r>
    </w:p>
    <w:p w:rsidR="00AF6697" w:rsidRPr="00442EE5" w:rsidRDefault="00AF6697" w:rsidP="00AF6697">
      <w:pPr>
        <w:pStyle w:val="ParaNoNdepar-AltN"/>
        <w:rPr>
          <w:rFonts w:cs="Times New Roman"/>
          <w:lang w:val="fr-CA"/>
        </w:rPr>
      </w:pPr>
      <w:r w:rsidRPr="00442EE5">
        <w:rPr>
          <w:rFonts w:cs="Times New Roman"/>
          <w:lang w:val="fr-CA"/>
        </w:rPr>
        <w:t>Il suffira généralement de prouver la présence de l</w:t>
      </w:r>
      <w:r>
        <w:rPr>
          <w:rFonts w:cs="Times New Roman"/>
          <w:lang w:val="fr-CA"/>
        </w:rPr>
        <w:t>’</w:t>
      </w:r>
      <w:r w:rsidRPr="00442EE5">
        <w:rPr>
          <w:rFonts w:cs="Times New Roman"/>
          <w:lang w:val="fr-CA"/>
        </w:rPr>
        <w:t>un des facteurs énoncés à l</w:t>
      </w:r>
      <w:r>
        <w:rPr>
          <w:rFonts w:cs="Times New Roman"/>
          <w:lang w:val="fr-CA"/>
        </w:rPr>
        <w:t>’</w:t>
      </w:r>
      <w:r w:rsidRPr="00442EE5">
        <w:rPr>
          <w:rFonts w:cs="Times New Roman"/>
          <w:lang w:val="fr-CA"/>
        </w:rPr>
        <w:t xml:space="preserve">art. 3168 </w:t>
      </w:r>
      <w:r w:rsidRPr="00442EE5">
        <w:rPr>
          <w:rFonts w:cs="Times New Roman"/>
          <w:i/>
          <w:lang w:val="fr-CA"/>
        </w:rPr>
        <w:t xml:space="preserve">C.c.Q. </w:t>
      </w:r>
      <w:r w:rsidRPr="00442EE5">
        <w:rPr>
          <w:rFonts w:cs="Times New Roman"/>
          <w:lang w:val="fr-CA"/>
        </w:rPr>
        <w:t>pour démontrer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 xml:space="preserve">un rattachement important et ainsi établir la compétence, mais ce ne sera pas </w:t>
      </w:r>
      <w:r w:rsidRPr="00442EE5">
        <w:rPr>
          <w:rFonts w:cs="Times New Roman"/>
          <w:i/>
          <w:lang w:val="fr-CA"/>
        </w:rPr>
        <w:t>toujours</w:t>
      </w:r>
      <w:r w:rsidRPr="00442EE5">
        <w:rPr>
          <w:rFonts w:cs="Times New Roman"/>
          <w:lang w:val="fr-CA"/>
        </w:rPr>
        <w:t xml:space="preserve"> le cas. J</w:t>
      </w:r>
      <w:r>
        <w:rPr>
          <w:rFonts w:cs="Times New Roman"/>
          <w:lang w:val="fr-CA"/>
        </w:rPr>
        <w:t>’</w:t>
      </w:r>
      <w:r w:rsidRPr="00442EE5">
        <w:rPr>
          <w:rFonts w:cs="Times New Roman"/>
          <w:lang w:val="fr-CA"/>
        </w:rPr>
        <w:t>ajouterais qu</w:t>
      </w:r>
      <w:r>
        <w:rPr>
          <w:rFonts w:cs="Times New Roman"/>
          <w:lang w:val="fr-CA"/>
        </w:rPr>
        <w:t>’</w:t>
      </w:r>
      <w:r w:rsidRPr="00442EE5">
        <w:rPr>
          <w:rFonts w:cs="Times New Roman"/>
          <w:lang w:val="fr-CA"/>
        </w:rPr>
        <w:t>en pratique, lorsqu</w:t>
      </w:r>
      <w:r>
        <w:rPr>
          <w:rFonts w:cs="Times New Roman"/>
          <w:lang w:val="fr-CA"/>
        </w:rPr>
        <w:t>’</w:t>
      </w:r>
      <w:r w:rsidRPr="00442EE5">
        <w:rPr>
          <w:rFonts w:cs="Times New Roman"/>
          <w:lang w:val="fr-CA"/>
        </w:rPr>
        <w:t>un tel facteur est établi, le tribunal québécois devrait s</w:t>
      </w:r>
      <w:r>
        <w:rPr>
          <w:rFonts w:cs="Times New Roman"/>
          <w:lang w:val="fr-CA"/>
        </w:rPr>
        <w:t>’</w:t>
      </w:r>
      <w:r w:rsidRPr="00442EE5">
        <w:rPr>
          <w:rFonts w:cs="Times New Roman"/>
          <w:lang w:val="fr-CA"/>
        </w:rPr>
        <w:t>abstenir d</w:t>
      </w:r>
      <w:r>
        <w:rPr>
          <w:rFonts w:cs="Times New Roman"/>
          <w:lang w:val="fr-CA"/>
        </w:rPr>
        <w:t>’</w:t>
      </w:r>
      <w:r w:rsidRPr="00442EE5">
        <w:rPr>
          <w:rFonts w:cs="Times New Roman"/>
          <w:lang w:val="fr-CA"/>
        </w:rPr>
        <w:t>apprécier le caractère suffisant du lien de rattachement au regard de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xml:space="preserve">, à moins que les parties ne le contestent expressément (voir, par analogie, </w:t>
      </w:r>
      <w:r w:rsidRPr="00442EE5">
        <w:rPr>
          <w:rFonts w:cs="Times New Roman"/>
          <w:i/>
          <w:lang w:val="fr-CA"/>
        </w:rPr>
        <w:t>Spar</w:t>
      </w:r>
      <w:r w:rsidRPr="00442EE5">
        <w:rPr>
          <w:rFonts w:cs="Times New Roman"/>
          <w:lang w:val="fr-CA"/>
        </w:rPr>
        <w:t>, par. 32).</w:t>
      </w:r>
    </w:p>
    <w:p w:rsidR="00AF6697" w:rsidRPr="00442EE5" w:rsidRDefault="00AF6697" w:rsidP="00AF6697">
      <w:pPr>
        <w:pStyle w:val="ParaNoNdepar-AltN"/>
        <w:rPr>
          <w:rFonts w:cs="Times New Roman"/>
          <w:lang w:val="fr-CA"/>
        </w:rPr>
      </w:pPr>
      <w:r w:rsidRPr="00442EE5">
        <w:rPr>
          <w:rFonts w:cs="Times New Roman"/>
          <w:lang w:val="fr-CA"/>
        </w:rPr>
        <w:t>Cette approche est conforme à la jurisprudence dominante à la Cour d</w:t>
      </w:r>
      <w:r>
        <w:rPr>
          <w:rFonts w:cs="Times New Roman"/>
          <w:lang w:val="fr-CA"/>
        </w:rPr>
        <w:t>’</w:t>
      </w:r>
      <w:r w:rsidRPr="00442EE5">
        <w:rPr>
          <w:rFonts w:cs="Times New Roman"/>
          <w:lang w:val="fr-CA"/>
        </w:rPr>
        <w:t>appel et celle</w:t>
      </w:r>
      <w:r w:rsidRPr="00442EE5">
        <w:rPr>
          <w:rFonts w:cs="Times New Roman"/>
          <w:lang w:val="fr-CA"/>
        </w:rPr>
        <w:noBreakHyphen/>
        <w:t xml:space="preserve">ci me paraît correcte (voir </w:t>
      </w:r>
      <w:r w:rsidRPr="00442EE5">
        <w:rPr>
          <w:rFonts w:cs="Times New Roman"/>
          <w:i/>
          <w:lang w:val="fr-CA"/>
        </w:rPr>
        <w:t>Zimmermann</w:t>
      </w:r>
      <w:r w:rsidRPr="00442EE5">
        <w:rPr>
          <w:rFonts w:cs="Times New Roman"/>
          <w:lang w:val="fr-CA"/>
        </w:rPr>
        <w:t>,</w:t>
      </w:r>
      <w:r w:rsidRPr="00442EE5">
        <w:rPr>
          <w:rFonts w:cs="Times New Roman"/>
          <w:i/>
          <w:lang w:val="fr-CA"/>
        </w:rPr>
        <w:t xml:space="preserve"> </w:t>
      </w:r>
      <w:r w:rsidRPr="00442EE5">
        <w:rPr>
          <w:rFonts w:cs="Times New Roman"/>
          <w:lang w:val="fr-CA"/>
        </w:rPr>
        <w:t xml:space="preserve">par. 12; </w:t>
      </w:r>
      <w:r w:rsidRPr="00442EE5">
        <w:rPr>
          <w:rFonts w:cs="Times New Roman"/>
          <w:i/>
          <w:lang w:val="fr-CA"/>
        </w:rPr>
        <w:t>Heerema</w:t>
      </w:r>
      <w:r w:rsidRPr="00442EE5">
        <w:rPr>
          <w:rFonts w:cs="Times New Roman"/>
          <w:lang w:val="fr-CA"/>
        </w:rPr>
        <w:t>,</w:t>
      </w:r>
      <w:r w:rsidRPr="00442EE5">
        <w:rPr>
          <w:rFonts w:cs="Times New Roman"/>
          <w:i/>
          <w:lang w:val="fr-CA"/>
        </w:rPr>
        <w:t xml:space="preserve"> </w:t>
      </w:r>
      <w:r w:rsidRPr="00442EE5">
        <w:rPr>
          <w:rFonts w:cs="Times New Roman"/>
          <w:lang w:val="fr-CA"/>
        </w:rPr>
        <w:t xml:space="preserve">par. 23 et 26; </w:t>
      </w:r>
      <w:r w:rsidRPr="00442EE5">
        <w:rPr>
          <w:rFonts w:cs="Times New Roman"/>
          <w:i/>
          <w:lang w:val="fr-CA"/>
        </w:rPr>
        <w:t>Hocking c. Haziza</w:t>
      </w:r>
      <w:r w:rsidRPr="00442EE5">
        <w:rPr>
          <w:rFonts w:cs="Times New Roman"/>
          <w:lang w:val="fr-CA"/>
        </w:rPr>
        <w:t>, 20</w:t>
      </w:r>
      <w:r w:rsidR="004527AC">
        <w:rPr>
          <w:rFonts w:cs="Times New Roman"/>
          <w:lang w:val="fr-CA"/>
        </w:rPr>
        <w:t xml:space="preserve">08 QCCA 800, </w:t>
      </w:r>
      <w:r w:rsidRPr="00442EE5">
        <w:rPr>
          <w:rFonts w:cs="Times New Roman"/>
          <w:lang w:val="fr-CA"/>
        </w:rPr>
        <w:t>par. 181</w:t>
      </w:r>
      <w:r w:rsidRPr="00442EE5">
        <w:rPr>
          <w:rFonts w:cs="Times New Roman"/>
          <w:lang w:val="fr-CA"/>
        </w:rPr>
        <w:noBreakHyphen/>
        <w:t xml:space="preserve">187 et 199 (CanLII); voir </w:t>
      </w:r>
      <w:r w:rsidRPr="00442EE5">
        <w:rPr>
          <w:rFonts w:cs="Times New Roman"/>
          <w:lang w:val="fr-CA"/>
        </w:rPr>
        <w:lastRenderedPageBreak/>
        <w:t xml:space="preserve">également </w:t>
      </w:r>
      <w:r w:rsidRPr="00442EE5">
        <w:rPr>
          <w:rFonts w:cs="Times New Roman"/>
          <w:i/>
          <w:lang w:val="fr-CA"/>
        </w:rPr>
        <w:t>Jules Jordan Video inc. c. 144942 Canada inc.</w:t>
      </w:r>
      <w:r w:rsidRPr="00442EE5">
        <w:rPr>
          <w:rFonts w:cs="Times New Roman"/>
          <w:lang w:val="fr-CA"/>
        </w:rPr>
        <w:t>, 2014 QCCS 3343,</w:t>
      </w:r>
      <w:r w:rsidRPr="00442EE5">
        <w:rPr>
          <w:rFonts w:cs="Times New Roman"/>
          <w:i/>
          <w:lang w:val="fr-CA"/>
        </w:rPr>
        <w:t xml:space="preserve"> </w:t>
      </w:r>
      <w:r w:rsidRPr="00442EE5">
        <w:rPr>
          <w:rFonts w:cs="Times New Roman"/>
          <w:lang w:val="fr-CA"/>
        </w:rPr>
        <w:t>par. 54</w:t>
      </w:r>
      <w:r w:rsidRPr="00442EE5">
        <w:rPr>
          <w:rFonts w:cs="Times New Roman"/>
          <w:lang w:val="fr-CA"/>
        </w:rPr>
        <w:noBreakHyphen/>
        <w:t>55</w:t>
      </w:r>
      <w:r w:rsidR="00A20C90">
        <w:rPr>
          <w:rFonts w:cs="Times New Roman"/>
          <w:lang w:val="fr-CA"/>
        </w:rPr>
        <w:t xml:space="preserve"> (CanLII)</w:t>
      </w:r>
      <w:r w:rsidRPr="00442EE5">
        <w:rPr>
          <w:rFonts w:cs="Times New Roman"/>
          <w:lang w:val="fr-CA"/>
        </w:rPr>
        <w:t xml:space="preserve">; </w:t>
      </w:r>
      <w:r w:rsidRPr="00442EE5">
        <w:rPr>
          <w:rFonts w:cs="Times New Roman"/>
          <w:i/>
          <w:lang w:val="fr-CA"/>
        </w:rPr>
        <w:t>Cortas Canning</w:t>
      </w:r>
      <w:r w:rsidRPr="00442EE5">
        <w:rPr>
          <w:rFonts w:cs="Times New Roman"/>
          <w:lang w:val="fr-CA"/>
        </w:rPr>
        <w:t>, p. 1233</w:t>
      </w:r>
      <w:r w:rsidRPr="00442EE5">
        <w:rPr>
          <w:rFonts w:cs="Times New Roman"/>
          <w:lang w:val="fr-CA"/>
        </w:rPr>
        <w:noBreakHyphen/>
        <w:t>1234 et 1236</w:t>
      </w:r>
      <w:r w:rsidRPr="00442EE5">
        <w:rPr>
          <w:rFonts w:cs="Times New Roman"/>
          <w:lang w:val="fr-CA"/>
        </w:rPr>
        <w:noBreakHyphen/>
        <w:t xml:space="preserve">1237; Emanuelli, </w:t>
      </w:r>
      <w:r w:rsidR="004527AC">
        <w:rPr>
          <w:rFonts w:cs="Times New Roman"/>
          <w:lang w:val="fr-CA"/>
        </w:rPr>
        <w:t>n</w:t>
      </w:r>
      <w:r w:rsidR="004527AC" w:rsidRPr="004527AC">
        <w:rPr>
          <w:rFonts w:cs="Times New Roman"/>
          <w:vertAlign w:val="superscript"/>
          <w:lang w:val="fr-CA"/>
        </w:rPr>
        <w:t>o</w:t>
      </w:r>
      <w:r w:rsidRPr="00442EE5">
        <w:rPr>
          <w:rFonts w:cs="Times New Roman"/>
          <w:lang w:val="fr-CA"/>
        </w:rPr>
        <w:t> 290).</w:t>
      </w:r>
    </w:p>
    <w:p w:rsidR="00AF6697" w:rsidRPr="00442EE5" w:rsidRDefault="00AF6697" w:rsidP="00AF6697">
      <w:pPr>
        <w:pStyle w:val="ParaNoNdepar-AltN"/>
        <w:rPr>
          <w:rFonts w:cs="Times New Roman"/>
          <w:lang w:val="fr-CA"/>
        </w:rPr>
      </w:pPr>
      <w:r w:rsidRPr="00442EE5">
        <w:rPr>
          <w:rFonts w:cs="Times New Roman"/>
          <w:lang w:val="fr-CA"/>
        </w:rPr>
        <w:t>Le fait d</w:t>
      </w:r>
      <w:r>
        <w:rPr>
          <w:rFonts w:cs="Times New Roman"/>
          <w:lang w:val="fr-CA"/>
        </w:rPr>
        <w:t>’</w:t>
      </w:r>
      <w:r w:rsidRPr="00442EE5">
        <w:rPr>
          <w:rFonts w:cs="Times New Roman"/>
          <w:lang w:val="fr-CA"/>
        </w:rPr>
        <w:t>exiger que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 rattachement important entre le litige et l</w:t>
      </w:r>
      <w:r>
        <w:rPr>
          <w:rFonts w:cs="Times New Roman"/>
          <w:lang w:val="fr-CA"/>
        </w:rPr>
        <w:t>’</w:t>
      </w:r>
      <w:r w:rsidRPr="00442EE5">
        <w:rPr>
          <w:rFonts w:cs="Times New Roman"/>
          <w:lang w:val="fr-CA"/>
        </w:rPr>
        <w:t>État étranger soit démontrée même lorsque l</w:t>
      </w:r>
      <w:r>
        <w:rPr>
          <w:rFonts w:cs="Times New Roman"/>
          <w:lang w:val="fr-CA"/>
        </w:rPr>
        <w:t>’</w:t>
      </w:r>
      <w:r w:rsidRPr="00442EE5">
        <w:rPr>
          <w:rFonts w:cs="Times New Roman"/>
          <w:lang w:val="fr-CA"/>
        </w:rPr>
        <w:t xml:space="preserve">art. 3168 </w:t>
      </w:r>
      <w:r w:rsidRPr="00442EE5">
        <w:rPr>
          <w:rFonts w:cs="Times New Roman"/>
          <w:i/>
          <w:lang w:val="fr-CA"/>
        </w:rPr>
        <w:t>C.c.Q.</w:t>
      </w:r>
      <w:r w:rsidRPr="00442EE5">
        <w:rPr>
          <w:rFonts w:cs="Times New Roman"/>
          <w:lang w:val="fr-CA"/>
        </w:rPr>
        <w:t xml:space="preserve"> s</w:t>
      </w:r>
      <w:r>
        <w:rPr>
          <w:rFonts w:cs="Times New Roman"/>
          <w:lang w:val="fr-CA"/>
        </w:rPr>
        <w:t>’</w:t>
      </w:r>
      <w:r w:rsidRPr="00442EE5">
        <w:rPr>
          <w:rFonts w:cs="Times New Roman"/>
          <w:lang w:val="fr-CA"/>
        </w:rPr>
        <w:t>applique est compatible avec le libellé, le contexte et l</w:t>
      </w:r>
      <w:r>
        <w:rPr>
          <w:rFonts w:cs="Times New Roman"/>
          <w:lang w:val="fr-CA"/>
        </w:rPr>
        <w:t>’</w:t>
      </w:r>
      <w:r w:rsidRPr="00442EE5">
        <w:rPr>
          <w:rFonts w:cs="Times New Roman"/>
          <w:lang w:val="fr-CA"/>
        </w:rPr>
        <w:t>objet de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ainsi qu</w:t>
      </w:r>
      <w:r>
        <w:rPr>
          <w:rFonts w:cs="Times New Roman"/>
          <w:lang w:val="fr-CA"/>
        </w:rPr>
        <w:t>’</w:t>
      </w:r>
      <w:r w:rsidRPr="00442EE5">
        <w:rPr>
          <w:rFonts w:cs="Times New Roman"/>
          <w:lang w:val="fr-CA"/>
        </w:rPr>
        <w:t>avec le principe de courtoisie et les valeurs d</w:t>
      </w:r>
      <w:r>
        <w:rPr>
          <w:rFonts w:cs="Times New Roman"/>
          <w:lang w:val="fr-CA"/>
        </w:rPr>
        <w:t>’</w:t>
      </w:r>
      <w:r w:rsidRPr="00442EE5">
        <w:rPr>
          <w:rFonts w:cs="Times New Roman"/>
          <w:lang w:val="fr-CA"/>
        </w:rPr>
        <w:t>ordre et d</w:t>
      </w:r>
      <w:r>
        <w:rPr>
          <w:rFonts w:cs="Times New Roman"/>
          <w:lang w:val="fr-CA"/>
        </w:rPr>
        <w:t>’</w:t>
      </w:r>
      <w:r w:rsidRPr="00442EE5">
        <w:rPr>
          <w:rFonts w:cs="Times New Roman"/>
          <w:lang w:val="fr-CA"/>
        </w:rPr>
        <w:t>équité qui sous</w:t>
      </w:r>
      <w:r w:rsidRPr="00442EE5">
        <w:rPr>
          <w:rFonts w:cs="Times New Roman"/>
          <w:lang w:val="fr-CA"/>
        </w:rPr>
        <w:noBreakHyphen/>
        <w:t xml:space="preserve">tendent les règles de droit international privé (voir </w:t>
      </w:r>
      <w:r w:rsidRPr="00442EE5">
        <w:rPr>
          <w:rFonts w:cs="Times New Roman"/>
          <w:i/>
          <w:lang w:val="fr-CA"/>
        </w:rPr>
        <w:t>Spar</w:t>
      </w:r>
      <w:r w:rsidRPr="00442EE5">
        <w:rPr>
          <w:rFonts w:cs="Times New Roman"/>
          <w:lang w:val="fr-CA"/>
        </w:rPr>
        <w:t>, par. 20</w:t>
      </w:r>
      <w:r w:rsidRPr="00442EE5">
        <w:rPr>
          <w:rFonts w:cs="Times New Roman"/>
          <w:lang w:val="fr-CA"/>
        </w:rPr>
        <w:noBreakHyphen/>
        <w:t xml:space="preserve">23; </w:t>
      </w:r>
      <w:r w:rsidRPr="00442EE5">
        <w:rPr>
          <w:rFonts w:cs="Times New Roman"/>
          <w:i/>
          <w:lang w:val="fr-CA"/>
        </w:rPr>
        <w:t>GreCon Dimter inc. c. J.R. Normand inc.</w:t>
      </w:r>
      <w:r w:rsidRPr="00442EE5">
        <w:rPr>
          <w:rFonts w:cs="Times New Roman"/>
          <w:lang w:val="fr-CA"/>
        </w:rPr>
        <w:t xml:space="preserve">, 2005 CSC 46, [2005] 2 R.C.S. 401, par. 19). Cette exigence trouve également appui dans les arrêts </w:t>
      </w:r>
      <w:r w:rsidRPr="00442EE5">
        <w:rPr>
          <w:rFonts w:cs="Times New Roman"/>
          <w:i/>
          <w:lang w:val="fr-CA"/>
        </w:rPr>
        <w:t>Spar</w:t>
      </w:r>
      <w:r w:rsidRPr="00442EE5">
        <w:rPr>
          <w:rFonts w:cs="Times New Roman"/>
          <w:lang w:val="fr-CA"/>
        </w:rPr>
        <w:t xml:space="preserve"> et </w:t>
      </w:r>
      <w:r w:rsidRPr="00442EE5">
        <w:rPr>
          <w:rFonts w:cs="Times New Roman"/>
          <w:i/>
          <w:lang w:val="fr-CA"/>
        </w:rPr>
        <w:t>Lépine</w:t>
      </w:r>
      <w:r w:rsidRPr="00442EE5">
        <w:rPr>
          <w:rFonts w:cs="Times New Roman"/>
          <w:lang w:val="fr-CA"/>
        </w:rPr>
        <w:t xml:space="preserve"> de notre Cour.</w:t>
      </w:r>
      <w:r w:rsidRPr="00442EE5">
        <w:rPr>
          <w:rFonts w:eastAsia="Times New Roman" w:cs="Times New Roman"/>
          <w:szCs w:val="24"/>
          <w:lang w:val="fr-CA" w:eastAsia="en-CA"/>
        </w:rPr>
        <w:t xml:space="preserve"> De plus</w:t>
      </w:r>
      <w:r w:rsidRPr="00442EE5">
        <w:rPr>
          <w:rFonts w:cs="Times New Roman"/>
          <w:lang w:val="fr-CA"/>
        </w:rPr>
        <w:t>, et contrairement à ce que semble suggérer mon collègue le juge Brown (au par. 152), l</w:t>
      </w:r>
      <w:r>
        <w:rPr>
          <w:rFonts w:cs="Times New Roman"/>
          <w:lang w:val="fr-CA"/>
        </w:rPr>
        <w:t>’</w:t>
      </w:r>
      <w:r w:rsidRPr="00442EE5">
        <w:rPr>
          <w:rFonts w:cs="Times New Roman"/>
          <w:lang w:val="fr-CA"/>
        </w:rPr>
        <w:t>approche que j</w:t>
      </w:r>
      <w:r>
        <w:rPr>
          <w:rFonts w:cs="Times New Roman"/>
          <w:lang w:val="fr-CA"/>
        </w:rPr>
        <w:t>’</w:t>
      </w:r>
      <w:r w:rsidRPr="00442EE5">
        <w:rPr>
          <w:rFonts w:cs="Times New Roman"/>
          <w:lang w:val="fr-CA"/>
        </w:rPr>
        <w:t>adopte ne repose pas sur une invention jurisprudentielle récente, mais bien sur une interprétation exprimée dès l</w:t>
      </w:r>
      <w:r>
        <w:rPr>
          <w:rFonts w:cs="Times New Roman"/>
          <w:lang w:val="fr-CA"/>
        </w:rPr>
        <w:t>’</w:t>
      </w:r>
      <w:r w:rsidRPr="00442EE5">
        <w:rPr>
          <w:rFonts w:cs="Times New Roman"/>
          <w:lang w:val="fr-CA"/>
        </w:rPr>
        <w:t xml:space="preserve">adoption du nouveau </w:t>
      </w:r>
      <w:r w:rsidRPr="00442EE5">
        <w:rPr>
          <w:rFonts w:cs="Times New Roman"/>
          <w:i/>
          <w:lang w:val="fr-CA"/>
        </w:rPr>
        <w:t>C.c.Q.</w:t>
      </w:r>
      <w:r w:rsidRPr="00442EE5">
        <w:rPr>
          <w:rFonts w:cs="Times New Roman"/>
          <w:lang w:val="fr-CA"/>
        </w:rPr>
        <w:t xml:space="preserve"> (voir Talpis et Castel, par. 485).</w:t>
      </w:r>
    </w:p>
    <w:p w:rsidR="00AF6697" w:rsidRPr="00442EE5" w:rsidRDefault="00AF6697" w:rsidP="00AF6697">
      <w:pPr>
        <w:pStyle w:val="Title3LevelTitre3Niveau"/>
        <w:numPr>
          <w:ilvl w:val="2"/>
          <w:numId w:val="4"/>
        </w:numPr>
        <w:jc w:val="both"/>
        <w:rPr>
          <w:rFonts w:cs="Times New Roman"/>
          <w:i/>
          <w:lang w:val="fr-CA"/>
        </w:rPr>
      </w:pPr>
      <w:r w:rsidRPr="00442EE5">
        <w:rPr>
          <w:rFonts w:cs="Times New Roman"/>
          <w:lang w:val="fr-CA"/>
        </w:rPr>
        <w:t>Le libellé, le contexte et l</w:t>
      </w:r>
      <w:r>
        <w:rPr>
          <w:rFonts w:cs="Times New Roman"/>
          <w:lang w:val="fr-CA"/>
        </w:rPr>
        <w:t>’</w:t>
      </w:r>
      <w:r w:rsidRPr="00442EE5">
        <w:rPr>
          <w:rFonts w:cs="Times New Roman"/>
          <w:lang w:val="fr-CA"/>
        </w:rPr>
        <w:t>objet de l</w:t>
      </w:r>
      <w:r>
        <w:rPr>
          <w:rFonts w:cs="Times New Roman"/>
          <w:lang w:val="fr-CA"/>
        </w:rPr>
        <w:t>’</w:t>
      </w:r>
      <w:r w:rsidRPr="00442EE5">
        <w:rPr>
          <w:rFonts w:cs="Times New Roman"/>
          <w:lang w:val="fr-CA"/>
        </w:rPr>
        <w:t>art</w:t>
      </w:r>
      <w:r w:rsidR="005F4E7E">
        <w:rPr>
          <w:rFonts w:cs="Times New Roman"/>
          <w:lang w:val="fr-CA"/>
        </w:rPr>
        <w:t>.</w:t>
      </w:r>
      <w:r w:rsidR="00C45A79">
        <w:rPr>
          <w:rFonts w:cs="Times New Roman"/>
          <w:lang w:val="fr-CA"/>
        </w:rPr>
        <w:t xml:space="preserve"> </w:t>
      </w:r>
      <w:r w:rsidRPr="00442EE5">
        <w:rPr>
          <w:rFonts w:cs="Times New Roman"/>
          <w:lang w:val="fr-CA"/>
        </w:rPr>
        <w:t xml:space="preserve">3164 </w:t>
      </w:r>
      <w:r w:rsidRPr="00442EE5">
        <w:rPr>
          <w:rFonts w:cs="Times New Roman"/>
          <w:i/>
          <w:lang w:val="fr-CA"/>
        </w:rPr>
        <w:t>C.c.Q.</w:t>
      </w:r>
    </w:p>
    <w:p w:rsidR="00AF6697" w:rsidRPr="00442EE5" w:rsidRDefault="00AF6697" w:rsidP="00AF6697">
      <w:pPr>
        <w:pStyle w:val="ParaNoNdepar-AltN"/>
        <w:rPr>
          <w:rFonts w:cs="Times New Roman"/>
          <w:lang w:val="fr-CA"/>
        </w:rPr>
      </w:pPr>
      <w:r w:rsidRPr="00442EE5">
        <w:rPr>
          <w:rFonts w:cs="Times New Roman"/>
          <w:lang w:val="fr-CA"/>
        </w:rPr>
        <w:t>Tout d</w:t>
      </w:r>
      <w:r>
        <w:rPr>
          <w:rFonts w:cs="Times New Roman"/>
          <w:lang w:val="fr-CA"/>
        </w:rPr>
        <w:t>’</w:t>
      </w:r>
      <w:r w:rsidRPr="00442EE5">
        <w:rPr>
          <w:rFonts w:cs="Times New Roman"/>
          <w:lang w:val="fr-CA"/>
        </w:rPr>
        <w:t>abord, il convient de rappeler que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xml:space="preserve"> est le premier article, et la disposition clé, du chapitre du </w:t>
      </w:r>
      <w:r w:rsidRPr="00442EE5">
        <w:rPr>
          <w:rFonts w:cs="Times New Roman"/>
          <w:i/>
          <w:lang w:val="fr-CA"/>
        </w:rPr>
        <w:t>C.c.Q.</w:t>
      </w:r>
      <w:r w:rsidRPr="00442EE5">
        <w:rPr>
          <w:rFonts w:cs="Times New Roman"/>
          <w:lang w:val="fr-CA"/>
        </w:rPr>
        <w:t xml:space="preserve"> qui énonce les règles applicables à la compétence des autorités étrangères. Il établit le principe général de la réciprocité, ou du « miroir », selon lequel la compétence des autorités étrangères est établie suivant les règles de compétence applicables aux autorités québécoises en vertu du titre troisième (</w:t>
      </w:r>
      <w:r w:rsidRPr="00442EE5">
        <w:rPr>
          <w:rFonts w:cs="Times New Roman"/>
          <w:i/>
          <w:lang w:val="fr-CA"/>
        </w:rPr>
        <w:t>Lépine</w:t>
      </w:r>
      <w:r w:rsidRPr="00442EE5">
        <w:rPr>
          <w:rFonts w:cs="Times New Roman"/>
          <w:lang w:val="fr-CA"/>
        </w:rPr>
        <w:t>, par. 25).</w:t>
      </w:r>
    </w:p>
    <w:p w:rsidR="00AF6697" w:rsidRPr="00442EE5" w:rsidRDefault="00AF6697" w:rsidP="00AF6697">
      <w:pPr>
        <w:pStyle w:val="ParaNoNdepar-AltN"/>
        <w:rPr>
          <w:rFonts w:cs="Times New Roman"/>
          <w:lang w:val="fr-CA"/>
        </w:rPr>
      </w:pPr>
      <w:r w:rsidRPr="00442EE5">
        <w:rPr>
          <w:rFonts w:cs="Times New Roman"/>
          <w:lang w:val="fr-CA"/>
        </w:rPr>
        <w:t>À ce principe général de la réciprocité,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ajoute une exigence supplémentaire (</w:t>
      </w:r>
      <w:r w:rsidRPr="00442EE5">
        <w:rPr>
          <w:rFonts w:cs="Times New Roman"/>
          <w:i/>
          <w:lang w:val="fr-CA"/>
        </w:rPr>
        <w:t>Lépine</w:t>
      </w:r>
      <w:r w:rsidRPr="00442EE5">
        <w:rPr>
          <w:rFonts w:cs="Times New Roman"/>
          <w:lang w:val="fr-CA"/>
        </w:rPr>
        <w:t xml:space="preserve">, par. 25; </w:t>
      </w:r>
      <w:r w:rsidRPr="00442EE5">
        <w:rPr>
          <w:rFonts w:cs="Times New Roman"/>
          <w:i/>
          <w:lang w:val="fr-CA"/>
        </w:rPr>
        <w:t>Spar</w:t>
      </w:r>
      <w:r w:rsidRPr="00442EE5">
        <w:rPr>
          <w:rFonts w:cs="Times New Roman"/>
          <w:lang w:val="fr-CA"/>
        </w:rPr>
        <w:t>, par. 62). Le litige doit « se rattache[r] d</w:t>
      </w:r>
      <w:r>
        <w:rPr>
          <w:rFonts w:cs="Times New Roman"/>
          <w:lang w:val="fr-CA"/>
        </w:rPr>
        <w:t>’</w:t>
      </w:r>
      <w:r w:rsidRPr="00442EE5">
        <w:rPr>
          <w:rFonts w:cs="Times New Roman"/>
          <w:lang w:val="fr-CA"/>
        </w:rPr>
        <w:t>une façon importante » à l</w:t>
      </w:r>
      <w:r>
        <w:rPr>
          <w:rFonts w:cs="Times New Roman"/>
          <w:lang w:val="fr-CA"/>
        </w:rPr>
        <w:t>’</w:t>
      </w:r>
      <w:r w:rsidRPr="00442EE5">
        <w:rPr>
          <w:rFonts w:cs="Times New Roman"/>
          <w:lang w:val="fr-CA"/>
        </w:rPr>
        <w:t>État étranger dont l</w:t>
      </w:r>
      <w:r>
        <w:rPr>
          <w:rFonts w:cs="Times New Roman"/>
          <w:lang w:val="fr-CA"/>
        </w:rPr>
        <w:t>’</w:t>
      </w:r>
      <w:r w:rsidRPr="00442EE5">
        <w:rPr>
          <w:rFonts w:cs="Times New Roman"/>
          <w:lang w:val="fr-CA"/>
        </w:rPr>
        <w:t>autorité a été saisie :</w:t>
      </w:r>
    </w:p>
    <w:p w:rsidR="00AF6697" w:rsidRPr="00442EE5" w:rsidRDefault="00AF6697" w:rsidP="00AF6697">
      <w:pPr>
        <w:pStyle w:val="Citation-AltC"/>
        <w:spacing w:after="240"/>
        <w:ind w:left="1168" w:hanging="1168"/>
        <w:contextualSpacing w:val="0"/>
        <w:rPr>
          <w:lang w:val="fr-CA"/>
        </w:rPr>
      </w:pPr>
      <w:r>
        <w:rPr>
          <w:lang w:val="fr-CA"/>
        </w:rPr>
        <w:lastRenderedPageBreak/>
        <w:tab/>
      </w:r>
      <w:r w:rsidRPr="00442EE5">
        <w:rPr>
          <w:lang w:val="fr-CA"/>
        </w:rPr>
        <w:t xml:space="preserve">La compétence des autorités étrangères est établie suivant les règles de compétence applicables aux autorités québécoises en vertu du titre troisième du présent livre </w:t>
      </w:r>
      <w:r w:rsidRPr="00442EE5">
        <w:rPr>
          <w:u w:val="single"/>
          <w:lang w:val="fr-CA"/>
        </w:rPr>
        <w:t>dans la mesure où le litige se rattache d</w:t>
      </w:r>
      <w:r>
        <w:rPr>
          <w:u w:val="single"/>
          <w:lang w:val="fr-CA"/>
        </w:rPr>
        <w:t>’</w:t>
      </w:r>
      <w:r w:rsidRPr="00442EE5">
        <w:rPr>
          <w:u w:val="single"/>
          <w:lang w:val="fr-CA"/>
        </w:rPr>
        <w:t>une façon importante à l</w:t>
      </w:r>
      <w:r>
        <w:rPr>
          <w:u w:val="single"/>
          <w:lang w:val="fr-CA"/>
        </w:rPr>
        <w:t>’</w:t>
      </w:r>
      <w:r w:rsidRPr="00442EE5">
        <w:rPr>
          <w:u w:val="single"/>
          <w:lang w:val="fr-CA"/>
        </w:rPr>
        <w:t>État dont l</w:t>
      </w:r>
      <w:r>
        <w:rPr>
          <w:u w:val="single"/>
          <w:lang w:val="fr-CA"/>
        </w:rPr>
        <w:t>’</w:t>
      </w:r>
      <w:r w:rsidRPr="00442EE5">
        <w:rPr>
          <w:u w:val="single"/>
          <w:lang w:val="fr-CA"/>
        </w:rPr>
        <w:t>autorité a été saisie</w:t>
      </w:r>
      <w:r w:rsidRPr="00442EE5">
        <w:rPr>
          <w:lang w:val="fr-CA"/>
        </w:rPr>
        <w:t>.</w:t>
      </w:r>
    </w:p>
    <w:p w:rsidR="00AF6697" w:rsidRPr="00442EE5" w:rsidRDefault="00AF6697" w:rsidP="00AF6697">
      <w:pPr>
        <w:pStyle w:val="Citation-AltC"/>
        <w:ind w:hanging="1166"/>
        <w:rPr>
          <w:lang w:val="fr-CA"/>
        </w:rPr>
      </w:pPr>
      <w:r w:rsidRPr="00442EE5">
        <w:rPr>
          <w:lang w:val="fr-CA"/>
        </w:rPr>
        <w:t xml:space="preserve">(art. 3164 </w:t>
      </w:r>
      <w:r w:rsidRPr="00442EE5">
        <w:rPr>
          <w:i/>
          <w:lang w:val="fr-CA"/>
        </w:rPr>
        <w:t>C.c.Q.</w:t>
      </w:r>
      <w:r w:rsidRPr="00442EE5">
        <w:rPr>
          <w:lang w:val="fr-CA"/>
        </w:rPr>
        <w:t>)</w:t>
      </w:r>
    </w:p>
    <w:p w:rsidR="00AF6697" w:rsidRPr="00442EE5" w:rsidRDefault="00AF6697" w:rsidP="00AF6697">
      <w:pPr>
        <w:pStyle w:val="ParaNoNdepar-AltN"/>
        <w:rPr>
          <w:rFonts w:cs="Times New Roman"/>
          <w:lang w:val="fr-CA"/>
        </w:rPr>
      </w:pPr>
      <w:r w:rsidRPr="00442EE5">
        <w:rPr>
          <w:rFonts w:cs="Times New Roman"/>
          <w:lang w:val="fr-CA"/>
        </w:rPr>
        <w:t xml:space="preserve">Les dispositions suivantes de ce chapitre, les art. 3165 à 3168 </w:t>
      </w:r>
      <w:r w:rsidRPr="00442EE5">
        <w:rPr>
          <w:rFonts w:cs="Times New Roman"/>
          <w:i/>
          <w:lang w:val="fr-CA"/>
        </w:rPr>
        <w:t>C.c.Q.</w:t>
      </w:r>
      <w:r w:rsidRPr="00442EE5">
        <w:rPr>
          <w:rFonts w:cs="Times New Roman"/>
          <w:lang w:val="fr-CA"/>
        </w:rPr>
        <w:t>, complètent ou précisent ensuite le principe général de la réciprocité en élargissant ou en limitant les motifs de reconnaissance des décisions étrangères. Comme l</w:t>
      </w:r>
      <w:r>
        <w:rPr>
          <w:rFonts w:cs="Times New Roman"/>
          <w:lang w:val="fr-CA"/>
        </w:rPr>
        <w:t>’</w:t>
      </w:r>
      <w:r w:rsidR="00FB303A">
        <w:rPr>
          <w:rFonts w:cs="Times New Roman"/>
          <w:lang w:val="fr-CA"/>
        </w:rPr>
        <w:t xml:space="preserve">explique le professeur H. P. </w:t>
      </w:r>
      <w:r w:rsidRPr="00442EE5">
        <w:rPr>
          <w:rFonts w:cs="Times New Roman"/>
          <w:lang w:val="fr-CA"/>
        </w:rPr>
        <w:t xml:space="preserve">Glenn, « le principe du miroir est ajusté, mais non écarté nécessairement » (« Droit international privé », dans </w:t>
      </w:r>
      <w:r w:rsidRPr="00442EE5">
        <w:rPr>
          <w:rFonts w:cs="Times New Roman"/>
          <w:i/>
          <w:lang w:val="fr-CA"/>
        </w:rPr>
        <w:t>La réforme du Code civil</w:t>
      </w:r>
      <w:r w:rsidRPr="00442EE5">
        <w:rPr>
          <w:rFonts w:cs="Times New Roman"/>
          <w:lang w:val="fr-CA"/>
        </w:rPr>
        <w:t xml:space="preserve"> (1993), </w:t>
      </w:r>
      <w:r w:rsidR="00E531BB">
        <w:rPr>
          <w:rFonts w:cs="Times New Roman"/>
          <w:lang w:val="fr-CA"/>
        </w:rPr>
        <w:t>t</w:t>
      </w:r>
      <w:r w:rsidRPr="00442EE5">
        <w:rPr>
          <w:rFonts w:cs="Times New Roman"/>
          <w:lang w:val="fr-CA"/>
        </w:rPr>
        <w:t>. 3, 669, p. 770). En ce qui concerne les actions personnelles à caractère patrimonial, par exemple, l</w:t>
      </w:r>
      <w:r>
        <w:rPr>
          <w:rFonts w:cs="Times New Roman"/>
          <w:lang w:val="fr-CA"/>
        </w:rPr>
        <w:t>’</w:t>
      </w:r>
      <w:r w:rsidRPr="00442EE5">
        <w:rPr>
          <w:rFonts w:cs="Times New Roman"/>
          <w:lang w:val="fr-CA"/>
        </w:rPr>
        <w:t xml:space="preserve">art. 3168 </w:t>
      </w:r>
      <w:r w:rsidRPr="00442EE5">
        <w:rPr>
          <w:rFonts w:cs="Times New Roman"/>
          <w:i/>
          <w:lang w:val="fr-CA"/>
        </w:rPr>
        <w:t>C.c.Q.</w:t>
      </w:r>
      <w:r w:rsidRPr="00442EE5">
        <w:rPr>
          <w:rFonts w:cs="Times New Roman"/>
          <w:lang w:val="fr-CA"/>
        </w:rPr>
        <w:t xml:space="preserve"> reproduit en grande partie les règles applicables aux tribunaux québécois en vertu de l</w:t>
      </w:r>
      <w:r>
        <w:rPr>
          <w:rFonts w:cs="Times New Roman"/>
          <w:lang w:val="fr-CA"/>
        </w:rPr>
        <w:t>’</w:t>
      </w:r>
      <w:r w:rsidRPr="00442EE5">
        <w:rPr>
          <w:rFonts w:cs="Times New Roman"/>
          <w:lang w:val="fr-CA"/>
        </w:rPr>
        <w:t xml:space="preserve">art. 3148 </w:t>
      </w:r>
      <w:r w:rsidRPr="00442EE5">
        <w:rPr>
          <w:rFonts w:cs="Times New Roman"/>
          <w:i/>
          <w:lang w:val="fr-CA"/>
        </w:rPr>
        <w:t>C.c.Q.</w:t>
      </w:r>
      <w:r w:rsidRPr="00442EE5">
        <w:rPr>
          <w:rFonts w:cs="Times New Roman"/>
          <w:lang w:val="fr-CA"/>
        </w:rPr>
        <w:t xml:space="preserve"> tout en restreignant la portée de certains facteurs de rattachement.</w:t>
      </w:r>
    </w:p>
    <w:p w:rsidR="00AF6697" w:rsidRPr="00442EE5" w:rsidRDefault="00AF6697" w:rsidP="00AF6697">
      <w:pPr>
        <w:pStyle w:val="ParaNoNdepar-AltN"/>
        <w:rPr>
          <w:rFonts w:cs="Times New Roman"/>
          <w:lang w:val="fr-CA"/>
        </w:rPr>
      </w:pPr>
      <w:r w:rsidRPr="00442EE5">
        <w:rPr>
          <w:rFonts w:cs="Times New Roman"/>
          <w:lang w:val="fr-CA"/>
        </w:rPr>
        <w:t>Je ne suis pas d</w:t>
      </w:r>
      <w:r>
        <w:rPr>
          <w:rFonts w:cs="Times New Roman"/>
          <w:lang w:val="fr-CA"/>
        </w:rPr>
        <w:t>’</w:t>
      </w:r>
      <w:r w:rsidRPr="00442EE5">
        <w:rPr>
          <w:rFonts w:cs="Times New Roman"/>
          <w:lang w:val="fr-CA"/>
        </w:rPr>
        <w:t>a</w:t>
      </w:r>
      <w:r>
        <w:rPr>
          <w:rFonts w:cs="Times New Roman"/>
          <w:lang w:val="fr-CA"/>
        </w:rPr>
        <w:t xml:space="preserve">ccord avec mon collègue le juge </w:t>
      </w:r>
      <w:r w:rsidRPr="00442EE5">
        <w:rPr>
          <w:rFonts w:cs="Times New Roman"/>
          <w:lang w:val="fr-CA"/>
        </w:rPr>
        <w:t>Brown pour dire que le libellé de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xml:space="preserve"> indique clairement que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 xml:space="preserve">un rattachement important doit être établie </w:t>
      </w:r>
      <w:r w:rsidRPr="00442EE5">
        <w:rPr>
          <w:rFonts w:cs="Times New Roman"/>
          <w:i/>
          <w:lang w:val="fr-CA"/>
        </w:rPr>
        <w:t xml:space="preserve">uniquement </w:t>
      </w:r>
      <w:r w:rsidRPr="00442EE5">
        <w:rPr>
          <w:rFonts w:cs="Times New Roman"/>
          <w:lang w:val="fr-CA"/>
        </w:rPr>
        <w:t>lorsque la compétence est fondée sur les dispositions du titre troisième (et peut</w:t>
      </w:r>
      <w:r w:rsidRPr="00442EE5">
        <w:rPr>
          <w:rFonts w:cs="Times New Roman"/>
          <w:lang w:val="fr-CA"/>
        </w:rPr>
        <w:noBreakHyphen/>
        <w:t>être uniquement sur les « Dispositions générales » de ce titre). À mon avis, la mention du titre troisième ne vise pas à limiter l</w:t>
      </w:r>
      <w:r>
        <w:rPr>
          <w:rFonts w:cs="Times New Roman"/>
          <w:lang w:val="fr-CA"/>
        </w:rPr>
        <w:t>’</w:t>
      </w:r>
      <w:r w:rsidRPr="00442EE5">
        <w:rPr>
          <w:rFonts w:cs="Times New Roman"/>
          <w:lang w:val="fr-CA"/>
        </w:rPr>
        <w:t>application de cette exigence fondamentale, mais simplement à exprimer le principe de la réciprocité qui sert de fondement au titre quatrième. Par conséquent, les dispositions subséquentes du titre quatrième ne remplacent pas, ni n</w:t>
      </w:r>
      <w:r>
        <w:rPr>
          <w:rFonts w:cs="Times New Roman"/>
          <w:lang w:val="fr-CA"/>
        </w:rPr>
        <w:t>’</w:t>
      </w:r>
      <w:r w:rsidRPr="00442EE5">
        <w:rPr>
          <w:rFonts w:cs="Times New Roman"/>
          <w:lang w:val="fr-CA"/>
        </w:rPr>
        <w:t>englobent complètement, l</w:t>
      </w:r>
      <w:r>
        <w:rPr>
          <w:rFonts w:cs="Times New Roman"/>
          <w:lang w:val="fr-CA"/>
        </w:rPr>
        <w:t>’</w:t>
      </w:r>
      <w:r w:rsidRPr="00442EE5">
        <w:rPr>
          <w:rFonts w:cs="Times New Roman"/>
          <w:lang w:val="fr-CA"/>
        </w:rPr>
        <w:t>exigence du rattachement important.</w:t>
      </w:r>
    </w:p>
    <w:p w:rsidR="00AF6697" w:rsidRPr="00442EE5" w:rsidRDefault="00AF6697" w:rsidP="00AF6697">
      <w:pPr>
        <w:pStyle w:val="ParaNoNdepar-AltN"/>
        <w:rPr>
          <w:rFonts w:cs="Times New Roman"/>
          <w:lang w:val="fr-CA"/>
        </w:rPr>
      </w:pPr>
      <w:r w:rsidRPr="00442EE5">
        <w:rPr>
          <w:rFonts w:cs="Times New Roman"/>
          <w:lang w:val="fr-CA"/>
        </w:rPr>
        <w:lastRenderedPageBreak/>
        <w:t>De plus, et contrairement à ce qu</w:t>
      </w:r>
      <w:r>
        <w:rPr>
          <w:rFonts w:cs="Times New Roman"/>
          <w:lang w:val="fr-CA"/>
        </w:rPr>
        <w:t>’</w:t>
      </w:r>
      <w:r w:rsidRPr="00442EE5">
        <w:rPr>
          <w:rFonts w:cs="Times New Roman"/>
          <w:lang w:val="fr-CA"/>
        </w:rPr>
        <w:t>affirme mon collègue (au par. 141), cette interprétation contextuelle du libellé de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xml:space="preserve"> ne revient pas à « récrire » la disposition. Dans l</w:t>
      </w:r>
      <w:r>
        <w:rPr>
          <w:rFonts w:cs="Times New Roman"/>
          <w:lang w:val="fr-CA"/>
        </w:rPr>
        <w:t>’</w:t>
      </w:r>
      <w:r w:rsidRPr="00442EE5">
        <w:rPr>
          <w:rFonts w:cs="Times New Roman"/>
          <w:lang w:val="fr-CA"/>
        </w:rPr>
        <w:t xml:space="preserve">arrêt </w:t>
      </w:r>
      <w:r w:rsidRPr="00442EE5">
        <w:rPr>
          <w:rFonts w:cs="Times New Roman"/>
          <w:i/>
          <w:lang w:val="fr-CA"/>
        </w:rPr>
        <w:t>Hocking</w:t>
      </w:r>
      <w:r w:rsidRPr="00442EE5">
        <w:rPr>
          <w:rFonts w:cs="Times New Roman"/>
          <w:lang w:val="fr-CA"/>
        </w:rPr>
        <w:t>, la juge Bich a bien expliqué le raisonnement qui sous</w:t>
      </w:r>
      <w:r w:rsidRPr="00442EE5">
        <w:rPr>
          <w:rFonts w:cs="Times New Roman"/>
          <w:lang w:val="fr-CA"/>
        </w:rPr>
        <w:noBreakHyphen/>
        <w:t>tend l</w:t>
      </w:r>
      <w:r>
        <w:rPr>
          <w:rFonts w:cs="Times New Roman"/>
          <w:lang w:val="fr-CA"/>
        </w:rPr>
        <w:t>’</w:t>
      </w:r>
      <w:r w:rsidRPr="00442EE5">
        <w:rPr>
          <w:rFonts w:cs="Times New Roman"/>
          <w:lang w:val="fr-CA"/>
        </w:rPr>
        <w:t>interprétation qui précède :</w:t>
      </w:r>
    </w:p>
    <w:p w:rsidR="00AF6697" w:rsidRPr="00442EE5" w:rsidRDefault="00AF6697" w:rsidP="00A66314">
      <w:pPr>
        <w:pStyle w:val="Citation-AltC"/>
        <w:tabs>
          <w:tab w:val="left" w:pos="1530"/>
        </w:tabs>
        <w:ind w:hanging="1166"/>
        <w:rPr>
          <w:lang w:val="fr-CA"/>
        </w:rPr>
      </w:pPr>
      <w:r w:rsidRPr="007A45D5">
        <w:rPr>
          <w:lang w:val="fr-CA"/>
        </w:rPr>
        <w:tab/>
      </w:r>
      <w:r w:rsidR="00A66314">
        <w:rPr>
          <w:lang w:val="fr-CA"/>
        </w:rPr>
        <w:tab/>
      </w:r>
      <w:r w:rsidRPr="00442EE5">
        <w:rPr>
          <w:u w:val="single"/>
          <w:lang w:val="fr-CA"/>
        </w:rPr>
        <w:t>L</w:t>
      </w:r>
      <w:r>
        <w:rPr>
          <w:u w:val="single"/>
          <w:lang w:val="fr-CA"/>
        </w:rPr>
        <w:t>’</w:t>
      </w:r>
      <w:r w:rsidR="00E531BB">
        <w:rPr>
          <w:u w:val="single"/>
          <w:lang w:val="fr-CA"/>
        </w:rPr>
        <w:t>article 3164 </w:t>
      </w:r>
      <w:r w:rsidR="00E531BB" w:rsidRPr="00E531BB">
        <w:rPr>
          <w:i/>
          <w:u w:val="single"/>
          <w:lang w:val="fr-CA"/>
        </w:rPr>
        <w:t>C.c</w:t>
      </w:r>
      <w:r w:rsidRPr="00E531BB">
        <w:rPr>
          <w:i/>
          <w:u w:val="single"/>
          <w:lang w:val="fr-CA"/>
        </w:rPr>
        <w:t xml:space="preserve">.Q. </w:t>
      </w:r>
      <w:r w:rsidRPr="00442EE5">
        <w:rPr>
          <w:u w:val="single"/>
          <w:lang w:val="fr-CA"/>
        </w:rPr>
        <w:t>se présente comme un principe général à double volet : la compétence des autorités étrangères est, d</w:t>
      </w:r>
      <w:r>
        <w:rPr>
          <w:u w:val="single"/>
          <w:lang w:val="fr-CA"/>
        </w:rPr>
        <w:t>’</w:t>
      </w:r>
      <w:r w:rsidRPr="00442EE5">
        <w:rPr>
          <w:u w:val="single"/>
          <w:lang w:val="fr-CA"/>
        </w:rPr>
        <w:t>une part, déterminée en fonction des règles du titre troisième mais, d</w:t>
      </w:r>
      <w:r>
        <w:rPr>
          <w:u w:val="single"/>
          <w:lang w:val="fr-CA"/>
        </w:rPr>
        <w:t>’</w:t>
      </w:r>
      <w:r w:rsidRPr="00442EE5">
        <w:rPr>
          <w:u w:val="single"/>
          <w:lang w:val="fr-CA"/>
        </w:rPr>
        <w:t>autre part, seulement « dans la mesure où le litige se rattache d</w:t>
      </w:r>
      <w:r>
        <w:rPr>
          <w:u w:val="single"/>
          <w:lang w:val="fr-CA"/>
        </w:rPr>
        <w:t>’</w:t>
      </w:r>
      <w:r w:rsidRPr="00442EE5">
        <w:rPr>
          <w:u w:val="single"/>
          <w:lang w:val="fr-CA"/>
        </w:rPr>
        <w:t>une façon importante à l</w:t>
      </w:r>
      <w:r>
        <w:rPr>
          <w:u w:val="single"/>
          <w:lang w:val="fr-CA"/>
        </w:rPr>
        <w:t>’</w:t>
      </w:r>
      <w:r w:rsidRPr="00442EE5">
        <w:rPr>
          <w:u w:val="single"/>
          <w:lang w:val="fr-CA"/>
        </w:rPr>
        <w:t>État dont l</w:t>
      </w:r>
      <w:r>
        <w:rPr>
          <w:u w:val="single"/>
          <w:lang w:val="fr-CA"/>
        </w:rPr>
        <w:t>’</w:t>
      </w:r>
      <w:r w:rsidRPr="00442EE5">
        <w:rPr>
          <w:u w:val="single"/>
          <w:lang w:val="fr-CA"/>
        </w:rPr>
        <w:t>autorité a été saisie »</w:t>
      </w:r>
      <w:r w:rsidRPr="00FB303A">
        <w:rPr>
          <w:u w:val="single"/>
          <w:lang w:val="fr-CA"/>
        </w:rPr>
        <w:t>.</w:t>
      </w:r>
      <w:r w:rsidRPr="00442EE5">
        <w:rPr>
          <w:lang w:val="fr-CA"/>
        </w:rPr>
        <w:t xml:space="preserve"> Ce second volet reflète les impératifs — désormais constitutionnels et, si l</w:t>
      </w:r>
      <w:r>
        <w:rPr>
          <w:lang w:val="fr-CA"/>
        </w:rPr>
        <w:t>’</w:t>
      </w:r>
      <w:r w:rsidRPr="00442EE5">
        <w:rPr>
          <w:lang w:val="fr-CA"/>
        </w:rPr>
        <w:t>on veut, catégoriques — reconnus dans l</w:t>
      </w:r>
      <w:r>
        <w:rPr>
          <w:lang w:val="fr-CA"/>
        </w:rPr>
        <w:t>’</w:t>
      </w:r>
      <w:r w:rsidRPr="00442EE5">
        <w:rPr>
          <w:lang w:val="fr-CA"/>
        </w:rPr>
        <w:t xml:space="preserve">arrêt </w:t>
      </w:r>
      <w:r w:rsidRPr="00442EE5">
        <w:rPr>
          <w:i/>
          <w:lang w:val="fr-CA"/>
        </w:rPr>
        <w:t>Morguard</w:t>
      </w:r>
      <w:r w:rsidRPr="00442EE5">
        <w:rPr>
          <w:lang w:val="fr-CA"/>
        </w:rPr>
        <w:t xml:space="preserve">, précité. </w:t>
      </w:r>
      <w:r w:rsidRPr="00442EE5">
        <w:rPr>
          <w:u w:val="single"/>
          <w:lang w:val="fr-CA"/>
        </w:rPr>
        <w:t>Quan</w:t>
      </w:r>
      <w:r w:rsidR="00E531BB">
        <w:rPr>
          <w:u w:val="single"/>
          <w:lang w:val="fr-CA"/>
        </w:rPr>
        <w:t>[</w:t>
      </w:r>
      <w:r w:rsidRPr="00442EE5">
        <w:rPr>
          <w:u w:val="single"/>
          <w:lang w:val="fr-CA"/>
        </w:rPr>
        <w:t>t</w:t>
      </w:r>
      <w:r w:rsidR="00E531BB">
        <w:rPr>
          <w:u w:val="single"/>
          <w:lang w:val="fr-CA"/>
        </w:rPr>
        <w:t>]</w:t>
      </w:r>
      <w:r w:rsidRPr="00442EE5">
        <w:rPr>
          <w:u w:val="single"/>
          <w:lang w:val="fr-CA"/>
        </w:rPr>
        <w:t xml:space="preserve"> au premier volet, il arrivera que, par exception, précision ou restriction, il soit complété ou remplacé, cédant alors le </w:t>
      </w:r>
      <w:r w:rsidR="00E531BB">
        <w:rPr>
          <w:u w:val="single"/>
          <w:lang w:val="fr-CA"/>
        </w:rPr>
        <w:t xml:space="preserve">pas aux articles 3165 à 3168 </w:t>
      </w:r>
      <w:r w:rsidR="00E531BB" w:rsidRPr="00E531BB">
        <w:rPr>
          <w:i/>
          <w:u w:val="single"/>
          <w:lang w:val="fr-CA"/>
        </w:rPr>
        <w:t>C.c</w:t>
      </w:r>
      <w:r w:rsidRPr="00E531BB">
        <w:rPr>
          <w:i/>
          <w:u w:val="single"/>
          <w:lang w:val="fr-CA"/>
        </w:rPr>
        <w:t>.Q.</w:t>
      </w:r>
      <w:r w:rsidRPr="00442EE5">
        <w:rPr>
          <w:u w:val="single"/>
          <w:lang w:val="fr-CA"/>
        </w:rPr>
        <w:t>, mais sans affecter l</w:t>
      </w:r>
      <w:r>
        <w:rPr>
          <w:u w:val="single"/>
          <w:lang w:val="fr-CA"/>
        </w:rPr>
        <w:t>’</w:t>
      </w:r>
      <w:r w:rsidRPr="00442EE5">
        <w:rPr>
          <w:u w:val="single"/>
          <w:lang w:val="fr-CA"/>
        </w:rPr>
        <w:t>application du second volet</w:t>
      </w:r>
      <w:r w:rsidRPr="00FB303A">
        <w:rPr>
          <w:u w:val="single"/>
          <w:lang w:val="fr-CA"/>
        </w:rPr>
        <w:t>.</w:t>
      </w:r>
      <w:r w:rsidRPr="00442EE5">
        <w:rPr>
          <w:lang w:val="fr-CA"/>
        </w:rPr>
        <w:t xml:space="preserve"> Ainsi, le fait que soit changé le premier volet n</w:t>
      </w:r>
      <w:r>
        <w:rPr>
          <w:lang w:val="fr-CA"/>
        </w:rPr>
        <w:t>’</w:t>
      </w:r>
      <w:r w:rsidRPr="00442EE5">
        <w:rPr>
          <w:lang w:val="fr-CA"/>
        </w:rPr>
        <w:t>empêche ni n</w:t>
      </w:r>
      <w:r>
        <w:rPr>
          <w:lang w:val="fr-CA"/>
        </w:rPr>
        <w:t>’</w:t>
      </w:r>
      <w:r w:rsidRPr="00442EE5">
        <w:rPr>
          <w:lang w:val="fr-CA"/>
        </w:rPr>
        <w:t>affecte l</w:t>
      </w:r>
      <w:r>
        <w:rPr>
          <w:lang w:val="fr-CA"/>
        </w:rPr>
        <w:t>’</w:t>
      </w:r>
      <w:r w:rsidRPr="00442EE5">
        <w:rPr>
          <w:lang w:val="fr-CA"/>
        </w:rPr>
        <w:t>application du second. C</w:t>
      </w:r>
      <w:r>
        <w:rPr>
          <w:lang w:val="fr-CA"/>
        </w:rPr>
        <w:t>’</w:t>
      </w:r>
      <w:r w:rsidRPr="00442EE5">
        <w:rPr>
          <w:lang w:val="fr-CA"/>
        </w:rPr>
        <w:t>est donc dire que l</w:t>
      </w:r>
      <w:r>
        <w:rPr>
          <w:lang w:val="fr-CA"/>
        </w:rPr>
        <w:t>’</w:t>
      </w:r>
      <w:r w:rsidRPr="00442EE5">
        <w:rPr>
          <w:lang w:val="fr-CA"/>
        </w:rPr>
        <w:t>exigence du rattachement important, composante invariable du principe structurant qu</w:t>
      </w:r>
      <w:r>
        <w:rPr>
          <w:lang w:val="fr-CA"/>
        </w:rPr>
        <w:t>’</w:t>
      </w:r>
      <w:r w:rsidRPr="00442EE5">
        <w:rPr>
          <w:lang w:val="fr-CA"/>
        </w:rPr>
        <w:t>exprime l</w:t>
      </w:r>
      <w:r>
        <w:rPr>
          <w:lang w:val="fr-CA"/>
        </w:rPr>
        <w:t>’</w:t>
      </w:r>
      <w:r w:rsidR="00E531BB">
        <w:rPr>
          <w:lang w:val="fr-CA"/>
        </w:rPr>
        <w:t xml:space="preserve">article 3164 </w:t>
      </w:r>
      <w:r w:rsidR="00E531BB" w:rsidRPr="00E531BB">
        <w:rPr>
          <w:i/>
          <w:lang w:val="fr-CA"/>
        </w:rPr>
        <w:t>C.c</w:t>
      </w:r>
      <w:r w:rsidRPr="00E531BB">
        <w:rPr>
          <w:i/>
          <w:lang w:val="fr-CA"/>
        </w:rPr>
        <w:t>.Q.</w:t>
      </w:r>
      <w:r w:rsidRPr="00442EE5">
        <w:rPr>
          <w:lang w:val="fr-CA"/>
        </w:rPr>
        <w:t>, s</w:t>
      </w:r>
      <w:r>
        <w:rPr>
          <w:lang w:val="fr-CA"/>
        </w:rPr>
        <w:t>’</w:t>
      </w:r>
      <w:r w:rsidRPr="00442EE5">
        <w:rPr>
          <w:lang w:val="fr-CA"/>
        </w:rPr>
        <w:t>applique aussi bien lorsqu</w:t>
      </w:r>
      <w:r>
        <w:rPr>
          <w:lang w:val="fr-CA"/>
        </w:rPr>
        <w:t>’</w:t>
      </w:r>
      <w:r w:rsidRPr="00442EE5">
        <w:rPr>
          <w:lang w:val="fr-CA"/>
        </w:rPr>
        <w:t>on recourt aux dispositions du titre troisième que lorsqu</w:t>
      </w:r>
      <w:r>
        <w:rPr>
          <w:lang w:val="fr-CA"/>
        </w:rPr>
        <w:t>’</w:t>
      </w:r>
      <w:r w:rsidRPr="00442EE5">
        <w:rPr>
          <w:lang w:val="fr-CA"/>
        </w:rPr>
        <w:t xml:space="preserve">on recourt </w:t>
      </w:r>
      <w:r w:rsidRPr="00442EE5">
        <w:rPr>
          <w:rFonts w:eastAsiaTheme="minorEastAsia"/>
          <w:szCs w:val="22"/>
          <w:lang w:val="fr-CA" w:eastAsia="en-US"/>
        </w:rPr>
        <w:t>aux dispositions précisant ou restreignant les règles du titre troisième ou</w:t>
      </w:r>
      <w:r w:rsidRPr="00442EE5">
        <w:rPr>
          <w:lang w:val="fr-CA"/>
        </w:rPr>
        <w:t xml:space="preserve"> s</w:t>
      </w:r>
      <w:r>
        <w:rPr>
          <w:lang w:val="fr-CA"/>
        </w:rPr>
        <w:t>’</w:t>
      </w:r>
      <w:r w:rsidRPr="00442EE5">
        <w:rPr>
          <w:lang w:val="fr-CA"/>
        </w:rPr>
        <w:t>y substituant, comme par exemp</w:t>
      </w:r>
      <w:r w:rsidR="00E531BB">
        <w:rPr>
          <w:lang w:val="fr-CA"/>
        </w:rPr>
        <w:t xml:space="preserve">le les articles 3166 ou 3168 </w:t>
      </w:r>
      <w:r w:rsidR="00E531BB" w:rsidRPr="00E531BB">
        <w:rPr>
          <w:i/>
          <w:lang w:val="fr-CA"/>
        </w:rPr>
        <w:t>C.c</w:t>
      </w:r>
      <w:r w:rsidRPr="00E531BB">
        <w:rPr>
          <w:i/>
          <w:lang w:val="fr-CA"/>
        </w:rPr>
        <w:t>.Q.</w:t>
      </w:r>
      <w:r w:rsidRPr="00442EE5">
        <w:rPr>
          <w:lang w:val="fr-CA"/>
        </w:rPr>
        <w:t xml:space="preserve"> [Je souligne; par. 182.]</w:t>
      </w:r>
    </w:p>
    <w:p w:rsidR="00AF6697" w:rsidRPr="00442EE5" w:rsidRDefault="00AF6697" w:rsidP="00AF6697">
      <w:pPr>
        <w:pStyle w:val="ParaNoNdepar-AltN"/>
        <w:rPr>
          <w:rFonts w:cs="Times New Roman"/>
          <w:lang w:val="fr-CA"/>
        </w:rPr>
      </w:pPr>
      <w:r w:rsidRPr="00442EE5">
        <w:rPr>
          <w:rFonts w:cs="Times New Roman"/>
          <w:lang w:val="fr-CA"/>
        </w:rPr>
        <w:t>L</w:t>
      </w:r>
      <w:r>
        <w:rPr>
          <w:rFonts w:cs="Times New Roman"/>
          <w:lang w:val="fr-CA"/>
        </w:rPr>
        <w:t>’</w:t>
      </w:r>
      <w:r w:rsidRPr="00442EE5">
        <w:rPr>
          <w:rFonts w:cs="Times New Roman"/>
          <w:lang w:val="fr-CA"/>
        </w:rPr>
        <w:t>objet de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étaye cette interprétation. L</w:t>
      </w:r>
      <w:r>
        <w:rPr>
          <w:rFonts w:cs="Times New Roman"/>
          <w:lang w:val="fr-CA"/>
        </w:rPr>
        <w:t>’</w:t>
      </w:r>
      <w:r w:rsidRPr="00442EE5">
        <w:rPr>
          <w:rFonts w:cs="Times New Roman"/>
          <w:lang w:val="fr-CA"/>
        </w:rPr>
        <w:t>exigence du rattachement important vise à empêcher les tribunaux québécois de reconnaître une décision étrangère lorsque le lien de rattachement est si ténu, dans les circonstances particulières de l</w:t>
      </w:r>
      <w:r>
        <w:rPr>
          <w:rFonts w:cs="Times New Roman"/>
          <w:lang w:val="fr-CA"/>
        </w:rPr>
        <w:t>’</w:t>
      </w:r>
      <w:r w:rsidRPr="00442EE5">
        <w:rPr>
          <w:rFonts w:cs="Times New Roman"/>
          <w:lang w:val="fr-CA"/>
        </w:rPr>
        <w:t xml:space="preserve">affaire, que la reconnaissance ne serait pas indiquée (voir, p. ex., Goldstein, fasc. 11, par. 12; voir également, par analogie, </w:t>
      </w:r>
      <w:r w:rsidRPr="00442EE5">
        <w:rPr>
          <w:rFonts w:cs="Times New Roman"/>
          <w:i/>
          <w:lang w:val="fr-CA"/>
        </w:rPr>
        <w:t>Van Breda</w:t>
      </w:r>
      <w:r w:rsidRPr="00442EE5">
        <w:rPr>
          <w:rFonts w:cs="Times New Roman"/>
          <w:lang w:val="fr-CA"/>
        </w:rPr>
        <w:t>, par. 81 et 95). Il en serait ainsi, par exemple, dans un cas flagrant de magasinage de resso</w:t>
      </w:r>
      <w:r w:rsidR="00A66314">
        <w:rPr>
          <w:rFonts w:cs="Times New Roman"/>
          <w:lang w:val="fr-CA"/>
        </w:rPr>
        <w:t>rt (Goldstein (2012), par. 3164 </w:t>
      </w:r>
      <w:r w:rsidRPr="00442EE5">
        <w:rPr>
          <w:rFonts w:cs="Times New Roman"/>
          <w:lang w:val="fr-CA"/>
        </w:rPr>
        <w:t xml:space="preserve">575; Emanuelli, </w:t>
      </w:r>
      <w:r w:rsidR="00E531BB">
        <w:rPr>
          <w:rFonts w:cs="Times New Roman"/>
          <w:lang w:val="fr-CA"/>
        </w:rPr>
        <w:t>n</w:t>
      </w:r>
      <w:r w:rsidR="00E531BB" w:rsidRPr="00E531BB">
        <w:rPr>
          <w:rFonts w:cs="Times New Roman"/>
          <w:vertAlign w:val="superscript"/>
          <w:lang w:val="fr-CA"/>
        </w:rPr>
        <w:t>o</w:t>
      </w:r>
      <w:r w:rsidRPr="00442EE5">
        <w:rPr>
          <w:rFonts w:cs="Times New Roman"/>
          <w:lang w:val="fr-CA"/>
        </w:rPr>
        <w:t> 282). Autrement dit, une exigence distincte de rattachement important permet d</w:t>
      </w:r>
      <w:r>
        <w:rPr>
          <w:rFonts w:cs="Times New Roman"/>
          <w:lang w:val="fr-CA"/>
        </w:rPr>
        <w:t>’</w:t>
      </w:r>
      <w:r w:rsidRPr="00442EE5">
        <w:rPr>
          <w:rFonts w:cs="Times New Roman"/>
          <w:lang w:val="fr-CA"/>
        </w:rPr>
        <w:t>éviter que l</w:t>
      </w:r>
      <w:r>
        <w:rPr>
          <w:rFonts w:cs="Times New Roman"/>
          <w:lang w:val="fr-CA"/>
        </w:rPr>
        <w:t>’</w:t>
      </w:r>
      <w:r w:rsidRPr="00442EE5">
        <w:rPr>
          <w:rFonts w:cs="Times New Roman"/>
          <w:lang w:val="fr-CA"/>
        </w:rPr>
        <w:t>équité soit sacrifiée sur l</w:t>
      </w:r>
      <w:r>
        <w:rPr>
          <w:rFonts w:cs="Times New Roman"/>
          <w:lang w:val="fr-CA"/>
        </w:rPr>
        <w:t>’</w:t>
      </w:r>
      <w:r w:rsidRPr="00442EE5">
        <w:rPr>
          <w:rFonts w:cs="Times New Roman"/>
          <w:lang w:val="fr-CA"/>
        </w:rPr>
        <w:t>autel de l</w:t>
      </w:r>
      <w:r>
        <w:rPr>
          <w:rFonts w:cs="Times New Roman"/>
          <w:lang w:val="fr-CA"/>
        </w:rPr>
        <w:t>’</w:t>
      </w:r>
      <w:r w:rsidRPr="00442EE5">
        <w:rPr>
          <w:rFonts w:cs="Times New Roman"/>
          <w:lang w:val="fr-CA"/>
        </w:rPr>
        <w:t xml:space="preserve">ordre et de la prévisibilité — les valeurs qui justifient le recours à des facteurs de rattachement précis et bien définis (voir </w:t>
      </w:r>
      <w:r w:rsidRPr="00442EE5">
        <w:rPr>
          <w:rFonts w:cs="Times New Roman"/>
          <w:i/>
          <w:lang w:val="fr-CA"/>
        </w:rPr>
        <w:t>Van Breda</w:t>
      </w:r>
      <w:r w:rsidRPr="00442EE5">
        <w:rPr>
          <w:rFonts w:cs="Times New Roman"/>
          <w:lang w:val="fr-CA"/>
        </w:rPr>
        <w:t>, par. 66).</w:t>
      </w:r>
    </w:p>
    <w:p w:rsidR="00AF6697" w:rsidRPr="00442EE5" w:rsidRDefault="00AF6697" w:rsidP="00AF6697">
      <w:pPr>
        <w:pStyle w:val="ParaNoNdepar-AltN"/>
        <w:rPr>
          <w:rFonts w:cs="Times New Roman"/>
          <w:lang w:val="fr-CA"/>
        </w:rPr>
      </w:pPr>
      <w:r w:rsidRPr="00442EE5">
        <w:rPr>
          <w:rFonts w:cs="Times New Roman"/>
          <w:lang w:val="fr-CA"/>
        </w:rPr>
        <w:lastRenderedPageBreak/>
        <w:t>À mon avis, cette exigence sert de mécanisme de protection dans les cas exceptionnels où les facteurs de rattachement codifiés n</w:t>
      </w:r>
      <w:r>
        <w:rPr>
          <w:rFonts w:cs="Times New Roman"/>
          <w:lang w:val="fr-CA"/>
        </w:rPr>
        <w:t>’</w:t>
      </w:r>
      <w:r w:rsidRPr="00442EE5">
        <w:rPr>
          <w:rFonts w:cs="Times New Roman"/>
          <w:lang w:val="fr-CA"/>
        </w:rPr>
        <w:t>établissent pas un rattachement important. Cet objet même se dégage des commentaires sur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xml:space="preserve"> qu</w:t>
      </w:r>
      <w:r>
        <w:rPr>
          <w:rFonts w:cs="Times New Roman"/>
          <w:lang w:val="fr-CA"/>
        </w:rPr>
        <w:t>’</w:t>
      </w:r>
      <w:r w:rsidRPr="00442EE5">
        <w:rPr>
          <w:rFonts w:cs="Times New Roman"/>
          <w:lang w:val="fr-CA"/>
        </w:rPr>
        <w:t xml:space="preserve">a publiés le ministre de la Justice lors de la réforme du </w:t>
      </w:r>
      <w:r w:rsidRPr="00442EE5">
        <w:rPr>
          <w:rFonts w:cs="Times New Roman"/>
          <w:i/>
          <w:lang w:val="fr-CA"/>
        </w:rPr>
        <w:t>C.c.Q. </w:t>
      </w:r>
      <w:r w:rsidRPr="00E531BB">
        <w:rPr>
          <w:rFonts w:cs="Times New Roman"/>
          <w:lang w:val="fr-CA"/>
        </w:rPr>
        <w:t>:</w:t>
      </w:r>
    </w:p>
    <w:p w:rsidR="00AF6697" w:rsidRPr="00442EE5" w:rsidRDefault="00AF6697" w:rsidP="00AF6697">
      <w:pPr>
        <w:pStyle w:val="Citation-AltC"/>
        <w:spacing w:after="240"/>
        <w:ind w:left="1168" w:hanging="1168"/>
        <w:contextualSpacing w:val="0"/>
        <w:rPr>
          <w:lang w:val="fr-CA"/>
        </w:rPr>
      </w:pPr>
      <w:r w:rsidRPr="007A45D5">
        <w:rPr>
          <w:lang w:val="fr-CA"/>
        </w:rPr>
        <w:tab/>
      </w:r>
      <w:r w:rsidRPr="00442EE5">
        <w:rPr>
          <w:u w:val="single"/>
          <w:lang w:val="fr-CA"/>
        </w:rPr>
        <w:t>Cet article, de droit nouveau, énonce la règle générale touchant la compétence des autorités étrangères</w:t>
      </w:r>
      <w:r w:rsidRPr="00423AC6">
        <w:rPr>
          <w:u w:val="single"/>
          <w:lang w:val="fr-CA"/>
        </w:rPr>
        <w:t>.</w:t>
      </w:r>
      <w:r w:rsidRPr="00442EE5">
        <w:rPr>
          <w:lang w:val="fr-CA"/>
        </w:rPr>
        <w:t xml:space="preserve"> En l</w:t>
      </w:r>
      <w:r>
        <w:rPr>
          <w:lang w:val="fr-CA"/>
        </w:rPr>
        <w:t>’</w:t>
      </w:r>
      <w:r w:rsidRPr="00442EE5">
        <w:rPr>
          <w:lang w:val="fr-CA"/>
        </w:rPr>
        <w:t>absence de dispositions législatives spécifiques sur cette question, la compétence des autorités étrangères est établie suivant les règles de compétence applicables aux autorités du Québec en vertu du Titre troisième. En effet, ces règles, conçues pour régir les situations comportant un élément d</w:t>
      </w:r>
      <w:r>
        <w:rPr>
          <w:lang w:val="fr-CA"/>
        </w:rPr>
        <w:t>’</w:t>
      </w:r>
      <w:r w:rsidRPr="00442EE5">
        <w:rPr>
          <w:lang w:val="fr-CA"/>
        </w:rPr>
        <w:t>extranéité, sont apparues à l</w:t>
      </w:r>
      <w:r>
        <w:rPr>
          <w:lang w:val="fr-CA"/>
        </w:rPr>
        <w:t>’</w:t>
      </w:r>
      <w:r w:rsidRPr="00442EE5">
        <w:rPr>
          <w:lang w:val="fr-CA"/>
        </w:rPr>
        <w:t xml:space="preserve">inverse, valables pour juger de la compétence des autorités étrangères. </w:t>
      </w:r>
      <w:r w:rsidRPr="00442EE5">
        <w:rPr>
          <w:u w:val="single"/>
          <w:lang w:val="fr-CA"/>
        </w:rPr>
        <w:t>L</w:t>
      </w:r>
      <w:r>
        <w:rPr>
          <w:u w:val="single"/>
          <w:lang w:val="fr-CA"/>
        </w:rPr>
        <w:t>’</w:t>
      </w:r>
      <w:r w:rsidRPr="00442EE5">
        <w:rPr>
          <w:u w:val="single"/>
          <w:lang w:val="fr-CA"/>
        </w:rPr>
        <w:t>article laisse par ailleurs une certaine latitude aux autorités du Québec pour apprécier la compétence des autorités étrangères</w:t>
      </w:r>
      <w:r w:rsidRPr="00442EE5">
        <w:rPr>
          <w:lang w:val="fr-CA"/>
        </w:rPr>
        <w:t>.</w:t>
      </w:r>
    </w:p>
    <w:p w:rsidR="00AF6697" w:rsidRPr="00442EE5" w:rsidRDefault="00AF6697" w:rsidP="00AF6697">
      <w:pPr>
        <w:pStyle w:val="Citation-AltC"/>
        <w:spacing w:after="240"/>
        <w:ind w:left="1168" w:hanging="1168"/>
        <w:contextualSpacing w:val="0"/>
        <w:jc w:val="center"/>
        <w:rPr>
          <w:lang w:val="fr-CA"/>
        </w:rPr>
      </w:pPr>
      <w:r>
        <w:rPr>
          <w:lang w:val="fr-CA"/>
        </w:rPr>
        <w:tab/>
      </w:r>
      <w:r w:rsidRPr="00442EE5">
        <w:rPr>
          <w:lang w:val="fr-CA"/>
        </w:rPr>
        <w:t>. . .</w:t>
      </w:r>
    </w:p>
    <w:p w:rsidR="00AF6697" w:rsidRPr="00442EE5" w:rsidRDefault="00AF6697" w:rsidP="00AF6697">
      <w:pPr>
        <w:pStyle w:val="Citation-AltC"/>
        <w:spacing w:after="240"/>
        <w:ind w:left="1168" w:hanging="1168"/>
        <w:contextualSpacing w:val="0"/>
        <w:rPr>
          <w:lang w:val="fr-CA"/>
        </w:rPr>
      </w:pPr>
      <w:r>
        <w:rPr>
          <w:lang w:val="fr-CA"/>
        </w:rPr>
        <w:tab/>
      </w:r>
      <w:r w:rsidRPr="00442EE5">
        <w:rPr>
          <w:lang w:val="fr-CA"/>
        </w:rPr>
        <w:t xml:space="preserve">. . . </w:t>
      </w:r>
      <w:r w:rsidR="00581C7B">
        <w:rPr>
          <w:lang w:val="fr-CA"/>
        </w:rPr>
        <w:t>l</w:t>
      </w:r>
      <w:r w:rsidRPr="00442EE5">
        <w:rPr>
          <w:lang w:val="fr-CA"/>
        </w:rPr>
        <w:t>a compétence des autorités étrangères pourrait se fonder sur les mêmes critères que ceux qui fondent la compétence des autorités québécoises et néanmoins le litige pourrait ne pas se rattacher d</w:t>
      </w:r>
      <w:r>
        <w:rPr>
          <w:lang w:val="fr-CA"/>
        </w:rPr>
        <w:t>’</w:t>
      </w:r>
      <w:r w:rsidRPr="00442EE5">
        <w:rPr>
          <w:lang w:val="fr-CA"/>
        </w:rPr>
        <w:t>une manière importante à l</w:t>
      </w:r>
      <w:r>
        <w:rPr>
          <w:lang w:val="fr-CA"/>
        </w:rPr>
        <w:t>’</w:t>
      </w:r>
      <w:r w:rsidRPr="00442EE5">
        <w:rPr>
          <w:lang w:val="fr-CA"/>
        </w:rPr>
        <w:t>État dont l</w:t>
      </w:r>
      <w:r>
        <w:rPr>
          <w:lang w:val="fr-CA"/>
        </w:rPr>
        <w:t>’</w:t>
      </w:r>
      <w:r w:rsidRPr="00442EE5">
        <w:rPr>
          <w:lang w:val="fr-CA"/>
        </w:rPr>
        <w:t>autorité a été saisie. Dans ce cas, la compétence de l</w:t>
      </w:r>
      <w:r>
        <w:rPr>
          <w:lang w:val="fr-CA"/>
        </w:rPr>
        <w:t>’</w:t>
      </w:r>
      <w:r w:rsidRPr="00442EE5">
        <w:rPr>
          <w:lang w:val="fr-CA"/>
        </w:rPr>
        <w:t>autorité étrangère pourrait n</w:t>
      </w:r>
      <w:r>
        <w:rPr>
          <w:lang w:val="fr-CA"/>
        </w:rPr>
        <w:t>’</w:t>
      </w:r>
      <w:r w:rsidRPr="00442EE5">
        <w:rPr>
          <w:lang w:val="fr-CA"/>
        </w:rPr>
        <w:t>être pas reconnue. [Je souligne.]</w:t>
      </w:r>
    </w:p>
    <w:p w:rsidR="00AF6697" w:rsidRPr="00442EE5" w:rsidRDefault="00FB303A" w:rsidP="00FB303A">
      <w:pPr>
        <w:pStyle w:val="Citation-AltC"/>
        <w:ind w:left="0"/>
        <w:rPr>
          <w:lang w:val="fr-CA"/>
        </w:rPr>
      </w:pPr>
      <w:r>
        <w:rPr>
          <w:lang w:val="fr-CA"/>
        </w:rPr>
        <w:t>(m</w:t>
      </w:r>
      <w:r w:rsidR="00AF6697" w:rsidRPr="00442EE5">
        <w:rPr>
          <w:lang w:val="fr-CA"/>
        </w:rPr>
        <w:t xml:space="preserve">inistère de la Justice, </w:t>
      </w:r>
      <w:r w:rsidR="00AF6697" w:rsidRPr="00442EE5">
        <w:rPr>
          <w:i/>
          <w:lang w:val="fr-CA"/>
        </w:rPr>
        <w:t>Commentaires du ministre de la Justice</w:t>
      </w:r>
      <w:r w:rsidR="00AF6697" w:rsidRPr="00442EE5">
        <w:rPr>
          <w:lang w:val="fr-CA"/>
        </w:rPr>
        <w:t xml:space="preserve">, t. II, </w:t>
      </w:r>
      <w:r w:rsidR="00AF6697" w:rsidRPr="00442EE5">
        <w:rPr>
          <w:i/>
          <w:lang w:val="fr-CA"/>
        </w:rPr>
        <w:t>Le Code civil du Québec — Un mouvement de société</w:t>
      </w:r>
      <w:r>
        <w:rPr>
          <w:lang w:val="fr-CA"/>
        </w:rPr>
        <w:t xml:space="preserve"> (1993), p. 2022</w:t>
      </w:r>
      <w:r w:rsidR="00AF6697" w:rsidRPr="00442EE5">
        <w:rPr>
          <w:lang w:val="fr-CA"/>
        </w:rPr>
        <w:t>)</w:t>
      </w:r>
    </w:p>
    <w:p w:rsidR="00AF6697" w:rsidRPr="00442EE5" w:rsidRDefault="00AF6697" w:rsidP="00AF6697">
      <w:pPr>
        <w:pStyle w:val="ParaNoNdepar-AltN"/>
        <w:rPr>
          <w:rFonts w:cs="Times New Roman"/>
          <w:lang w:val="fr-CA"/>
        </w:rPr>
      </w:pPr>
      <w:r w:rsidRPr="00442EE5">
        <w:rPr>
          <w:rFonts w:cs="Times New Roman"/>
          <w:lang w:val="fr-CA"/>
        </w:rPr>
        <w:t>Ce mécanisme de protection demeure pertinent lorsque les règles particulières énoncées au titre quatrième s</w:t>
      </w:r>
      <w:r>
        <w:rPr>
          <w:rFonts w:cs="Times New Roman"/>
          <w:lang w:val="fr-CA"/>
        </w:rPr>
        <w:t>’</w:t>
      </w:r>
      <w:r w:rsidRPr="00442EE5">
        <w:rPr>
          <w:rFonts w:cs="Times New Roman"/>
          <w:lang w:val="fr-CA"/>
        </w:rPr>
        <w:t>appliquent. Je reconnais que le fait que l</w:t>
      </w:r>
      <w:r>
        <w:rPr>
          <w:rFonts w:cs="Times New Roman"/>
          <w:lang w:val="fr-CA"/>
        </w:rPr>
        <w:t>’</w:t>
      </w:r>
      <w:r w:rsidRPr="00442EE5">
        <w:rPr>
          <w:rFonts w:cs="Times New Roman"/>
          <w:lang w:val="fr-CA"/>
        </w:rPr>
        <w:t xml:space="preserve">art. 3168 </w:t>
      </w:r>
      <w:r w:rsidRPr="00442EE5">
        <w:rPr>
          <w:rFonts w:cs="Times New Roman"/>
          <w:i/>
          <w:lang w:val="fr-CA"/>
        </w:rPr>
        <w:t>C.c.Q.</w:t>
      </w:r>
      <w:r w:rsidRPr="00442EE5">
        <w:rPr>
          <w:rFonts w:cs="Times New Roman"/>
          <w:lang w:val="fr-CA"/>
        </w:rPr>
        <w:t xml:space="preserve"> soit plus restrictif que</w:t>
      </w:r>
      <w:r w:rsidRPr="00442EE5">
        <w:rPr>
          <w:rFonts w:eastAsia="Times New Roman" w:cs="Times New Roman"/>
          <w:szCs w:val="24"/>
          <w:lang w:val="fr-CA" w:eastAsia="en-CA"/>
        </w:rPr>
        <w:t xml:space="preserve"> </w:t>
      </w:r>
      <w:r w:rsidRPr="00442EE5">
        <w:rPr>
          <w:rFonts w:cs="Times New Roman"/>
          <w:lang w:val="fr-CA"/>
        </w:rPr>
        <w:t>l</w:t>
      </w:r>
      <w:r>
        <w:rPr>
          <w:rFonts w:cs="Times New Roman"/>
          <w:lang w:val="fr-CA"/>
        </w:rPr>
        <w:t>’</w:t>
      </w:r>
      <w:r w:rsidRPr="00442EE5">
        <w:rPr>
          <w:rFonts w:cs="Times New Roman"/>
          <w:lang w:val="fr-CA"/>
        </w:rPr>
        <w:t xml:space="preserve">art. 3148 </w:t>
      </w:r>
      <w:r w:rsidRPr="00442EE5">
        <w:rPr>
          <w:rFonts w:cs="Times New Roman"/>
          <w:i/>
          <w:lang w:val="fr-CA"/>
        </w:rPr>
        <w:t>C.c.Q.</w:t>
      </w:r>
      <w:r w:rsidRPr="00442EE5">
        <w:rPr>
          <w:rFonts w:cs="Times New Roman"/>
          <w:lang w:val="fr-CA"/>
        </w:rPr>
        <w:t xml:space="preserve"> — la disposition correspondante du titre troisième — diminue le risque qu</w:t>
      </w:r>
      <w:r>
        <w:rPr>
          <w:rFonts w:cs="Times New Roman"/>
          <w:lang w:val="fr-CA"/>
        </w:rPr>
        <w:t>’</w:t>
      </w:r>
      <w:r w:rsidRPr="00442EE5">
        <w:rPr>
          <w:rFonts w:cs="Times New Roman"/>
          <w:lang w:val="fr-CA"/>
        </w:rPr>
        <w:t>une décision étrangère soit indûment reconnue, mais il ne s</w:t>
      </w:r>
      <w:r>
        <w:rPr>
          <w:rFonts w:cs="Times New Roman"/>
          <w:lang w:val="fr-CA"/>
        </w:rPr>
        <w:t>’</w:t>
      </w:r>
      <w:r w:rsidRPr="00442EE5">
        <w:rPr>
          <w:rFonts w:cs="Times New Roman"/>
          <w:lang w:val="fr-CA"/>
        </w:rPr>
        <w:t>ensuit pas que l</w:t>
      </w:r>
      <w:r>
        <w:rPr>
          <w:rFonts w:cs="Times New Roman"/>
          <w:lang w:val="fr-CA"/>
        </w:rPr>
        <w:t>’</w:t>
      </w:r>
      <w:r w:rsidRPr="00442EE5">
        <w:rPr>
          <w:rFonts w:cs="Times New Roman"/>
          <w:lang w:val="fr-CA"/>
        </w:rPr>
        <w:t>exigence du rattachement important est « excessi[ve] » ou « redondant[e] » (voir les motifs du juge Brown, par. 143) :</w:t>
      </w:r>
    </w:p>
    <w:p w:rsidR="00AF6697" w:rsidRPr="00442EE5" w:rsidRDefault="00AF6697" w:rsidP="00AF6697">
      <w:pPr>
        <w:pStyle w:val="Citation-AltC"/>
        <w:spacing w:after="240"/>
        <w:ind w:left="1168" w:hanging="1168"/>
        <w:contextualSpacing w:val="0"/>
        <w:rPr>
          <w:lang w:val="fr-CA"/>
        </w:rPr>
      </w:pPr>
      <w:r w:rsidRPr="007A45D5">
        <w:rPr>
          <w:lang w:val="fr-CA"/>
        </w:rPr>
        <w:tab/>
      </w:r>
      <w:r w:rsidRPr="00442EE5">
        <w:rPr>
          <w:u w:val="single"/>
          <w:lang w:val="fr-CA"/>
        </w:rPr>
        <w:t>En droit québécois, le doute sur l</w:t>
      </w:r>
      <w:r>
        <w:rPr>
          <w:u w:val="single"/>
          <w:lang w:val="fr-CA"/>
        </w:rPr>
        <w:t>’</w:t>
      </w:r>
      <w:r w:rsidRPr="00442EE5">
        <w:rPr>
          <w:u w:val="single"/>
          <w:lang w:val="fr-CA"/>
        </w:rPr>
        <w:t>opportunité de la compétence du tribunal étranger provient de la formulation de type civiliste, rigide, de la règle de compétence indirecte</w:t>
      </w:r>
      <w:r w:rsidRPr="00442EE5">
        <w:rPr>
          <w:lang w:val="fr-CA"/>
        </w:rPr>
        <w:t xml:space="preserve"> qui sélectionne un ou plusieurs éléments jugés significatifs, comme le domicile d</w:t>
      </w:r>
      <w:r>
        <w:rPr>
          <w:lang w:val="fr-CA"/>
        </w:rPr>
        <w:t>’</w:t>
      </w:r>
      <w:r w:rsidRPr="00442EE5">
        <w:rPr>
          <w:lang w:val="fr-CA"/>
        </w:rPr>
        <w:t xml:space="preserve">un enfant (art. 3143 C.c.Q., bilatéralisé </w:t>
      </w:r>
      <w:r w:rsidRPr="00442EE5">
        <w:rPr>
          <w:lang w:val="fr-CA"/>
        </w:rPr>
        <w:lastRenderedPageBreak/>
        <w:t>par l</w:t>
      </w:r>
      <w:r>
        <w:rPr>
          <w:lang w:val="fr-CA"/>
        </w:rPr>
        <w:t>’</w:t>
      </w:r>
      <w:r w:rsidRPr="00442EE5">
        <w:rPr>
          <w:lang w:val="fr-CA"/>
        </w:rPr>
        <w:t>article 3164 C.c.Q.), le lieu d</w:t>
      </w:r>
      <w:r>
        <w:rPr>
          <w:lang w:val="fr-CA"/>
        </w:rPr>
        <w:t>’</w:t>
      </w:r>
      <w:r w:rsidRPr="00442EE5">
        <w:rPr>
          <w:lang w:val="fr-CA"/>
        </w:rPr>
        <w:t>exécution des obligations d</w:t>
      </w:r>
      <w:r>
        <w:rPr>
          <w:lang w:val="fr-CA"/>
        </w:rPr>
        <w:t>’</w:t>
      </w:r>
      <w:r w:rsidRPr="00442EE5">
        <w:rPr>
          <w:lang w:val="fr-CA"/>
        </w:rPr>
        <w:t xml:space="preserve">un contrat (art. 3168(4) C.c.Q.) ou la survenance du fait dommageable et le fait de subir un préjudice dans la juridiction du tribunal étranger (art. 3168(3) C.c.Q.), pour déclencher la compétence indirecte. </w:t>
      </w:r>
      <w:r w:rsidRPr="00442EE5">
        <w:rPr>
          <w:u w:val="single"/>
          <w:lang w:val="fr-CA"/>
        </w:rPr>
        <w:t>Malgré l</w:t>
      </w:r>
      <w:r>
        <w:rPr>
          <w:u w:val="single"/>
          <w:lang w:val="fr-CA"/>
        </w:rPr>
        <w:t>’</w:t>
      </w:r>
      <w:r w:rsidRPr="00442EE5">
        <w:rPr>
          <w:u w:val="single"/>
          <w:lang w:val="fr-CA"/>
        </w:rPr>
        <w:t>existence de l</w:t>
      </w:r>
      <w:r>
        <w:rPr>
          <w:u w:val="single"/>
          <w:lang w:val="fr-CA"/>
        </w:rPr>
        <w:t>’</w:t>
      </w:r>
      <w:r w:rsidRPr="00442EE5">
        <w:rPr>
          <w:u w:val="single"/>
          <w:lang w:val="fr-CA"/>
        </w:rPr>
        <w:t>élément déclencheur, du chef de compétence, il se peut que la situation n</w:t>
      </w:r>
      <w:r>
        <w:rPr>
          <w:u w:val="single"/>
          <w:lang w:val="fr-CA"/>
        </w:rPr>
        <w:t>’</w:t>
      </w:r>
      <w:r w:rsidRPr="00442EE5">
        <w:rPr>
          <w:u w:val="single"/>
          <w:lang w:val="fr-CA"/>
        </w:rPr>
        <w:t>ait en réalité pas beaucoup de rapport avec le tribunal saisi</w:t>
      </w:r>
      <w:r w:rsidRPr="00BC14EF">
        <w:rPr>
          <w:u w:val="single"/>
          <w:lang w:val="fr-CA"/>
        </w:rPr>
        <w:t>.</w:t>
      </w:r>
      <w:r w:rsidRPr="00442EE5">
        <w:rPr>
          <w:lang w:val="fr-CA"/>
        </w:rPr>
        <w:t xml:space="preserve"> Par souci de bonne administration de la justice, d</w:t>
      </w:r>
      <w:r>
        <w:rPr>
          <w:lang w:val="fr-CA"/>
        </w:rPr>
        <w:t>’</w:t>
      </w:r>
      <w:r w:rsidRPr="00442EE5">
        <w:rPr>
          <w:lang w:val="fr-CA"/>
        </w:rPr>
        <w:t>équité procédurale, comme l</w:t>
      </w:r>
      <w:r>
        <w:rPr>
          <w:lang w:val="fr-CA"/>
        </w:rPr>
        <w:t>’</w:t>
      </w:r>
      <w:r w:rsidRPr="00442EE5">
        <w:rPr>
          <w:lang w:val="fr-CA"/>
        </w:rPr>
        <w:t>expliquait le juge La Forest dans l</w:t>
      </w:r>
      <w:r>
        <w:rPr>
          <w:lang w:val="fr-CA"/>
        </w:rPr>
        <w:t>’</w:t>
      </w:r>
      <w:r w:rsidRPr="00442EE5">
        <w:rPr>
          <w:lang w:val="fr-CA"/>
        </w:rPr>
        <w:t xml:space="preserve">affaire </w:t>
      </w:r>
      <w:r w:rsidRPr="00442EE5">
        <w:rPr>
          <w:i/>
          <w:iCs/>
          <w:lang w:val="fr-CA"/>
        </w:rPr>
        <w:t>Morguard</w:t>
      </w:r>
      <w:r w:rsidRPr="00442EE5">
        <w:rPr>
          <w:lang w:val="fr-CA"/>
        </w:rPr>
        <w:t>, il paraît nécessaire de disposer d</w:t>
      </w:r>
      <w:r>
        <w:rPr>
          <w:lang w:val="fr-CA"/>
        </w:rPr>
        <w:t>’</w:t>
      </w:r>
      <w:r w:rsidRPr="00442EE5">
        <w:rPr>
          <w:lang w:val="fr-CA"/>
        </w:rPr>
        <w:t>un outil permettant le cas échéant de revenir sur cette détermination.</w:t>
      </w:r>
      <w:r w:rsidR="005B15B8">
        <w:rPr>
          <w:lang w:val="fr-CA"/>
        </w:rPr>
        <w:t xml:space="preserve"> . .</w:t>
      </w:r>
      <w:r w:rsidRPr="00442EE5">
        <w:rPr>
          <w:lang w:val="fr-CA"/>
        </w:rPr>
        <w:t xml:space="preserve"> [Je souligne.]</w:t>
      </w:r>
    </w:p>
    <w:p w:rsidR="00AF6697" w:rsidRPr="00442EE5" w:rsidRDefault="005B15B8" w:rsidP="00AF6697">
      <w:pPr>
        <w:pStyle w:val="Citation-AltC"/>
        <w:ind w:hanging="1166"/>
        <w:rPr>
          <w:lang w:val="fr-CA"/>
        </w:rPr>
      </w:pPr>
      <w:r>
        <w:rPr>
          <w:lang w:val="fr-CA"/>
        </w:rPr>
        <w:t>(Goldstein, fasc. 11, par. 11</w:t>
      </w:r>
      <w:r w:rsidR="00AF6697" w:rsidRPr="00442EE5">
        <w:rPr>
          <w:lang w:val="fr-CA"/>
        </w:rPr>
        <w:t>)</w:t>
      </w:r>
    </w:p>
    <w:p w:rsidR="00AF6697" w:rsidRPr="00442EE5" w:rsidRDefault="00AF6697" w:rsidP="00AF6697">
      <w:pPr>
        <w:pStyle w:val="ParaNoNdepar-AltN"/>
        <w:rPr>
          <w:rFonts w:cs="Times New Roman"/>
          <w:lang w:val="fr-CA"/>
        </w:rPr>
      </w:pPr>
      <w:r w:rsidRPr="00442EE5">
        <w:rPr>
          <w:rFonts w:cs="Times New Roman"/>
          <w:lang w:val="fr-CA"/>
        </w:rPr>
        <w:t>Je ne puis par conséquent souscrire à l</w:t>
      </w:r>
      <w:r>
        <w:rPr>
          <w:rFonts w:cs="Times New Roman"/>
          <w:lang w:val="fr-CA"/>
        </w:rPr>
        <w:t>’</w:t>
      </w:r>
      <w:r w:rsidRPr="00442EE5">
        <w:rPr>
          <w:rFonts w:cs="Times New Roman"/>
          <w:lang w:val="fr-CA"/>
        </w:rPr>
        <w:t>idée que l</w:t>
      </w:r>
      <w:r>
        <w:rPr>
          <w:rFonts w:cs="Times New Roman"/>
          <w:lang w:val="fr-CA"/>
        </w:rPr>
        <w:t>’</w:t>
      </w:r>
      <w:r w:rsidRPr="00442EE5">
        <w:rPr>
          <w:rFonts w:cs="Times New Roman"/>
          <w:lang w:val="fr-CA"/>
        </w:rPr>
        <w:t>exigence du rattachement important est simplement « englob[ée] » dans les règles particulières énoncées à l</w:t>
      </w:r>
      <w:r>
        <w:rPr>
          <w:rFonts w:cs="Times New Roman"/>
          <w:lang w:val="fr-CA"/>
        </w:rPr>
        <w:t>’</w:t>
      </w:r>
      <w:r w:rsidRPr="00442EE5">
        <w:rPr>
          <w:rFonts w:cs="Times New Roman"/>
          <w:lang w:val="fr-CA"/>
        </w:rPr>
        <w:t xml:space="preserve">art. 3168 </w:t>
      </w:r>
      <w:r w:rsidRPr="00442EE5">
        <w:rPr>
          <w:rFonts w:cs="Times New Roman"/>
          <w:i/>
          <w:lang w:val="fr-CA"/>
        </w:rPr>
        <w:t>C.c.Q.</w:t>
      </w:r>
      <w:r w:rsidRPr="00442EE5">
        <w:rPr>
          <w:rFonts w:eastAsia="Times New Roman" w:cs="Times New Roman"/>
          <w:szCs w:val="24"/>
          <w:lang w:val="fr-CA" w:eastAsia="en-CA"/>
        </w:rPr>
        <w:t xml:space="preserve"> </w:t>
      </w:r>
      <w:r w:rsidRPr="00442EE5">
        <w:rPr>
          <w:rFonts w:cs="Times New Roman"/>
          <w:lang w:val="fr-CA"/>
        </w:rPr>
        <w:t>(voir les motifs du juge Brown, par. 135) et qu</w:t>
      </w:r>
      <w:r>
        <w:rPr>
          <w:rFonts w:cs="Times New Roman"/>
          <w:lang w:val="fr-CA"/>
        </w:rPr>
        <w:t>’</w:t>
      </w:r>
      <w:r w:rsidRPr="00442EE5">
        <w:rPr>
          <w:rFonts w:cs="Times New Roman"/>
          <w:lang w:val="fr-CA"/>
        </w:rPr>
        <w:t>elle a ainsi peu ou point d</w:t>
      </w:r>
      <w:r>
        <w:rPr>
          <w:rFonts w:cs="Times New Roman"/>
          <w:lang w:val="fr-CA"/>
        </w:rPr>
        <w:t>’</w:t>
      </w:r>
      <w:r w:rsidRPr="00442EE5">
        <w:rPr>
          <w:rFonts w:cs="Times New Roman"/>
          <w:lang w:val="fr-CA"/>
        </w:rPr>
        <w:t>utilité propre dans ce contexte. Cette interprétation ferait perdre presque tout effet aux termes exprès employés par le législateur québécois, du moins dans le contexte des actions personnelles à caractère patrimonial. Fait plus important, elle pourrait obliger les tribunaux québécois à reconnaître une décision étrangère même lorsque le litige ne se rattache que de façon tenue au ressort étranger. Une telle interprétation ferait abstraction de préoccupations légitimes quant à l</w:t>
      </w:r>
      <w:r>
        <w:rPr>
          <w:rFonts w:cs="Times New Roman"/>
          <w:lang w:val="fr-CA"/>
        </w:rPr>
        <w:t>’</w:t>
      </w:r>
      <w:r w:rsidRPr="00442EE5">
        <w:rPr>
          <w:rFonts w:cs="Times New Roman"/>
          <w:lang w:val="fr-CA"/>
        </w:rPr>
        <w:t xml:space="preserve">équité envers les </w:t>
      </w:r>
      <w:r w:rsidR="000B6C09" w:rsidRPr="00442EE5">
        <w:rPr>
          <w:rFonts w:cs="Times New Roman"/>
          <w:lang w:val="fr-CA"/>
        </w:rPr>
        <w:t>résidents</w:t>
      </w:r>
      <w:r w:rsidRPr="00442EE5">
        <w:rPr>
          <w:rFonts w:cs="Times New Roman"/>
          <w:lang w:val="fr-CA"/>
        </w:rPr>
        <w:t xml:space="preserve"> du Québec qui sont parties à un litige à l</w:t>
      </w:r>
      <w:r>
        <w:rPr>
          <w:rFonts w:cs="Times New Roman"/>
          <w:lang w:val="fr-CA"/>
        </w:rPr>
        <w:t>’</w:t>
      </w:r>
      <w:r w:rsidRPr="00442EE5">
        <w:rPr>
          <w:rFonts w:cs="Times New Roman"/>
          <w:lang w:val="fr-CA"/>
        </w:rPr>
        <w:t>étranger.</w:t>
      </w:r>
    </w:p>
    <w:p w:rsidR="00AF6697" w:rsidRPr="00442EE5" w:rsidRDefault="00AF6697" w:rsidP="00AF6697">
      <w:pPr>
        <w:pStyle w:val="ParaNoNdepar-AltN"/>
        <w:rPr>
          <w:rFonts w:cs="Times New Roman"/>
          <w:lang w:val="fr-CA"/>
        </w:rPr>
      </w:pPr>
      <w:r w:rsidRPr="00442EE5">
        <w:rPr>
          <w:rFonts w:cs="Times New Roman"/>
          <w:lang w:val="fr-CA"/>
        </w:rPr>
        <w:t>La jurisprudence illustre la pertinence d</w:t>
      </w:r>
      <w:r>
        <w:rPr>
          <w:rFonts w:cs="Times New Roman"/>
          <w:lang w:val="fr-CA"/>
        </w:rPr>
        <w:t>’</w:t>
      </w:r>
      <w:r w:rsidRPr="00442EE5">
        <w:rPr>
          <w:rFonts w:cs="Times New Roman"/>
          <w:lang w:val="fr-CA"/>
        </w:rPr>
        <w:t xml:space="preserve">une exigence distincte de rattachement important. Par exemple, dans </w:t>
      </w:r>
      <w:r w:rsidRPr="00442EE5">
        <w:rPr>
          <w:rFonts w:cs="Times New Roman"/>
          <w:i/>
          <w:lang w:val="fr-CA"/>
        </w:rPr>
        <w:t>Cortas Canning</w:t>
      </w:r>
      <w:r w:rsidRPr="00442EE5">
        <w:rPr>
          <w:rFonts w:cs="Times New Roman"/>
          <w:lang w:val="fr-CA"/>
        </w:rPr>
        <w:t>, un jugement de</w:t>
      </w:r>
      <w:r w:rsidR="006A27AF">
        <w:rPr>
          <w:rFonts w:cs="Times New Roman"/>
          <w:lang w:val="fr-CA"/>
        </w:rPr>
        <w:t xml:space="preserve"> neuf</w:t>
      </w:r>
      <w:r w:rsidRPr="00442EE5">
        <w:rPr>
          <w:rFonts w:cs="Times New Roman"/>
          <w:lang w:val="fr-CA"/>
        </w:rPr>
        <w:t> millions de dollars fondé sur la concurrence déloyale avait été rendu par défaut au Texas. En résumé, les demanderesses dans cette affaire alléguaient que les défendeurs avaient emballé et étiqueté des produits alimentaires d</w:t>
      </w:r>
      <w:r>
        <w:rPr>
          <w:rFonts w:cs="Times New Roman"/>
          <w:lang w:val="fr-CA"/>
        </w:rPr>
        <w:t>’</w:t>
      </w:r>
      <w:r w:rsidRPr="00442EE5">
        <w:rPr>
          <w:rFonts w:cs="Times New Roman"/>
          <w:lang w:val="fr-CA"/>
        </w:rPr>
        <w:t>une manière qui créait de la confusion. La Cour supérieure du Québec a été saisie d</w:t>
      </w:r>
      <w:r>
        <w:rPr>
          <w:rFonts w:cs="Times New Roman"/>
          <w:lang w:val="fr-CA"/>
        </w:rPr>
        <w:t>’</w:t>
      </w:r>
      <w:r w:rsidRPr="00442EE5">
        <w:rPr>
          <w:rFonts w:cs="Times New Roman"/>
          <w:lang w:val="fr-CA"/>
        </w:rPr>
        <w:t xml:space="preserve">une demande de reconnaissance de ce jugement au titre </w:t>
      </w:r>
      <w:r w:rsidR="00977AC6">
        <w:rPr>
          <w:rFonts w:cs="Times New Roman"/>
          <w:lang w:val="fr-CA"/>
        </w:rPr>
        <w:t>du par.</w:t>
      </w:r>
      <w:r w:rsidRPr="00442EE5">
        <w:rPr>
          <w:rFonts w:cs="Times New Roman"/>
          <w:lang w:val="fr-CA"/>
        </w:rPr>
        <w:t xml:space="preserve"> 3168(3) </w:t>
      </w:r>
      <w:r w:rsidRPr="00442EE5">
        <w:rPr>
          <w:rFonts w:cs="Times New Roman"/>
          <w:i/>
          <w:lang w:val="fr-CA"/>
        </w:rPr>
        <w:t xml:space="preserve">C.c.Q. </w:t>
      </w:r>
      <w:r w:rsidRPr="00442EE5">
        <w:rPr>
          <w:rFonts w:cs="Times New Roman"/>
          <w:lang w:val="fr-CA"/>
        </w:rPr>
        <w:t xml:space="preserve">(la faute et le préjudice) notamment au </w:t>
      </w:r>
      <w:r w:rsidRPr="00442EE5">
        <w:rPr>
          <w:rFonts w:cs="Times New Roman"/>
          <w:lang w:val="fr-CA"/>
        </w:rPr>
        <w:lastRenderedPageBreak/>
        <w:t>motif que des produits des défendeurs d</w:t>
      </w:r>
      <w:r>
        <w:rPr>
          <w:rFonts w:cs="Times New Roman"/>
          <w:lang w:val="fr-CA"/>
        </w:rPr>
        <w:t>’</w:t>
      </w:r>
      <w:r w:rsidRPr="00442EE5">
        <w:rPr>
          <w:rFonts w:cs="Times New Roman"/>
          <w:lang w:val="fr-CA"/>
        </w:rPr>
        <w:t xml:space="preserve">une valeur de </w:t>
      </w:r>
      <w:r w:rsidRPr="00442EE5">
        <w:rPr>
          <w:rFonts w:cs="Times New Roman"/>
          <w:i/>
          <w:lang w:val="fr-CA"/>
        </w:rPr>
        <w:t>96</w:t>
      </w:r>
      <w:r w:rsidRPr="00442EE5">
        <w:rPr>
          <w:rFonts w:cs="Times New Roman"/>
          <w:lang w:val="fr-CA"/>
        </w:rPr>
        <w:t> </w:t>
      </w:r>
      <w:r w:rsidRPr="005B15B8">
        <w:rPr>
          <w:rFonts w:cs="Times New Roman"/>
          <w:i/>
          <w:lang w:val="fr-CA"/>
        </w:rPr>
        <w:t>$</w:t>
      </w:r>
      <w:r w:rsidRPr="00442EE5">
        <w:rPr>
          <w:rFonts w:cs="Times New Roman"/>
          <w:lang w:val="fr-CA"/>
        </w:rPr>
        <w:t xml:space="preserve"> avaient été vendus au Texas. La cour a rejeté la demande. Il était certes possible de soutenir, dans un tel cas, que la vente </w:t>
      </w:r>
      <w:r w:rsidRPr="005B15B8">
        <w:rPr>
          <w:rFonts w:cs="Times New Roman"/>
          <w:i/>
          <w:lang w:val="fr-CA"/>
        </w:rPr>
        <w:t>n’</w:t>
      </w:r>
      <w:r w:rsidRPr="00442EE5">
        <w:rPr>
          <w:rFonts w:cs="Times New Roman"/>
          <w:lang w:val="fr-CA"/>
        </w:rPr>
        <w:t xml:space="preserve">établissait </w:t>
      </w:r>
      <w:r w:rsidRPr="00442EE5">
        <w:rPr>
          <w:rFonts w:cs="Times New Roman"/>
          <w:i/>
          <w:lang w:val="fr-CA"/>
        </w:rPr>
        <w:t>pas</w:t>
      </w:r>
      <w:r w:rsidRPr="00442EE5">
        <w:rPr>
          <w:rFonts w:cs="Times New Roman"/>
          <w:lang w:val="fr-CA"/>
        </w:rPr>
        <w:t xml:space="preserve"> en soi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 rattachement important.</w:t>
      </w:r>
    </w:p>
    <w:p w:rsidR="00AF6697" w:rsidRPr="00442EE5" w:rsidRDefault="00AF6697" w:rsidP="00AF6697">
      <w:pPr>
        <w:pStyle w:val="ParaNoNdepar-AltN"/>
        <w:rPr>
          <w:rFonts w:cs="Times New Roman"/>
          <w:lang w:val="fr-CA"/>
        </w:rPr>
      </w:pPr>
      <w:r w:rsidRPr="00442EE5">
        <w:rPr>
          <w:rFonts w:cs="Times New Roman"/>
          <w:lang w:val="fr-CA"/>
        </w:rPr>
        <w:t xml:space="preserve">De la même façon, dans </w:t>
      </w:r>
      <w:r w:rsidRPr="00442EE5">
        <w:rPr>
          <w:rFonts w:cs="Times New Roman"/>
          <w:i/>
          <w:lang w:val="fr-CA"/>
        </w:rPr>
        <w:t>Hocking</w:t>
      </w:r>
      <w:r w:rsidRPr="00442EE5">
        <w:rPr>
          <w:rFonts w:cs="Times New Roman"/>
          <w:lang w:val="fr-CA"/>
        </w:rPr>
        <w:t>, la Cour d</w:t>
      </w:r>
      <w:r>
        <w:rPr>
          <w:rFonts w:cs="Times New Roman"/>
          <w:lang w:val="fr-CA"/>
        </w:rPr>
        <w:t>’</w:t>
      </w:r>
      <w:r w:rsidRPr="00442EE5">
        <w:rPr>
          <w:rFonts w:cs="Times New Roman"/>
          <w:lang w:val="fr-CA"/>
        </w:rPr>
        <w:t>appel du Québec a confirmé un jugement de la Cour supérieure refusant de reconnaître une décision ontarienne ayant approuvé une convention de règlement dans le contexte d</w:t>
      </w:r>
      <w:r>
        <w:rPr>
          <w:rFonts w:cs="Times New Roman"/>
          <w:lang w:val="fr-CA"/>
        </w:rPr>
        <w:t>’</w:t>
      </w:r>
      <w:r w:rsidRPr="00442EE5">
        <w:rPr>
          <w:rFonts w:cs="Times New Roman"/>
          <w:lang w:val="fr-CA"/>
        </w:rPr>
        <w:t>un recours collectif national. S</w:t>
      </w:r>
      <w:r>
        <w:rPr>
          <w:rFonts w:cs="Times New Roman"/>
          <w:lang w:val="fr-CA"/>
        </w:rPr>
        <w:t>’</w:t>
      </w:r>
      <w:r w:rsidRPr="00442EE5">
        <w:rPr>
          <w:rFonts w:cs="Times New Roman"/>
          <w:lang w:val="fr-CA"/>
        </w:rPr>
        <w:t>exprimant au nom des juges majoritaires, la juge Bich a estimé qu</w:t>
      </w:r>
      <w:r>
        <w:rPr>
          <w:rFonts w:cs="Times New Roman"/>
          <w:lang w:val="fr-CA"/>
        </w:rPr>
        <w:t>’</w:t>
      </w:r>
      <w:r w:rsidRPr="00442EE5">
        <w:rPr>
          <w:rFonts w:cs="Times New Roman"/>
          <w:lang w:val="fr-CA"/>
        </w:rPr>
        <w:t>aucun des facteurs de rattachement de l</w:t>
      </w:r>
      <w:r>
        <w:rPr>
          <w:rFonts w:cs="Times New Roman"/>
          <w:lang w:val="fr-CA"/>
        </w:rPr>
        <w:t>’</w:t>
      </w:r>
      <w:r w:rsidRPr="00442EE5">
        <w:rPr>
          <w:rFonts w:cs="Times New Roman"/>
          <w:lang w:val="fr-CA"/>
        </w:rPr>
        <w:t xml:space="preserve">art. 3168 </w:t>
      </w:r>
      <w:r w:rsidRPr="00442EE5">
        <w:rPr>
          <w:rFonts w:cs="Times New Roman"/>
          <w:i/>
          <w:lang w:val="fr-CA"/>
        </w:rPr>
        <w:t>C.c.Q.</w:t>
      </w:r>
      <w:r w:rsidRPr="00442EE5">
        <w:rPr>
          <w:rFonts w:cs="Times New Roman"/>
          <w:lang w:val="fr-CA"/>
        </w:rPr>
        <w:t xml:space="preserve"> n</w:t>
      </w:r>
      <w:r>
        <w:rPr>
          <w:rFonts w:cs="Times New Roman"/>
          <w:lang w:val="fr-CA"/>
        </w:rPr>
        <w:t>’</w:t>
      </w:r>
      <w:r w:rsidRPr="00442EE5">
        <w:rPr>
          <w:rFonts w:cs="Times New Roman"/>
          <w:lang w:val="fr-CA"/>
        </w:rPr>
        <w:t>existait relativement aux membres québécois du groupe. Elle a ajouté que, de toute façon, la reconnaissance par la défenderesse de la compétence du tribunal ontarien ne pouvait à elle seule pallier l</w:t>
      </w:r>
      <w:r>
        <w:rPr>
          <w:rFonts w:cs="Times New Roman"/>
          <w:lang w:val="fr-CA"/>
        </w:rPr>
        <w:t>’</w:t>
      </w:r>
      <w:r w:rsidRPr="00442EE5">
        <w:rPr>
          <w:rFonts w:cs="Times New Roman"/>
          <w:lang w:val="fr-CA"/>
        </w:rPr>
        <w:t>absence de rattachement important entre les membres québécois du groupe et le for ontarien :</w:t>
      </w:r>
    </w:p>
    <w:p w:rsidR="00AF6697" w:rsidRPr="00442EE5" w:rsidRDefault="00AF6697" w:rsidP="00AF6697">
      <w:pPr>
        <w:pStyle w:val="Citation-AltC"/>
        <w:spacing w:after="240"/>
        <w:ind w:left="1168"/>
        <w:contextualSpacing w:val="0"/>
        <w:rPr>
          <w:lang w:val="fr-CA"/>
        </w:rPr>
      </w:pPr>
      <w:r w:rsidRPr="00442EE5">
        <w:rPr>
          <w:lang w:val="fr-CA"/>
        </w:rPr>
        <w:tab/>
        <w:t xml:space="preserve">Cela dit, </w:t>
      </w:r>
      <w:r w:rsidRPr="00442EE5">
        <w:rPr>
          <w:u w:val="single"/>
          <w:lang w:val="fr-CA"/>
        </w:rPr>
        <w:t xml:space="preserve">à supposer même que le paragraphe 3168(6) </w:t>
      </w:r>
      <w:r w:rsidR="006A27AF" w:rsidRPr="006A27AF">
        <w:rPr>
          <w:i/>
          <w:iCs/>
          <w:u w:val="single"/>
          <w:lang w:val="fr-CA"/>
        </w:rPr>
        <w:t>C.c</w:t>
      </w:r>
      <w:r w:rsidRPr="006A27AF">
        <w:rPr>
          <w:i/>
          <w:iCs/>
          <w:u w:val="single"/>
          <w:lang w:val="fr-CA"/>
        </w:rPr>
        <w:t>.Q.</w:t>
      </w:r>
      <w:r w:rsidRPr="00442EE5">
        <w:rPr>
          <w:i/>
          <w:iCs/>
          <w:u w:val="single"/>
          <w:lang w:val="fr-CA"/>
        </w:rPr>
        <w:t xml:space="preserve"> </w:t>
      </w:r>
      <w:r w:rsidRPr="00442EE5">
        <w:rPr>
          <w:u w:val="single"/>
          <w:lang w:val="fr-CA"/>
        </w:rPr>
        <w:t xml:space="preserve">justifie ici, </w:t>
      </w:r>
      <w:r w:rsidRPr="00442EE5">
        <w:rPr>
          <w:i/>
          <w:iCs/>
          <w:u w:val="single"/>
          <w:lang w:val="fr-CA"/>
        </w:rPr>
        <w:t>a priori</w:t>
      </w:r>
      <w:r w:rsidRPr="00442EE5">
        <w:rPr>
          <w:u w:val="single"/>
          <w:lang w:val="fr-CA"/>
        </w:rPr>
        <w:t>, la compétence du tribunal ontarien, je conclus que dans les circonstances de l</w:t>
      </w:r>
      <w:r>
        <w:rPr>
          <w:u w:val="single"/>
          <w:lang w:val="fr-CA"/>
        </w:rPr>
        <w:t>’</w:t>
      </w:r>
      <w:r w:rsidRPr="00442EE5">
        <w:rPr>
          <w:u w:val="single"/>
          <w:lang w:val="fr-CA"/>
        </w:rPr>
        <w:t>espèce, cette justification ne pallie pas l</w:t>
      </w:r>
      <w:r>
        <w:rPr>
          <w:u w:val="single"/>
          <w:lang w:val="fr-CA"/>
        </w:rPr>
        <w:t>’</w:t>
      </w:r>
      <w:r w:rsidRPr="00442EE5">
        <w:rPr>
          <w:u w:val="single"/>
          <w:lang w:val="fr-CA"/>
        </w:rPr>
        <w:t>absence d</w:t>
      </w:r>
      <w:r>
        <w:rPr>
          <w:u w:val="single"/>
          <w:lang w:val="fr-CA"/>
        </w:rPr>
        <w:t>’</w:t>
      </w:r>
      <w:r w:rsidRPr="00442EE5">
        <w:rPr>
          <w:u w:val="single"/>
          <w:lang w:val="fr-CA"/>
        </w:rPr>
        <w:t>un rattachement important, c</w:t>
      </w:r>
      <w:r>
        <w:rPr>
          <w:u w:val="single"/>
          <w:lang w:val="fr-CA"/>
        </w:rPr>
        <w:t>’</w:t>
      </w:r>
      <w:r w:rsidRPr="00442EE5">
        <w:rPr>
          <w:u w:val="single"/>
          <w:lang w:val="fr-CA"/>
        </w:rPr>
        <w:t>est</w:t>
      </w:r>
      <w:r w:rsidRPr="00442EE5">
        <w:rPr>
          <w:u w:val="single"/>
          <w:lang w:val="fr-CA"/>
        </w:rPr>
        <w:noBreakHyphen/>
        <w:t>à</w:t>
      </w:r>
      <w:r w:rsidRPr="00442EE5">
        <w:rPr>
          <w:u w:val="single"/>
          <w:lang w:val="fr-CA"/>
        </w:rPr>
        <w:noBreakHyphen/>
        <w:t>dire d</w:t>
      </w:r>
      <w:r>
        <w:rPr>
          <w:u w:val="single"/>
          <w:lang w:val="fr-CA"/>
        </w:rPr>
        <w:t>’</w:t>
      </w:r>
      <w:r w:rsidRPr="00442EE5">
        <w:rPr>
          <w:u w:val="single"/>
          <w:lang w:val="fr-CA"/>
        </w:rPr>
        <w:t>un lien réel et substantiel, entre le litige, dans la perspective des justiciables québécois, et le for ontarien</w:t>
      </w:r>
      <w:r w:rsidRPr="00442EE5">
        <w:rPr>
          <w:lang w:val="fr-CA"/>
        </w:rPr>
        <w:t>. Au risque de me répéter, je rappellerai de nouveau que les justiciables québécois visés par le recours collectif de l</w:t>
      </w:r>
      <w:r>
        <w:rPr>
          <w:lang w:val="fr-CA"/>
        </w:rPr>
        <w:t>’</w:t>
      </w:r>
      <w:r w:rsidRPr="00442EE5">
        <w:rPr>
          <w:lang w:val="fr-CA"/>
        </w:rPr>
        <w:t>appelant Hocking ont contracté au Québec, auprès des succursales québécoises de HSBC et dans le cadre des activités de celle</w:t>
      </w:r>
      <w:r w:rsidRPr="00442EE5">
        <w:rPr>
          <w:lang w:val="fr-CA"/>
        </w:rPr>
        <w:noBreakHyphen/>
        <w:t>ci sur le territoire québécois, des prêts hypothécaires visant des propriétés situées au Québec, prêts dont les obligations devaient être exécutées dans cette même province. Rien dans cela qui rattache le litige, quant à eux, au for ontarien.</w:t>
      </w:r>
    </w:p>
    <w:p w:rsidR="00AF6697" w:rsidRPr="00442EE5" w:rsidRDefault="00AF6697" w:rsidP="00AF6697">
      <w:pPr>
        <w:pStyle w:val="Citation-AltC"/>
        <w:rPr>
          <w:lang w:val="fr-CA"/>
        </w:rPr>
      </w:pPr>
      <w:r w:rsidRPr="00442EE5">
        <w:rPr>
          <w:sz w:val="14"/>
          <w:szCs w:val="14"/>
          <w:lang w:val="fr-CA"/>
        </w:rPr>
        <w:tab/>
      </w:r>
      <w:r w:rsidRPr="00442EE5">
        <w:rPr>
          <w:lang w:val="fr-CA"/>
        </w:rPr>
        <w:t xml:space="preserve">En résumé, dans les circonstances, </w:t>
      </w:r>
      <w:r w:rsidRPr="00442EE5">
        <w:rPr>
          <w:u w:val="single"/>
          <w:lang w:val="fr-CA"/>
        </w:rPr>
        <w:t>le seul consentement du défendeur ne peut pallier l</w:t>
      </w:r>
      <w:r>
        <w:rPr>
          <w:u w:val="single"/>
          <w:lang w:val="fr-CA"/>
        </w:rPr>
        <w:t>’</w:t>
      </w:r>
      <w:r w:rsidRPr="00442EE5">
        <w:rPr>
          <w:u w:val="single"/>
          <w:lang w:val="fr-CA"/>
        </w:rPr>
        <w:t>absence de compétence du tribunal sur des personnes qui n</w:t>
      </w:r>
      <w:r>
        <w:rPr>
          <w:u w:val="single"/>
          <w:lang w:val="fr-CA"/>
        </w:rPr>
        <w:t>’</w:t>
      </w:r>
      <w:r w:rsidRPr="00442EE5">
        <w:rPr>
          <w:u w:val="single"/>
          <w:lang w:val="fr-CA"/>
        </w:rPr>
        <w:t>ont pas elles</w:t>
      </w:r>
      <w:r w:rsidRPr="00442EE5">
        <w:rPr>
          <w:u w:val="single"/>
          <w:lang w:val="fr-CA"/>
        </w:rPr>
        <w:noBreakHyphen/>
        <w:t>mêmes manifesté (et pas même implicitement) leur volonté de participer au recours collectif institué devant un for étranger, en rapport avec un litige qui, quant à elles, n</w:t>
      </w:r>
      <w:r>
        <w:rPr>
          <w:u w:val="single"/>
          <w:lang w:val="fr-CA"/>
        </w:rPr>
        <w:t>’</w:t>
      </w:r>
      <w:r w:rsidRPr="00442EE5">
        <w:rPr>
          <w:u w:val="single"/>
          <w:lang w:val="fr-CA"/>
        </w:rPr>
        <w:t>a aucun lien réel et substantiel avec le for en question</w:t>
      </w:r>
      <w:r w:rsidRPr="00442EE5">
        <w:rPr>
          <w:lang w:val="fr-CA"/>
        </w:rPr>
        <w:t>. [Je souligne; par. 220</w:t>
      </w:r>
      <w:r w:rsidRPr="00442EE5">
        <w:rPr>
          <w:lang w:val="fr-CA"/>
        </w:rPr>
        <w:noBreakHyphen/>
        <w:t>221.]</w:t>
      </w:r>
    </w:p>
    <w:p w:rsidR="00AF6697" w:rsidRPr="00442EE5" w:rsidRDefault="00AF6697" w:rsidP="00AF6697">
      <w:pPr>
        <w:pStyle w:val="ParaNoNdepar-AltN"/>
        <w:rPr>
          <w:rFonts w:cs="Times New Roman"/>
          <w:lang w:val="fr-CA"/>
        </w:rPr>
      </w:pPr>
      <w:r w:rsidRPr="00442EE5">
        <w:rPr>
          <w:rFonts w:cs="Times New Roman"/>
          <w:lang w:val="fr-CA"/>
        </w:rPr>
        <w:lastRenderedPageBreak/>
        <w:t>Ces affaires montrent qu</w:t>
      </w:r>
      <w:r>
        <w:rPr>
          <w:rFonts w:cs="Times New Roman"/>
          <w:lang w:val="fr-CA"/>
        </w:rPr>
        <w:t>’</w:t>
      </w:r>
      <w:r w:rsidRPr="00442EE5">
        <w:rPr>
          <w:rFonts w:cs="Times New Roman"/>
          <w:lang w:val="fr-CA"/>
        </w:rPr>
        <w:t>il peut y avoir des circonstances exceptionnelles où il n</w:t>
      </w:r>
      <w:r>
        <w:rPr>
          <w:rFonts w:cs="Times New Roman"/>
          <w:lang w:val="fr-CA"/>
        </w:rPr>
        <w:t>’</w:t>
      </w:r>
      <w:r w:rsidRPr="00442EE5">
        <w:rPr>
          <w:rFonts w:cs="Times New Roman"/>
          <w:lang w:val="fr-CA"/>
        </w:rPr>
        <w:t>existe pas de rattachement important entre le litige et l</w:t>
      </w:r>
      <w:r>
        <w:rPr>
          <w:rFonts w:cs="Times New Roman"/>
          <w:lang w:val="fr-CA"/>
        </w:rPr>
        <w:t>’</w:t>
      </w:r>
      <w:r w:rsidRPr="00442EE5">
        <w:rPr>
          <w:rFonts w:cs="Times New Roman"/>
          <w:lang w:val="fr-CA"/>
        </w:rPr>
        <w:t>État étranger — même lorsque l</w:t>
      </w:r>
      <w:r>
        <w:rPr>
          <w:rFonts w:cs="Times New Roman"/>
          <w:lang w:val="fr-CA"/>
        </w:rPr>
        <w:t>’</w:t>
      </w:r>
      <w:r w:rsidRPr="00442EE5">
        <w:rPr>
          <w:rFonts w:cs="Times New Roman"/>
          <w:lang w:val="fr-CA"/>
        </w:rPr>
        <w:t>un des facteurs énoncés à l</w:t>
      </w:r>
      <w:r>
        <w:rPr>
          <w:rFonts w:cs="Times New Roman"/>
          <w:lang w:val="fr-CA"/>
        </w:rPr>
        <w:t>’</w:t>
      </w:r>
      <w:r w:rsidRPr="00442EE5">
        <w:rPr>
          <w:rFonts w:cs="Times New Roman"/>
          <w:lang w:val="fr-CA"/>
        </w:rPr>
        <w:t xml:space="preserve">art. 3168 </w:t>
      </w:r>
      <w:r w:rsidRPr="00442EE5">
        <w:rPr>
          <w:rFonts w:cs="Times New Roman"/>
          <w:i/>
          <w:lang w:val="fr-CA"/>
        </w:rPr>
        <w:t>C.c.Q.</w:t>
      </w:r>
      <w:r w:rsidRPr="00442EE5">
        <w:rPr>
          <w:rFonts w:cs="Times New Roman"/>
          <w:lang w:val="fr-CA"/>
        </w:rPr>
        <w:t xml:space="preserve"> est, strictement parlant, présent —, et où il serait contraire à l</w:t>
      </w:r>
      <w:r>
        <w:rPr>
          <w:rFonts w:cs="Times New Roman"/>
          <w:lang w:val="fr-CA"/>
        </w:rPr>
        <w:t>’</w:t>
      </w:r>
      <w:r w:rsidRPr="00442EE5">
        <w:rPr>
          <w:rFonts w:cs="Times New Roman"/>
          <w:lang w:val="fr-CA"/>
        </w:rPr>
        <w:t>obligation d</w:t>
      </w:r>
      <w:r>
        <w:rPr>
          <w:rFonts w:cs="Times New Roman"/>
          <w:lang w:val="fr-CA"/>
        </w:rPr>
        <w:t>’</w:t>
      </w:r>
      <w:r w:rsidRPr="00442EE5">
        <w:rPr>
          <w:rFonts w:cs="Times New Roman"/>
          <w:lang w:val="fr-CA"/>
        </w:rPr>
        <w:t>équité fondamentale envers les parties québécoises à un litige de reconnaître la décision étrangère.</w:t>
      </w:r>
    </w:p>
    <w:p w:rsidR="00AF6697" w:rsidRPr="00442EE5" w:rsidRDefault="00AF6697" w:rsidP="00AF6697">
      <w:pPr>
        <w:pStyle w:val="Title3LevelTitre3Niveau"/>
        <w:numPr>
          <w:ilvl w:val="2"/>
          <w:numId w:val="4"/>
        </w:numPr>
        <w:jc w:val="both"/>
        <w:rPr>
          <w:rFonts w:cs="Times New Roman"/>
          <w:i/>
          <w:lang w:val="fr-CA"/>
        </w:rPr>
      </w:pPr>
      <w:r w:rsidRPr="00442EE5">
        <w:rPr>
          <w:rFonts w:cs="Times New Roman"/>
          <w:lang w:val="fr-CA"/>
        </w:rPr>
        <w:t>Les arrêts</w:t>
      </w:r>
      <w:r w:rsidRPr="00442EE5">
        <w:rPr>
          <w:rFonts w:cs="Times New Roman"/>
          <w:i/>
          <w:lang w:val="fr-CA"/>
        </w:rPr>
        <w:t xml:space="preserve"> Spar</w:t>
      </w:r>
      <w:r w:rsidRPr="00442EE5">
        <w:rPr>
          <w:rFonts w:cs="Times New Roman"/>
          <w:lang w:val="fr-CA"/>
        </w:rPr>
        <w:t xml:space="preserve"> et </w:t>
      </w:r>
      <w:r w:rsidRPr="00442EE5">
        <w:rPr>
          <w:rFonts w:cs="Times New Roman"/>
          <w:i/>
          <w:lang w:val="fr-CA"/>
        </w:rPr>
        <w:t>Lépine</w:t>
      </w:r>
    </w:p>
    <w:p w:rsidR="00AF6697" w:rsidRPr="00442EE5" w:rsidRDefault="00AF6697" w:rsidP="00AF6697">
      <w:pPr>
        <w:pStyle w:val="ParaNoNdepar-AltN"/>
        <w:rPr>
          <w:rFonts w:cs="Times New Roman"/>
          <w:lang w:val="fr-CA"/>
        </w:rPr>
      </w:pPr>
      <w:r w:rsidRPr="00442EE5">
        <w:rPr>
          <w:rFonts w:cs="Times New Roman"/>
          <w:lang w:val="fr-CA"/>
        </w:rPr>
        <w:t>L</w:t>
      </w:r>
      <w:r>
        <w:rPr>
          <w:rFonts w:cs="Times New Roman"/>
          <w:lang w:val="fr-CA"/>
        </w:rPr>
        <w:t>’</w:t>
      </w:r>
      <w:r w:rsidRPr="00442EE5">
        <w:rPr>
          <w:rFonts w:cs="Times New Roman"/>
          <w:lang w:val="fr-CA"/>
        </w:rPr>
        <w:t>approche que j</w:t>
      </w:r>
      <w:r>
        <w:rPr>
          <w:rFonts w:cs="Times New Roman"/>
          <w:lang w:val="fr-CA"/>
        </w:rPr>
        <w:t>’</w:t>
      </w:r>
      <w:r w:rsidRPr="00442EE5">
        <w:rPr>
          <w:rFonts w:cs="Times New Roman"/>
          <w:lang w:val="fr-CA"/>
        </w:rPr>
        <w:t>adopte n</w:t>
      </w:r>
      <w:r>
        <w:rPr>
          <w:rFonts w:cs="Times New Roman"/>
          <w:lang w:val="fr-CA"/>
        </w:rPr>
        <w:t>’</w:t>
      </w:r>
      <w:r w:rsidRPr="00442EE5">
        <w:rPr>
          <w:rFonts w:cs="Times New Roman"/>
          <w:lang w:val="fr-CA"/>
        </w:rPr>
        <w:t xml:space="preserve">est pas incompatible avec les arrêts </w:t>
      </w:r>
      <w:r w:rsidRPr="00442EE5">
        <w:rPr>
          <w:rFonts w:cs="Times New Roman"/>
          <w:i/>
          <w:lang w:val="fr-CA"/>
        </w:rPr>
        <w:t xml:space="preserve">Spar </w:t>
      </w:r>
      <w:r w:rsidRPr="00442EE5">
        <w:rPr>
          <w:rFonts w:cs="Times New Roman"/>
          <w:lang w:val="fr-CA"/>
        </w:rPr>
        <w:t xml:space="preserve">et </w:t>
      </w:r>
      <w:r w:rsidRPr="00442EE5">
        <w:rPr>
          <w:rFonts w:cs="Times New Roman"/>
          <w:i/>
          <w:lang w:val="fr-CA"/>
        </w:rPr>
        <w:t>Lépine</w:t>
      </w:r>
      <w:r w:rsidRPr="00442EE5">
        <w:rPr>
          <w:rFonts w:cs="Times New Roman"/>
          <w:lang w:val="fr-CA"/>
        </w:rPr>
        <w:t xml:space="preserve">, bien au contraire. Dans </w:t>
      </w:r>
      <w:r w:rsidRPr="00442EE5">
        <w:rPr>
          <w:rFonts w:cs="Times New Roman"/>
          <w:i/>
          <w:lang w:val="fr-CA"/>
        </w:rPr>
        <w:t>Spar</w:t>
      </w:r>
      <w:r w:rsidRPr="00442EE5">
        <w:rPr>
          <w:rFonts w:cs="Times New Roman"/>
          <w:lang w:val="fr-CA"/>
        </w:rPr>
        <w:t xml:space="preserve">, la Cour a conclu que le principe du « lien réel et substantiel » énoncé dans </w:t>
      </w:r>
      <w:r w:rsidRPr="00442EE5">
        <w:rPr>
          <w:rFonts w:cs="Times New Roman"/>
          <w:i/>
          <w:lang w:val="fr-CA"/>
        </w:rPr>
        <w:t>Morguard</w:t>
      </w:r>
      <w:r w:rsidRPr="00442EE5">
        <w:rPr>
          <w:rFonts w:cs="Times New Roman"/>
          <w:lang w:val="fr-CA"/>
        </w:rPr>
        <w:t>, principe qui constitue une exigence constitutionnelle pour qu</w:t>
      </w:r>
      <w:r>
        <w:rPr>
          <w:rFonts w:cs="Times New Roman"/>
          <w:lang w:val="fr-CA"/>
        </w:rPr>
        <w:t>’</w:t>
      </w:r>
      <w:r w:rsidRPr="00442EE5">
        <w:rPr>
          <w:rFonts w:cs="Times New Roman"/>
          <w:lang w:val="fr-CA"/>
        </w:rPr>
        <w:t>il puisse y avoir déclaration de compétence, n</w:t>
      </w:r>
      <w:r>
        <w:rPr>
          <w:rFonts w:cs="Times New Roman"/>
          <w:lang w:val="fr-CA"/>
        </w:rPr>
        <w:t>’</w:t>
      </w:r>
      <w:r w:rsidRPr="00442EE5">
        <w:rPr>
          <w:rFonts w:cs="Times New Roman"/>
          <w:lang w:val="fr-CA"/>
        </w:rPr>
        <w:t xml:space="preserve">introduit pas un critère additionnel dans les cas où un tribunal </w:t>
      </w:r>
      <w:r w:rsidRPr="00442EE5">
        <w:rPr>
          <w:rFonts w:cs="Times New Roman"/>
          <w:i/>
          <w:lang w:val="fr-CA"/>
        </w:rPr>
        <w:t>québécois</w:t>
      </w:r>
      <w:r w:rsidRPr="00442EE5">
        <w:rPr>
          <w:rFonts w:cs="Times New Roman"/>
          <w:lang w:val="fr-CA"/>
        </w:rPr>
        <w:t xml:space="preserve"> est appelé à décider s</w:t>
      </w:r>
      <w:r>
        <w:rPr>
          <w:rFonts w:cs="Times New Roman"/>
          <w:lang w:val="fr-CA"/>
        </w:rPr>
        <w:t>’</w:t>
      </w:r>
      <w:r w:rsidRPr="00442EE5">
        <w:rPr>
          <w:rFonts w:cs="Times New Roman"/>
          <w:lang w:val="fr-CA"/>
        </w:rPr>
        <w:t>il a compétence pour connaître d</w:t>
      </w:r>
      <w:r>
        <w:rPr>
          <w:rFonts w:cs="Times New Roman"/>
          <w:lang w:val="fr-CA"/>
        </w:rPr>
        <w:t>’</w:t>
      </w:r>
      <w:r w:rsidRPr="00442EE5">
        <w:rPr>
          <w:rFonts w:cs="Times New Roman"/>
          <w:lang w:val="fr-CA"/>
        </w:rPr>
        <w:t>un litige. L</w:t>
      </w:r>
      <w:r>
        <w:rPr>
          <w:rFonts w:cs="Times New Roman"/>
          <w:lang w:val="fr-CA"/>
        </w:rPr>
        <w:t>’</w:t>
      </w:r>
      <w:r w:rsidRPr="00442EE5">
        <w:rPr>
          <w:rFonts w:cs="Times New Roman"/>
          <w:lang w:val="fr-CA"/>
        </w:rPr>
        <w:t>exigence constitutionnelle « se dégage [plutôt] de l</w:t>
      </w:r>
      <w:r>
        <w:rPr>
          <w:rFonts w:cs="Times New Roman"/>
          <w:lang w:val="fr-CA"/>
        </w:rPr>
        <w:t>’</w:t>
      </w:r>
      <w:r w:rsidRPr="00442EE5">
        <w:rPr>
          <w:rFonts w:cs="Times New Roman"/>
          <w:lang w:val="fr-CA"/>
        </w:rPr>
        <w:t>économie générale du Livre dixième » (</w:t>
      </w:r>
      <w:r w:rsidRPr="00442EE5">
        <w:rPr>
          <w:rFonts w:cs="Times New Roman"/>
          <w:i/>
          <w:lang w:val="fr-CA"/>
        </w:rPr>
        <w:t>Spar</w:t>
      </w:r>
      <w:r w:rsidRPr="00442EE5">
        <w:rPr>
          <w:rFonts w:cs="Times New Roman"/>
          <w:lang w:val="fr-CA"/>
        </w:rPr>
        <w:t xml:space="preserve">, par. 63). La Cour a toutefois pris soin de souligner que la décision </w:t>
      </w:r>
      <w:r w:rsidRPr="005B15B8">
        <w:rPr>
          <w:rFonts w:cs="Times New Roman"/>
          <w:i/>
          <w:lang w:val="fr-CA"/>
        </w:rPr>
        <w:t xml:space="preserve">ne </w:t>
      </w:r>
      <w:r w:rsidRPr="00442EE5">
        <w:rPr>
          <w:rFonts w:cs="Times New Roman"/>
          <w:lang w:val="fr-CA"/>
        </w:rPr>
        <w:t xml:space="preserve">concernait </w:t>
      </w:r>
      <w:r w:rsidRPr="00442EE5">
        <w:rPr>
          <w:rFonts w:cs="Times New Roman"/>
          <w:i/>
          <w:lang w:val="fr-CA"/>
        </w:rPr>
        <w:t xml:space="preserve">pas </w:t>
      </w:r>
      <w:r w:rsidRPr="00442EE5">
        <w:rPr>
          <w:rFonts w:cs="Times New Roman"/>
          <w:lang w:val="fr-CA"/>
        </w:rPr>
        <w:t>la reconnaissance des décisions étrangères et, plus précisément, l</w:t>
      </w:r>
      <w:r>
        <w:rPr>
          <w:rFonts w:cs="Times New Roman"/>
          <w:lang w:val="fr-CA"/>
        </w:rPr>
        <w:t>’</w:t>
      </w:r>
      <w:r w:rsidRPr="00442EE5">
        <w:rPr>
          <w:rFonts w:cs="Times New Roman"/>
          <w:lang w:val="fr-CA"/>
        </w:rPr>
        <w:t>exigence du rattachement important prévue à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xml:space="preserve"> (par. 64). En fait, bien que le critère énoncé à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xml:space="preserve"> doive être interprété en harmonie avec la notion </w:t>
      </w:r>
      <w:r w:rsidRPr="00442EE5">
        <w:rPr>
          <w:rFonts w:cs="Times New Roman"/>
          <w:i/>
          <w:lang w:val="fr-CA"/>
        </w:rPr>
        <w:t>constitutionnelle</w:t>
      </w:r>
      <w:r w:rsidRPr="00442EE5">
        <w:rPr>
          <w:rFonts w:cs="Times New Roman"/>
          <w:lang w:val="fr-CA"/>
        </w:rPr>
        <w:t xml:space="preserve"> de « lien réel et substantiel », les deux concepts demeurent distincts.</w:t>
      </w:r>
    </w:p>
    <w:p w:rsidR="00AF6697" w:rsidRPr="00442EE5" w:rsidRDefault="00AF6697" w:rsidP="00AF6697">
      <w:pPr>
        <w:pStyle w:val="ParaNoNdepar-AltN"/>
        <w:rPr>
          <w:rFonts w:cs="Times New Roman"/>
          <w:lang w:val="fr-CA"/>
        </w:rPr>
      </w:pPr>
      <w:r w:rsidRPr="00442EE5">
        <w:rPr>
          <w:rFonts w:cs="Times New Roman"/>
          <w:lang w:val="fr-CA"/>
        </w:rPr>
        <w:t>Quoiqu</w:t>
      </w:r>
      <w:r>
        <w:rPr>
          <w:rFonts w:cs="Times New Roman"/>
          <w:lang w:val="fr-CA"/>
        </w:rPr>
        <w:t>’</w:t>
      </w:r>
      <w:r w:rsidRPr="00442EE5">
        <w:rPr>
          <w:rFonts w:cs="Times New Roman"/>
          <w:lang w:val="fr-CA"/>
        </w:rPr>
        <w:t>il en soit, dans la mesure où l</w:t>
      </w:r>
      <w:r>
        <w:rPr>
          <w:rFonts w:cs="Times New Roman"/>
          <w:lang w:val="fr-CA"/>
        </w:rPr>
        <w:t>’</w:t>
      </w:r>
      <w:r w:rsidRPr="00442EE5">
        <w:rPr>
          <w:rFonts w:cs="Times New Roman"/>
          <w:lang w:val="fr-CA"/>
        </w:rPr>
        <w:t xml:space="preserve">arrêt </w:t>
      </w:r>
      <w:r w:rsidRPr="00442EE5">
        <w:rPr>
          <w:rFonts w:cs="Times New Roman"/>
          <w:i/>
          <w:lang w:val="fr-CA"/>
        </w:rPr>
        <w:t>Spar</w:t>
      </w:r>
      <w:r w:rsidRPr="00442EE5">
        <w:rPr>
          <w:rFonts w:cs="Times New Roman"/>
          <w:lang w:val="fr-CA"/>
        </w:rPr>
        <w:t xml:space="preserve"> est pertinent en l</w:t>
      </w:r>
      <w:r>
        <w:rPr>
          <w:rFonts w:cs="Times New Roman"/>
          <w:lang w:val="fr-CA"/>
        </w:rPr>
        <w:t>’</w:t>
      </w:r>
      <w:r w:rsidRPr="00442EE5">
        <w:rPr>
          <w:rFonts w:cs="Times New Roman"/>
          <w:lang w:val="fr-CA"/>
        </w:rPr>
        <w:t>espèce, j</w:t>
      </w:r>
      <w:r>
        <w:rPr>
          <w:rFonts w:cs="Times New Roman"/>
          <w:lang w:val="fr-CA"/>
        </w:rPr>
        <w:t>’</w:t>
      </w:r>
      <w:r w:rsidRPr="00442EE5">
        <w:rPr>
          <w:rFonts w:cs="Times New Roman"/>
          <w:lang w:val="fr-CA"/>
        </w:rPr>
        <w:t>estime que les extraits sur lesquels s</w:t>
      </w:r>
      <w:r>
        <w:rPr>
          <w:rFonts w:cs="Times New Roman"/>
          <w:lang w:val="fr-CA"/>
        </w:rPr>
        <w:t>’</w:t>
      </w:r>
      <w:r w:rsidRPr="00442EE5">
        <w:rPr>
          <w:rFonts w:cs="Times New Roman"/>
          <w:lang w:val="fr-CA"/>
        </w:rPr>
        <w:t>appuie mon collègue le juge Brown tendent à étayer l</w:t>
      </w:r>
      <w:r>
        <w:rPr>
          <w:rFonts w:cs="Times New Roman"/>
          <w:lang w:val="fr-CA"/>
        </w:rPr>
        <w:t>’</w:t>
      </w:r>
      <w:r w:rsidRPr="00442EE5">
        <w:rPr>
          <w:rFonts w:cs="Times New Roman"/>
          <w:lang w:val="fr-CA"/>
        </w:rPr>
        <w:t>approche que j</w:t>
      </w:r>
      <w:r>
        <w:rPr>
          <w:rFonts w:cs="Times New Roman"/>
          <w:lang w:val="fr-CA"/>
        </w:rPr>
        <w:t>’</w:t>
      </w:r>
      <w:r w:rsidRPr="00442EE5">
        <w:rPr>
          <w:rFonts w:cs="Times New Roman"/>
          <w:lang w:val="fr-CA"/>
        </w:rPr>
        <w:t>adopte :</w:t>
      </w:r>
    </w:p>
    <w:p w:rsidR="00AF6697" w:rsidRPr="00442EE5" w:rsidRDefault="00AF6697" w:rsidP="00AF6697">
      <w:pPr>
        <w:pStyle w:val="Citation-AltC"/>
        <w:tabs>
          <w:tab w:val="left" w:pos="1800"/>
        </w:tabs>
        <w:spacing w:after="240"/>
        <w:ind w:left="1168"/>
        <w:contextualSpacing w:val="0"/>
        <w:rPr>
          <w:lang w:val="fr-CA"/>
        </w:rPr>
      </w:pPr>
      <w:r w:rsidRPr="00442EE5">
        <w:rPr>
          <w:sz w:val="14"/>
          <w:szCs w:val="14"/>
          <w:lang w:val="fr-CA"/>
        </w:rPr>
        <w:lastRenderedPageBreak/>
        <w:tab/>
      </w:r>
      <w:r w:rsidRPr="00442EE5">
        <w:rPr>
          <w:lang w:val="fr-CA"/>
        </w:rPr>
        <w:t>À l</w:t>
      </w:r>
      <w:r>
        <w:rPr>
          <w:lang w:val="fr-CA"/>
        </w:rPr>
        <w:t>’</w:t>
      </w:r>
      <w:r w:rsidRPr="00442EE5">
        <w:rPr>
          <w:lang w:val="fr-CA"/>
        </w:rPr>
        <w:t>examen du libellé même de l</w:t>
      </w:r>
      <w:r>
        <w:rPr>
          <w:lang w:val="fr-CA"/>
        </w:rPr>
        <w:t>’</w:t>
      </w:r>
      <w:r w:rsidRPr="00442EE5">
        <w:rPr>
          <w:lang w:val="fr-CA"/>
        </w:rPr>
        <w:t xml:space="preserve">art. 3148, </w:t>
      </w:r>
      <w:r w:rsidRPr="00442EE5">
        <w:rPr>
          <w:u w:val="single"/>
          <w:lang w:val="fr-CA"/>
        </w:rPr>
        <w:t>on peut soutenir que la notion de « lien réel et substantiel » se trouve déjà subsumée sous les dispositions du par. 3148(3). En effet, chacun des motifs énumérés (la faute, le fait dommageable, le préjudice, le contrat) semble être un exemple de situations qui constituent un « lien réel et substantiel »</w:t>
      </w:r>
      <w:r w:rsidRPr="00442EE5">
        <w:rPr>
          <w:lang w:val="fr-CA"/>
        </w:rPr>
        <w:t xml:space="preserve"> entre la province de Québec et l</w:t>
      </w:r>
      <w:r>
        <w:rPr>
          <w:lang w:val="fr-CA"/>
        </w:rPr>
        <w:t>’</w:t>
      </w:r>
      <w:r w:rsidRPr="00442EE5">
        <w:rPr>
          <w:lang w:val="fr-CA"/>
        </w:rPr>
        <w:t xml:space="preserve">action. En fait, je </w:t>
      </w:r>
      <w:r w:rsidRPr="00442EE5">
        <w:rPr>
          <w:u w:val="single"/>
          <w:lang w:val="fr-CA"/>
        </w:rPr>
        <w:t>doute</w:t>
      </w:r>
      <w:r w:rsidRPr="00442EE5">
        <w:rPr>
          <w:lang w:val="fr-CA"/>
        </w:rPr>
        <w:t xml:space="preserve"> que le demandeur qui réussit à prouver l</w:t>
      </w:r>
      <w:r>
        <w:rPr>
          <w:lang w:val="fr-CA"/>
        </w:rPr>
        <w:t>’</w:t>
      </w:r>
      <w:r w:rsidRPr="00442EE5">
        <w:rPr>
          <w:lang w:val="fr-CA"/>
        </w:rPr>
        <w:t>un des quatre motifs d</w:t>
      </w:r>
      <w:r>
        <w:rPr>
          <w:lang w:val="fr-CA"/>
        </w:rPr>
        <w:t>’</w:t>
      </w:r>
      <w:r w:rsidRPr="00442EE5">
        <w:rPr>
          <w:lang w:val="fr-CA"/>
        </w:rPr>
        <w:t>attribution de compétence, ne soit pas considéré comme ayant satisfait au critère du « lien réel et substantiel », du moins aux fins de la simple reconnaissance de compétence.</w:t>
      </w:r>
    </w:p>
    <w:p w:rsidR="00AF6697" w:rsidRPr="00442EE5" w:rsidRDefault="00AF6697" w:rsidP="00AF6697">
      <w:pPr>
        <w:pStyle w:val="Citation-AltC"/>
        <w:tabs>
          <w:tab w:val="left" w:pos="1800"/>
        </w:tabs>
        <w:rPr>
          <w:lang w:val="fr-CA"/>
        </w:rPr>
      </w:pPr>
      <w:r w:rsidRPr="00442EE5">
        <w:rPr>
          <w:lang w:val="fr-CA"/>
        </w:rPr>
        <w:tab/>
        <w:t xml:space="preserve">Ensuite, après examen du système de règles contenues dans le Livre dixième, </w:t>
      </w:r>
      <w:r w:rsidRPr="00442EE5">
        <w:rPr>
          <w:u w:val="single"/>
          <w:lang w:val="fr-CA"/>
        </w:rPr>
        <w:t>il me semble que le critère du « lien réel et substantiel » s</w:t>
      </w:r>
      <w:r>
        <w:rPr>
          <w:u w:val="single"/>
          <w:lang w:val="fr-CA"/>
        </w:rPr>
        <w:t>’</w:t>
      </w:r>
      <w:r w:rsidRPr="00442EE5">
        <w:rPr>
          <w:u w:val="single"/>
          <w:lang w:val="fr-CA"/>
        </w:rPr>
        <w:t>incarne dans d</w:t>
      </w:r>
      <w:r>
        <w:rPr>
          <w:u w:val="single"/>
          <w:lang w:val="fr-CA"/>
        </w:rPr>
        <w:t>’</w:t>
      </w:r>
      <w:r w:rsidRPr="00442EE5">
        <w:rPr>
          <w:u w:val="single"/>
          <w:lang w:val="fr-CA"/>
        </w:rPr>
        <w:t>autres dispositions afin d</w:t>
      </w:r>
      <w:r>
        <w:rPr>
          <w:u w:val="single"/>
          <w:lang w:val="fr-CA"/>
        </w:rPr>
        <w:t>’</w:t>
      </w:r>
      <w:r w:rsidRPr="00442EE5">
        <w:rPr>
          <w:u w:val="single"/>
          <w:lang w:val="fr-CA"/>
        </w:rPr>
        <w:t>offrir une protection contre l</w:t>
      </w:r>
      <w:r>
        <w:rPr>
          <w:u w:val="single"/>
          <w:lang w:val="fr-CA"/>
        </w:rPr>
        <w:t>’</w:t>
      </w:r>
      <w:r w:rsidRPr="00442EE5">
        <w:rPr>
          <w:u w:val="single"/>
          <w:lang w:val="fr-CA"/>
        </w:rPr>
        <w:t>exercice injustifié de compétence de la part d</w:t>
      </w:r>
      <w:r>
        <w:rPr>
          <w:u w:val="single"/>
          <w:lang w:val="fr-CA"/>
        </w:rPr>
        <w:t>’</w:t>
      </w:r>
      <w:r w:rsidRPr="00442EE5">
        <w:rPr>
          <w:u w:val="single"/>
          <w:lang w:val="fr-CA"/>
        </w:rPr>
        <w:t>un tribunal</w:t>
      </w:r>
      <w:r>
        <w:rPr>
          <w:u w:val="single"/>
          <w:lang w:val="fr-CA"/>
        </w:rPr>
        <w:t xml:space="preserve">. </w:t>
      </w:r>
      <w:r w:rsidRPr="00442EE5">
        <w:rPr>
          <w:lang w:val="fr-CA"/>
        </w:rPr>
        <w:t xml:space="preserve">Plus particulièrement, à mon avis, </w:t>
      </w:r>
      <w:r w:rsidRPr="00442EE5">
        <w:rPr>
          <w:u w:val="single"/>
          <w:lang w:val="fr-CA"/>
        </w:rPr>
        <w:t xml:space="preserve">la doctrine du </w:t>
      </w:r>
      <w:r w:rsidRPr="00442EE5">
        <w:rPr>
          <w:i/>
          <w:iCs/>
          <w:u w:val="single"/>
          <w:lang w:val="fr-CA"/>
        </w:rPr>
        <w:t>forum non conveniens</w:t>
      </w:r>
      <w:r w:rsidRPr="00442EE5">
        <w:rPr>
          <w:u w:val="single"/>
          <w:lang w:val="fr-CA"/>
        </w:rPr>
        <w:t>, telle que codifiée à l</w:t>
      </w:r>
      <w:r>
        <w:rPr>
          <w:u w:val="single"/>
          <w:lang w:val="fr-CA"/>
        </w:rPr>
        <w:t>’</w:t>
      </w:r>
      <w:r w:rsidRPr="00442EE5">
        <w:rPr>
          <w:u w:val="single"/>
          <w:lang w:val="fr-CA"/>
        </w:rPr>
        <w:t>art. 3135, constitue un contrepoids important à la large assise juridictionnelle prévue à l</w:t>
      </w:r>
      <w:r>
        <w:rPr>
          <w:u w:val="single"/>
          <w:lang w:val="fr-CA"/>
        </w:rPr>
        <w:t>’</w:t>
      </w:r>
      <w:r w:rsidRPr="00442EE5">
        <w:rPr>
          <w:u w:val="single"/>
          <w:lang w:val="fr-CA"/>
        </w:rPr>
        <w:t>art. 3148</w:t>
      </w:r>
      <w:r>
        <w:rPr>
          <w:lang w:val="fr-CA"/>
        </w:rPr>
        <w:t xml:space="preserve">. </w:t>
      </w:r>
      <w:r w:rsidRPr="00442EE5">
        <w:rPr>
          <w:lang w:val="fr-CA"/>
        </w:rPr>
        <w:t>Ainsi, les appelantes peuvent démontrer, en conformité avec l</w:t>
      </w:r>
      <w:r>
        <w:rPr>
          <w:lang w:val="fr-CA"/>
        </w:rPr>
        <w:t>’</w:t>
      </w:r>
      <w:r w:rsidRPr="00442EE5">
        <w:rPr>
          <w:lang w:val="fr-CA"/>
        </w:rPr>
        <w:t>art. 3135, que malgré l</w:t>
      </w:r>
      <w:r>
        <w:rPr>
          <w:lang w:val="fr-CA"/>
        </w:rPr>
        <w:t>’</w:t>
      </w:r>
      <w:r w:rsidRPr="00442EE5">
        <w:rPr>
          <w:lang w:val="fr-CA"/>
        </w:rPr>
        <w:t>existence d</w:t>
      </w:r>
      <w:r>
        <w:rPr>
          <w:lang w:val="fr-CA"/>
        </w:rPr>
        <w:t>’</w:t>
      </w:r>
      <w:r w:rsidRPr="00442EE5">
        <w:rPr>
          <w:lang w:val="fr-CA"/>
        </w:rPr>
        <w:t>un lien avec les autorités du Québec, il y a un autre tribunal qui, dans l</w:t>
      </w:r>
      <w:r>
        <w:rPr>
          <w:lang w:val="fr-CA"/>
        </w:rPr>
        <w:t>’</w:t>
      </w:r>
      <w:r w:rsidRPr="00442EE5">
        <w:rPr>
          <w:lang w:val="fr-CA"/>
        </w:rPr>
        <w:t>intérêt de la justice, est mieux à même d</w:t>
      </w:r>
      <w:r>
        <w:rPr>
          <w:lang w:val="fr-CA"/>
        </w:rPr>
        <w:t>’</w:t>
      </w:r>
      <w:r w:rsidRPr="00442EE5">
        <w:rPr>
          <w:lang w:val="fr-CA"/>
        </w:rPr>
        <w:t>exercer sa compétence. [Je souligne; par. 56</w:t>
      </w:r>
      <w:r w:rsidRPr="00442EE5">
        <w:rPr>
          <w:lang w:val="fr-CA"/>
        </w:rPr>
        <w:noBreakHyphen/>
        <w:t>57.]</w:t>
      </w:r>
    </w:p>
    <w:p w:rsidR="00AF6697" w:rsidRPr="00442EE5" w:rsidRDefault="00AF6697" w:rsidP="00AF6697">
      <w:pPr>
        <w:pStyle w:val="ParaNoNdepar-AltN"/>
        <w:rPr>
          <w:rFonts w:cs="Times New Roman"/>
          <w:lang w:val="fr-CA"/>
        </w:rPr>
      </w:pPr>
      <w:r w:rsidRPr="00442EE5">
        <w:rPr>
          <w:rFonts w:cs="Times New Roman"/>
          <w:lang w:val="fr-CA"/>
        </w:rPr>
        <w:t>Premièrement, je constate que la Cour n</w:t>
      </w:r>
      <w:r>
        <w:rPr>
          <w:rFonts w:cs="Times New Roman"/>
          <w:lang w:val="fr-CA"/>
        </w:rPr>
        <w:t>’</w:t>
      </w:r>
      <w:r w:rsidRPr="00442EE5">
        <w:rPr>
          <w:rFonts w:cs="Times New Roman"/>
          <w:lang w:val="fr-CA"/>
        </w:rPr>
        <w:t>a pas totalement écarté la possibilité que, dans des circonstances exceptionnelles, les facteurs de rattachement énumérés (la faute, le fait dommageable, le préjudice et le contrat) ne suffisent pas à établir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 lien substantiel. La Cour entretenait simplement un « doute » à cet égard. Encore une fois, je reconnais qu</w:t>
      </w:r>
      <w:r>
        <w:rPr>
          <w:rFonts w:cs="Times New Roman"/>
          <w:lang w:val="fr-CA"/>
        </w:rPr>
        <w:t>’</w:t>
      </w:r>
      <w:r w:rsidRPr="00442EE5">
        <w:rPr>
          <w:rFonts w:cs="Times New Roman"/>
          <w:lang w:val="fr-CA"/>
        </w:rPr>
        <w:t>en règle générale, il est suffisant de prouver l</w:t>
      </w:r>
      <w:r>
        <w:rPr>
          <w:rFonts w:cs="Times New Roman"/>
          <w:lang w:val="fr-CA"/>
        </w:rPr>
        <w:t>’</w:t>
      </w:r>
      <w:r w:rsidRPr="00442EE5">
        <w:rPr>
          <w:rFonts w:cs="Times New Roman"/>
          <w:lang w:val="fr-CA"/>
        </w:rPr>
        <w:t>un de ces facteurs. Cela est d</w:t>
      </w:r>
      <w:r>
        <w:rPr>
          <w:rFonts w:cs="Times New Roman"/>
          <w:lang w:val="fr-CA"/>
        </w:rPr>
        <w:t>’</w:t>
      </w:r>
      <w:r w:rsidRPr="00442EE5">
        <w:rPr>
          <w:rFonts w:cs="Times New Roman"/>
          <w:lang w:val="fr-CA"/>
        </w:rPr>
        <w:t xml:space="preserve">autant plus vrai lorsque la condition énoncée </w:t>
      </w:r>
      <w:r w:rsidR="00977AC6">
        <w:rPr>
          <w:rFonts w:cs="Times New Roman"/>
          <w:lang w:val="fr-CA"/>
        </w:rPr>
        <w:t xml:space="preserve">au par. </w:t>
      </w:r>
      <w:r w:rsidRPr="00442EE5">
        <w:rPr>
          <w:rFonts w:cs="Times New Roman"/>
          <w:lang w:val="fr-CA"/>
        </w:rPr>
        <w:t xml:space="preserve">3168(3) </w:t>
      </w:r>
      <w:r w:rsidRPr="00442EE5">
        <w:rPr>
          <w:rFonts w:cs="Times New Roman"/>
          <w:i/>
          <w:lang w:val="fr-CA"/>
        </w:rPr>
        <w:t>C.c.Q</w:t>
      </w:r>
      <w:r w:rsidRPr="00442EE5">
        <w:rPr>
          <w:rFonts w:cs="Times New Roman"/>
          <w:lang w:val="fr-CA"/>
        </w:rPr>
        <w:t>. est remplie puisque, dans de tels cas, les éléments de faute et de préjudice doivent être réunis. Cependant, il m</w:t>
      </w:r>
      <w:r>
        <w:rPr>
          <w:rFonts w:cs="Times New Roman"/>
          <w:lang w:val="fr-CA"/>
        </w:rPr>
        <w:t>’</w:t>
      </w:r>
      <w:r w:rsidRPr="00442EE5">
        <w:rPr>
          <w:rFonts w:cs="Times New Roman"/>
          <w:lang w:val="fr-CA"/>
        </w:rPr>
        <w:t xml:space="preserve">apparaît imprudent de tenir pour acquis que cela est </w:t>
      </w:r>
      <w:r w:rsidRPr="00442EE5">
        <w:rPr>
          <w:rFonts w:cs="Times New Roman"/>
          <w:i/>
          <w:lang w:val="fr-CA"/>
        </w:rPr>
        <w:t>toujours</w:t>
      </w:r>
      <w:r w:rsidRPr="00442EE5">
        <w:rPr>
          <w:rFonts w:cs="Times New Roman"/>
          <w:lang w:val="fr-CA"/>
        </w:rPr>
        <w:t xml:space="preserve"> suffisant, comme l</w:t>
      </w:r>
      <w:r>
        <w:rPr>
          <w:rFonts w:cs="Times New Roman"/>
          <w:lang w:val="fr-CA"/>
        </w:rPr>
        <w:t>’</w:t>
      </w:r>
      <w:r w:rsidRPr="00442EE5">
        <w:rPr>
          <w:rFonts w:cs="Times New Roman"/>
          <w:lang w:val="fr-CA"/>
        </w:rPr>
        <w:t xml:space="preserve">illustre la décision </w:t>
      </w:r>
      <w:r w:rsidRPr="00442EE5">
        <w:rPr>
          <w:rFonts w:cs="Times New Roman"/>
          <w:i/>
          <w:lang w:val="fr-CA"/>
        </w:rPr>
        <w:t xml:space="preserve">Cortas Canning </w:t>
      </w:r>
      <w:r w:rsidRPr="00442EE5">
        <w:rPr>
          <w:rFonts w:cs="Times New Roman"/>
          <w:lang w:val="fr-CA"/>
        </w:rPr>
        <w:t>dont j</w:t>
      </w:r>
      <w:r>
        <w:rPr>
          <w:rFonts w:cs="Times New Roman"/>
          <w:lang w:val="fr-CA"/>
        </w:rPr>
        <w:t>’</w:t>
      </w:r>
      <w:r w:rsidRPr="00442EE5">
        <w:rPr>
          <w:rFonts w:cs="Times New Roman"/>
          <w:lang w:val="fr-CA"/>
        </w:rPr>
        <w:t>ai traité précédemment.</w:t>
      </w:r>
    </w:p>
    <w:p w:rsidR="00AF6697" w:rsidRPr="00442EE5" w:rsidRDefault="00AF6697" w:rsidP="00AF6697">
      <w:pPr>
        <w:pStyle w:val="ParaNoNdepar-AltN"/>
        <w:rPr>
          <w:rFonts w:cs="Times New Roman"/>
          <w:lang w:val="fr-CA"/>
        </w:rPr>
      </w:pPr>
      <w:r w:rsidRPr="00442EE5">
        <w:rPr>
          <w:rFonts w:cs="Times New Roman"/>
          <w:lang w:val="fr-CA"/>
        </w:rPr>
        <w:t xml:space="preserve">Deuxièmement, lorsque la Cour a fait état des motifs sous lesquels la notion de lien réel et substantiel peut se trouver englobée, elle a mentionné </w:t>
      </w:r>
      <w:r w:rsidRPr="00442EE5">
        <w:rPr>
          <w:rFonts w:cs="Times New Roman"/>
          <w:i/>
          <w:lang w:val="fr-CA"/>
        </w:rPr>
        <w:t>uniquement</w:t>
      </w:r>
      <w:r w:rsidRPr="00442EE5">
        <w:rPr>
          <w:rFonts w:cs="Times New Roman"/>
          <w:lang w:val="fr-CA"/>
        </w:rPr>
        <w:t xml:space="preserve"> </w:t>
      </w:r>
      <w:r w:rsidRPr="00442EE5">
        <w:rPr>
          <w:rFonts w:cs="Times New Roman"/>
          <w:lang w:val="fr-CA"/>
        </w:rPr>
        <w:lastRenderedPageBreak/>
        <w:t>ceux énumérés à l</w:t>
      </w:r>
      <w:r>
        <w:rPr>
          <w:rFonts w:cs="Times New Roman"/>
          <w:lang w:val="fr-CA"/>
        </w:rPr>
        <w:t>’</w:t>
      </w:r>
      <w:r w:rsidRPr="00442EE5">
        <w:rPr>
          <w:rFonts w:cs="Times New Roman"/>
          <w:lang w:val="fr-CA"/>
        </w:rPr>
        <w:t xml:space="preserve">art. 3148 al. 1(3) </w:t>
      </w:r>
      <w:r w:rsidRPr="00442EE5">
        <w:rPr>
          <w:rFonts w:cs="Times New Roman"/>
          <w:i/>
          <w:lang w:val="fr-CA"/>
        </w:rPr>
        <w:t>C.c.Q.</w:t>
      </w:r>
      <w:r w:rsidRPr="00442EE5">
        <w:rPr>
          <w:rFonts w:cs="Times New Roman"/>
          <w:lang w:val="fr-CA"/>
        </w:rPr>
        <w:t xml:space="preserve"> (la faute, le fait dommageable, le préjudice et le contrat). La Cour a omis de mentionner d</w:t>
      </w:r>
      <w:r>
        <w:rPr>
          <w:rFonts w:cs="Times New Roman"/>
          <w:lang w:val="fr-CA"/>
        </w:rPr>
        <w:t>’</w:t>
      </w:r>
      <w:r w:rsidRPr="00442EE5">
        <w:rPr>
          <w:rFonts w:cs="Times New Roman"/>
          <w:lang w:val="fr-CA"/>
        </w:rPr>
        <w:t xml:space="preserve">autres facteurs de rattachement, dont la </w:t>
      </w:r>
      <w:r w:rsidRPr="00442EE5">
        <w:rPr>
          <w:rFonts w:cs="Times New Roman"/>
          <w:i/>
          <w:lang w:val="fr-CA"/>
        </w:rPr>
        <w:t>reconnaissance de compétence</w:t>
      </w:r>
      <w:r w:rsidRPr="00442EE5">
        <w:rPr>
          <w:rFonts w:cs="Times New Roman"/>
          <w:lang w:val="fr-CA"/>
        </w:rPr>
        <w:t>. À mon avis, cette omission est révélatrice. À cet égard, il convient de rappeler qu</w:t>
      </w:r>
      <w:r>
        <w:rPr>
          <w:rFonts w:cs="Times New Roman"/>
          <w:lang w:val="fr-CA"/>
        </w:rPr>
        <w:t>’</w:t>
      </w:r>
      <w:r w:rsidRPr="00442EE5">
        <w:rPr>
          <w:rFonts w:cs="Times New Roman"/>
          <w:lang w:val="fr-CA"/>
        </w:rPr>
        <w:t xml:space="preserve">en common law, la reconnaissance de compétence </w:t>
      </w:r>
      <w:r w:rsidRPr="005B15B8">
        <w:rPr>
          <w:rFonts w:cs="Times New Roman"/>
          <w:i/>
          <w:lang w:val="fr-CA"/>
        </w:rPr>
        <w:t>n’</w:t>
      </w:r>
      <w:r w:rsidRPr="00442EE5">
        <w:rPr>
          <w:rFonts w:cs="Times New Roman"/>
          <w:lang w:val="fr-CA"/>
        </w:rPr>
        <w:t xml:space="preserve">établit </w:t>
      </w:r>
      <w:r w:rsidRPr="00442EE5">
        <w:rPr>
          <w:rFonts w:cs="Times New Roman"/>
          <w:i/>
          <w:lang w:val="fr-CA"/>
        </w:rPr>
        <w:t>pas</w:t>
      </w:r>
      <w:r w:rsidRPr="00442EE5">
        <w:rPr>
          <w:rFonts w:cs="Times New Roman"/>
          <w:lang w:val="fr-CA"/>
        </w:rPr>
        <w:t xml:space="preserve">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 xml:space="preserve">un lien réel et substantiel, mais constitue plutôt un motif </w:t>
      </w:r>
      <w:r w:rsidRPr="00442EE5">
        <w:rPr>
          <w:rFonts w:cs="Times New Roman"/>
          <w:i/>
          <w:lang w:val="fr-CA"/>
        </w:rPr>
        <w:t>distinct</w:t>
      </w:r>
      <w:r w:rsidRPr="00442EE5">
        <w:rPr>
          <w:rFonts w:cs="Times New Roman"/>
          <w:lang w:val="fr-CA"/>
        </w:rPr>
        <w:t xml:space="preserve"> de déclaration de compétence (voir </w:t>
      </w:r>
      <w:r w:rsidRPr="00442EE5">
        <w:rPr>
          <w:rFonts w:cs="Times New Roman"/>
          <w:i/>
          <w:lang w:val="fr-CA"/>
        </w:rPr>
        <w:t>Morguard</w:t>
      </w:r>
      <w:r w:rsidRPr="00442EE5">
        <w:rPr>
          <w:rFonts w:cs="Times New Roman"/>
          <w:lang w:val="fr-CA"/>
        </w:rPr>
        <w:t>, p. 1103</w:t>
      </w:r>
      <w:r w:rsidRPr="00442EE5">
        <w:rPr>
          <w:rFonts w:cs="Times New Roman"/>
          <w:lang w:val="fr-CA"/>
        </w:rPr>
        <w:noBreakHyphen/>
        <w:t xml:space="preserve">1104; </w:t>
      </w:r>
      <w:r w:rsidRPr="00442EE5">
        <w:rPr>
          <w:rFonts w:cs="Times New Roman"/>
          <w:i/>
          <w:lang w:val="fr-CA"/>
        </w:rPr>
        <w:t>Van Breda</w:t>
      </w:r>
      <w:r w:rsidRPr="00442EE5">
        <w:rPr>
          <w:rFonts w:cs="Times New Roman"/>
          <w:lang w:val="fr-CA"/>
        </w:rPr>
        <w:t>, par. 79;</w:t>
      </w:r>
      <w:r w:rsidRPr="00442EE5">
        <w:rPr>
          <w:rFonts w:eastAsia="Times New Roman" w:cs="Times New Roman"/>
          <w:i/>
          <w:szCs w:val="24"/>
          <w:lang w:val="fr-CA" w:eastAsia="en-CA"/>
        </w:rPr>
        <w:t xml:space="preserve"> </w:t>
      </w:r>
      <w:r w:rsidRPr="00442EE5">
        <w:rPr>
          <w:rFonts w:cs="Times New Roman"/>
          <w:i/>
          <w:lang w:val="fr-CA"/>
        </w:rPr>
        <w:t>Beals c. Saldanha</w:t>
      </w:r>
      <w:r w:rsidRPr="00442EE5">
        <w:rPr>
          <w:rFonts w:cs="Times New Roman"/>
          <w:lang w:val="fr-CA"/>
        </w:rPr>
        <w:t>, 2003 CSC 72, [2003] 3 R.C.S. 416, par. 34 et  37; Walker, p. 14</w:t>
      </w:r>
      <w:r w:rsidRPr="00442EE5">
        <w:rPr>
          <w:rFonts w:cs="Times New Roman"/>
          <w:lang w:val="fr-CA"/>
        </w:rPr>
        <w:noBreakHyphen/>
        <w:t>20.4). La reconnaissance de compétence ne rattache pas en elle</w:t>
      </w:r>
      <w:r w:rsidRPr="00442EE5">
        <w:rPr>
          <w:rFonts w:cs="Times New Roman"/>
          <w:lang w:val="fr-CA"/>
        </w:rPr>
        <w:noBreakHyphen/>
        <w:t>même le litige sous</w:t>
      </w:r>
      <w:r w:rsidRPr="00442EE5">
        <w:rPr>
          <w:rFonts w:cs="Times New Roman"/>
          <w:lang w:val="fr-CA"/>
        </w:rPr>
        <w:noBreakHyphen/>
        <w:t>jacent à l</w:t>
      </w:r>
      <w:r>
        <w:rPr>
          <w:rFonts w:cs="Times New Roman"/>
          <w:lang w:val="fr-CA"/>
        </w:rPr>
        <w:t>’</w:t>
      </w:r>
      <w:r w:rsidRPr="00442EE5">
        <w:rPr>
          <w:rFonts w:cs="Times New Roman"/>
          <w:lang w:val="fr-CA"/>
        </w:rPr>
        <w:t>État étranger. Lorsque le défendeur reconnaît la compétence d</w:t>
      </w:r>
      <w:r>
        <w:rPr>
          <w:rFonts w:cs="Times New Roman"/>
          <w:lang w:val="fr-CA"/>
        </w:rPr>
        <w:t>’</w:t>
      </w:r>
      <w:r w:rsidRPr="00442EE5">
        <w:rPr>
          <w:rFonts w:cs="Times New Roman"/>
          <w:lang w:val="fr-CA"/>
        </w:rPr>
        <w:t>un tribunal étranger, la compétence repose plutôt sur le consentement implicite des parties (</w:t>
      </w:r>
      <w:r w:rsidRPr="00442EE5">
        <w:rPr>
          <w:rFonts w:cs="Times New Roman"/>
          <w:i/>
          <w:lang w:val="fr-CA"/>
        </w:rPr>
        <w:t>Hocking</w:t>
      </w:r>
      <w:r w:rsidRPr="00442EE5">
        <w:rPr>
          <w:rFonts w:cs="Times New Roman"/>
          <w:lang w:val="fr-CA"/>
        </w:rPr>
        <w:t>, par. 214</w:t>
      </w:r>
      <w:r w:rsidRPr="00442EE5">
        <w:rPr>
          <w:rFonts w:cs="Times New Roman"/>
          <w:lang w:val="fr-CA"/>
        </w:rPr>
        <w:noBreakHyphen/>
        <w:t>215).</w:t>
      </w:r>
    </w:p>
    <w:p w:rsidR="00AF6697" w:rsidRPr="00442EE5" w:rsidRDefault="00AF6697" w:rsidP="00AF6697">
      <w:pPr>
        <w:pStyle w:val="ParaNoNdepar-AltN"/>
        <w:rPr>
          <w:rFonts w:cs="Times New Roman"/>
          <w:lang w:val="fr-CA"/>
        </w:rPr>
      </w:pPr>
      <w:r w:rsidRPr="00442EE5">
        <w:rPr>
          <w:rFonts w:cs="Times New Roman"/>
          <w:lang w:val="fr-CA"/>
        </w:rPr>
        <w:t>Troisièmement, les extraits ci</w:t>
      </w:r>
      <w:r w:rsidRPr="00442EE5">
        <w:rPr>
          <w:rFonts w:cs="Times New Roman"/>
          <w:lang w:val="fr-CA"/>
        </w:rPr>
        <w:noBreakHyphen/>
        <w:t>dessus de l</w:t>
      </w:r>
      <w:r>
        <w:rPr>
          <w:rFonts w:cs="Times New Roman"/>
          <w:lang w:val="fr-CA"/>
        </w:rPr>
        <w:t>’</w:t>
      </w:r>
      <w:r w:rsidRPr="00442EE5">
        <w:rPr>
          <w:rFonts w:cs="Times New Roman"/>
          <w:lang w:val="fr-CA"/>
        </w:rPr>
        <w:t xml:space="preserve">arrêt </w:t>
      </w:r>
      <w:r w:rsidRPr="00442EE5">
        <w:rPr>
          <w:rFonts w:cs="Times New Roman"/>
          <w:i/>
          <w:lang w:val="fr-CA"/>
        </w:rPr>
        <w:t>Spar</w:t>
      </w:r>
      <w:r w:rsidRPr="00442EE5">
        <w:rPr>
          <w:rFonts w:cs="Times New Roman"/>
          <w:lang w:val="fr-CA"/>
        </w:rPr>
        <w:t xml:space="preserve"> indiquent clairement que la Cour était consciente du risque d</w:t>
      </w:r>
      <w:r>
        <w:rPr>
          <w:rFonts w:cs="Times New Roman"/>
          <w:lang w:val="fr-CA"/>
        </w:rPr>
        <w:t>’</w:t>
      </w:r>
      <w:r w:rsidRPr="00442EE5">
        <w:rPr>
          <w:rFonts w:cs="Times New Roman"/>
          <w:lang w:val="fr-CA"/>
        </w:rPr>
        <w:t>un « exercice injustifié de compétence de la part d</w:t>
      </w:r>
      <w:r>
        <w:rPr>
          <w:rFonts w:cs="Times New Roman"/>
          <w:lang w:val="fr-CA"/>
        </w:rPr>
        <w:t>’</w:t>
      </w:r>
      <w:r w:rsidRPr="00442EE5">
        <w:rPr>
          <w:rFonts w:cs="Times New Roman"/>
          <w:lang w:val="fr-CA"/>
        </w:rPr>
        <w:t>un tribunal ». C</w:t>
      </w:r>
      <w:r>
        <w:rPr>
          <w:rFonts w:cs="Times New Roman"/>
          <w:lang w:val="fr-CA"/>
        </w:rPr>
        <w:t>’</w:t>
      </w:r>
      <w:r w:rsidRPr="00442EE5">
        <w:rPr>
          <w:rFonts w:cs="Times New Roman"/>
          <w:lang w:val="fr-CA"/>
        </w:rPr>
        <w:t xml:space="preserve">est pourquoi elle a tenu à souligner que la doctrine du </w:t>
      </w:r>
      <w:r w:rsidRPr="00442EE5">
        <w:rPr>
          <w:rFonts w:cs="Times New Roman"/>
          <w:i/>
          <w:lang w:val="fr-CA"/>
        </w:rPr>
        <w:t>forum non conveniens</w:t>
      </w:r>
      <w:r w:rsidRPr="00442EE5">
        <w:rPr>
          <w:rFonts w:cs="Times New Roman"/>
          <w:lang w:val="fr-CA"/>
        </w:rPr>
        <w:t xml:space="preserve"> constitue un « contrepoids important » à la rigidité des facteurs de rattachement codifiés. Cependant, comme l</w:t>
      </w:r>
      <w:r>
        <w:rPr>
          <w:rFonts w:cs="Times New Roman"/>
          <w:lang w:val="fr-CA"/>
        </w:rPr>
        <w:t>’</w:t>
      </w:r>
      <w:r w:rsidRPr="00442EE5">
        <w:rPr>
          <w:rFonts w:cs="Times New Roman"/>
          <w:lang w:val="fr-CA"/>
        </w:rPr>
        <w:t>a par la suite conclu la Cour dans l</w:t>
      </w:r>
      <w:r>
        <w:rPr>
          <w:rFonts w:cs="Times New Roman"/>
          <w:lang w:val="fr-CA"/>
        </w:rPr>
        <w:t>’</w:t>
      </w:r>
      <w:r w:rsidRPr="00442EE5">
        <w:rPr>
          <w:rFonts w:cs="Times New Roman"/>
          <w:lang w:val="fr-CA"/>
        </w:rPr>
        <w:t xml:space="preserve">arrêt </w:t>
      </w:r>
      <w:r w:rsidRPr="00442EE5">
        <w:rPr>
          <w:rFonts w:cs="Times New Roman"/>
          <w:i/>
          <w:lang w:val="fr-CA"/>
        </w:rPr>
        <w:t>Lépine</w:t>
      </w:r>
      <w:r w:rsidRPr="00442EE5">
        <w:rPr>
          <w:rFonts w:cs="Times New Roman"/>
          <w:lang w:val="fr-CA"/>
        </w:rPr>
        <w:t>, cette doctrine ne s</w:t>
      </w:r>
      <w:r>
        <w:rPr>
          <w:rFonts w:cs="Times New Roman"/>
          <w:lang w:val="fr-CA"/>
        </w:rPr>
        <w:t>’</w:t>
      </w:r>
      <w:r w:rsidRPr="00442EE5">
        <w:rPr>
          <w:rFonts w:cs="Times New Roman"/>
          <w:lang w:val="fr-CA"/>
        </w:rPr>
        <w:t>applique pas à la reconnaissance des décisions étrangères. À mon avis, cela rend l</w:t>
      </w:r>
      <w:r>
        <w:rPr>
          <w:rFonts w:cs="Times New Roman"/>
          <w:lang w:val="fr-CA"/>
        </w:rPr>
        <w:t>’</w:t>
      </w:r>
      <w:r w:rsidRPr="00442EE5">
        <w:rPr>
          <w:rFonts w:cs="Times New Roman"/>
          <w:lang w:val="fr-CA"/>
        </w:rPr>
        <w:t>exigence du rattachement important énoncée à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d</w:t>
      </w:r>
      <w:r>
        <w:rPr>
          <w:rFonts w:cs="Times New Roman"/>
          <w:lang w:val="fr-CA"/>
        </w:rPr>
        <w:t>’</w:t>
      </w:r>
      <w:r w:rsidRPr="00442EE5">
        <w:rPr>
          <w:rFonts w:cs="Times New Roman"/>
          <w:lang w:val="fr-CA"/>
        </w:rPr>
        <w:t>autant plus nécessaire comme protection contre les déclarations inappropriées de compétence (voir Goldstein, fasc. 11, par. 11 et 18).</w:t>
      </w:r>
    </w:p>
    <w:p w:rsidR="00AF6697" w:rsidRPr="00442EE5" w:rsidRDefault="00AF6697" w:rsidP="00AF6697">
      <w:pPr>
        <w:pStyle w:val="ParaNoNdepar-AltN"/>
        <w:rPr>
          <w:rFonts w:cs="Times New Roman"/>
          <w:lang w:val="fr-CA"/>
        </w:rPr>
      </w:pPr>
      <w:r w:rsidRPr="00442EE5">
        <w:rPr>
          <w:rFonts w:cs="Times New Roman"/>
          <w:lang w:val="fr-CA"/>
        </w:rPr>
        <w:t>Dans l</w:t>
      </w:r>
      <w:r>
        <w:rPr>
          <w:rFonts w:cs="Times New Roman"/>
          <w:lang w:val="fr-CA"/>
        </w:rPr>
        <w:t>’</w:t>
      </w:r>
      <w:r w:rsidRPr="00442EE5">
        <w:rPr>
          <w:rFonts w:cs="Times New Roman"/>
          <w:lang w:val="fr-CA"/>
        </w:rPr>
        <w:t>ensemble, l</w:t>
      </w:r>
      <w:r>
        <w:rPr>
          <w:rFonts w:cs="Times New Roman"/>
          <w:lang w:val="fr-CA"/>
        </w:rPr>
        <w:t>’</w:t>
      </w:r>
      <w:r w:rsidRPr="00442EE5">
        <w:rPr>
          <w:rFonts w:cs="Times New Roman"/>
          <w:lang w:val="fr-CA"/>
        </w:rPr>
        <w:t xml:space="preserve">arrêt </w:t>
      </w:r>
      <w:r w:rsidRPr="00442EE5">
        <w:rPr>
          <w:rFonts w:cs="Times New Roman"/>
          <w:i/>
          <w:lang w:val="fr-CA"/>
        </w:rPr>
        <w:t xml:space="preserve">Spar </w:t>
      </w:r>
      <w:r w:rsidRPr="00442EE5">
        <w:rPr>
          <w:rFonts w:cs="Times New Roman"/>
          <w:lang w:val="fr-CA"/>
        </w:rPr>
        <w:t>ne permet pas d</w:t>
      </w:r>
      <w:r>
        <w:rPr>
          <w:rFonts w:cs="Times New Roman"/>
          <w:lang w:val="fr-CA"/>
        </w:rPr>
        <w:t>’</w:t>
      </w:r>
      <w:r w:rsidRPr="00442EE5">
        <w:rPr>
          <w:rFonts w:cs="Times New Roman"/>
          <w:lang w:val="fr-CA"/>
        </w:rPr>
        <w:t xml:space="preserve">affirmer que </w:t>
      </w:r>
      <w:r w:rsidRPr="00442EE5">
        <w:rPr>
          <w:rFonts w:cs="Times New Roman"/>
          <w:i/>
          <w:lang w:val="fr-CA"/>
        </w:rPr>
        <w:t>chaque</w:t>
      </w:r>
      <w:r w:rsidRPr="00442EE5">
        <w:rPr>
          <w:rFonts w:cs="Times New Roman"/>
          <w:lang w:val="fr-CA"/>
        </w:rPr>
        <w:t xml:space="preserve"> facteur de rattachement codifié — y compris la reconnaissance de compétence — est toujours suffisant, en </w:t>
      </w:r>
      <w:r w:rsidRPr="00442EE5">
        <w:rPr>
          <w:rFonts w:cs="Times New Roman"/>
          <w:i/>
          <w:lang w:val="fr-CA"/>
        </w:rPr>
        <w:t>toutes</w:t>
      </w:r>
      <w:r w:rsidRPr="00442EE5">
        <w:rPr>
          <w:rFonts w:cs="Times New Roman"/>
          <w:lang w:val="fr-CA"/>
        </w:rPr>
        <w:t xml:space="preserve"> circonstances, pour satisfaire à l</w:t>
      </w:r>
      <w:r>
        <w:rPr>
          <w:rFonts w:cs="Times New Roman"/>
          <w:lang w:val="fr-CA"/>
        </w:rPr>
        <w:t>’</w:t>
      </w:r>
      <w:r w:rsidRPr="00442EE5">
        <w:rPr>
          <w:rFonts w:cs="Times New Roman"/>
          <w:lang w:val="fr-CA"/>
        </w:rPr>
        <w:t xml:space="preserve">exigence du rattachement </w:t>
      </w:r>
      <w:r w:rsidRPr="00442EE5">
        <w:rPr>
          <w:rFonts w:cs="Times New Roman"/>
          <w:lang w:val="fr-CA"/>
        </w:rPr>
        <w:lastRenderedPageBreak/>
        <w:t>important prévue à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Au contraire, la Cour y reconnaît clairement la nécessité de mécanismes offrant une protection contre un « exercice injustifié de compétence » :</w:t>
      </w:r>
    </w:p>
    <w:p w:rsidR="00AF6697" w:rsidRPr="00442EE5" w:rsidRDefault="00AF6697" w:rsidP="00AF6697">
      <w:pPr>
        <w:pStyle w:val="Citation-AltC"/>
        <w:tabs>
          <w:tab w:val="left" w:pos="1800"/>
        </w:tabs>
        <w:rPr>
          <w:lang w:val="fr-CA"/>
        </w:rPr>
      </w:pPr>
      <w:r w:rsidRPr="00442EE5">
        <w:rPr>
          <w:lang w:val="fr-CA"/>
        </w:rPr>
        <w:tab/>
      </w:r>
      <w:r w:rsidRPr="00442EE5">
        <w:rPr>
          <w:u w:val="single"/>
          <w:lang w:val="fr-CA"/>
        </w:rPr>
        <w:t>Il est</w:t>
      </w:r>
      <w:r w:rsidRPr="00442EE5">
        <w:rPr>
          <w:lang w:val="fr-CA"/>
        </w:rPr>
        <w:t xml:space="preserve"> également </w:t>
      </w:r>
      <w:r w:rsidRPr="00442EE5">
        <w:rPr>
          <w:u w:val="single"/>
          <w:lang w:val="fr-CA"/>
        </w:rPr>
        <w:t>important de se rappeler que d</w:t>
      </w:r>
      <w:r>
        <w:rPr>
          <w:u w:val="single"/>
          <w:lang w:val="fr-CA"/>
        </w:rPr>
        <w:t>’</w:t>
      </w:r>
      <w:r w:rsidRPr="00442EE5">
        <w:rPr>
          <w:u w:val="single"/>
          <w:lang w:val="fr-CA"/>
        </w:rPr>
        <w:t xml:space="preserve">autres règles de droit international privé énoncées au Livre dixième du </w:t>
      </w:r>
      <w:r w:rsidRPr="00442EE5">
        <w:rPr>
          <w:i/>
          <w:iCs/>
          <w:u w:val="single"/>
          <w:lang w:val="fr-CA"/>
        </w:rPr>
        <w:t xml:space="preserve">C.c.Q. </w:t>
      </w:r>
      <w:r w:rsidRPr="00442EE5">
        <w:rPr>
          <w:u w:val="single"/>
          <w:lang w:val="fr-CA"/>
        </w:rPr>
        <w:t>contribuent à assurer le respect du critère du « lien réel et substantiel »</w:t>
      </w:r>
      <w:r>
        <w:rPr>
          <w:u w:val="single"/>
          <w:lang w:val="fr-CA"/>
        </w:rPr>
        <w:t xml:space="preserve">. </w:t>
      </w:r>
      <w:r w:rsidRPr="00442EE5">
        <w:rPr>
          <w:u w:val="single"/>
          <w:lang w:val="fr-CA"/>
        </w:rPr>
        <w:t>Par exemple, l</w:t>
      </w:r>
      <w:r>
        <w:rPr>
          <w:u w:val="single"/>
          <w:lang w:val="fr-CA"/>
        </w:rPr>
        <w:t>’</w:t>
      </w:r>
      <w:r w:rsidRPr="00442EE5">
        <w:rPr>
          <w:u w:val="single"/>
          <w:lang w:val="fr-CA"/>
        </w:rPr>
        <w:t>exigence d</w:t>
      </w:r>
      <w:r>
        <w:rPr>
          <w:u w:val="single"/>
          <w:lang w:val="fr-CA"/>
        </w:rPr>
        <w:t>’</w:t>
      </w:r>
      <w:r w:rsidRPr="00442EE5">
        <w:rPr>
          <w:u w:val="single"/>
          <w:lang w:val="fr-CA"/>
        </w:rPr>
        <w:t>un lien substantiel représente une condition préalable pour reconnaître la compétence des tribunaux étrangers suivant l</w:t>
      </w:r>
      <w:r>
        <w:rPr>
          <w:u w:val="single"/>
          <w:lang w:val="fr-CA"/>
        </w:rPr>
        <w:t>’</w:t>
      </w:r>
      <w:r w:rsidRPr="00442EE5">
        <w:rPr>
          <w:u w:val="single"/>
          <w:lang w:val="fr-CA"/>
        </w:rPr>
        <w:t xml:space="preserve">art. 3164 </w:t>
      </w:r>
      <w:r w:rsidRPr="00442EE5">
        <w:rPr>
          <w:i/>
          <w:iCs/>
          <w:u w:val="single"/>
          <w:lang w:val="fr-CA"/>
        </w:rPr>
        <w:t>C.c.Q</w:t>
      </w:r>
      <w:r w:rsidRPr="00BD1645">
        <w:rPr>
          <w:i/>
          <w:iCs/>
          <w:u w:val="single"/>
          <w:lang w:val="fr-CA"/>
        </w:rPr>
        <w:t>.</w:t>
      </w:r>
      <w:r>
        <w:rPr>
          <w:i/>
          <w:iCs/>
          <w:lang w:val="fr-CA"/>
        </w:rPr>
        <w:t xml:space="preserve"> </w:t>
      </w:r>
      <w:r w:rsidRPr="00442EE5">
        <w:rPr>
          <w:lang w:val="fr-CA"/>
        </w:rPr>
        <w:t>Aussi, dans les questions relatives au choix de la loi applicable, l</w:t>
      </w:r>
      <w:r>
        <w:rPr>
          <w:lang w:val="fr-CA"/>
        </w:rPr>
        <w:t>’</w:t>
      </w:r>
      <w:r w:rsidRPr="00442EE5">
        <w:rPr>
          <w:lang w:val="fr-CA"/>
        </w:rPr>
        <w:t xml:space="preserve">art. 3126 </w:t>
      </w:r>
      <w:r w:rsidRPr="00442EE5">
        <w:rPr>
          <w:i/>
          <w:iCs/>
          <w:lang w:val="fr-CA"/>
        </w:rPr>
        <w:t>C.c.Q.</w:t>
      </w:r>
      <w:r w:rsidRPr="00442EE5">
        <w:rPr>
          <w:lang w:val="fr-CA"/>
        </w:rPr>
        <w:t xml:space="preserve"> commande qu</w:t>
      </w:r>
      <w:r>
        <w:rPr>
          <w:lang w:val="fr-CA"/>
        </w:rPr>
        <w:t>’</w:t>
      </w:r>
      <w:r w:rsidRPr="00442EE5">
        <w:rPr>
          <w:lang w:val="fr-CA"/>
        </w:rPr>
        <w:t xml:space="preserve">on applique le principe de la </w:t>
      </w:r>
      <w:r w:rsidRPr="00442EE5">
        <w:rPr>
          <w:i/>
          <w:iCs/>
          <w:lang w:val="fr-CA"/>
        </w:rPr>
        <w:t>lex loci delicti</w:t>
      </w:r>
      <w:r w:rsidRPr="00442EE5">
        <w:rPr>
          <w:lang w:val="fr-CA"/>
        </w:rPr>
        <w:t>, la loi du lieu où le délit ou quasi</w:t>
      </w:r>
      <w:r w:rsidRPr="00442EE5">
        <w:rPr>
          <w:lang w:val="fr-CA"/>
        </w:rPr>
        <w:noBreakHyphen/>
        <w:t xml:space="preserve">délit est considéré avoir été commis; voir : H. Reid, </w:t>
      </w:r>
      <w:r w:rsidRPr="00442EE5">
        <w:rPr>
          <w:i/>
          <w:iCs/>
          <w:lang w:val="fr-CA"/>
        </w:rPr>
        <w:t>Dictionnaire de droit québécois et canadien</w:t>
      </w:r>
      <w:r w:rsidRPr="00442EE5">
        <w:rPr>
          <w:lang w:val="fr-CA"/>
        </w:rPr>
        <w:t xml:space="preserve"> (2</w:t>
      </w:r>
      <w:r w:rsidRPr="00442EE5">
        <w:rPr>
          <w:vertAlign w:val="superscript"/>
          <w:lang w:val="fr-CA"/>
        </w:rPr>
        <w:t>e </w:t>
      </w:r>
      <w:r w:rsidRPr="00442EE5">
        <w:rPr>
          <w:lang w:val="fr-CA"/>
        </w:rPr>
        <w:t>éd. 2001), p. 333</w:t>
      </w:r>
      <w:r>
        <w:rPr>
          <w:lang w:val="fr-CA"/>
        </w:rPr>
        <w:t xml:space="preserve">. </w:t>
      </w:r>
      <w:r w:rsidRPr="00442EE5">
        <w:rPr>
          <w:lang w:val="fr-CA"/>
        </w:rPr>
        <w:t>L</w:t>
      </w:r>
      <w:r>
        <w:rPr>
          <w:lang w:val="fr-CA"/>
        </w:rPr>
        <w:t>’</w:t>
      </w:r>
      <w:r w:rsidRPr="00442EE5">
        <w:rPr>
          <w:lang w:val="fr-CA"/>
        </w:rPr>
        <w:t xml:space="preserve">article 3082 </w:t>
      </w:r>
      <w:r w:rsidRPr="00442EE5">
        <w:rPr>
          <w:i/>
          <w:iCs/>
          <w:lang w:val="fr-CA"/>
        </w:rPr>
        <w:t xml:space="preserve">C.c.Q. </w:t>
      </w:r>
      <w:r w:rsidRPr="00442EE5">
        <w:rPr>
          <w:lang w:val="fr-CA"/>
        </w:rPr>
        <w:t>constitue l</w:t>
      </w:r>
      <w:r>
        <w:rPr>
          <w:lang w:val="fr-CA"/>
        </w:rPr>
        <w:t>’</w:t>
      </w:r>
      <w:r w:rsidRPr="00442EE5">
        <w:rPr>
          <w:lang w:val="fr-CA"/>
        </w:rPr>
        <w:t>exception à cette règle dans des circonstances où il est manifeste que l</w:t>
      </w:r>
      <w:r>
        <w:rPr>
          <w:lang w:val="fr-CA"/>
        </w:rPr>
        <w:t>’</w:t>
      </w:r>
      <w:r w:rsidRPr="00442EE5">
        <w:rPr>
          <w:lang w:val="fr-CA"/>
        </w:rPr>
        <w:t>affaire n</w:t>
      </w:r>
      <w:r>
        <w:rPr>
          <w:lang w:val="fr-CA"/>
        </w:rPr>
        <w:t>’</w:t>
      </w:r>
      <w:r w:rsidRPr="00442EE5">
        <w:rPr>
          <w:lang w:val="fr-CA"/>
        </w:rPr>
        <w:t>a qu</w:t>
      </w:r>
      <w:r>
        <w:rPr>
          <w:lang w:val="fr-CA"/>
        </w:rPr>
        <w:t>’</w:t>
      </w:r>
      <w:r w:rsidRPr="00442EE5">
        <w:rPr>
          <w:lang w:val="fr-CA"/>
        </w:rPr>
        <w:t>un lien éloigné avec le système juridique prescrit par l</w:t>
      </w:r>
      <w:r>
        <w:rPr>
          <w:lang w:val="fr-CA"/>
        </w:rPr>
        <w:t>’</w:t>
      </w:r>
      <w:r w:rsidRPr="00442EE5">
        <w:rPr>
          <w:lang w:val="fr-CA"/>
        </w:rPr>
        <w:t>art. 3126 et beaucoup plus étroit avec la loi d</w:t>
      </w:r>
      <w:r>
        <w:rPr>
          <w:lang w:val="fr-CA"/>
        </w:rPr>
        <w:t>’</w:t>
      </w:r>
      <w:r w:rsidRPr="00442EE5">
        <w:rPr>
          <w:lang w:val="fr-CA"/>
        </w:rPr>
        <w:t>un autre État</w:t>
      </w:r>
      <w:r>
        <w:rPr>
          <w:lang w:val="fr-CA"/>
        </w:rPr>
        <w:t xml:space="preserve">. </w:t>
      </w:r>
      <w:r w:rsidRPr="00442EE5">
        <w:rPr>
          <w:lang w:val="fr-CA"/>
        </w:rPr>
        <w:t>Par conséquent, en donnant effet au principe de proximité, il semble que l</w:t>
      </w:r>
      <w:r>
        <w:rPr>
          <w:lang w:val="fr-CA"/>
        </w:rPr>
        <w:t>’</w:t>
      </w:r>
      <w:r w:rsidRPr="00442EE5">
        <w:rPr>
          <w:lang w:val="fr-CA"/>
        </w:rPr>
        <w:t>art. 3082 s</w:t>
      </w:r>
      <w:r>
        <w:rPr>
          <w:lang w:val="fr-CA"/>
        </w:rPr>
        <w:t>’</w:t>
      </w:r>
      <w:r w:rsidRPr="00442EE5">
        <w:rPr>
          <w:lang w:val="fr-CA"/>
        </w:rPr>
        <w:t>applique dans le contexte du choix de la loi applicable d</w:t>
      </w:r>
      <w:r>
        <w:rPr>
          <w:lang w:val="fr-CA"/>
        </w:rPr>
        <w:t>’</w:t>
      </w:r>
      <w:r w:rsidRPr="00442EE5">
        <w:rPr>
          <w:lang w:val="fr-CA"/>
        </w:rPr>
        <w:t>une manière similaire à l</w:t>
      </w:r>
      <w:r>
        <w:rPr>
          <w:lang w:val="fr-CA"/>
        </w:rPr>
        <w:t>’</w:t>
      </w:r>
      <w:r w:rsidRPr="00442EE5">
        <w:rPr>
          <w:lang w:val="fr-CA"/>
        </w:rPr>
        <w:t>art. 3135 (</w:t>
      </w:r>
      <w:r w:rsidRPr="00442EE5">
        <w:rPr>
          <w:i/>
          <w:iCs/>
          <w:lang w:val="fr-CA"/>
        </w:rPr>
        <w:t>forum non conveniens</w:t>
      </w:r>
      <w:r w:rsidRPr="00442EE5">
        <w:rPr>
          <w:lang w:val="fr-CA"/>
        </w:rPr>
        <w:t>),</w:t>
      </w:r>
      <w:r w:rsidRPr="00442EE5">
        <w:rPr>
          <w:i/>
          <w:iCs/>
          <w:lang w:val="fr-CA"/>
        </w:rPr>
        <w:t xml:space="preserve"> </w:t>
      </w:r>
      <w:r w:rsidRPr="00442EE5">
        <w:rPr>
          <w:lang w:val="fr-CA"/>
        </w:rPr>
        <w:t>lequel s</w:t>
      </w:r>
      <w:r>
        <w:rPr>
          <w:lang w:val="fr-CA"/>
        </w:rPr>
        <w:t>’</w:t>
      </w:r>
      <w:r w:rsidRPr="00442EE5">
        <w:rPr>
          <w:lang w:val="fr-CA"/>
        </w:rPr>
        <w:t>applique dans le contexte du choix d</w:t>
      </w:r>
      <w:r>
        <w:rPr>
          <w:lang w:val="fr-CA"/>
        </w:rPr>
        <w:t>’</w:t>
      </w:r>
      <w:r w:rsidRPr="00442EE5">
        <w:rPr>
          <w:lang w:val="fr-CA"/>
        </w:rPr>
        <w:t>un ressort. [Je souligne; par. 62.]</w:t>
      </w:r>
    </w:p>
    <w:p w:rsidR="00AF6697" w:rsidRPr="00442EE5" w:rsidRDefault="00AF6697" w:rsidP="00AF6697">
      <w:pPr>
        <w:pStyle w:val="ParaNoNdepar-AltN"/>
        <w:rPr>
          <w:rFonts w:cs="Times New Roman"/>
          <w:lang w:val="fr-CA"/>
        </w:rPr>
      </w:pPr>
      <w:r w:rsidRPr="00442EE5">
        <w:rPr>
          <w:rFonts w:cs="Times New Roman"/>
          <w:lang w:val="fr-CA"/>
        </w:rPr>
        <w:t>L</w:t>
      </w:r>
      <w:r>
        <w:rPr>
          <w:rFonts w:cs="Times New Roman"/>
          <w:lang w:val="fr-CA"/>
        </w:rPr>
        <w:t>’</w:t>
      </w:r>
      <w:r w:rsidRPr="00442EE5">
        <w:rPr>
          <w:rFonts w:cs="Times New Roman"/>
          <w:lang w:val="fr-CA"/>
        </w:rPr>
        <w:t>approche que je préconise est également compatible avec l</w:t>
      </w:r>
      <w:r>
        <w:rPr>
          <w:rFonts w:cs="Times New Roman"/>
          <w:lang w:val="fr-CA"/>
        </w:rPr>
        <w:t>’</w:t>
      </w:r>
      <w:r w:rsidRPr="00442EE5">
        <w:rPr>
          <w:rFonts w:cs="Times New Roman"/>
          <w:lang w:val="fr-CA"/>
        </w:rPr>
        <w:t xml:space="preserve">arrêt </w:t>
      </w:r>
      <w:r w:rsidRPr="00442EE5">
        <w:rPr>
          <w:rFonts w:cs="Times New Roman"/>
          <w:i/>
          <w:lang w:val="fr-CA"/>
        </w:rPr>
        <w:t>Lépine</w:t>
      </w:r>
      <w:r w:rsidRPr="00442EE5">
        <w:rPr>
          <w:rFonts w:cs="Times New Roman"/>
          <w:lang w:val="fr-CA"/>
        </w:rPr>
        <w:t>. Certes, dans cet arrêt, la Cour ne s</w:t>
      </w:r>
      <w:r>
        <w:rPr>
          <w:rFonts w:cs="Times New Roman"/>
          <w:lang w:val="fr-CA"/>
        </w:rPr>
        <w:t>’</w:t>
      </w:r>
      <w:r w:rsidRPr="00442EE5">
        <w:rPr>
          <w:rFonts w:cs="Times New Roman"/>
          <w:lang w:val="fr-CA"/>
        </w:rPr>
        <w:t>est pas prononcée de façon définitive sur la portée et l</w:t>
      </w:r>
      <w:r>
        <w:rPr>
          <w:rFonts w:cs="Times New Roman"/>
          <w:lang w:val="fr-CA"/>
        </w:rPr>
        <w:t>’</w:t>
      </w:r>
      <w:r w:rsidRPr="00442EE5">
        <w:rPr>
          <w:rFonts w:cs="Times New Roman"/>
          <w:lang w:val="fr-CA"/>
        </w:rPr>
        <w:t>effet de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Sur ce point, la décision portait essentiellement sur l</w:t>
      </w:r>
      <w:r>
        <w:rPr>
          <w:rFonts w:cs="Times New Roman"/>
          <w:lang w:val="fr-CA"/>
        </w:rPr>
        <w:t>’</w:t>
      </w:r>
      <w:r w:rsidRPr="00442EE5">
        <w:rPr>
          <w:rFonts w:cs="Times New Roman"/>
          <w:lang w:val="fr-CA"/>
        </w:rPr>
        <w:t xml:space="preserve">applicabilité de la doctrine du </w:t>
      </w:r>
      <w:r w:rsidRPr="00442EE5">
        <w:rPr>
          <w:rFonts w:cs="Times New Roman"/>
          <w:i/>
          <w:lang w:val="fr-CA"/>
        </w:rPr>
        <w:t>forum non conveniens</w:t>
      </w:r>
      <w:r w:rsidRPr="00442EE5">
        <w:rPr>
          <w:rFonts w:cs="Times New Roman"/>
          <w:lang w:val="fr-CA"/>
        </w:rPr>
        <w:t xml:space="preserve"> dans le cas où un tribunal québécois est appelé à décider s</w:t>
      </w:r>
      <w:r>
        <w:rPr>
          <w:rFonts w:cs="Times New Roman"/>
          <w:lang w:val="fr-CA"/>
        </w:rPr>
        <w:t>’</w:t>
      </w:r>
      <w:r w:rsidRPr="00442EE5">
        <w:rPr>
          <w:rFonts w:cs="Times New Roman"/>
          <w:lang w:val="fr-CA"/>
        </w:rPr>
        <w:t xml:space="preserve">il y a lieu de reconnaître une décision étrangère. Je reconnais en outre que la Cour, dans </w:t>
      </w:r>
      <w:r w:rsidRPr="00442EE5">
        <w:rPr>
          <w:rFonts w:cs="Times New Roman"/>
          <w:i/>
          <w:lang w:val="fr-CA"/>
        </w:rPr>
        <w:t>Lépine</w:t>
      </w:r>
      <w:r w:rsidRPr="00442EE5">
        <w:rPr>
          <w:rFonts w:cs="Times New Roman"/>
          <w:lang w:val="fr-CA"/>
        </w:rPr>
        <w:t>, a conclu que l</w:t>
      </w:r>
      <w:r>
        <w:rPr>
          <w:rFonts w:cs="Times New Roman"/>
          <w:lang w:val="fr-CA"/>
        </w:rPr>
        <w:t>’</w:t>
      </w:r>
      <w:r w:rsidRPr="00442EE5">
        <w:rPr>
          <w:rFonts w:cs="Times New Roman"/>
          <w:lang w:val="fr-CA"/>
        </w:rPr>
        <w:t>autorité étrangère avait compétence au titre de l</w:t>
      </w:r>
      <w:r>
        <w:rPr>
          <w:rFonts w:cs="Times New Roman"/>
          <w:lang w:val="fr-CA"/>
        </w:rPr>
        <w:t>’</w:t>
      </w:r>
      <w:r w:rsidRPr="00442EE5">
        <w:rPr>
          <w:rFonts w:cs="Times New Roman"/>
          <w:lang w:val="fr-CA"/>
        </w:rPr>
        <w:t xml:space="preserve">art. 3168 </w:t>
      </w:r>
      <w:r w:rsidRPr="00442EE5">
        <w:rPr>
          <w:rFonts w:cs="Times New Roman"/>
          <w:i/>
          <w:lang w:val="fr-CA"/>
        </w:rPr>
        <w:t>C.c.Q</w:t>
      </w:r>
      <w:r w:rsidRPr="00442EE5">
        <w:rPr>
          <w:rFonts w:cs="Times New Roman"/>
          <w:lang w:val="fr-CA"/>
        </w:rPr>
        <w:t>. sans avoir procédé à une analyse distincte fondée sur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Il n</w:t>
      </w:r>
      <w:r>
        <w:rPr>
          <w:rFonts w:cs="Times New Roman"/>
          <w:lang w:val="fr-CA"/>
        </w:rPr>
        <w:t>’</w:t>
      </w:r>
      <w:r w:rsidRPr="00442EE5">
        <w:rPr>
          <w:rFonts w:cs="Times New Roman"/>
          <w:lang w:val="fr-CA"/>
        </w:rPr>
        <w:t>était pas nécessaire de le faire puisque, dans les circonstances de l</w:t>
      </w:r>
      <w:r>
        <w:rPr>
          <w:rFonts w:cs="Times New Roman"/>
          <w:lang w:val="fr-CA"/>
        </w:rPr>
        <w:t>’</w:t>
      </w:r>
      <w:r w:rsidRPr="00442EE5">
        <w:rPr>
          <w:rFonts w:cs="Times New Roman"/>
          <w:lang w:val="fr-CA"/>
        </w:rPr>
        <w:t>affaire, la présence du siège social de la défenderesse en Ontario établissait indubitablement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 rattachement important (par. 38).</w:t>
      </w:r>
    </w:p>
    <w:p w:rsidR="00AF6697" w:rsidRPr="00442EE5" w:rsidRDefault="00AF6697" w:rsidP="00AF6697">
      <w:pPr>
        <w:pStyle w:val="ParaNoNdepar-AltN"/>
        <w:rPr>
          <w:rFonts w:cs="Times New Roman"/>
          <w:lang w:val="fr-CA"/>
        </w:rPr>
      </w:pPr>
      <w:r w:rsidRPr="00442EE5">
        <w:rPr>
          <w:rFonts w:cs="Times New Roman"/>
          <w:lang w:val="fr-CA"/>
        </w:rPr>
        <w:lastRenderedPageBreak/>
        <w:t>L</w:t>
      </w:r>
      <w:r>
        <w:rPr>
          <w:rFonts w:cs="Times New Roman"/>
          <w:lang w:val="fr-CA"/>
        </w:rPr>
        <w:t>’</w:t>
      </w:r>
      <w:r w:rsidRPr="00442EE5">
        <w:rPr>
          <w:rFonts w:cs="Times New Roman"/>
          <w:lang w:val="fr-CA"/>
        </w:rPr>
        <w:t xml:space="preserve">arrêt </w:t>
      </w:r>
      <w:r w:rsidRPr="00442EE5">
        <w:rPr>
          <w:rFonts w:cs="Times New Roman"/>
          <w:i/>
          <w:lang w:val="fr-CA"/>
        </w:rPr>
        <w:t>Lépine</w:t>
      </w:r>
      <w:r w:rsidRPr="00442EE5">
        <w:rPr>
          <w:rFonts w:cs="Times New Roman"/>
          <w:lang w:val="fr-CA"/>
        </w:rPr>
        <w:t xml:space="preserve"> étaye néanmoins la thèse suivant laquelle l</w:t>
      </w:r>
      <w:r>
        <w:rPr>
          <w:rFonts w:cs="Times New Roman"/>
          <w:lang w:val="fr-CA"/>
        </w:rPr>
        <w:t>’</w:t>
      </w:r>
      <w:r w:rsidRPr="00442EE5">
        <w:rPr>
          <w:rFonts w:cs="Times New Roman"/>
          <w:lang w:val="fr-CA"/>
        </w:rPr>
        <w:t>exigence du rattachement important peut, dans des circonstances exceptionnelles, faire obstacle à la reconnaissance d</w:t>
      </w:r>
      <w:r>
        <w:rPr>
          <w:rFonts w:cs="Times New Roman"/>
          <w:lang w:val="fr-CA"/>
        </w:rPr>
        <w:t>’</w:t>
      </w:r>
      <w:r w:rsidRPr="00442EE5">
        <w:rPr>
          <w:rFonts w:cs="Times New Roman"/>
          <w:lang w:val="fr-CA"/>
        </w:rPr>
        <w:t>un jugement même lorsque l</w:t>
      </w:r>
      <w:r>
        <w:rPr>
          <w:rFonts w:cs="Times New Roman"/>
          <w:lang w:val="fr-CA"/>
        </w:rPr>
        <w:t>’</w:t>
      </w:r>
      <w:r w:rsidRPr="00442EE5">
        <w:rPr>
          <w:rFonts w:cs="Times New Roman"/>
          <w:lang w:val="fr-CA"/>
        </w:rPr>
        <w:t>un des facteurs de rattachement énoncés à l</w:t>
      </w:r>
      <w:r>
        <w:rPr>
          <w:rFonts w:cs="Times New Roman"/>
          <w:lang w:val="fr-CA"/>
        </w:rPr>
        <w:t>’</w:t>
      </w:r>
      <w:r w:rsidRPr="00442EE5">
        <w:rPr>
          <w:rFonts w:cs="Times New Roman"/>
          <w:lang w:val="fr-CA"/>
        </w:rPr>
        <w:t xml:space="preserve">art. 3168 </w:t>
      </w:r>
      <w:r w:rsidRPr="00442EE5">
        <w:rPr>
          <w:rFonts w:cs="Times New Roman"/>
          <w:i/>
          <w:lang w:val="fr-CA"/>
        </w:rPr>
        <w:t>C.c.Q.</w:t>
      </w:r>
      <w:r w:rsidRPr="00442EE5">
        <w:rPr>
          <w:rFonts w:cs="Times New Roman"/>
          <w:lang w:val="fr-CA"/>
        </w:rPr>
        <w:t xml:space="preserve"> est présent. Le passage suivant ouvre à tout le moins la porte à cette possibilité :</w:t>
      </w:r>
    </w:p>
    <w:p w:rsidR="00AF6697" w:rsidRPr="00442EE5" w:rsidRDefault="00AF6697" w:rsidP="00AF6697">
      <w:pPr>
        <w:pStyle w:val="Citation-AltC"/>
        <w:tabs>
          <w:tab w:val="left" w:pos="1800"/>
        </w:tabs>
        <w:rPr>
          <w:lang w:val="fr-CA"/>
        </w:rPr>
      </w:pPr>
      <w:r w:rsidRPr="00442EE5">
        <w:rPr>
          <w:lang w:val="fr-CA"/>
        </w:rPr>
        <w:tab/>
      </w:r>
      <w:r w:rsidRPr="00442EE5">
        <w:rPr>
          <w:u w:val="single"/>
          <w:lang w:val="fr-CA"/>
        </w:rPr>
        <w:t>L</w:t>
      </w:r>
      <w:r>
        <w:rPr>
          <w:u w:val="single"/>
          <w:lang w:val="fr-CA"/>
        </w:rPr>
        <w:t>’</w:t>
      </w:r>
      <w:r w:rsidRPr="00442EE5">
        <w:rPr>
          <w:u w:val="single"/>
          <w:lang w:val="fr-CA"/>
        </w:rPr>
        <w:t xml:space="preserve">article 3164 </w:t>
      </w:r>
      <w:r w:rsidRPr="00442EE5">
        <w:rPr>
          <w:i/>
          <w:iCs/>
          <w:u w:val="single"/>
          <w:lang w:val="fr-CA"/>
        </w:rPr>
        <w:t>C.c.Q</w:t>
      </w:r>
      <w:r w:rsidR="00BD1645">
        <w:rPr>
          <w:i/>
          <w:iCs/>
          <w:u w:val="single"/>
          <w:lang w:val="fr-CA"/>
        </w:rPr>
        <w:t>.</w:t>
      </w:r>
      <w:r w:rsidRPr="00442EE5">
        <w:rPr>
          <w:u w:val="single"/>
          <w:lang w:val="fr-CA"/>
        </w:rPr>
        <w:t xml:space="preserve"> établit comme condition fondamentale de la reconnaissance d</w:t>
      </w:r>
      <w:r>
        <w:rPr>
          <w:u w:val="single"/>
          <w:lang w:val="fr-CA"/>
        </w:rPr>
        <w:t>’</w:t>
      </w:r>
      <w:r w:rsidRPr="00442EE5">
        <w:rPr>
          <w:u w:val="single"/>
          <w:lang w:val="fr-CA"/>
        </w:rPr>
        <w:t>un jugement au Québec l</w:t>
      </w:r>
      <w:r>
        <w:rPr>
          <w:u w:val="single"/>
          <w:lang w:val="fr-CA"/>
        </w:rPr>
        <w:t>’</w:t>
      </w:r>
      <w:r w:rsidRPr="00442EE5">
        <w:rPr>
          <w:u w:val="single"/>
          <w:lang w:val="fr-CA"/>
        </w:rPr>
        <w:t>existence d</w:t>
      </w:r>
      <w:r>
        <w:rPr>
          <w:u w:val="single"/>
          <w:lang w:val="fr-CA"/>
        </w:rPr>
        <w:t>’</w:t>
      </w:r>
      <w:r w:rsidRPr="00442EE5">
        <w:rPr>
          <w:u w:val="single"/>
          <w:lang w:val="fr-CA"/>
        </w:rPr>
        <w:t>un lien important entre le litige et le tribunal d</w:t>
      </w:r>
      <w:r>
        <w:rPr>
          <w:u w:val="single"/>
          <w:lang w:val="fr-CA"/>
        </w:rPr>
        <w:t>’</w:t>
      </w:r>
      <w:r w:rsidRPr="00442EE5">
        <w:rPr>
          <w:u w:val="single"/>
          <w:lang w:val="fr-CA"/>
        </w:rPr>
        <w:t>origine</w:t>
      </w:r>
      <w:r w:rsidRPr="00FB303A">
        <w:rPr>
          <w:u w:val="single"/>
          <w:lang w:val="fr-CA"/>
        </w:rPr>
        <w:t>.</w:t>
      </w:r>
      <w:r w:rsidRPr="00442EE5">
        <w:rPr>
          <w:lang w:val="fr-CA"/>
        </w:rPr>
        <w:t xml:space="preserve"> Les articles 3165 à 3168 énoncent ensuite de manière plus spécifique des facteurs de rattachement permettant de conclure à la présence d</w:t>
      </w:r>
      <w:r>
        <w:rPr>
          <w:lang w:val="fr-CA"/>
        </w:rPr>
        <w:t>’</w:t>
      </w:r>
      <w:r w:rsidRPr="00442EE5">
        <w:rPr>
          <w:lang w:val="fr-CA"/>
        </w:rPr>
        <w:t>un lien suffisant entre le litige et l</w:t>
      </w:r>
      <w:r>
        <w:rPr>
          <w:lang w:val="fr-CA"/>
        </w:rPr>
        <w:t>’</w:t>
      </w:r>
      <w:r w:rsidRPr="00442EE5">
        <w:rPr>
          <w:lang w:val="fr-CA"/>
        </w:rPr>
        <w:t>autorité étrangère dans certaines situations</w:t>
      </w:r>
      <w:r w:rsidRPr="00442EE5">
        <w:rPr>
          <w:i/>
          <w:iCs/>
          <w:lang w:val="fr-CA"/>
        </w:rPr>
        <w:t xml:space="preserve">. </w:t>
      </w:r>
      <w:r w:rsidRPr="00442EE5">
        <w:rPr>
          <w:u w:val="single"/>
          <w:lang w:val="fr-CA"/>
        </w:rPr>
        <w:t>En général, le recours à des règles spécifiques, comme celles de l</w:t>
      </w:r>
      <w:r>
        <w:rPr>
          <w:u w:val="single"/>
          <w:lang w:val="fr-CA"/>
        </w:rPr>
        <w:t>’</w:t>
      </w:r>
      <w:r w:rsidRPr="00442EE5">
        <w:rPr>
          <w:u w:val="single"/>
          <w:lang w:val="fr-CA"/>
        </w:rPr>
        <w:t>art. 3168 applicables aux actions personnelles à caractère patrimonial, permettra de statuer sur la compétence du tribunal étranger. Cependant, il se peut qu</w:t>
      </w:r>
      <w:r>
        <w:rPr>
          <w:u w:val="single"/>
          <w:lang w:val="fr-CA"/>
        </w:rPr>
        <w:t>’</w:t>
      </w:r>
      <w:r w:rsidRPr="00442EE5">
        <w:rPr>
          <w:u w:val="single"/>
          <w:lang w:val="fr-CA"/>
        </w:rPr>
        <w:t>une situation juridique complexe où plusieurs parties se trouvent dans des fors différents impose le recours au principe général de l</w:t>
      </w:r>
      <w:r>
        <w:rPr>
          <w:u w:val="single"/>
          <w:lang w:val="fr-CA"/>
        </w:rPr>
        <w:t>’</w:t>
      </w:r>
      <w:r w:rsidRPr="00442EE5">
        <w:rPr>
          <w:u w:val="single"/>
          <w:lang w:val="fr-CA"/>
        </w:rPr>
        <w:t>art. 3164 pour déterminer la compétence et recourir par exemple au for de nécessité. L</w:t>
      </w:r>
      <w:r>
        <w:rPr>
          <w:u w:val="single"/>
          <w:lang w:val="fr-CA"/>
        </w:rPr>
        <w:t>’</w:t>
      </w:r>
      <w:r w:rsidRPr="00442EE5">
        <w:rPr>
          <w:u w:val="single"/>
          <w:lang w:val="fr-CA"/>
        </w:rPr>
        <w:t>arrêt de la Cour d</w:t>
      </w:r>
      <w:r>
        <w:rPr>
          <w:u w:val="single"/>
          <w:lang w:val="fr-CA"/>
        </w:rPr>
        <w:t>’</w:t>
      </w:r>
      <w:r w:rsidRPr="00442EE5">
        <w:rPr>
          <w:u w:val="single"/>
          <w:lang w:val="fr-CA"/>
        </w:rPr>
        <w:t>appel ajoute un élément non pertinent à l</w:t>
      </w:r>
      <w:r>
        <w:rPr>
          <w:u w:val="single"/>
          <w:lang w:val="fr-CA"/>
        </w:rPr>
        <w:t>’</w:t>
      </w:r>
      <w:r w:rsidRPr="00442EE5">
        <w:rPr>
          <w:u w:val="single"/>
          <w:lang w:val="fr-CA"/>
        </w:rPr>
        <w:t xml:space="preserve">analyse de la compétence du tribunal étranger : la doctrine du </w:t>
      </w:r>
      <w:r w:rsidRPr="00442EE5">
        <w:rPr>
          <w:i/>
          <w:iCs/>
          <w:u w:val="single"/>
          <w:lang w:val="fr-CA"/>
        </w:rPr>
        <w:t>forum non conveniens</w:t>
      </w:r>
      <w:r w:rsidRPr="00BD1645">
        <w:rPr>
          <w:iCs/>
          <w:u w:val="single"/>
          <w:lang w:val="fr-CA"/>
        </w:rPr>
        <w:t>.</w:t>
      </w:r>
      <w:r>
        <w:rPr>
          <w:i/>
          <w:iCs/>
          <w:lang w:val="fr-CA"/>
        </w:rPr>
        <w:t xml:space="preserve"> </w:t>
      </w:r>
      <w:r w:rsidRPr="00442EE5">
        <w:rPr>
          <w:lang w:val="fr-CA"/>
        </w:rPr>
        <w:t>Cette approche introduit ainsi un élément d</w:t>
      </w:r>
      <w:r>
        <w:rPr>
          <w:lang w:val="fr-CA"/>
        </w:rPr>
        <w:t>’</w:t>
      </w:r>
      <w:r w:rsidRPr="00442EE5">
        <w:rPr>
          <w:lang w:val="fr-CA"/>
        </w:rPr>
        <w:t>instabilité et d</w:t>
      </w:r>
      <w:r>
        <w:rPr>
          <w:lang w:val="fr-CA"/>
        </w:rPr>
        <w:t>’</w:t>
      </w:r>
      <w:r w:rsidRPr="00442EE5">
        <w:rPr>
          <w:lang w:val="fr-CA"/>
        </w:rPr>
        <w:t>imprévisibilité qui s</w:t>
      </w:r>
      <w:r>
        <w:rPr>
          <w:lang w:val="fr-CA"/>
        </w:rPr>
        <w:t>’</w:t>
      </w:r>
      <w:r w:rsidRPr="00442EE5">
        <w:rPr>
          <w:lang w:val="fr-CA"/>
        </w:rPr>
        <w:t>accorde mal avec l</w:t>
      </w:r>
      <w:r>
        <w:rPr>
          <w:lang w:val="fr-CA"/>
        </w:rPr>
        <w:t>’</w:t>
      </w:r>
      <w:r w:rsidRPr="00442EE5">
        <w:rPr>
          <w:lang w:val="fr-CA"/>
        </w:rPr>
        <w:t>attitude en principe favorable à la reconnaissance des jugements étrangers ou externes qu</w:t>
      </w:r>
      <w:r>
        <w:rPr>
          <w:lang w:val="fr-CA"/>
        </w:rPr>
        <w:t>’</w:t>
      </w:r>
      <w:r w:rsidRPr="00442EE5">
        <w:rPr>
          <w:lang w:val="fr-CA"/>
        </w:rPr>
        <w:t xml:space="preserve">expriment les dispositions du </w:t>
      </w:r>
      <w:r w:rsidRPr="00442EE5">
        <w:rPr>
          <w:i/>
          <w:iCs/>
          <w:lang w:val="fr-CA"/>
        </w:rPr>
        <w:t>Code civil</w:t>
      </w:r>
      <w:r w:rsidRPr="00442EE5">
        <w:rPr>
          <w:lang w:val="fr-CA"/>
        </w:rPr>
        <w:t>. Elle ne respecte guère les principes de courtoisie internationale et les objectifs de facilitation des échanges internationaux et interprovinciaux qui sous</w:t>
      </w:r>
      <w:r w:rsidRPr="00442EE5">
        <w:rPr>
          <w:lang w:val="fr-CA"/>
        </w:rPr>
        <w:noBreakHyphen/>
        <w:t xml:space="preserve">tendent les dispositions du </w:t>
      </w:r>
      <w:r w:rsidRPr="00442EE5">
        <w:rPr>
          <w:i/>
          <w:iCs/>
          <w:lang w:val="fr-CA"/>
        </w:rPr>
        <w:t>Code civil</w:t>
      </w:r>
      <w:r w:rsidRPr="00442EE5">
        <w:rPr>
          <w:lang w:val="fr-CA"/>
        </w:rPr>
        <w:t xml:space="preserve"> sur la reconnaissance des jugements étrangers. En somme, même dans le cas où il a recours à la règle générale prévue à l</w:t>
      </w:r>
      <w:r>
        <w:rPr>
          <w:lang w:val="fr-CA"/>
        </w:rPr>
        <w:t>’</w:t>
      </w:r>
      <w:r w:rsidRPr="00442EE5">
        <w:rPr>
          <w:lang w:val="fr-CA"/>
        </w:rPr>
        <w:t>art. 3164, le tribunal de l</w:t>
      </w:r>
      <w:r>
        <w:rPr>
          <w:lang w:val="fr-CA"/>
        </w:rPr>
        <w:t>’</w:t>
      </w:r>
      <w:r w:rsidRPr="00442EE5">
        <w:rPr>
          <w:i/>
          <w:iCs/>
          <w:lang w:val="fr-CA"/>
        </w:rPr>
        <w:t>exequatur</w:t>
      </w:r>
      <w:r w:rsidRPr="00442EE5">
        <w:rPr>
          <w:lang w:val="fr-CA"/>
        </w:rPr>
        <w:t xml:space="preserve"> ne peut s</w:t>
      </w:r>
      <w:r>
        <w:rPr>
          <w:lang w:val="fr-CA"/>
        </w:rPr>
        <w:t>’</w:t>
      </w:r>
      <w:r w:rsidRPr="00442EE5">
        <w:rPr>
          <w:lang w:val="fr-CA"/>
        </w:rPr>
        <w:t>appuyer sur une doctrine incompatible avec la procédure de reconnaissance. [Je souligne; par. 36.]</w:t>
      </w:r>
    </w:p>
    <w:p w:rsidR="00AF6697" w:rsidRPr="00442EE5" w:rsidRDefault="00AF6697" w:rsidP="00AF6697">
      <w:pPr>
        <w:pStyle w:val="ParaNoNdepar-AltN"/>
        <w:rPr>
          <w:rFonts w:cs="Times New Roman"/>
          <w:lang w:val="fr-CA"/>
        </w:rPr>
      </w:pPr>
      <w:r w:rsidRPr="00442EE5">
        <w:rPr>
          <w:rFonts w:cs="Times New Roman"/>
          <w:lang w:val="fr-CA"/>
        </w:rPr>
        <w:t>Je conviens avec mon collègue le juge Gascon que le paragraphe ci</w:t>
      </w:r>
      <w:r w:rsidRPr="00442EE5">
        <w:rPr>
          <w:rFonts w:cs="Times New Roman"/>
          <w:lang w:val="fr-CA"/>
        </w:rPr>
        <w:noBreakHyphen/>
        <w:t>dessus peut s</w:t>
      </w:r>
      <w:r>
        <w:rPr>
          <w:rFonts w:cs="Times New Roman"/>
          <w:lang w:val="fr-CA"/>
        </w:rPr>
        <w:t>’</w:t>
      </w:r>
      <w:r w:rsidRPr="00442EE5">
        <w:rPr>
          <w:rFonts w:cs="Times New Roman"/>
          <w:lang w:val="fr-CA"/>
        </w:rPr>
        <w:t>interpréter de deux façons (par. 86). Selon la première interprétation, il indique qu</w:t>
      </w:r>
      <w:r>
        <w:rPr>
          <w:rFonts w:cs="Times New Roman"/>
          <w:lang w:val="fr-CA"/>
        </w:rPr>
        <w:t>’</w:t>
      </w:r>
      <w:r w:rsidRPr="00442EE5">
        <w:rPr>
          <w:rFonts w:cs="Times New Roman"/>
          <w:lang w:val="fr-CA"/>
        </w:rPr>
        <w:t>il peut y avoir des circonstances exceptionnelles où l</w:t>
      </w:r>
      <w:r>
        <w:rPr>
          <w:rFonts w:cs="Times New Roman"/>
          <w:lang w:val="fr-CA"/>
        </w:rPr>
        <w:t>’</w:t>
      </w:r>
      <w:r w:rsidRPr="00442EE5">
        <w:rPr>
          <w:rFonts w:cs="Times New Roman"/>
          <w:lang w:val="fr-CA"/>
        </w:rPr>
        <w:t>exigence fondamentale du rattachement important ne sera pas remplie même s</w:t>
      </w:r>
      <w:r>
        <w:rPr>
          <w:rFonts w:cs="Times New Roman"/>
          <w:lang w:val="fr-CA"/>
        </w:rPr>
        <w:t>’</w:t>
      </w:r>
      <w:r w:rsidRPr="00442EE5">
        <w:rPr>
          <w:rFonts w:cs="Times New Roman"/>
          <w:lang w:val="fr-CA"/>
        </w:rPr>
        <w:t>il est satisfait à l</w:t>
      </w:r>
      <w:r>
        <w:rPr>
          <w:rFonts w:cs="Times New Roman"/>
          <w:lang w:val="fr-CA"/>
        </w:rPr>
        <w:t>’</w:t>
      </w:r>
      <w:r w:rsidRPr="00442EE5">
        <w:rPr>
          <w:rFonts w:cs="Times New Roman"/>
          <w:lang w:val="fr-CA"/>
        </w:rPr>
        <w:t xml:space="preserve">art. 3168 </w:t>
      </w:r>
      <w:r w:rsidRPr="00442EE5">
        <w:rPr>
          <w:rFonts w:cs="Times New Roman"/>
          <w:i/>
          <w:lang w:val="fr-CA"/>
        </w:rPr>
        <w:t>C.c.Q.</w:t>
      </w:r>
      <w:r w:rsidRPr="00442EE5">
        <w:rPr>
          <w:rFonts w:cs="Times New Roman"/>
          <w:lang w:val="fr-CA"/>
        </w:rPr>
        <w:t xml:space="preserve"> Selon la deuxième interprétation, il permet d</w:t>
      </w:r>
      <w:r>
        <w:rPr>
          <w:rFonts w:cs="Times New Roman"/>
          <w:lang w:val="fr-CA"/>
        </w:rPr>
        <w:t>’</w:t>
      </w:r>
      <w:r w:rsidRPr="00442EE5">
        <w:rPr>
          <w:rFonts w:cs="Times New Roman"/>
          <w:lang w:val="fr-CA"/>
        </w:rPr>
        <w:t>affirmer que le principe de la réciprocité énoncé à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xml:space="preserve"> autorise les tribunaux québécois à s</w:t>
      </w:r>
      <w:r>
        <w:rPr>
          <w:rFonts w:cs="Times New Roman"/>
          <w:lang w:val="fr-CA"/>
        </w:rPr>
        <w:t>’</w:t>
      </w:r>
      <w:r w:rsidRPr="00442EE5">
        <w:rPr>
          <w:rFonts w:cs="Times New Roman"/>
          <w:lang w:val="fr-CA"/>
        </w:rPr>
        <w:t xml:space="preserve">appuyer sur les </w:t>
      </w:r>
      <w:r w:rsidRPr="00442EE5">
        <w:rPr>
          <w:rFonts w:cs="Times New Roman"/>
          <w:lang w:val="fr-CA"/>
        </w:rPr>
        <w:lastRenderedPageBreak/>
        <w:t xml:space="preserve">dispositions générales du titre troisième, comme le principe du for de nécessité (art. 3136 </w:t>
      </w:r>
      <w:r w:rsidRPr="00442EE5">
        <w:rPr>
          <w:rFonts w:cs="Times New Roman"/>
          <w:i/>
          <w:lang w:val="fr-CA"/>
        </w:rPr>
        <w:t>C.c.Q.</w:t>
      </w:r>
      <w:r w:rsidRPr="00442EE5">
        <w:rPr>
          <w:rFonts w:cs="Times New Roman"/>
          <w:lang w:val="fr-CA"/>
        </w:rPr>
        <w:t>), pour reconnaître une décision étrangère même lorsqu</w:t>
      </w:r>
      <w:r>
        <w:rPr>
          <w:rFonts w:cs="Times New Roman"/>
          <w:lang w:val="fr-CA"/>
        </w:rPr>
        <w:t>’</w:t>
      </w:r>
      <w:r w:rsidRPr="00442EE5">
        <w:rPr>
          <w:rFonts w:cs="Times New Roman"/>
          <w:lang w:val="fr-CA"/>
        </w:rPr>
        <w:t>aucun des facteurs de l</w:t>
      </w:r>
      <w:r>
        <w:rPr>
          <w:rFonts w:cs="Times New Roman"/>
          <w:lang w:val="fr-CA"/>
        </w:rPr>
        <w:t>’</w:t>
      </w:r>
      <w:r w:rsidRPr="00442EE5">
        <w:rPr>
          <w:rFonts w:cs="Times New Roman"/>
          <w:lang w:val="fr-CA"/>
        </w:rPr>
        <w:t xml:space="preserve">art. 3168 </w:t>
      </w:r>
      <w:r w:rsidRPr="00442EE5">
        <w:rPr>
          <w:rFonts w:cs="Times New Roman"/>
          <w:i/>
          <w:lang w:val="fr-CA"/>
        </w:rPr>
        <w:t>C.c.Q.</w:t>
      </w:r>
      <w:r w:rsidRPr="00442EE5">
        <w:rPr>
          <w:rFonts w:cs="Times New Roman"/>
          <w:lang w:val="fr-CA"/>
        </w:rPr>
        <w:t xml:space="preserve"> n</w:t>
      </w:r>
      <w:r>
        <w:rPr>
          <w:rFonts w:cs="Times New Roman"/>
          <w:lang w:val="fr-CA"/>
        </w:rPr>
        <w:t>’</w:t>
      </w:r>
      <w:r w:rsidRPr="00442EE5">
        <w:rPr>
          <w:rFonts w:cs="Times New Roman"/>
          <w:lang w:val="fr-CA"/>
        </w:rPr>
        <w:t>a été établi.</w:t>
      </w:r>
    </w:p>
    <w:p w:rsidR="00AF6697" w:rsidRPr="00442EE5" w:rsidRDefault="00AF6697" w:rsidP="00AF6697">
      <w:pPr>
        <w:pStyle w:val="ParaNoNdepar-AltN"/>
        <w:rPr>
          <w:rFonts w:cs="Times New Roman"/>
          <w:lang w:val="fr-CA"/>
        </w:rPr>
      </w:pPr>
      <w:r w:rsidRPr="00442EE5">
        <w:rPr>
          <w:rFonts w:cs="Times New Roman"/>
          <w:lang w:val="fr-CA"/>
        </w:rPr>
        <w:t>À mon avis, nous n</w:t>
      </w:r>
      <w:r>
        <w:rPr>
          <w:rFonts w:cs="Times New Roman"/>
          <w:lang w:val="fr-CA"/>
        </w:rPr>
        <w:t>’</w:t>
      </w:r>
      <w:r w:rsidRPr="00442EE5">
        <w:rPr>
          <w:rFonts w:cs="Times New Roman"/>
          <w:lang w:val="fr-CA"/>
        </w:rPr>
        <w:t>avons pas à choisir entre ces deux interprétations. En effet, elles ne sont aucunement contradictoires. À cet égard, il faut se rappeler que le principe du for de nécessité permet exceptionnellement à un tribunal de se déclarer compétent si l</w:t>
      </w:r>
      <w:r>
        <w:rPr>
          <w:rFonts w:cs="Times New Roman"/>
          <w:lang w:val="fr-CA"/>
        </w:rPr>
        <w:t>’</w:t>
      </w:r>
      <w:r w:rsidRPr="00442EE5">
        <w:rPr>
          <w:rFonts w:cs="Times New Roman"/>
          <w:lang w:val="fr-CA"/>
        </w:rPr>
        <w:t>introduction d</w:t>
      </w:r>
      <w:r>
        <w:rPr>
          <w:rFonts w:cs="Times New Roman"/>
          <w:lang w:val="fr-CA"/>
        </w:rPr>
        <w:t>’</w:t>
      </w:r>
      <w:r w:rsidRPr="00442EE5">
        <w:rPr>
          <w:rFonts w:cs="Times New Roman"/>
          <w:lang w:val="fr-CA"/>
        </w:rPr>
        <w:t>une action devant n</w:t>
      </w:r>
      <w:r>
        <w:rPr>
          <w:rFonts w:cs="Times New Roman"/>
          <w:lang w:val="fr-CA"/>
        </w:rPr>
        <w:t>’</w:t>
      </w:r>
      <w:r w:rsidRPr="00442EE5">
        <w:rPr>
          <w:rFonts w:cs="Times New Roman"/>
          <w:lang w:val="fr-CA"/>
        </w:rPr>
        <w:t>importe quel tribunal étranger compétent se révèle impossible ou ne saurait raisonnablement être exigée — de sorte qu</w:t>
      </w:r>
      <w:r>
        <w:rPr>
          <w:rFonts w:cs="Times New Roman"/>
          <w:lang w:val="fr-CA"/>
        </w:rPr>
        <w:t>’</w:t>
      </w:r>
      <w:r w:rsidRPr="00442EE5">
        <w:rPr>
          <w:rFonts w:cs="Times New Roman"/>
          <w:lang w:val="fr-CA"/>
        </w:rPr>
        <w:t>il n</w:t>
      </w:r>
      <w:r>
        <w:rPr>
          <w:rFonts w:cs="Times New Roman"/>
          <w:lang w:val="fr-CA"/>
        </w:rPr>
        <w:t>’</w:t>
      </w:r>
      <w:r w:rsidRPr="00442EE5">
        <w:rPr>
          <w:rFonts w:cs="Times New Roman"/>
          <w:lang w:val="fr-CA"/>
        </w:rPr>
        <w:t>existe aucune autre solution pour éviter une erreur judiciaire (v</w:t>
      </w:r>
      <w:r w:rsidR="005B15B8">
        <w:rPr>
          <w:rFonts w:cs="Times New Roman"/>
          <w:lang w:val="fr-CA"/>
        </w:rPr>
        <w:t>oir Goldstein (2012), par. 3168 </w:t>
      </w:r>
      <w:r w:rsidRPr="00442EE5">
        <w:rPr>
          <w:rFonts w:cs="Times New Roman"/>
          <w:lang w:val="fr-CA"/>
        </w:rPr>
        <w:t xml:space="preserve">550; </w:t>
      </w:r>
      <w:r w:rsidRPr="00442EE5">
        <w:rPr>
          <w:rFonts w:cs="Times New Roman"/>
          <w:i/>
          <w:lang w:val="fr-CA"/>
        </w:rPr>
        <w:t>Lamborghini (Canada) inc. c. Automobili Lamborghini S.P.A.</w:t>
      </w:r>
      <w:r w:rsidRPr="00442EE5">
        <w:rPr>
          <w:rFonts w:cs="Times New Roman"/>
          <w:lang w:val="fr-CA"/>
        </w:rPr>
        <w:t>, [1997] R.J.Q. 58 (C.A.), p. 68). Bien que la mention par la Cour du principe du for de nécessité montre que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xml:space="preserve"> peut être utilisé pour élargir les motifs de reconnaissance des décisions étrangères, cela ne veut pas dire que la même disposition ne peut être invoquée pour refuser de reconnaître une décision en raison de l</w:t>
      </w:r>
      <w:r>
        <w:rPr>
          <w:rFonts w:cs="Times New Roman"/>
          <w:lang w:val="fr-CA"/>
        </w:rPr>
        <w:t>’</w:t>
      </w:r>
      <w:r w:rsidRPr="00442EE5">
        <w:rPr>
          <w:rFonts w:cs="Times New Roman"/>
          <w:lang w:val="fr-CA"/>
        </w:rPr>
        <w:t>absence de rattachement important. En effet, le scénario mentionné par la Cour, soit celui d</w:t>
      </w:r>
      <w:r>
        <w:rPr>
          <w:rFonts w:cs="Times New Roman"/>
          <w:lang w:val="fr-CA"/>
        </w:rPr>
        <w:t>’</w:t>
      </w:r>
      <w:r w:rsidRPr="00442EE5">
        <w:rPr>
          <w:rFonts w:cs="Times New Roman"/>
          <w:lang w:val="fr-CA"/>
        </w:rPr>
        <w:t>« une situation juridique complexe où plusieurs parties se trouvent dans des fors différents », tend fortement à indiquer que bon nombre de tribunaux pourraient en principe satisfaire à au moins un des facteurs de rattachement énoncés à l</w:t>
      </w:r>
      <w:r>
        <w:rPr>
          <w:rFonts w:cs="Times New Roman"/>
          <w:lang w:val="fr-CA"/>
        </w:rPr>
        <w:t>’</w:t>
      </w:r>
      <w:r w:rsidRPr="00442EE5">
        <w:rPr>
          <w:rFonts w:cs="Times New Roman"/>
          <w:lang w:val="fr-CA"/>
        </w:rPr>
        <w:t xml:space="preserve">art. 3168 </w:t>
      </w:r>
      <w:r w:rsidRPr="00442EE5">
        <w:rPr>
          <w:rFonts w:cs="Times New Roman"/>
          <w:i/>
          <w:lang w:val="fr-CA"/>
        </w:rPr>
        <w:t>C.c.Q.</w:t>
      </w:r>
      <w:r w:rsidRPr="00442EE5">
        <w:rPr>
          <w:rFonts w:cs="Times New Roman"/>
          <w:lang w:val="fr-CA"/>
        </w:rPr>
        <w:t>, sans toutefois répondre à l</w:t>
      </w:r>
      <w:r>
        <w:rPr>
          <w:rFonts w:cs="Times New Roman"/>
          <w:lang w:val="fr-CA"/>
        </w:rPr>
        <w:t>’</w:t>
      </w:r>
      <w:r w:rsidRPr="00442EE5">
        <w:rPr>
          <w:rFonts w:cs="Times New Roman"/>
          <w:lang w:val="fr-CA"/>
        </w:rPr>
        <w:t>exigence du rattachement important prévue à l</w:t>
      </w:r>
      <w:r>
        <w:rPr>
          <w:rFonts w:cs="Times New Roman"/>
          <w:lang w:val="fr-CA"/>
        </w:rPr>
        <w:t>’</w:t>
      </w:r>
      <w:r w:rsidRPr="00442EE5">
        <w:rPr>
          <w:rFonts w:cs="Times New Roman"/>
          <w:lang w:val="fr-CA"/>
        </w:rPr>
        <w:t xml:space="preserve">art. 3164 </w:t>
      </w:r>
      <w:r w:rsidRPr="00442EE5">
        <w:rPr>
          <w:rFonts w:cs="Times New Roman"/>
          <w:i/>
          <w:lang w:val="fr-CA"/>
        </w:rPr>
        <w:t>C.c.Q.</w:t>
      </w:r>
    </w:p>
    <w:p w:rsidR="00AF6697" w:rsidRPr="00442EE5" w:rsidRDefault="00AF6697" w:rsidP="00AF6697">
      <w:pPr>
        <w:pStyle w:val="ParaNoNdepar-AltN"/>
        <w:rPr>
          <w:rFonts w:cs="Times New Roman"/>
          <w:lang w:val="fr-CA"/>
        </w:rPr>
      </w:pPr>
      <w:r w:rsidRPr="00442EE5">
        <w:rPr>
          <w:rFonts w:cs="Times New Roman"/>
          <w:lang w:val="fr-CA"/>
        </w:rPr>
        <w:t>Quoi qu</w:t>
      </w:r>
      <w:r>
        <w:rPr>
          <w:rFonts w:cs="Times New Roman"/>
          <w:lang w:val="fr-CA"/>
        </w:rPr>
        <w:t>’</w:t>
      </w:r>
      <w:r w:rsidRPr="00442EE5">
        <w:rPr>
          <w:rFonts w:cs="Times New Roman"/>
          <w:lang w:val="fr-CA"/>
        </w:rPr>
        <w:t>il en soit, l</w:t>
      </w:r>
      <w:r>
        <w:rPr>
          <w:rFonts w:cs="Times New Roman"/>
          <w:lang w:val="fr-CA"/>
        </w:rPr>
        <w:t>’</w:t>
      </w:r>
      <w:r w:rsidRPr="00442EE5">
        <w:rPr>
          <w:rFonts w:cs="Times New Roman"/>
          <w:lang w:val="fr-CA"/>
        </w:rPr>
        <w:t xml:space="preserve">arrêt </w:t>
      </w:r>
      <w:r w:rsidRPr="00442EE5">
        <w:rPr>
          <w:rFonts w:cs="Times New Roman"/>
          <w:i/>
          <w:lang w:val="fr-CA"/>
        </w:rPr>
        <w:t xml:space="preserve">Lépine </w:t>
      </w:r>
      <w:r w:rsidRPr="00442EE5">
        <w:rPr>
          <w:rFonts w:cs="Times New Roman"/>
          <w:lang w:val="fr-CA"/>
        </w:rPr>
        <w:t>est également digne de mention pour ce qu</w:t>
      </w:r>
      <w:r>
        <w:rPr>
          <w:rFonts w:cs="Times New Roman"/>
          <w:lang w:val="fr-CA"/>
        </w:rPr>
        <w:t>’</w:t>
      </w:r>
      <w:r w:rsidRPr="00442EE5">
        <w:rPr>
          <w:rFonts w:cs="Times New Roman"/>
          <w:lang w:val="fr-CA"/>
        </w:rPr>
        <w:t>il ne dit pas. Bien qu</w:t>
      </w:r>
      <w:r>
        <w:rPr>
          <w:rFonts w:cs="Times New Roman"/>
          <w:lang w:val="fr-CA"/>
        </w:rPr>
        <w:t>’</w:t>
      </w:r>
      <w:r w:rsidRPr="00442EE5">
        <w:rPr>
          <w:rFonts w:cs="Times New Roman"/>
          <w:lang w:val="fr-CA"/>
        </w:rPr>
        <w:t xml:space="preserve">elle ait expressément affirmé que la doctrine du </w:t>
      </w:r>
      <w:r w:rsidRPr="00442EE5">
        <w:rPr>
          <w:rFonts w:cs="Times New Roman"/>
          <w:i/>
          <w:lang w:val="fr-CA"/>
        </w:rPr>
        <w:t>forum non conveniens</w:t>
      </w:r>
      <w:r w:rsidRPr="00442EE5">
        <w:rPr>
          <w:rFonts w:cs="Times New Roman"/>
          <w:lang w:val="fr-CA"/>
        </w:rPr>
        <w:t xml:space="preserve"> constitue un « élément non pertinent » dans l</w:t>
      </w:r>
      <w:r>
        <w:rPr>
          <w:rFonts w:cs="Times New Roman"/>
          <w:lang w:val="fr-CA"/>
        </w:rPr>
        <w:t>’</w:t>
      </w:r>
      <w:r w:rsidRPr="00442EE5">
        <w:rPr>
          <w:rFonts w:cs="Times New Roman"/>
          <w:lang w:val="fr-CA"/>
        </w:rPr>
        <w:t xml:space="preserve">analyse de la compétence de </w:t>
      </w:r>
      <w:r w:rsidRPr="00442EE5">
        <w:rPr>
          <w:rFonts w:cs="Times New Roman"/>
          <w:lang w:val="fr-CA"/>
        </w:rPr>
        <w:lastRenderedPageBreak/>
        <w:t>l</w:t>
      </w:r>
      <w:r>
        <w:rPr>
          <w:rFonts w:cs="Times New Roman"/>
          <w:lang w:val="fr-CA"/>
        </w:rPr>
        <w:t>’</w:t>
      </w:r>
      <w:r w:rsidRPr="00442EE5">
        <w:rPr>
          <w:rFonts w:cs="Times New Roman"/>
          <w:lang w:val="fr-CA"/>
        </w:rPr>
        <w:t>autorité étrangère, la Cour s</w:t>
      </w:r>
      <w:r>
        <w:rPr>
          <w:rFonts w:cs="Times New Roman"/>
          <w:lang w:val="fr-CA"/>
        </w:rPr>
        <w:t>’</w:t>
      </w:r>
      <w:r w:rsidRPr="00442EE5">
        <w:rPr>
          <w:rFonts w:cs="Times New Roman"/>
          <w:lang w:val="fr-CA"/>
        </w:rPr>
        <w:t>est abstenue de faire une telle affirmation à l</w:t>
      </w:r>
      <w:r>
        <w:rPr>
          <w:rFonts w:cs="Times New Roman"/>
          <w:lang w:val="fr-CA"/>
        </w:rPr>
        <w:t>’</w:t>
      </w:r>
      <w:r w:rsidRPr="00442EE5">
        <w:rPr>
          <w:rFonts w:cs="Times New Roman"/>
          <w:lang w:val="fr-CA"/>
        </w:rPr>
        <w:t>égard de l</w:t>
      </w:r>
      <w:r>
        <w:rPr>
          <w:rFonts w:cs="Times New Roman"/>
          <w:lang w:val="fr-CA"/>
        </w:rPr>
        <w:t>’</w:t>
      </w:r>
      <w:r w:rsidRPr="00442EE5">
        <w:rPr>
          <w:rFonts w:cs="Times New Roman"/>
          <w:lang w:val="fr-CA"/>
        </w:rPr>
        <w:t>exigence du rattachement important. D</w:t>
      </w:r>
      <w:r>
        <w:rPr>
          <w:rFonts w:cs="Times New Roman"/>
          <w:lang w:val="fr-CA"/>
        </w:rPr>
        <w:t>’</w:t>
      </w:r>
      <w:r w:rsidRPr="00442EE5">
        <w:rPr>
          <w:rFonts w:cs="Times New Roman"/>
          <w:lang w:val="fr-CA"/>
        </w:rPr>
        <w:t xml:space="preserve">ailleurs, on pourrait soutenir que la doctrine du </w:t>
      </w:r>
      <w:r w:rsidRPr="00442EE5">
        <w:rPr>
          <w:rFonts w:cs="Times New Roman"/>
          <w:i/>
          <w:lang w:val="fr-CA"/>
        </w:rPr>
        <w:t>forum non conveniens</w:t>
      </w:r>
      <w:r w:rsidRPr="00442EE5">
        <w:rPr>
          <w:rFonts w:cs="Times New Roman"/>
          <w:lang w:val="fr-CA"/>
        </w:rPr>
        <w:t xml:space="preserve"> n</w:t>
      </w:r>
      <w:r>
        <w:rPr>
          <w:rFonts w:cs="Times New Roman"/>
          <w:lang w:val="fr-CA"/>
        </w:rPr>
        <w:t>’</w:t>
      </w:r>
      <w:r w:rsidRPr="00442EE5">
        <w:rPr>
          <w:rFonts w:cs="Times New Roman"/>
          <w:lang w:val="fr-CA"/>
        </w:rPr>
        <w:t>est pas pertinente précisément parce que la « condition fondamentale » de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 rattachement important sert déjà de contrepoids à la rigidité des facteurs de rattachement, ce qui refléterait les préoccupations exprimées dans l</w:t>
      </w:r>
      <w:r>
        <w:rPr>
          <w:rFonts w:cs="Times New Roman"/>
          <w:lang w:val="fr-CA"/>
        </w:rPr>
        <w:t>’</w:t>
      </w:r>
      <w:r w:rsidRPr="00442EE5">
        <w:rPr>
          <w:rFonts w:cs="Times New Roman"/>
          <w:lang w:val="fr-CA"/>
        </w:rPr>
        <w:t xml:space="preserve">arrêt </w:t>
      </w:r>
      <w:r w:rsidRPr="00442EE5">
        <w:rPr>
          <w:rFonts w:cs="Times New Roman"/>
          <w:i/>
          <w:lang w:val="fr-CA"/>
        </w:rPr>
        <w:t xml:space="preserve">Spar </w:t>
      </w:r>
      <w:r w:rsidRPr="00442EE5">
        <w:rPr>
          <w:rFonts w:cs="Times New Roman"/>
          <w:lang w:val="fr-CA"/>
        </w:rPr>
        <w:t>quant au risque de déclarations inappropriées de compétence.</w:t>
      </w:r>
    </w:p>
    <w:p w:rsidR="00AF6697" w:rsidRPr="00442EE5" w:rsidRDefault="00AF6697" w:rsidP="00AF6697">
      <w:pPr>
        <w:pStyle w:val="ParaNoNdepar-AltN"/>
        <w:rPr>
          <w:rFonts w:cs="Times New Roman"/>
          <w:lang w:val="fr-CA"/>
        </w:rPr>
      </w:pPr>
      <w:r w:rsidRPr="00442EE5">
        <w:rPr>
          <w:rFonts w:cs="Times New Roman"/>
          <w:lang w:val="fr-CA"/>
        </w:rPr>
        <w:t>Pour conclure sur ce point, j</w:t>
      </w:r>
      <w:r>
        <w:rPr>
          <w:rFonts w:cs="Times New Roman"/>
          <w:lang w:val="fr-CA"/>
        </w:rPr>
        <w:t>’</w:t>
      </w:r>
      <w:r w:rsidRPr="00442EE5">
        <w:rPr>
          <w:rFonts w:cs="Times New Roman"/>
          <w:lang w:val="fr-CA"/>
        </w:rPr>
        <w:t>ajouterai que le fait d</w:t>
      </w:r>
      <w:r>
        <w:rPr>
          <w:rFonts w:cs="Times New Roman"/>
          <w:lang w:val="fr-CA"/>
        </w:rPr>
        <w:t>’</w:t>
      </w:r>
      <w:r w:rsidRPr="00442EE5">
        <w:rPr>
          <w:rFonts w:cs="Times New Roman"/>
          <w:lang w:val="fr-CA"/>
        </w:rPr>
        <w:t>exiger un rattachement important dans le contexte de la reconnaissance des décisions étrangères ne va pas à l</w:t>
      </w:r>
      <w:r>
        <w:rPr>
          <w:rFonts w:cs="Times New Roman"/>
          <w:lang w:val="fr-CA"/>
        </w:rPr>
        <w:t>’</w:t>
      </w:r>
      <w:r w:rsidRPr="00442EE5">
        <w:rPr>
          <w:rFonts w:cs="Times New Roman"/>
          <w:lang w:val="fr-CA"/>
        </w:rPr>
        <w:t xml:space="preserve">encontre du principe de la courtoisie internationale. Contrairement à la doctrine du </w:t>
      </w:r>
      <w:r w:rsidRPr="00442EE5">
        <w:rPr>
          <w:rFonts w:cs="Times New Roman"/>
          <w:i/>
          <w:lang w:val="fr-CA"/>
        </w:rPr>
        <w:t>forum non conveniens</w:t>
      </w:r>
      <w:r w:rsidRPr="00442EE5">
        <w:rPr>
          <w:rFonts w:cs="Times New Roman"/>
          <w:lang w:val="fr-CA"/>
        </w:rPr>
        <w:t>, qui concerne l</w:t>
      </w:r>
      <w:r>
        <w:rPr>
          <w:rFonts w:cs="Times New Roman"/>
          <w:lang w:val="fr-CA"/>
        </w:rPr>
        <w:t>’</w:t>
      </w:r>
      <w:r w:rsidRPr="00442EE5">
        <w:rPr>
          <w:rFonts w:cs="Times New Roman"/>
          <w:i/>
          <w:lang w:val="fr-CA"/>
        </w:rPr>
        <w:t>exercice</w:t>
      </w:r>
      <w:r w:rsidRPr="00442EE5">
        <w:rPr>
          <w:rFonts w:cs="Times New Roman"/>
          <w:lang w:val="fr-CA"/>
        </w:rPr>
        <w:t xml:space="preserve"> de compétence par l</w:t>
      </w:r>
      <w:r>
        <w:rPr>
          <w:rFonts w:cs="Times New Roman"/>
          <w:lang w:val="fr-CA"/>
        </w:rPr>
        <w:t>’</w:t>
      </w:r>
      <w:r w:rsidRPr="00442EE5">
        <w:rPr>
          <w:rFonts w:cs="Times New Roman"/>
          <w:lang w:val="fr-CA"/>
        </w:rPr>
        <w:t>autorité étrangère (</w:t>
      </w:r>
      <w:r w:rsidRPr="00442EE5">
        <w:rPr>
          <w:rFonts w:cs="Times New Roman"/>
          <w:i/>
          <w:lang w:val="fr-CA"/>
        </w:rPr>
        <w:t>Lépine</w:t>
      </w:r>
      <w:r w:rsidRPr="00442EE5">
        <w:rPr>
          <w:rFonts w:cs="Times New Roman"/>
          <w:lang w:val="fr-CA"/>
        </w:rPr>
        <w:t>, par. 34), l</w:t>
      </w:r>
      <w:r>
        <w:rPr>
          <w:rFonts w:cs="Times New Roman"/>
          <w:lang w:val="fr-CA"/>
        </w:rPr>
        <w:t>’</w:t>
      </w:r>
      <w:r w:rsidRPr="00442EE5">
        <w:rPr>
          <w:rFonts w:cs="Times New Roman"/>
          <w:lang w:val="fr-CA"/>
        </w:rPr>
        <w:t>exigence du rattachement important concerne l</w:t>
      </w:r>
      <w:r>
        <w:rPr>
          <w:rFonts w:cs="Times New Roman"/>
          <w:lang w:val="fr-CA"/>
        </w:rPr>
        <w:t>’</w:t>
      </w:r>
      <w:r w:rsidRPr="00442EE5">
        <w:rPr>
          <w:rFonts w:cs="Times New Roman"/>
          <w:i/>
          <w:lang w:val="fr-CA"/>
        </w:rPr>
        <w:t xml:space="preserve">établissement </w:t>
      </w:r>
      <w:r w:rsidRPr="00442EE5">
        <w:rPr>
          <w:rFonts w:cs="Times New Roman"/>
          <w:lang w:val="fr-CA"/>
        </w:rPr>
        <w:t>de la compétence au sens strict. De plus, s</w:t>
      </w:r>
      <w:r>
        <w:rPr>
          <w:rFonts w:cs="Times New Roman"/>
          <w:lang w:val="fr-CA"/>
        </w:rPr>
        <w:t>’</w:t>
      </w:r>
      <w:r w:rsidRPr="00442EE5">
        <w:rPr>
          <w:rFonts w:cs="Times New Roman"/>
          <w:lang w:val="fr-CA"/>
        </w:rPr>
        <w:t>il est vrai qu</w:t>
      </w:r>
      <w:r>
        <w:rPr>
          <w:rFonts w:cs="Times New Roman"/>
          <w:lang w:val="fr-CA"/>
        </w:rPr>
        <w:t>’</w:t>
      </w:r>
      <w:r w:rsidRPr="00442EE5">
        <w:rPr>
          <w:rFonts w:cs="Times New Roman"/>
          <w:lang w:val="fr-CA"/>
        </w:rPr>
        <w:t>elle introduit un certain pouvoir discrétionnaire, cette exigence ne se traduit pas par l</w:t>
      </w:r>
      <w:r>
        <w:rPr>
          <w:rFonts w:cs="Times New Roman"/>
          <w:lang w:val="fr-CA"/>
        </w:rPr>
        <w:t>’</w:t>
      </w:r>
      <w:r w:rsidRPr="00442EE5">
        <w:rPr>
          <w:rFonts w:cs="Times New Roman"/>
          <w:lang w:val="fr-CA"/>
        </w:rPr>
        <w:t>exercice hautement subjectif consistant à [</w:t>
      </w:r>
      <w:r w:rsidRPr="00442EE5">
        <w:rPr>
          <w:rFonts w:cs="Times New Roman"/>
          <w:smallCaps/>
          <w:lang w:val="fr-CA"/>
        </w:rPr>
        <w:t>traduction</w:t>
      </w:r>
      <w:r w:rsidRPr="00442EE5">
        <w:rPr>
          <w:rFonts w:cs="Times New Roman"/>
          <w:lang w:val="fr-CA"/>
        </w:rPr>
        <w:t xml:space="preserve">] « choisir entre deux ressorts </w:t>
      </w:r>
      <w:r w:rsidRPr="00442EE5">
        <w:rPr>
          <w:rFonts w:cs="Times New Roman"/>
          <w:i/>
          <w:lang w:val="fr-CA"/>
        </w:rPr>
        <w:t>par ailleurs</w:t>
      </w:r>
      <w:r w:rsidRPr="00442EE5">
        <w:rPr>
          <w:rFonts w:cs="Times New Roman"/>
          <w:lang w:val="fr-CA"/>
        </w:rPr>
        <w:t xml:space="preserve"> </w:t>
      </w:r>
      <w:r w:rsidRPr="00442EE5">
        <w:rPr>
          <w:rFonts w:cs="Times New Roman"/>
          <w:i/>
          <w:iCs/>
          <w:lang w:val="fr-CA"/>
        </w:rPr>
        <w:t>appropriés</w:t>
      </w:r>
      <w:r w:rsidRPr="00442EE5">
        <w:rPr>
          <w:rFonts w:cs="Times New Roman"/>
          <w:iCs/>
          <w:lang w:val="fr-CA"/>
        </w:rPr>
        <w:t> »</w:t>
      </w:r>
      <w:r w:rsidRPr="00442EE5">
        <w:rPr>
          <w:rFonts w:cs="Times New Roman"/>
          <w:lang w:val="fr-CA"/>
        </w:rPr>
        <w:t xml:space="preserve"> (voir G. Saumier, « The Recognition of Foreign Judgments in Quebec — The Mirror Crack</w:t>
      </w:r>
      <w:r>
        <w:rPr>
          <w:rFonts w:cs="Times New Roman"/>
          <w:lang w:val="fr-CA"/>
        </w:rPr>
        <w:t>’</w:t>
      </w:r>
      <w:r w:rsidRPr="00442EE5">
        <w:rPr>
          <w:rFonts w:cs="Times New Roman"/>
          <w:lang w:val="fr-CA"/>
        </w:rPr>
        <w:t>d? » (2002), 81 </w:t>
      </w:r>
      <w:r w:rsidRPr="00442EE5">
        <w:rPr>
          <w:rFonts w:cs="Times New Roman"/>
          <w:i/>
          <w:lang w:val="fr-CA"/>
        </w:rPr>
        <w:t>R. du B. can. </w:t>
      </w:r>
      <w:r w:rsidRPr="00442EE5">
        <w:rPr>
          <w:rFonts w:cs="Times New Roman"/>
          <w:lang w:val="fr-CA"/>
        </w:rPr>
        <w:t>677, p. 694 (</w:t>
      </w:r>
      <w:r w:rsidR="000E03EB">
        <w:rPr>
          <w:rFonts w:cs="Times New Roman"/>
          <w:lang w:val="fr-CA"/>
        </w:rPr>
        <w:t xml:space="preserve">en </w:t>
      </w:r>
      <w:r w:rsidR="007C1DBD">
        <w:rPr>
          <w:rFonts w:cs="Times New Roman"/>
          <w:lang w:val="fr-CA"/>
        </w:rPr>
        <w:t>italique</w:t>
      </w:r>
      <w:r w:rsidRPr="00442EE5">
        <w:rPr>
          <w:rFonts w:cs="Times New Roman"/>
          <w:lang w:val="fr-CA"/>
        </w:rPr>
        <w:t xml:space="preserve"> dans l</w:t>
      </w:r>
      <w:r>
        <w:rPr>
          <w:rFonts w:cs="Times New Roman"/>
          <w:lang w:val="fr-CA"/>
        </w:rPr>
        <w:t>’</w:t>
      </w:r>
      <w:r w:rsidRPr="00442EE5">
        <w:rPr>
          <w:rFonts w:cs="Times New Roman"/>
          <w:lang w:val="fr-CA"/>
        </w:rPr>
        <w:t>original); cité dans l</w:t>
      </w:r>
      <w:r>
        <w:rPr>
          <w:rFonts w:cs="Times New Roman"/>
          <w:lang w:val="fr-CA"/>
        </w:rPr>
        <w:t>’</w:t>
      </w:r>
      <w:r w:rsidRPr="00442EE5">
        <w:rPr>
          <w:rFonts w:cs="Times New Roman"/>
          <w:lang w:val="fr-CA"/>
        </w:rPr>
        <w:t xml:space="preserve">arrêt </w:t>
      </w:r>
      <w:r w:rsidRPr="00442EE5">
        <w:rPr>
          <w:rFonts w:cs="Times New Roman"/>
          <w:i/>
          <w:lang w:val="fr-CA"/>
        </w:rPr>
        <w:t>Hocking</w:t>
      </w:r>
      <w:r w:rsidRPr="00442EE5">
        <w:rPr>
          <w:rFonts w:cs="Times New Roman"/>
          <w:lang w:val="fr-CA"/>
        </w:rPr>
        <w:t>, par. 180). Enfin, l</w:t>
      </w:r>
      <w:r>
        <w:rPr>
          <w:rFonts w:cs="Times New Roman"/>
          <w:lang w:val="fr-CA"/>
        </w:rPr>
        <w:t>’</w:t>
      </w:r>
      <w:r w:rsidRPr="00442EE5">
        <w:rPr>
          <w:rFonts w:cs="Times New Roman"/>
          <w:lang w:val="fr-CA"/>
        </w:rPr>
        <w:t>exigence du rattachement important peut difficilement contrevenir au principe de courtoisie puisqu</w:t>
      </w:r>
      <w:r>
        <w:rPr>
          <w:rFonts w:cs="Times New Roman"/>
          <w:lang w:val="fr-CA"/>
        </w:rPr>
        <w:t>’</w:t>
      </w:r>
      <w:r w:rsidRPr="00442EE5">
        <w:rPr>
          <w:rFonts w:cs="Times New Roman"/>
          <w:lang w:val="fr-CA"/>
        </w:rPr>
        <w:t>elle est dans une large mesure compatible avec l</w:t>
      </w:r>
      <w:r>
        <w:rPr>
          <w:rFonts w:cs="Times New Roman"/>
          <w:lang w:val="fr-CA"/>
        </w:rPr>
        <w:t>’</w:t>
      </w:r>
      <w:r w:rsidRPr="00442EE5">
        <w:rPr>
          <w:rFonts w:cs="Times New Roman"/>
          <w:lang w:val="fr-CA"/>
        </w:rPr>
        <w:t>approche adoptée dans les ressorts de common law.</w:t>
      </w:r>
    </w:p>
    <w:p w:rsidR="00AF6697" w:rsidRPr="00442EE5" w:rsidRDefault="00AF6697" w:rsidP="00AF6697">
      <w:pPr>
        <w:pStyle w:val="ParaNoNdepar-AltN"/>
        <w:rPr>
          <w:rFonts w:cs="Times New Roman"/>
          <w:lang w:val="fr-CA"/>
        </w:rPr>
      </w:pPr>
      <w:r w:rsidRPr="00442EE5">
        <w:rPr>
          <w:rFonts w:cs="Times New Roman"/>
          <w:lang w:val="fr-CA"/>
        </w:rPr>
        <w:t>Somme toute, je souscris avec vigueur aux commentaires suivants du professeur Talpis :</w:t>
      </w:r>
    </w:p>
    <w:p w:rsidR="00AF6697" w:rsidRPr="00442EE5" w:rsidRDefault="00AF6697" w:rsidP="00FB303A">
      <w:pPr>
        <w:pStyle w:val="Citation-AltC"/>
        <w:spacing w:after="240"/>
        <w:ind w:left="1168" w:hanging="1168"/>
        <w:contextualSpacing w:val="0"/>
        <w:rPr>
          <w:lang w:val="fr-CA"/>
        </w:rPr>
      </w:pPr>
      <w:r>
        <w:rPr>
          <w:lang w:val="fr-CA"/>
        </w:rPr>
        <w:tab/>
      </w:r>
      <w:r w:rsidR="00FB303A" w:rsidRPr="00442EE5">
        <w:rPr>
          <w:lang w:val="fr-CA"/>
        </w:rPr>
        <w:t>[</w:t>
      </w:r>
      <w:r w:rsidR="00FB303A" w:rsidRPr="00442EE5">
        <w:rPr>
          <w:smallCaps/>
          <w:lang w:val="fr-CA"/>
        </w:rPr>
        <w:t>traduction</w:t>
      </w:r>
      <w:r w:rsidR="00FB303A" w:rsidRPr="00442EE5">
        <w:rPr>
          <w:lang w:val="fr-CA"/>
        </w:rPr>
        <w:t xml:space="preserve">] </w:t>
      </w:r>
      <w:r w:rsidRPr="00442EE5">
        <w:rPr>
          <w:lang w:val="fr-CA"/>
        </w:rPr>
        <w:t>Le critère du rattachement important sert très bien l</w:t>
      </w:r>
      <w:r>
        <w:rPr>
          <w:lang w:val="fr-CA"/>
        </w:rPr>
        <w:t>’</w:t>
      </w:r>
      <w:r w:rsidRPr="00442EE5">
        <w:rPr>
          <w:lang w:val="fr-CA"/>
        </w:rPr>
        <w:t>objectif d</w:t>
      </w:r>
      <w:r>
        <w:rPr>
          <w:lang w:val="fr-CA"/>
        </w:rPr>
        <w:t>’</w:t>
      </w:r>
      <w:r w:rsidRPr="00442EE5">
        <w:rPr>
          <w:lang w:val="fr-CA"/>
        </w:rPr>
        <w:t>empêcher que des parties soient traînées devant le tribunal d</w:t>
      </w:r>
      <w:r>
        <w:rPr>
          <w:lang w:val="fr-CA"/>
        </w:rPr>
        <w:t>’</w:t>
      </w:r>
      <w:r w:rsidRPr="00442EE5">
        <w:rPr>
          <w:lang w:val="fr-CA"/>
        </w:rPr>
        <w:t xml:space="preserve">un ressort </w:t>
      </w:r>
      <w:r w:rsidRPr="00442EE5">
        <w:rPr>
          <w:lang w:val="fr-CA"/>
        </w:rPr>
        <w:lastRenderedPageBreak/>
        <w:t>étranger inapproprié sans restreindre davantage la reconnais</w:t>
      </w:r>
      <w:r w:rsidR="00FB303A">
        <w:rPr>
          <w:lang w:val="fr-CA"/>
        </w:rPr>
        <w:t>sance des jugements étrangers. [p. 110]</w:t>
      </w:r>
    </w:p>
    <w:p w:rsidR="00AF6697" w:rsidRPr="00442EE5" w:rsidRDefault="00AF6697" w:rsidP="00AF6697">
      <w:pPr>
        <w:pStyle w:val="ContinueParaSuitedupar-AltP"/>
        <w:rPr>
          <w:rFonts w:cs="Times New Roman"/>
          <w:lang w:val="fr-CA"/>
        </w:rPr>
      </w:pPr>
      <w:r w:rsidRPr="00442EE5">
        <w:rPr>
          <w:rFonts w:cs="Times New Roman"/>
          <w:lang w:val="fr-CA"/>
        </w:rPr>
        <w:t>Autrement dit, la combinaison de facteurs de rattachement clairs et bien définis et d</w:t>
      </w:r>
      <w:r>
        <w:rPr>
          <w:rFonts w:cs="Times New Roman"/>
          <w:lang w:val="fr-CA"/>
        </w:rPr>
        <w:t>’</w:t>
      </w:r>
      <w:r w:rsidRPr="00442EE5">
        <w:rPr>
          <w:rFonts w:cs="Times New Roman"/>
          <w:lang w:val="fr-CA"/>
        </w:rPr>
        <w:t>une exigence distincte de rattachement important permet aux tribunaux québécois d</w:t>
      </w:r>
      <w:r>
        <w:rPr>
          <w:rFonts w:cs="Times New Roman"/>
          <w:lang w:val="fr-CA"/>
        </w:rPr>
        <w:t>’</w:t>
      </w:r>
      <w:r w:rsidRPr="00442EE5">
        <w:rPr>
          <w:rFonts w:cs="Times New Roman"/>
          <w:lang w:val="fr-CA"/>
        </w:rPr>
        <w:t>établir un juste équilibre entre, d</w:t>
      </w:r>
      <w:r>
        <w:rPr>
          <w:rFonts w:cs="Times New Roman"/>
          <w:lang w:val="fr-CA"/>
        </w:rPr>
        <w:t>’</w:t>
      </w:r>
      <w:r w:rsidRPr="00442EE5">
        <w:rPr>
          <w:rFonts w:cs="Times New Roman"/>
          <w:lang w:val="fr-CA"/>
        </w:rPr>
        <w:t>une part, l</w:t>
      </w:r>
      <w:r>
        <w:rPr>
          <w:rFonts w:cs="Times New Roman"/>
          <w:lang w:val="fr-CA"/>
        </w:rPr>
        <w:t>’</w:t>
      </w:r>
      <w:r w:rsidRPr="00442EE5">
        <w:rPr>
          <w:rFonts w:cs="Times New Roman"/>
          <w:lang w:val="fr-CA"/>
        </w:rPr>
        <w:t>ordre et la prévisibilité et, d</w:t>
      </w:r>
      <w:r>
        <w:rPr>
          <w:rFonts w:cs="Times New Roman"/>
          <w:lang w:val="fr-CA"/>
        </w:rPr>
        <w:t>’</w:t>
      </w:r>
      <w:r w:rsidRPr="00442EE5">
        <w:rPr>
          <w:rFonts w:cs="Times New Roman"/>
          <w:lang w:val="fr-CA"/>
        </w:rPr>
        <w:t>autre part, l</w:t>
      </w:r>
      <w:r>
        <w:rPr>
          <w:rFonts w:cs="Times New Roman"/>
          <w:lang w:val="fr-CA"/>
        </w:rPr>
        <w:t>’</w:t>
      </w:r>
      <w:r w:rsidRPr="00442EE5">
        <w:rPr>
          <w:rFonts w:cs="Times New Roman"/>
          <w:lang w:val="fr-CA"/>
        </w:rPr>
        <w:t>équité et la souplesse.</w:t>
      </w:r>
    </w:p>
    <w:p w:rsidR="00AF6697" w:rsidRPr="00442EE5" w:rsidRDefault="00AF6697" w:rsidP="00AF6697">
      <w:pPr>
        <w:pStyle w:val="Title2LevelTitre2Niveau"/>
        <w:numPr>
          <w:ilvl w:val="1"/>
          <w:numId w:val="4"/>
        </w:numPr>
        <w:jc w:val="both"/>
        <w:rPr>
          <w:rFonts w:cs="Times New Roman"/>
          <w:lang w:val="fr-CA"/>
        </w:rPr>
      </w:pPr>
      <w:r w:rsidRPr="00442EE5">
        <w:rPr>
          <w:rFonts w:cs="Times New Roman"/>
          <w:lang w:val="fr-CA"/>
        </w:rPr>
        <w:t>Application à la présente affaire</w:t>
      </w:r>
    </w:p>
    <w:p w:rsidR="00AF6697" w:rsidRPr="00442EE5" w:rsidRDefault="00AF6697" w:rsidP="00AF6697">
      <w:pPr>
        <w:pStyle w:val="ParaNoNdepar-AltN"/>
        <w:rPr>
          <w:rFonts w:cs="Times New Roman"/>
          <w:lang w:val="fr-CA"/>
        </w:rPr>
      </w:pPr>
      <w:r w:rsidRPr="00442EE5">
        <w:rPr>
          <w:rFonts w:cs="Times New Roman"/>
          <w:lang w:val="fr-CA"/>
        </w:rPr>
        <w:t>Examinant les faits de la présente affaire, je rappelle que, dans la plupart des cas où il est satisfait à l</w:t>
      </w:r>
      <w:r>
        <w:rPr>
          <w:rFonts w:cs="Times New Roman"/>
          <w:lang w:val="fr-CA"/>
        </w:rPr>
        <w:t>’</w:t>
      </w:r>
      <w:r w:rsidRPr="00442EE5">
        <w:rPr>
          <w:rFonts w:cs="Times New Roman"/>
          <w:lang w:val="fr-CA"/>
        </w:rPr>
        <w:t xml:space="preserve">art. 3168 </w:t>
      </w:r>
      <w:r w:rsidRPr="00442EE5">
        <w:rPr>
          <w:rFonts w:cs="Times New Roman"/>
          <w:i/>
          <w:lang w:val="fr-CA"/>
        </w:rPr>
        <w:t>C.c.Q.</w:t>
      </w:r>
      <w:r w:rsidRPr="00442EE5">
        <w:rPr>
          <w:rFonts w:cs="Times New Roman"/>
          <w:lang w:val="fr-CA"/>
        </w:rPr>
        <w:t>, il ne sera pas nécessaire de procéder à une analyse distincte fondée sur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xml:space="preserve"> Par exemple, si Knight avait réussi à établir la compétence en vertu </w:t>
      </w:r>
      <w:r w:rsidR="00660772">
        <w:rPr>
          <w:rFonts w:cs="Times New Roman"/>
          <w:lang w:val="fr-CA"/>
        </w:rPr>
        <w:t>des par.</w:t>
      </w:r>
      <w:r w:rsidRPr="00442EE5">
        <w:rPr>
          <w:rFonts w:cs="Times New Roman"/>
          <w:lang w:val="fr-CA"/>
        </w:rPr>
        <w:t xml:space="preserve"> 3168(3) ou (4) </w:t>
      </w:r>
      <w:r w:rsidRPr="00442EE5">
        <w:rPr>
          <w:rFonts w:cs="Times New Roman"/>
          <w:i/>
          <w:iCs/>
          <w:lang w:val="fr-CA"/>
        </w:rPr>
        <w:t>C.c.Q</w:t>
      </w:r>
      <w:r w:rsidRPr="00442EE5">
        <w:rPr>
          <w:rFonts w:cs="Times New Roman"/>
          <w:i/>
          <w:lang w:val="fr-CA"/>
        </w:rPr>
        <w:t>.</w:t>
      </w:r>
      <w:r w:rsidRPr="00442EE5">
        <w:rPr>
          <w:rFonts w:cs="Times New Roman"/>
          <w:lang w:val="fr-CA"/>
        </w:rPr>
        <w:t>, le rattachement important dont il est question à l</w:t>
      </w:r>
      <w:r>
        <w:rPr>
          <w:rFonts w:cs="Times New Roman"/>
          <w:lang w:val="fr-CA"/>
        </w:rPr>
        <w:t>’</w:t>
      </w:r>
      <w:r w:rsidRPr="00442EE5">
        <w:rPr>
          <w:rFonts w:cs="Times New Roman"/>
          <w:lang w:val="fr-CA"/>
        </w:rPr>
        <w:t>art. 3164</w:t>
      </w:r>
      <w:r w:rsidRPr="00442EE5">
        <w:rPr>
          <w:rFonts w:eastAsia="Times New Roman" w:cs="Times New Roman"/>
          <w:i/>
          <w:iCs/>
          <w:szCs w:val="24"/>
          <w:lang w:val="fr-CA" w:eastAsia="en-CA"/>
        </w:rPr>
        <w:t xml:space="preserve"> </w:t>
      </w:r>
      <w:r w:rsidRPr="00442EE5">
        <w:rPr>
          <w:rFonts w:cs="Times New Roman"/>
          <w:i/>
          <w:iCs/>
          <w:lang w:val="fr-CA"/>
        </w:rPr>
        <w:t>C.c.Q</w:t>
      </w:r>
      <w:r w:rsidRPr="00442EE5">
        <w:rPr>
          <w:rFonts w:cs="Times New Roman"/>
          <w:i/>
          <w:lang w:val="fr-CA"/>
        </w:rPr>
        <w:t>.</w:t>
      </w:r>
      <w:r w:rsidRPr="00442EE5">
        <w:rPr>
          <w:rFonts w:cs="Times New Roman"/>
          <w:lang w:val="fr-CA"/>
        </w:rPr>
        <w:t xml:space="preserve"> aurait selon toute vraisemblance été, par le fait même, démontré. Tel serait le cas s</w:t>
      </w:r>
      <w:r>
        <w:rPr>
          <w:rFonts w:cs="Times New Roman"/>
          <w:lang w:val="fr-CA"/>
        </w:rPr>
        <w:t>’</w:t>
      </w:r>
      <w:r w:rsidRPr="00442EE5">
        <w:rPr>
          <w:rFonts w:cs="Times New Roman"/>
          <w:lang w:val="fr-CA"/>
        </w:rPr>
        <w:t>il avait été conclu que la faute et le préjudice en ayant résulté s</w:t>
      </w:r>
      <w:r>
        <w:rPr>
          <w:rFonts w:cs="Times New Roman"/>
          <w:lang w:val="fr-CA"/>
        </w:rPr>
        <w:t>’</w:t>
      </w:r>
      <w:r w:rsidRPr="00442EE5">
        <w:rPr>
          <w:rFonts w:cs="Times New Roman"/>
          <w:lang w:val="fr-CA"/>
        </w:rPr>
        <w:t>étaient produits en Utah (</w:t>
      </w:r>
      <w:r w:rsidR="00660772">
        <w:rPr>
          <w:rFonts w:cs="Times New Roman"/>
          <w:lang w:val="fr-CA"/>
        </w:rPr>
        <w:t>par.</w:t>
      </w:r>
      <w:r w:rsidRPr="00442EE5">
        <w:rPr>
          <w:rFonts w:cs="Times New Roman"/>
          <w:lang w:val="fr-CA"/>
        </w:rPr>
        <w:t xml:space="preserve"> 3168(3) </w:t>
      </w:r>
      <w:r w:rsidRPr="00442EE5">
        <w:rPr>
          <w:rFonts w:cs="Times New Roman"/>
          <w:i/>
          <w:iCs/>
          <w:lang w:val="fr-CA"/>
        </w:rPr>
        <w:t>C.c.Q</w:t>
      </w:r>
      <w:r w:rsidRPr="00442EE5">
        <w:rPr>
          <w:rFonts w:cs="Times New Roman"/>
          <w:i/>
          <w:lang w:val="fr-CA"/>
        </w:rPr>
        <w:t>.</w:t>
      </w:r>
      <w:r w:rsidRPr="00442EE5">
        <w:rPr>
          <w:rFonts w:cs="Times New Roman"/>
          <w:lang w:val="fr-CA"/>
        </w:rPr>
        <w:t>) ou encore que la décision du tribunal de l</w:t>
      </w:r>
      <w:r>
        <w:rPr>
          <w:rFonts w:cs="Times New Roman"/>
          <w:lang w:val="fr-CA"/>
        </w:rPr>
        <w:t>’</w:t>
      </w:r>
      <w:r w:rsidRPr="00442EE5">
        <w:rPr>
          <w:rFonts w:cs="Times New Roman"/>
          <w:lang w:val="fr-CA"/>
        </w:rPr>
        <w:t>Utah portait sur des obligations contractuelles que M. Barer devait exécuter en Utah (</w:t>
      </w:r>
      <w:r w:rsidR="00660772">
        <w:rPr>
          <w:rFonts w:cs="Times New Roman"/>
          <w:lang w:val="fr-CA"/>
        </w:rPr>
        <w:t>par.</w:t>
      </w:r>
      <w:r w:rsidRPr="00442EE5">
        <w:rPr>
          <w:rFonts w:cs="Times New Roman"/>
          <w:lang w:val="fr-CA"/>
        </w:rPr>
        <w:t xml:space="preserve"> 3168(4) </w:t>
      </w:r>
      <w:r w:rsidRPr="00442EE5">
        <w:rPr>
          <w:rFonts w:cs="Times New Roman"/>
          <w:i/>
          <w:iCs/>
          <w:lang w:val="fr-CA"/>
        </w:rPr>
        <w:t>C.c.Q</w:t>
      </w:r>
      <w:r w:rsidRPr="00442EE5">
        <w:rPr>
          <w:rFonts w:cs="Times New Roman"/>
          <w:i/>
          <w:lang w:val="fr-CA"/>
        </w:rPr>
        <w:t>.</w:t>
      </w:r>
      <w:r w:rsidRPr="00442EE5">
        <w:rPr>
          <w:rFonts w:cs="Times New Roman"/>
          <w:lang w:val="fr-CA"/>
        </w:rPr>
        <w:t>). Cependant, mon collègue le juge Gascon a estimé qu</w:t>
      </w:r>
      <w:r>
        <w:rPr>
          <w:rFonts w:cs="Times New Roman"/>
          <w:lang w:val="fr-CA"/>
        </w:rPr>
        <w:t>’</w:t>
      </w:r>
      <w:r w:rsidRPr="00442EE5">
        <w:rPr>
          <w:rFonts w:cs="Times New Roman"/>
          <w:lang w:val="fr-CA"/>
        </w:rPr>
        <w:t>aucune de ces situations n</w:t>
      </w:r>
      <w:r>
        <w:rPr>
          <w:rFonts w:cs="Times New Roman"/>
          <w:lang w:val="fr-CA"/>
        </w:rPr>
        <w:t>’</w:t>
      </w:r>
      <w:r w:rsidRPr="00442EE5">
        <w:rPr>
          <w:rFonts w:cs="Times New Roman"/>
          <w:lang w:val="fr-CA"/>
        </w:rPr>
        <w:t>était présente en l</w:t>
      </w:r>
      <w:r>
        <w:rPr>
          <w:rFonts w:cs="Times New Roman"/>
          <w:lang w:val="fr-CA"/>
        </w:rPr>
        <w:t>’</w:t>
      </w:r>
      <w:r w:rsidRPr="00442EE5">
        <w:rPr>
          <w:rFonts w:cs="Times New Roman"/>
          <w:lang w:val="fr-CA"/>
        </w:rPr>
        <w:t>espèce et j</w:t>
      </w:r>
      <w:r>
        <w:rPr>
          <w:rFonts w:cs="Times New Roman"/>
          <w:lang w:val="fr-CA"/>
        </w:rPr>
        <w:t>’</w:t>
      </w:r>
      <w:r w:rsidRPr="00442EE5">
        <w:rPr>
          <w:rFonts w:cs="Times New Roman"/>
          <w:lang w:val="fr-CA"/>
        </w:rPr>
        <w:t>en arrive à la même conclusion.</w:t>
      </w:r>
      <w:r w:rsidRPr="00442EE5">
        <w:rPr>
          <w:rFonts w:eastAsia="Times New Roman" w:cs="Times New Roman"/>
          <w:lang w:val="fr-CA"/>
        </w:rPr>
        <w:t xml:space="preserve"> </w:t>
      </w:r>
      <w:r w:rsidRPr="00442EE5">
        <w:rPr>
          <w:rFonts w:cs="Times New Roman"/>
          <w:lang w:val="fr-CA"/>
        </w:rPr>
        <w:t>Si de simples allégations ne suffisent pas à établir la compétence selon un ou plusieurs des facteurs prévus à l</w:t>
      </w:r>
      <w:r>
        <w:rPr>
          <w:rFonts w:cs="Times New Roman"/>
          <w:lang w:val="fr-CA"/>
        </w:rPr>
        <w:t>’</w:t>
      </w:r>
      <w:r w:rsidRPr="00442EE5">
        <w:rPr>
          <w:rFonts w:cs="Times New Roman"/>
          <w:lang w:val="fr-CA"/>
        </w:rPr>
        <w:t xml:space="preserve">art. 3168 </w:t>
      </w:r>
      <w:r w:rsidRPr="00442EE5">
        <w:rPr>
          <w:rFonts w:cs="Times New Roman"/>
          <w:i/>
          <w:lang w:val="fr-CA"/>
        </w:rPr>
        <w:t>C.c.Q.</w:t>
      </w:r>
      <w:r w:rsidRPr="00442EE5">
        <w:rPr>
          <w:rFonts w:cs="Times New Roman"/>
          <w:lang w:val="fr-CA"/>
        </w:rPr>
        <w:t>, elles ne suffisent pas non plus à établir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 rattachement important.</w:t>
      </w:r>
    </w:p>
    <w:p w:rsidR="00AF6697" w:rsidRPr="00442EE5" w:rsidRDefault="00AF6697" w:rsidP="00AF6697">
      <w:pPr>
        <w:pStyle w:val="ParaNoNdepar-AltN"/>
        <w:rPr>
          <w:rFonts w:cs="Times New Roman"/>
          <w:lang w:val="fr-CA"/>
        </w:rPr>
      </w:pPr>
      <w:r w:rsidRPr="00442EE5">
        <w:rPr>
          <w:rFonts w:cs="Times New Roman"/>
          <w:lang w:val="fr-CA"/>
        </w:rPr>
        <w:t>C</w:t>
      </w:r>
      <w:r>
        <w:rPr>
          <w:rFonts w:cs="Times New Roman"/>
          <w:lang w:val="fr-CA"/>
        </w:rPr>
        <w:t>’</w:t>
      </w:r>
      <w:r w:rsidRPr="00442EE5">
        <w:rPr>
          <w:rFonts w:cs="Times New Roman"/>
          <w:lang w:val="fr-CA"/>
        </w:rPr>
        <w:t>est dans l</w:t>
      </w:r>
      <w:r>
        <w:rPr>
          <w:rFonts w:cs="Times New Roman"/>
          <w:lang w:val="fr-CA"/>
        </w:rPr>
        <w:t>’</w:t>
      </w:r>
      <w:r w:rsidRPr="00442EE5">
        <w:rPr>
          <w:rFonts w:cs="Times New Roman"/>
          <w:lang w:val="fr-CA"/>
        </w:rPr>
        <w:t xml:space="preserve">application </w:t>
      </w:r>
      <w:r w:rsidR="00660772">
        <w:rPr>
          <w:rFonts w:cs="Times New Roman"/>
          <w:lang w:val="fr-CA"/>
        </w:rPr>
        <w:t>du par.</w:t>
      </w:r>
      <w:r w:rsidRPr="00442EE5">
        <w:rPr>
          <w:rFonts w:cs="Times New Roman"/>
          <w:lang w:val="fr-CA"/>
        </w:rPr>
        <w:t> 3168(6) </w:t>
      </w:r>
      <w:r w:rsidRPr="00442EE5">
        <w:rPr>
          <w:rFonts w:cs="Times New Roman"/>
          <w:i/>
          <w:lang w:val="fr-CA"/>
        </w:rPr>
        <w:t>C.c.Q.</w:t>
      </w:r>
      <w:r w:rsidRPr="00442EE5">
        <w:rPr>
          <w:rFonts w:cs="Times New Roman"/>
          <w:lang w:val="fr-CA"/>
        </w:rPr>
        <w:t xml:space="preserve"> que mon collègue le juge Gascon tente de trouver un rattachement important. Toutefois, même si j</w:t>
      </w:r>
      <w:r>
        <w:rPr>
          <w:rFonts w:cs="Times New Roman"/>
          <w:lang w:val="fr-CA"/>
        </w:rPr>
        <w:t>’</w:t>
      </w:r>
      <w:r w:rsidRPr="00442EE5">
        <w:rPr>
          <w:rFonts w:cs="Times New Roman"/>
          <w:lang w:val="fr-CA"/>
        </w:rPr>
        <w:t>acceptais sa conclusion suivant laquelle l</w:t>
      </w:r>
      <w:r>
        <w:rPr>
          <w:rFonts w:cs="Times New Roman"/>
          <w:lang w:val="fr-CA"/>
        </w:rPr>
        <w:t>’</w:t>
      </w:r>
      <w:r w:rsidRPr="00442EE5">
        <w:rPr>
          <w:rFonts w:cs="Times New Roman"/>
          <w:lang w:val="fr-CA"/>
        </w:rPr>
        <w:t xml:space="preserve">appelant a effectivement reconnu la compétence du </w:t>
      </w:r>
      <w:r w:rsidRPr="00442EE5">
        <w:rPr>
          <w:rFonts w:cs="Times New Roman"/>
          <w:lang w:val="fr-CA"/>
        </w:rPr>
        <w:lastRenderedPageBreak/>
        <w:t>tribunal de l</w:t>
      </w:r>
      <w:r>
        <w:rPr>
          <w:rFonts w:cs="Times New Roman"/>
          <w:lang w:val="fr-CA"/>
        </w:rPr>
        <w:t>’</w:t>
      </w:r>
      <w:r w:rsidRPr="00442EE5">
        <w:rPr>
          <w:rFonts w:cs="Times New Roman"/>
          <w:lang w:val="fr-CA"/>
        </w:rPr>
        <w:t>Utah, je ne suis pas d</w:t>
      </w:r>
      <w:r>
        <w:rPr>
          <w:rFonts w:cs="Times New Roman"/>
          <w:lang w:val="fr-CA"/>
        </w:rPr>
        <w:t>’</w:t>
      </w:r>
      <w:r w:rsidRPr="00442EE5">
        <w:rPr>
          <w:rFonts w:cs="Times New Roman"/>
          <w:lang w:val="fr-CA"/>
        </w:rPr>
        <w:t>accord avec lui pour dire que cette reconnaissance satisferait à elle seule aux exigences de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Il s</w:t>
      </w:r>
      <w:r>
        <w:rPr>
          <w:rFonts w:cs="Times New Roman"/>
          <w:lang w:val="fr-CA"/>
        </w:rPr>
        <w:t>’</w:t>
      </w:r>
      <w:r w:rsidRPr="00442EE5">
        <w:rPr>
          <w:rFonts w:cs="Times New Roman"/>
          <w:lang w:val="fr-CA"/>
        </w:rPr>
        <w:t>agit en l</w:t>
      </w:r>
      <w:r>
        <w:rPr>
          <w:rFonts w:cs="Times New Roman"/>
          <w:lang w:val="fr-CA"/>
        </w:rPr>
        <w:t>’</w:t>
      </w:r>
      <w:r w:rsidRPr="00442EE5">
        <w:rPr>
          <w:rFonts w:cs="Times New Roman"/>
          <w:lang w:val="fr-CA"/>
        </w:rPr>
        <w:t>espèce de l</w:t>
      </w:r>
      <w:r>
        <w:rPr>
          <w:rFonts w:cs="Times New Roman"/>
          <w:lang w:val="fr-CA"/>
        </w:rPr>
        <w:t>’</w:t>
      </w:r>
      <w:r w:rsidRPr="00442EE5">
        <w:rPr>
          <w:rFonts w:cs="Times New Roman"/>
          <w:lang w:val="fr-CA"/>
        </w:rPr>
        <w:t>un des cas exceptionnels où une analyse distincte s</w:t>
      </w:r>
      <w:r>
        <w:rPr>
          <w:rFonts w:cs="Times New Roman"/>
          <w:lang w:val="fr-CA"/>
        </w:rPr>
        <w:t>’</w:t>
      </w:r>
      <w:r w:rsidRPr="00442EE5">
        <w:rPr>
          <w:rFonts w:cs="Times New Roman"/>
          <w:lang w:val="fr-CA"/>
        </w:rPr>
        <w:t>impose.</w:t>
      </w:r>
    </w:p>
    <w:p w:rsidR="00AF6697" w:rsidRPr="00442EE5" w:rsidRDefault="00AF6697" w:rsidP="00AF6697">
      <w:pPr>
        <w:pStyle w:val="ParaNoNdepar-AltN"/>
        <w:rPr>
          <w:rFonts w:cs="Times New Roman"/>
          <w:lang w:val="fr-CA"/>
        </w:rPr>
      </w:pPr>
      <w:r w:rsidRPr="00442EE5">
        <w:rPr>
          <w:rFonts w:cs="Times New Roman"/>
          <w:lang w:val="fr-CA"/>
        </w:rPr>
        <w:t>Plus précisément, s</w:t>
      </w:r>
      <w:r>
        <w:rPr>
          <w:rFonts w:cs="Times New Roman"/>
          <w:lang w:val="fr-CA"/>
        </w:rPr>
        <w:t>’</w:t>
      </w:r>
      <w:r w:rsidRPr="00442EE5">
        <w:rPr>
          <w:rFonts w:cs="Times New Roman"/>
          <w:lang w:val="fr-CA"/>
        </w:rPr>
        <w:t>il est jugé que le défendeur a reconnu la compétence de l</w:t>
      </w:r>
      <w:r>
        <w:rPr>
          <w:rFonts w:cs="Times New Roman"/>
          <w:lang w:val="fr-CA"/>
        </w:rPr>
        <w:t>’</w:t>
      </w:r>
      <w:r w:rsidRPr="00442EE5">
        <w:rPr>
          <w:rFonts w:cs="Times New Roman"/>
          <w:lang w:val="fr-CA"/>
        </w:rPr>
        <w:t xml:space="preserve">autorité étrangère au sens </w:t>
      </w:r>
      <w:r w:rsidR="00660772">
        <w:rPr>
          <w:rFonts w:cs="Times New Roman"/>
          <w:lang w:val="fr-CA"/>
        </w:rPr>
        <w:t>du par.</w:t>
      </w:r>
      <w:r w:rsidRPr="00442EE5">
        <w:rPr>
          <w:rFonts w:cs="Times New Roman"/>
          <w:lang w:val="fr-CA"/>
        </w:rPr>
        <w:t xml:space="preserve"> 3168(6) </w:t>
      </w:r>
      <w:r w:rsidRPr="00442EE5">
        <w:rPr>
          <w:rFonts w:cs="Times New Roman"/>
          <w:i/>
          <w:lang w:val="fr-CA"/>
        </w:rPr>
        <w:t>C.c.Q.</w:t>
      </w:r>
      <w:r w:rsidRPr="00442EE5">
        <w:rPr>
          <w:rFonts w:cs="Times New Roman"/>
          <w:lang w:val="fr-CA"/>
        </w:rPr>
        <w:t>,</w:t>
      </w:r>
      <w:r w:rsidRPr="00442EE5">
        <w:rPr>
          <w:rFonts w:cs="Times New Roman"/>
          <w:i/>
          <w:lang w:val="fr-CA"/>
        </w:rPr>
        <w:t xml:space="preserve"> </w:t>
      </w:r>
      <w:r w:rsidRPr="00442EE5">
        <w:rPr>
          <w:rFonts w:cs="Times New Roman"/>
          <w:lang w:val="fr-CA"/>
        </w:rPr>
        <w:t>d</w:t>
      </w:r>
      <w:r>
        <w:rPr>
          <w:rFonts w:cs="Times New Roman"/>
          <w:lang w:val="fr-CA"/>
        </w:rPr>
        <w:t>’</w:t>
      </w:r>
      <w:r w:rsidRPr="00442EE5">
        <w:rPr>
          <w:rFonts w:cs="Times New Roman"/>
          <w:lang w:val="fr-CA"/>
        </w:rPr>
        <w:t>autres éléments de preuve peuvent être nécessaires pour établir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 lien de rattachement important entre le litige et le for</w:t>
      </w:r>
      <w:r w:rsidRPr="00442EE5">
        <w:rPr>
          <w:rFonts w:eastAsia="Times New Roman" w:cs="Times New Roman"/>
          <w:szCs w:val="24"/>
          <w:lang w:val="fr-CA" w:eastAsia="en-CA"/>
        </w:rPr>
        <w:t xml:space="preserve"> </w:t>
      </w:r>
      <w:r w:rsidRPr="00442EE5">
        <w:rPr>
          <w:rFonts w:cs="Times New Roman"/>
          <w:lang w:val="fr-CA"/>
        </w:rPr>
        <w:t xml:space="preserve">(voir </w:t>
      </w:r>
      <w:r w:rsidRPr="00442EE5">
        <w:rPr>
          <w:rFonts w:cs="Times New Roman"/>
          <w:i/>
          <w:lang w:val="fr-CA"/>
        </w:rPr>
        <w:t>Hocking</w:t>
      </w:r>
      <w:r w:rsidRPr="00442EE5">
        <w:rPr>
          <w:rFonts w:cs="Times New Roman"/>
          <w:lang w:val="fr-CA"/>
        </w:rPr>
        <w:t>, par. 220; Talpis et Castel, par. 501). C</w:t>
      </w:r>
      <w:r>
        <w:rPr>
          <w:rFonts w:cs="Times New Roman"/>
          <w:lang w:val="fr-CA"/>
        </w:rPr>
        <w:t>’</w:t>
      </w:r>
      <w:r w:rsidRPr="00442EE5">
        <w:rPr>
          <w:rFonts w:cs="Times New Roman"/>
          <w:lang w:val="fr-CA"/>
        </w:rPr>
        <w:t>est assurément le cas lorsque la « reconnaissance de compétence » est tout au plus faite avec réticence et en grande partie d</w:t>
      </w:r>
      <w:r>
        <w:rPr>
          <w:rFonts w:cs="Times New Roman"/>
          <w:lang w:val="fr-CA"/>
        </w:rPr>
        <w:t>’</w:t>
      </w:r>
      <w:r w:rsidRPr="00442EE5">
        <w:rPr>
          <w:rFonts w:cs="Times New Roman"/>
          <w:lang w:val="fr-CA"/>
        </w:rPr>
        <w:t>une manière involontaire, et que le défendeur n</w:t>
      </w:r>
      <w:r>
        <w:rPr>
          <w:rFonts w:cs="Times New Roman"/>
          <w:lang w:val="fr-CA"/>
        </w:rPr>
        <w:t>’</w:t>
      </w:r>
      <w:r w:rsidRPr="00442EE5">
        <w:rPr>
          <w:rFonts w:cs="Times New Roman"/>
          <w:lang w:val="fr-CA"/>
        </w:rPr>
        <w:t>a pas présenté de défense au fond, mais a simplement contesté la compétence de l</w:t>
      </w:r>
      <w:r>
        <w:rPr>
          <w:rFonts w:cs="Times New Roman"/>
          <w:lang w:val="fr-CA"/>
        </w:rPr>
        <w:t>’</w:t>
      </w:r>
      <w:r w:rsidRPr="00442EE5">
        <w:rPr>
          <w:rFonts w:cs="Times New Roman"/>
          <w:lang w:val="fr-CA"/>
        </w:rPr>
        <w:t>autorité étrangère. À cet égard, et comme je l</w:t>
      </w:r>
      <w:r>
        <w:rPr>
          <w:rFonts w:cs="Times New Roman"/>
          <w:lang w:val="fr-CA"/>
        </w:rPr>
        <w:t>’</w:t>
      </w:r>
      <w:r w:rsidRPr="00442EE5">
        <w:rPr>
          <w:rFonts w:cs="Times New Roman"/>
          <w:lang w:val="fr-CA"/>
        </w:rPr>
        <w:t>ai expliqué plus haut, la reconnaissance de compétence n</w:t>
      </w:r>
      <w:r>
        <w:rPr>
          <w:rFonts w:cs="Times New Roman"/>
          <w:lang w:val="fr-CA"/>
        </w:rPr>
        <w:t>’</w:t>
      </w:r>
      <w:r w:rsidRPr="00442EE5">
        <w:rPr>
          <w:rFonts w:cs="Times New Roman"/>
          <w:lang w:val="fr-CA"/>
        </w:rPr>
        <w:t>établit pas en soi un lien de rattachement réel entre le litige sous</w:t>
      </w:r>
      <w:r w:rsidRPr="00442EE5">
        <w:rPr>
          <w:rFonts w:cs="Times New Roman"/>
          <w:lang w:val="fr-CA"/>
        </w:rPr>
        <w:noBreakHyphen/>
        <w:t>jacent et l</w:t>
      </w:r>
      <w:r>
        <w:rPr>
          <w:rFonts w:cs="Times New Roman"/>
          <w:lang w:val="fr-CA"/>
        </w:rPr>
        <w:t>’</w:t>
      </w:r>
      <w:r w:rsidRPr="00442EE5">
        <w:rPr>
          <w:rFonts w:cs="Times New Roman"/>
          <w:lang w:val="fr-CA"/>
        </w:rPr>
        <w:t>État étranger. Il est plus juste de la considérer comme un motif distinct d</w:t>
      </w:r>
      <w:r>
        <w:rPr>
          <w:rFonts w:cs="Times New Roman"/>
          <w:lang w:val="fr-CA"/>
        </w:rPr>
        <w:t>’</w:t>
      </w:r>
      <w:r w:rsidRPr="00442EE5">
        <w:rPr>
          <w:rFonts w:cs="Times New Roman"/>
          <w:lang w:val="fr-CA"/>
        </w:rPr>
        <w:t>attribution de compétence. Il s</w:t>
      </w:r>
      <w:r>
        <w:rPr>
          <w:rFonts w:cs="Times New Roman"/>
          <w:lang w:val="fr-CA"/>
        </w:rPr>
        <w:t>’</w:t>
      </w:r>
      <w:r w:rsidRPr="00442EE5">
        <w:rPr>
          <w:rFonts w:cs="Times New Roman"/>
          <w:lang w:val="fr-CA"/>
        </w:rPr>
        <w:t>ensuit qu</w:t>
      </w:r>
      <w:r>
        <w:rPr>
          <w:rFonts w:cs="Times New Roman"/>
          <w:lang w:val="fr-CA"/>
        </w:rPr>
        <w:t>’</w:t>
      </w:r>
      <w:r w:rsidRPr="00442EE5">
        <w:rPr>
          <w:rFonts w:cs="Times New Roman"/>
          <w:lang w:val="fr-CA"/>
        </w:rPr>
        <w:t>à moins d</w:t>
      </w:r>
      <w:r>
        <w:rPr>
          <w:rFonts w:cs="Times New Roman"/>
          <w:lang w:val="fr-CA"/>
        </w:rPr>
        <w:t>’</w:t>
      </w:r>
      <w:r w:rsidRPr="00442EE5">
        <w:rPr>
          <w:rFonts w:cs="Times New Roman"/>
          <w:lang w:val="fr-CA"/>
        </w:rPr>
        <w:t>une participation importante à l</w:t>
      </w:r>
      <w:r>
        <w:rPr>
          <w:rFonts w:cs="Times New Roman"/>
          <w:lang w:val="fr-CA"/>
        </w:rPr>
        <w:t>’</w:t>
      </w:r>
      <w:r w:rsidRPr="00442EE5">
        <w:rPr>
          <w:rFonts w:cs="Times New Roman"/>
          <w:lang w:val="fr-CA"/>
        </w:rPr>
        <w:t>instance, comme la présentation d</w:t>
      </w:r>
      <w:r>
        <w:rPr>
          <w:rFonts w:cs="Times New Roman"/>
          <w:lang w:val="fr-CA"/>
        </w:rPr>
        <w:t>’</w:t>
      </w:r>
      <w:r w:rsidRPr="00442EE5">
        <w:rPr>
          <w:rFonts w:cs="Times New Roman"/>
          <w:lang w:val="fr-CA"/>
        </w:rPr>
        <w:t>une défense au fond — auquel cas je serais d</w:t>
      </w:r>
      <w:r>
        <w:rPr>
          <w:rFonts w:cs="Times New Roman"/>
          <w:lang w:val="fr-CA"/>
        </w:rPr>
        <w:t>’</w:t>
      </w:r>
      <w:r w:rsidRPr="00442EE5">
        <w:rPr>
          <w:rFonts w:cs="Times New Roman"/>
          <w:lang w:val="fr-CA"/>
        </w:rPr>
        <w:t>accord pour dire qu</w:t>
      </w:r>
      <w:r>
        <w:rPr>
          <w:rFonts w:cs="Times New Roman"/>
          <w:lang w:val="fr-CA"/>
        </w:rPr>
        <w:t>’</w:t>
      </w:r>
      <w:r w:rsidRPr="00442EE5">
        <w:rPr>
          <w:rFonts w:cs="Times New Roman"/>
          <w:lang w:val="fr-CA"/>
        </w:rPr>
        <w:t>une telle reconnaissance est suffisante pour satisfaire à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xml:space="preserve"> —, d</w:t>
      </w:r>
      <w:r>
        <w:rPr>
          <w:rFonts w:cs="Times New Roman"/>
          <w:lang w:val="fr-CA"/>
        </w:rPr>
        <w:t>’</w:t>
      </w:r>
      <w:r w:rsidRPr="00442EE5">
        <w:rPr>
          <w:rFonts w:cs="Times New Roman"/>
          <w:lang w:val="fr-CA"/>
        </w:rPr>
        <w:t>autres facteurs devraient être examinés pour déterminer s</w:t>
      </w:r>
      <w:r>
        <w:rPr>
          <w:rFonts w:cs="Times New Roman"/>
          <w:lang w:val="fr-CA"/>
        </w:rPr>
        <w:t>’</w:t>
      </w:r>
      <w:r w:rsidRPr="00442EE5">
        <w:rPr>
          <w:rFonts w:cs="Times New Roman"/>
          <w:lang w:val="fr-CA"/>
        </w:rPr>
        <w:t>il existe un rattachement important.</w:t>
      </w:r>
    </w:p>
    <w:p w:rsidR="00AF6697" w:rsidRPr="00442EE5" w:rsidRDefault="00AF6697" w:rsidP="00AF6697">
      <w:pPr>
        <w:pStyle w:val="ParaNoNdepar-AltN"/>
        <w:rPr>
          <w:rFonts w:cs="Times New Roman"/>
          <w:lang w:val="fr-CA"/>
        </w:rPr>
      </w:pPr>
      <w:r w:rsidRPr="00442EE5">
        <w:rPr>
          <w:rFonts w:cs="Times New Roman"/>
          <w:lang w:val="fr-CA"/>
        </w:rPr>
        <w:t>En l</w:t>
      </w:r>
      <w:r>
        <w:rPr>
          <w:rFonts w:cs="Times New Roman"/>
          <w:lang w:val="fr-CA"/>
        </w:rPr>
        <w:t>’</w:t>
      </w:r>
      <w:r w:rsidRPr="00442EE5">
        <w:rPr>
          <w:rFonts w:cs="Times New Roman"/>
          <w:lang w:val="fr-CA"/>
        </w:rPr>
        <w:t>espèce, le simple fait que, dans sa requête en irrecevabilité, l</w:t>
      </w:r>
      <w:r>
        <w:rPr>
          <w:rFonts w:cs="Times New Roman"/>
          <w:lang w:val="fr-CA"/>
        </w:rPr>
        <w:t>’</w:t>
      </w:r>
      <w:r w:rsidRPr="00442EE5">
        <w:rPr>
          <w:rFonts w:cs="Times New Roman"/>
          <w:lang w:val="fr-CA"/>
        </w:rPr>
        <w:t>appelant a présenté des arguments de fond quant à la règle des pertes financières et à la cause d</w:t>
      </w:r>
      <w:r>
        <w:rPr>
          <w:rFonts w:cs="Times New Roman"/>
          <w:lang w:val="fr-CA"/>
        </w:rPr>
        <w:t>’</w:t>
      </w:r>
      <w:r w:rsidRPr="00442EE5">
        <w:rPr>
          <w:rFonts w:cs="Times New Roman"/>
          <w:lang w:val="fr-CA"/>
        </w:rPr>
        <w:t>action fondée sur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 alter ego, et ce, dans le principal but de contester la compétence de l</w:t>
      </w:r>
      <w:r>
        <w:rPr>
          <w:rFonts w:cs="Times New Roman"/>
          <w:lang w:val="fr-CA"/>
        </w:rPr>
        <w:t>’</w:t>
      </w:r>
      <w:r w:rsidRPr="00442EE5">
        <w:rPr>
          <w:rFonts w:cs="Times New Roman"/>
          <w:lang w:val="fr-CA"/>
        </w:rPr>
        <w:t>autorité étrangère, n</w:t>
      </w:r>
      <w:r>
        <w:rPr>
          <w:rFonts w:cs="Times New Roman"/>
          <w:lang w:val="fr-CA"/>
        </w:rPr>
        <w:t>’</w:t>
      </w:r>
      <w:r w:rsidRPr="00442EE5">
        <w:rPr>
          <w:rFonts w:cs="Times New Roman"/>
          <w:lang w:val="fr-CA"/>
        </w:rPr>
        <w:t>établit pas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 rattachement important suffisant entre le litige et l</w:t>
      </w:r>
      <w:r>
        <w:rPr>
          <w:rFonts w:cs="Times New Roman"/>
          <w:lang w:val="fr-CA"/>
        </w:rPr>
        <w:t>’</w:t>
      </w:r>
      <w:r w:rsidRPr="00442EE5">
        <w:rPr>
          <w:rFonts w:cs="Times New Roman"/>
          <w:lang w:val="fr-CA"/>
        </w:rPr>
        <w:t>Utah.</w:t>
      </w:r>
    </w:p>
    <w:p w:rsidR="00AF6697" w:rsidRPr="00442EE5" w:rsidRDefault="00AF6697" w:rsidP="00AF6697">
      <w:pPr>
        <w:pStyle w:val="ParaNoNdepar-AltN"/>
        <w:rPr>
          <w:rFonts w:cs="Times New Roman"/>
          <w:lang w:val="fr-CA"/>
        </w:rPr>
      </w:pPr>
      <w:r w:rsidRPr="00442EE5">
        <w:rPr>
          <w:rFonts w:cs="Times New Roman"/>
          <w:lang w:val="fr-CA"/>
        </w:rPr>
        <w:lastRenderedPageBreak/>
        <w:t>Bien que mon coll</w:t>
      </w:r>
      <w:r>
        <w:rPr>
          <w:rFonts w:cs="Times New Roman"/>
          <w:lang w:val="fr-CA"/>
        </w:rPr>
        <w:t xml:space="preserve">ègue le juge </w:t>
      </w:r>
      <w:r w:rsidRPr="00442EE5">
        <w:rPr>
          <w:rFonts w:cs="Times New Roman"/>
          <w:lang w:val="fr-CA"/>
        </w:rPr>
        <w:t>Brown convienne que M. Barer n</w:t>
      </w:r>
      <w:r>
        <w:rPr>
          <w:rFonts w:cs="Times New Roman"/>
          <w:lang w:val="fr-CA"/>
        </w:rPr>
        <w:t>’</w:t>
      </w:r>
      <w:r w:rsidRPr="00442EE5">
        <w:rPr>
          <w:rFonts w:cs="Times New Roman"/>
          <w:lang w:val="fr-CA"/>
        </w:rPr>
        <w:t>a pas reconnu la compétence du tribunal de l</w:t>
      </w:r>
      <w:r>
        <w:rPr>
          <w:rFonts w:cs="Times New Roman"/>
          <w:lang w:val="fr-CA"/>
        </w:rPr>
        <w:t>’</w:t>
      </w:r>
      <w:r w:rsidRPr="00442EE5">
        <w:rPr>
          <w:rFonts w:cs="Times New Roman"/>
          <w:lang w:val="fr-CA"/>
        </w:rPr>
        <w:t>Utah (par. 94 et 146), il s</w:t>
      </w:r>
      <w:r>
        <w:rPr>
          <w:rFonts w:cs="Times New Roman"/>
          <w:lang w:val="fr-CA"/>
        </w:rPr>
        <w:t>’</w:t>
      </w:r>
      <w:r w:rsidRPr="00442EE5">
        <w:rPr>
          <w:rFonts w:cs="Times New Roman"/>
          <w:lang w:val="fr-CA"/>
        </w:rPr>
        <w:t>appuie sur le « rôle clé » qu</w:t>
      </w:r>
      <w:r>
        <w:rPr>
          <w:rFonts w:cs="Times New Roman"/>
          <w:lang w:val="fr-CA"/>
        </w:rPr>
        <w:t>’</w:t>
      </w:r>
      <w:r w:rsidRPr="00442EE5">
        <w:rPr>
          <w:rFonts w:cs="Times New Roman"/>
          <w:lang w:val="fr-CA"/>
        </w:rPr>
        <w:t>a joué M. Barer dans les négociations entre BEC et Knight pour établir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 lien de rattachement important entre M. Barer lui</w:t>
      </w:r>
      <w:r w:rsidRPr="00442EE5">
        <w:rPr>
          <w:rFonts w:cs="Times New Roman"/>
          <w:lang w:val="fr-CA"/>
        </w:rPr>
        <w:noBreakHyphen/>
        <w:t>même et l</w:t>
      </w:r>
      <w:r>
        <w:rPr>
          <w:rFonts w:cs="Times New Roman"/>
          <w:lang w:val="fr-CA"/>
        </w:rPr>
        <w:t>’</w:t>
      </w:r>
      <w:r w:rsidRPr="00442EE5">
        <w:rPr>
          <w:rFonts w:cs="Times New Roman"/>
          <w:lang w:val="fr-CA"/>
        </w:rPr>
        <w:t>Utah (par. 164). Or, la participation de M. Barer à titre de président de BEC ne démontre pas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 tel lien, car il n</w:t>
      </w:r>
      <w:r>
        <w:rPr>
          <w:rFonts w:cs="Times New Roman"/>
          <w:lang w:val="fr-CA"/>
        </w:rPr>
        <w:t>’</w:t>
      </w:r>
      <w:r w:rsidRPr="00442EE5">
        <w:rPr>
          <w:rFonts w:cs="Times New Roman"/>
          <w:lang w:val="fr-CA"/>
        </w:rPr>
        <w:t>agissait pas à titre personnel. Conclure différemment reviendrait à percer le voile corporatif pour ce qui concerne la compétence chaque fois qu</w:t>
      </w:r>
      <w:r>
        <w:rPr>
          <w:rFonts w:cs="Times New Roman"/>
          <w:lang w:val="fr-CA"/>
        </w:rPr>
        <w:t>’</w:t>
      </w:r>
      <w:r w:rsidRPr="00442EE5">
        <w:rPr>
          <w:rFonts w:cs="Times New Roman"/>
          <w:lang w:val="fr-CA"/>
        </w:rPr>
        <w:t>un administrateur ou un cadre dirigeant (et peut</w:t>
      </w:r>
      <w:r w:rsidRPr="00442EE5">
        <w:rPr>
          <w:rFonts w:cs="Times New Roman"/>
          <w:lang w:val="fr-CA"/>
        </w:rPr>
        <w:noBreakHyphen/>
        <w:t>être même un employé ou un mandataire) négocie un contrat au nom d</w:t>
      </w:r>
      <w:r>
        <w:rPr>
          <w:rFonts w:cs="Times New Roman"/>
          <w:lang w:val="fr-CA"/>
        </w:rPr>
        <w:t>’</w:t>
      </w:r>
      <w:r w:rsidRPr="00442EE5">
        <w:rPr>
          <w:rFonts w:cs="Times New Roman"/>
          <w:lang w:val="fr-CA"/>
        </w:rPr>
        <w:t>une société dans un ressort étranger. Avec égards, il ne peut en être ainsi. Il ne suffit pas d</w:t>
      </w:r>
      <w:r>
        <w:rPr>
          <w:rFonts w:cs="Times New Roman"/>
          <w:lang w:val="fr-CA"/>
        </w:rPr>
        <w:t>’</w:t>
      </w:r>
      <w:r w:rsidRPr="00442EE5">
        <w:rPr>
          <w:rFonts w:cs="Times New Roman"/>
          <w:lang w:val="fr-CA"/>
        </w:rPr>
        <w:t>établir un lien de rattachement avec l</w:t>
      </w:r>
      <w:r>
        <w:rPr>
          <w:rFonts w:cs="Times New Roman"/>
          <w:lang w:val="fr-CA"/>
        </w:rPr>
        <w:t>’</w:t>
      </w:r>
      <w:r w:rsidRPr="00442EE5">
        <w:rPr>
          <w:rFonts w:cs="Times New Roman"/>
          <w:lang w:val="fr-CA"/>
        </w:rPr>
        <w:t>objet du litige (c.</w:t>
      </w:r>
      <w:r w:rsidRPr="00442EE5">
        <w:rPr>
          <w:rFonts w:cs="Times New Roman"/>
          <w:lang w:val="fr-CA"/>
        </w:rPr>
        <w:noBreakHyphen/>
        <w:t>à</w:t>
      </w:r>
      <w:r w:rsidRPr="00442EE5">
        <w:rPr>
          <w:rFonts w:cs="Times New Roman"/>
          <w:lang w:val="fr-CA"/>
        </w:rPr>
        <w:noBreakHyphen/>
        <w:t>d. le contrat).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 lien suffisant avec les parties elles</w:t>
      </w:r>
      <w:r w:rsidRPr="00442EE5">
        <w:rPr>
          <w:rFonts w:cs="Times New Roman"/>
          <w:lang w:val="fr-CA"/>
        </w:rPr>
        <w:noBreakHyphen/>
        <w:t>mêmes, notamment, en l</w:t>
      </w:r>
      <w:r>
        <w:rPr>
          <w:rFonts w:cs="Times New Roman"/>
          <w:lang w:val="fr-CA"/>
        </w:rPr>
        <w:t>’</w:t>
      </w:r>
      <w:r w:rsidRPr="00442EE5">
        <w:rPr>
          <w:rFonts w:cs="Times New Roman"/>
          <w:lang w:val="fr-CA"/>
        </w:rPr>
        <w:t xml:space="preserve">occurrence, avec M. Barer, doit aussi être établie (Talpis et Castel, par. 486; voir aussi </w:t>
      </w:r>
      <w:r w:rsidRPr="00442EE5">
        <w:rPr>
          <w:rFonts w:cs="Times New Roman"/>
          <w:i/>
          <w:lang w:val="fr-CA"/>
        </w:rPr>
        <w:t>Van</w:t>
      </w:r>
      <w:r w:rsidRPr="00442EE5">
        <w:rPr>
          <w:rFonts w:cs="Times New Roman"/>
          <w:lang w:val="fr-CA"/>
        </w:rPr>
        <w:t xml:space="preserve"> </w:t>
      </w:r>
      <w:r w:rsidRPr="00442EE5">
        <w:rPr>
          <w:rFonts w:cs="Times New Roman"/>
          <w:i/>
          <w:lang w:val="fr-CA"/>
        </w:rPr>
        <w:t>Breda</w:t>
      </w:r>
      <w:r w:rsidRPr="00442EE5">
        <w:rPr>
          <w:rFonts w:cs="Times New Roman"/>
          <w:lang w:val="fr-CA"/>
        </w:rPr>
        <w:t>, par. 79 et 99). La preuve d</w:t>
      </w:r>
      <w:r>
        <w:rPr>
          <w:rFonts w:cs="Times New Roman"/>
          <w:lang w:val="fr-CA"/>
        </w:rPr>
        <w:t>’</w:t>
      </w:r>
      <w:r w:rsidRPr="00442EE5">
        <w:rPr>
          <w:rFonts w:cs="Times New Roman"/>
          <w:lang w:val="fr-CA"/>
        </w:rPr>
        <w:t>un tel lien personnel n</w:t>
      </w:r>
      <w:r>
        <w:rPr>
          <w:rFonts w:cs="Times New Roman"/>
          <w:lang w:val="fr-CA"/>
        </w:rPr>
        <w:t>’</w:t>
      </w:r>
      <w:r w:rsidRPr="00442EE5">
        <w:rPr>
          <w:rFonts w:cs="Times New Roman"/>
          <w:lang w:val="fr-CA"/>
        </w:rPr>
        <w:t>a pas été faite en l</w:t>
      </w:r>
      <w:r>
        <w:rPr>
          <w:rFonts w:cs="Times New Roman"/>
          <w:lang w:val="fr-CA"/>
        </w:rPr>
        <w:t>’</w:t>
      </w:r>
      <w:r w:rsidRPr="00442EE5">
        <w:rPr>
          <w:rFonts w:cs="Times New Roman"/>
          <w:lang w:val="fr-CA"/>
        </w:rPr>
        <w:t>espèce.</w:t>
      </w:r>
    </w:p>
    <w:p w:rsidR="00AF6697" w:rsidRPr="00442EE5" w:rsidRDefault="00AF6697" w:rsidP="00AF6697">
      <w:pPr>
        <w:pStyle w:val="ParaNoNdepar-AltN"/>
        <w:rPr>
          <w:rFonts w:cs="Times New Roman"/>
          <w:lang w:val="fr-CA"/>
        </w:rPr>
      </w:pPr>
      <w:r w:rsidRPr="00442EE5">
        <w:rPr>
          <w:rFonts w:cs="Times New Roman"/>
          <w:lang w:val="fr-CA"/>
        </w:rPr>
        <w:t>Mon collègue le juge Brown s</w:t>
      </w:r>
      <w:r>
        <w:rPr>
          <w:rFonts w:cs="Times New Roman"/>
          <w:lang w:val="fr-CA"/>
        </w:rPr>
        <w:t>’</w:t>
      </w:r>
      <w:r w:rsidRPr="00442EE5">
        <w:rPr>
          <w:rFonts w:cs="Times New Roman"/>
          <w:lang w:val="fr-CA"/>
        </w:rPr>
        <w:t xml:space="preserve">appuie également sur le droit applicable en vertu des règles de conflit de lois énoncées dans le </w:t>
      </w:r>
      <w:r w:rsidRPr="00442EE5">
        <w:rPr>
          <w:rFonts w:cs="Times New Roman"/>
          <w:i/>
          <w:lang w:val="fr-CA"/>
        </w:rPr>
        <w:t>C.c.Q.</w:t>
      </w:r>
      <w:r w:rsidRPr="00442EE5">
        <w:rPr>
          <w:rFonts w:cs="Times New Roman"/>
          <w:lang w:val="fr-CA"/>
        </w:rPr>
        <w:t xml:space="preserve"> Selon lui, la conclusion voulant qu</w:t>
      </w:r>
      <w:r>
        <w:rPr>
          <w:rFonts w:cs="Times New Roman"/>
          <w:lang w:val="fr-CA"/>
        </w:rPr>
        <w:t>’</w:t>
      </w:r>
      <w:r w:rsidRPr="00442EE5">
        <w:rPr>
          <w:rFonts w:cs="Times New Roman"/>
          <w:lang w:val="fr-CA"/>
        </w:rPr>
        <w:t>il existe un rattachement important est étayée par le fait que le droit de l</w:t>
      </w:r>
      <w:r>
        <w:rPr>
          <w:rFonts w:cs="Times New Roman"/>
          <w:lang w:val="fr-CA"/>
        </w:rPr>
        <w:t>’</w:t>
      </w:r>
      <w:r w:rsidRPr="00442EE5">
        <w:rPr>
          <w:rFonts w:cs="Times New Roman"/>
          <w:lang w:val="fr-CA"/>
        </w:rPr>
        <w:t>Utah se serait appliqué à l</w:t>
      </w:r>
      <w:r>
        <w:rPr>
          <w:rFonts w:cs="Times New Roman"/>
          <w:lang w:val="fr-CA"/>
        </w:rPr>
        <w:t>’</w:t>
      </w:r>
      <w:r w:rsidRPr="00442EE5">
        <w:rPr>
          <w:rFonts w:cs="Times New Roman"/>
          <w:lang w:val="fr-CA"/>
        </w:rPr>
        <w:t>allégation d</w:t>
      </w:r>
      <w:r>
        <w:rPr>
          <w:rFonts w:cs="Times New Roman"/>
          <w:lang w:val="fr-CA"/>
        </w:rPr>
        <w:t>’</w:t>
      </w:r>
      <w:r w:rsidRPr="00442EE5">
        <w:rPr>
          <w:rFonts w:cs="Times New Roman"/>
          <w:lang w:val="fr-CA"/>
        </w:rPr>
        <w:t>alter ego</w:t>
      </w:r>
      <w:r w:rsidRPr="00442EE5">
        <w:rPr>
          <w:rFonts w:cs="Times New Roman"/>
          <w:i/>
          <w:lang w:val="fr-CA"/>
        </w:rPr>
        <w:t xml:space="preserve"> </w:t>
      </w:r>
      <w:r w:rsidRPr="00442EE5">
        <w:rPr>
          <w:rFonts w:cs="Times New Roman"/>
          <w:lang w:val="fr-CA"/>
        </w:rPr>
        <w:t>contre M. Barer en vertu de l</w:t>
      </w:r>
      <w:r>
        <w:rPr>
          <w:rFonts w:cs="Times New Roman"/>
          <w:lang w:val="fr-CA"/>
        </w:rPr>
        <w:t>’</w:t>
      </w:r>
      <w:r w:rsidRPr="00442EE5">
        <w:rPr>
          <w:rFonts w:cs="Times New Roman"/>
          <w:lang w:val="fr-CA"/>
        </w:rPr>
        <w:t xml:space="preserve">art. 3083 </w:t>
      </w:r>
      <w:r w:rsidRPr="00442EE5">
        <w:rPr>
          <w:rFonts w:cs="Times New Roman"/>
          <w:i/>
          <w:lang w:val="fr-CA"/>
        </w:rPr>
        <w:t>C.c.Q.</w:t>
      </w:r>
      <w:r w:rsidRPr="00442EE5">
        <w:rPr>
          <w:rFonts w:cs="Times New Roman"/>
          <w:lang w:val="fr-CA"/>
        </w:rPr>
        <w:t>, qui prévoit que l</w:t>
      </w:r>
      <w:r>
        <w:rPr>
          <w:rFonts w:cs="Times New Roman"/>
          <w:lang w:val="fr-CA"/>
        </w:rPr>
        <w:t>’</w:t>
      </w:r>
      <w:r w:rsidRPr="00442EE5">
        <w:rPr>
          <w:rFonts w:cs="Times New Roman"/>
          <w:lang w:val="fr-CA"/>
        </w:rPr>
        <w:t>état et la capacité d</w:t>
      </w:r>
      <w:r>
        <w:rPr>
          <w:rFonts w:cs="Times New Roman"/>
          <w:lang w:val="fr-CA"/>
        </w:rPr>
        <w:t>’</w:t>
      </w:r>
      <w:r w:rsidRPr="00442EE5">
        <w:rPr>
          <w:rFonts w:cs="Times New Roman"/>
          <w:lang w:val="fr-CA"/>
        </w:rPr>
        <w:t>une personne morale sont régis, quant à son activité, par la loi du lieu où elle s</w:t>
      </w:r>
      <w:r>
        <w:rPr>
          <w:rFonts w:cs="Times New Roman"/>
          <w:lang w:val="fr-CA"/>
        </w:rPr>
        <w:t>’</w:t>
      </w:r>
      <w:r w:rsidRPr="00442EE5">
        <w:rPr>
          <w:rFonts w:cs="Times New Roman"/>
          <w:lang w:val="fr-CA"/>
        </w:rPr>
        <w:t>exerce (par. 166). Il ne s</w:t>
      </w:r>
      <w:r>
        <w:rPr>
          <w:rFonts w:cs="Times New Roman"/>
          <w:lang w:val="fr-CA"/>
        </w:rPr>
        <w:t>’</w:t>
      </w:r>
      <w:r w:rsidRPr="00442EE5">
        <w:rPr>
          <w:rFonts w:cs="Times New Roman"/>
          <w:lang w:val="fr-CA"/>
        </w:rPr>
        <w:t>agit pas d</w:t>
      </w:r>
      <w:r>
        <w:rPr>
          <w:rFonts w:cs="Times New Roman"/>
          <w:lang w:val="fr-CA"/>
        </w:rPr>
        <w:t>’</w:t>
      </w:r>
      <w:r w:rsidRPr="00442EE5">
        <w:rPr>
          <w:rFonts w:cs="Times New Roman"/>
          <w:lang w:val="fr-CA"/>
        </w:rPr>
        <w:t>un indice convaincant de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 rattachement important. Premièrement, je souligne que les parties n</w:t>
      </w:r>
      <w:r>
        <w:rPr>
          <w:rFonts w:cs="Times New Roman"/>
          <w:lang w:val="fr-CA"/>
        </w:rPr>
        <w:t>’</w:t>
      </w:r>
      <w:r w:rsidRPr="00442EE5">
        <w:rPr>
          <w:rFonts w:cs="Times New Roman"/>
          <w:lang w:val="fr-CA"/>
        </w:rPr>
        <w:t>ont pas présenté d</w:t>
      </w:r>
      <w:r>
        <w:rPr>
          <w:rFonts w:cs="Times New Roman"/>
          <w:lang w:val="fr-CA"/>
        </w:rPr>
        <w:t>’</w:t>
      </w:r>
      <w:r w:rsidRPr="00442EE5">
        <w:rPr>
          <w:rFonts w:cs="Times New Roman"/>
          <w:lang w:val="fr-CA"/>
        </w:rPr>
        <w:t>observations sur le droit qui se serait appliqué devant les tribunaux québécois. Je ne tiendrais donc pas pour acquis que le droit de l</w:t>
      </w:r>
      <w:r>
        <w:rPr>
          <w:rFonts w:cs="Times New Roman"/>
          <w:lang w:val="fr-CA"/>
        </w:rPr>
        <w:t>’</w:t>
      </w:r>
      <w:r w:rsidRPr="00442EE5">
        <w:rPr>
          <w:rFonts w:cs="Times New Roman"/>
          <w:lang w:val="fr-CA"/>
        </w:rPr>
        <w:t>Utah aurait régi la présente affaire. Mais plus fondamentalement, l</w:t>
      </w:r>
      <w:r>
        <w:rPr>
          <w:rFonts w:cs="Times New Roman"/>
          <w:lang w:val="fr-CA"/>
        </w:rPr>
        <w:t>’</w:t>
      </w:r>
      <w:r w:rsidRPr="00442EE5">
        <w:rPr>
          <w:rFonts w:cs="Times New Roman"/>
          <w:lang w:val="fr-CA"/>
        </w:rPr>
        <w:t xml:space="preserve">approche </w:t>
      </w:r>
      <w:r w:rsidRPr="00442EE5">
        <w:rPr>
          <w:rFonts w:cs="Times New Roman"/>
          <w:lang w:val="fr-CA"/>
        </w:rPr>
        <w:lastRenderedPageBreak/>
        <w:t>de mon collègue confond les règles de conflit avec les conditions de reconnaissance des décisions étrangères, que le législateur québécois a clairement distinguées. Bien qu</w:t>
      </w:r>
      <w:r>
        <w:rPr>
          <w:rFonts w:cs="Times New Roman"/>
          <w:lang w:val="fr-CA"/>
        </w:rPr>
        <w:t>’</w:t>
      </w:r>
      <w:r w:rsidRPr="00442EE5">
        <w:rPr>
          <w:rFonts w:cs="Times New Roman"/>
          <w:lang w:val="fr-CA"/>
        </w:rPr>
        <w:t>il puisse y avoir un certain chevauchement entre les deux, on ne saurait présumer qu</w:t>
      </w:r>
      <w:r>
        <w:rPr>
          <w:rFonts w:cs="Times New Roman"/>
          <w:lang w:val="fr-CA"/>
        </w:rPr>
        <w:t>’</w:t>
      </w:r>
      <w:r w:rsidRPr="00442EE5">
        <w:rPr>
          <w:rFonts w:cs="Times New Roman"/>
          <w:lang w:val="fr-CA"/>
        </w:rPr>
        <w:t>une règle de conflit servant à déterminer le droit applicable au fond indique aussi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 rattachement important entre l</w:t>
      </w:r>
      <w:r>
        <w:rPr>
          <w:rFonts w:cs="Times New Roman"/>
          <w:lang w:val="fr-CA"/>
        </w:rPr>
        <w:t>’</w:t>
      </w:r>
      <w:r w:rsidRPr="00442EE5">
        <w:rPr>
          <w:rFonts w:cs="Times New Roman"/>
          <w:lang w:val="fr-CA"/>
        </w:rPr>
        <w:t>État étranger et les deux parties et l</w:t>
      </w:r>
      <w:r>
        <w:rPr>
          <w:rFonts w:cs="Times New Roman"/>
          <w:lang w:val="fr-CA"/>
        </w:rPr>
        <w:t>’</w:t>
      </w:r>
      <w:r w:rsidRPr="00442EE5">
        <w:rPr>
          <w:rFonts w:cs="Times New Roman"/>
          <w:lang w:val="fr-CA"/>
        </w:rPr>
        <w:t>objet du litige. Si nous devions suivre la logique de mon collègue et nous appuyer sur l</w:t>
      </w:r>
      <w:r>
        <w:rPr>
          <w:rFonts w:cs="Times New Roman"/>
          <w:lang w:val="fr-CA"/>
        </w:rPr>
        <w:t>’</w:t>
      </w:r>
      <w:r w:rsidRPr="00442EE5">
        <w:rPr>
          <w:rFonts w:cs="Times New Roman"/>
          <w:lang w:val="fr-CA"/>
        </w:rPr>
        <w:t xml:space="preserve">art. 3083 </w:t>
      </w:r>
      <w:r w:rsidRPr="00442EE5">
        <w:rPr>
          <w:rFonts w:cs="Times New Roman"/>
          <w:i/>
          <w:lang w:val="fr-CA"/>
        </w:rPr>
        <w:t>C.c.Q.</w:t>
      </w:r>
      <w:r w:rsidRPr="00442EE5">
        <w:rPr>
          <w:rFonts w:cs="Times New Roman"/>
          <w:lang w:val="fr-CA"/>
        </w:rPr>
        <w:t xml:space="preserve"> comme il le fait, tout actionnaire d</w:t>
      </w:r>
      <w:r>
        <w:rPr>
          <w:rFonts w:cs="Times New Roman"/>
          <w:lang w:val="fr-CA"/>
        </w:rPr>
        <w:t>’</w:t>
      </w:r>
      <w:r w:rsidRPr="00442EE5">
        <w:rPr>
          <w:rFonts w:cs="Times New Roman"/>
          <w:lang w:val="fr-CA"/>
        </w:rPr>
        <w:t>une société pourrait avoir un rattachement important avec les ressorts étrangers où s</w:t>
      </w:r>
      <w:r>
        <w:rPr>
          <w:rFonts w:cs="Times New Roman"/>
          <w:lang w:val="fr-CA"/>
        </w:rPr>
        <w:t>’</w:t>
      </w:r>
      <w:r w:rsidRPr="00442EE5">
        <w:rPr>
          <w:rFonts w:cs="Times New Roman"/>
          <w:lang w:val="fr-CA"/>
        </w:rPr>
        <w:t>exerce l</w:t>
      </w:r>
      <w:r>
        <w:rPr>
          <w:rFonts w:cs="Times New Roman"/>
          <w:lang w:val="fr-CA"/>
        </w:rPr>
        <w:t>’</w:t>
      </w:r>
      <w:r w:rsidRPr="00442EE5">
        <w:rPr>
          <w:rFonts w:cs="Times New Roman"/>
          <w:lang w:val="fr-CA"/>
        </w:rPr>
        <w:t>activité de la société. Ce seuil pour conclure à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 rattachement important est manifestement trop bas.</w:t>
      </w:r>
    </w:p>
    <w:p w:rsidR="00AF6697" w:rsidRPr="00442EE5" w:rsidRDefault="00AF6697" w:rsidP="00AF6697">
      <w:pPr>
        <w:pStyle w:val="ParaNoNdepar-AltN"/>
        <w:rPr>
          <w:rFonts w:cs="Times New Roman"/>
          <w:lang w:val="fr-CA"/>
        </w:rPr>
      </w:pPr>
      <w:r w:rsidRPr="00442EE5">
        <w:rPr>
          <w:rFonts w:cs="Times New Roman"/>
          <w:lang w:val="fr-CA"/>
        </w:rPr>
        <w:t>D</w:t>
      </w:r>
      <w:r>
        <w:rPr>
          <w:rFonts w:cs="Times New Roman"/>
          <w:lang w:val="fr-CA"/>
        </w:rPr>
        <w:t>’</w:t>
      </w:r>
      <w:r w:rsidRPr="00442EE5">
        <w:rPr>
          <w:rFonts w:cs="Times New Roman"/>
          <w:lang w:val="fr-CA"/>
        </w:rPr>
        <w:t>ailleurs, mon collègue reconnaît que la règle de conflit énoncée à l</w:t>
      </w:r>
      <w:r>
        <w:rPr>
          <w:rFonts w:cs="Times New Roman"/>
          <w:lang w:val="fr-CA"/>
        </w:rPr>
        <w:t>’</w:t>
      </w:r>
      <w:r w:rsidRPr="00442EE5">
        <w:rPr>
          <w:rFonts w:cs="Times New Roman"/>
          <w:lang w:val="fr-CA"/>
        </w:rPr>
        <w:t>art. 3083 </w:t>
      </w:r>
      <w:r w:rsidRPr="00442EE5">
        <w:rPr>
          <w:rFonts w:cs="Times New Roman"/>
          <w:i/>
          <w:lang w:val="fr-CA"/>
        </w:rPr>
        <w:t>C.c.Q</w:t>
      </w:r>
      <w:r w:rsidRPr="00442EE5">
        <w:rPr>
          <w:rFonts w:cs="Times New Roman"/>
          <w:lang w:val="fr-CA"/>
        </w:rPr>
        <w:t>. n</w:t>
      </w:r>
      <w:r>
        <w:rPr>
          <w:rFonts w:cs="Times New Roman"/>
          <w:lang w:val="fr-CA"/>
        </w:rPr>
        <w:t>’</w:t>
      </w:r>
      <w:r w:rsidRPr="00442EE5">
        <w:rPr>
          <w:rFonts w:cs="Times New Roman"/>
          <w:lang w:val="fr-CA"/>
        </w:rPr>
        <w:t>indique pas un réel rattachement avec M. Barer lui</w:t>
      </w:r>
      <w:r w:rsidRPr="00442EE5">
        <w:rPr>
          <w:rFonts w:cs="Times New Roman"/>
          <w:lang w:val="fr-CA"/>
        </w:rPr>
        <w:noBreakHyphen/>
        <w:t>même, mais représente tout au plus « un autre indice de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 xml:space="preserve">un rattachement important entre cet État et </w:t>
      </w:r>
      <w:r w:rsidRPr="00442EE5">
        <w:rPr>
          <w:rFonts w:cs="Times New Roman"/>
          <w:u w:val="single"/>
          <w:lang w:val="fr-CA"/>
        </w:rPr>
        <w:t>l</w:t>
      </w:r>
      <w:r>
        <w:rPr>
          <w:rFonts w:cs="Times New Roman"/>
          <w:u w:val="single"/>
          <w:lang w:val="fr-CA"/>
        </w:rPr>
        <w:t>’</w:t>
      </w:r>
      <w:r w:rsidRPr="00442EE5">
        <w:rPr>
          <w:rFonts w:cs="Times New Roman"/>
          <w:u w:val="single"/>
          <w:lang w:val="fr-CA"/>
        </w:rPr>
        <w:t>objet</w:t>
      </w:r>
      <w:r w:rsidRPr="00442EE5">
        <w:rPr>
          <w:rFonts w:cs="Times New Roman"/>
          <w:lang w:val="fr-CA"/>
        </w:rPr>
        <w:t xml:space="preserve"> de l</w:t>
      </w:r>
      <w:r>
        <w:rPr>
          <w:rFonts w:cs="Times New Roman"/>
          <w:lang w:val="fr-CA"/>
        </w:rPr>
        <w:t>’</w:t>
      </w:r>
      <w:r w:rsidRPr="00442EE5">
        <w:rPr>
          <w:rFonts w:cs="Times New Roman"/>
          <w:i/>
          <w:lang w:val="fr-CA"/>
        </w:rPr>
        <w:t>ensemble</w:t>
      </w:r>
      <w:r w:rsidRPr="00442EE5">
        <w:rPr>
          <w:rFonts w:cs="Times New Roman"/>
          <w:lang w:val="fr-CA"/>
        </w:rPr>
        <w:t xml:space="preserve"> du litige, dont l</w:t>
      </w:r>
      <w:r>
        <w:rPr>
          <w:rFonts w:cs="Times New Roman"/>
          <w:lang w:val="fr-CA"/>
        </w:rPr>
        <w:t>’</w:t>
      </w:r>
      <w:r w:rsidRPr="00442EE5">
        <w:rPr>
          <w:rFonts w:cs="Times New Roman"/>
          <w:lang w:val="fr-CA"/>
        </w:rPr>
        <w:t>allégation d</w:t>
      </w:r>
      <w:r>
        <w:rPr>
          <w:rFonts w:cs="Times New Roman"/>
          <w:lang w:val="fr-CA"/>
        </w:rPr>
        <w:t>’</w:t>
      </w:r>
      <w:r w:rsidRPr="00442EE5">
        <w:rPr>
          <w:rFonts w:cs="Times New Roman"/>
          <w:lang w:val="fr-CA"/>
        </w:rPr>
        <w:t>alter ego » (par. 166 (je souligne)). À mon avis, cela confirme que l</w:t>
      </w:r>
      <w:r>
        <w:rPr>
          <w:rFonts w:cs="Times New Roman"/>
          <w:lang w:val="fr-CA"/>
        </w:rPr>
        <w:t>’</w:t>
      </w:r>
      <w:r w:rsidRPr="00442EE5">
        <w:rPr>
          <w:rFonts w:cs="Times New Roman"/>
          <w:lang w:val="fr-CA"/>
        </w:rPr>
        <w:t>art. 3083 </w:t>
      </w:r>
      <w:r w:rsidRPr="00442EE5">
        <w:rPr>
          <w:rFonts w:cs="Times New Roman"/>
          <w:i/>
          <w:lang w:val="fr-CA"/>
        </w:rPr>
        <w:t>C.c.Q.</w:t>
      </w:r>
      <w:r w:rsidRPr="00442EE5">
        <w:rPr>
          <w:rFonts w:cs="Times New Roman"/>
          <w:lang w:val="fr-CA"/>
        </w:rPr>
        <w:t xml:space="preserve"> ajoute peu à l</w:t>
      </w:r>
      <w:r>
        <w:rPr>
          <w:rFonts w:cs="Times New Roman"/>
          <w:lang w:val="fr-CA"/>
        </w:rPr>
        <w:t>’</w:t>
      </w:r>
      <w:r w:rsidRPr="00442EE5">
        <w:rPr>
          <w:rFonts w:cs="Times New Roman"/>
          <w:lang w:val="fr-CA"/>
        </w:rPr>
        <w:t>analyse. En l</w:t>
      </w:r>
      <w:r>
        <w:rPr>
          <w:rFonts w:cs="Times New Roman"/>
          <w:lang w:val="fr-CA"/>
        </w:rPr>
        <w:t>’</w:t>
      </w:r>
      <w:r w:rsidRPr="00442EE5">
        <w:rPr>
          <w:rFonts w:cs="Times New Roman"/>
          <w:lang w:val="fr-CA"/>
        </w:rPr>
        <w:t xml:space="preserve">espèce, cette règle fait dans une large mesure double emploi avec le facteur de rattachement prévu </w:t>
      </w:r>
      <w:r w:rsidR="00660772">
        <w:rPr>
          <w:rFonts w:cs="Times New Roman"/>
          <w:lang w:val="fr-CA"/>
        </w:rPr>
        <w:t>au par.</w:t>
      </w:r>
      <w:r w:rsidRPr="00442EE5">
        <w:rPr>
          <w:rFonts w:cs="Times New Roman"/>
          <w:lang w:val="fr-CA"/>
        </w:rPr>
        <w:t xml:space="preserve"> 3168(4) </w:t>
      </w:r>
      <w:r w:rsidRPr="00442EE5">
        <w:rPr>
          <w:rFonts w:cs="Times New Roman"/>
          <w:i/>
          <w:lang w:val="fr-CA"/>
        </w:rPr>
        <w:t>C.c.Q</w:t>
      </w:r>
      <w:r w:rsidRPr="00442EE5">
        <w:rPr>
          <w:rFonts w:cs="Times New Roman"/>
          <w:lang w:val="fr-CA"/>
        </w:rPr>
        <w:t>., car il y a chevauchement entre l</w:t>
      </w:r>
      <w:r>
        <w:rPr>
          <w:rFonts w:cs="Times New Roman"/>
          <w:lang w:val="fr-CA"/>
        </w:rPr>
        <w:t>’</w:t>
      </w:r>
      <w:r w:rsidRPr="00442EE5">
        <w:rPr>
          <w:rFonts w:cs="Times New Roman"/>
          <w:lang w:val="fr-CA"/>
        </w:rPr>
        <w:t>activité de BEC en Utah et les obligations contractuelles en cause. Il faudrait donc lui accorder peu de poids, si tant qu</w:t>
      </w:r>
      <w:r>
        <w:rPr>
          <w:rFonts w:cs="Times New Roman"/>
          <w:lang w:val="fr-CA"/>
        </w:rPr>
        <w:t>’</w:t>
      </w:r>
      <w:r w:rsidRPr="00442EE5">
        <w:rPr>
          <w:rFonts w:cs="Times New Roman"/>
          <w:lang w:val="fr-CA"/>
        </w:rPr>
        <w:t xml:space="preserve">il lui en soit accordé. En somme, </w:t>
      </w:r>
      <w:r w:rsidR="00660772">
        <w:rPr>
          <w:rFonts w:cs="Times New Roman"/>
          <w:lang w:val="fr-CA"/>
        </w:rPr>
        <w:t>le par.</w:t>
      </w:r>
      <w:r w:rsidRPr="00442EE5">
        <w:rPr>
          <w:rFonts w:cs="Times New Roman"/>
          <w:lang w:val="fr-CA"/>
        </w:rPr>
        <w:t> 3168(4) ne suffit pas à établir la compétence à l</w:t>
      </w:r>
      <w:r>
        <w:rPr>
          <w:rFonts w:cs="Times New Roman"/>
          <w:lang w:val="fr-CA"/>
        </w:rPr>
        <w:t>’</w:t>
      </w:r>
      <w:r w:rsidRPr="00442EE5">
        <w:rPr>
          <w:rFonts w:cs="Times New Roman"/>
          <w:lang w:val="fr-CA"/>
        </w:rPr>
        <w:t>égard de M. Barer et l</w:t>
      </w:r>
      <w:r>
        <w:rPr>
          <w:rFonts w:cs="Times New Roman"/>
          <w:lang w:val="fr-CA"/>
        </w:rPr>
        <w:t>’</w:t>
      </w:r>
      <w:r w:rsidRPr="00442EE5">
        <w:rPr>
          <w:rFonts w:cs="Times New Roman"/>
          <w:lang w:val="fr-CA"/>
        </w:rPr>
        <w:t>art. 3083 ne peut pallier cette insuffisance.</w:t>
      </w:r>
    </w:p>
    <w:p w:rsidR="00AF6697" w:rsidRPr="00442EE5" w:rsidRDefault="00AF6697" w:rsidP="00AF6697">
      <w:pPr>
        <w:pStyle w:val="ParaNoNdepar-AltN"/>
        <w:rPr>
          <w:rFonts w:cs="Times New Roman"/>
          <w:lang w:val="fr-CA"/>
        </w:rPr>
      </w:pPr>
      <w:r w:rsidRPr="00442EE5">
        <w:rPr>
          <w:rFonts w:cs="Times New Roman"/>
          <w:lang w:val="fr-CA"/>
        </w:rPr>
        <w:t>Outre la règle de conflit invoquée par mon collègue, j</w:t>
      </w:r>
      <w:r>
        <w:rPr>
          <w:rFonts w:cs="Times New Roman"/>
          <w:lang w:val="fr-CA"/>
        </w:rPr>
        <w:t>’</w:t>
      </w:r>
      <w:r w:rsidRPr="00442EE5">
        <w:rPr>
          <w:rFonts w:cs="Times New Roman"/>
          <w:lang w:val="fr-CA"/>
        </w:rPr>
        <w:t>ajouterai que le droit qui aurait pu être appliqué si l</w:t>
      </w:r>
      <w:r>
        <w:rPr>
          <w:rFonts w:cs="Times New Roman"/>
          <w:lang w:val="fr-CA"/>
        </w:rPr>
        <w:t>’</w:t>
      </w:r>
      <w:r w:rsidRPr="00442EE5">
        <w:rPr>
          <w:rFonts w:cs="Times New Roman"/>
          <w:lang w:val="fr-CA"/>
        </w:rPr>
        <w:t xml:space="preserve">action avait été intentée au Québec semble en soi non </w:t>
      </w:r>
      <w:r w:rsidRPr="00442EE5">
        <w:rPr>
          <w:rFonts w:cs="Times New Roman"/>
          <w:lang w:val="fr-CA"/>
        </w:rPr>
        <w:lastRenderedPageBreak/>
        <w:t>pertinent pour l</w:t>
      </w:r>
      <w:r>
        <w:rPr>
          <w:rFonts w:cs="Times New Roman"/>
          <w:lang w:val="fr-CA"/>
        </w:rPr>
        <w:t>’</w:t>
      </w:r>
      <w:r w:rsidRPr="00442EE5">
        <w:rPr>
          <w:rFonts w:cs="Times New Roman"/>
          <w:lang w:val="fr-CA"/>
        </w:rPr>
        <w:t>appréciation d</w:t>
      </w:r>
      <w:r>
        <w:rPr>
          <w:rFonts w:cs="Times New Roman"/>
          <w:lang w:val="fr-CA"/>
        </w:rPr>
        <w:t>’</w:t>
      </w:r>
      <w:r w:rsidRPr="00442EE5">
        <w:rPr>
          <w:rFonts w:cs="Times New Roman"/>
          <w:lang w:val="fr-CA"/>
        </w:rPr>
        <w:t>une déclaration de compétence par une autorité étrangère. Comme le fait remarq</w:t>
      </w:r>
      <w:r w:rsidR="00084E79">
        <w:rPr>
          <w:rFonts w:cs="Times New Roman"/>
          <w:lang w:val="fr-CA"/>
        </w:rPr>
        <w:t>uer mon collègue (</w:t>
      </w:r>
      <w:r w:rsidRPr="00442EE5">
        <w:rPr>
          <w:rFonts w:cs="Times New Roman"/>
          <w:lang w:val="fr-CA"/>
        </w:rPr>
        <w:t>par. 168), il est vrai qu</w:t>
      </w:r>
      <w:r>
        <w:rPr>
          <w:rFonts w:cs="Times New Roman"/>
          <w:lang w:val="fr-CA"/>
        </w:rPr>
        <w:t>’</w:t>
      </w:r>
      <w:r w:rsidRPr="00442EE5">
        <w:rPr>
          <w:rFonts w:cs="Times New Roman"/>
          <w:lang w:val="fr-CA"/>
        </w:rPr>
        <w:t>un tribunal québécois saisi du même litige pourrait tenir compte du droit applicable à celui</w:t>
      </w:r>
      <w:r w:rsidRPr="00442EE5">
        <w:rPr>
          <w:rFonts w:cs="Times New Roman"/>
          <w:lang w:val="fr-CA"/>
        </w:rPr>
        <w:noBreakHyphen/>
        <w:t>ci pour décider s</w:t>
      </w:r>
      <w:r>
        <w:rPr>
          <w:rFonts w:cs="Times New Roman"/>
          <w:lang w:val="fr-CA"/>
        </w:rPr>
        <w:t>’</w:t>
      </w:r>
      <w:r w:rsidRPr="00442EE5">
        <w:rPr>
          <w:rFonts w:cs="Times New Roman"/>
          <w:lang w:val="fr-CA"/>
        </w:rPr>
        <w:t xml:space="preserve">il y a lieu de décliner compétence selon la doctrine du </w:t>
      </w:r>
      <w:r w:rsidRPr="00442EE5">
        <w:rPr>
          <w:rFonts w:cs="Times New Roman"/>
          <w:i/>
          <w:lang w:val="fr-CA"/>
        </w:rPr>
        <w:t>forum non conveniens</w:t>
      </w:r>
      <w:r w:rsidRPr="00442EE5">
        <w:rPr>
          <w:rFonts w:cs="Times New Roman"/>
          <w:lang w:val="fr-CA"/>
        </w:rPr>
        <w:t xml:space="preserve"> (art. 3135 </w:t>
      </w:r>
      <w:r w:rsidRPr="00442EE5">
        <w:rPr>
          <w:rFonts w:cs="Times New Roman"/>
          <w:i/>
          <w:lang w:val="fr-CA"/>
        </w:rPr>
        <w:t>C.c.Q.</w:t>
      </w:r>
      <w:r w:rsidRPr="00442EE5">
        <w:rPr>
          <w:rFonts w:cs="Times New Roman"/>
          <w:lang w:val="fr-CA"/>
        </w:rPr>
        <w:t xml:space="preserve">; </w:t>
      </w:r>
      <w:r w:rsidRPr="00442EE5">
        <w:rPr>
          <w:rFonts w:cs="Times New Roman"/>
          <w:i/>
          <w:lang w:val="fr-CA"/>
        </w:rPr>
        <w:t>Spar</w:t>
      </w:r>
      <w:r w:rsidRPr="00442EE5">
        <w:rPr>
          <w:rFonts w:cs="Times New Roman"/>
          <w:lang w:val="fr-CA"/>
        </w:rPr>
        <w:t>, par. 67</w:t>
      </w:r>
      <w:r w:rsidRPr="00442EE5">
        <w:rPr>
          <w:rFonts w:cs="Times New Roman"/>
          <w:lang w:val="fr-CA"/>
        </w:rPr>
        <w:noBreakHyphen/>
        <w:t>71). Cependant, cette doctrine concerne l</w:t>
      </w:r>
      <w:r>
        <w:rPr>
          <w:rFonts w:cs="Times New Roman"/>
          <w:lang w:val="fr-CA"/>
        </w:rPr>
        <w:t>’</w:t>
      </w:r>
      <w:r w:rsidRPr="00442EE5">
        <w:rPr>
          <w:rFonts w:cs="Times New Roman"/>
          <w:i/>
          <w:lang w:val="fr-CA"/>
        </w:rPr>
        <w:t>exercice</w:t>
      </w:r>
      <w:r w:rsidRPr="00442EE5">
        <w:rPr>
          <w:rFonts w:cs="Times New Roman"/>
          <w:lang w:val="fr-CA"/>
        </w:rPr>
        <w:t>, et non la</w:t>
      </w:r>
      <w:r w:rsidRPr="00442EE5">
        <w:rPr>
          <w:rFonts w:cs="Times New Roman"/>
          <w:i/>
          <w:lang w:val="fr-CA"/>
        </w:rPr>
        <w:t xml:space="preserve"> détermination</w:t>
      </w:r>
      <w:r w:rsidRPr="00442EE5">
        <w:rPr>
          <w:rFonts w:cs="Times New Roman"/>
          <w:lang w:val="fr-CA"/>
        </w:rPr>
        <w:t>, de la compétence (</w:t>
      </w:r>
      <w:r w:rsidRPr="00442EE5">
        <w:rPr>
          <w:rFonts w:cs="Times New Roman"/>
          <w:i/>
          <w:lang w:val="fr-CA"/>
        </w:rPr>
        <w:t>Lépine</w:t>
      </w:r>
      <w:r w:rsidRPr="00442EE5">
        <w:rPr>
          <w:rFonts w:cs="Times New Roman"/>
          <w:lang w:val="fr-CA"/>
        </w:rPr>
        <w:t>, par. 34), et repose par conséquent sur des facteurs différents (</w:t>
      </w:r>
      <w:r w:rsidRPr="00442EE5">
        <w:rPr>
          <w:rFonts w:cs="Times New Roman"/>
          <w:i/>
          <w:lang w:val="fr-CA"/>
        </w:rPr>
        <w:t>Haaretz.com c. Goldhar</w:t>
      </w:r>
      <w:r w:rsidRPr="00442EE5">
        <w:rPr>
          <w:rFonts w:cs="Times New Roman"/>
          <w:lang w:val="fr-CA"/>
        </w:rPr>
        <w:t xml:space="preserve">, 2018 CSC 28, </w:t>
      </w:r>
      <w:r w:rsidR="00684FCF">
        <w:rPr>
          <w:lang w:val="fr-CA"/>
        </w:rPr>
        <w:t>[2018</w:t>
      </w:r>
      <w:r w:rsidR="00684FCF" w:rsidRPr="00342757">
        <w:rPr>
          <w:lang w:val="fr-CA"/>
        </w:rPr>
        <w:t>]</w:t>
      </w:r>
      <w:r w:rsidR="00684FCF">
        <w:rPr>
          <w:lang w:val="fr-CA"/>
        </w:rPr>
        <w:t xml:space="preserve"> 2 R.C.S. 3, </w:t>
      </w:r>
      <w:r w:rsidRPr="00442EE5">
        <w:rPr>
          <w:rFonts w:cs="Times New Roman"/>
          <w:lang w:val="fr-CA"/>
        </w:rPr>
        <w:t>par. 43). Dans l</w:t>
      </w:r>
      <w:r>
        <w:rPr>
          <w:rFonts w:cs="Times New Roman"/>
          <w:lang w:val="fr-CA"/>
        </w:rPr>
        <w:t>’</w:t>
      </w:r>
      <w:r w:rsidRPr="00442EE5">
        <w:rPr>
          <w:rFonts w:cs="Times New Roman"/>
          <w:lang w:val="fr-CA"/>
        </w:rPr>
        <w:t xml:space="preserve">analyse relative au </w:t>
      </w:r>
      <w:r w:rsidRPr="00442EE5">
        <w:rPr>
          <w:rFonts w:cs="Times New Roman"/>
          <w:i/>
          <w:lang w:val="fr-CA"/>
        </w:rPr>
        <w:t>forum non conveniens</w:t>
      </w:r>
      <w:r w:rsidRPr="00442EE5">
        <w:rPr>
          <w:rFonts w:cs="Times New Roman"/>
          <w:lang w:val="fr-CA"/>
        </w:rPr>
        <w:t>, par exemple, le fait que le tribunal québécois applique un droit étranger pourrait inciter celui</w:t>
      </w:r>
      <w:r w:rsidRPr="00442EE5">
        <w:rPr>
          <w:rFonts w:cs="Times New Roman"/>
          <w:lang w:val="fr-CA"/>
        </w:rPr>
        <w:noBreakHyphen/>
        <w:t>ci — pour des raisons d</w:t>
      </w:r>
      <w:r>
        <w:rPr>
          <w:rFonts w:cs="Times New Roman"/>
          <w:lang w:val="fr-CA"/>
        </w:rPr>
        <w:t>’</w:t>
      </w:r>
      <w:r w:rsidRPr="00442EE5">
        <w:rPr>
          <w:rFonts w:cs="Times New Roman"/>
          <w:lang w:val="fr-CA"/>
        </w:rPr>
        <w:t>efficacité — à décliner compétence. En l</w:t>
      </w:r>
      <w:r>
        <w:rPr>
          <w:rFonts w:cs="Times New Roman"/>
          <w:lang w:val="fr-CA"/>
        </w:rPr>
        <w:t>’</w:t>
      </w:r>
      <w:r w:rsidRPr="00442EE5">
        <w:rPr>
          <w:rFonts w:cs="Times New Roman"/>
          <w:lang w:val="fr-CA"/>
        </w:rPr>
        <w:t>espèce, cependant, il s</w:t>
      </w:r>
      <w:r>
        <w:rPr>
          <w:rFonts w:cs="Times New Roman"/>
          <w:lang w:val="fr-CA"/>
        </w:rPr>
        <w:t>’</w:t>
      </w:r>
      <w:r w:rsidRPr="00442EE5">
        <w:rPr>
          <w:rFonts w:cs="Times New Roman"/>
          <w:lang w:val="fr-CA"/>
        </w:rPr>
        <w:t>agit de savoir non pas ce qui est commode, mais plutôt si l</w:t>
      </w:r>
      <w:r>
        <w:rPr>
          <w:rFonts w:cs="Times New Roman"/>
          <w:lang w:val="fr-CA"/>
        </w:rPr>
        <w:t>’</w:t>
      </w:r>
      <w:r w:rsidRPr="00442EE5">
        <w:rPr>
          <w:rFonts w:cs="Times New Roman"/>
          <w:lang w:val="fr-CA"/>
        </w:rPr>
        <w:t>Utah présentait un rattachement suffisant avec M. Barer pour établir sa compétence à l</w:t>
      </w:r>
      <w:r>
        <w:rPr>
          <w:rFonts w:cs="Times New Roman"/>
          <w:lang w:val="fr-CA"/>
        </w:rPr>
        <w:t>’</w:t>
      </w:r>
      <w:r w:rsidRPr="00442EE5">
        <w:rPr>
          <w:rFonts w:cs="Times New Roman"/>
          <w:lang w:val="fr-CA"/>
        </w:rPr>
        <w:t>égard de celui</w:t>
      </w:r>
      <w:r w:rsidRPr="00442EE5">
        <w:rPr>
          <w:rFonts w:cs="Times New Roman"/>
          <w:lang w:val="fr-CA"/>
        </w:rPr>
        <w:noBreakHyphen/>
        <w:t>ci. Le droit que le tribunal québécois pourrait appliquer à l</w:t>
      </w:r>
      <w:r>
        <w:rPr>
          <w:rFonts w:cs="Times New Roman"/>
          <w:lang w:val="fr-CA"/>
        </w:rPr>
        <w:t>’</w:t>
      </w:r>
      <w:r w:rsidRPr="00442EE5">
        <w:rPr>
          <w:rFonts w:cs="Times New Roman"/>
          <w:lang w:val="fr-CA"/>
        </w:rPr>
        <w:t>allégation d</w:t>
      </w:r>
      <w:r>
        <w:rPr>
          <w:rFonts w:cs="Times New Roman"/>
          <w:lang w:val="fr-CA"/>
        </w:rPr>
        <w:t>’</w:t>
      </w:r>
      <w:r w:rsidRPr="00442EE5">
        <w:rPr>
          <w:rFonts w:cs="Times New Roman"/>
          <w:lang w:val="fr-CA"/>
        </w:rPr>
        <w:t>alter ego ne nous apprend rien en soi quant à ce rattachement.</w:t>
      </w:r>
    </w:p>
    <w:p w:rsidR="00AF6697" w:rsidRPr="00442EE5" w:rsidRDefault="00AF6697" w:rsidP="00AF6697">
      <w:pPr>
        <w:pStyle w:val="ParaNoNdepar-AltN"/>
        <w:rPr>
          <w:rFonts w:cs="Times New Roman"/>
          <w:lang w:val="fr-CA"/>
        </w:rPr>
      </w:pPr>
      <w:r w:rsidRPr="00442EE5">
        <w:rPr>
          <w:rFonts w:cs="Times New Roman"/>
          <w:lang w:val="fr-CA"/>
        </w:rPr>
        <w:t>Quoi qu</w:t>
      </w:r>
      <w:r>
        <w:rPr>
          <w:rFonts w:cs="Times New Roman"/>
          <w:lang w:val="fr-CA"/>
        </w:rPr>
        <w:t>’</w:t>
      </w:r>
      <w:r w:rsidRPr="00442EE5">
        <w:rPr>
          <w:rFonts w:cs="Times New Roman"/>
          <w:lang w:val="fr-CA"/>
        </w:rPr>
        <w:t>il en soit, dans la mesure où le droit applicable au fond est pertinent, je souligne que le droit qui a de fait régi l</w:t>
      </w:r>
      <w:r>
        <w:rPr>
          <w:rFonts w:cs="Times New Roman"/>
          <w:lang w:val="fr-CA"/>
        </w:rPr>
        <w:t>’</w:t>
      </w:r>
      <w:r w:rsidRPr="00442EE5">
        <w:rPr>
          <w:rFonts w:cs="Times New Roman"/>
          <w:lang w:val="fr-CA"/>
        </w:rPr>
        <w:t>action n</w:t>
      </w:r>
      <w:r>
        <w:rPr>
          <w:rFonts w:cs="Times New Roman"/>
          <w:lang w:val="fr-CA"/>
        </w:rPr>
        <w:t>’</w:t>
      </w:r>
      <w:r w:rsidRPr="00442EE5">
        <w:rPr>
          <w:rFonts w:cs="Times New Roman"/>
          <w:lang w:val="fr-CA"/>
        </w:rPr>
        <w:t>étaye pas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 rattachement important entre le litige et l</w:t>
      </w:r>
      <w:r>
        <w:rPr>
          <w:rFonts w:cs="Times New Roman"/>
          <w:lang w:val="fr-CA"/>
        </w:rPr>
        <w:t>’</w:t>
      </w:r>
      <w:r w:rsidRPr="00442EE5">
        <w:rPr>
          <w:rFonts w:cs="Times New Roman"/>
          <w:lang w:val="fr-CA"/>
        </w:rPr>
        <w:t>Utah. Dans la présente affaire, la décision et l</w:t>
      </w:r>
      <w:r>
        <w:rPr>
          <w:rFonts w:cs="Times New Roman"/>
          <w:lang w:val="fr-CA"/>
        </w:rPr>
        <w:t>’</w:t>
      </w:r>
      <w:r w:rsidRPr="00442EE5">
        <w:rPr>
          <w:rFonts w:cs="Times New Roman"/>
          <w:lang w:val="fr-CA"/>
        </w:rPr>
        <w:t>ordonnance rejetant la requête en irrecevabilité de Barer révèlent que le tribunal de l</w:t>
      </w:r>
      <w:r>
        <w:rPr>
          <w:rFonts w:cs="Times New Roman"/>
          <w:lang w:val="fr-CA"/>
        </w:rPr>
        <w:t>’</w:t>
      </w:r>
      <w:r w:rsidRPr="00442EE5">
        <w:rPr>
          <w:rFonts w:cs="Times New Roman"/>
          <w:lang w:val="fr-CA"/>
        </w:rPr>
        <w:t xml:space="preserve">Utah a appliqué le droit du </w:t>
      </w:r>
      <w:r w:rsidRPr="00442EE5">
        <w:rPr>
          <w:rFonts w:cs="Times New Roman"/>
          <w:i/>
          <w:lang w:val="fr-CA"/>
        </w:rPr>
        <w:t>Vermont</w:t>
      </w:r>
      <w:r w:rsidRPr="00442EE5">
        <w:rPr>
          <w:rFonts w:cs="Times New Roman"/>
          <w:lang w:val="fr-CA"/>
        </w:rPr>
        <w:t xml:space="preserve"> à l</w:t>
      </w:r>
      <w:r>
        <w:rPr>
          <w:rFonts w:cs="Times New Roman"/>
          <w:lang w:val="fr-CA"/>
        </w:rPr>
        <w:t>’</w:t>
      </w:r>
      <w:r w:rsidRPr="00442EE5">
        <w:rPr>
          <w:rFonts w:cs="Times New Roman"/>
          <w:lang w:val="fr-CA"/>
        </w:rPr>
        <w:t>allégation d</w:t>
      </w:r>
      <w:r>
        <w:rPr>
          <w:rFonts w:cs="Times New Roman"/>
          <w:lang w:val="fr-CA"/>
        </w:rPr>
        <w:t>’</w:t>
      </w:r>
      <w:r w:rsidRPr="00442EE5">
        <w:rPr>
          <w:rFonts w:cs="Times New Roman"/>
          <w:lang w:val="fr-CA"/>
        </w:rPr>
        <w:t>alter ego, et non le droit de l</w:t>
      </w:r>
      <w:r>
        <w:rPr>
          <w:rFonts w:cs="Times New Roman"/>
          <w:lang w:val="fr-CA"/>
        </w:rPr>
        <w:t>’</w:t>
      </w:r>
      <w:r w:rsidRPr="00442EE5">
        <w:rPr>
          <w:rFonts w:cs="Times New Roman"/>
          <w:lang w:val="fr-CA"/>
        </w:rPr>
        <w:t>Utah. Par conséquent, je ne vois pas comment ce facteur peut jouer en faveur de la reconnaissance.</w:t>
      </w:r>
    </w:p>
    <w:p w:rsidR="00AF6697" w:rsidRPr="00442EE5" w:rsidRDefault="00AF6697" w:rsidP="00AF6697">
      <w:pPr>
        <w:pStyle w:val="ParaNoNdepar-AltN"/>
        <w:rPr>
          <w:rFonts w:cs="Times New Roman"/>
          <w:lang w:val="fr-CA"/>
        </w:rPr>
      </w:pPr>
      <w:r w:rsidRPr="00442EE5">
        <w:rPr>
          <w:rFonts w:cs="Times New Roman"/>
          <w:lang w:val="fr-CA"/>
        </w:rPr>
        <w:t>Enfin, j</w:t>
      </w:r>
      <w:r>
        <w:rPr>
          <w:rFonts w:cs="Times New Roman"/>
          <w:lang w:val="fr-CA"/>
        </w:rPr>
        <w:t>’</w:t>
      </w:r>
      <w:r w:rsidRPr="00442EE5">
        <w:rPr>
          <w:rFonts w:cs="Times New Roman"/>
          <w:lang w:val="fr-CA"/>
        </w:rPr>
        <w:t>ajouterai que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 rattachement important ne saurait être présumée simplement parce qu</w:t>
      </w:r>
      <w:r>
        <w:rPr>
          <w:rFonts w:cs="Times New Roman"/>
          <w:lang w:val="fr-CA"/>
        </w:rPr>
        <w:t>’</w:t>
      </w:r>
      <w:r w:rsidRPr="00442EE5">
        <w:rPr>
          <w:rFonts w:cs="Times New Roman"/>
          <w:lang w:val="fr-CA"/>
        </w:rPr>
        <w:t xml:space="preserve">il semble plus commode de reconnaître la décision </w:t>
      </w:r>
      <w:r w:rsidRPr="00442EE5">
        <w:rPr>
          <w:rFonts w:cs="Times New Roman"/>
          <w:lang w:val="fr-CA"/>
        </w:rPr>
        <w:lastRenderedPageBreak/>
        <w:t>étrangère dans une situation donnée. Mes deux collègues insistent sur le fait qu</w:t>
      </w:r>
      <w:r>
        <w:rPr>
          <w:rFonts w:cs="Times New Roman"/>
          <w:lang w:val="fr-CA"/>
        </w:rPr>
        <w:t>’</w:t>
      </w:r>
      <w:r w:rsidRPr="00442EE5">
        <w:rPr>
          <w:rFonts w:cs="Times New Roman"/>
          <w:lang w:val="fr-CA"/>
        </w:rPr>
        <w:t xml:space="preserve">il est préférable que les actions intentées contre BEC et M. Barer soient entendues ensemble par un seul tribunal (motifs du juge Gascon, par. 88; </w:t>
      </w:r>
      <w:r>
        <w:rPr>
          <w:rFonts w:cs="Times New Roman"/>
          <w:lang w:val="fr-CA"/>
        </w:rPr>
        <w:t xml:space="preserve">motifs du juge </w:t>
      </w:r>
      <w:r w:rsidRPr="00442EE5">
        <w:rPr>
          <w:rFonts w:cs="Times New Roman"/>
          <w:lang w:val="fr-CA"/>
        </w:rPr>
        <w:t>Brown, par. 170). C</w:t>
      </w:r>
      <w:r>
        <w:rPr>
          <w:rFonts w:cs="Times New Roman"/>
          <w:lang w:val="fr-CA"/>
        </w:rPr>
        <w:t>’</w:t>
      </w:r>
      <w:r w:rsidRPr="00442EE5">
        <w:rPr>
          <w:rFonts w:cs="Times New Roman"/>
          <w:lang w:val="fr-CA"/>
        </w:rPr>
        <w:t>est peut</w:t>
      </w:r>
      <w:r w:rsidRPr="00442EE5">
        <w:rPr>
          <w:rFonts w:cs="Times New Roman"/>
          <w:lang w:val="fr-CA"/>
        </w:rPr>
        <w:noBreakHyphen/>
        <w:t>être le cas, mais la commodité ne constitue pas en soi un motif d</w:t>
      </w:r>
      <w:r>
        <w:rPr>
          <w:rFonts w:cs="Times New Roman"/>
          <w:lang w:val="fr-CA"/>
        </w:rPr>
        <w:t>’</w:t>
      </w:r>
      <w:r w:rsidRPr="00442EE5">
        <w:rPr>
          <w:rFonts w:cs="Times New Roman"/>
          <w:lang w:val="fr-CA"/>
        </w:rPr>
        <w:t>attribution de compétence et elle ne permet pas aux tribunaux québécois de faire fi des droits des résidants du Québec qui sont parties à un litige à l</w:t>
      </w:r>
      <w:r>
        <w:rPr>
          <w:rFonts w:cs="Times New Roman"/>
          <w:lang w:val="fr-CA"/>
        </w:rPr>
        <w:t>’</w:t>
      </w:r>
      <w:r w:rsidRPr="00442EE5">
        <w:rPr>
          <w:rFonts w:cs="Times New Roman"/>
          <w:lang w:val="fr-CA"/>
        </w:rPr>
        <w:t>étranger. En l</w:t>
      </w:r>
      <w:r>
        <w:rPr>
          <w:rFonts w:cs="Times New Roman"/>
          <w:lang w:val="fr-CA"/>
        </w:rPr>
        <w:t>’</w:t>
      </w:r>
      <w:r w:rsidRPr="00442EE5">
        <w:rPr>
          <w:rFonts w:cs="Times New Roman"/>
          <w:lang w:val="fr-CA"/>
        </w:rPr>
        <w:t>espèce, on ne peut tout simplement pas faire abstraction de l</w:t>
      </w:r>
      <w:r>
        <w:rPr>
          <w:rFonts w:cs="Times New Roman"/>
          <w:lang w:val="fr-CA"/>
        </w:rPr>
        <w:t>’</w:t>
      </w:r>
      <w:r w:rsidRPr="00442EE5">
        <w:rPr>
          <w:rFonts w:cs="Times New Roman"/>
          <w:lang w:val="fr-CA"/>
        </w:rPr>
        <w:t>absence de preuve concrète permettant de reconnaître le jugement du tribunal de l</w:t>
      </w:r>
      <w:r>
        <w:rPr>
          <w:rFonts w:cs="Times New Roman"/>
          <w:lang w:val="fr-CA"/>
        </w:rPr>
        <w:t>’</w:t>
      </w:r>
      <w:r w:rsidRPr="00442EE5">
        <w:rPr>
          <w:rFonts w:cs="Times New Roman"/>
          <w:lang w:val="fr-CA"/>
        </w:rPr>
        <w:t>Utah.</w:t>
      </w:r>
    </w:p>
    <w:p w:rsidR="00AF6697" w:rsidRPr="00442EE5" w:rsidRDefault="00AF6697" w:rsidP="00AF6697">
      <w:pPr>
        <w:pStyle w:val="Title1LevelTitre1Niveau-AltL"/>
        <w:numPr>
          <w:ilvl w:val="0"/>
          <w:numId w:val="4"/>
        </w:numPr>
        <w:jc w:val="both"/>
        <w:rPr>
          <w:rFonts w:cs="Times New Roman"/>
          <w:lang w:val="fr-CA"/>
        </w:rPr>
      </w:pPr>
      <w:r w:rsidRPr="00442EE5">
        <w:rPr>
          <w:rFonts w:cs="Times New Roman"/>
          <w:lang w:val="fr-CA"/>
        </w:rPr>
        <w:t xml:space="preserve">Article 3139 </w:t>
      </w:r>
      <w:r w:rsidRPr="00442EE5">
        <w:rPr>
          <w:rFonts w:cs="Times New Roman"/>
          <w:i/>
          <w:lang w:val="fr-CA"/>
        </w:rPr>
        <w:t>C.c.Q</w:t>
      </w:r>
      <w:r w:rsidRPr="00442EE5">
        <w:rPr>
          <w:rFonts w:cs="Times New Roman"/>
          <w:lang w:val="fr-CA"/>
        </w:rPr>
        <w:t>.</w:t>
      </w:r>
    </w:p>
    <w:p w:rsidR="00AF6697" w:rsidRPr="00442EE5" w:rsidRDefault="00AF6697" w:rsidP="00AF6697">
      <w:pPr>
        <w:pStyle w:val="ParaNoNdepar-AltN"/>
        <w:rPr>
          <w:rFonts w:cs="Times New Roman"/>
          <w:lang w:val="fr-CA"/>
        </w:rPr>
      </w:pPr>
      <w:r w:rsidRPr="00442EE5">
        <w:rPr>
          <w:rFonts w:cs="Times New Roman"/>
          <w:lang w:val="fr-CA"/>
        </w:rPr>
        <w:t>Un dernier commentaire s</w:t>
      </w:r>
      <w:r>
        <w:rPr>
          <w:rFonts w:cs="Times New Roman"/>
          <w:lang w:val="fr-CA"/>
        </w:rPr>
        <w:t>’</w:t>
      </w:r>
      <w:r w:rsidRPr="00442EE5">
        <w:rPr>
          <w:rFonts w:cs="Times New Roman"/>
          <w:lang w:val="fr-CA"/>
        </w:rPr>
        <w:t>impose au sujet de l</w:t>
      </w:r>
      <w:r>
        <w:rPr>
          <w:rFonts w:cs="Times New Roman"/>
          <w:lang w:val="fr-CA"/>
        </w:rPr>
        <w:t>’</w:t>
      </w:r>
      <w:r w:rsidRPr="00442EE5">
        <w:rPr>
          <w:rFonts w:cs="Times New Roman"/>
          <w:lang w:val="fr-CA"/>
        </w:rPr>
        <w:t>approche adoptée par le juge Brown. En résumé, mon collègue invoque l</w:t>
      </w:r>
      <w:r>
        <w:rPr>
          <w:rFonts w:cs="Times New Roman"/>
          <w:lang w:val="fr-CA"/>
        </w:rPr>
        <w:t>’</w:t>
      </w:r>
      <w:r w:rsidRPr="00442EE5">
        <w:rPr>
          <w:rFonts w:cs="Times New Roman"/>
          <w:lang w:val="fr-CA"/>
        </w:rPr>
        <w:t xml:space="preserve">art. 3139 </w:t>
      </w:r>
      <w:r w:rsidRPr="00442EE5">
        <w:rPr>
          <w:rFonts w:cs="Times New Roman"/>
          <w:i/>
          <w:lang w:val="fr-CA"/>
        </w:rPr>
        <w:t>C.c.Q.</w:t>
      </w:r>
      <w:r w:rsidRPr="00442EE5">
        <w:rPr>
          <w:rFonts w:cs="Times New Roman"/>
          <w:lang w:val="fr-CA"/>
        </w:rPr>
        <w:t>, par le biais de l</w:t>
      </w:r>
      <w:r>
        <w:rPr>
          <w:rFonts w:cs="Times New Roman"/>
          <w:lang w:val="fr-CA"/>
        </w:rPr>
        <w:t>’</w:t>
      </w:r>
      <w:r w:rsidRPr="00442EE5">
        <w:rPr>
          <w:rFonts w:cs="Times New Roman"/>
          <w:lang w:val="fr-CA"/>
        </w:rPr>
        <w:t>effet miroir de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pour étendre l</w:t>
      </w:r>
      <w:r>
        <w:rPr>
          <w:rFonts w:cs="Times New Roman"/>
          <w:lang w:val="fr-CA"/>
        </w:rPr>
        <w:t>’</w:t>
      </w:r>
      <w:r w:rsidRPr="00442EE5">
        <w:rPr>
          <w:rFonts w:cs="Times New Roman"/>
          <w:lang w:val="fr-CA"/>
        </w:rPr>
        <w:t xml:space="preserve">application </w:t>
      </w:r>
      <w:r w:rsidR="00660772">
        <w:rPr>
          <w:rFonts w:cs="Times New Roman"/>
          <w:lang w:val="fr-CA"/>
        </w:rPr>
        <w:t>du par.</w:t>
      </w:r>
      <w:r w:rsidRPr="00442EE5">
        <w:rPr>
          <w:rFonts w:cs="Times New Roman"/>
          <w:lang w:val="fr-CA"/>
        </w:rPr>
        <w:t xml:space="preserve"> 3168(4) </w:t>
      </w:r>
      <w:r w:rsidRPr="00442EE5">
        <w:rPr>
          <w:rFonts w:cs="Times New Roman"/>
          <w:i/>
          <w:lang w:val="fr-CA"/>
        </w:rPr>
        <w:t>C.c.Q</w:t>
      </w:r>
      <w:r w:rsidRPr="00442EE5">
        <w:rPr>
          <w:rFonts w:cs="Times New Roman"/>
          <w:lang w:val="fr-CA"/>
        </w:rPr>
        <w:t>. — qui concerne les obligations découlant d</w:t>
      </w:r>
      <w:r>
        <w:rPr>
          <w:rFonts w:cs="Times New Roman"/>
          <w:lang w:val="fr-CA"/>
        </w:rPr>
        <w:t>’</w:t>
      </w:r>
      <w:r w:rsidRPr="00442EE5">
        <w:rPr>
          <w:rFonts w:cs="Times New Roman"/>
          <w:lang w:val="fr-CA"/>
        </w:rPr>
        <w:t>un contrat — à M. Barer, qui n</w:t>
      </w:r>
      <w:r>
        <w:rPr>
          <w:rFonts w:cs="Times New Roman"/>
          <w:lang w:val="fr-CA"/>
        </w:rPr>
        <w:t>’</w:t>
      </w:r>
      <w:r w:rsidRPr="00442EE5">
        <w:rPr>
          <w:rFonts w:cs="Times New Roman"/>
          <w:lang w:val="fr-CA"/>
        </w:rPr>
        <w:t>est pas partie au contrat avec Knight. Avec égards, je ne puis accepter cette proposition.</w:t>
      </w:r>
    </w:p>
    <w:p w:rsidR="00AF6697" w:rsidRPr="00442EE5" w:rsidRDefault="00AF6697" w:rsidP="00AF6697">
      <w:pPr>
        <w:pStyle w:val="ParaNoNdepar-AltN"/>
        <w:rPr>
          <w:rFonts w:cs="Times New Roman"/>
          <w:lang w:val="fr-CA"/>
        </w:rPr>
      </w:pPr>
      <w:r w:rsidRPr="00442EE5">
        <w:rPr>
          <w:rFonts w:cs="Times New Roman"/>
          <w:lang w:val="fr-CA"/>
        </w:rPr>
        <w:t>Même en présumant que l</w:t>
      </w:r>
      <w:r>
        <w:rPr>
          <w:rFonts w:cs="Times New Roman"/>
          <w:lang w:val="fr-CA"/>
        </w:rPr>
        <w:t>’</w:t>
      </w:r>
      <w:r w:rsidRPr="00442EE5">
        <w:rPr>
          <w:rFonts w:cs="Times New Roman"/>
          <w:lang w:val="fr-CA"/>
        </w:rPr>
        <w:t xml:space="preserve">art. 3139 </w:t>
      </w:r>
      <w:r w:rsidRPr="00442EE5">
        <w:rPr>
          <w:rFonts w:cs="Times New Roman"/>
          <w:i/>
          <w:lang w:val="fr-CA"/>
        </w:rPr>
        <w:t>C.c.Q.</w:t>
      </w:r>
      <w:r w:rsidRPr="00442EE5">
        <w:rPr>
          <w:rFonts w:cs="Times New Roman"/>
          <w:lang w:val="fr-CA"/>
        </w:rPr>
        <w:t xml:space="preserve"> peut être invoqué pour reconnaître une décision étrangère, il ne pourrait pas s</w:t>
      </w:r>
      <w:r>
        <w:rPr>
          <w:rFonts w:cs="Times New Roman"/>
          <w:lang w:val="fr-CA"/>
        </w:rPr>
        <w:t>’</w:t>
      </w:r>
      <w:r w:rsidRPr="00442EE5">
        <w:rPr>
          <w:rFonts w:cs="Times New Roman"/>
          <w:lang w:val="fr-CA"/>
        </w:rPr>
        <w:t>appliquer en l</w:t>
      </w:r>
      <w:r>
        <w:rPr>
          <w:rFonts w:cs="Times New Roman"/>
          <w:lang w:val="fr-CA"/>
        </w:rPr>
        <w:t>’</w:t>
      </w:r>
      <w:r w:rsidRPr="00442EE5">
        <w:rPr>
          <w:rFonts w:cs="Times New Roman"/>
          <w:lang w:val="fr-CA"/>
        </w:rPr>
        <w:t>espèce. Cette disposition précise que « [l]</w:t>
      </w:r>
      <w:r>
        <w:rPr>
          <w:rFonts w:cs="Times New Roman"/>
          <w:lang w:val="fr-CA"/>
        </w:rPr>
        <w:t>’</w:t>
      </w:r>
      <w:r w:rsidRPr="00442EE5">
        <w:rPr>
          <w:rFonts w:cs="Times New Roman"/>
          <w:lang w:val="fr-CA"/>
        </w:rPr>
        <w:t xml:space="preserve">autorité québécoise, compétente pour la </w:t>
      </w:r>
      <w:r w:rsidRPr="00442EE5">
        <w:rPr>
          <w:rFonts w:cs="Times New Roman"/>
          <w:u w:val="single"/>
          <w:lang w:val="fr-CA"/>
        </w:rPr>
        <w:t>demande principale</w:t>
      </w:r>
      <w:r w:rsidRPr="00442EE5">
        <w:rPr>
          <w:rFonts w:cs="Times New Roman"/>
          <w:lang w:val="fr-CA"/>
        </w:rPr>
        <w:t xml:space="preserve">, est aussi compétente pour la </w:t>
      </w:r>
      <w:r w:rsidRPr="00442EE5">
        <w:rPr>
          <w:rFonts w:cs="Times New Roman"/>
          <w:u w:val="single"/>
          <w:lang w:val="fr-CA"/>
        </w:rPr>
        <w:t>demande incidente</w:t>
      </w:r>
      <w:r w:rsidRPr="00442EE5">
        <w:rPr>
          <w:rFonts w:cs="Times New Roman"/>
          <w:lang w:val="fr-CA"/>
        </w:rPr>
        <w:t xml:space="preserve"> ou reconventionnelle ». L</w:t>
      </w:r>
      <w:r>
        <w:rPr>
          <w:rFonts w:cs="Times New Roman"/>
          <w:lang w:val="fr-CA"/>
        </w:rPr>
        <w:t>’</w:t>
      </w:r>
      <w:r w:rsidRPr="00442EE5">
        <w:rPr>
          <w:rFonts w:cs="Times New Roman"/>
          <w:lang w:val="fr-CA"/>
        </w:rPr>
        <w:t>argument est le suivant : comme le tribunal de l</w:t>
      </w:r>
      <w:r>
        <w:rPr>
          <w:rFonts w:cs="Times New Roman"/>
          <w:lang w:val="fr-CA"/>
        </w:rPr>
        <w:t>’</w:t>
      </w:r>
      <w:r w:rsidRPr="00442EE5">
        <w:rPr>
          <w:rFonts w:cs="Times New Roman"/>
          <w:lang w:val="fr-CA"/>
        </w:rPr>
        <w:t xml:space="preserve">Utah était compétent pour la demande principale contre BEC en vertu </w:t>
      </w:r>
      <w:r w:rsidR="00660772">
        <w:rPr>
          <w:rFonts w:cs="Times New Roman"/>
          <w:lang w:val="fr-CA"/>
        </w:rPr>
        <w:t>du par.</w:t>
      </w:r>
      <w:r w:rsidRPr="00442EE5">
        <w:rPr>
          <w:rFonts w:cs="Times New Roman"/>
          <w:lang w:val="fr-CA"/>
        </w:rPr>
        <w:t xml:space="preserve"> 3168(4) </w:t>
      </w:r>
      <w:r w:rsidRPr="00442EE5">
        <w:rPr>
          <w:rFonts w:cs="Times New Roman"/>
          <w:i/>
          <w:lang w:val="fr-CA"/>
        </w:rPr>
        <w:t>C.c.Q.</w:t>
      </w:r>
      <w:r w:rsidRPr="00442EE5">
        <w:rPr>
          <w:rFonts w:cs="Times New Roman"/>
          <w:lang w:val="fr-CA"/>
        </w:rPr>
        <w:t>, il serait aussi compétent à l</w:t>
      </w:r>
      <w:r>
        <w:rPr>
          <w:rFonts w:cs="Times New Roman"/>
          <w:lang w:val="fr-CA"/>
        </w:rPr>
        <w:t>’</w:t>
      </w:r>
      <w:r w:rsidRPr="00442EE5">
        <w:rPr>
          <w:rFonts w:cs="Times New Roman"/>
          <w:lang w:val="fr-CA"/>
        </w:rPr>
        <w:t>égard de M. Barer. Or, en l</w:t>
      </w:r>
      <w:r>
        <w:rPr>
          <w:rFonts w:cs="Times New Roman"/>
          <w:lang w:val="fr-CA"/>
        </w:rPr>
        <w:t>’</w:t>
      </w:r>
      <w:r w:rsidRPr="00442EE5">
        <w:rPr>
          <w:rFonts w:cs="Times New Roman"/>
          <w:lang w:val="fr-CA"/>
        </w:rPr>
        <w:t>espèce, on ne peut faire fi du fait que l</w:t>
      </w:r>
      <w:r>
        <w:rPr>
          <w:rFonts w:cs="Times New Roman"/>
          <w:lang w:val="fr-CA"/>
        </w:rPr>
        <w:t>’</w:t>
      </w:r>
      <w:r w:rsidRPr="00442EE5">
        <w:rPr>
          <w:rFonts w:cs="Times New Roman"/>
          <w:lang w:val="fr-CA"/>
        </w:rPr>
        <w:t xml:space="preserve">action contre M. Barer constitue manifestement une demande </w:t>
      </w:r>
      <w:r w:rsidRPr="00442EE5">
        <w:rPr>
          <w:rFonts w:cs="Times New Roman"/>
          <w:i/>
          <w:lang w:val="fr-CA"/>
        </w:rPr>
        <w:t>principale</w:t>
      </w:r>
      <w:r w:rsidRPr="00442EE5">
        <w:rPr>
          <w:rFonts w:cs="Times New Roman"/>
          <w:lang w:val="fr-CA"/>
        </w:rPr>
        <w:t xml:space="preserve">, et non une demande </w:t>
      </w:r>
      <w:r w:rsidRPr="00442EE5">
        <w:rPr>
          <w:rFonts w:cs="Times New Roman"/>
          <w:i/>
          <w:lang w:val="fr-CA"/>
        </w:rPr>
        <w:lastRenderedPageBreak/>
        <w:t>incidente</w:t>
      </w:r>
      <w:r w:rsidRPr="00442EE5">
        <w:rPr>
          <w:rFonts w:cs="Times New Roman"/>
          <w:lang w:val="fr-CA"/>
        </w:rPr>
        <w:t>. Sur ce point, je partage entièrement l</w:t>
      </w:r>
      <w:r>
        <w:rPr>
          <w:rFonts w:cs="Times New Roman"/>
          <w:lang w:val="fr-CA"/>
        </w:rPr>
        <w:t>’</w:t>
      </w:r>
      <w:r w:rsidRPr="00442EE5">
        <w:rPr>
          <w:rFonts w:cs="Times New Roman"/>
          <w:lang w:val="fr-CA"/>
        </w:rPr>
        <w:t>opinion de mon collègue le juge Gascon (par. 90).</w:t>
      </w:r>
    </w:p>
    <w:p w:rsidR="00AF6697" w:rsidRPr="00442EE5" w:rsidRDefault="00AF6697" w:rsidP="00AF6697">
      <w:pPr>
        <w:pStyle w:val="ParaNoNdepar-AltN"/>
        <w:rPr>
          <w:rFonts w:cs="Times New Roman"/>
          <w:lang w:val="fr-CA"/>
        </w:rPr>
      </w:pPr>
      <w:r w:rsidRPr="00442EE5">
        <w:rPr>
          <w:rFonts w:cs="Times New Roman"/>
          <w:lang w:val="fr-CA"/>
        </w:rPr>
        <w:t>Avant d</w:t>
      </w:r>
      <w:r>
        <w:rPr>
          <w:rFonts w:cs="Times New Roman"/>
          <w:lang w:val="fr-CA"/>
        </w:rPr>
        <w:t>’</w:t>
      </w:r>
      <w:r w:rsidRPr="00442EE5">
        <w:rPr>
          <w:rFonts w:cs="Times New Roman"/>
          <w:lang w:val="fr-CA"/>
        </w:rPr>
        <w:t>aller plus loin, je souligne que Knight n</w:t>
      </w:r>
      <w:r>
        <w:rPr>
          <w:rFonts w:cs="Times New Roman"/>
          <w:lang w:val="fr-CA"/>
        </w:rPr>
        <w:t>’</w:t>
      </w:r>
      <w:r w:rsidRPr="00442EE5">
        <w:rPr>
          <w:rFonts w:cs="Times New Roman"/>
          <w:lang w:val="fr-CA"/>
        </w:rPr>
        <w:t>a jamais invoqué l</w:t>
      </w:r>
      <w:r>
        <w:rPr>
          <w:rFonts w:cs="Times New Roman"/>
          <w:lang w:val="fr-CA"/>
        </w:rPr>
        <w:t>’</w:t>
      </w:r>
      <w:r w:rsidRPr="00442EE5">
        <w:rPr>
          <w:rFonts w:cs="Times New Roman"/>
          <w:lang w:val="fr-CA"/>
        </w:rPr>
        <w:t xml:space="preserve">art. 3139 </w:t>
      </w:r>
      <w:r w:rsidRPr="00442EE5">
        <w:rPr>
          <w:rFonts w:cs="Times New Roman"/>
          <w:i/>
          <w:lang w:val="fr-CA"/>
        </w:rPr>
        <w:t>C.c.Q.</w:t>
      </w:r>
      <w:r w:rsidRPr="00442EE5">
        <w:rPr>
          <w:rFonts w:cs="Times New Roman"/>
          <w:lang w:val="fr-CA"/>
        </w:rPr>
        <w:t xml:space="preserve"> comme motif de reconnaissance du jugement de l</w:t>
      </w:r>
      <w:r>
        <w:rPr>
          <w:rFonts w:cs="Times New Roman"/>
          <w:lang w:val="fr-CA"/>
        </w:rPr>
        <w:t>’</w:t>
      </w:r>
      <w:r w:rsidRPr="00442EE5">
        <w:rPr>
          <w:rFonts w:cs="Times New Roman"/>
          <w:lang w:val="fr-CA"/>
        </w:rPr>
        <w:t>Utah, ce qui devrait en soi nous donner matière à réflexion. Il incombe à Knight, et à personne d</w:t>
      </w:r>
      <w:r>
        <w:rPr>
          <w:rFonts w:cs="Times New Roman"/>
          <w:lang w:val="fr-CA"/>
        </w:rPr>
        <w:t>’</w:t>
      </w:r>
      <w:r w:rsidRPr="00442EE5">
        <w:rPr>
          <w:rFonts w:cs="Times New Roman"/>
          <w:lang w:val="fr-CA"/>
        </w:rPr>
        <w:t>autre, de démontrer que le tribunal de l</w:t>
      </w:r>
      <w:r>
        <w:rPr>
          <w:rFonts w:cs="Times New Roman"/>
          <w:lang w:val="fr-CA"/>
        </w:rPr>
        <w:t>’</w:t>
      </w:r>
      <w:r w:rsidRPr="00442EE5">
        <w:rPr>
          <w:rFonts w:cs="Times New Roman"/>
          <w:lang w:val="fr-CA"/>
        </w:rPr>
        <w:t>Utah avait compétence. Avec respect, la courtoisie internationale n</w:t>
      </w:r>
      <w:r>
        <w:rPr>
          <w:rFonts w:cs="Times New Roman"/>
          <w:lang w:val="fr-CA"/>
        </w:rPr>
        <w:t>’</w:t>
      </w:r>
      <w:r w:rsidRPr="00442EE5">
        <w:rPr>
          <w:rFonts w:cs="Times New Roman"/>
          <w:lang w:val="fr-CA"/>
        </w:rPr>
        <w:t>oblige pas les tribunaux québécois — ou d</w:t>
      </w:r>
      <w:r>
        <w:rPr>
          <w:rFonts w:cs="Times New Roman"/>
          <w:lang w:val="fr-CA"/>
        </w:rPr>
        <w:t>’</w:t>
      </w:r>
      <w:r w:rsidRPr="00442EE5">
        <w:rPr>
          <w:rFonts w:cs="Times New Roman"/>
          <w:lang w:val="fr-CA"/>
        </w:rPr>
        <w:t>ailleurs la Cour — à fournir de leur propre chef un fondement juridique permettant de reconnaître la compétence d</w:t>
      </w:r>
      <w:r>
        <w:rPr>
          <w:rFonts w:cs="Times New Roman"/>
          <w:lang w:val="fr-CA"/>
        </w:rPr>
        <w:t>’</w:t>
      </w:r>
      <w:r w:rsidRPr="00442EE5">
        <w:rPr>
          <w:rFonts w:cs="Times New Roman"/>
          <w:lang w:val="fr-CA"/>
        </w:rPr>
        <w:t>une autorité étrangère au détriment possible des résidants du Québec.</w:t>
      </w:r>
    </w:p>
    <w:p w:rsidR="00AF6697" w:rsidRPr="00442EE5" w:rsidRDefault="00AF6697" w:rsidP="00AF6697">
      <w:pPr>
        <w:pStyle w:val="ParaNoNdepar-AltN"/>
        <w:rPr>
          <w:rFonts w:cs="Times New Roman"/>
          <w:lang w:val="fr-CA"/>
        </w:rPr>
      </w:pPr>
      <w:r w:rsidRPr="00442EE5">
        <w:rPr>
          <w:rFonts w:cs="Times New Roman"/>
          <w:lang w:val="fr-CA"/>
        </w:rPr>
        <w:t>Le fait que Knight n</w:t>
      </w:r>
      <w:r>
        <w:rPr>
          <w:rFonts w:cs="Times New Roman"/>
          <w:lang w:val="fr-CA"/>
        </w:rPr>
        <w:t>’</w:t>
      </w:r>
      <w:r w:rsidRPr="00442EE5">
        <w:rPr>
          <w:rFonts w:cs="Times New Roman"/>
          <w:lang w:val="fr-CA"/>
        </w:rPr>
        <w:t>ait pas invoqué cette disposition signifie aussi que les parties n</w:t>
      </w:r>
      <w:r>
        <w:rPr>
          <w:rFonts w:cs="Times New Roman"/>
          <w:lang w:val="fr-CA"/>
        </w:rPr>
        <w:t>’</w:t>
      </w:r>
      <w:r w:rsidRPr="00442EE5">
        <w:rPr>
          <w:rFonts w:cs="Times New Roman"/>
          <w:lang w:val="fr-CA"/>
        </w:rPr>
        <w:t>ont pas présenté d</w:t>
      </w:r>
      <w:r>
        <w:rPr>
          <w:rFonts w:cs="Times New Roman"/>
          <w:lang w:val="fr-CA"/>
        </w:rPr>
        <w:t>’</w:t>
      </w:r>
      <w:r w:rsidRPr="00442EE5">
        <w:rPr>
          <w:rFonts w:cs="Times New Roman"/>
          <w:lang w:val="fr-CA"/>
        </w:rPr>
        <w:t>observations sur ce point. Dans ce contexte, je m</w:t>
      </w:r>
      <w:r>
        <w:rPr>
          <w:rFonts w:cs="Times New Roman"/>
          <w:lang w:val="fr-CA"/>
        </w:rPr>
        <w:t>’</w:t>
      </w:r>
      <w:r w:rsidRPr="00442EE5">
        <w:rPr>
          <w:rFonts w:cs="Times New Roman"/>
          <w:lang w:val="fr-CA"/>
        </w:rPr>
        <w:t>abstiendrai de me prononcer de manière définitive sur la portée de l</w:t>
      </w:r>
      <w:r>
        <w:rPr>
          <w:rFonts w:cs="Times New Roman"/>
          <w:lang w:val="fr-CA"/>
        </w:rPr>
        <w:t>’</w:t>
      </w:r>
      <w:r w:rsidRPr="00442EE5">
        <w:rPr>
          <w:rFonts w:cs="Times New Roman"/>
          <w:lang w:val="fr-CA"/>
        </w:rPr>
        <w:t xml:space="preserve">art. 3139 </w:t>
      </w:r>
      <w:r w:rsidRPr="00442EE5">
        <w:rPr>
          <w:rFonts w:cs="Times New Roman"/>
          <w:i/>
          <w:lang w:val="fr-CA"/>
        </w:rPr>
        <w:t>C.c.Q.</w:t>
      </w:r>
      <w:r w:rsidRPr="00442EE5">
        <w:rPr>
          <w:rFonts w:cs="Times New Roman"/>
          <w:lang w:val="fr-CA"/>
        </w:rPr>
        <w:t>, y compris sur la question de savoir s</w:t>
      </w:r>
      <w:r>
        <w:rPr>
          <w:rFonts w:cs="Times New Roman"/>
          <w:lang w:val="fr-CA"/>
        </w:rPr>
        <w:t>’</w:t>
      </w:r>
      <w:r w:rsidRPr="00442EE5">
        <w:rPr>
          <w:rFonts w:cs="Times New Roman"/>
          <w:lang w:val="fr-CA"/>
        </w:rPr>
        <w:t>il peut servir de fondement distinct à la reconnaissance d</w:t>
      </w:r>
      <w:r>
        <w:rPr>
          <w:rFonts w:cs="Times New Roman"/>
          <w:lang w:val="fr-CA"/>
        </w:rPr>
        <w:t>’</w:t>
      </w:r>
      <w:r w:rsidRPr="00442EE5">
        <w:rPr>
          <w:rFonts w:cs="Times New Roman"/>
          <w:lang w:val="fr-CA"/>
        </w:rPr>
        <w:t>une décision étrangère.</w:t>
      </w:r>
    </w:p>
    <w:p w:rsidR="00AF6697" w:rsidRPr="00442EE5" w:rsidRDefault="00AF6697" w:rsidP="00AF6697">
      <w:pPr>
        <w:pStyle w:val="ParaNoNdepar-AltN"/>
        <w:rPr>
          <w:rFonts w:cs="Times New Roman"/>
          <w:lang w:val="fr-CA"/>
        </w:rPr>
      </w:pPr>
      <w:r w:rsidRPr="00442EE5">
        <w:rPr>
          <w:rFonts w:cs="Times New Roman"/>
          <w:lang w:val="fr-CA"/>
        </w:rPr>
        <w:t>Cependant, je soulignerai que, dans l</w:t>
      </w:r>
      <w:r>
        <w:rPr>
          <w:rFonts w:cs="Times New Roman"/>
          <w:lang w:val="fr-CA"/>
        </w:rPr>
        <w:t>’</w:t>
      </w:r>
      <w:r w:rsidRPr="00442EE5">
        <w:rPr>
          <w:rFonts w:cs="Times New Roman"/>
          <w:lang w:val="fr-CA"/>
        </w:rPr>
        <w:t xml:space="preserve">arrêt </w:t>
      </w:r>
      <w:r w:rsidRPr="00442EE5">
        <w:rPr>
          <w:rFonts w:cs="Times New Roman"/>
          <w:i/>
          <w:lang w:val="fr-CA"/>
        </w:rPr>
        <w:t>GreCon</w:t>
      </w:r>
      <w:r w:rsidRPr="00442EE5">
        <w:rPr>
          <w:rFonts w:cs="Times New Roman"/>
          <w:lang w:val="fr-CA"/>
        </w:rPr>
        <w:t>, la Cour a fait une mise en garde selon laquelle il faut donner à l</w:t>
      </w:r>
      <w:r>
        <w:rPr>
          <w:rFonts w:cs="Times New Roman"/>
          <w:lang w:val="fr-CA"/>
        </w:rPr>
        <w:t>’</w:t>
      </w:r>
      <w:r w:rsidRPr="00442EE5">
        <w:rPr>
          <w:rFonts w:cs="Times New Roman"/>
          <w:lang w:val="fr-CA"/>
        </w:rPr>
        <w:t xml:space="preserve">art. 3139 </w:t>
      </w:r>
      <w:r w:rsidRPr="00442EE5">
        <w:rPr>
          <w:rFonts w:cs="Times New Roman"/>
          <w:i/>
          <w:lang w:val="fr-CA"/>
        </w:rPr>
        <w:t xml:space="preserve">C.c.Q. </w:t>
      </w:r>
      <w:r w:rsidRPr="00442EE5">
        <w:rPr>
          <w:rFonts w:cs="Times New Roman"/>
          <w:lang w:val="fr-CA"/>
        </w:rPr>
        <w:t>« une interprétation restrictive [. . .] afin de ne pas étendre indirectement la compétence internationale des autorités québécoises au mépris des dispositions spécifiques portant sur la définition des compétences de ces dernières et des principes généraux qui les sous</w:t>
      </w:r>
      <w:r w:rsidRPr="00442EE5">
        <w:rPr>
          <w:rFonts w:cs="Times New Roman"/>
          <w:lang w:val="fr-CA"/>
        </w:rPr>
        <w:noBreakHyphen/>
        <w:t>tendent » (par. 29). La Cour a ajouté que l</w:t>
      </w:r>
      <w:r>
        <w:rPr>
          <w:rFonts w:cs="Times New Roman"/>
          <w:lang w:val="fr-CA"/>
        </w:rPr>
        <w:t>’</w:t>
      </w:r>
      <w:r w:rsidRPr="00442EE5">
        <w:rPr>
          <w:rFonts w:cs="Times New Roman"/>
          <w:lang w:val="fr-CA"/>
        </w:rPr>
        <w:t xml:space="preserve">art. 3139 </w:t>
      </w:r>
      <w:r w:rsidRPr="00442EE5">
        <w:rPr>
          <w:rFonts w:cs="Times New Roman"/>
          <w:i/>
          <w:lang w:val="fr-CA"/>
        </w:rPr>
        <w:t>C.c.Q.</w:t>
      </w:r>
      <w:r w:rsidRPr="00442EE5">
        <w:rPr>
          <w:rFonts w:cs="Times New Roman"/>
          <w:lang w:val="fr-CA"/>
        </w:rPr>
        <w:t xml:space="preserve"> n</w:t>
      </w:r>
      <w:r>
        <w:rPr>
          <w:rFonts w:cs="Times New Roman"/>
          <w:lang w:val="fr-CA"/>
        </w:rPr>
        <w:t>’</w:t>
      </w:r>
      <w:r w:rsidRPr="00442EE5">
        <w:rPr>
          <w:rFonts w:cs="Times New Roman"/>
          <w:lang w:val="fr-CA"/>
        </w:rPr>
        <w:t>est qu</w:t>
      </w:r>
      <w:r>
        <w:rPr>
          <w:rFonts w:cs="Times New Roman"/>
          <w:lang w:val="fr-CA"/>
        </w:rPr>
        <w:t>’</w:t>
      </w:r>
      <w:r w:rsidRPr="00442EE5">
        <w:rPr>
          <w:rFonts w:cs="Times New Roman"/>
          <w:lang w:val="fr-CA"/>
        </w:rPr>
        <w:t>une « disposition facultative à caractère procédural » (par. 37). Bien que mon collègue le juge Brown cite l</w:t>
      </w:r>
      <w:r>
        <w:rPr>
          <w:rFonts w:cs="Times New Roman"/>
          <w:lang w:val="fr-CA"/>
        </w:rPr>
        <w:t>’</w:t>
      </w:r>
      <w:r w:rsidRPr="00442EE5">
        <w:rPr>
          <w:rFonts w:cs="Times New Roman"/>
          <w:lang w:val="fr-CA"/>
        </w:rPr>
        <w:t xml:space="preserve">arrêt </w:t>
      </w:r>
      <w:r w:rsidRPr="00442EE5">
        <w:rPr>
          <w:rFonts w:cs="Times New Roman"/>
          <w:i/>
          <w:lang w:val="fr-CA"/>
        </w:rPr>
        <w:t>GreCon</w:t>
      </w:r>
      <w:r w:rsidRPr="00442EE5">
        <w:rPr>
          <w:rFonts w:cs="Times New Roman"/>
          <w:lang w:val="fr-CA"/>
        </w:rPr>
        <w:t>, l</w:t>
      </w:r>
      <w:r>
        <w:rPr>
          <w:rFonts w:cs="Times New Roman"/>
          <w:lang w:val="fr-CA"/>
        </w:rPr>
        <w:t>’</w:t>
      </w:r>
      <w:r w:rsidRPr="00442EE5">
        <w:rPr>
          <w:rFonts w:cs="Times New Roman"/>
          <w:lang w:val="fr-CA"/>
        </w:rPr>
        <w:t>interprétation qu</w:t>
      </w:r>
      <w:r>
        <w:rPr>
          <w:rFonts w:cs="Times New Roman"/>
          <w:lang w:val="fr-CA"/>
        </w:rPr>
        <w:t>’</w:t>
      </w:r>
      <w:r w:rsidRPr="00442EE5">
        <w:rPr>
          <w:rFonts w:cs="Times New Roman"/>
          <w:lang w:val="fr-CA"/>
        </w:rPr>
        <w:t>il propose est loin d</w:t>
      </w:r>
      <w:r>
        <w:rPr>
          <w:rFonts w:cs="Times New Roman"/>
          <w:lang w:val="fr-CA"/>
        </w:rPr>
        <w:t>’</w:t>
      </w:r>
      <w:r w:rsidRPr="00442EE5">
        <w:rPr>
          <w:rFonts w:cs="Times New Roman"/>
          <w:lang w:val="fr-CA"/>
        </w:rPr>
        <w:t>être restrictive.</w:t>
      </w:r>
    </w:p>
    <w:p w:rsidR="00AF6697" w:rsidRPr="00442EE5" w:rsidRDefault="00AF6697" w:rsidP="00AF6697">
      <w:pPr>
        <w:pStyle w:val="ParaNoNdepar-AltN"/>
        <w:rPr>
          <w:rFonts w:cs="Times New Roman"/>
          <w:lang w:val="fr-CA"/>
        </w:rPr>
      </w:pPr>
      <w:r w:rsidRPr="00442EE5">
        <w:rPr>
          <w:rFonts w:cs="Times New Roman"/>
          <w:lang w:val="fr-CA"/>
        </w:rPr>
        <w:lastRenderedPageBreak/>
        <w:t>Pourtant, comme le reconnaît le juge</w:t>
      </w:r>
      <w:r>
        <w:rPr>
          <w:rFonts w:cs="Times New Roman"/>
          <w:lang w:val="fr-CA"/>
        </w:rPr>
        <w:t xml:space="preserve"> </w:t>
      </w:r>
      <w:r w:rsidRPr="00442EE5">
        <w:rPr>
          <w:rFonts w:cs="Times New Roman"/>
          <w:lang w:val="fr-CA"/>
        </w:rPr>
        <w:t>Brown (par. 159), il existe une doctrine abondante voulant que, lorsqu</w:t>
      </w:r>
      <w:r>
        <w:rPr>
          <w:rFonts w:cs="Times New Roman"/>
          <w:lang w:val="fr-CA"/>
        </w:rPr>
        <w:t>’</w:t>
      </w:r>
      <w:r w:rsidRPr="00442EE5">
        <w:rPr>
          <w:rFonts w:cs="Times New Roman"/>
          <w:lang w:val="fr-CA"/>
        </w:rPr>
        <w:t>il y a de multiples codéfendeurs, la compétence à l</w:t>
      </w:r>
      <w:r>
        <w:rPr>
          <w:rFonts w:cs="Times New Roman"/>
          <w:lang w:val="fr-CA"/>
        </w:rPr>
        <w:t>’</w:t>
      </w:r>
      <w:r w:rsidRPr="00442EE5">
        <w:rPr>
          <w:rFonts w:cs="Times New Roman"/>
          <w:lang w:val="fr-CA"/>
        </w:rPr>
        <w:t>égard de l</w:t>
      </w:r>
      <w:r>
        <w:rPr>
          <w:rFonts w:cs="Times New Roman"/>
          <w:lang w:val="fr-CA"/>
        </w:rPr>
        <w:t>’</w:t>
      </w:r>
      <w:r w:rsidRPr="00442EE5">
        <w:rPr>
          <w:rFonts w:cs="Times New Roman"/>
          <w:lang w:val="fr-CA"/>
        </w:rPr>
        <w:t>un d</w:t>
      </w:r>
      <w:r>
        <w:rPr>
          <w:rFonts w:cs="Times New Roman"/>
          <w:lang w:val="fr-CA"/>
        </w:rPr>
        <w:t>’</w:t>
      </w:r>
      <w:r w:rsidRPr="00442EE5">
        <w:rPr>
          <w:rFonts w:cs="Times New Roman"/>
          <w:lang w:val="fr-CA"/>
        </w:rPr>
        <w:t>eux ne confère pas en soi compétence à l</w:t>
      </w:r>
      <w:r>
        <w:rPr>
          <w:rFonts w:cs="Times New Roman"/>
          <w:lang w:val="fr-CA"/>
        </w:rPr>
        <w:t>’</w:t>
      </w:r>
      <w:r w:rsidRPr="00442EE5">
        <w:rPr>
          <w:rFonts w:cs="Times New Roman"/>
          <w:lang w:val="fr-CA"/>
        </w:rPr>
        <w:t>égard de tous les autres (Talpis, p. 36</w:t>
      </w:r>
      <w:r w:rsidRPr="00442EE5">
        <w:rPr>
          <w:rFonts w:cs="Times New Roman"/>
          <w:lang w:val="fr-CA"/>
        </w:rPr>
        <w:noBreakHyphen/>
        <w:t xml:space="preserve">39; Talpis et Castel, par. 437; Glenn, par. 77; Ferland et Laganière, p. 298; voir également </w:t>
      </w:r>
      <w:r w:rsidRPr="00442EE5">
        <w:rPr>
          <w:rFonts w:cs="Times New Roman"/>
          <w:i/>
          <w:lang w:val="fr-CA"/>
        </w:rPr>
        <w:t>Sorel Tracy Terminal Maritime c. FSL Limited</w:t>
      </w:r>
      <w:r w:rsidRPr="00442EE5">
        <w:rPr>
          <w:rFonts w:cs="Times New Roman"/>
          <w:lang w:val="fr-CA"/>
        </w:rPr>
        <w:t>, 2001 CanLII 24746 (C.S. Qc), par. 15).</w:t>
      </w:r>
    </w:p>
    <w:p w:rsidR="00AF6697" w:rsidRPr="00442EE5" w:rsidRDefault="00AF6697" w:rsidP="00AF6697">
      <w:pPr>
        <w:pStyle w:val="ParaNoNdepar-AltN"/>
        <w:rPr>
          <w:rFonts w:cs="Times New Roman"/>
          <w:lang w:val="fr-CA"/>
        </w:rPr>
      </w:pPr>
      <w:r w:rsidRPr="00442EE5">
        <w:rPr>
          <w:rFonts w:cs="Times New Roman"/>
          <w:lang w:val="fr-CA"/>
        </w:rPr>
        <w:t xml:space="preserve">À cet égard, je signale que le législateur québécois a décidé de </w:t>
      </w:r>
      <w:r w:rsidRPr="00442EE5">
        <w:rPr>
          <w:rFonts w:cs="Times New Roman"/>
          <w:i/>
          <w:lang w:val="fr-CA"/>
        </w:rPr>
        <w:t>ne pas</w:t>
      </w:r>
      <w:r w:rsidRPr="00442EE5">
        <w:rPr>
          <w:rFonts w:cs="Times New Roman"/>
          <w:lang w:val="fr-CA"/>
        </w:rPr>
        <w:t xml:space="preserve"> inclure une disposition prévoyant que l</w:t>
      </w:r>
      <w:r>
        <w:rPr>
          <w:rFonts w:cs="Times New Roman"/>
          <w:lang w:val="fr-CA"/>
        </w:rPr>
        <w:t>’</w:t>
      </w:r>
      <w:r w:rsidRPr="00442EE5">
        <w:rPr>
          <w:rFonts w:cs="Times New Roman"/>
          <w:lang w:val="fr-CA"/>
        </w:rPr>
        <w:t>« action [. . .] formée contre plusieurs défendeurs [. . .] peut être portée au tribunal devant lequel l</w:t>
      </w:r>
      <w:r>
        <w:rPr>
          <w:rFonts w:cs="Times New Roman"/>
          <w:lang w:val="fr-CA"/>
        </w:rPr>
        <w:t>’</w:t>
      </w:r>
      <w:r w:rsidRPr="00442EE5">
        <w:rPr>
          <w:rFonts w:cs="Times New Roman"/>
          <w:lang w:val="fr-CA"/>
        </w:rPr>
        <w:t>un ou l</w:t>
      </w:r>
      <w:r>
        <w:rPr>
          <w:rFonts w:cs="Times New Roman"/>
          <w:lang w:val="fr-CA"/>
        </w:rPr>
        <w:t>’</w:t>
      </w:r>
      <w:r w:rsidRPr="00442EE5">
        <w:rPr>
          <w:rFonts w:cs="Times New Roman"/>
          <w:lang w:val="fr-CA"/>
        </w:rPr>
        <w:t>autre pourrait être assigné » (pour reprendre, par analogie, les termes de l</w:t>
      </w:r>
      <w:r>
        <w:rPr>
          <w:rFonts w:cs="Times New Roman"/>
          <w:lang w:val="fr-CA"/>
        </w:rPr>
        <w:t>’</w:t>
      </w:r>
      <w:r w:rsidRPr="00442EE5">
        <w:rPr>
          <w:rFonts w:cs="Times New Roman"/>
          <w:lang w:val="fr-CA"/>
        </w:rPr>
        <w:t>art. 75 de l</w:t>
      </w:r>
      <w:r>
        <w:rPr>
          <w:rFonts w:cs="Times New Roman"/>
          <w:lang w:val="fr-CA"/>
        </w:rPr>
        <w:t>’</w:t>
      </w:r>
      <w:r w:rsidRPr="00442EE5">
        <w:rPr>
          <w:rFonts w:cs="Times New Roman"/>
          <w:lang w:val="fr-CA"/>
        </w:rPr>
        <w:t xml:space="preserve">ancien </w:t>
      </w:r>
      <w:r w:rsidRPr="00442EE5">
        <w:rPr>
          <w:rFonts w:cs="Times New Roman"/>
          <w:i/>
          <w:lang w:val="fr-CA"/>
        </w:rPr>
        <w:t>Code de procédure civile</w:t>
      </w:r>
      <w:r w:rsidRPr="00442EE5">
        <w:rPr>
          <w:rFonts w:cs="Times New Roman"/>
          <w:lang w:val="fr-CA"/>
        </w:rPr>
        <w:t>, RLRQ, c. C</w:t>
      </w:r>
      <w:r w:rsidRPr="00442EE5">
        <w:rPr>
          <w:rFonts w:cs="Times New Roman"/>
          <w:lang w:val="fr-CA"/>
        </w:rPr>
        <w:noBreakHyphen/>
        <w:t>25). D</w:t>
      </w:r>
      <w:r>
        <w:rPr>
          <w:rFonts w:cs="Times New Roman"/>
          <w:lang w:val="fr-CA"/>
        </w:rPr>
        <w:t>’</w:t>
      </w:r>
      <w:r w:rsidRPr="00442EE5">
        <w:rPr>
          <w:rFonts w:cs="Times New Roman"/>
          <w:lang w:val="fr-CA"/>
        </w:rPr>
        <w:t>autres ressorts de droit civil ont édicté ce type de dispositions générales qui s</w:t>
      </w:r>
      <w:r>
        <w:rPr>
          <w:rFonts w:cs="Times New Roman"/>
          <w:lang w:val="fr-CA"/>
        </w:rPr>
        <w:t>’</w:t>
      </w:r>
      <w:r w:rsidRPr="00442EE5">
        <w:rPr>
          <w:rFonts w:cs="Times New Roman"/>
          <w:lang w:val="fr-CA"/>
        </w:rPr>
        <w:t>appliquent dans la mesure où les demandes présentent un certain degré de connexité (voir, p. ex., l</w:t>
      </w:r>
      <w:r>
        <w:rPr>
          <w:rFonts w:cs="Times New Roman"/>
          <w:lang w:val="fr-CA"/>
        </w:rPr>
        <w:t>’</w:t>
      </w:r>
      <w:r w:rsidRPr="00442EE5">
        <w:rPr>
          <w:rFonts w:cs="Times New Roman"/>
          <w:lang w:val="fr-CA"/>
        </w:rPr>
        <w:t xml:space="preserve">art. 8a de la </w:t>
      </w:r>
      <w:r w:rsidRPr="00442EE5">
        <w:rPr>
          <w:rFonts w:cs="Times New Roman"/>
          <w:i/>
          <w:lang w:val="fr-CA"/>
        </w:rPr>
        <w:t xml:space="preserve">Loi fédérale sur le droit international privé </w:t>
      </w:r>
      <w:r w:rsidRPr="00442EE5">
        <w:rPr>
          <w:rFonts w:cs="Times New Roman"/>
          <w:lang w:val="fr-CA"/>
        </w:rPr>
        <w:t>de la Suisse; voir également l</w:t>
      </w:r>
      <w:r>
        <w:rPr>
          <w:rFonts w:cs="Times New Roman"/>
          <w:lang w:val="fr-CA"/>
        </w:rPr>
        <w:t>’</w:t>
      </w:r>
      <w:r w:rsidRPr="00442EE5">
        <w:rPr>
          <w:rFonts w:cs="Times New Roman"/>
          <w:lang w:val="fr-CA"/>
        </w:rPr>
        <w:t xml:space="preserve">art. 9 de la </w:t>
      </w:r>
      <w:r w:rsidRPr="00442EE5">
        <w:rPr>
          <w:rFonts w:cs="Times New Roman"/>
          <w:bCs/>
          <w:i/>
          <w:lang w:val="fr-CA"/>
        </w:rPr>
        <w:t>Loi portant le Code de droit international privé</w:t>
      </w:r>
      <w:r w:rsidRPr="00442EE5">
        <w:rPr>
          <w:rFonts w:cs="Times New Roman"/>
          <w:bCs/>
          <w:lang w:val="fr-CA"/>
        </w:rPr>
        <w:t xml:space="preserve"> de la Belgique</w:t>
      </w:r>
      <w:r w:rsidRPr="00442EE5">
        <w:rPr>
          <w:rFonts w:cs="Times New Roman"/>
          <w:lang w:val="fr-CA"/>
        </w:rPr>
        <w:t>). Mais ce n</w:t>
      </w:r>
      <w:r>
        <w:rPr>
          <w:rFonts w:cs="Times New Roman"/>
          <w:lang w:val="fr-CA"/>
        </w:rPr>
        <w:t>’</w:t>
      </w:r>
      <w:r w:rsidRPr="00442EE5">
        <w:rPr>
          <w:rFonts w:cs="Times New Roman"/>
          <w:lang w:val="fr-CA"/>
        </w:rPr>
        <w:t>est pas le cas du Québec et il me semble que ce choix législatif doit être respecté. La portée de l</w:t>
      </w:r>
      <w:r>
        <w:rPr>
          <w:rFonts w:cs="Times New Roman"/>
          <w:lang w:val="fr-CA"/>
        </w:rPr>
        <w:t>’</w:t>
      </w:r>
      <w:r w:rsidRPr="00442EE5">
        <w:rPr>
          <w:rFonts w:cs="Times New Roman"/>
          <w:lang w:val="fr-CA"/>
        </w:rPr>
        <w:t xml:space="preserve">art. 3139 </w:t>
      </w:r>
      <w:r w:rsidRPr="00442EE5">
        <w:rPr>
          <w:rFonts w:cs="Times New Roman"/>
          <w:i/>
          <w:lang w:val="fr-CA"/>
        </w:rPr>
        <w:t>C.c.Q.</w:t>
      </w:r>
      <w:r w:rsidRPr="00442EE5">
        <w:rPr>
          <w:rFonts w:cs="Times New Roman"/>
          <w:lang w:val="fr-CA"/>
        </w:rPr>
        <w:t xml:space="preserve"> ne devrait pas être dénaturée de manière à y lire une telle disposition.</w:t>
      </w:r>
    </w:p>
    <w:p w:rsidR="00AF6697" w:rsidRPr="00442EE5" w:rsidRDefault="00AF6697" w:rsidP="00AF6697">
      <w:pPr>
        <w:pStyle w:val="ParaNoNdepar-AltN"/>
        <w:rPr>
          <w:rFonts w:cs="Times New Roman"/>
          <w:lang w:val="fr-CA"/>
        </w:rPr>
      </w:pPr>
      <w:r w:rsidRPr="00442EE5">
        <w:rPr>
          <w:rFonts w:cs="Times New Roman"/>
          <w:lang w:val="fr-CA"/>
        </w:rPr>
        <w:t>Par conséquent, je ne saurais accepter que l</w:t>
      </w:r>
      <w:r>
        <w:rPr>
          <w:rFonts w:cs="Times New Roman"/>
          <w:lang w:val="fr-CA"/>
        </w:rPr>
        <w:t>’</w:t>
      </w:r>
      <w:r w:rsidRPr="00442EE5">
        <w:rPr>
          <w:rFonts w:cs="Times New Roman"/>
          <w:lang w:val="fr-CA"/>
        </w:rPr>
        <w:t xml:space="preserve">art. 3139 </w:t>
      </w:r>
      <w:r w:rsidRPr="00442EE5">
        <w:rPr>
          <w:rFonts w:cs="Times New Roman"/>
          <w:i/>
          <w:lang w:val="fr-CA"/>
        </w:rPr>
        <w:t>C.c.Q.</w:t>
      </w:r>
      <w:r w:rsidRPr="00442EE5">
        <w:rPr>
          <w:rFonts w:cs="Times New Roman"/>
          <w:lang w:val="fr-CA"/>
        </w:rPr>
        <w:t xml:space="preserve"> puisse être invoqué pour conférer compétence sur toute demande « connexe » indépendamment de la question de savoir si l</w:t>
      </w:r>
      <w:r>
        <w:rPr>
          <w:rFonts w:cs="Times New Roman"/>
          <w:lang w:val="fr-CA"/>
        </w:rPr>
        <w:t>’</w:t>
      </w:r>
      <w:r w:rsidRPr="00442EE5">
        <w:rPr>
          <w:rFonts w:cs="Times New Roman"/>
          <w:lang w:val="fr-CA"/>
        </w:rPr>
        <w:t>action peut à juste titre être qualifiée de « demande incidente » (voir les motifs du juge Brown, par. 155). Une interprétation aussi large est clairement incompatible avec le libellé de la disposition, qui fait une distinction entre une demande « principale » et une demande « incidente ».</w:t>
      </w:r>
    </w:p>
    <w:p w:rsidR="00AF6697" w:rsidRPr="00442EE5" w:rsidRDefault="00AF6697" w:rsidP="00AF6697">
      <w:pPr>
        <w:pStyle w:val="ParaNoNdepar-AltN"/>
        <w:rPr>
          <w:rFonts w:cs="Times New Roman"/>
          <w:lang w:val="fr-CA"/>
        </w:rPr>
      </w:pPr>
      <w:r w:rsidRPr="00442EE5">
        <w:rPr>
          <w:rFonts w:cs="Times New Roman"/>
          <w:lang w:val="fr-CA"/>
        </w:rPr>
        <w:lastRenderedPageBreak/>
        <w:t>Bien que je ne me prononce pas sur le sens précis à donner à l</w:t>
      </w:r>
      <w:r>
        <w:rPr>
          <w:rFonts w:cs="Times New Roman"/>
          <w:lang w:val="fr-CA"/>
        </w:rPr>
        <w:t>’</w:t>
      </w:r>
      <w:r w:rsidRPr="00442EE5">
        <w:rPr>
          <w:rFonts w:cs="Times New Roman"/>
          <w:lang w:val="fr-CA"/>
        </w:rPr>
        <w:t>expression « demande incidente » employée à l</w:t>
      </w:r>
      <w:r>
        <w:rPr>
          <w:rFonts w:cs="Times New Roman"/>
          <w:lang w:val="fr-CA"/>
        </w:rPr>
        <w:t>’</w:t>
      </w:r>
      <w:r w:rsidRPr="00442EE5">
        <w:rPr>
          <w:rFonts w:cs="Times New Roman"/>
          <w:lang w:val="fr-CA"/>
        </w:rPr>
        <w:t xml:space="preserve">art. 3139 </w:t>
      </w:r>
      <w:r w:rsidRPr="00442EE5">
        <w:rPr>
          <w:rFonts w:cs="Times New Roman"/>
          <w:i/>
          <w:lang w:val="fr-CA"/>
        </w:rPr>
        <w:t>C.c.Q.</w:t>
      </w:r>
      <w:r w:rsidRPr="00442EE5">
        <w:rPr>
          <w:rFonts w:cs="Times New Roman"/>
          <w:lang w:val="fr-CA"/>
        </w:rPr>
        <w:t>, il ne fait aucun doute qu</w:t>
      </w:r>
      <w:r>
        <w:rPr>
          <w:rFonts w:cs="Times New Roman"/>
          <w:lang w:val="fr-CA"/>
        </w:rPr>
        <w:t>’</w:t>
      </w:r>
      <w:r w:rsidRPr="00442EE5">
        <w:rPr>
          <w:rFonts w:cs="Times New Roman"/>
          <w:lang w:val="fr-CA"/>
        </w:rPr>
        <w:t>elle doit être définie en fonction du droit procédural québécois (voir</w:t>
      </w:r>
      <w:r w:rsidR="00290EDC">
        <w:rPr>
          <w:rFonts w:cs="Times New Roman"/>
          <w:lang w:val="fr-CA"/>
        </w:rPr>
        <w:t>,</w:t>
      </w:r>
      <w:r w:rsidRPr="00442EE5">
        <w:rPr>
          <w:rFonts w:cs="Times New Roman"/>
          <w:lang w:val="fr-CA"/>
        </w:rPr>
        <w:t xml:space="preserve"> p. ex.</w:t>
      </w:r>
      <w:r w:rsidR="00290EDC">
        <w:rPr>
          <w:rFonts w:cs="Times New Roman"/>
          <w:lang w:val="fr-CA"/>
        </w:rPr>
        <w:t>,</w:t>
      </w:r>
      <w:r w:rsidRPr="00442EE5">
        <w:rPr>
          <w:rFonts w:cs="Times New Roman"/>
          <w:lang w:val="fr-CA"/>
        </w:rPr>
        <w:t xml:space="preserve"> Goldstein, fasc. 11, par. </w:t>
      </w:r>
      <w:r w:rsidR="00925284">
        <w:rPr>
          <w:rFonts w:cs="Times New Roman"/>
          <w:lang w:val="fr-CA"/>
        </w:rPr>
        <w:t>41; Goldstein (2012), par. 3139 </w:t>
      </w:r>
      <w:r w:rsidRPr="00442EE5">
        <w:rPr>
          <w:rFonts w:cs="Times New Roman"/>
          <w:lang w:val="fr-CA"/>
        </w:rPr>
        <w:t>555). Au Québec, les règles relatives aux « incidents de l</w:t>
      </w:r>
      <w:r>
        <w:rPr>
          <w:rFonts w:cs="Times New Roman"/>
          <w:lang w:val="fr-CA"/>
        </w:rPr>
        <w:t>’</w:t>
      </w:r>
      <w:r w:rsidRPr="00442EE5">
        <w:rPr>
          <w:rFonts w:cs="Times New Roman"/>
          <w:lang w:val="fr-CA"/>
        </w:rPr>
        <w:t xml:space="preserve">instance » sont énoncées au titre II du livre II du nouveau </w:t>
      </w:r>
      <w:r w:rsidRPr="00442EE5">
        <w:rPr>
          <w:rFonts w:cs="Times New Roman"/>
          <w:i/>
          <w:lang w:val="fr-CA"/>
        </w:rPr>
        <w:t>C.p.c.</w:t>
      </w:r>
      <w:r w:rsidRPr="00442EE5">
        <w:rPr>
          <w:rFonts w:cs="Times New Roman"/>
          <w:lang w:val="fr-CA"/>
        </w:rPr>
        <w:t xml:space="preserve"> Par exemple, les « incidents de l</w:t>
      </w:r>
      <w:r>
        <w:rPr>
          <w:rFonts w:cs="Times New Roman"/>
          <w:lang w:val="fr-CA"/>
        </w:rPr>
        <w:t>’</w:t>
      </w:r>
      <w:r w:rsidRPr="00442EE5">
        <w:rPr>
          <w:rFonts w:cs="Times New Roman"/>
          <w:lang w:val="fr-CA"/>
        </w:rPr>
        <w:t>instance » peuvent désigner les interventions volontaires ou forcées de tiers, notamment les</w:t>
      </w:r>
      <w:r w:rsidR="00925284">
        <w:rPr>
          <w:rFonts w:cs="Times New Roman"/>
          <w:lang w:val="fr-CA"/>
        </w:rPr>
        <w:t xml:space="preserve"> demandes en garantie (art. 184 à </w:t>
      </w:r>
      <w:r w:rsidRPr="00442EE5">
        <w:rPr>
          <w:rFonts w:cs="Times New Roman"/>
          <w:lang w:val="fr-CA"/>
        </w:rPr>
        <w:t xml:space="preserve">190 du nouveau </w:t>
      </w:r>
      <w:r w:rsidRPr="00442EE5">
        <w:rPr>
          <w:rFonts w:cs="Times New Roman"/>
          <w:i/>
          <w:lang w:val="fr-CA"/>
        </w:rPr>
        <w:t>C.p.c.</w:t>
      </w:r>
      <w:r w:rsidR="006A27AF">
        <w:rPr>
          <w:rFonts w:cs="Times New Roman"/>
          <w:lang w:val="fr-CA"/>
        </w:rPr>
        <w:t>). Comme le font remarquer mes</w:t>
      </w:r>
      <w:r w:rsidRPr="00442EE5">
        <w:rPr>
          <w:rFonts w:cs="Times New Roman"/>
          <w:lang w:val="fr-CA"/>
        </w:rPr>
        <w:t xml:space="preserve"> collègue</w:t>
      </w:r>
      <w:r w:rsidR="006A27AF">
        <w:rPr>
          <w:rFonts w:cs="Times New Roman"/>
          <w:lang w:val="fr-CA"/>
        </w:rPr>
        <w:t>s</w:t>
      </w:r>
      <w:r w:rsidRPr="00442EE5">
        <w:rPr>
          <w:rFonts w:cs="Times New Roman"/>
          <w:lang w:val="fr-CA"/>
        </w:rPr>
        <w:t>, le titre II traite également de la « jonction d</w:t>
      </w:r>
      <w:r>
        <w:rPr>
          <w:rFonts w:cs="Times New Roman"/>
          <w:lang w:val="fr-CA"/>
        </w:rPr>
        <w:t>’</w:t>
      </w:r>
      <w:r w:rsidRPr="00442EE5">
        <w:rPr>
          <w:rFonts w:cs="Times New Roman"/>
          <w:lang w:val="fr-CA"/>
        </w:rPr>
        <w:t xml:space="preserve">instances » (art. 210 du nouveau </w:t>
      </w:r>
      <w:r w:rsidRPr="00442EE5">
        <w:rPr>
          <w:rFonts w:cs="Times New Roman"/>
          <w:i/>
          <w:lang w:val="fr-CA"/>
        </w:rPr>
        <w:t>C.p.c.</w:t>
      </w:r>
      <w:r w:rsidRPr="00442EE5">
        <w:rPr>
          <w:rFonts w:cs="Times New Roman"/>
          <w:lang w:val="fr-CA"/>
        </w:rPr>
        <w:t xml:space="preserve">), où plusieurs instances distinctes sont jointes pour être instruites en même temps. Cependant, il est peu probable que les « instances » dont il est question dans ces dispositions puissent à bon droit être qualifiées comme visant une « demande principale » et une « demande incidente ». La jonction me semble plutôt viser plusieurs demandes </w:t>
      </w:r>
      <w:r w:rsidRPr="00442EE5">
        <w:rPr>
          <w:rFonts w:cs="Times New Roman"/>
          <w:i/>
          <w:lang w:val="fr-CA"/>
        </w:rPr>
        <w:t>principales</w:t>
      </w:r>
      <w:r w:rsidRPr="00442EE5">
        <w:rPr>
          <w:rFonts w:cs="Times New Roman"/>
          <w:lang w:val="fr-CA"/>
        </w:rPr>
        <w:t>.</w:t>
      </w:r>
    </w:p>
    <w:p w:rsidR="00AF6697" w:rsidRPr="00442EE5" w:rsidRDefault="00AF6697" w:rsidP="00AF6697">
      <w:pPr>
        <w:pStyle w:val="ParaNoNdepar-AltN"/>
        <w:rPr>
          <w:rFonts w:cs="Times New Roman"/>
          <w:lang w:val="fr-CA"/>
        </w:rPr>
      </w:pPr>
      <w:r w:rsidRPr="00442EE5">
        <w:rPr>
          <w:rFonts w:cs="Times New Roman"/>
          <w:lang w:val="fr-CA"/>
        </w:rPr>
        <w:t>En l</w:t>
      </w:r>
      <w:r>
        <w:rPr>
          <w:rFonts w:cs="Times New Roman"/>
          <w:lang w:val="fr-CA"/>
        </w:rPr>
        <w:t xml:space="preserve">’espèce, mon collègue le juge </w:t>
      </w:r>
      <w:r w:rsidRPr="00442EE5">
        <w:rPr>
          <w:rFonts w:cs="Times New Roman"/>
          <w:lang w:val="fr-CA"/>
        </w:rPr>
        <w:t>Brown semble reconnaître l</w:t>
      </w:r>
      <w:r>
        <w:rPr>
          <w:rFonts w:cs="Times New Roman"/>
          <w:lang w:val="fr-CA"/>
        </w:rPr>
        <w:t>’</w:t>
      </w:r>
      <w:r w:rsidRPr="00442EE5">
        <w:rPr>
          <w:rFonts w:cs="Times New Roman"/>
          <w:lang w:val="fr-CA"/>
        </w:rPr>
        <w:t xml:space="preserve">évidence, à savoir que M. Barer a été poursuivi directement à titre de codéfendeur dans une demande </w:t>
      </w:r>
      <w:r w:rsidRPr="00442EE5">
        <w:rPr>
          <w:rFonts w:cs="Times New Roman"/>
          <w:i/>
          <w:lang w:val="fr-CA"/>
        </w:rPr>
        <w:t>principale</w:t>
      </w:r>
      <w:r w:rsidRPr="00442EE5">
        <w:rPr>
          <w:rFonts w:cs="Times New Roman"/>
          <w:lang w:val="fr-CA"/>
        </w:rPr>
        <w:t xml:space="preserve"> dirigée contre lui, BEC et Central Bearing Corporation, Ltd. (« CBC ») (par. 158). Si je comprends bien, il affirme que la demande contre M. Barer était néanmoins une demande « incidente » au sens de l</w:t>
      </w:r>
      <w:r>
        <w:rPr>
          <w:rFonts w:cs="Times New Roman"/>
          <w:lang w:val="fr-CA"/>
        </w:rPr>
        <w:t>’</w:t>
      </w:r>
      <w:r w:rsidRPr="00442EE5">
        <w:rPr>
          <w:rFonts w:cs="Times New Roman"/>
          <w:lang w:val="fr-CA"/>
        </w:rPr>
        <w:t xml:space="preserve">art. 3139 </w:t>
      </w:r>
      <w:r w:rsidRPr="00442EE5">
        <w:rPr>
          <w:rFonts w:cs="Times New Roman"/>
          <w:i/>
          <w:lang w:val="fr-CA"/>
        </w:rPr>
        <w:t>C.c.Q.</w:t>
      </w:r>
      <w:r w:rsidRPr="00442EE5">
        <w:rPr>
          <w:rFonts w:cs="Times New Roman"/>
          <w:lang w:val="fr-CA"/>
        </w:rPr>
        <w:t xml:space="preserve"> parce que celui</w:t>
      </w:r>
      <w:r w:rsidRPr="00442EE5">
        <w:rPr>
          <w:rFonts w:cs="Times New Roman"/>
          <w:lang w:val="fr-CA"/>
        </w:rPr>
        <w:noBreakHyphen/>
        <w:t xml:space="preserve">ci </w:t>
      </w:r>
      <w:r w:rsidRPr="00442EE5">
        <w:rPr>
          <w:rFonts w:cs="Times New Roman"/>
          <w:i/>
          <w:lang w:val="fr-CA"/>
        </w:rPr>
        <w:t>aurait pu</w:t>
      </w:r>
      <w:r w:rsidRPr="00442EE5">
        <w:rPr>
          <w:rFonts w:cs="Times New Roman"/>
          <w:lang w:val="fr-CA"/>
        </w:rPr>
        <w:t xml:space="preserve"> être plutôt ajouté comme codéfendeur, </w:t>
      </w:r>
      <w:r w:rsidRPr="00442EE5">
        <w:rPr>
          <w:rFonts w:cs="Times New Roman"/>
          <w:i/>
          <w:lang w:val="fr-CA"/>
        </w:rPr>
        <w:t>après</w:t>
      </w:r>
      <w:r w:rsidRPr="00442EE5">
        <w:rPr>
          <w:rFonts w:cs="Times New Roman"/>
          <w:lang w:val="fr-CA"/>
        </w:rPr>
        <w:t xml:space="preserve"> l</w:t>
      </w:r>
      <w:r>
        <w:rPr>
          <w:rFonts w:cs="Times New Roman"/>
          <w:lang w:val="fr-CA"/>
        </w:rPr>
        <w:t>’</w:t>
      </w:r>
      <w:r w:rsidRPr="00442EE5">
        <w:rPr>
          <w:rFonts w:cs="Times New Roman"/>
          <w:lang w:val="fr-CA"/>
        </w:rPr>
        <w:t>introduction de la « demande principale » contre BEC ou CBC, par le recours à l</w:t>
      </w:r>
      <w:r>
        <w:rPr>
          <w:rFonts w:cs="Times New Roman"/>
          <w:lang w:val="fr-CA"/>
        </w:rPr>
        <w:t>’</w:t>
      </w:r>
      <w:r w:rsidRPr="00442EE5">
        <w:rPr>
          <w:rFonts w:cs="Times New Roman"/>
          <w:lang w:val="fr-CA"/>
        </w:rPr>
        <w:t>intervention forcée d</w:t>
      </w:r>
      <w:r>
        <w:rPr>
          <w:rFonts w:cs="Times New Roman"/>
          <w:lang w:val="fr-CA"/>
        </w:rPr>
        <w:t>’</w:t>
      </w:r>
      <w:r w:rsidRPr="00442EE5">
        <w:rPr>
          <w:rFonts w:cs="Times New Roman"/>
          <w:lang w:val="fr-CA"/>
        </w:rPr>
        <w:t>un tiers (en vertu des art. 184 et 188</w:t>
      </w:r>
      <w:r w:rsidR="00680394">
        <w:rPr>
          <w:rFonts w:cs="Times New Roman"/>
          <w:lang w:val="fr-CA"/>
        </w:rPr>
        <w:t xml:space="preserve"> à </w:t>
      </w:r>
      <w:r w:rsidRPr="00442EE5">
        <w:rPr>
          <w:rFonts w:cs="Times New Roman"/>
          <w:lang w:val="fr-CA"/>
        </w:rPr>
        <w:t xml:space="preserve">189 du nouveau </w:t>
      </w:r>
      <w:r w:rsidRPr="00442EE5">
        <w:rPr>
          <w:rFonts w:cs="Times New Roman"/>
          <w:i/>
          <w:lang w:val="fr-CA"/>
        </w:rPr>
        <w:t>C.p.c.</w:t>
      </w:r>
      <w:r w:rsidRPr="00442EE5">
        <w:rPr>
          <w:rFonts w:cs="Times New Roman"/>
          <w:lang w:val="fr-CA"/>
        </w:rPr>
        <w:t xml:space="preserve">). Que cela soit vrai ou non importe peu. </w:t>
      </w:r>
      <w:r w:rsidRPr="00442EE5">
        <w:rPr>
          <w:rFonts w:cs="Times New Roman"/>
          <w:i/>
          <w:lang w:val="fr-CA"/>
        </w:rPr>
        <w:t>Ce n</w:t>
      </w:r>
      <w:r>
        <w:rPr>
          <w:rFonts w:cs="Times New Roman"/>
          <w:i/>
          <w:lang w:val="fr-CA"/>
        </w:rPr>
        <w:t>’</w:t>
      </w:r>
      <w:r w:rsidRPr="00442EE5">
        <w:rPr>
          <w:rFonts w:cs="Times New Roman"/>
          <w:i/>
          <w:lang w:val="fr-CA"/>
        </w:rPr>
        <w:t>est tout simplement pas ce qui est arrivé</w:t>
      </w:r>
      <w:r w:rsidRPr="00442EE5">
        <w:rPr>
          <w:rFonts w:cs="Times New Roman"/>
          <w:lang w:val="fr-CA"/>
        </w:rPr>
        <w:t>. De fait, l</w:t>
      </w:r>
      <w:r>
        <w:rPr>
          <w:rFonts w:cs="Times New Roman"/>
          <w:lang w:val="fr-CA"/>
        </w:rPr>
        <w:t>’</w:t>
      </w:r>
      <w:r w:rsidRPr="00442EE5">
        <w:rPr>
          <w:rFonts w:cs="Times New Roman"/>
          <w:lang w:val="fr-CA"/>
        </w:rPr>
        <w:t xml:space="preserve">interprétation de mon collègue ferait disparaître la distinction entre « demande principale » et </w:t>
      </w:r>
      <w:r w:rsidRPr="00442EE5">
        <w:rPr>
          <w:rFonts w:cs="Times New Roman"/>
          <w:lang w:val="fr-CA"/>
        </w:rPr>
        <w:lastRenderedPageBreak/>
        <w:t>« demande incidente » qui est au cœur de l</w:t>
      </w:r>
      <w:r>
        <w:rPr>
          <w:rFonts w:cs="Times New Roman"/>
          <w:lang w:val="fr-CA"/>
        </w:rPr>
        <w:t>’</w:t>
      </w:r>
      <w:r w:rsidRPr="00442EE5">
        <w:rPr>
          <w:rFonts w:cs="Times New Roman"/>
          <w:lang w:val="fr-CA"/>
        </w:rPr>
        <w:t xml:space="preserve">art. 3139 </w:t>
      </w:r>
      <w:r w:rsidRPr="00442EE5">
        <w:rPr>
          <w:rFonts w:cs="Times New Roman"/>
          <w:i/>
          <w:lang w:val="fr-CA"/>
        </w:rPr>
        <w:t>C.c.Q</w:t>
      </w:r>
      <w:r w:rsidRPr="00442EE5">
        <w:rPr>
          <w:rFonts w:cs="Times New Roman"/>
          <w:lang w:val="fr-CA"/>
        </w:rPr>
        <w:t>. Or, le législateur n</w:t>
      </w:r>
      <w:r>
        <w:rPr>
          <w:rFonts w:cs="Times New Roman"/>
          <w:lang w:val="fr-CA"/>
        </w:rPr>
        <w:t>’</w:t>
      </w:r>
      <w:r w:rsidRPr="00442EE5">
        <w:rPr>
          <w:rFonts w:cs="Times New Roman"/>
          <w:lang w:val="fr-CA"/>
        </w:rPr>
        <w:t>a pas employé ces mots pour rien.</w:t>
      </w:r>
    </w:p>
    <w:p w:rsidR="00AF6697" w:rsidRPr="00442EE5" w:rsidRDefault="00AF6697" w:rsidP="00AF6697">
      <w:pPr>
        <w:pStyle w:val="ParaNoNdepar-AltN"/>
        <w:rPr>
          <w:rFonts w:cs="Times New Roman"/>
          <w:lang w:val="fr-CA"/>
        </w:rPr>
      </w:pPr>
      <w:r w:rsidRPr="00442EE5">
        <w:rPr>
          <w:rFonts w:cs="Times New Roman"/>
          <w:lang w:val="fr-CA"/>
        </w:rPr>
        <w:t>Enfin, même si je devais souscrire à l</w:t>
      </w:r>
      <w:r>
        <w:rPr>
          <w:rFonts w:cs="Times New Roman"/>
          <w:lang w:val="fr-CA"/>
        </w:rPr>
        <w:t>’</w:t>
      </w:r>
      <w:r w:rsidRPr="00442EE5">
        <w:rPr>
          <w:rFonts w:cs="Times New Roman"/>
          <w:lang w:val="fr-CA"/>
        </w:rPr>
        <w:t>i</w:t>
      </w:r>
      <w:r>
        <w:rPr>
          <w:rFonts w:cs="Times New Roman"/>
          <w:lang w:val="fr-CA"/>
        </w:rPr>
        <w:t xml:space="preserve">nterprétation large que le juge </w:t>
      </w:r>
      <w:r w:rsidRPr="00442EE5">
        <w:rPr>
          <w:rFonts w:cs="Times New Roman"/>
          <w:lang w:val="fr-CA"/>
        </w:rPr>
        <w:t>Brown donne à l</w:t>
      </w:r>
      <w:r>
        <w:rPr>
          <w:rFonts w:cs="Times New Roman"/>
          <w:lang w:val="fr-CA"/>
        </w:rPr>
        <w:t>’</w:t>
      </w:r>
      <w:r w:rsidRPr="00442EE5">
        <w:rPr>
          <w:rFonts w:cs="Times New Roman"/>
          <w:lang w:val="fr-CA"/>
        </w:rPr>
        <w:t xml:space="preserve">art. 3139 </w:t>
      </w:r>
      <w:r w:rsidRPr="00442EE5">
        <w:rPr>
          <w:rFonts w:cs="Times New Roman"/>
          <w:i/>
          <w:lang w:val="fr-CA"/>
        </w:rPr>
        <w:t>C.c.Q.</w:t>
      </w:r>
      <w:r w:rsidRPr="00442EE5">
        <w:rPr>
          <w:rFonts w:cs="Times New Roman"/>
          <w:lang w:val="fr-CA"/>
        </w:rPr>
        <w:t>,</w:t>
      </w:r>
      <w:r w:rsidRPr="00442EE5">
        <w:rPr>
          <w:rFonts w:cs="Times New Roman"/>
          <w:i/>
          <w:lang w:val="fr-CA"/>
        </w:rPr>
        <w:t xml:space="preserve"> </w:t>
      </w:r>
      <w:r w:rsidRPr="00442EE5">
        <w:rPr>
          <w:rFonts w:cs="Times New Roman"/>
          <w:lang w:val="fr-CA"/>
        </w:rPr>
        <w:t>je serais d</w:t>
      </w:r>
      <w:r>
        <w:rPr>
          <w:rFonts w:cs="Times New Roman"/>
          <w:lang w:val="fr-CA"/>
        </w:rPr>
        <w:t>’</w:t>
      </w:r>
      <w:r w:rsidRPr="00442EE5">
        <w:rPr>
          <w:rFonts w:cs="Times New Roman"/>
          <w:lang w:val="fr-CA"/>
        </w:rPr>
        <w:t>avis de rejeter ce motif de reconnaissance de la décision étrangère parce qu</w:t>
      </w:r>
      <w:r>
        <w:rPr>
          <w:rFonts w:cs="Times New Roman"/>
          <w:lang w:val="fr-CA"/>
        </w:rPr>
        <w:t>’</w:t>
      </w:r>
      <w:r w:rsidRPr="00442EE5">
        <w:rPr>
          <w:rFonts w:cs="Times New Roman"/>
          <w:lang w:val="fr-CA"/>
        </w:rPr>
        <w:t>il faudrait que l</w:t>
      </w:r>
      <w:r>
        <w:rPr>
          <w:rFonts w:cs="Times New Roman"/>
          <w:lang w:val="fr-CA"/>
        </w:rPr>
        <w:t>’</w:t>
      </w:r>
      <w:r w:rsidRPr="00442EE5">
        <w:rPr>
          <w:rFonts w:cs="Times New Roman"/>
          <w:lang w:val="fr-CA"/>
        </w:rPr>
        <w:t>existence d</w:t>
      </w:r>
      <w:r>
        <w:rPr>
          <w:rFonts w:cs="Times New Roman"/>
          <w:lang w:val="fr-CA"/>
        </w:rPr>
        <w:t>’</w:t>
      </w:r>
      <w:r w:rsidRPr="00442EE5">
        <w:rPr>
          <w:rFonts w:cs="Times New Roman"/>
          <w:lang w:val="fr-CA"/>
        </w:rPr>
        <w:t>un rattachement important soit établie en vertu de l</w:t>
      </w:r>
      <w:r>
        <w:rPr>
          <w:rFonts w:cs="Times New Roman"/>
          <w:lang w:val="fr-CA"/>
        </w:rPr>
        <w:t>’</w:t>
      </w:r>
      <w:r w:rsidRPr="00442EE5">
        <w:rPr>
          <w:rFonts w:cs="Times New Roman"/>
          <w:lang w:val="fr-CA"/>
        </w:rPr>
        <w:t xml:space="preserve">art. 3164 </w:t>
      </w:r>
      <w:r w:rsidRPr="00442EE5">
        <w:rPr>
          <w:rFonts w:cs="Times New Roman"/>
          <w:i/>
          <w:lang w:val="fr-CA"/>
        </w:rPr>
        <w:t xml:space="preserve">C.c.Q. </w:t>
      </w:r>
      <w:r w:rsidRPr="00442EE5">
        <w:rPr>
          <w:rFonts w:cs="Times New Roman"/>
          <w:lang w:val="fr-CA"/>
        </w:rPr>
        <w:t>(</w:t>
      </w:r>
      <w:r>
        <w:rPr>
          <w:rFonts w:cs="Times New Roman"/>
          <w:lang w:val="fr-CA"/>
        </w:rPr>
        <w:t xml:space="preserve">motifs du juge </w:t>
      </w:r>
      <w:r w:rsidRPr="00442EE5">
        <w:rPr>
          <w:rFonts w:cs="Times New Roman"/>
          <w:lang w:val="fr-CA"/>
        </w:rPr>
        <w:t>Brown, par. 149). Un tel rattachement n</w:t>
      </w:r>
      <w:r>
        <w:rPr>
          <w:rFonts w:cs="Times New Roman"/>
          <w:lang w:val="fr-CA"/>
        </w:rPr>
        <w:t>’</w:t>
      </w:r>
      <w:r w:rsidRPr="00442EE5">
        <w:rPr>
          <w:rFonts w:cs="Times New Roman"/>
          <w:lang w:val="fr-CA"/>
        </w:rPr>
        <w:t>existe pas en l</w:t>
      </w:r>
      <w:r>
        <w:rPr>
          <w:rFonts w:cs="Times New Roman"/>
          <w:lang w:val="fr-CA"/>
        </w:rPr>
        <w:t>’</w:t>
      </w:r>
      <w:r w:rsidRPr="00442EE5">
        <w:rPr>
          <w:rFonts w:cs="Times New Roman"/>
          <w:lang w:val="fr-CA"/>
        </w:rPr>
        <w:t>espèce. De plus, mon collègue reconnaît que, dans la mesure où l</w:t>
      </w:r>
      <w:r>
        <w:rPr>
          <w:rFonts w:cs="Times New Roman"/>
          <w:lang w:val="fr-CA"/>
        </w:rPr>
        <w:t>’</w:t>
      </w:r>
      <w:r w:rsidRPr="00442EE5">
        <w:rPr>
          <w:rFonts w:cs="Times New Roman"/>
          <w:lang w:val="fr-CA"/>
        </w:rPr>
        <w:t xml:space="preserve">art. 3139 </w:t>
      </w:r>
      <w:r w:rsidRPr="00442EE5">
        <w:rPr>
          <w:rFonts w:cs="Times New Roman"/>
          <w:i/>
          <w:lang w:val="fr-CA"/>
        </w:rPr>
        <w:t>C.c.Q.</w:t>
      </w:r>
      <w:r w:rsidRPr="00442EE5">
        <w:rPr>
          <w:rFonts w:cs="Times New Roman"/>
          <w:lang w:val="fr-CA"/>
        </w:rPr>
        <w:t xml:space="preserve"> peut être invoqué, un certain niveau de connexité serait nécessaire entre M. Barer et le contrat entre Knight et BEC (voir </w:t>
      </w:r>
      <w:r w:rsidRPr="00442EE5">
        <w:rPr>
          <w:rFonts w:cs="Times New Roman"/>
          <w:i/>
          <w:lang w:val="fr-CA"/>
        </w:rPr>
        <w:t>GreCon</w:t>
      </w:r>
      <w:r w:rsidRPr="00442EE5">
        <w:rPr>
          <w:rFonts w:cs="Times New Roman"/>
          <w:lang w:val="fr-CA"/>
        </w:rPr>
        <w:t>, par. 31). En l</w:t>
      </w:r>
      <w:r>
        <w:rPr>
          <w:rFonts w:cs="Times New Roman"/>
          <w:lang w:val="fr-CA"/>
        </w:rPr>
        <w:t>’</w:t>
      </w:r>
      <w:r w:rsidRPr="00442EE5">
        <w:rPr>
          <w:rFonts w:cs="Times New Roman"/>
          <w:lang w:val="fr-CA"/>
        </w:rPr>
        <w:t>espèce, le simple fait que M. Barer a négocié au nom de BEC — une personne morale distincte — ne le « rattache » pas suffisamment au contrat et ne devrait pas suffire à justifier une déclaration de compétence à son égard.</w:t>
      </w:r>
    </w:p>
    <w:p w:rsidR="00AF6697" w:rsidRPr="00442EE5" w:rsidRDefault="00AF6697" w:rsidP="00AF6697">
      <w:pPr>
        <w:pStyle w:val="ParaNoNdepar-AltN"/>
        <w:rPr>
          <w:rFonts w:cs="Times New Roman"/>
          <w:lang w:val="fr-CA"/>
        </w:rPr>
      </w:pPr>
      <w:r w:rsidRPr="00442EE5">
        <w:rPr>
          <w:rFonts w:cs="Times New Roman"/>
          <w:lang w:val="fr-CA"/>
        </w:rPr>
        <w:t>L</w:t>
      </w:r>
      <w:r>
        <w:rPr>
          <w:rFonts w:cs="Times New Roman"/>
          <w:lang w:val="fr-CA"/>
        </w:rPr>
        <w:t>’</w:t>
      </w:r>
      <w:r w:rsidRPr="00442EE5">
        <w:rPr>
          <w:rFonts w:cs="Times New Roman"/>
          <w:lang w:val="fr-CA"/>
        </w:rPr>
        <w:t xml:space="preserve">opinion contraire équivaut à faire </w:t>
      </w:r>
      <w:r w:rsidRPr="00442EE5">
        <w:rPr>
          <w:rStyle w:val="reference"/>
          <w:lang w:val="fr-CA"/>
        </w:rPr>
        <w:t>indirectement ce qu</w:t>
      </w:r>
      <w:r>
        <w:rPr>
          <w:rStyle w:val="reference"/>
          <w:lang w:val="fr-CA"/>
        </w:rPr>
        <w:t>’</w:t>
      </w:r>
      <w:r w:rsidRPr="00442EE5">
        <w:rPr>
          <w:rStyle w:val="reference"/>
          <w:lang w:val="fr-CA"/>
        </w:rPr>
        <w:t>on ne peut faire directement. Comme je l</w:t>
      </w:r>
      <w:r>
        <w:rPr>
          <w:rStyle w:val="reference"/>
          <w:lang w:val="fr-CA"/>
        </w:rPr>
        <w:t>’</w:t>
      </w:r>
      <w:r w:rsidRPr="00442EE5">
        <w:rPr>
          <w:rStyle w:val="reference"/>
          <w:lang w:val="fr-CA"/>
        </w:rPr>
        <w:t xml:space="preserve">ai expliqué précédemment, M. Barer ne peut être visé par </w:t>
      </w:r>
      <w:r w:rsidR="00660772">
        <w:rPr>
          <w:rStyle w:val="reference"/>
          <w:lang w:val="fr-CA"/>
        </w:rPr>
        <w:t>le par.</w:t>
      </w:r>
      <w:r w:rsidRPr="00442EE5">
        <w:rPr>
          <w:rStyle w:val="reference"/>
          <w:lang w:val="fr-CA"/>
        </w:rPr>
        <w:t xml:space="preserve"> 3168(4) </w:t>
      </w:r>
      <w:r w:rsidRPr="00442EE5">
        <w:rPr>
          <w:rStyle w:val="reference"/>
          <w:i/>
          <w:lang w:val="fr-CA"/>
        </w:rPr>
        <w:t>C.c.Q.</w:t>
      </w:r>
      <w:r w:rsidRPr="00442EE5">
        <w:rPr>
          <w:rStyle w:val="reference"/>
          <w:lang w:val="fr-CA"/>
        </w:rPr>
        <w:t xml:space="preserve"> à moins qu</w:t>
      </w:r>
      <w:r>
        <w:rPr>
          <w:rStyle w:val="reference"/>
          <w:lang w:val="fr-CA"/>
        </w:rPr>
        <w:t>’</w:t>
      </w:r>
      <w:r w:rsidRPr="00442EE5">
        <w:rPr>
          <w:rStyle w:val="reference"/>
          <w:lang w:val="fr-CA"/>
        </w:rPr>
        <w:t>il ne soit démontré qu</w:t>
      </w:r>
      <w:r>
        <w:rPr>
          <w:rStyle w:val="reference"/>
          <w:lang w:val="fr-CA"/>
        </w:rPr>
        <w:t>’</w:t>
      </w:r>
      <w:r w:rsidRPr="00442EE5">
        <w:rPr>
          <w:rStyle w:val="reference"/>
          <w:lang w:val="fr-CA"/>
        </w:rPr>
        <w:t>il est responsable des « obligations découlant [du] contrat ». Comme il n</w:t>
      </w:r>
      <w:r>
        <w:rPr>
          <w:rStyle w:val="reference"/>
          <w:lang w:val="fr-CA"/>
        </w:rPr>
        <w:t>’</w:t>
      </w:r>
      <w:r w:rsidRPr="00442EE5">
        <w:rPr>
          <w:rStyle w:val="reference"/>
          <w:lang w:val="fr-CA"/>
        </w:rPr>
        <w:t>est pas lui</w:t>
      </w:r>
      <w:r w:rsidRPr="00442EE5">
        <w:rPr>
          <w:rStyle w:val="reference"/>
          <w:lang w:val="fr-CA"/>
        </w:rPr>
        <w:noBreakHyphen/>
        <w:t>même partie au contrat, il faudrait présenter des éléments de preuve permettant de percer le voile corporatif en vertu de l</w:t>
      </w:r>
      <w:r>
        <w:rPr>
          <w:rStyle w:val="reference"/>
          <w:lang w:val="fr-CA"/>
        </w:rPr>
        <w:t>’</w:t>
      </w:r>
      <w:r w:rsidRPr="00442EE5">
        <w:rPr>
          <w:rStyle w:val="reference"/>
          <w:lang w:val="fr-CA"/>
        </w:rPr>
        <w:t xml:space="preserve">art. 317 </w:t>
      </w:r>
      <w:r w:rsidRPr="00442EE5">
        <w:rPr>
          <w:rStyle w:val="reference"/>
          <w:i/>
          <w:lang w:val="fr-CA"/>
        </w:rPr>
        <w:t>C.c.Q.</w:t>
      </w:r>
      <w:r w:rsidRPr="00442EE5">
        <w:rPr>
          <w:rStyle w:val="reference"/>
          <w:lang w:val="fr-CA"/>
        </w:rPr>
        <w:t xml:space="preserve"> Je doute fort que l</w:t>
      </w:r>
      <w:r>
        <w:rPr>
          <w:rStyle w:val="reference"/>
          <w:lang w:val="fr-CA"/>
        </w:rPr>
        <w:t>’</w:t>
      </w:r>
      <w:r w:rsidRPr="00442EE5">
        <w:rPr>
          <w:rStyle w:val="reference"/>
          <w:lang w:val="fr-CA"/>
        </w:rPr>
        <w:t xml:space="preserve">art. 3139 </w:t>
      </w:r>
      <w:r w:rsidRPr="00442EE5">
        <w:rPr>
          <w:rStyle w:val="reference"/>
          <w:i/>
          <w:lang w:val="fr-CA"/>
        </w:rPr>
        <w:t>C.c.Q.</w:t>
      </w:r>
      <w:r w:rsidRPr="00442EE5">
        <w:rPr>
          <w:rStyle w:val="reference"/>
          <w:lang w:val="fr-CA"/>
        </w:rPr>
        <w:t xml:space="preserve"> puisse être utilisé pour contourner cette exigence précise (voir </w:t>
      </w:r>
      <w:r w:rsidRPr="00442EE5">
        <w:rPr>
          <w:rStyle w:val="reference"/>
          <w:i/>
          <w:lang w:val="fr-CA"/>
        </w:rPr>
        <w:t>GreCon</w:t>
      </w:r>
      <w:r w:rsidRPr="00442EE5">
        <w:rPr>
          <w:rStyle w:val="reference"/>
          <w:lang w:val="fr-CA"/>
        </w:rPr>
        <w:t xml:space="preserve">, par. 29), car la </w:t>
      </w:r>
      <w:r w:rsidRPr="00442EE5">
        <w:rPr>
          <w:rFonts w:cs="Times New Roman"/>
          <w:lang w:val="fr-CA"/>
        </w:rPr>
        <w:t xml:space="preserve">certitude et la prévisibilité que visent à promouvoir les facteurs de rattachement précis énoncés dans le </w:t>
      </w:r>
      <w:r w:rsidRPr="00442EE5">
        <w:rPr>
          <w:rFonts w:cs="Times New Roman"/>
          <w:i/>
          <w:lang w:val="fr-CA"/>
        </w:rPr>
        <w:t>C.c.Q.</w:t>
      </w:r>
      <w:r w:rsidRPr="00442EE5">
        <w:rPr>
          <w:rFonts w:cs="Times New Roman"/>
          <w:lang w:val="fr-CA"/>
        </w:rPr>
        <w:t xml:space="preserve"> s</w:t>
      </w:r>
      <w:r>
        <w:rPr>
          <w:rFonts w:cs="Times New Roman"/>
          <w:lang w:val="fr-CA"/>
        </w:rPr>
        <w:t>’</w:t>
      </w:r>
      <w:r w:rsidRPr="00442EE5">
        <w:rPr>
          <w:rFonts w:cs="Times New Roman"/>
          <w:lang w:val="fr-CA"/>
        </w:rPr>
        <w:t xml:space="preserve">en trouveraient minés (voir </w:t>
      </w:r>
      <w:r w:rsidRPr="00442EE5">
        <w:rPr>
          <w:rFonts w:cs="Times New Roman"/>
          <w:i/>
          <w:lang w:val="fr-CA"/>
        </w:rPr>
        <w:t>Spar</w:t>
      </w:r>
      <w:r w:rsidRPr="00442EE5">
        <w:rPr>
          <w:rFonts w:cs="Times New Roman"/>
          <w:lang w:val="fr-CA"/>
        </w:rPr>
        <w:t>, par. 81).</w:t>
      </w:r>
    </w:p>
    <w:p w:rsidR="00AF6697" w:rsidRPr="00442EE5" w:rsidRDefault="00AF6697" w:rsidP="00AF6697">
      <w:pPr>
        <w:pStyle w:val="Title1LevelTitre1Niveau-AltL"/>
        <w:numPr>
          <w:ilvl w:val="0"/>
          <w:numId w:val="4"/>
        </w:numPr>
        <w:jc w:val="both"/>
        <w:rPr>
          <w:rFonts w:cs="Times New Roman"/>
          <w:lang w:val="fr-CA"/>
        </w:rPr>
      </w:pPr>
      <w:r w:rsidRPr="00442EE5">
        <w:rPr>
          <w:rFonts w:cs="Times New Roman"/>
          <w:lang w:val="fr-CA"/>
        </w:rPr>
        <w:t>Conclusion</w:t>
      </w:r>
    </w:p>
    <w:p w:rsidR="00AF6697" w:rsidRPr="00442EE5" w:rsidRDefault="00AF6697" w:rsidP="00AF6697">
      <w:pPr>
        <w:pStyle w:val="ParaNoNdepar-AltN"/>
        <w:rPr>
          <w:rFonts w:cs="Times New Roman"/>
          <w:lang w:val="fr-CA"/>
        </w:rPr>
      </w:pPr>
      <w:r w:rsidRPr="00442EE5">
        <w:rPr>
          <w:rFonts w:cs="Times New Roman"/>
          <w:lang w:val="fr-CA"/>
        </w:rPr>
        <w:lastRenderedPageBreak/>
        <w:t>Je conclus que la compétence du tribunal de l</w:t>
      </w:r>
      <w:r>
        <w:rPr>
          <w:rFonts w:cs="Times New Roman"/>
          <w:lang w:val="fr-CA"/>
        </w:rPr>
        <w:t>’</w:t>
      </w:r>
      <w:r w:rsidRPr="00442EE5">
        <w:rPr>
          <w:rFonts w:cs="Times New Roman"/>
          <w:lang w:val="fr-CA"/>
        </w:rPr>
        <w:t>Utah ne peut être établie en vertu de l</w:t>
      </w:r>
      <w:r>
        <w:rPr>
          <w:rFonts w:cs="Times New Roman"/>
          <w:lang w:val="fr-CA"/>
        </w:rPr>
        <w:t>’</w:t>
      </w:r>
      <w:r w:rsidRPr="00442EE5">
        <w:rPr>
          <w:rFonts w:cs="Times New Roman"/>
          <w:lang w:val="fr-CA"/>
        </w:rPr>
        <w:t xml:space="preserve">art. 3168 </w:t>
      </w:r>
      <w:r w:rsidRPr="00442EE5">
        <w:rPr>
          <w:rFonts w:cs="Times New Roman"/>
          <w:i/>
          <w:lang w:val="fr-CA"/>
        </w:rPr>
        <w:t xml:space="preserve">C.c.Q. </w:t>
      </w:r>
      <w:r w:rsidRPr="00442EE5">
        <w:rPr>
          <w:rFonts w:cs="Times New Roman"/>
          <w:lang w:val="fr-CA"/>
        </w:rPr>
        <w:t>et que le litige ne présente pas de rattachement important avec l</w:t>
      </w:r>
      <w:r>
        <w:rPr>
          <w:rFonts w:cs="Times New Roman"/>
          <w:lang w:val="fr-CA"/>
        </w:rPr>
        <w:t>’</w:t>
      </w:r>
      <w:r w:rsidRPr="00442EE5">
        <w:rPr>
          <w:rFonts w:cs="Times New Roman"/>
          <w:lang w:val="fr-CA"/>
        </w:rPr>
        <w:t>Utah comme l</w:t>
      </w:r>
      <w:r>
        <w:rPr>
          <w:rFonts w:cs="Times New Roman"/>
          <w:lang w:val="fr-CA"/>
        </w:rPr>
        <w:t>’</w:t>
      </w:r>
      <w:r w:rsidRPr="00442EE5">
        <w:rPr>
          <w:rFonts w:cs="Times New Roman"/>
          <w:lang w:val="fr-CA"/>
        </w:rPr>
        <w:t>exige l</w:t>
      </w:r>
      <w:r>
        <w:rPr>
          <w:rFonts w:cs="Times New Roman"/>
          <w:lang w:val="fr-CA"/>
        </w:rPr>
        <w:t>’</w:t>
      </w:r>
      <w:r w:rsidRPr="00442EE5">
        <w:rPr>
          <w:rFonts w:cs="Times New Roman"/>
          <w:lang w:val="fr-CA"/>
        </w:rPr>
        <w:t xml:space="preserve">art. 3164 </w:t>
      </w:r>
      <w:r w:rsidRPr="00442EE5">
        <w:rPr>
          <w:rFonts w:cs="Times New Roman"/>
          <w:i/>
          <w:lang w:val="fr-CA"/>
        </w:rPr>
        <w:t>C.c.Q.</w:t>
      </w:r>
      <w:r w:rsidRPr="00442EE5">
        <w:rPr>
          <w:rFonts w:cs="Times New Roman"/>
          <w:lang w:val="fr-CA"/>
        </w:rPr>
        <w:t xml:space="preserve"> Par conséquent, la décision ne peut être reconnue contre l</w:t>
      </w:r>
      <w:r>
        <w:rPr>
          <w:rFonts w:cs="Times New Roman"/>
          <w:lang w:val="fr-CA"/>
        </w:rPr>
        <w:t>’</w:t>
      </w:r>
      <w:r w:rsidRPr="00442EE5">
        <w:rPr>
          <w:rFonts w:cs="Times New Roman"/>
          <w:lang w:val="fr-CA"/>
        </w:rPr>
        <w:t>appelant. J</w:t>
      </w:r>
      <w:r>
        <w:rPr>
          <w:rFonts w:cs="Times New Roman"/>
          <w:lang w:val="fr-CA"/>
        </w:rPr>
        <w:t>’</w:t>
      </w:r>
      <w:r w:rsidRPr="00442EE5">
        <w:rPr>
          <w:rFonts w:cs="Times New Roman"/>
          <w:lang w:val="fr-CA"/>
        </w:rPr>
        <w:t xml:space="preserve">accueillerais le pourvoi. </w:t>
      </w:r>
    </w:p>
    <w:p w:rsidR="00AF6697" w:rsidRPr="0092611C" w:rsidRDefault="00AF6697" w:rsidP="00AF6697">
      <w:pPr>
        <w:pStyle w:val="SCCNormalDoubleSpacing"/>
        <w:spacing w:after="480"/>
        <w:rPr>
          <w:i/>
          <w:lang w:val="fr-CA"/>
        </w:rPr>
      </w:pPr>
      <w:r w:rsidRPr="00342757">
        <w:rPr>
          <w:lang w:val="fr-CA"/>
        </w:rPr>
        <w:tab/>
      </w:r>
      <w:r w:rsidRPr="0092611C">
        <w:rPr>
          <w:i/>
          <w:lang w:val="fr-CA"/>
        </w:rPr>
        <w:t xml:space="preserve">Appel rejeté avec </w:t>
      </w:r>
      <w:r>
        <w:rPr>
          <w:i/>
          <w:lang w:val="fr-CA"/>
        </w:rPr>
        <w:t>dépens</w:t>
      </w:r>
      <w:r w:rsidRPr="0092611C">
        <w:rPr>
          <w:i/>
          <w:lang w:val="fr-CA"/>
        </w:rPr>
        <w:t xml:space="preserve">, la juge </w:t>
      </w:r>
      <w:r w:rsidRPr="0092611C">
        <w:rPr>
          <w:smallCaps/>
          <w:lang w:val="fr-CA"/>
        </w:rPr>
        <w:t>Côté</w:t>
      </w:r>
      <w:r w:rsidRPr="0092611C">
        <w:rPr>
          <w:i/>
          <w:lang w:val="fr-CA"/>
        </w:rPr>
        <w:t xml:space="preserve"> est dissidente. </w:t>
      </w:r>
    </w:p>
    <w:p w:rsidR="00AF6697" w:rsidRPr="00342757" w:rsidRDefault="00AF6697" w:rsidP="00AF6697">
      <w:pPr>
        <w:pStyle w:val="SCCLawFirm"/>
        <w:spacing w:after="480"/>
        <w:rPr>
          <w:lang w:val="fr-CA"/>
        </w:rPr>
      </w:pPr>
      <w:r w:rsidRPr="00342757">
        <w:rPr>
          <w:lang w:val="fr-CA"/>
        </w:rPr>
        <w:tab/>
        <w:t>Procureurs de l</w:t>
      </w:r>
      <w:r>
        <w:rPr>
          <w:lang w:val="fr-CA"/>
        </w:rPr>
        <w:t>’</w:t>
      </w:r>
      <w:r w:rsidRPr="00342757">
        <w:rPr>
          <w:lang w:val="fr-CA"/>
        </w:rPr>
        <w:t>appelant : Sternthal, Katznelson, Montigny, Montréal.</w:t>
      </w:r>
    </w:p>
    <w:p w:rsidR="00AF6697" w:rsidRPr="00342757" w:rsidRDefault="00AF6697" w:rsidP="00AF6697">
      <w:pPr>
        <w:pStyle w:val="SCCLawFirm"/>
        <w:rPr>
          <w:lang w:val="fr-CA"/>
        </w:rPr>
      </w:pPr>
      <w:r w:rsidRPr="00342757">
        <w:rPr>
          <w:lang w:val="fr-CA"/>
        </w:rPr>
        <w:tab/>
      </w:r>
      <w:r w:rsidRPr="005F3129">
        <w:rPr>
          <w:lang w:val="fr-CA"/>
        </w:rPr>
        <w:t>Procureurs de l</w:t>
      </w:r>
      <w:r>
        <w:rPr>
          <w:lang w:val="fr-CA"/>
        </w:rPr>
        <w:t>’</w:t>
      </w:r>
      <w:r w:rsidRPr="005F3129">
        <w:rPr>
          <w:lang w:val="fr-CA"/>
        </w:rPr>
        <w:t>intimée : Franklin</w:t>
      </w:r>
      <w:r>
        <w:rPr>
          <w:lang w:val="fr-CA"/>
        </w:rPr>
        <w:t xml:space="preserve"> &amp; Franklin, Montréal.</w:t>
      </w:r>
    </w:p>
    <w:p w:rsidR="00316520" w:rsidRPr="00AF6697" w:rsidRDefault="00316520" w:rsidP="00AF6697">
      <w:pPr>
        <w:rPr>
          <w:lang w:val="fr-CA"/>
        </w:rPr>
      </w:pPr>
    </w:p>
    <w:sectPr w:rsidR="00316520" w:rsidRPr="00AF6697" w:rsidSect="0031652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26" w:rsidRDefault="00F05026" w:rsidP="007A4620">
      <w:r>
        <w:separator/>
      </w:r>
    </w:p>
  </w:endnote>
  <w:endnote w:type="continuationSeparator" w:id="0">
    <w:p w:rsidR="00F05026" w:rsidRDefault="00F05026" w:rsidP="007A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26" w:rsidRDefault="00F05026" w:rsidP="007A4620">
      <w:r>
        <w:separator/>
      </w:r>
    </w:p>
  </w:footnote>
  <w:footnote w:type="continuationSeparator" w:id="0">
    <w:p w:rsidR="00F05026" w:rsidRDefault="00F05026" w:rsidP="007A4620">
      <w:r>
        <w:continuationSeparator/>
      </w:r>
    </w:p>
  </w:footnote>
  <w:footnote w:id="1">
    <w:p w:rsidR="00FE33EA" w:rsidRPr="00936B49" w:rsidRDefault="00FE33EA" w:rsidP="00AF6697">
      <w:pPr>
        <w:pStyle w:val="FootnoteText"/>
        <w:rPr>
          <w:lang w:val="fr-CA"/>
        </w:rPr>
      </w:pPr>
      <w:r w:rsidRPr="00936B49">
        <w:rPr>
          <w:rStyle w:val="FootnoteReference"/>
          <w:lang w:val="fr-CA"/>
        </w:rPr>
        <w:footnoteRef/>
      </w:r>
      <w:r w:rsidRPr="00936B49">
        <w:rPr>
          <w:lang w:val="fr-CA"/>
        </w:rPr>
        <w:t xml:space="preserve"> </w:t>
      </w:r>
      <w:r w:rsidRPr="00936B49">
        <w:rPr>
          <w:lang w:val="fr-CA"/>
        </w:rPr>
        <w:tab/>
      </w:r>
      <w:r w:rsidRPr="00EF1BDA">
        <w:rPr>
          <w:lang w:val="fr-CA"/>
        </w:rPr>
        <w:t>En anglais, certains juges ont parfois utilisé le mot « </w:t>
      </w:r>
      <w:r w:rsidRPr="003364C7">
        <w:rPr>
          <w:i/>
          <w:lang w:val="fr-CA"/>
        </w:rPr>
        <w:t>mulligan</w:t>
      </w:r>
      <w:r w:rsidRPr="00EF1BDA">
        <w:rPr>
          <w:lang w:val="fr-CA"/>
        </w:rPr>
        <w:t> » pour évoquer ce scénario</w:t>
      </w:r>
      <w:r>
        <w:rPr>
          <w:lang w:val="fr-CA"/>
        </w:rPr>
        <w:t> : v</w:t>
      </w:r>
      <w:r w:rsidRPr="00EF1BDA">
        <w:rPr>
          <w:lang w:val="fr-CA"/>
        </w:rPr>
        <w:t>oir, par exemple, le juge Doherty, de la Cour d</w:t>
      </w:r>
      <w:r>
        <w:rPr>
          <w:lang w:val="fr-CA"/>
        </w:rPr>
        <w:t>’</w:t>
      </w:r>
      <w:r w:rsidRPr="00EF1BDA">
        <w:rPr>
          <w:lang w:val="fr-CA"/>
        </w:rPr>
        <w:t>appel de l</w:t>
      </w:r>
      <w:r>
        <w:rPr>
          <w:lang w:val="fr-CA"/>
        </w:rPr>
        <w:t>’</w:t>
      </w:r>
      <w:r w:rsidRPr="00EF1BDA">
        <w:rPr>
          <w:lang w:val="fr-CA"/>
        </w:rPr>
        <w:t>Ontario, dans l</w:t>
      </w:r>
      <w:r>
        <w:rPr>
          <w:lang w:val="fr-CA"/>
        </w:rPr>
        <w:t>’</w:t>
      </w:r>
      <w:r w:rsidRPr="00EF1BDA">
        <w:rPr>
          <w:lang w:val="fr-CA"/>
        </w:rPr>
        <w:t xml:space="preserve">arrêt </w:t>
      </w:r>
      <w:r w:rsidRPr="00EF1BDA">
        <w:rPr>
          <w:i/>
          <w:lang w:val="fr-CA"/>
        </w:rPr>
        <w:t>R. c. 1275729 Ontario Inc.</w:t>
      </w:r>
      <w:r>
        <w:rPr>
          <w:lang w:val="fr-CA"/>
        </w:rPr>
        <w:t xml:space="preserve"> (2005), 203 C.C.C. (3d) 501, par. 43</w:t>
      </w:r>
      <w:r w:rsidRPr="00EF1BDA">
        <w:rPr>
          <w:lang w:val="fr-CA"/>
        </w:rPr>
        <w:t xml:space="preserve">; le juge Dunphy dans </w:t>
      </w:r>
      <w:r w:rsidRPr="00EF1BDA">
        <w:rPr>
          <w:i/>
          <w:lang w:val="fr-CA"/>
        </w:rPr>
        <w:t>Birch Hill Equity Partners Management Inc. c. Rogers Communications Inc.</w:t>
      </w:r>
      <w:r w:rsidRPr="00EF1BDA">
        <w:rPr>
          <w:lang w:val="fr-CA"/>
        </w:rPr>
        <w:t xml:space="preserve">, 2015 ONSC 7189, </w:t>
      </w:r>
      <w:r>
        <w:rPr>
          <w:lang w:val="fr-CA"/>
        </w:rPr>
        <w:t xml:space="preserve">128 O.R. (3d) 1, </w:t>
      </w:r>
      <w:r w:rsidRPr="00EF1BDA">
        <w:rPr>
          <w:lang w:val="fr-CA"/>
        </w:rPr>
        <w:t>par. 7, et plus récemment, mon collègue le juge Brown dans l</w:t>
      </w:r>
      <w:r>
        <w:rPr>
          <w:lang w:val="fr-CA"/>
        </w:rPr>
        <w:t>’</w:t>
      </w:r>
      <w:r w:rsidRPr="00EF1BDA">
        <w:rPr>
          <w:lang w:val="fr-CA"/>
        </w:rPr>
        <w:t xml:space="preserve">arrêt </w:t>
      </w:r>
      <w:r w:rsidRPr="00EF1BDA">
        <w:rPr>
          <w:i/>
          <w:lang w:val="fr-CA"/>
        </w:rPr>
        <w:t>Canada (Procureur général) c. Hôtels Fairmont Inc.</w:t>
      </w:r>
      <w:r w:rsidRPr="00EF1BDA">
        <w:rPr>
          <w:lang w:val="fr-CA"/>
        </w:rPr>
        <w:t xml:space="preserve">, 2016 CSC 56, </w:t>
      </w:r>
      <w:r>
        <w:rPr>
          <w:lang w:val="fr-CA"/>
        </w:rPr>
        <w:t>[</w:t>
      </w:r>
      <w:r w:rsidRPr="00EF1BDA">
        <w:rPr>
          <w:lang w:val="fr-CA"/>
        </w:rPr>
        <w:t xml:space="preserve">2016] 2 R.C.S. 720, par. 39. Voir également </w:t>
      </w:r>
      <w:r w:rsidRPr="00EF1BDA">
        <w:rPr>
          <w:i/>
          <w:lang w:val="fr-CA"/>
        </w:rPr>
        <w:t>Armoyan c. Armoyan</w:t>
      </w:r>
      <w:r w:rsidRPr="00EF1BDA">
        <w:rPr>
          <w:lang w:val="fr-CA"/>
        </w:rPr>
        <w:t>, 2013 NSCA 99, 334 N.S.R. (2d) 204</w:t>
      </w:r>
      <w:r>
        <w:rPr>
          <w:lang w:val="fr-CA"/>
        </w:rPr>
        <w:t>,</w:t>
      </w:r>
      <w:r w:rsidRPr="00B64350">
        <w:rPr>
          <w:lang w:val="fr-CA"/>
        </w:rPr>
        <w:t xml:space="preserve"> </w:t>
      </w:r>
      <w:r>
        <w:rPr>
          <w:lang w:val="fr-CA"/>
        </w:rPr>
        <w:t>par.</w:t>
      </w:r>
      <w:r w:rsidRPr="00EF1BDA">
        <w:rPr>
          <w:lang w:val="fr-CA"/>
        </w:rPr>
        <w:t xml:space="preserve"> 287, et </w:t>
      </w:r>
      <w:r w:rsidRPr="00EF1BDA">
        <w:rPr>
          <w:i/>
          <w:lang w:val="fr-CA"/>
        </w:rPr>
        <w:t>Canada (Canadian Environmental Assessment Agency) c. Taseko Mines Limited</w:t>
      </w:r>
      <w:r w:rsidRPr="00EF1BDA">
        <w:rPr>
          <w:lang w:val="fr-CA"/>
        </w:rPr>
        <w:t>, 2018 BCSC 1034, par. 54</w:t>
      </w:r>
      <w:r>
        <w:rPr>
          <w:lang w:val="fr-CA"/>
        </w:rPr>
        <w:t xml:space="preserve"> (CanLII)</w:t>
      </w:r>
      <w:r w:rsidRPr="00EF1BDA">
        <w:rPr>
          <w:lang w:val="fr-CA"/>
        </w:rPr>
        <w:t>.</w:t>
      </w:r>
      <w:r w:rsidRPr="00936B49">
        <w:rPr>
          <w:lang w:val="fr-CA"/>
        </w:rPr>
        <w:t xml:space="preserve"> </w:t>
      </w:r>
    </w:p>
  </w:footnote>
  <w:footnote w:id="2">
    <w:p w:rsidR="00FE33EA" w:rsidRPr="000F2D35" w:rsidRDefault="00FE33EA" w:rsidP="00AF6697">
      <w:pPr>
        <w:pStyle w:val="FootnoteText"/>
        <w:rPr>
          <w:lang w:val="fr-CA"/>
        </w:rPr>
      </w:pPr>
      <w:r w:rsidRPr="000F2D35">
        <w:rPr>
          <w:rStyle w:val="FootnoteReference"/>
          <w:rFonts w:eastAsiaTheme="minorHAnsi"/>
          <w:lang w:val="fr-CA"/>
        </w:rPr>
        <w:footnoteRef/>
      </w:r>
      <w:r w:rsidRPr="000F2D35">
        <w:rPr>
          <w:lang w:val="fr-CA"/>
        </w:rPr>
        <w:t xml:space="preserve"> </w:t>
      </w:r>
      <w:r w:rsidRPr="000F2D35">
        <w:rPr>
          <w:lang w:val="fr-CA"/>
        </w:rPr>
        <w:tab/>
      </w:r>
      <w:r w:rsidRPr="009A5366">
        <w:rPr>
          <w:lang w:val="fr-CA"/>
        </w:rPr>
        <w:t>Voir d.a., vol. II, p. 96 : [</w:t>
      </w:r>
      <w:r w:rsidRPr="009A5366">
        <w:rPr>
          <w:smallCaps/>
          <w:lang w:val="fr-CA"/>
        </w:rPr>
        <w:t>traduction</w:t>
      </w:r>
      <w:r w:rsidRPr="009A5366">
        <w:rPr>
          <w:lang w:val="fr-CA"/>
        </w:rPr>
        <w:t>] « </w:t>
      </w:r>
      <w:r w:rsidRPr="009A5366">
        <w:rPr>
          <w:u w:val="single"/>
          <w:lang w:val="fr-CA"/>
        </w:rPr>
        <w:t>Les parties conviennent</w:t>
      </w:r>
      <w:r w:rsidRPr="009A5366">
        <w:rPr>
          <w:lang w:val="fr-CA"/>
        </w:rPr>
        <w:t xml:space="preserve"> que</w:t>
      </w:r>
      <w:r>
        <w:rPr>
          <w:lang w:val="fr-CA"/>
        </w:rPr>
        <w:t xml:space="preserve"> </w:t>
      </w:r>
      <w:r w:rsidRPr="009A5366">
        <w:rPr>
          <w:lang w:val="fr-CA"/>
        </w:rPr>
        <w:t>la défenderesse Barer Engineering Company of America (Barer Engineering) a obtenu, en 2007, un contrat en vue de l</w:t>
      </w:r>
      <w:r>
        <w:rPr>
          <w:lang w:val="fr-CA"/>
        </w:rPr>
        <w:t>’</w:t>
      </w:r>
      <w:r w:rsidRPr="009A5366">
        <w:rPr>
          <w:lang w:val="fr-CA"/>
        </w:rPr>
        <w:t xml:space="preserve">installation de machinerie </w:t>
      </w:r>
      <w:r>
        <w:rPr>
          <w:lang w:val="fr-CA"/>
        </w:rPr>
        <w:t>sur la base aérienne Hill dans l’</w:t>
      </w:r>
      <w:r w:rsidRPr="009A5366">
        <w:rPr>
          <w:lang w:val="fr-CA"/>
        </w:rPr>
        <w:t>Utah. En 2008, la demanderesse et Barer Engineering ont conclu un contrat concernant des travaux que la demanderesse devait exécuter, y compris l</w:t>
      </w:r>
      <w:r>
        <w:rPr>
          <w:lang w:val="fr-CA"/>
        </w:rPr>
        <w:t>’</w:t>
      </w:r>
      <w:r w:rsidRPr="009A5366">
        <w:rPr>
          <w:lang w:val="fr-CA"/>
        </w:rPr>
        <w:t>installation de nouvelles fondations » (je souligne); voir aussi p. 107 :</w:t>
      </w:r>
      <w:r>
        <w:rPr>
          <w:lang w:val="fr-CA"/>
        </w:rPr>
        <w:t> « L</w:t>
      </w:r>
      <w:r w:rsidRPr="009A5366">
        <w:rPr>
          <w:lang w:val="fr-CA"/>
        </w:rPr>
        <w:t>es parties s</w:t>
      </w:r>
      <w:r>
        <w:rPr>
          <w:lang w:val="fr-CA"/>
        </w:rPr>
        <w:t>’</w:t>
      </w:r>
      <w:r w:rsidRPr="009A5366">
        <w:rPr>
          <w:lang w:val="fr-CA"/>
        </w:rPr>
        <w:t>entendent pour dire qu</w:t>
      </w:r>
      <w:r>
        <w:rPr>
          <w:lang w:val="fr-CA"/>
        </w:rPr>
        <w:t>’un contrat a été conclu. »</w:t>
      </w:r>
    </w:p>
  </w:footnote>
  <w:footnote w:id="3">
    <w:p w:rsidR="00FE33EA" w:rsidRPr="000F2D35" w:rsidRDefault="00FE33EA" w:rsidP="005C0F19">
      <w:pPr>
        <w:pStyle w:val="FootnoteText"/>
        <w:rPr>
          <w:lang w:val="fr-CA"/>
        </w:rPr>
      </w:pPr>
      <w:r w:rsidRPr="000F2D35">
        <w:rPr>
          <w:rStyle w:val="FootnoteReference"/>
          <w:rFonts w:eastAsiaTheme="minorHAnsi"/>
          <w:lang w:val="fr-CA"/>
        </w:rPr>
        <w:footnoteRef/>
      </w:r>
      <w:r w:rsidRPr="000F2D35">
        <w:rPr>
          <w:lang w:val="fr-CA"/>
        </w:rPr>
        <w:t xml:space="preserve"> </w:t>
      </w:r>
      <w:r w:rsidRPr="000F2D35">
        <w:rPr>
          <w:lang w:val="fr-CA"/>
        </w:rPr>
        <w:tab/>
      </w:r>
      <w:r>
        <w:rPr>
          <w:lang w:val="fr-CA"/>
        </w:rPr>
        <w:t>d.a</w:t>
      </w:r>
      <w:r w:rsidRPr="000F2D35">
        <w:rPr>
          <w:lang w:val="fr-CA"/>
        </w:rPr>
        <w:t>., vol. II, p. 43. Ces f</w:t>
      </w:r>
      <w:r>
        <w:rPr>
          <w:lang w:val="fr-CA"/>
        </w:rPr>
        <w:t>aits sont également admis dans d</w:t>
      </w:r>
      <w:r w:rsidRPr="000F2D35">
        <w:rPr>
          <w:lang w:val="fr-CA"/>
        </w:rPr>
        <w:t xml:space="preserve">es pièces versées au dossier par BEC : voir </w:t>
      </w:r>
      <w:r>
        <w:rPr>
          <w:lang w:val="fr-CA"/>
        </w:rPr>
        <w:t>d.a</w:t>
      </w:r>
      <w:r w:rsidRPr="000F2D35">
        <w:rPr>
          <w:lang w:val="fr-CA"/>
        </w:rPr>
        <w:t>., vol</w:t>
      </w:r>
      <w:r>
        <w:rPr>
          <w:lang w:val="fr-CA"/>
        </w:rPr>
        <w:t>. II, p. 131. Voir aussi m.a.</w:t>
      </w:r>
      <w:r w:rsidRPr="000F2D35">
        <w:rPr>
          <w:lang w:val="fr-CA"/>
        </w:rPr>
        <w:t xml:space="preserve">, p. 3. </w:t>
      </w:r>
    </w:p>
  </w:footnote>
  <w:footnote w:id="4">
    <w:p w:rsidR="00FE33EA" w:rsidRPr="000F2D35" w:rsidRDefault="00FE33EA" w:rsidP="00AF6697">
      <w:pPr>
        <w:pStyle w:val="FootnoteText"/>
        <w:rPr>
          <w:lang w:val="fr-CA"/>
        </w:rPr>
      </w:pPr>
      <w:r w:rsidRPr="000F2D35">
        <w:rPr>
          <w:rStyle w:val="FootnoteReference"/>
          <w:rFonts w:eastAsiaTheme="minorHAnsi"/>
          <w:lang w:val="fr-CA"/>
        </w:rPr>
        <w:footnoteRef/>
      </w:r>
      <w:r w:rsidRPr="000F2D35">
        <w:rPr>
          <w:lang w:val="fr-CA"/>
        </w:rPr>
        <w:t xml:space="preserve"> </w:t>
      </w:r>
      <w:r w:rsidRPr="000F2D35">
        <w:rPr>
          <w:lang w:val="fr-CA"/>
        </w:rPr>
        <w:tab/>
      </w:r>
      <w:r>
        <w:rPr>
          <w:lang w:val="fr-CA"/>
        </w:rPr>
        <w:t>Mise en garde </w:t>
      </w:r>
      <w:r w:rsidRPr="000F2D35">
        <w:rPr>
          <w:lang w:val="fr-CA"/>
        </w:rPr>
        <w:t>: l</w:t>
      </w:r>
      <w:r>
        <w:rPr>
          <w:lang w:val="fr-CA"/>
        </w:rPr>
        <w:t>’</w:t>
      </w:r>
      <w:r w:rsidRPr="000F2D35">
        <w:rPr>
          <w:lang w:val="fr-CA"/>
        </w:rPr>
        <w:t xml:space="preserve">art. 3136 </w:t>
      </w:r>
      <w:r>
        <w:rPr>
          <w:i/>
          <w:lang w:val="fr-CA"/>
        </w:rPr>
        <w:t>C.c.Q.</w:t>
      </w:r>
      <w:r w:rsidRPr="000F2D35">
        <w:rPr>
          <w:lang w:val="fr-CA"/>
        </w:rPr>
        <w:t xml:space="preserve"> ne s</w:t>
      </w:r>
      <w:r>
        <w:rPr>
          <w:lang w:val="fr-CA"/>
        </w:rPr>
        <w:t>’</w:t>
      </w:r>
      <w:r w:rsidRPr="000F2D35">
        <w:rPr>
          <w:lang w:val="fr-CA"/>
        </w:rPr>
        <w:t>applique que si l</w:t>
      </w:r>
      <w:r>
        <w:rPr>
          <w:lang w:val="fr-CA"/>
        </w:rPr>
        <w:t>’</w:t>
      </w:r>
      <w:r w:rsidRPr="000F2D35">
        <w:rPr>
          <w:lang w:val="fr-CA"/>
        </w:rPr>
        <w:t>une des parties l</w:t>
      </w:r>
      <w:r>
        <w:rPr>
          <w:lang w:val="fr-CA"/>
        </w:rPr>
        <w:t>’</w:t>
      </w:r>
      <w:r w:rsidRPr="000F2D35">
        <w:rPr>
          <w:lang w:val="fr-CA"/>
        </w:rPr>
        <w:t>invoque, étant donné que le tribunal ne peut l</w:t>
      </w:r>
      <w:r>
        <w:rPr>
          <w:lang w:val="fr-CA"/>
        </w:rPr>
        <w:t>’</w:t>
      </w:r>
      <w:r w:rsidRPr="000F2D35">
        <w:rPr>
          <w:lang w:val="fr-CA"/>
        </w:rPr>
        <w:t>appliquer d</w:t>
      </w:r>
      <w:r>
        <w:rPr>
          <w:lang w:val="fr-CA"/>
        </w:rPr>
        <w:t>’</w:t>
      </w:r>
      <w:r w:rsidRPr="000F2D35">
        <w:rPr>
          <w:lang w:val="fr-CA"/>
        </w:rPr>
        <w:t>office</w:t>
      </w:r>
      <w:r>
        <w:rPr>
          <w:lang w:val="fr-CA"/>
        </w:rPr>
        <w:t xml:space="preserve"> : </w:t>
      </w:r>
      <w:r w:rsidRPr="000F2D35">
        <w:rPr>
          <w:i/>
          <w:lang w:val="fr-CA"/>
        </w:rPr>
        <w:t>Spar</w:t>
      </w:r>
      <w:r w:rsidRPr="000F2D35">
        <w:rPr>
          <w:lang w:val="fr-CA"/>
        </w:rPr>
        <w:t xml:space="preserve">, par. 69; </w:t>
      </w:r>
      <w:r w:rsidRPr="000F2D35">
        <w:rPr>
          <w:i/>
          <w:lang w:val="fr-CA"/>
        </w:rPr>
        <w:t>GreCon</w:t>
      </w:r>
      <w:r w:rsidRPr="000F2D35">
        <w:rPr>
          <w:lang w:val="fr-CA"/>
        </w:rPr>
        <w:t xml:space="preserve">, par. 33. </w:t>
      </w:r>
    </w:p>
  </w:footnote>
  <w:footnote w:id="5">
    <w:p w:rsidR="00FE33EA" w:rsidRPr="000F2D35" w:rsidRDefault="00FE33EA" w:rsidP="00AF6697">
      <w:pPr>
        <w:pStyle w:val="FootnoteText"/>
        <w:rPr>
          <w:lang w:val="fr-CA"/>
        </w:rPr>
      </w:pPr>
      <w:r w:rsidRPr="000F2D35">
        <w:rPr>
          <w:rStyle w:val="FootnoteReference"/>
          <w:lang w:val="fr-CA"/>
        </w:rPr>
        <w:footnoteRef/>
      </w:r>
      <w:r w:rsidRPr="000F2D35">
        <w:rPr>
          <w:lang w:val="fr-CA"/>
        </w:rPr>
        <w:t xml:space="preserve"> </w:t>
      </w:r>
      <w:r w:rsidRPr="000F2D35">
        <w:rPr>
          <w:lang w:val="fr-CA"/>
        </w:rPr>
        <w:tab/>
      </w:r>
      <w:r w:rsidRPr="001337A8">
        <w:rPr>
          <w:lang w:val="fr-CA"/>
        </w:rPr>
        <w:t>Il me semble donc qu</w:t>
      </w:r>
      <w:r>
        <w:rPr>
          <w:lang w:val="fr-CA"/>
        </w:rPr>
        <w:t>’</w:t>
      </w:r>
      <w:r w:rsidRPr="001337A8">
        <w:rPr>
          <w:lang w:val="fr-CA"/>
        </w:rPr>
        <w:t>il n</w:t>
      </w:r>
      <w:r>
        <w:rPr>
          <w:lang w:val="fr-CA"/>
        </w:rPr>
        <w:t>’</w:t>
      </w:r>
      <w:r w:rsidRPr="001337A8">
        <w:rPr>
          <w:lang w:val="fr-CA"/>
        </w:rPr>
        <w:t>y a pas d</w:t>
      </w:r>
      <w:r>
        <w:rPr>
          <w:lang w:val="fr-CA"/>
        </w:rPr>
        <w:t>’</w:t>
      </w:r>
      <w:r w:rsidRPr="001337A8">
        <w:rPr>
          <w:lang w:val="fr-CA"/>
        </w:rPr>
        <w:t xml:space="preserve">uniformité dans ce que ma collègue présente </w:t>
      </w:r>
      <w:r w:rsidRPr="00CF2FC9">
        <w:rPr>
          <w:lang w:val="fr-CA"/>
        </w:rPr>
        <w:t>comme « </w:t>
      </w:r>
      <w:r w:rsidRPr="00920C1C">
        <w:rPr>
          <w:lang w:val="fr-CA"/>
        </w:rPr>
        <w:t xml:space="preserve">la jurisprudence </w:t>
      </w:r>
      <w:r>
        <w:rPr>
          <w:lang w:val="fr-CA"/>
        </w:rPr>
        <w:t>dominan</w:t>
      </w:r>
      <w:r w:rsidRPr="00920C1C">
        <w:rPr>
          <w:lang w:val="fr-CA"/>
        </w:rPr>
        <w:t xml:space="preserve">te </w:t>
      </w:r>
      <w:r>
        <w:rPr>
          <w:lang w:val="fr-CA"/>
        </w:rPr>
        <w:t>à</w:t>
      </w:r>
      <w:r w:rsidRPr="00920C1C">
        <w:rPr>
          <w:lang w:val="fr-CA"/>
        </w:rPr>
        <w:t xml:space="preserve"> la Cour d’appel</w:t>
      </w:r>
      <w:r w:rsidRPr="00CF2FC9">
        <w:rPr>
          <w:lang w:val="fr-CA"/>
        </w:rPr>
        <w:t> » : motifs de la juge Côté,</w:t>
      </w:r>
      <w:r w:rsidRPr="001337A8">
        <w:rPr>
          <w:lang w:val="fr-CA"/>
        </w:rPr>
        <w:t xml:space="preserve"> par. </w:t>
      </w:r>
      <w:r>
        <w:rPr>
          <w:lang w:val="fr-CA"/>
        </w:rPr>
        <w:t>235</w:t>
      </w:r>
      <w:r w:rsidRPr="001337A8">
        <w:rPr>
          <w:lang w:val="fr-CA"/>
        </w:rPr>
        <w:t xml:space="preserve"> et </w:t>
      </w:r>
      <w:r>
        <w:rPr>
          <w:lang w:val="fr-CA"/>
        </w:rPr>
        <w:t>238</w:t>
      </w:r>
      <w:r w:rsidRPr="001337A8">
        <w:rPr>
          <w:lang w:val="fr-CA"/>
        </w:rPr>
        <w:t>.</w:t>
      </w:r>
      <w:r w:rsidRPr="000F2D35">
        <w:rPr>
          <w:lang w:val="fr-CA"/>
        </w:rPr>
        <w:t xml:space="preserve"> </w:t>
      </w:r>
    </w:p>
  </w:footnote>
  <w:footnote w:id="6">
    <w:p w:rsidR="00FE33EA" w:rsidRPr="00030258" w:rsidRDefault="00FE33EA" w:rsidP="00AF6697">
      <w:pPr>
        <w:pStyle w:val="FootnoteText"/>
        <w:spacing w:after="240"/>
        <w:rPr>
          <w:lang w:val="fr-CA"/>
        </w:rPr>
      </w:pPr>
      <w:r w:rsidRPr="000F2D35">
        <w:rPr>
          <w:rStyle w:val="FootnoteReference"/>
          <w:lang w:val="fr-CA"/>
        </w:rPr>
        <w:footnoteRef/>
      </w:r>
      <w:r>
        <w:rPr>
          <w:lang w:val="fr-CA"/>
        </w:rPr>
        <w:t xml:space="preserve"> </w:t>
      </w:r>
      <w:r w:rsidRPr="00030258">
        <w:rPr>
          <w:lang w:val="fr-CA"/>
        </w:rPr>
        <w:t>L</w:t>
      </w:r>
      <w:r>
        <w:rPr>
          <w:lang w:val="fr-CA"/>
        </w:rPr>
        <w:t>’</w:t>
      </w:r>
      <w:r w:rsidRPr="00030258">
        <w:rPr>
          <w:lang w:val="fr-CA"/>
        </w:rPr>
        <w:t>article</w:t>
      </w:r>
      <w:r>
        <w:rPr>
          <w:lang w:val="fr-CA"/>
        </w:rPr>
        <w:t xml:space="preserve"> 184 nouveau </w:t>
      </w:r>
      <w:r w:rsidRPr="007D4C7C">
        <w:rPr>
          <w:i/>
          <w:lang w:val="fr-CA"/>
        </w:rPr>
        <w:t>C.p.c.</w:t>
      </w:r>
      <w:r w:rsidRPr="00030258">
        <w:rPr>
          <w:lang w:val="fr-CA"/>
        </w:rPr>
        <w:t xml:space="preserve"> se lit comme suit :</w:t>
      </w:r>
    </w:p>
    <w:p w:rsidR="00FE33EA" w:rsidRPr="00030258" w:rsidRDefault="00FE33EA" w:rsidP="00213F82">
      <w:pPr>
        <w:pStyle w:val="FootnoteText"/>
        <w:spacing w:after="240"/>
        <w:ind w:firstLine="263"/>
        <w:rPr>
          <w:lang w:val="fr-CA"/>
        </w:rPr>
      </w:pPr>
      <w:r w:rsidRPr="00030258">
        <w:rPr>
          <w:b/>
          <w:lang w:val="fr-CA"/>
        </w:rPr>
        <w:t>184.</w:t>
      </w:r>
      <w:r>
        <w:rPr>
          <w:lang w:val="fr-CA"/>
        </w:rPr>
        <w:t> </w:t>
      </w:r>
      <w:r w:rsidRPr="00030258">
        <w:rPr>
          <w:lang w:val="fr-CA"/>
        </w:rPr>
        <w:t>L</w:t>
      </w:r>
      <w:r>
        <w:rPr>
          <w:lang w:val="fr-CA"/>
        </w:rPr>
        <w:t>’</w:t>
      </w:r>
      <w:r w:rsidRPr="00030258">
        <w:rPr>
          <w:lang w:val="fr-CA"/>
        </w:rPr>
        <w:t>intervention est volontaire ou forcée.</w:t>
      </w:r>
    </w:p>
    <w:p w:rsidR="00FE33EA" w:rsidRPr="00030258" w:rsidRDefault="00FE33EA" w:rsidP="00AF6697">
      <w:pPr>
        <w:pStyle w:val="FootnoteText"/>
        <w:spacing w:after="240"/>
        <w:jc w:val="center"/>
        <w:rPr>
          <w:lang w:val="fr-CA"/>
        </w:rPr>
      </w:pPr>
      <w:r>
        <w:rPr>
          <w:lang w:val="fr-CA"/>
        </w:rPr>
        <w:t>. . .</w:t>
      </w:r>
    </w:p>
    <w:p w:rsidR="00FE33EA" w:rsidRPr="00030258" w:rsidRDefault="00FE33EA" w:rsidP="00AF6697">
      <w:pPr>
        <w:pStyle w:val="FootnoteText"/>
        <w:tabs>
          <w:tab w:val="clear" w:pos="180"/>
          <w:tab w:val="left" w:pos="0"/>
        </w:tabs>
        <w:ind w:left="426" w:firstLine="0"/>
        <w:rPr>
          <w:lang w:val="fr-CA"/>
        </w:rPr>
      </w:pPr>
      <w:r w:rsidRPr="002E19E6">
        <w:rPr>
          <w:u w:val="single"/>
          <w:lang w:val="fr-CA"/>
        </w:rPr>
        <w:t>Elle est forcée lorsqu</w:t>
      </w:r>
      <w:r>
        <w:rPr>
          <w:u w:val="single"/>
          <w:lang w:val="fr-CA"/>
        </w:rPr>
        <w:t>’</w:t>
      </w:r>
      <w:r w:rsidRPr="002E19E6">
        <w:rPr>
          <w:b/>
          <w:u w:val="single"/>
          <w:lang w:val="fr-CA"/>
        </w:rPr>
        <w:t>une partie</w:t>
      </w:r>
      <w:r w:rsidRPr="002E19E6">
        <w:rPr>
          <w:u w:val="single"/>
          <w:lang w:val="fr-CA"/>
        </w:rPr>
        <w:t xml:space="preserve"> met un tiers en cause pour qu</w:t>
      </w:r>
      <w:r>
        <w:rPr>
          <w:u w:val="single"/>
          <w:lang w:val="fr-CA"/>
        </w:rPr>
        <w:t>’</w:t>
      </w:r>
      <w:r w:rsidRPr="002E19E6">
        <w:rPr>
          <w:u w:val="single"/>
          <w:lang w:val="fr-CA"/>
        </w:rPr>
        <w:t>il intervienne à l</w:t>
      </w:r>
      <w:r>
        <w:rPr>
          <w:u w:val="single"/>
          <w:lang w:val="fr-CA"/>
        </w:rPr>
        <w:t>’</w:t>
      </w:r>
      <w:r w:rsidRPr="002E19E6">
        <w:rPr>
          <w:u w:val="single"/>
          <w:lang w:val="fr-CA"/>
        </w:rPr>
        <w:t>instance afin de permettre une solution complète du litige</w:t>
      </w:r>
      <w:r w:rsidRPr="00030258">
        <w:rPr>
          <w:lang w:val="fr-CA"/>
        </w:rPr>
        <w:t xml:space="preserve"> ou pour lui opposer le jugement; elle est aussi forcée si la partie prétend exercer </w:t>
      </w:r>
      <w:r w:rsidRPr="002E19E6">
        <w:rPr>
          <w:u w:val="single"/>
          <w:lang w:val="fr-CA"/>
        </w:rPr>
        <w:t>une demande en garantie</w:t>
      </w:r>
      <w:r w:rsidRPr="00030258">
        <w:rPr>
          <w:lang w:val="fr-CA"/>
        </w:rPr>
        <w:t xml:space="preserve"> contre le tiers.</w:t>
      </w:r>
    </w:p>
  </w:footnote>
  <w:footnote w:id="7">
    <w:p w:rsidR="00FE33EA" w:rsidRPr="000F2D35" w:rsidRDefault="00FE33EA" w:rsidP="00AF6697">
      <w:pPr>
        <w:pStyle w:val="FootnoteText"/>
        <w:spacing w:after="240"/>
        <w:rPr>
          <w:lang w:val="fr-CA"/>
        </w:rPr>
      </w:pPr>
      <w:r w:rsidRPr="000F2D35">
        <w:rPr>
          <w:rStyle w:val="FootnoteReference"/>
          <w:rFonts w:eastAsiaTheme="minorHAnsi"/>
          <w:lang w:val="fr-CA"/>
        </w:rPr>
        <w:footnoteRef/>
      </w:r>
      <w:r w:rsidRPr="000F2D35">
        <w:rPr>
          <w:lang w:val="fr-CA"/>
        </w:rPr>
        <w:t xml:space="preserve"> Voici le texte de l</w:t>
      </w:r>
      <w:r>
        <w:rPr>
          <w:lang w:val="fr-CA"/>
        </w:rPr>
        <w:t>’</w:t>
      </w:r>
      <w:r w:rsidRPr="000F2D35">
        <w:rPr>
          <w:lang w:val="fr-CA"/>
        </w:rPr>
        <w:t>ar</w:t>
      </w:r>
      <w:r>
        <w:rPr>
          <w:lang w:val="fr-CA"/>
        </w:rPr>
        <w:t>t. </w:t>
      </w:r>
      <w:r w:rsidRPr="000F2D35">
        <w:rPr>
          <w:lang w:val="fr-CA"/>
        </w:rPr>
        <w:t xml:space="preserve">75 </w:t>
      </w:r>
      <w:r>
        <w:rPr>
          <w:lang w:val="fr-CA"/>
        </w:rPr>
        <w:t xml:space="preserve">ancien </w:t>
      </w:r>
      <w:r w:rsidRPr="000F2D35">
        <w:rPr>
          <w:i/>
          <w:lang w:val="fr-CA"/>
        </w:rPr>
        <w:t>C.p.c</w:t>
      </w:r>
      <w:r w:rsidRPr="000F2D35">
        <w:rPr>
          <w:lang w:val="fr-CA"/>
        </w:rPr>
        <w:t xml:space="preserve">. : </w:t>
      </w:r>
    </w:p>
    <w:p w:rsidR="00FE33EA" w:rsidRPr="00030258" w:rsidRDefault="00FE33EA" w:rsidP="00213F82">
      <w:pPr>
        <w:pStyle w:val="FootnoteText"/>
        <w:tabs>
          <w:tab w:val="clear" w:pos="180"/>
          <w:tab w:val="left" w:pos="450"/>
        </w:tabs>
        <w:ind w:left="360" w:firstLine="0"/>
        <w:rPr>
          <w:lang w:val="fr-CA"/>
        </w:rPr>
      </w:pPr>
      <w:r w:rsidRPr="000F2D35">
        <w:rPr>
          <w:b/>
          <w:lang w:val="fr-CA"/>
        </w:rPr>
        <w:t>75.</w:t>
      </w:r>
      <w:r>
        <w:rPr>
          <w:lang w:val="fr-CA"/>
        </w:rPr>
        <w:t> </w:t>
      </w:r>
      <w:r w:rsidRPr="000F2D35">
        <w:rPr>
          <w:lang w:val="fr-CA"/>
        </w:rPr>
        <w:t>Si l</w:t>
      </w:r>
      <w:r>
        <w:rPr>
          <w:lang w:val="fr-CA"/>
        </w:rPr>
        <w:t>’</w:t>
      </w:r>
      <w:r w:rsidRPr="000F2D35">
        <w:rPr>
          <w:lang w:val="fr-CA"/>
        </w:rPr>
        <w:t>action est formée contre plusieurs défendeurs domiciliés dans des districts différents, elle peut être portée au tribunal devant lequel l</w:t>
      </w:r>
      <w:r>
        <w:rPr>
          <w:lang w:val="fr-CA"/>
        </w:rPr>
        <w:t>’</w:t>
      </w:r>
      <w:r w:rsidRPr="000F2D35">
        <w:rPr>
          <w:lang w:val="fr-CA"/>
        </w:rPr>
        <w:t>un ou l</w:t>
      </w:r>
      <w:r>
        <w:rPr>
          <w:lang w:val="fr-CA"/>
        </w:rPr>
        <w:t>’</w:t>
      </w:r>
      <w:r w:rsidRPr="000F2D35">
        <w:rPr>
          <w:lang w:val="fr-CA"/>
        </w:rPr>
        <w:t>autre pourrait être assigné, s</w:t>
      </w:r>
      <w:r>
        <w:rPr>
          <w:lang w:val="fr-CA"/>
        </w:rPr>
        <w:t>’</w:t>
      </w:r>
      <w:r w:rsidRPr="000F2D35">
        <w:rPr>
          <w:lang w:val="fr-CA"/>
        </w:rPr>
        <w:t>il s</w:t>
      </w:r>
      <w:r>
        <w:rPr>
          <w:lang w:val="fr-CA"/>
        </w:rPr>
        <w:t>’</w:t>
      </w:r>
      <w:r w:rsidRPr="000F2D35">
        <w:rPr>
          <w:lang w:val="fr-CA"/>
        </w:rPr>
        <w:t>agit d</w:t>
      </w:r>
      <w:r>
        <w:rPr>
          <w:lang w:val="fr-CA"/>
        </w:rPr>
        <w:t>’</w:t>
      </w:r>
      <w:r w:rsidRPr="000F2D35">
        <w:rPr>
          <w:lang w:val="fr-CA"/>
        </w:rPr>
        <w:t>une action personnelle ou mixte; mais s</w:t>
      </w:r>
      <w:r>
        <w:rPr>
          <w:lang w:val="fr-CA"/>
        </w:rPr>
        <w:t>’</w:t>
      </w:r>
      <w:r w:rsidRPr="000F2D35">
        <w:rPr>
          <w:lang w:val="fr-CA"/>
        </w:rPr>
        <w:t>il s</w:t>
      </w:r>
      <w:r>
        <w:rPr>
          <w:lang w:val="fr-CA"/>
        </w:rPr>
        <w:t>’</w:t>
      </w:r>
      <w:r w:rsidRPr="000F2D35">
        <w:rPr>
          <w:lang w:val="fr-CA"/>
        </w:rPr>
        <w:t>agit d</w:t>
      </w:r>
      <w:r>
        <w:rPr>
          <w:lang w:val="fr-CA"/>
        </w:rPr>
        <w:t>’</w:t>
      </w:r>
      <w:r w:rsidRPr="000F2D35">
        <w:rPr>
          <w:lang w:val="fr-CA"/>
        </w:rPr>
        <w:t>une action réelle, elle doit être portée devant le tribunal du lieu où est situé l</w:t>
      </w:r>
      <w:r>
        <w:rPr>
          <w:lang w:val="fr-CA"/>
        </w:rPr>
        <w:t>’</w:t>
      </w:r>
      <w:r w:rsidRPr="000F2D35">
        <w:rPr>
          <w:lang w:val="fr-CA"/>
        </w:rPr>
        <w:t>objet en litige</w:t>
      </w:r>
      <w:r>
        <w:rPr>
          <w:lang w:val="fr-CA"/>
        </w:rPr>
        <w:t>.</w:t>
      </w:r>
    </w:p>
  </w:footnote>
  <w:footnote w:id="8">
    <w:p w:rsidR="00FE33EA" w:rsidRPr="00C11E69" w:rsidRDefault="00FE33EA" w:rsidP="00AF6697">
      <w:pPr>
        <w:pStyle w:val="FootnoteText"/>
        <w:spacing w:after="240"/>
        <w:rPr>
          <w:lang w:val="fr-CA"/>
        </w:rPr>
      </w:pPr>
      <w:r w:rsidRPr="000F2D35">
        <w:rPr>
          <w:rStyle w:val="FootnoteReference"/>
          <w:rFonts w:eastAsiaTheme="minorHAnsi"/>
          <w:lang w:val="fr-CA"/>
        </w:rPr>
        <w:footnoteRef/>
      </w:r>
      <w:r w:rsidRPr="000F2D35">
        <w:rPr>
          <w:lang w:val="fr-CA"/>
        </w:rPr>
        <w:t xml:space="preserve"> </w:t>
      </w:r>
      <w:r w:rsidRPr="000F2D35">
        <w:rPr>
          <w:lang w:val="fr-CA"/>
        </w:rPr>
        <w:tab/>
        <w:t>Voici le libellé de l</w:t>
      </w:r>
      <w:r>
        <w:rPr>
          <w:lang w:val="fr-CA"/>
        </w:rPr>
        <w:t xml:space="preserve">’art. </w:t>
      </w:r>
      <w:r w:rsidRPr="000F2D35">
        <w:rPr>
          <w:lang w:val="fr-CA"/>
        </w:rPr>
        <w:t xml:space="preserve">71 </w:t>
      </w:r>
      <w:r>
        <w:rPr>
          <w:lang w:val="fr-CA"/>
        </w:rPr>
        <w:t xml:space="preserve">ancien </w:t>
      </w:r>
      <w:r w:rsidRPr="000F2D35">
        <w:rPr>
          <w:i/>
          <w:lang w:val="fr-CA"/>
        </w:rPr>
        <w:t>C.p.c. </w:t>
      </w:r>
      <w:r w:rsidRPr="00C11E69">
        <w:rPr>
          <w:lang w:val="fr-CA"/>
        </w:rPr>
        <w:t xml:space="preserve">: </w:t>
      </w:r>
    </w:p>
    <w:p w:rsidR="00FE33EA" w:rsidRPr="00C35C7C" w:rsidRDefault="00FE33EA" w:rsidP="00213F82">
      <w:pPr>
        <w:pStyle w:val="FootnoteText"/>
        <w:tabs>
          <w:tab w:val="clear" w:pos="180"/>
          <w:tab w:val="left" w:pos="0"/>
        </w:tabs>
        <w:ind w:left="450" w:firstLine="0"/>
        <w:rPr>
          <w:lang w:val="fr-CA"/>
        </w:rPr>
      </w:pPr>
      <w:r w:rsidRPr="000F2D35">
        <w:rPr>
          <w:b/>
          <w:lang w:val="fr-CA"/>
        </w:rPr>
        <w:t>71.</w:t>
      </w:r>
      <w:r>
        <w:rPr>
          <w:lang w:val="fr-CA"/>
        </w:rPr>
        <w:t> </w:t>
      </w:r>
      <w:r w:rsidRPr="000F2D35">
        <w:rPr>
          <w:lang w:val="fr-CA"/>
        </w:rPr>
        <w:t>La demande incidente en garantie doit être portée devant le tribunal où la demande principale est pendante.</w:t>
      </w:r>
    </w:p>
  </w:footnote>
  <w:footnote w:id="9">
    <w:p w:rsidR="00FE33EA" w:rsidRPr="00B17A9F" w:rsidRDefault="00FE33EA" w:rsidP="00AF6697">
      <w:pPr>
        <w:pStyle w:val="FootnoteText"/>
        <w:rPr>
          <w:lang w:val="fr-CA"/>
        </w:rPr>
      </w:pPr>
      <w:r>
        <w:rPr>
          <w:rStyle w:val="FootnoteReference"/>
        </w:rPr>
        <w:footnoteRef/>
      </w:r>
      <w:r>
        <w:rPr>
          <w:lang w:val="fr-CA"/>
        </w:rPr>
        <w:t xml:space="preserve"> </w:t>
      </w:r>
      <w:r w:rsidRPr="0084337B">
        <w:rPr>
          <w:lang w:val="fr-CA"/>
        </w:rPr>
        <w:t xml:space="preserve">Talpis, </w:t>
      </w:r>
      <w:r w:rsidRPr="00B17A9F">
        <w:rPr>
          <w:lang w:val="fr-CA"/>
        </w:rPr>
        <w:t>p. 82</w:t>
      </w:r>
      <w:r>
        <w:rPr>
          <w:lang w:val="fr-CA"/>
        </w:rPr>
        <w:noBreakHyphen/>
        <w:t>83</w:t>
      </w:r>
      <w:r w:rsidRPr="00B17A9F">
        <w:rPr>
          <w:lang w:val="fr-CA"/>
        </w:rPr>
        <w:t xml:space="preserve"> : </w:t>
      </w:r>
    </w:p>
    <w:p w:rsidR="00FE33EA" w:rsidRPr="00B17A9F" w:rsidRDefault="00FE33EA" w:rsidP="00AF6697">
      <w:pPr>
        <w:pStyle w:val="FootnoteText"/>
        <w:rPr>
          <w:lang w:val="fr-CA"/>
        </w:rPr>
      </w:pPr>
    </w:p>
    <w:p w:rsidR="00FE33EA" w:rsidRPr="00B17A9F" w:rsidRDefault="00FE33EA" w:rsidP="00A66314">
      <w:pPr>
        <w:pStyle w:val="FootnoteText"/>
        <w:keepNext/>
        <w:tabs>
          <w:tab w:val="left" w:pos="900"/>
        </w:tabs>
        <w:ind w:left="630" w:firstLine="0"/>
        <w:rPr>
          <w:lang w:val="fr-CA"/>
        </w:rPr>
      </w:pPr>
      <w:r>
        <w:rPr>
          <w:lang w:val="fr-CA"/>
        </w:rPr>
        <w:tab/>
      </w:r>
      <w:r w:rsidRPr="00B17A9F">
        <w:rPr>
          <w:lang w:val="fr-CA"/>
        </w:rPr>
        <w:t>[</w:t>
      </w:r>
      <w:r w:rsidRPr="00B17A9F">
        <w:rPr>
          <w:smallCaps/>
          <w:lang w:val="fr-CA"/>
        </w:rPr>
        <w:t>traduction</w:t>
      </w:r>
      <w:r w:rsidRPr="00B17A9F">
        <w:rPr>
          <w:lang w:val="fr-CA"/>
        </w:rPr>
        <w:t>]</w:t>
      </w:r>
      <w:r>
        <w:rPr>
          <w:lang w:val="fr-CA"/>
        </w:rPr>
        <w:t xml:space="preserve"> </w:t>
      </w:r>
      <w:r w:rsidRPr="00B17A9F">
        <w:rPr>
          <w:lang w:val="fr-CA"/>
        </w:rPr>
        <w:t xml:space="preserve">Une des façons pour le demandeur de se soustraire </w:t>
      </w:r>
      <w:r>
        <w:rPr>
          <w:lang w:val="fr-CA"/>
        </w:rPr>
        <w:t xml:space="preserve">aux exigences </w:t>
      </w:r>
      <w:r w:rsidRPr="00B17A9F">
        <w:rPr>
          <w:lang w:val="fr-CA"/>
        </w:rPr>
        <w:t>constitutionnelle</w:t>
      </w:r>
      <w:r>
        <w:rPr>
          <w:lang w:val="fr-CA"/>
        </w:rPr>
        <w:t>s relatives aux</w:t>
      </w:r>
      <w:r w:rsidRPr="00B17A9F">
        <w:rPr>
          <w:lang w:val="fr-CA"/>
        </w:rPr>
        <w:t xml:space="preserve"> liens minimaux est d</w:t>
      </w:r>
      <w:r>
        <w:rPr>
          <w:lang w:val="fr-CA"/>
        </w:rPr>
        <w:t>’</w:t>
      </w:r>
      <w:r w:rsidRPr="00B17A9F">
        <w:rPr>
          <w:lang w:val="fr-CA"/>
        </w:rPr>
        <w:t xml:space="preserve">affirmer que la </w:t>
      </w:r>
      <w:r w:rsidRPr="00E57653">
        <w:rPr>
          <w:lang w:val="fr-CA"/>
        </w:rPr>
        <w:t>présence d</w:t>
      </w:r>
      <w:r>
        <w:rPr>
          <w:lang w:val="fr-CA"/>
        </w:rPr>
        <w:t>’</w:t>
      </w:r>
      <w:r w:rsidRPr="00E57653">
        <w:rPr>
          <w:lang w:val="fr-CA"/>
        </w:rPr>
        <w:t xml:space="preserve">une </w:t>
      </w:r>
      <w:r w:rsidRPr="00ED45AD">
        <w:rPr>
          <w:lang w:val="fr-CA"/>
        </w:rPr>
        <w:t>filiale dans l</w:t>
      </w:r>
      <w:r>
        <w:rPr>
          <w:lang w:val="fr-CA"/>
        </w:rPr>
        <w:t>’</w:t>
      </w:r>
      <w:r w:rsidRPr="00ED45AD">
        <w:rPr>
          <w:lang w:val="fr-CA"/>
        </w:rPr>
        <w:t>État du for confère</w:t>
      </w:r>
      <w:r>
        <w:rPr>
          <w:lang w:val="fr-CA"/>
        </w:rPr>
        <w:t xml:space="preserve"> une compétence personnelle sur le défendeur étranger</w:t>
      </w:r>
      <w:r w:rsidRPr="00B17A9F">
        <w:rPr>
          <w:lang w:val="fr-CA"/>
        </w:rPr>
        <w:t xml:space="preserve">. Bien que la compétence sur la filiale ne confère pas en soi </w:t>
      </w:r>
      <w:r>
        <w:rPr>
          <w:lang w:val="fr-CA"/>
        </w:rPr>
        <w:t>à un État</w:t>
      </w:r>
      <w:r w:rsidRPr="00B17A9F">
        <w:rPr>
          <w:lang w:val="fr-CA"/>
        </w:rPr>
        <w:t xml:space="preserve"> la compétence sur la société mère étrangère, le statut d</w:t>
      </w:r>
      <w:r>
        <w:rPr>
          <w:lang w:val="fr-CA"/>
        </w:rPr>
        <w:t>’</w:t>
      </w:r>
      <w:r w:rsidRPr="00A20C90">
        <w:rPr>
          <w:i/>
          <w:lang w:val="fr-CA"/>
        </w:rPr>
        <w:t>alter</w:t>
      </w:r>
      <w:r w:rsidRPr="00861CBF">
        <w:rPr>
          <w:lang w:val="fr-CA"/>
        </w:rPr>
        <w:t xml:space="preserve"> </w:t>
      </w:r>
      <w:r w:rsidRPr="00A20C90">
        <w:rPr>
          <w:i/>
          <w:lang w:val="fr-CA"/>
        </w:rPr>
        <w:t>ego</w:t>
      </w:r>
      <w:r w:rsidRPr="00B17A9F">
        <w:rPr>
          <w:lang w:val="fr-CA"/>
        </w:rPr>
        <w:t xml:space="preserve"> ou de</w:t>
      </w:r>
      <w:r>
        <w:rPr>
          <w:lang w:val="fr-CA"/>
        </w:rPr>
        <w:t xml:space="preserve"> mandataire de la</w:t>
      </w:r>
      <w:r w:rsidRPr="00B17A9F">
        <w:rPr>
          <w:lang w:val="fr-CA"/>
        </w:rPr>
        <w:t xml:space="preserve"> </w:t>
      </w:r>
      <w:r>
        <w:rPr>
          <w:lang w:val="fr-CA"/>
        </w:rPr>
        <w:t>filiale</w:t>
      </w:r>
      <w:r w:rsidRPr="00B17A9F">
        <w:rPr>
          <w:lang w:val="fr-CA"/>
        </w:rPr>
        <w:t xml:space="preserve"> pourrait la lui </w:t>
      </w:r>
      <w:r>
        <w:rPr>
          <w:lang w:val="fr-CA"/>
        </w:rPr>
        <w:t>conférer</w:t>
      </w:r>
      <w:r w:rsidRPr="00B17A9F">
        <w:rPr>
          <w:lang w:val="fr-CA"/>
        </w:rPr>
        <w:t>. Le fait est qu</w:t>
      </w:r>
      <w:r>
        <w:rPr>
          <w:lang w:val="fr-CA"/>
        </w:rPr>
        <w:t>’</w:t>
      </w:r>
      <w:r w:rsidRPr="00B17A9F">
        <w:rPr>
          <w:lang w:val="fr-CA"/>
        </w:rPr>
        <w:t xml:space="preserve">en dépit de la présomption </w:t>
      </w:r>
      <w:r>
        <w:rPr>
          <w:lang w:val="fr-CA"/>
        </w:rPr>
        <w:t xml:space="preserve">de la personnalité morale distincte des </w:t>
      </w:r>
      <w:r w:rsidRPr="003D0840">
        <w:rPr>
          <w:lang w:val="fr-CA"/>
        </w:rPr>
        <w:t>sociétés, les tribunaux</w:t>
      </w:r>
      <w:r w:rsidRPr="00B17A9F">
        <w:rPr>
          <w:lang w:val="fr-CA"/>
        </w:rPr>
        <w:t xml:space="preserve"> fédéraux des États</w:t>
      </w:r>
      <w:r w:rsidRPr="00B17A9F">
        <w:rPr>
          <w:lang w:val="fr-CA"/>
        </w:rPr>
        <w:noBreakHyphen/>
        <w:t xml:space="preserve">Unis ont parfois </w:t>
      </w:r>
      <w:r w:rsidRPr="00C5020C">
        <w:rPr>
          <w:lang w:val="fr-CA"/>
        </w:rPr>
        <w:t>levé le voile corporatif</w:t>
      </w:r>
      <w:r w:rsidRPr="00B17A9F">
        <w:rPr>
          <w:lang w:val="fr-CA"/>
        </w:rPr>
        <w:t xml:space="preserve"> d</w:t>
      </w:r>
      <w:r>
        <w:rPr>
          <w:lang w:val="fr-CA"/>
        </w:rPr>
        <w:t>’</w:t>
      </w:r>
      <w:r w:rsidRPr="00B17A9F">
        <w:rPr>
          <w:lang w:val="fr-CA"/>
        </w:rPr>
        <w:t xml:space="preserve">une filiale américaine et </w:t>
      </w:r>
      <w:r w:rsidRPr="00B47D09">
        <w:rPr>
          <w:lang w:val="fr-CA"/>
        </w:rPr>
        <w:t>déclaré avoir compétence personnelle sur la</w:t>
      </w:r>
      <w:r>
        <w:rPr>
          <w:lang w:val="fr-CA"/>
        </w:rPr>
        <w:t xml:space="preserve"> </w:t>
      </w:r>
      <w:r w:rsidRPr="00B17A9F">
        <w:rPr>
          <w:lang w:val="fr-CA"/>
        </w:rPr>
        <w:t xml:space="preserve">société mère étrangère en se fondant sur une relation </w:t>
      </w:r>
      <w:r w:rsidRPr="00A20C90">
        <w:rPr>
          <w:lang w:val="fr-CA"/>
        </w:rPr>
        <w:t>d’</w:t>
      </w:r>
      <w:r w:rsidRPr="00A20C90">
        <w:rPr>
          <w:i/>
          <w:lang w:val="fr-CA"/>
        </w:rPr>
        <w:t>alter ego</w:t>
      </w:r>
      <w:r w:rsidRPr="00B17A9F">
        <w:rPr>
          <w:i/>
          <w:lang w:val="fr-CA"/>
        </w:rPr>
        <w:t xml:space="preserve"> </w:t>
      </w:r>
      <w:r w:rsidRPr="00B17A9F">
        <w:rPr>
          <w:lang w:val="fr-CA"/>
        </w:rPr>
        <w:t>ou de manda</w:t>
      </w:r>
      <w:r>
        <w:rPr>
          <w:lang w:val="fr-CA"/>
        </w:rPr>
        <w:t>n</w:t>
      </w:r>
      <w:r w:rsidRPr="00B17A9F">
        <w:rPr>
          <w:lang w:val="fr-CA"/>
        </w:rPr>
        <w:t xml:space="preserve">t-mandataire entre la société mère et </w:t>
      </w:r>
      <w:r>
        <w:rPr>
          <w:lang w:val="fr-CA"/>
        </w:rPr>
        <w:t>l</w:t>
      </w:r>
      <w:r w:rsidRPr="00B17A9F">
        <w:rPr>
          <w:lang w:val="fr-CA"/>
        </w:rPr>
        <w:t>a filiale.</w:t>
      </w:r>
      <w:r>
        <w:rPr>
          <w:lang w:val="fr-CA"/>
        </w:rPr>
        <w:t xml:space="preserve"> [Note en bas de page omise.]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FE3"/>
    <w:multiLevelType w:val="hybridMultilevel"/>
    <w:tmpl w:val="3FE48714"/>
    <w:lvl w:ilvl="0" w:tplc="92F2F348">
      <w:start w:val="1"/>
      <w:numFmt w:val="upp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917E8E"/>
    <w:multiLevelType w:val="hybridMultilevel"/>
    <w:tmpl w:val="C2363FCA"/>
    <w:lvl w:ilvl="0" w:tplc="37F04730">
      <w:start w:val="4"/>
      <w:numFmt w:val="decimal"/>
      <w:lvlText w:val="(%1)"/>
      <w:lvlJc w:val="left"/>
      <w:pPr>
        <w:ind w:left="18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657F2"/>
    <w:multiLevelType w:val="hybridMultilevel"/>
    <w:tmpl w:val="B284F956"/>
    <w:lvl w:ilvl="0" w:tplc="623CEE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B3410"/>
    <w:multiLevelType w:val="hybridMultilevel"/>
    <w:tmpl w:val="0A26C906"/>
    <w:lvl w:ilvl="0" w:tplc="B4C6A076">
      <w:start w:val="3"/>
      <w:numFmt w:val="decimal"/>
      <w:lvlText w:val="(%1)"/>
      <w:lvlJc w:val="left"/>
      <w:pPr>
        <w:ind w:left="18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65090"/>
    <w:multiLevelType w:val="hybridMultilevel"/>
    <w:tmpl w:val="4D36950C"/>
    <w:lvl w:ilvl="0" w:tplc="FF7E1A7C">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4603130A"/>
    <w:multiLevelType w:val="multilevel"/>
    <w:tmpl w:val="208281B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D690912"/>
    <w:multiLevelType w:val="hybridMultilevel"/>
    <w:tmpl w:val="D0F87122"/>
    <w:lvl w:ilvl="0" w:tplc="8FB204A2">
      <w:start w:val="1"/>
      <w:numFmt w:val="upp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302367"/>
    <w:multiLevelType w:val="hybridMultilevel"/>
    <w:tmpl w:val="60181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83EE8"/>
    <w:multiLevelType w:val="multilevel"/>
    <w:tmpl w:val="097658AC"/>
    <w:lvl w:ilvl="0">
      <w:start w:val="1"/>
      <w:numFmt w:val="decimal"/>
      <w:pStyle w:val="ParaNoNdepar-AltN"/>
      <w:lvlText w:val="[%1]"/>
      <w:lvlJc w:val="left"/>
      <w:pPr>
        <w:tabs>
          <w:tab w:val="num" w:pos="1152"/>
        </w:tabs>
        <w:ind w:left="0" w:firstLine="0"/>
      </w:pPr>
      <w:rPr>
        <w:rFonts w:ascii="Times New Roman" w:hAnsi="Times New Roman" w:hint="default"/>
        <w:sz w:val="24"/>
        <w:lang w:val="fr-CA"/>
      </w:rPr>
    </w:lvl>
    <w:lvl w:ilvl="1">
      <w:start w:val="1"/>
      <w:numFmt w:val="lowerLetter"/>
      <w:lvlText w:val="%2)"/>
      <w:lvlJc w:val="left"/>
      <w:pPr>
        <w:ind w:left="720" w:hanging="360"/>
      </w:pPr>
      <w:rPr>
        <w:rFonts w:hint="default"/>
        <w:i w:val="0"/>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59F0B02"/>
    <w:multiLevelType w:val="hybridMultilevel"/>
    <w:tmpl w:val="AA668156"/>
    <w:lvl w:ilvl="0" w:tplc="FE1E514E">
      <w:start w:val="1"/>
      <w:numFmt w:val="decimal"/>
      <w:lvlText w:val="%1)"/>
      <w:lvlJc w:val="left"/>
      <w:pPr>
        <w:ind w:left="1526" w:hanging="360"/>
      </w:pPr>
      <w:rPr>
        <w:rFonts w:hint="default"/>
      </w:rPr>
    </w:lvl>
    <w:lvl w:ilvl="1" w:tplc="0C0C0019" w:tentative="1">
      <w:start w:val="1"/>
      <w:numFmt w:val="lowerLetter"/>
      <w:lvlText w:val="%2."/>
      <w:lvlJc w:val="left"/>
      <w:pPr>
        <w:ind w:left="2246" w:hanging="360"/>
      </w:pPr>
    </w:lvl>
    <w:lvl w:ilvl="2" w:tplc="0C0C001B" w:tentative="1">
      <w:start w:val="1"/>
      <w:numFmt w:val="lowerRoman"/>
      <w:lvlText w:val="%3."/>
      <w:lvlJc w:val="right"/>
      <w:pPr>
        <w:ind w:left="2966" w:hanging="180"/>
      </w:pPr>
    </w:lvl>
    <w:lvl w:ilvl="3" w:tplc="0C0C000F" w:tentative="1">
      <w:start w:val="1"/>
      <w:numFmt w:val="decimal"/>
      <w:lvlText w:val="%4."/>
      <w:lvlJc w:val="left"/>
      <w:pPr>
        <w:ind w:left="3686" w:hanging="360"/>
      </w:pPr>
    </w:lvl>
    <w:lvl w:ilvl="4" w:tplc="0C0C0019" w:tentative="1">
      <w:start w:val="1"/>
      <w:numFmt w:val="lowerLetter"/>
      <w:lvlText w:val="%5."/>
      <w:lvlJc w:val="left"/>
      <w:pPr>
        <w:ind w:left="4406" w:hanging="360"/>
      </w:pPr>
    </w:lvl>
    <w:lvl w:ilvl="5" w:tplc="0C0C001B" w:tentative="1">
      <w:start w:val="1"/>
      <w:numFmt w:val="lowerRoman"/>
      <w:lvlText w:val="%6."/>
      <w:lvlJc w:val="right"/>
      <w:pPr>
        <w:ind w:left="5126" w:hanging="180"/>
      </w:pPr>
    </w:lvl>
    <w:lvl w:ilvl="6" w:tplc="0C0C000F" w:tentative="1">
      <w:start w:val="1"/>
      <w:numFmt w:val="decimal"/>
      <w:lvlText w:val="%7."/>
      <w:lvlJc w:val="left"/>
      <w:pPr>
        <w:ind w:left="5846" w:hanging="360"/>
      </w:pPr>
    </w:lvl>
    <w:lvl w:ilvl="7" w:tplc="0C0C0019" w:tentative="1">
      <w:start w:val="1"/>
      <w:numFmt w:val="lowerLetter"/>
      <w:lvlText w:val="%8."/>
      <w:lvlJc w:val="left"/>
      <w:pPr>
        <w:ind w:left="6566" w:hanging="360"/>
      </w:pPr>
    </w:lvl>
    <w:lvl w:ilvl="8" w:tplc="0C0C001B" w:tentative="1">
      <w:start w:val="1"/>
      <w:numFmt w:val="lowerRoman"/>
      <w:lvlText w:val="%9."/>
      <w:lvlJc w:val="right"/>
      <w:pPr>
        <w:ind w:left="7286" w:hanging="180"/>
      </w:pPr>
    </w:lvl>
  </w:abstractNum>
  <w:abstractNum w:abstractNumId="10" w15:restartNumberingAfterBreak="0">
    <w:nsid w:val="6DBC138A"/>
    <w:multiLevelType w:val="hybridMultilevel"/>
    <w:tmpl w:val="8E388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BB6A46"/>
    <w:multiLevelType w:val="hybridMultilevel"/>
    <w:tmpl w:val="50B248FC"/>
    <w:lvl w:ilvl="0" w:tplc="666841F8">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lvl w:ilvl="0">
        <w:start w:val="1"/>
        <w:numFmt w:val="lowerLetter"/>
        <w:pStyle w:val="Title1LevelTitre1Niveau-AltL"/>
        <w:lvlText w:val="%1)"/>
        <w:lvlJc w:val="left"/>
        <w:pPr>
          <w:ind w:left="3096" w:hanging="360"/>
        </w:pPr>
      </w:lvl>
    </w:lvlOverride>
    <w:lvlOverride w:ilvl="1">
      <w:lvl w:ilvl="1">
        <w:start w:val="1"/>
        <w:numFmt w:val="lowerLetter"/>
        <w:pStyle w:val="Title2LevelTitre2Niveau"/>
        <w:lvlText w:val="%2."/>
        <w:lvlJc w:val="left"/>
        <w:pPr>
          <w:ind w:left="3816" w:hanging="360"/>
        </w:pPr>
      </w:lvl>
    </w:lvlOverride>
    <w:lvlOverride w:ilvl="2">
      <w:lvl w:ilvl="2">
        <w:start w:val="1"/>
        <w:numFmt w:val="lowerRoman"/>
        <w:pStyle w:val="Title3LevelTitre3Niveau"/>
        <w:lvlText w:val="%3."/>
        <w:lvlJc w:val="right"/>
        <w:pPr>
          <w:ind w:left="4536" w:hanging="180"/>
        </w:pPr>
      </w:lvl>
    </w:lvlOverride>
    <w:lvlOverride w:ilvl="3">
      <w:lvl w:ilvl="3">
        <w:start w:val="1"/>
        <w:numFmt w:val="decimal"/>
        <w:pStyle w:val="Title4LevelTitre4Niveau"/>
        <w:lvlText w:val="%4."/>
        <w:lvlJc w:val="left"/>
        <w:pPr>
          <w:ind w:left="5256" w:hanging="360"/>
        </w:pPr>
      </w:lvl>
    </w:lvlOverride>
    <w:lvlOverride w:ilvl="4">
      <w:lvl w:ilvl="4" w:tentative="1">
        <w:start w:val="1"/>
        <w:numFmt w:val="lowerLetter"/>
        <w:pStyle w:val="Title5LevelTitre5Niveau"/>
        <w:lvlText w:val="%5."/>
        <w:lvlJc w:val="left"/>
        <w:pPr>
          <w:ind w:left="5976" w:hanging="360"/>
        </w:pPr>
      </w:lvl>
    </w:lvlOverride>
    <w:lvlOverride w:ilvl="5">
      <w:lvl w:ilvl="5" w:tentative="1">
        <w:start w:val="1"/>
        <w:numFmt w:val="lowerRoman"/>
        <w:pStyle w:val="Title6LevelTitre6Niveau"/>
        <w:lvlText w:val="%6."/>
        <w:lvlJc w:val="right"/>
        <w:pPr>
          <w:ind w:left="6696" w:hanging="180"/>
        </w:pPr>
      </w:lvl>
    </w:lvlOverride>
    <w:lvlOverride w:ilvl="6">
      <w:lvl w:ilvl="6" w:tentative="1">
        <w:start w:val="1"/>
        <w:numFmt w:val="decimal"/>
        <w:lvlText w:val="%7."/>
        <w:lvlJc w:val="left"/>
        <w:pPr>
          <w:ind w:left="7416" w:hanging="360"/>
        </w:pPr>
      </w:lvl>
    </w:lvlOverride>
    <w:lvlOverride w:ilvl="7">
      <w:lvl w:ilvl="7" w:tentative="1">
        <w:start w:val="1"/>
        <w:numFmt w:val="lowerLetter"/>
        <w:lvlText w:val="%8."/>
        <w:lvlJc w:val="left"/>
        <w:pPr>
          <w:ind w:left="8136" w:hanging="360"/>
        </w:pPr>
      </w:lvl>
    </w:lvlOverride>
    <w:lvlOverride w:ilvl="8">
      <w:lvl w:ilvl="8" w:tentative="1">
        <w:start w:val="1"/>
        <w:numFmt w:val="lowerRoman"/>
        <w:lvlText w:val="%9."/>
        <w:lvlJc w:val="right"/>
        <w:pPr>
          <w:ind w:left="8856" w:hanging="180"/>
        </w:p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3"/>
  </w:num>
  <w:num w:numId="8">
    <w:abstractNumId w:val="1"/>
  </w:num>
  <w:num w:numId="9">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1">
    <w:abstractNumId w:val="8"/>
    <w:lvlOverride w:ilvl="0">
      <w:startOverride w:val="1"/>
    </w:lvlOverride>
    <w:lvlOverride w:ilvl="1">
      <w:startOverride w:val="2"/>
    </w:lvlOverride>
  </w:num>
  <w:num w:numId="12">
    <w:abstractNumId w:val="5"/>
    <w:lvlOverride w:ilvl="0">
      <w:startOverride w:val="2"/>
      <w:lvl w:ilvl="0">
        <w:start w:val="2"/>
        <w:numFmt w:val="upperRoman"/>
        <w:pStyle w:val="Title1LevelTitre1Niveau-AltL"/>
        <w:lvlText w:val="%1."/>
        <w:lvlJc w:val="left"/>
        <w:pPr>
          <w:tabs>
            <w:tab w:val="num" w:pos="576"/>
          </w:tabs>
          <w:ind w:left="576" w:hanging="576"/>
        </w:pPr>
        <w:rPr>
          <w:rFonts w:hint="default"/>
          <w:sz w:val="24"/>
        </w:rPr>
      </w:lvl>
    </w:lvlOverride>
  </w:num>
  <w:num w:numId="13">
    <w:abstractNumId w:val="7"/>
  </w:num>
  <w:num w:numId="14">
    <w:abstractNumId w:val="2"/>
  </w:num>
  <w:num w:numId="15">
    <w:abstractNumId w:val="11"/>
  </w:num>
  <w:num w:numId="16">
    <w:abstractNumId w:val="0"/>
  </w:num>
  <w:num w:numId="17">
    <w:abstractNumId w:val="6"/>
  </w:num>
  <w:num w:numId="18">
    <w:abstractNumId w:val="4"/>
  </w:num>
  <w:num w:numId="19">
    <w:abstractNumId w:val="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0">
    <w:abstractNumId w:val="8"/>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A5"/>
    <w:rsid w:val="00040FD2"/>
    <w:rsid w:val="00041507"/>
    <w:rsid w:val="0004711F"/>
    <w:rsid w:val="000519F3"/>
    <w:rsid w:val="00057419"/>
    <w:rsid w:val="00057B97"/>
    <w:rsid w:val="000641E8"/>
    <w:rsid w:val="00084E79"/>
    <w:rsid w:val="0009509A"/>
    <w:rsid w:val="000A0247"/>
    <w:rsid w:val="000B6C09"/>
    <w:rsid w:val="000C5BEA"/>
    <w:rsid w:val="000D67ED"/>
    <w:rsid w:val="000E03EB"/>
    <w:rsid w:val="000E183B"/>
    <w:rsid w:val="000E6BBD"/>
    <w:rsid w:val="00102A62"/>
    <w:rsid w:val="001222E8"/>
    <w:rsid w:val="00134631"/>
    <w:rsid w:val="00147DED"/>
    <w:rsid w:val="001501E0"/>
    <w:rsid w:val="00151FE8"/>
    <w:rsid w:val="00180A16"/>
    <w:rsid w:val="001B7B20"/>
    <w:rsid w:val="001D3168"/>
    <w:rsid w:val="001D6161"/>
    <w:rsid w:val="001D69FA"/>
    <w:rsid w:val="001E0152"/>
    <w:rsid w:val="00213F82"/>
    <w:rsid w:val="0021651C"/>
    <w:rsid w:val="00227020"/>
    <w:rsid w:val="00233B68"/>
    <w:rsid w:val="0026735D"/>
    <w:rsid w:val="00270FB4"/>
    <w:rsid w:val="002742B7"/>
    <w:rsid w:val="00286289"/>
    <w:rsid w:val="00290EDC"/>
    <w:rsid w:val="002962ED"/>
    <w:rsid w:val="002970A2"/>
    <w:rsid w:val="002C6910"/>
    <w:rsid w:val="002E1605"/>
    <w:rsid w:val="002E41CC"/>
    <w:rsid w:val="002F1EB7"/>
    <w:rsid w:val="002F52C2"/>
    <w:rsid w:val="00302BC6"/>
    <w:rsid w:val="003075C6"/>
    <w:rsid w:val="00315DB8"/>
    <w:rsid w:val="00316520"/>
    <w:rsid w:val="00333116"/>
    <w:rsid w:val="003364C7"/>
    <w:rsid w:val="0033778C"/>
    <w:rsid w:val="00353F8D"/>
    <w:rsid w:val="003859B3"/>
    <w:rsid w:val="00386765"/>
    <w:rsid w:val="00393315"/>
    <w:rsid w:val="00396FAA"/>
    <w:rsid w:val="003A194E"/>
    <w:rsid w:val="003A3B54"/>
    <w:rsid w:val="003B24B1"/>
    <w:rsid w:val="00420486"/>
    <w:rsid w:val="00423AC6"/>
    <w:rsid w:val="00432155"/>
    <w:rsid w:val="00434D51"/>
    <w:rsid w:val="004411A2"/>
    <w:rsid w:val="004527AC"/>
    <w:rsid w:val="00467E2F"/>
    <w:rsid w:val="00481657"/>
    <w:rsid w:val="00482A31"/>
    <w:rsid w:val="00496B2E"/>
    <w:rsid w:val="004A0ACF"/>
    <w:rsid w:val="004A74D3"/>
    <w:rsid w:val="004B0D17"/>
    <w:rsid w:val="004C729F"/>
    <w:rsid w:val="004E4BAD"/>
    <w:rsid w:val="004F74CA"/>
    <w:rsid w:val="00502AEF"/>
    <w:rsid w:val="00507CC0"/>
    <w:rsid w:val="0052073D"/>
    <w:rsid w:val="00570FFA"/>
    <w:rsid w:val="00581C7B"/>
    <w:rsid w:val="0059174F"/>
    <w:rsid w:val="005B15B8"/>
    <w:rsid w:val="005B2620"/>
    <w:rsid w:val="005C0F19"/>
    <w:rsid w:val="005C55F5"/>
    <w:rsid w:val="005D0D87"/>
    <w:rsid w:val="005D1F4B"/>
    <w:rsid w:val="005D2C55"/>
    <w:rsid w:val="005E50D3"/>
    <w:rsid w:val="005F4E7E"/>
    <w:rsid w:val="00613621"/>
    <w:rsid w:val="006151FE"/>
    <w:rsid w:val="00617DAB"/>
    <w:rsid w:val="0062187A"/>
    <w:rsid w:val="0062471B"/>
    <w:rsid w:val="006315C4"/>
    <w:rsid w:val="006346F1"/>
    <w:rsid w:val="006362C1"/>
    <w:rsid w:val="00636BB2"/>
    <w:rsid w:val="006476E7"/>
    <w:rsid w:val="00660772"/>
    <w:rsid w:val="00660E37"/>
    <w:rsid w:val="006612FA"/>
    <w:rsid w:val="00661B67"/>
    <w:rsid w:val="00664A02"/>
    <w:rsid w:val="00666920"/>
    <w:rsid w:val="00674C13"/>
    <w:rsid w:val="00680394"/>
    <w:rsid w:val="00684FCF"/>
    <w:rsid w:val="00693C58"/>
    <w:rsid w:val="006968AB"/>
    <w:rsid w:val="006A27AF"/>
    <w:rsid w:val="006C0548"/>
    <w:rsid w:val="006D1379"/>
    <w:rsid w:val="006F4B1A"/>
    <w:rsid w:val="006F5E4B"/>
    <w:rsid w:val="00723F24"/>
    <w:rsid w:val="00736841"/>
    <w:rsid w:val="00737C18"/>
    <w:rsid w:val="00776590"/>
    <w:rsid w:val="007962E4"/>
    <w:rsid w:val="007A2AD5"/>
    <w:rsid w:val="007A4620"/>
    <w:rsid w:val="007B2BD9"/>
    <w:rsid w:val="007C1DBD"/>
    <w:rsid w:val="007F16C4"/>
    <w:rsid w:val="00812A30"/>
    <w:rsid w:val="00822E97"/>
    <w:rsid w:val="008265F6"/>
    <w:rsid w:val="0083706D"/>
    <w:rsid w:val="00844FF7"/>
    <w:rsid w:val="00856BD2"/>
    <w:rsid w:val="00864BFB"/>
    <w:rsid w:val="00887235"/>
    <w:rsid w:val="008902B0"/>
    <w:rsid w:val="008A0C8C"/>
    <w:rsid w:val="008A3950"/>
    <w:rsid w:val="008B1B34"/>
    <w:rsid w:val="008B6091"/>
    <w:rsid w:val="008E7F81"/>
    <w:rsid w:val="008F06C3"/>
    <w:rsid w:val="00906BAB"/>
    <w:rsid w:val="00925284"/>
    <w:rsid w:val="00947109"/>
    <w:rsid w:val="009542C4"/>
    <w:rsid w:val="0096296D"/>
    <w:rsid w:val="00964475"/>
    <w:rsid w:val="0096679F"/>
    <w:rsid w:val="00971C77"/>
    <w:rsid w:val="00975E8E"/>
    <w:rsid w:val="00977AC6"/>
    <w:rsid w:val="009801EC"/>
    <w:rsid w:val="00994D9E"/>
    <w:rsid w:val="009A7AEA"/>
    <w:rsid w:val="009D2362"/>
    <w:rsid w:val="009E5129"/>
    <w:rsid w:val="00A0354A"/>
    <w:rsid w:val="00A06012"/>
    <w:rsid w:val="00A07630"/>
    <w:rsid w:val="00A10325"/>
    <w:rsid w:val="00A15730"/>
    <w:rsid w:val="00A20C90"/>
    <w:rsid w:val="00A3616E"/>
    <w:rsid w:val="00A37BEB"/>
    <w:rsid w:val="00A50BA1"/>
    <w:rsid w:val="00A5116D"/>
    <w:rsid w:val="00A66314"/>
    <w:rsid w:val="00A73999"/>
    <w:rsid w:val="00A929D2"/>
    <w:rsid w:val="00AA3CF3"/>
    <w:rsid w:val="00AC6756"/>
    <w:rsid w:val="00AE55D0"/>
    <w:rsid w:val="00AF6697"/>
    <w:rsid w:val="00B13498"/>
    <w:rsid w:val="00B23E01"/>
    <w:rsid w:val="00B37CCB"/>
    <w:rsid w:val="00B5585E"/>
    <w:rsid w:val="00B6207A"/>
    <w:rsid w:val="00B66FA5"/>
    <w:rsid w:val="00B730EB"/>
    <w:rsid w:val="00B76836"/>
    <w:rsid w:val="00B91454"/>
    <w:rsid w:val="00B9177D"/>
    <w:rsid w:val="00B94204"/>
    <w:rsid w:val="00BA044B"/>
    <w:rsid w:val="00BB6471"/>
    <w:rsid w:val="00BC14EF"/>
    <w:rsid w:val="00BC52B5"/>
    <w:rsid w:val="00BD1645"/>
    <w:rsid w:val="00BD4D35"/>
    <w:rsid w:val="00BE5261"/>
    <w:rsid w:val="00C10BAB"/>
    <w:rsid w:val="00C23721"/>
    <w:rsid w:val="00C45A79"/>
    <w:rsid w:val="00C478BC"/>
    <w:rsid w:val="00C659E2"/>
    <w:rsid w:val="00C733D8"/>
    <w:rsid w:val="00CA7E74"/>
    <w:rsid w:val="00CB0E88"/>
    <w:rsid w:val="00CC2424"/>
    <w:rsid w:val="00D04B40"/>
    <w:rsid w:val="00D147D6"/>
    <w:rsid w:val="00D17033"/>
    <w:rsid w:val="00D177A5"/>
    <w:rsid w:val="00D23D5D"/>
    <w:rsid w:val="00D31781"/>
    <w:rsid w:val="00D44C85"/>
    <w:rsid w:val="00D778EA"/>
    <w:rsid w:val="00D8537E"/>
    <w:rsid w:val="00D90246"/>
    <w:rsid w:val="00D968C7"/>
    <w:rsid w:val="00D96F5D"/>
    <w:rsid w:val="00DA0AA4"/>
    <w:rsid w:val="00DA6434"/>
    <w:rsid w:val="00DB2AF0"/>
    <w:rsid w:val="00DC2E6C"/>
    <w:rsid w:val="00DE31BB"/>
    <w:rsid w:val="00DE5D44"/>
    <w:rsid w:val="00DE7BA5"/>
    <w:rsid w:val="00E15F0B"/>
    <w:rsid w:val="00E23957"/>
    <w:rsid w:val="00E531BB"/>
    <w:rsid w:val="00E641FE"/>
    <w:rsid w:val="00E8201D"/>
    <w:rsid w:val="00E8499B"/>
    <w:rsid w:val="00EA0572"/>
    <w:rsid w:val="00EF461E"/>
    <w:rsid w:val="00EF7102"/>
    <w:rsid w:val="00F05026"/>
    <w:rsid w:val="00F33D54"/>
    <w:rsid w:val="00F43F7E"/>
    <w:rsid w:val="00F55E74"/>
    <w:rsid w:val="00F5682B"/>
    <w:rsid w:val="00F611A0"/>
    <w:rsid w:val="00F6790C"/>
    <w:rsid w:val="00F72B86"/>
    <w:rsid w:val="00FA7147"/>
    <w:rsid w:val="00FB1872"/>
    <w:rsid w:val="00FB303A"/>
    <w:rsid w:val="00FC0D39"/>
    <w:rsid w:val="00FE0D99"/>
    <w:rsid w:val="00FE33EA"/>
    <w:rsid w:val="00FF00C3"/>
    <w:rsid w:val="00FF5193"/>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07535-18EB-4CB9-AC6F-24F7835E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0"/>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qFormat/>
    <w:rsid w:val="007A4620"/>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A46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A4620"/>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unhideWhenUsed/>
    <w:qFormat/>
    <w:rsid w:val="007A4620"/>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7A4620"/>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7A4620"/>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A462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A4620"/>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7A4620"/>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620"/>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rsid w:val="007A4620"/>
    <w:rPr>
      <w:rFonts w:asciiTheme="majorHAnsi" w:eastAsiaTheme="majorEastAsia" w:hAnsiTheme="majorHAnsi" w:cstheme="majorBidi"/>
      <w:b/>
      <w:bCs/>
      <w:color w:val="5B9BD5" w:themeColor="accent1"/>
      <w:sz w:val="26"/>
      <w:szCs w:val="26"/>
      <w:lang w:val="en-CA" w:eastAsia="en-CA"/>
    </w:rPr>
  </w:style>
  <w:style w:type="character" w:customStyle="1" w:styleId="Heading3Char">
    <w:name w:val="Heading 3 Char"/>
    <w:basedOn w:val="DefaultParagraphFont"/>
    <w:link w:val="Heading3"/>
    <w:uiPriority w:val="9"/>
    <w:rsid w:val="007A4620"/>
    <w:rPr>
      <w:rFonts w:asciiTheme="majorHAnsi" w:eastAsiaTheme="majorEastAsia" w:hAnsiTheme="majorHAnsi" w:cstheme="majorBidi"/>
      <w:b/>
      <w:bCs/>
      <w:color w:val="5B9BD5" w:themeColor="accent1"/>
      <w:sz w:val="24"/>
      <w:lang w:bidi="en-US"/>
    </w:rPr>
  </w:style>
  <w:style w:type="character" w:customStyle="1" w:styleId="Heading4Char">
    <w:name w:val="Heading 4 Char"/>
    <w:basedOn w:val="DefaultParagraphFont"/>
    <w:link w:val="Heading4"/>
    <w:uiPriority w:val="9"/>
    <w:rsid w:val="007A4620"/>
    <w:rPr>
      <w:rFonts w:asciiTheme="majorHAnsi" w:eastAsiaTheme="majorEastAsia" w:hAnsiTheme="majorHAnsi" w:cstheme="majorBidi"/>
      <w:b/>
      <w:bCs/>
      <w:i/>
      <w:iCs/>
      <w:color w:val="5B9BD5" w:themeColor="accent1"/>
      <w:sz w:val="24"/>
      <w:lang w:bidi="en-US"/>
    </w:rPr>
  </w:style>
  <w:style w:type="character" w:customStyle="1" w:styleId="Heading5Char">
    <w:name w:val="Heading 5 Char"/>
    <w:basedOn w:val="DefaultParagraphFont"/>
    <w:link w:val="Heading5"/>
    <w:uiPriority w:val="9"/>
    <w:semiHidden/>
    <w:rsid w:val="007A4620"/>
    <w:rPr>
      <w:rFonts w:asciiTheme="majorHAnsi" w:eastAsiaTheme="majorEastAsia" w:hAnsiTheme="majorHAnsi" w:cstheme="majorBidi"/>
      <w:color w:val="1F4D78" w:themeColor="accent1" w:themeShade="7F"/>
      <w:sz w:val="24"/>
      <w:lang w:bidi="en-US"/>
    </w:rPr>
  </w:style>
  <w:style w:type="character" w:customStyle="1" w:styleId="Heading6Char">
    <w:name w:val="Heading 6 Char"/>
    <w:basedOn w:val="DefaultParagraphFont"/>
    <w:link w:val="Heading6"/>
    <w:uiPriority w:val="9"/>
    <w:semiHidden/>
    <w:rsid w:val="007A4620"/>
    <w:rPr>
      <w:rFonts w:asciiTheme="majorHAnsi" w:eastAsiaTheme="majorEastAsia" w:hAnsiTheme="majorHAnsi" w:cstheme="majorBidi"/>
      <w:i/>
      <w:iCs/>
      <w:color w:val="1F4D78" w:themeColor="accent1" w:themeShade="7F"/>
      <w:sz w:val="24"/>
      <w:lang w:bidi="en-US"/>
    </w:rPr>
  </w:style>
  <w:style w:type="character" w:customStyle="1" w:styleId="Heading7Char">
    <w:name w:val="Heading 7 Char"/>
    <w:basedOn w:val="DefaultParagraphFont"/>
    <w:link w:val="Heading7"/>
    <w:uiPriority w:val="9"/>
    <w:semiHidden/>
    <w:rsid w:val="007A4620"/>
    <w:rPr>
      <w:rFonts w:asciiTheme="majorHAnsi" w:eastAsiaTheme="majorEastAsia" w:hAnsiTheme="majorHAnsi" w:cstheme="majorBidi"/>
      <w:i/>
      <w:iCs/>
      <w:color w:val="1F4D78" w:themeColor="accent1" w:themeShade="7F"/>
      <w:sz w:val="24"/>
      <w:szCs w:val="20"/>
      <w:lang w:val="en-CA" w:eastAsia="en-CA"/>
    </w:rPr>
  </w:style>
  <w:style w:type="character" w:customStyle="1" w:styleId="Heading8Char">
    <w:name w:val="Heading 8 Char"/>
    <w:basedOn w:val="DefaultParagraphFont"/>
    <w:link w:val="Heading8"/>
    <w:uiPriority w:val="9"/>
    <w:semiHidden/>
    <w:rsid w:val="007A4620"/>
    <w:rPr>
      <w:rFonts w:asciiTheme="majorHAnsi" w:eastAsiaTheme="majorEastAsia" w:hAnsiTheme="majorHAnsi" w:cstheme="majorBidi"/>
      <w:color w:val="5B9BD5" w:themeColor="accent1"/>
      <w:sz w:val="20"/>
      <w:szCs w:val="20"/>
      <w:lang w:bidi="en-US"/>
    </w:rPr>
  </w:style>
  <w:style w:type="character" w:customStyle="1" w:styleId="Heading9Char">
    <w:name w:val="Heading 9 Char"/>
    <w:basedOn w:val="DefaultParagraphFont"/>
    <w:link w:val="Heading9"/>
    <w:uiPriority w:val="9"/>
    <w:semiHidden/>
    <w:rsid w:val="007A4620"/>
    <w:rPr>
      <w:rFonts w:asciiTheme="majorHAnsi" w:eastAsiaTheme="majorEastAsia" w:hAnsiTheme="majorHAnsi" w:cstheme="majorBidi"/>
      <w:i/>
      <w:iCs/>
      <w:color w:val="404040" w:themeColor="text1" w:themeTint="BF"/>
      <w:sz w:val="20"/>
      <w:szCs w:val="20"/>
      <w:lang w:bidi="en-US"/>
    </w:rPr>
  </w:style>
  <w:style w:type="paragraph" w:customStyle="1" w:styleId="1">
    <w:name w:val="1"/>
    <w:aliases w:val=" 2, 3, A"/>
    <w:basedOn w:val="Normal"/>
    <w:uiPriority w:val="1"/>
    <w:rsid w:val="007A4620"/>
    <w:pPr>
      <w:widowControl w:val="0"/>
    </w:pPr>
  </w:style>
  <w:style w:type="paragraph" w:customStyle="1" w:styleId="SCCNormalDoubleSpacing">
    <w:name w:val="SCC.Normal.DoubleSpacing"/>
    <w:basedOn w:val="Normal"/>
    <w:link w:val="SCCNormalDoubleSpacingChar"/>
    <w:rsid w:val="007A4620"/>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7A4620"/>
    <w:rPr>
      <w:rFonts w:ascii="Times New Roman" w:eastAsia="Times New Roman" w:hAnsi="Times New Roman" w:cs="Times New Roman"/>
      <w:sz w:val="24"/>
      <w:szCs w:val="20"/>
      <w:lang w:val="en-CA" w:eastAsia="en-CA"/>
    </w:rPr>
  </w:style>
  <w:style w:type="character" w:styleId="Strong">
    <w:name w:val="Strong"/>
    <w:basedOn w:val="DefaultParagraphFont"/>
    <w:uiPriority w:val="22"/>
    <w:qFormat/>
    <w:rsid w:val="007A4620"/>
    <w:rPr>
      <w:b/>
      <w:bCs/>
    </w:rPr>
  </w:style>
  <w:style w:type="paragraph" w:styleId="Quote">
    <w:name w:val="Quote"/>
    <w:basedOn w:val="Normal"/>
    <w:next w:val="Normal"/>
    <w:link w:val="QuoteChar"/>
    <w:uiPriority w:val="29"/>
    <w:qFormat/>
    <w:rsid w:val="007A4620"/>
    <w:rPr>
      <w:i/>
      <w:iCs/>
      <w:color w:val="000000" w:themeColor="text1"/>
    </w:rPr>
  </w:style>
  <w:style w:type="character" w:customStyle="1" w:styleId="QuoteChar">
    <w:name w:val="Quote Char"/>
    <w:basedOn w:val="DefaultParagraphFont"/>
    <w:link w:val="Quote"/>
    <w:uiPriority w:val="29"/>
    <w:rsid w:val="007A4620"/>
    <w:rPr>
      <w:rFonts w:ascii="Times New Roman" w:eastAsia="Times New Roman" w:hAnsi="Times New Roman" w:cs="Times New Roman"/>
      <w:i/>
      <w:iCs/>
      <w:color w:val="000000" w:themeColor="text1"/>
      <w:sz w:val="24"/>
      <w:szCs w:val="20"/>
      <w:lang w:val="en-CA" w:eastAsia="en-CA"/>
    </w:rPr>
  </w:style>
  <w:style w:type="character" w:styleId="PlaceholderText">
    <w:name w:val="Placeholder Text"/>
    <w:basedOn w:val="DefaultParagraphFont"/>
    <w:uiPriority w:val="99"/>
    <w:semiHidden/>
    <w:rsid w:val="007A4620"/>
    <w:rPr>
      <w:color w:val="808080"/>
    </w:rPr>
  </w:style>
  <w:style w:type="paragraph" w:styleId="BalloonText">
    <w:name w:val="Balloon Text"/>
    <w:basedOn w:val="Normal"/>
    <w:link w:val="BalloonTextChar"/>
    <w:uiPriority w:val="99"/>
    <w:semiHidden/>
    <w:unhideWhenUsed/>
    <w:rsid w:val="007A4620"/>
    <w:rPr>
      <w:rFonts w:ascii="Tahoma" w:hAnsi="Tahoma" w:cs="Tahoma"/>
      <w:sz w:val="16"/>
      <w:szCs w:val="16"/>
    </w:rPr>
  </w:style>
  <w:style w:type="character" w:customStyle="1" w:styleId="BalloonTextChar">
    <w:name w:val="Balloon Text Char"/>
    <w:basedOn w:val="DefaultParagraphFont"/>
    <w:link w:val="BalloonText"/>
    <w:uiPriority w:val="99"/>
    <w:semiHidden/>
    <w:rsid w:val="007A4620"/>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7A4620"/>
    <w:pPr>
      <w:tabs>
        <w:tab w:val="center" w:pos="4680"/>
        <w:tab w:val="right" w:pos="9360"/>
      </w:tabs>
    </w:pPr>
  </w:style>
  <w:style w:type="character" w:customStyle="1" w:styleId="HeaderChar">
    <w:name w:val="Header Char"/>
    <w:basedOn w:val="DefaultParagraphFont"/>
    <w:link w:val="Header"/>
    <w:uiPriority w:val="99"/>
    <w:rsid w:val="007A4620"/>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7A4620"/>
    <w:pPr>
      <w:tabs>
        <w:tab w:val="center" w:pos="4680"/>
        <w:tab w:val="right" w:pos="9360"/>
      </w:tabs>
    </w:pPr>
  </w:style>
  <w:style w:type="character" w:customStyle="1" w:styleId="FooterChar">
    <w:name w:val="Footer Char"/>
    <w:basedOn w:val="DefaultParagraphFont"/>
    <w:link w:val="Footer"/>
    <w:uiPriority w:val="99"/>
    <w:rsid w:val="007A4620"/>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7A4620"/>
    <w:pPr>
      <w:tabs>
        <w:tab w:val="right" w:pos="8222"/>
      </w:tabs>
      <w:jc w:val="both"/>
    </w:pPr>
    <w:rPr>
      <w:b/>
    </w:rPr>
  </w:style>
  <w:style w:type="character" w:customStyle="1" w:styleId="SCCLsocPartyChar">
    <w:name w:val="SCC.Lsoc.Party Char"/>
    <w:basedOn w:val="DefaultParagraphFont"/>
    <w:link w:val="SCCLsocParty"/>
    <w:rsid w:val="007A4620"/>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7A4620"/>
    <w:pPr>
      <w:spacing w:after="720"/>
    </w:pPr>
    <w:rPr>
      <w:i/>
    </w:rPr>
  </w:style>
  <w:style w:type="character" w:customStyle="1" w:styleId="SCCLsocVersusChar">
    <w:name w:val="SCC.Lsoc.Versus Char"/>
    <w:basedOn w:val="DefaultParagraphFont"/>
    <w:link w:val="SCCLsocVersus"/>
    <w:rsid w:val="007A4620"/>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7A4620"/>
    <w:rPr>
      <w:rFonts w:ascii="Times New Roman" w:eastAsia="Times New Roman" w:hAnsi="Times New Roman" w:cs="Times New Roman"/>
      <w:b/>
      <w:i/>
      <w:sz w:val="24"/>
      <w:szCs w:val="20"/>
      <w:lang w:val="en-CA" w:eastAsia="en-CA"/>
    </w:rPr>
  </w:style>
  <w:style w:type="paragraph" w:customStyle="1" w:styleId="SCCLsocSubfileSeparator">
    <w:name w:val="SCC.Lsoc.SubfileSeparator"/>
    <w:basedOn w:val="Normal"/>
    <w:next w:val="Normal"/>
    <w:link w:val="SCCLsocSubfileSeparatorChar"/>
    <w:rsid w:val="007A4620"/>
    <w:pPr>
      <w:spacing w:after="720"/>
    </w:pPr>
  </w:style>
  <w:style w:type="character" w:customStyle="1" w:styleId="SCCLsocSubfileSeparatorChar">
    <w:name w:val="SCC.Lsoc.SubfileSeparator Char"/>
    <w:basedOn w:val="DefaultParagraphFont"/>
    <w:link w:val="SCCLsocSubfileSeparator"/>
    <w:rsid w:val="007A4620"/>
    <w:rPr>
      <w:rFonts w:ascii="Times New Roman" w:eastAsia="Times New Roman" w:hAnsi="Times New Roman" w:cs="Times New Roman"/>
      <w:sz w:val="24"/>
      <w:szCs w:val="20"/>
      <w:lang w:val="en-CA" w:eastAsia="en-CA"/>
    </w:rPr>
  </w:style>
  <w:style w:type="paragraph" w:customStyle="1" w:styleId="SCCLsocOtherPartySeparator">
    <w:name w:val="SCC.Lsoc.OtherPartySeparator"/>
    <w:basedOn w:val="Normal"/>
    <w:next w:val="Normal"/>
    <w:link w:val="SCCLsocOtherPartySeparatorChar"/>
    <w:rsid w:val="007A4620"/>
    <w:pPr>
      <w:spacing w:after="720"/>
    </w:pPr>
  </w:style>
  <w:style w:type="character" w:customStyle="1" w:styleId="SCCLsocOtherPartySeparatorChar">
    <w:name w:val="SCC.Lsoc.OtherPartySeparator Char"/>
    <w:basedOn w:val="DefaultParagraphFont"/>
    <w:link w:val="SCCLsocOtherPartySeparator"/>
    <w:rsid w:val="007A4620"/>
    <w:rPr>
      <w:rFonts w:ascii="Times New Roman" w:eastAsia="Times New Roman" w:hAnsi="Times New Roman" w:cs="Times New Roman"/>
      <w:sz w:val="24"/>
      <w:szCs w:val="20"/>
      <w:lang w:val="en-CA" w:eastAsia="en-CA"/>
    </w:rPr>
  </w:style>
  <w:style w:type="paragraph" w:customStyle="1" w:styleId="SCCBanSummary">
    <w:name w:val="SCC.BanSummary"/>
    <w:basedOn w:val="Normal"/>
    <w:next w:val="Normal"/>
    <w:link w:val="SCCBanSummaryChar"/>
    <w:rsid w:val="007A4620"/>
    <w:pPr>
      <w:jc w:val="right"/>
    </w:pPr>
    <w:rPr>
      <w:b/>
    </w:rPr>
  </w:style>
  <w:style w:type="paragraph" w:customStyle="1" w:styleId="SCCAppellantForRunningHead">
    <w:name w:val="SCC.AppellantForRunningHead"/>
    <w:basedOn w:val="Normal"/>
    <w:next w:val="Normal"/>
    <w:link w:val="SCCAppellantForRunningHeadChar"/>
    <w:rsid w:val="007A4620"/>
    <w:rPr>
      <w:smallCaps/>
    </w:rPr>
  </w:style>
  <w:style w:type="character" w:customStyle="1" w:styleId="SCCAppellantForRunningHeadChar">
    <w:name w:val="SCC.AppellantForRunningHead Char"/>
    <w:basedOn w:val="DefaultParagraphFont"/>
    <w:link w:val="SCCAppellantForRunningHead"/>
    <w:rsid w:val="007A4620"/>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7A4620"/>
    <w:rPr>
      <w:smallCaps/>
    </w:rPr>
  </w:style>
  <w:style w:type="character" w:customStyle="1" w:styleId="SCCRespondentForRunningHeadChar">
    <w:name w:val="SCC.RespondentForRunningHead Char"/>
    <w:basedOn w:val="DefaultParagraphFont"/>
    <w:link w:val="SCCRespondentForRunningHead"/>
    <w:rsid w:val="007A4620"/>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7A4620"/>
    <w:rPr>
      <w:b/>
    </w:rPr>
  </w:style>
  <w:style w:type="character" w:customStyle="1" w:styleId="SCCAppellantForIndexChar">
    <w:name w:val="SCC.AppellantForIndex Char"/>
    <w:basedOn w:val="DefaultParagraphFont"/>
    <w:link w:val="SCCAppellantForIndex"/>
    <w:rsid w:val="007A4620"/>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7A4620"/>
    <w:rPr>
      <w:b/>
    </w:rPr>
  </w:style>
  <w:style w:type="character" w:customStyle="1" w:styleId="SCCRespondentForIndexChar">
    <w:name w:val="SCC.RespondentForIndex Char"/>
    <w:basedOn w:val="DefaultParagraphFont"/>
    <w:link w:val="SCCRespondentForIndex"/>
    <w:rsid w:val="007A4620"/>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7A4620"/>
    <w:rPr>
      <w:b/>
    </w:rPr>
  </w:style>
  <w:style w:type="character" w:customStyle="1" w:styleId="SCCSystemYearChar">
    <w:name w:val="SCC.SystemYear Char"/>
    <w:basedOn w:val="DefaultParagraphFont"/>
    <w:link w:val="SCCSystemYear"/>
    <w:rsid w:val="007A4620"/>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7A4620"/>
    <w:rPr>
      <w:smallCaps/>
    </w:rPr>
  </w:style>
  <w:style w:type="paragraph" w:customStyle="1" w:styleId="SCCCounselName">
    <w:name w:val="SCC.CounselName"/>
    <w:basedOn w:val="SCCNormalDoubleSpacing"/>
    <w:next w:val="SCCNormalDoubleSpacing"/>
    <w:link w:val="SCCCounselNameChar"/>
    <w:rsid w:val="007A4620"/>
    <w:rPr>
      <w:i/>
    </w:rPr>
  </w:style>
  <w:style w:type="character" w:customStyle="1" w:styleId="SCCCounselNameChar">
    <w:name w:val="SCC.CounselName Char"/>
    <w:basedOn w:val="SCCNormalDoubleSpacingChar"/>
    <w:link w:val="SCCCounselName"/>
    <w:rsid w:val="007A4620"/>
    <w:rPr>
      <w:rFonts w:ascii="Times New Roman" w:eastAsia="Times New Roman" w:hAnsi="Times New Roman" w:cs="Times New Roman"/>
      <w:i/>
      <w:sz w:val="24"/>
      <w:szCs w:val="20"/>
      <w:lang w:val="en-CA" w:eastAsia="en-CA"/>
    </w:rPr>
  </w:style>
  <w:style w:type="paragraph" w:customStyle="1" w:styleId="SCCItalic">
    <w:name w:val="SCC.Italic"/>
    <w:basedOn w:val="SCCNormalDoubleSpacing"/>
    <w:next w:val="SCCNormalDoubleSpacing"/>
    <w:rsid w:val="007A4620"/>
    <w:rPr>
      <w:i/>
    </w:rPr>
  </w:style>
  <w:style w:type="paragraph" w:customStyle="1" w:styleId="SCCAppellantForCitation">
    <w:name w:val="SCC.AppellantForCitation"/>
    <w:basedOn w:val="Normal"/>
    <w:next w:val="Normal"/>
    <w:link w:val="SCCAppellantForCitationChar"/>
    <w:rsid w:val="007A4620"/>
    <w:rPr>
      <w:i/>
    </w:rPr>
  </w:style>
  <w:style w:type="character" w:customStyle="1" w:styleId="SCCAppellantForCitationChar">
    <w:name w:val="SCC.AppellantForCitation Char"/>
    <w:basedOn w:val="DefaultParagraphFont"/>
    <w:link w:val="SCCAppellantForCitation"/>
    <w:rsid w:val="007A4620"/>
    <w:rPr>
      <w:rFonts w:ascii="Times New Roman" w:eastAsia="Times New Roman" w:hAnsi="Times New Roman" w:cs="Times New Roman"/>
      <w:i/>
      <w:sz w:val="24"/>
      <w:szCs w:val="20"/>
      <w:lang w:val="en-CA" w:eastAsia="en-CA"/>
    </w:rPr>
  </w:style>
  <w:style w:type="paragraph" w:customStyle="1" w:styleId="SCCRespondentForCitation">
    <w:name w:val="SCC.RespondentForCitation"/>
    <w:basedOn w:val="Normal"/>
    <w:next w:val="Normal"/>
    <w:link w:val="SCCRespondentForCitationChar"/>
    <w:rsid w:val="007A4620"/>
    <w:rPr>
      <w:i/>
    </w:rPr>
  </w:style>
  <w:style w:type="character" w:customStyle="1" w:styleId="SCCRespondentForCitationChar">
    <w:name w:val="SCC.RespondentForCitation Char"/>
    <w:basedOn w:val="DefaultParagraphFont"/>
    <w:link w:val="SCCRespondentForCitation"/>
    <w:rsid w:val="007A4620"/>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7A4620"/>
  </w:style>
  <w:style w:type="character" w:customStyle="1" w:styleId="SCCCounselSeparatorChar">
    <w:name w:val="SCC.CounselSeparator Char"/>
    <w:basedOn w:val="SCCNormalDoubleSpacingChar"/>
    <w:link w:val="SCCCounselSeparator"/>
    <w:rsid w:val="007A4620"/>
    <w:rPr>
      <w:rFonts w:ascii="Times New Roman" w:eastAsia="Times New Roman" w:hAnsi="Times New Roman" w:cs="Times New Roman"/>
      <w:sz w:val="24"/>
      <w:szCs w:val="20"/>
      <w:lang w:val="en-CA" w:eastAsia="en-CA"/>
    </w:rPr>
  </w:style>
  <w:style w:type="paragraph" w:customStyle="1" w:styleId="SCCPartyRole">
    <w:name w:val="SCC.PartyRole"/>
    <w:basedOn w:val="SCCNormalDoubleSpacing"/>
    <w:next w:val="SCCNormalDoubleSpacing"/>
    <w:link w:val="SCCPartyRoleChar"/>
    <w:rsid w:val="007A4620"/>
  </w:style>
  <w:style w:type="character" w:customStyle="1" w:styleId="SCCPartyRoleChar">
    <w:name w:val="SCC.PartyRole Char"/>
    <w:basedOn w:val="SCCNormalDoubleSpacingChar"/>
    <w:link w:val="SCCPartyRole"/>
    <w:rsid w:val="007A4620"/>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7A4620"/>
    <w:rPr>
      <w:i/>
    </w:rPr>
  </w:style>
  <w:style w:type="character" w:customStyle="1" w:styleId="SCCLawFirmChar">
    <w:name w:val="SCC.LawFirm Char"/>
    <w:basedOn w:val="SCCNormalDoubleSpacingChar"/>
    <w:link w:val="SCCLawFirm"/>
    <w:rsid w:val="007A4620"/>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7A4620"/>
  </w:style>
  <w:style w:type="character" w:customStyle="1" w:styleId="SCCCounselPartyRoleChar">
    <w:name w:val="SCC.CounselPartyRole Char"/>
    <w:basedOn w:val="SCCNormalDoubleSpacingChar"/>
    <w:link w:val="SCCCounselPartyRole"/>
    <w:rsid w:val="007A4620"/>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7A4620"/>
    <w:pPr>
      <w:tabs>
        <w:tab w:val="right" w:pos="8222"/>
      </w:tabs>
      <w:spacing w:after="720"/>
    </w:pPr>
    <w:rPr>
      <w:b/>
    </w:rPr>
  </w:style>
  <w:style w:type="character" w:customStyle="1" w:styleId="SCCLsocLastPartyInRoleChar">
    <w:name w:val="SCC.Lsoc.LastPartyInRole Char"/>
    <w:basedOn w:val="SCCLsocPartyChar"/>
    <w:link w:val="SCCLsocLastPartyInRole"/>
    <w:rsid w:val="007A4620"/>
    <w:rPr>
      <w:rFonts w:ascii="Times New Roman" w:eastAsia="Times New Roman" w:hAnsi="Times New Roman" w:cs="Times New Roman"/>
      <w:b/>
      <w:sz w:val="24"/>
      <w:szCs w:val="20"/>
      <w:lang w:val="en-CA" w:eastAsia="en-CA"/>
    </w:rPr>
  </w:style>
  <w:style w:type="character" w:customStyle="1" w:styleId="solexhl">
    <w:name w:val="solexhl"/>
    <w:basedOn w:val="DefaultParagraphFont"/>
    <w:rsid w:val="007A4620"/>
  </w:style>
  <w:style w:type="character" w:styleId="Hyperlink">
    <w:name w:val="Hyperlink"/>
    <w:basedOn w:val="DefaultParagraphFont"/>
    <w:uiPriority w:val="99"/>
    <w:unhideWhenUsed/>
    <w:rsid w:val="007A4620"/>
    <w:rPr>
      <w:color w:val="0563C1" w:themeColor="hyperlink"/>
      <w:u w:val="single"/>
    </w:rPr>
  </w:style>
  <w:style w:type="paragraph" w:customStyle="1" w:styleId="ParaNoNdepar-AltN">
    <w:name w:val="Para. No. / Nº de par. - Alt N"/>
    <w:link w:val="ParaNoNdepar-AltNChar"/>
    <w:qFormat/>
    <w:rsid w:val="007A4620"/>
    <w:pPr>
      <w:numPr>
        <w:numId w:val="1"/>
      </w:numPr>
      <w:tabs>
        <w:tab w:val="clear" w:pos="1152"/>
        <w:tab w:val="left" w:pos="1166"/>
      </w:tabs>
      <w:spacing w:before="480" w:after="480" w:line="480" w:lineRule="auto"/>
      <w:jc w:val="both"/>
    </w:pPr>
    <w:rPr>
      <w:rFonts w:ascii="Times New Roman" w:eastAsiaTheme="minorEastAsia" w:hAnsi="Times New Roman"/>
      <w:sz w:val="24"/>
      <w:lang w:val="en-CA"/>
    </w:rPr>
  </w:style>
  <w:style w:type="character" w:customStyle="1" w:styleId="ParaNoNdepar-AltNChar">
    <w:name w:val="Para. No. / Nº de par. - Alt N Char"/>
    <w:basedOn w:val="DefaultParagraphFont"/>
    <w:link w:val="ParaNoNdepar-AltN"/>
    <w:rsid w:val="007A4620"/>
    <w:rPr>
      <w:rFonts w:ascii="Times New Roman" w:eastAsiaTheme="minorEastAsia" w:hAnsi="Times New Roman"/>
      <w:sz w:val="24"/>
      <w:lang w:val="en-CA"/>
    </w:rPr>
  </w:style>
  <w:style w:type="character" w:customStyle="1" w:styleId="reference">
    <w:name w:val="reference"/>
    <w:basedOn w:val="DefaultParagraphFont"/>
    <w:rsid w:val="007A4620"/>
  </w:style>
  <w:style w:type="character" w:customStyle="1" w:styleId="texte-courant1">
    <w:name w:val="texte-courant1"/>
    <w:basedOn w:val="DefaultParagraphFont"/>
    <w:rsid w:val="007A4620"/>
  </w:style>
  <w:style w:type="paragraph" w:customStyle="1" w:styleId="SCCLsocOtherPartyRoleSeparator">
    <w:name w:val="SCC.Lsoc.OtherPartyRoleSeparator"/>
    <w:basedOn w:val="Normal"/>
    <w:next w:val="Normal"/>
    <w:link w:val="SCCLsocOtherPartyRoleSeparatorChar"/>
    <w:rsid w:val="007A4620"/>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7A4620"/>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7A4620"/>
    <w:rPr>
      <w:rFonts w:ascii="Times New Roman" w:hAnsi="Times New Roman"/>
      <w:sz w:val="24"/>
      <w:lang w:bidi="en-US"/>
    </w:rPr>
  </w:style>
  <w:style w:type="character" w:customStyle="1" w:styleId="SCCLsocOtherPartyRoleSeparatorChar">
    <w:name w:val="SCC.Lsoc.OtherPartyRoleSeparator Char"/>
    <w:basedOn w:val="DefaultParagraphFont"/>
    <w:link w:val="SCCLsocOtherPartyRoleSeparator"/>
    <w:rsid w:val="007A4620"/>
    <w:rPr>
      <w:rFonts w:ascii="Times New Roman" w:hAnsi="Times New Roman"/>
      <w:sz w:val="24"/>
      <w:lang w:bidi="en-US"/>
    </w:rPr>
  </w:style>
  <w:style w:type="character" w:customStyle="1" w:styleId="SCCBanSummaryChar">
    <w:name w:val="SCC.BanSummary Char"/>
    <w:basedOn w:val="DefaultParagraphFont"/>
    <w:link w:val="SCCBanSummary"/>
    <w:rsid w:val="007A4620"/>
    <w:rPr>
      <w:rFonts w:ascii="Times New Roman" w:eastAsia="Times New Roman" w:hAnsi="Times New Roman" w:cs="Times New Roman"/>
      <w:b/>
      <w:sz w:val="24"/>
      <w:szCs w:val="20"/>
      <w:lang w:val="en-CA" w:eastAsia="en-CA"/>
    </w:rPr>
  </w:style>
  <w:style w:type="table" w:styleId="TableGrid">
    <w:name w:val="Table Grid"/>
    <w:basedOn w:val="TableNormal"/>
    <w:uiPriority w:val="59"/>
    <w:rsid w:val="007A4620"/>
    <w:pPr>
      <w:spacing w:after="0" w:line="240" w:lineRule="auto"/>
    </w:pPr>
    <w:rPr>
      <w:rFonts w:ascii="Times New Roman" w:eastAsia="Times New Roman" w:hAnsi="Times New Roman" w:cs="Times New Roman"/>
      <w:sz w:val="24"/>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A4620"/>
    <w:pPr>
      <w:spacing w:after="720" w:line="240" w:lineRule="auto"/>
      <w:ind w:left="1166"/>
      <w:contextualSpacing/>
      <w:jc w:val="both"/>
    </w:pPr>
    <w:rPr>
      <w:rFonts w:ascii="Times New Roman" w:eastAsia="Times New Roman" w:hAnsi="Times New Roman" w:cs="Times New Roman"/>
      <w:sz w:val="24"/>
      <w:szCs w:val="20"/>
      <w:lang w:val="en-CA" w:eastAsia="en-CA"/>
    </w:rPr>
  </w:style>
  <w:style w:type="paragraph" w:customStyle="1" w:styleId="ContinueParaSuitedupar-AltP">
    <w:name w:val="Continue Para. / Suite du par. - Alt P"/>
    <w:next w:val="ParaNoNdepar-AltN"/>
    <w:uiPriority w:val="1"/>
    <w:qFormat/>
    <w:rsid w:val="007A4620"/>
    <w:pPr>
      <w:spacing w:before="480" w:after="480" w:line="480" w:lineRule="auto"/>
      <w:jc w:val="both"/>
    </w:pPr>
    <w:rPr>
      <w:rFonts w:ascii="Times New Roman" w:hAnsi="Times New Roman"/>
      <w:sz w:val="24"/>
      <w:lang w:val="en-CA"/>
    </w:rPr>
  </w:style>
  <w:style w:type="paragraph" w:customStyle="1" w:styleId="JudgeJuge">
    <w:name w:val="Judge / Juge"/>
    <w:link w:val="JudgeJugeChar"/>
    <w:uiPriority w:val="3"/>
    <w:rsid w:val="007A4620"/>
    <w:pPr>
      <w:tabs>
        <w:tab w:val="left" w:pos="1260"/>
      </w:tabs>
      <w:spacing w:after="480" w:line="480" w:lineRule="auto"/>
    </w:pPr>
    <w:rPr>
      <w:rFonts w:ascii="Times New Roman" w:eastAsia="Times New Roman" w:hAnsi="Times New Roman" w:cs="Times New Roman"/>
      <w:smallCaps/>
      <w:sz w:val="24"/>
      <w:szCs w:val="20"/>
      <w:lang w:val="en-CA" w:eastAsia="en-CA"/>
    </w:rPr>
  </w:style>
  <w:style w:type="paragraph" w:customStyle="1" w:styleId="Title1LevelTitre1Niveau-AltL">
    <w:name w:val="Title 1 Level / Titre 1 Niveau - Alt L"/>
    <w:next w:val="ParaNoNdepar-AltN"/>
    <w:uiPriority w:val="4"/>
    <w:qFormat/>
    <w:rsid w:val="007A4620"/>
    <w:pPr>
      <w:numPr>
        <w:numId w:val="2"/>
      </w:numPr>
      <w:spacing w:before="480" w:after="720" w:line="240" w:lineRule="auto"/>
      <w:outlineLvl w:val="0"/>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7A462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A4620"/>
    <w:pPr>
      <w:numPr>
        <w:ilvl w:val="2"/>
      </w:numPr>
      <w:outlineLvl w:val="2"/>
    </w:pPr>
  </w:style>
  <w:style w:type="paragraph" w:customStyle="1" w:styleId="Title4LevelTitre4Niveau">
    <w:name w:val="Title 4 Level / Titre 4 Niveau"/>
    <w:basedOn w:val="Title3LevelTitre3Niveau"/>
    <w:next w:val="ParaNoNdepar-AltN"/>
    <w:uiPriority w:val="4"/>
    <w:qFormat/>
    <w:rsid w:val="007A4620"/>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A4620"/>
    <w:pPr>
      <w:numPr>
        <w:ilvl w:val="4"/>
      </w:numPr>
      <w:tabs>
        <w:tab w:val="clear" w:pos="1728"/>
        <w:tab w:val="num" w:pos="1440"/>
      </w:tabs>
      <w:outlineLvl w:val="4"/>
    </w:pPr>
  </w:style>
  <w:style w:type="paragraph" w:styleId="TOC1">
    <w:name w:val="toc 1"/>
    <w:basedOn w:val="Normal"/>
    <w:next w:val="Normal"/>
    <w:autoRedefine/>
    <w:uiPriority w:val="39"/>
    <w:unhideWhenUsed/>
    <w:rsid w:val="007A4620"/>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7A4620"/>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7A4620"/>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7A4620"/>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7A4620"/>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7A4620"/>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7A4620"/>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A4620"/>
    <w:pPr>
      <w:tabs>
        <w:tab w:val="left" w:pos="360"/>
      </w:tabs>
      <w:spacing w:before="480" w:after="720" w:line="240" w:lineRule="auto"/>
      <w:ind w:left="360" w:hanging="360"/>
      <w:jc w:val="both"/>
      <w:outlineLvl w:val="0"/>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7A4620"/>
    <w:pPr>
      <w:numPr>
        <w:ilvl w:val="5"/>
      </w:numPr>
      <w:jc w:val="both"/>
      <w:outlineLvl w:val="5"/>
    </w:pPr>
    <w:rPr>
      <w:i/>
      <w:u w:val="none"/>
    </w:rPr>
  </w:style>
  <w:style w:type="paragraph" w:styleId="FootnoteText">
    <w:name w:val="footnote text"/>
    <w:basedOn w:val="Normal"/>
    <w:link w:val="FootnoteTextChar"/>
    <w:uiPriority w:val="99"/>
    <w:unhideWhenUsed/>
    <w:rsid w:val="007A462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A4620"/>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7A4620"/>
    <w:rPr>
      <w:vertAlign w:val="superscript"/>
    </w:rPr>
  </w:style>
  <w:style w:type="character" w:styleId="CommentReference">
    <w:name w:val="annotation reference"/>
    <w:basedOn w:val="DefaultParagraphFont"/>
    <w:uiPriority w:val="99"/>
    <w:semiHidden/>
    <w:unhideWhenUsed/>
    <w:rsid w:val="007A4620"/>
    <w:rPr>
      <w:sz w:val="16"/>
      <w:szCs w:val="16"/>
    </w:rPr>
  </w:style>
  <w:style w:type="paragraph" w:styleId="CommentText">
    <w:name w:val="annotation text"/>
    <w:basedOn w:val="Normal"/>
    <w:link w:val="CommentTextChar"/>
    <w:uiPriority w:val="99"/>
    <w:semiHidden/>
    <w:unhideWhenUsed/>
    <w:rsid w:val="007A4620"/>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7A4620"/>
    <w:rPr>
      <w:rFonts w:ascii="Times New Roman" w:hAnsi="Times New Roman"/>
      <w:sz w:val="20"/>
      <w:lang w:bidi="en-US"/>
    </w:rPr>
  </w:style>
  <w:style w:type="paragraph" w:styleId="CommentSubject">
    <w:name w:val="annotation subject"/>
    <w:basedOn w:val="CommentText"/>
    <w:next w:val="CommentText"/>
    <w:link w:val="CommentSubjectChar"/>
    <w:uiPriority w:val="99"/>
    <w:semiHidden/>
    <w:unhideWhenUsed/>
    <w:rsid w:val="007A4620"/>
    <w:rPr>
      <w:b/>
      <w:bCs/>
    </w:rPr>
  </w:style>
  <w:style w:type="character" w:customStyle="1" w:styleId="CommentSubjectChar">
    <w:name w:val="Comment Subject Char"/>
    <w:basedOn w:val="CommentTextChar"/>
    <w:link w:val="CommentSubject"/>
    <w:uiPriority w:val="99"/>
    <w:semiHidden/>
    <w:rsid w:val="007A4620"/>
    <w:rPr>
      <w:rFonts w:ascii="Times New Roman" w:hAnsi="Times New Roman"/>
      <w:b/>
      <w:bCs/>
      <w:sz w:val="20"/>
      <w:lang w:bidi="en-US"/>
    </w:rPr>
  </w:style>
  <w:style w:type="paragraph" w:styleId="Revision">
    <w:name w:val="Revision"/>
    <w:hidden/>
    <w:uiPriority w:val="99"/>
    <w:semiHidden/>
    <w:rsid w:val="007A4620"/>
    <w:pPr>
      <w:spacing w:after="0" w:line="240" w:lineRule="auto"/>
    </w:pPr>
    <w:rPr>
      <w:rFonts w:ascii="Times New Roman" w:hAnsi="Times New Roman"/>
      <w:sz w:val="24"/>
      <w:lang w:bidi="en-US"/>
    </w:rPr>
  </w:style>
  <w:style w:type="character" w:customStyle="1" w:styleId="JudgeJugeChar">
    <w:name w:val="Judge / Juge Char"/>
    <w:basedOn w:val="DefaultParagraphFont"/>
    <w:link w:val="JudgeJuge"/>
    <w:uiPriority w:val="3"/>
    <w:rsid w:val="007A4620"/>
    <w:rPr>
      <w:rFonts w:ascii="Times New Roman" w:eastAsia="Times New Roman" w:hAnsi="Times New Roman" w:cs="Times New Roman"/>
      <w:smallCaps/>
      <w:sz w:val="24"/>
      <w:szCs w:val="20"/>
      <w:lang w:val="en-CA" w:eastAsia="en-CA"/>
    </w:rPr>
  </w:style>
  <w:style w:type="paragraph" w:styleId="NoSpacing">
    <w:name w:val="No Spacing"/>
    <w:uiPriority w:val="1"/>
    <w:rsid w:val="007A4620"/>
    <w:pPr>
      <w:spacing w:after="0" w:line="240" w:lineRule="auto"/>
    </w:pPr>
    <w:rPr>
      <w:rFonts w:ascii="Times New Roman" w:hAnsi="Times New Roman"/>
      <w:sz w:val="24"/>
      <w:lang w:bidi="en-US"/>
    </w:rPr>
  </w:style>
  <w:style w:type="paragraph" w:styleId="TOCHeading">
    <w:name w:val="TOC Heading"/>
    <w:basedOn w:val="Heading1"/>
    <w:next w:val="Normal"/>
    <w:uiPriority w:val="39"/>
    <w:unhideWhenUsed/>
    <w:qFormat/>
    <w:rsid w:val="007A4620"/>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7A4620"/>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7A462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A4620"/>
    <w:rPr>
      <w:rFonts w:asciiTheme="majorHAnsi" w:eastAsiaTheme="majorEastAsia" w:hAnsiTheme="majorHAnsi" w:cstheme="majorBidi"/>
      <w:color w:val="323E4F" w:themeColor="text2" w:themeShade="BF"/>
      <w:spacing w:val="5"/>
      <w:kern w:val="28"/>
      <w:sz w:val="52"/>
      <w:szCs w:val="52"/>
      <w:lang w:bidi="en-US"/>
    </w:rPr>
  </w:style>
  <w:style w:type="paragraph" w:styleId="Subtitle">
    <w:name w:val="Subtitle"/>
    <w:basedOn w:val="Normal"/>
    <w:next w:val="Normal"/>
    <w:link w:val="SubtitleChar"/>
    <w:uiPriority w:val="11"/>
    <w:rsid w:val="007A4620"/>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7A4620"/>
    <w:rPr>
      <w:rFonts w:asciiTheme="majorHAnsi" w:eastAsiaTheme="majorEastAsia" w:hAnsiTheme="majorHAnsi" w:cstheme="majorBidi"/>
      <w:i/>
      <w:iCs/>
      <w:color w:val="5B9BD5" w:themeColor="accent1"/>
      <w:spacing w:val="15"/>
      <w:sz w:val="24"/>
      <w:szCs w:val="24"/>
      <w:lang w:bidi="en-US"/>
    </w:rPr>
  </w:style>
  <w:style w:type="character" w:styleId="Emphasis">
    <w:name w:val="Emphasis"/>
    <w:basedOn w:val="DefaultParagraphFont"/>
    <w:uiPriority w:val="20"/>
    <w:rsid w:val="007A4620"/>
    <w:rPr>
      <w:i/>
      <w:iCs/>
    </w:rPr>
  </w:style>
  <w:style w:type="paragraph" w:styleId="ListParagraph">
    <w:name w:val="List Paragraph"/>
    <w:basedOn w:val="Normal"/>
    <w:uiPriority w:val="34"/>
    <w:qFormat/>
    <w:rsid w:val="007A4620"/>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7A4620"/>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7A4620"/>
    <w:rPr>
      <w:rFonts w:ascii="Times New Roman" w:hAnsi="Times New Roman"/>
      <w:b/>
      <w:bCs/>
      <w:i/>
      <w:iCs/>
      <w:color w:val="5B9BD5" w:themeColor="accent1"/>
      <w:sz w:val="24"/>
      <w:lang w:bidi="en-US"/>
    </w:rPr>
  </w:style>
  <w:style w:type="character" w:styleId="SubtleEmphasis">
    <w:name w:val="Subtle Emphasis"/>
    <w:basedOn w:val="DefaultParagraphFont"/>
    <w:uiPriority w:val="19"/>
    <w:rsid w:val="007A4620"/>
    <w:rPr>
      <w:i/>
      <w:iCs/>
      <w:color w:val="808080" w:themeColor="text1" w:themeTint="7F"/>
    </w:rPr>
  </w:style>
  <w:style w:type="character" w:styleId="IntenseEmphasis">
    <w:name w:val="Intense Emphasis"/>
    <w:basedOn w:val="DefaultParagraphFont"/>
    <w:uiPriority w:val="21"/>
    <w:rsid w:val="007A4620"/>
    <w:rPr>
      <w:b/>
      <w:bCs/>
      <w:i/>
      <w:iCs/>
      <w:color w:val="5B9BD5" w:themeColor="accent1"/>
    </w:rPr>
  </w:style>
  <w:style w:type="character" w:styleId="SubtleReference">
    <w:name w:val="Subtle Reference"/>
    <w:basedOn w:val="DefaultParagraphFont"/>
    <w:uiPriority w:val="31"/>
    <w:rsid w:val="007A4620"/>
    <w:rPr>
      <w:smallCaps/>
      <w:color w:val="ED7D31" w:themeColor="accent2"/>
      <w:u w:val="single"/>
    </w:rPr>
  </w:style>
  <w:style w:type="character" w:styleId="IntenseReference">
    <w:name w:val="Intense Reference"/>
    <w:basedOn w:val="DefaultParagraphFont"/>
    <w:uiPriority w:val="32"/>
    <w:rsid w:val="007A4620"/>
    <w:rPr>
      <w:b/>
      <w:bCs/>
      <w:smallCaps/>
      <w:color w:val="ED7D31" w:themeColor="accent2"/>
      <w:spacing w:val="5"/>
      <w:u w:val="single"/>
    </w:rPr>
  </w:style>
  <w:style w:type="character" w:styleId="BookTitle">
    <w:name w:val="Book Title"/>
    <w:basedOn w:val="DefaultParagraphFont"/>
    <w:uiPriority w:val="33"/>
    <w:rsid w:val="007A4620"/>
    <w:rPr>
      <w:b/>
      <w:bCs/>
      <w:smallCaps/>
      <w:spacing w:val="5"/>
    </w:rPr>
  </w:style>
  <w:style w:type="character" w:customStyle="1" w:styleId="label-z">
    <w:name w:val="label-z"/>
    <w:basedOn w:val="DefaultParagraphFont"/>
    <w:rsid w:val="007A4620"/>
  </w:style>
  <w:style w:type="numbering" w:customStyle="1" w:styleId="MemoTOCList">
    <w:name w:val="Memo TOC List"/>
    <w:basedOn w:val="NoList"/>
    <w:uiPriority w:val="99"/>
    <w:rsid w:val="007A4620"/>
  </w:style>
  <w:style w:type="character" w:customStyle="1" w:styleId="parafoonote1">
    <w:name w:val="parafoonote1"/>
    <w:basedOn w:val="DefaultParagraphFont"/>
    <w:rsid w:val="007A4620"/>
    <w:rPr>
      <w:sz w:val="15"/>
      <w:szCs w:val="15"/>
      <w:vertAlign w:val="superscript"/>
    </w:rPr>
  </w:style>
  <w:style w:type="character" w:customStyle="1" w:styleId="Italic">
    <w:name w:val="Italic"/>
    <w:basedOn w:val="DefaultParagraphFont"/>
    <w:uiPriority w:val="1"/>
    <w:rsid w:val="007A4620"/>
    <w:rPr>
      <w:i/>
    </w:rPr>
  </w:style>
  <w:style w:type="character" w:customStyle="1" w:styleId="reflex3-block">
    <w:name w:val="reflex3-block"/>
    <w:basedOn w:val="DefaultParagraphFont"/>
    <w:rsid w:val="007A4620"/>
  </w:style>
  <w:style w:type="character" w:customStyle="1" w:styleId="reflex3-alt">
    <w:name w:val="reflex3-alt"/>
    <w:basedOn w:val="DefaultParagraphFont"/>
    <w:rsid w:val="007A4620"/>
  </w:style>
  <w:style w:type="paragraph" w:customStyle="1" w:styleId="paranondepar-altn1">
    <w:name w:val="paranondepar-altn1"/>
    <w:basedOn w:val="Normal"/>
    <w:rsid w:val="007A4620"/>
    <w:pPr>
      <w:spacing w:before="480" w:after="480"/>
      <w:jc w:val="both"/>
    </w:pPr>
    <w:rPr>
      <w:szCs w:val="24"/>
      <w:lang w:val="fr-CA" w:eastAsia="fr-CA"/>
    </w:rPr>
  </w:style>
  <w:style w:type="paragraph" w:customStyle="1" w:styleId="citation-altc1">
    <w:name w:val="citation-altc1"/>
    <w:basedOn w:val="Normal"/>
    <w:rsid w:val="007A4620"/>
    <w:pPr>
      <w:spacing w:after="720"/>
      <w:ind w:left="1166"/>
      <w:jc w:val="both"/>
    </w:pPr>
    <w:rPr>
      <w:szCs w:val="24"/>
      <w:lang w:val="fr-CA" w:eastAsia="fr-CA"/>
    </w:rPr>
  </w:style>
  <w:style w:type="character" w:customStyle="1" w:styleId="solext210">
    <w:name w:val="solext210"/>
    <w:basedOn w:val="DefaultParagraphFont"/>
    <w:rsid w:val="007A4620"/>
    <w:rPr>
      <w:shd w:val="clear" w:color="auto" w:fill="FDD3BF"/>
    </w:rPr>
  </w:style>
  <w:style w:type="paragraph" w:styleId="ListBullet">
    <w:name w:val="List Bullet"/>
    <w:basedOn w:val="Normal"/>
    <w:uiPriority w:val="99"/>
    <w:unhideWhenUsed/>
    <w:rsid w:val="007A4620"/>
    <w:pPr>
      <w:tabs>
        <w:tab w:val="num" w:pos="360"/>
      </w:tabs>
      <w:ind w:left="360" w:hanging="360"/>
      <w:contextualSpacing/>
    </w:pPr>
    <w:rPr>
      <w:szCs w:val="24"/>
    </w:rPr>
  </w:style>
  <w:style w:type="table" w:customStyle="1" w:styleId="TableGrid2">
    <w:name w:val="Table Grid2"/>
    <w:basedOn w:val="TableNormal"/>
    <w:next w:val="TableGrid"/>
    <w:uiPriority w:val="59"/>
    <w:rsid w:val="007A4620"/>
    <w:pPr>
      <w:spacing w:after="0" w:line="240" w:lineRule="auto"/>
    </w:pPr>
    <w:rPr>
      <w:rFonts w:ascii="Times New Roman" w:hAnsi="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96296D"/>
    <w:rPr>
      <w:lang w:val="fr-CA"/>
    </w:rPr>
  </w:style>
  <w:style w:type="paragraph" w:customStyle="1" w:styleId="SCCLsocPrefix">
    <w:name w:val="SCC.Lsoc.Prefix"/>
    <w:basedOn w:val="Normal"/>
    <w:next w:val="Normal"/>
    <w:link w:val="SCCLsocPrefixChar"/>
    <w:rsid w:val="0096296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6296D"/>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12647">
      <w:bodyDiv w:val="1"/>
      <w:marLeft w:val="0"/>
      <w:marRight w:val="0"/>
      <w:marTop w:val="0"/>
      <w:marBottom w:val="0"/>
      <w:divBdr>
        <w:top w:val="none" w:sz="0" w:space="0" w:color="auto"/>
        <w:left w:val="none" w:sz="0" w:space="0" w:color="auto"/>
        <w:bottom w:val="none" w:sz="0" w:space="0" w:color="auto"/>
        <w:right w:val="none" w:sz="0" w:space="0" w:color="auto"/>
      </w:divBdr>
      <w:divsChild>
        <w:div w:id="1347713965">
          <w:marLeft w:val="0"/>
          <w:marRight w:val="0"/>
          <w:marTop w:val="0"/>
          <w:marBottom w:val="0"/>
          <w:divBdr>
            <w:top w:val="none" w:sz="0" w:space="0" w:color="auto"/>
            <w:left w:val="none" w:sz="0" w:space="0" w:color="auto"/>
            <w:bottom w:val="none" w:sz="0" w:space="0" w:color="auto"/>
            <w:right w:val="none" w:sz="0" w:space="0" w:color="auto"/>
          </w:divBdr>
        </w:div>
        <w:div w:id="1418095927">
          <w:marLeft w:val="0"/>
          <w:marRight w:val="0"/>
          <w:marTop w:val="0"/>
          <w:marBottom w:val="0"/>
          <w:divBdr>
            <w:top w:val="none" w:sz="0" w:space="0" w:color="auto"/>
            <w:left w:val="none" w:sz="0" w:space="0" w:color="auto"/>
            <w:bottom w:val="none" w:sz="0" w:space="0" w:color="auto"/>
            <w:right w:val="none" w:sz="0" w:space="0" w:color="auto"/>
          </w:divBdr>
        </w:div>
        <w:div w:id="1354303457">
          <w:marLeft w:val="0"/>
          <w:marRight w:val="0"/>
          <w:marTop w:val="0"/>
          <w:marBottom w:val="0"/>
          <w:divBdr>
            <w:top w:val="none" w:sz="0" w:space="0" w:color="auto"/>
            <w:left w:val="none" w:sz="0" w:space="0" w:color="auto"/>
            <w:bottom w:val="none" w:sz="0" w:space="0" w:color="auto"/>
            <w:right w:val="none" w:sz="0" w:space="0" w:color="auto"/>
          </w:divBdr>
          <w:divsChild>
            <w:div w:id="2124415852">
              <w:marLeft w:val="0"/>
              <w:marRight w:val="0"/>
              <w:marTop w:val="0"/>
              <w:marBottom w:val="0"/>
              <w:divBdr>
                <w:top w:val="none" w:sz="0" w:space="0" w:color="auto"/>
                <w:left w:val="none" w:sz="0" w:space="0" w:color="auto"/>
                <w:bottom w:val="none" w:sz="0" w:space="0" w:color="auto"/>
                <w:right w:val="none" w:sz="0" w:space="0" w:color="auto"/>
              </w:divBdr>
            </w:div>
          </w:divsChild>
        </w:div>
        <w:div w:id="446584957">
          <w:marLeft w:val="0"/>
          <w:marRight w:val="0"/>
          <w:marTop w:val="0"/>
          <w:marBottom w:val="600"/>
          <w:divBdr>
            <w:top w:val="none" w:sz="0" w:space="0" w:color="auto"/>
            <w:left w:val="none" w:sz="0" w:space="0" w:color="auto"/>
            <w:bottom w:val="none" w:sz="0" w:space="0" w:color="auto"/>
            <w:right w:val="none" w:sz="0" w:space="0" w:color="auto"/>
          </w:divBdr>
          <w:divsChild>
            <w:div w:id="2088960636">
              <w:marLeft w:val="0"/>
              <w:marRight w:val="0"/>
              <w:marTop w:val="0"/>
              <w:marBottom w:val="240"/>
              <w:divBdr>
                <w:top w:val="none" w:sz="0" w:space="0" w:color="auto"/>
                <w:left w:val="none" w:sz="0" w:space="0" w:color="auto"/>
                <w:bottom w:val="none" w:sz="0" w:space="0" w:color="auto"/>
                <w:right w:val="none" w:sz="0" w:space="0" w:color="auto"/>
              </w:divBdr>
              <w:divsChild>
                <w:div w:id="1078213210">
                  <w:marLeft w:val="0"/>
                  <w:marRight w:val="0"/>
                  <w:marTop w:val="0"/>
                  <w:marBottom w:val="0"/>
                  <w:divBdr>
                    <w:top w:val="none" w:sz="0" w:space="0" w:color="auto"/>
                    <w:left w:val="none" w:sz="0" w:space="0" w:color="auto"/>
                    <w:bottom w:val="none" w:sz="0" w:space="0" w:color="auto"/>
                    <w:right w:val="none" w:sz="0" w:space="0" w:color="auto"/>
                  </w:divBdr>
                </w:div>
                <w:div w:id="928269215">
                  <w:marLeft w:val="0"/>
                  <w:marRight w:val="0"/>
                  <w:marTop w:val="0"/>
                  <w:marBottom w:val="0"/>
                  <w:divBdr>
                    <w:top w:val="none" w:sz="0" w:space="0" w:color="auto"/>
                    <w:left w:val="none" w:sz="0" w:space="0" w:color="auto"/>
                    <w:bottom w:val="none" w:sz="0" w:space="0" w:color="auto"/>
                    <w:right w:val="none" w:sz="0" w:space="0" w:color="auto"/>
                  </w:divBdr>
                  <w:divsChild>
                    <w:div w:id="1768580678">
                      <w:marLeft w:val="0"/>
                      <w:marRight w:val="0"/>
                      <w:marTop w:val="0"/>
                      <w:marBottom w:val="0"/>
                      <w:divBdr>
                        <w:top w:val="none" w:sz="0" w:space="0" w:color="auto"/>
                        <w:left w:val="none" w:sz="0" w:space="0" w:color="auto"/>
                        <w:bottom w:val="none" w:sz="0" w:space="0" w:color="auto"/>
                        <w:right w:val="none" w:sz="0" w:space="0" w:color="auto"/>
                      </w:divBdr>
                    </w:div>
                  </w:divsChild>
                </w:div>
                <w:div w:id="2066103323">
                  <w:marLeft w:val="0"/>
                  <w:marRight w:val="0"/>
                  <w:marTop w:val="0"/>
                  <w:marBottom w:val="0"/>
                  <w:divBdr>
                    <w:top w:val="none" w:sz="0" w:space="0" w:color="auto"/>
                    <w:left w:val="none" w:sz="0" w:space="0" w:color="auto"/>
                    <w:bottom w:val="none" w:sz="0" w:space="0" w:color="auto"/>
                    <w:right w:val="none" w:sz="0" w:space="0" w:color="auto"/>
                  </w:divBdr>
                  <w:divsChild>
                    <w:div w:id="1174804735">
                      <w:marLeft w:val="0"/>
                      <w:marRight w:val="0"/>
                      <w:marTop w:val="0"/>
                      <w:marBottom w:val="0"/>
                      <w:divBdr>
                        <w:top w:val="none" w:sz="0" w:space="0" w:color="auto"/>
                        <w:left w:val="none" w:sz="0" w:space="0" w:color="auto"/>
                        <w:bottom w:val="none" w:sz="0" w:space="0" w:color="auto"/>
                        <w:right w:val="none" w:sz="0" w:space="0" w:color="auto"/>
                      </w:divBdr>
                      <w:divsChild>
                        <w:div w:id="1513373275">
                          <w:marLeft w:val="0"/>
                          <w:marRight w:val="0"/>
                          <w:marTop w:val="0"/>
                          <w:marBottom w:val="0"/>
                          <w:divBdr>
                            <w:top w:val="none" w:sz="0" w:space="0" w:color="auto"/>
                            <w:left w:val="none" w:sz="0" w:space="0" w:color="auto"/>
                            <w:bottom w:val="none" w:sz="0" w:space="0" w:color="auto"/>
                            <w:right w:val="none" w:sz="0" w:space="0" w:color="auto"/>
                          </w:divBdr>
                          <w:divsChild>
                            <w:div w:id="467672595">
                              <w:marLeft w:val="0"/>
                              <w:marRight w:val="0"/>
                              <w:marTop w:val="0"/>
                              <w:marBottom w:val="0"/>
                              <w:divBdr>
                                <w:top w:val="single" w:sz="6" w:space="2" w:color="D1D2D3"/>
                                <w:left w:val="single" w:sz="6" w:space="4" w:color="D1D2D3"/>
                                <w:bottom w:val="single" w:sz="6" w:space="2" w:color="D1D2D3"/>
                                <w:right w:val="single" w:sz="6" w:space="4" w:color="D1D2D3"/>
                              </w:divBdr>
                              <w:divsChild>
                                <w:div w:id="1401514075">
                                  <w:marLeft w:val="0"/>
                                  <w:marRight w:val="0"/>
                                  <w:marTop w:val="0"/>
                                  <w:marBottom w:val="0"/>
                                  <w:divBdr>
                                    <w:top w:val="none" w:sz="0" w:space="0" w:color="auto"/>
                                    <w:left w:val="none" w:sz="0" w:space="0" w:color="auto"/>
                                    <w:bottom w:val="none" w:sz="0" w:space="0" w:color="auto"/>
                                    <w:right w:val="none" w:sz="0" w:space="0" w:color="auto"/>
                                  </w:divBdr>
                                </w:div>
                              </w:divsChild>
                            </w:div>
                            <w:div w:id="52042936">
                              <w:marLeft w:val="0"/>
                              <w:marRight w:val="0"/>
                              <w:marTop w:val="0"/>
                              <w:marBottom w:val="0"/>
                              <w:divBdr>
                                <w:top w:val="single" w:sz="6" w:space="2" w:color="D1D2D3"/>
                                <w:left w:val="single" w:sz="6" w:space="4" w:color="D1D2D3"/>
                                <w:bottom w:val="single" w:sz="6" w:space="2" w:color="D1D2D3"/>
                                <w:right w:val="single" w:sz="6" w:space="4" w:color="D1D2D3"/>
                              </w:divBdr>
                              <w:divsChild>
                                <w:div w:id="1063874077">
                                  <w:marLeft w:val="0"/>
                                  <w:marRight w:val="0"/>
                                  <w:marTop w:val="0"/>
                                  <w:marBottom w:val="0"/>
                                  <w:divBdr>
                                    <w:top w:val="none" w:sz="0" w:space="0" w:color="auto"/>
                                    <w:left w:val="none" w:sz="0" w:space="0" w:color="auto"/>
                                    <w:bottom w:val="none" w:sz="0" w:space="0" w:color="auto"/>
                                    <w:right w:val="none" w:sz="0" w:space="0" w:color="auto"/>
                                  </w:divBdr>
                                </w:div>
                              </w:divsChild>
                            </w:div>
                            <w:div w:id="302857332">
                              <w:marLeft w:val="0"/>
                              <w:marRight w:val="0"/>
                              <w:marTop w:val="0"/>
                              <w:marBottom w:val="0"/>
                              <w:divBdr>
                                <w:top w:val="single" w:sz="6" w:space="2" w:color="D1D2D3"/>
                                <w:left w:val="single" w:sz="6" w:space="4" w:color="D1D2D3"/>
                                <w:bottom w:val="single" w:sz="6" w:space="2" w:color="D1D2D3"/>
                                <w:right w:val="single" w:sz="6" w:space="4" w:color="D1D2D3"/>
                              </w:divBdr>
                              <w:divsChild>
                                <w:div w:id="1125585198">
                                  <w:marLeft w:val="0"/>
                                  <w:marRight w:val="0"/>
                                  <w:marTop w:val="0"/>
                                  <w:marBottom w:val="0"/>
                                  <w:divBdr>
                                    <w:top w:val="none" w:sz="0" w:space="0" w:color="auto"/>
                                    <w:left w:val="none" w:sz="0" w:space="0" w:color="auto"/>
                                    <w:bottom w:val="none" w:sz="0" w:space="0" w:color="auto"/>
                                    <w:right w:val="none" w:sz="0" w:space="0" w:color="auto"/>
                                  </w:divBdr>
                                  <w:divsChild>
                                    <w:div w:id="16219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367970">
              <w:marLeft w:val="72"/>
              <w:marRight w:val="72"/>
              <w:marTop w:val="0"/>
              <w:marBottom w:val="0"/>
              <w:divBdr>
                <w:top w:val="none" w:sz="0" w:space="0" w:color="auto"/>
                <w:left w:val="none" w:sz="0" w:space="0" w:color="auto"/>
                <w:bottom w:val="none" w:sz="0" w:space="0" w:color="auto"/>
                <w:right w:val="none" w:sz="0" w:space="0" w:color="auto"/>
              </w:divBdr>
              <w:divsChild>
                <w:div w:id="1052389786">
                  <w:marLeft w:val="0"/>
                  <w:marRight w:val="0"/>
                  <w:marTop w:val="0"/>
                  <w:marBottom w:val="0"/>
                  <w:divBdr>
                    <w:top w:val="none" w:sz="0" w:space="0" w:color="auto"/>
                    <w:left w:val="none" w:sz="0" w:space="0" w:color="auto"/>
                    <w:bottom w:val="none" w:sz="0" w:space="0" w:color="auto"/>
                    <w:right w:val="none" w:sz="0" w:space="0" w:color="auto"/>
                  </w:divBdr>
                  <w:divsChild>
                    <w:div w:id="1445686361">
                      <w:marLeft w:val="0"/>
                      <w:marRight w:val="0"/>
                      <w:marTop w:val="0"/>
                      <w:marBottom w:val="0"/>
                      <w:divBdr>
                        <w:top w:val="none" w:sz="0" w:space="0" w:color="auto"/>
                        <w:left w:val="none" w:sz="0" w:space="0" w:color="auto"/>
                        <w:bottom w:val="none" w:sz="0" w:space="0" w:color="auto"/>
                        <w:right w:val="none" w:sz="0" w:space="0" w:color="auto"/>
                      </w:divBdr>
                      <w:divsChild>
                        <w:div w:id="189756646">
                          <w:marLeft w:val="0"/>
                          <w:marRight w:val="0"/>
                          <w:marTop w:val="0"/>
                          <w:marBottom w:val="0"/>
                          <w:divBdr>
                            <w:top w:val="none" w:sz="0" w:space="0" w:color="auto"/>
                            <w:left w:val="none" w:sz="0" w:space="0" w:color="auto"/>
                            <w:bottom w:val="none" w:sz="0" w:space="0" w:color="auto"/>
                            <w:right w:val="none" w:sz="0" w:space="0" w:color="auto"/>
                          </w:divBdr>
                        </w:div>
                        <w:div w:id="1163400028">
                          <w:marLeft w:val="0"/>
                          <w:marRight w:val="0"/>
                          <w:marTop w:val="0"/>
                          <w:marBottom w:val="0"/>
                          <w:divBdr>
                            <w:top w:val="none" w:sz="0" w:space="0" w:color="auto"/>
                            <w:left w:val="none" w:sz="0" w:space="0" w:color="auto"/>
                            <w:bottom w:val="none" w:sz="0" w:space="0" w:color="auto"/>
                            <w:right w:val="none" w:sz="0" w:space="0" w:color="auto"/>
                          </w:divBdr>
                        </w:div>
                        <w:div w:id="1310135813">
                          <w:marLeft w:val="0"/>
                          <w:marRight w:val="0"/>
                          <w:marTop w:val="0"/>
                          <w:marBottom w:val="0"/>
                          <w:divBdr>
                            <w:top w:val="none" w:sz="0" w:space="0" w:color="auto"/>
                            <w:left w:val="none" w:sz="0" w:space="0" w:color="auto"/>
                            <w:bottom w:val="none" w:sz="0" w:space="0" w:color="auto"/>
                            <w:right w:val="none" w:sz="0" w:space="0" w:color="auto"/>
                          </w:divBdr>
                        </w:div>
                        <w:div w:id="1197355778">
                          <w:marLeft w:val="0"/>
                          <w:marRight w:val="0"/>
                          <w:marTop w:val="0"/>
                          <w:marBottom w:val="0"/>
                          <w:divBdr>
                            <w:top w:val="none" w:sz="0" w:space="0" w:color="auto"/>
                            <w:left w:val="none" w:sz="0" w:space="0" w:color="auto"/>
                            <w:bottom w:val="none" w:sz="0" w:space="0" w:color="auto"/>
                            <w:right w:val="none" w:sz="0" w:space="0" w:color="auto"/>
                          </w:divBdr>
                        </w:div>
                        <w:div w:id="1846245496">
                          <w:marLeft w:val="0"/>
                          <w:marRight w:val="0"/>
                          <w:marTop w:val="0"/>
                          <w:marBottom w:val="0"/>
                          <w:divBdr>
                            <w:top w:val="none" w:sz="0" w:space="0" w:color="auto"/>
                            <w:left w:val="none" w:sz="0" w:space="0" w:color="auto"/>
                            <w:bottom w:val="none" w:sz="0" w:space="0" w:color="auto"/>
                            <w:right w:val="none" w:sz="0" w:space="0" w:color="auto"/>
                          </w:divBdr>
                        </w:div>
                        <w:div w:id="963736858">
                          <w:marLeft w:val="0"/>
                          <w:marRight w:val="0"/>
                          <w:marTop w:val="0"/>
                          <w:marBottom w:val="0"/>
                          <w:divBdr>
                            <w:top w:val="none" w:sz="0" w:space="0" w:color="auto"/>
                            <w:left w:val="none" w:sz="0" w:space="0" w:color="auto"/>
                            <w:bottom w:val="none" w:sz="0" w:space="0" w:color="auto"/>
                            <w:right w:val="none" w:sz="0" w:space="0" w:color="auto"/>
                          </w:divBdr>
                        </w:div>
                        <w:div w:id="206987923">
                          <w:marLeft w:val="0"/>
                          <w:marRight w:val="0"/>
                          <w:marTop w:val="0"/>
                          <w:marBottom w:val="0"/>
                          <w:divBdr>
                            <w:top w:val="none" w:sz="0" w:space="0" w:color="auto"/>
                            <w:left w:val="none" w:sz="0" w:space="0" w:color="auto"/>
                            <w:bottom w:val="none" w:sz="0" w:space="0" w:color="auto"/>
                            <w:right w:val="none" w:sz="0" w:space="0" w:color="auto"/>
                          </w:divBdr>
                        </w:div>
                        <w:div w:id="1321999654">
                          <w:marLeft w:val="0"/>
                          <w:marRight w:val="0"/>
                          <w:marTop w:val="0"/>
                          <w:marBottom w:val="0"/>
                          <w:divBdr>
                            <w:top w:val="none" w:sz="0" w:space="0" w:color="auto"/>
                            <w:left w:val="none" w:sz="0" w:space="0" w:color="auto"/>
                            <w:bottom w:val="none" w:sz="0" w:space="0" w:color="auto"/>
                            <w:right w:val="none" w:sz="0" w:space="0" w:color="auto"/>
                          </w:divBdr>
                        </w:div>
                        <w:div w:id="13082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15303">
          <w:marLeft w:val="0"/>
          <w:marRight w:val="0"/>
          <w:marTop w:val="0"/>
          <w:marBottom w:val="0"/>
          <w:divBdr>
            <w:top w:val="none" w:sz="0" w:space="0" w:color="auto"/>
            <w:left w:val="none" w:sz="0" w:space="0" w:color="auto"/>
            <w:bottom w:val="none" w:sz="0" w:space="0" w:color="auto"/>
            <w:right w:val="none" w:sz="0" w:space="0" w:color="auto"/>
          </w:divBdr>
          <w:divsChild>
            <w:div w:id="1270158581">
              <w:marLeft w:val="0"/>
              <w:marRight w:val="0"/>
              <w:marTop w:val="0"/>
              <w:marBottom w:val="0"/>
              <w:divBdr>
                <w:top w:val="none" w:sz="0" w:space="0" w:color="auto"/>
                <w:left w:val="none" w:sz="0" w:space="0" w:color="auto"/>
                <w:bottom w:val="none" w:sz="0" w:space="0" w:color="auto"/>
                <w:right w:val="none" w:sz="0" w:space="0" w:color="auto"/>
              </w:divBdr>
            </w:div>
            <w:div w:id="1522860248">
              <w:marLeft w:val="0"/>
              <w:marRight w:val="0"/>
              <w:marTop w:val="0"/>
              <w:marBottom w:val="0"/>
              <w:divBdr>
                <w:top w:val="none" w:sz="0" w:space="0" w:color="auto"/>
                <w:left w:val="none" w:sz="0" w:space="0" w:color="auto"/>
                <w:bottom w:val="none" w:sz="0" w:space="0" w:color="auto"/>
                <w:right w:val="none" w:sz="0" w:space="0" w:color="auto"/>
              </w:divBdr>
              <w:divsChild>
                <w:div w:id="1250772429">
                  <w:marLeft w:val="0"/>
                  <w:marRight w:val="0"/>
                  <w:marTop w:val="0"/>
                  <w:marBottom w:val="0"/>
                  <w:divBdr>
                    <w:top w:val="none" w:sz="0" w:space="0" w:color="auto"/>
                    <w:left w:val="none" w:sz="0" w:space="0" w:color="auto"/>
                    <w:bottom w:val="none" w:sz="0" w:space="0" w:color="auto"/>
                    <w:right w:val="none" w:sz="0" w:space="0" w:color="auto"/>
                  </w:divBdr>
                  <w:divsChild>
                    <w:div w:id="730350621">
                      <w:marLeft w:val="0"/>
                      <w:marRight w:val="0"/>
                      <w:marTop w:val="0"/>
                      <w:marBottom w:val="150"/>
                      <w:divBdr>
                        <w:top w:val="none" w:sz="0" w:space="0" w:color="auto"/>
                        <w:left w:val="none" w:sz="0" w:space="0" w:color="auto"/>
                        <w:bottom w:val="none" w:sz="0" w:space="0" w:color="auto"/>
                        <w:right w:val="none" w:sz="0" w:space="0" w:color="auto"/>
                      </w:divBdr>
                      <w:divsChild>
                        <w:div w:id="2014214640">
                          <w:marLeft w:val="0"/>
                          <w:marRight w:val="0"/>
                          <w:marTop w:val="0"/>
                          <w:marBottom w:val="0"/>
                          <w:divBdr>
                            <w:top w:val="none" w:sz="0" w:space="0" w:color="auto"/>
                            <w:left w:val="none" w:sz="0" w:space="0" w:color="auto"/>
                            <w:bottom w:val="none" w:sz="0" w:space="0" w:color="auto"/>
                            <w:right w:val="none" w:sz="0" w:space="0" w:color="auto"/>
                          </w:divBdr>
                        </w:div>
                      </w:divsChild>
                    </w:div>
                    <w:div w:id="703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nlii.org/fr/qc/legis/lois/rlrq-c-c-1991/derniere/rlrq-c-c-199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lii.org/fr/qc/legis/lois/rlrq-c-c-1991/derniere/rlrq-c-c-199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lii.org/fr/qc/legis/lois/rlrq-c-c-1991/derniere/rlrq-c-c-199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fr/qc/legis/lois/rlrq-c-c-1991/derniere/rlrq-c-c-1991.html" TargetMode="External"/><Relationship Id="rId5" Type="http://schemas.openxmlformats.org/officeDocument/2006/relationships/webSettings" Target="webSettings.xml"/><Relationship Id="rId15" Type="http://schemas.openxmlformats.org/officeDocument/2006/relationships/hyperlink" Target="https://www.canlii.org/fr/qc/legis/lois/rlrq-c-c-1991/derniere/rlrq-c-c-1991.html" TargetMode="External"/><Relationship Id="rId10" Type="http://schemas.openxmlformats.org/officeDocument/2006/relationships/hyperlink" Target="https://www.scc-csc.ca/cso-dce/2019SCC-CSC13_1_fra.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anlii.org/fr/qc/legis/lois/rlrq-c-c-1991/derniere/rlrq-c-c-19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B8D46-EBFC-45BA-B72A-BC38673D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190</Pages>
  <Words>53688</Words>
  <Characters>306027</Characters>
  <Application>Microsoft Office Word</Application>
  <DocSecurity>0</DocSecurity>
  <Lines>2550</Lines>
  <Paragraphs>717</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358998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Audet Suzanne</dc:creator>
  <cp:keywords/>
  <dc:description/>
  <cp:lastModifiedBy>Audet Suzanne</cp:lastModifiedBy>
  <cp:revision>181</cp:revision>
  <dcterms:created xsi:type="dcterms:W3CDTF">2019-06-04T15:06:00Z</dcterms:created>
  <dcterms:modified xsi:type="dcterms:W3CDTF">2020-03-03T15:04:00Z</dcterms:modified>
</cp:coreProperties>
</file>