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38" w:rsidRDefault="00DE4E38" w:rsidP="00DE4E3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650955255" r:id="rId8"/>
        </w:object>
      </w:r>
      <w:r>
        <w:t xml:space="preserve"> </w:t>
      </w:r>
      <w:r>
        <w:ptab w:relativeTo="margin" w:alignment="right" w:leader="none"/>
      </w:r>
    </w:p>
    <w:p w:rsidR="00DE4E38" w:rsidRDefault="00DE4E38" w:rsidP="00DE4E38">
      <w:pPr>
        <w:pStyle w:val="Header"/>
      </w:pPr>
    </w:p>
    <w:p w:rsidR="00DE4E38" w:rsidRPr="001E12E2" w:rsidRDefault="00DE4E38" w:rsidP="00DE4E38">
      <w:pPr>
        <w:jc w:val="center"/>
        <w:rPr>
          <w:b/>
        </w:rPr>
      </w:pPr>
      <w:r w:rsidRPr="001E12E2">
        <w:rPr>
          <w:b/>
        </w:rPr>
        <w:t>COUR SUPRÊME DU CANADA</w:t>
      </w:r>
    </w:p>
    <w:p w:rsidR="00DE4E38" w:rsidRDefault="00DE4E38" w:rsidP="00DE4E3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DE4E38" w:rsidRPr="001E12E2" w:rsidTr="003001B4">
        <w:trPr>
          <w:cantSplit/>
        </w:trPr>
        <w:tc>
          <w:tcPr>
            <w:tcW w:w="5310" w:type="dxa"/>
          </w:tcPr>
          <w:p w:rsidR="00DE4E38" w:rsidRPr="002B0970" w:rsidRDefault="00DE4E38" w:rsidP="003001B4">
            <w:proofErr w:type="spellStart"/>
            <w:r w:rsidRPr="002B0970">
              <w:rPr>
                <w:b/>
                <w:smallCaps/>
              </w:rPr>
              <w:t>Référence</w:t>
            </w:r>
            <w:proofErr w:type="spellEnd"/>
            <w:r w:rsidRPr="002B0970">
              <w:rPr>
                <w:b/>
                <w:smallCaps/>
              </w:rPr>
              <w:t> :</w:t>
            </w:r>
            <w:r w:rsidRPr="002B0970">
              <w:t xml:space="preserve"> </w:t>
            </w:r>
            <w:r w:rsidRPr="002B0970">
              <w:rPr>
                <w:rStyle w:val="SCCAppellantForRunningHeadChar"/>
                <w:smallCaps w:val="0"/>
              </w:rPr>
              <w:t xml:space="preserve">R. </w:t>
            </w:r>
            <w:r w:rsidRPr="002B0970">
              <w:rPr>
                <w:rStyle w:val="SCCAppellantForRunningHeadChar"/>
                <w:i/>
                <w:smallCaps w:val="0"/>
              </w:rPr>
              <w:t>c.</w:t>
            </w:r>
            <w:r w:rsidRPr="002B0970">
              <w:rPr>
                <w:rStyle w:val="SCCAppellantForRunningHeadChar"/>
                <w:smallCaps w:val="0"/>
              </w:rPr>
              <w:t xml:space="preserve"> </w:t>
            </w:r>
            <w:proofErr w:type="spellStart"/>
            <w:r w:rsidRPr="002B0970">
              <w:rPr>
                <w:rStyle w:val="SCCAppellantForRunningHeadChar"/>
                <w:smallCaps w:val="0"/>
              </w:rPr>
              <w:t>Snelgrove</w:t>
            </w:r>
            <w:proofErr w:type="spellEnd"/>
            <w:r w:rsidRPr="002B0970">
              <w:rPr>
                <w:rStyle w:val="SCCAppellantForRunningHeadChar"/>
              </w:rPr>
              <w:t xml:space="preserve">, </w:t>
            </w:r>
            <w:r w:rsidRPr="002B0970">
              <w:rPr>
                <w:smallCaps/>
              </w:rPr>
              <w:t>2019 CSC 16, [2019] 2 R.C.S. 98</w:t>
            </w:r>
          </w:p>
        </w:tc>
        <w:tc>
          <w:tcPr>
            <w:tcW w:w="4266" w:type="dxa"/>
          </w:tcPr>
          <w:p w:rsidR="00DE4E38" w:rsidRPr="00DE4E38" w:rsidRDefault="00DE4E38" w:rsidP="003001B4">
            <w:pPr>
              <w:rPr>
                <w:lang w:val="fr-FR"/>
              </w:rPr>
            </w:pPr>
            <w:r w:rsidRPr="00DE4E38">
              <w:rPr>
                <w:b/>
                <w:smallCaps/>
                <w:lang w:val="fr-FR"/>
              </w:rPr>
              <w:t>Appel entendu:</w:t>
            </w:r>
            <w:r w:rsidRPr="00DE4E38">
              <w:rPr>
                <w:lang w:val="fr-FR"/>
              </w:rPr>
              <w:t xml:space="preserve"> 22 mars 2019</w:t>
            </w:r>
          </w:p>
          <w:p w:rsidR="00DE4E38" w:rsidRPr="00DE4E38" w:rsidRDefault="00DE4E38" w:rsidP="003001B4">
            <w:pPr>
              <w:rPr>
                <w:b/>
                <w:smallCaps/>
                <w:lang w:val="fr-FR"/>
              </w:rPr>
            </w:pPr>
            <w:r w:rsidRPr="00DE4E38">
              <w:rPr>
                <w:b/>
                <w:smallCaps/>
                <w:lang w:val="fr-FR"/>
              </w:rPr>
              <w:t>Jugement rendu :</w:t>
            </w:r>
            <w:r w:rsidRPr="00DE4E38">
              <w:rPr>
                <w:lang w:val="fr-FR"/>
              </w:rPr>
              <w:t xml:space="preserve"> 22 mars 2019</w:t>
            </w:r>
          </w:p>
          <w:p w:rsidR="00DE4E38" w:rsidRPr="001E12E2" w:rsidRDefault="00DE4E38" w:rsidP="003001B4">
            <w:r w:rsidRPr="001E12E2">
              <w:rPr>
                <w:b/>
                <w:smallCaps/>
              </w:rPr>
              <w:t>Do</w:t>
            </w:r>
            <w:r>
              <w:rPr>
                <w:b/>
                <w:smallCaps/>
              </w:rPr>
              <w:t>ssier :</w:t>
            </w:r>
            <w:r w:rsidRPr="001E12E2">
              <w:t xml:space="preserve"> </w:t>
            </w:r>
            <w:r>
              <w:t>38372</w:t>
            </w:r>
          </w:p>
        </w:tc>
      </w:tr>
    </w:tbl>
    <w:p w:rsidR="00DE4E38" w:rsidRDefault="00DE4E38" w:rsidP="00DE4E38">
      <w:pPr>
        <w:pStyle w:val="SCCLsocPrefix"/>
      </w:pPr>
    </w:p>
    <w:p w:rsidR="00DE4E38" w:rsidRDefault="00DE4E38" w:rsidP="00DE4E38">
      <w:pPr>
        <w:pStyle w:val="SCCLsocPrefix"/>
      </w:pPr>
    </w:p>
    <w:p w:rsidR="00DE4E38" w:rsidRDefault="00DE4E38" w:rsidP="00DE4E38">
      <w:pPr>
        <w:pStyle w:val="SCCLsocPrefix"/>
      </w:pPr>
      <w:r>
        <w:t>Entre :</w:t>
      </w:r>
    </w:p>
    <w:p w:rsidR="00DE4E38" w:rsidRPr="002E1EA5" w:rsidRDefault="00DE4E38" w:rsidP="00DE4E38">
      <w:pPr>
        <w:jc w:val="center"/>
        <w:rPr>
          <w:b/>
          <w:lang w:val="en-US"/>
        </w:rPr>
      </w:pPr>
      <w:r w:rsidRPr="002E1EA5">
        <w:rPr>
          <w:b/>
          <w:lang w:val="en-US"/>
        </w:rPr>
        <w:t xml:space="preserve">Carl Douglas </w:t>
      </w:r>
      <w:proofErr w:type="spellStart"/>
      <w:r w:rsidRPr="002E1EA5">
        <w:rPr>
          <w:b/>
          <w:lang w:val="en-US"/>
        </w:rPr>
        <w:t>Snelgrove</w:t>
      </w:r>
      <w:proofErr w:type="spellEnd"/>
    </w:p>
    <w:p w:rsidR="00DE4E38" w:rsidRPr="00D85283" w:rsidRDefault="00DE4E38" w:rsidP="00DE4E38">
      <w:pPr>
        <w:jc w:val="center"/>
      </w:pPr>
      <w:proofErr w:type="spellStart"/>
      <w:r w:rsidRPr="00D85283">
        <w:t>Appelant</w:t>
      </w:r>
      <w:proofErr w:type="spellEnd"/>
    </w:p>
    <w:p w:rsidR="00DE4E38" w:rsidRPr="00D85283" w:rsidRDefault="00DE4E38" w:rsidP="00DE4E38">
      <w:pPr>
        <w:jc w:val="center"/>
      </w:pPr>
    </w:p>
    <w:p w:rsidR="00DE4E38" w:rsidRPr="00DE4E38" w:rsidRDefault="00DE4E38" w:rsidP="00DE4E38">
      <w:pPr>
        <w:pStyle w:val="SCCLsocVersus"/>
        <w:jc w:val="center"/>
        <w:rPr>
          <w:i w:val="0"/>
        </w:rPr>
      </w:pPr>
      <w:proofErr w:type="gramStart"/>
      <w:r w:rsidRPr="00DE4E38">
        <w:rPr>
          <w:i w:val="0"/>
        </w:rPr>
        <w:t>et</w:t>
      </w:r>
      <w:proofErr w:type="gramEnd"/>
    </w:p>
    <w:p w:rsidR="00DE4E38" w:rsidRPr="0033260A" w:rsidRDefault="00DE4E38" w:rsidP="00DE4E38">
      <w:pPr>
        <w:jc w:val="center"/>
      </w:pPr>
    </w:p>
    <w:p w:rsidR="00DE4E38" w:rsidRDefault="00DE4E38" w:rsidP="00DE4E38">
      <w:pPr>
        <w:pStyle w:val="SCCLsocParty"/>
        <w:jc w:val="center"/>
      </w:pPr>
      <w:r w:rsidRPr="00BE0133">
        <w:t xml:space="preserve">Sa </w:t>
      </w:r>
      <w:proofErr w:type="spellStart"/>
      <w:r w:rsidRPr="00BE0133">
        <w:t>Majesté</w:t>
      </w:r>
      <w:proofErr w:type="spellEnd"/>
      <w:r w:rsidRPr="00BE0133">
        <w:t xml:space="preserve"> la </w:t>
      </w:r>
      <w:proofErr w:type="spellStart"/>
      <w:r w:rsidRPr="00BE0133">
        <w:t>Reine</w:t>
      </w:r>
      <w:proofErr w:type="spellEnd"/>
    </w:p>
    <w:p w:rsidR="00DE4E38" w:rsidRDefault="00DE4E38" w:rsidP="00DE4E38">
      <w:pPr>
        <w:jc w:val="center"/>
      </w:pPr>
      <w:proofErr w:type="spellStart"/>
      <w:r>
        <w:t>Intimée</w:t>
      </w:r>
      <w:proofErr w:type="spellEnd"/>
    </w:p>
    <w:p w:rsidR="00DE4E38" w:rsidRDefault="00DE4E38" w:rsidP="00DE4E38"/>
    <w:p w:rsidR="00DE4E38" w:rsidRDefault="00DE4E38" w:rsidP="00DE4E38"/>
    <w:p w:rsidR="00DE4E38" w:rsidRDefault="00DE4E38" w:rsidP="00DE4E38"/>
    <w:p w:rsidR="00DE4E38" w:rsidRDefault="00DE4E38" w:rsidP="00DE4E38"/>
    <w:p w:rsidR="00DE4E38" w:rsidRDefault="00DE4E38" w:rsidP="00DE4E38"/>
    <w:p w:rsidR="00DE4E38" w:rsidRPr="00DE4E38" w:rsidRDefault="00DE4E38" w:rsidP="00DE4E38">
      <w:pPr>
        <w:jc w:val="center"/>
        <w:rPr>
          <w:b/>
          <w:smallCaps/>
          <w:lang w:val="fr-FR"/>
        </w:rPr>
      </w:pPr>
      <w:r w:rsidRPr="00DE4E38">
        <w:rPr>
          <w:b/>
          <w:smallCaps/>
          <w:lang w:val="fr-FR"/>
        </w:rPr>
        <w:t>Traduction française officielle</w:t>
      </w:r>
    </w:p>
    <w:p w:rsidR="00DE4E38" w:rsidRPr="00DE4E38" w:rsidRDefault="00DE4E38" w:rsidP="00DE4E38">
      <w:pPr>
        <w:rPr>
          <w:lang w:val="fr-FR"/>
        </w:rPr>
      </w:pPr>
    </w:p>
    <w:p w:rsidR="00DE4E38" w:rsidRPr="00DE4E38" w:rsidRDefault="00DE4E38" w:rsidP="00DE4E38">
      <w:pPr>
        <w:rPr>
          <w:lang w:val="fr-FR"/>
        </w:rPr>
      </w:pPr>
      <w:r w:rsidRPr="00DE4E38">
        <w:rPr>
          <w:b/>
          <w:smallCaps/>
          <w:lang w:val="fr-FR"/>
        </w:rPr>
        <w:t>Coram :</w:t>
      </w:r>
      <w:r w:rsidRPr="00DE4E38">
        <w:rPr>
          <w:lang w:val="fr-FR"/>
        </w:rPr>
        <w:t xml:space="preserve"> Les juges </w:t>
      </w:r>
      <w:proofErr w:type="spellStart"/>
      <w:r w:rsidRPr="00DE4E38">
        <w:rPr>
          <w:lang w:val="fr-FR"/>
        </w:rPr>
        <w:t>Moldaver</w:t>
      </w:r>
      <w:proofErr w:type="spellEnd"/>
      <w:r w:rsidRPr="00DE4E38">
        <w:rPr>
          <w:lang w:val="fr-FR"/>
        </w:rPr>
        <w:t xml:space="preserve">, </w:t>
      </w:r>
      <w:proofErr w:type="spellStart"/>
      <w:r w:rsidRPr="00DE4E38">
        <w:rPr>
          <w:lang w:val="fr-FR"/>
        </w:rPr>
        <w:t>Karakatsanis</w:t>
      </w:r>
      <w:proofErr w:type="spellEnd"/>
      <w:r w:rsidRPr="00DE4E38">
        <w:rPr>
          <w:lang w:val="fr-FR"/>
        </w:rPr>
        <w:t xml:space="preserve">, Brown, Rowe et Martin </w:t>
      </w:r>
    </w:p>
    <w:p w:rsidR="00DE4E38" w:rsidRPr="00DE4E38" w:rsidRDefault="00DE4E38" w:rsidP="00DE4E38">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E4E38" w:rsidRPr="002B0970" w:rsidTr="003001B4">
        <w:trPr>
          <w:cantSplit/>
        </w:trPr>
        <w:tc>
          <w:tcPr>
            <w:tcW w:w="3618" w:type="dxa"/>
          </w:tcPr>
          <w:p w:rsidR="00DE4E38" w:rsidRPr="00DE4E38" w:rsidRDefault="00DE4E38" w:rsidP="003001B4">
            <w:pPr>
              <w:rPr>
                <w:b/>
                <w:smallCaps/>
                <w:lang w:val="fr-FR"/>
              </w:rPr>
            </w:pPr>
            <w:r w:rsidRPr="00DE4E38">
              <w:rPr>
                <w:b/>
                <w:smallCaps/>
                <w:lang w:val="fr-FR"/>
              </w:rPr>
              <w:t>Motifs de jugement :</w:t>
            </w:r>
          </w:p>
          <w:p w:rsidR="00DE4E38" w:rsidRPr="00DE4E38" w:rsidRDefault="00DE4E38" w:rsidP="003001B4">
            <w:pPr>
              <w:rPr>
                <w:lang w:val="fr-FR"/>
              </w:rPr>
            </w:pPr>
            <w:r w:rsidRPr="00DE4E38">
              <w:rPr>
                <w:lang w:val="fr-FR"/>
              </w:rPr>
              <w:t>(par. 1 à 4)</w:t>
            </w:r>
          </w:p>
        </w:tc>
        <w:tc>
          <w:tcPr>
            <w:tcW w:w="5958" w:type="dxa"/>
          </w:tcPr>
          <w:p w:rsidR="00DE4E38" w:rsidRPr="00DE4E38" w:rsidRDefault="00DE4E38" w:rsidP="003001B4">
            <w:pPr>
              <w:rPr>
                <w:lang w:val="fr-FR"/>
              </w:rPr>
            </w:pPr>
            <w:r w:rsidRPr="00DE4E38">
              <w:rPr>
                <w:lang w:val="fr-FR"/>
              </w:rPr>
              <w:t xml:space="preserve">Le juge </w:t>
            </w:r>
            <w:proofErr w:type="spellStart"/>
            <w:r w:rsidRPr="00DE4E38">
              <w:rPr>
                <w:lang w:val="fr-FR"/>
              </w:rPr>
              <w:t>Moldaver</w:t>
            </w:r>
            <w:proofErr w:type="spellEnd"/>
            <w:r w:rsidRPr="00DE4E38">
              <w:rPr>
                <w:lang w:val="fr-FR"/>
              </w:rPr>
              <w:t xml:space="preserve"> (avec l’accord des juges </w:t>
            </w:r>
            <w:proofErr w:type="spellStart"/>
            <w:r w:rsidRPr="00DE4E38">
              <w:rPr>
                <w:lang w:val="fr-FR"/>
              </w:rPr>
              <w:t>Karakatsanis</w:t>
            </w:r>
            <w:proofErr w:type="spellEnd"/>
            <w:r w:rsidRPr="00DE4E38">
              <w:rPr>
                <w:lang w:val="fr-FR"/>
              </w:rPr>
              <w:t>, Brown, Rowe et Martin)</w:t>
            </w:r>
          </w:p>
        </w:tc>
      </w:tr>
    </w:tbl>
    <w:p w:rsidR="00DE4E38" w:rsidRPr="00DE4E38" w:rsidRDefault="00DE4E38" w:rsidP="00DE4E38">
      <w:pPr>
        <w:rPr>
          <w:lang w:val="fr-FR"/>
        </w:rPr>
      </w:pPr>
    </w:p>
    <w:p w:rsidR="00DE4E38" w:rsidRPr="00DE4E38" w:rsidRDefault="00DE4E38" w:rsidP="00DE4E38">
      <w:pPr>
        <w:rPr>
          <w:lang w:val="fr-FR"/>
        </w:rPr>
      </w:pPr>
      <w:r>
        <w:rPr>
          <w:noProof/>
          <w:lang w:val="en-US" w:eastAsia="en-US"/>
        </w:rPr>
        <mc:AlternateContent>
          <mc:Choice Requires="wps">
            <w:drawing>
              <wp:anchor distT="0" distB="0" distL="114300" distR="114300" simplePos="0" relativeHeight="251659264" behindDoc="0" locked="0" layoutInCell="1" allowOverlap="1" wp14:anchorId="3DC91956" wp14:editId="66DDD08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4376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E4E38" w:rsidRPr="00DE4E38" w:rsidRDefault="00DE4E38" w:rsidP="00DE4E38">
      <w:pPr>
        <w:rPr>
          <w:lang w:val="fr-FR"/>
        </w:rPr>
      </w:pPr>
    </w:p>
    <w:p w:rsidR="00DE4E38" w:rsidRPr="00DE4E38" w:rsidRDefault="00DE4E38" w:rsidP="00DE4E38">
      <w:pPr>
        <w:rPr>
          <w:lang w:val="fr-FR"/>
        </w:rPr>
      </w:pPr>
      <w:bookmarkStart w:id="0" w:name="_GoBack"/>
      <w:bookmarkEnd w:id="0"/>
    </w:p>
    <w:p w:rsidR="00DE4E38" w:rsidRPr="00DE4E38" w:rsidRDefault="00DE4E38" w:rsidP="00DE4E38">
      <w:pPr>
        <w:rPr>
          <w:lang w:val="fr-FR"/>
        </w:rPr>
      </w:pPr>
    </w:p>
    <w:p w:rsidR="00DE4E38" w:rsidRPr="00DE4E38" w:rsidRDefault="00DE4E38" w:rsidP="00DE4E38">
      <w:pPr>
        <w:rPr>
          <w:lang w:val="fr-FR"/>
        </w:rPr>
      </w:pPr>
    </w:p>
    <w:p w:rsidR="004D7D95" w:rsidRPr="006A5015" w:rsidRDefault="006A5015" w:rsidP="00531A4D">
      <w:pPr>
        <w:spacing w:after="720"/>
        <w:jc w:val="both"/>
        <w:rPr>
          <w:lang w:val="en-US"/>
        </w:rPr>
      </w:pPr>
      <w:r w:rsidRPr="006A5015">
        <w:rPr>
          <w:rStyle w:val="SCCAppellantForRunningHeadChar"/>
          <w:smallCaps w:val="0"/>
          <w:lang w:val="en-US"/>
        </w:rPr>
        <w:t>R</w:t>
      </w:r>
      <w:r w:rsidR="002D727C" w:rsidRPr="006A5015">
        <w:rPr>
          <w:rStyle w:val="SCCAppellantForRunningHeadChar"/>
          <w:lang w:val="en-US"/>
        </w:rPr>
        <w:t>.</w:t>
      </w:r>
      <w:r w:rsidR="004D7D95" w:rsidRPr="006A5015">
        <w:rPr>
          <w:lang w:val="en-US"/>
        </w:rPr>
        <w:t xml:space="preserve"> </w:t>
      </w:r>
      <w:r w:rsidR="004D7D95" w:rsidRPr="006A5015">
        <w:rPr>
          <w:i/>
          <w:lang w:val="en-US"/>
        </w:rPr>
        <w:t>c.</w:t>
      </w:r>
      <w:r w:rsidR="002D727C" w:rsidRPr="006A5015">
        <w:rPr>
          <w:i/>
          <w:lang w:val="en-US"/>
        </w:rPr>
        <w:t xml:space="preserve"> </w:t>
      </w:r>
      <w:proofErr w:type="spellStart"/>
      <w:r w:rsidRPr="006A5015">
        <w:rPr>
          <w:rStyle w:val="SCCAppellantForRunningHeadChar"/>
          <w:smallCaps w:val="0"/>
          <w:lang w:val="en-US"/>
        </w:rPr>
        <w:t>S</w:t>
      </w:r>
      <w:r w:rsidR="002D727C" w:rsidRPr="006A5015">
        <w:rPr>
          <w:rStyle w:val="SCCAppellantForRunningHeadChar"/>
          <w:smallCaps w:val="0"/>
          <w:lang w:val="en-US"/>
        </w:rPr>
        <w:t>nelgrove</w:t>
      </w:r>
      <w:proofErr w:type="spellEnd"/>
      <w:r w:rsidRPr="006A5015">
        <w:rPr>
          <w:rStyle w:val="SCCAppellantForRunningHeadChar"/>
          <w:smallCaps w:val="0"/>
          <w:lang w:val="en-US"/>
        </w:rPr>
        <w:t xml:space="preserve">, 2019 </w:t>
      </w:r>
      <w:r>
        <w:rPr>
          <w:rStyle w:val="SCCAppellantForRunningHeadChar"/>
          <w:smallCaps w:val="0"/>
          <w:lang w:val="en-US"/>
        </w:rPr>
        <w:t>CSC</w:t>
      </w:r>
      <w:r w:rsidRPr="006A5015">
        <w:rPr>
          <w:rStyle w:val="SCCAppellantForRunningHeadChar"/>
          <w:smallCaps w:val="0"/>
          <w:lang w:val="en-US"/>
        </w:rPr>
        <w:t xml:space="preserve"> 16, [2019] 2 </w:t>
      </w:r>
      <w:r>
        <w:rPr>
          <w:rStyle w:val="SCCAppellantForRunningHeadChar"/>
          <w:smallCaps w:val="0"/>
          <w:lang w:val="en-US"/>
        </w:rPr>
        <w:t>R.C.S</w:t>
      </w:r>
      <w:r w:rsidRPr="006A5015">
        <w:rPr>
          <w:rStyle w:val="SCCAppellantForRunningHeadChar"/>
          <w:smallCaps w:val="0"/>
          <w:lang w:val="en-US"/>
        </w:rPr>
        <w:t>. 98</w:t>
      </w:r>
    </w:p>
    <w:p w:rsidR="003570FB" w:rsidRPr="006A5015" w:rsidRDefault="002D2A0B">
      <w:pPr>
        <w:pStyle w:val="SCCLsocLastPartyInRole"/>
        <w:rPr>
          <w:lang w:val="fr-FR"/>
        </w:rPr>
      </w:pPr>
      <w:r w:rsidRPr="006A5015">
        <w:rPr>
          <w:lang w:val="fr-FR"/>
        </w:rPr>
        <w:t xml:space="preserve">Carl Douglas </w:t>
      </w:r>
      <w:proofErr w:type="spellStart"/>
      <w:r w:rsidRPr="006A5015">
        <w:rPr>
          <w:lang w:val="fr-FR"/>
        </w:rPr>
        <w:t>Snelgrove</w:t>
      </w:r>
      <w:proofErr w:type="spellEnd"/>
      <w:r w:rsidR="002D727C" w:rsidRPr="006A5015">
        <w:rPr>
          <w:rStyle w:val="SCCLsocPartyRole"/>
          <w:lang w:val="fr-FR"/>
        </w:rPr>
        <w:tab/>
        <w:t>Appelant</w:t>
      </w:r>
    </w:p>
    <w:p w:rsidR="003570FB" w:rsidRPr="00E64CC6" w:rsidRDefault="002D2A0B">
      <w:pPr>
        <w:pStyle w:val="SCCLsocVersus"/>
        <w:rPr>
          <w:lang w:val="fr-CA"/>
        </w:rPr>
      </w:pPr>
      <w:proofErr w:type="gramStart"/>
      <w:r w:rsidRPr="00E64CC6">
        <w:rPr>
          <w:lang w:val="fr-CA"/>
        </w:rPr>
        <w:t>c</w:t>
      </w:r>
      <w:proofErr w:type="gramEnd"/>
      <w:r w:rsidRPr="00E64CC6">
        <w:rPr>
          <w:lang w:val="fr-CA"/>
        </w:rPr>
        <w:t>.</w:t>
      </w:r>
    </w:p>
    <w:p w:rsidR="003570FB" w:rsidRPr="00E64CC6" w:rsidRDefault="002D2A0B">
      <w:pPr>
        <w:pStyle w:val="SCCLsocLastPartyInRole"/>
        <w:rPr>
          <w:lang w:val="fr-CA"/>
        </w:rPr>
      </w:pPr>
      <w:r w:rsidRPr="00E64CC6">
        <w:rPr>
          <w:lang w:val="fr-CA"/>
        </w:rPr>
        <w:t>Sa Majesté la Reine</w:t>
      </w:r>
      <w:r w:rsidR="002D727C" w:rsidRPr="00E64CC6">
        <w:rPr>
          <w:rStyle w:val="SCCLsocPartyRole"/>
          <w:lang w:val="fr-CA"/>
        </w:rPr>
        <w:tab/>
        <w:t>Intimée</w:t>
      </w:r>
    </w:p>
    <w:p w:rsidR="004D7D95" w:rsidRPr="00E64CC6" w:rsidRDefault="004D7D95" w:rsidP="00531A4D">
      <w:pPr>
        <w:spacing w:after="720"/>
        <w:jc w:val="both"/>
        <w:rPr>
          <w:b/>
          <w:lang w:val="fr-CA"/>
        </w:rPr>
      </w:pPr>
      <w:r w:rsidRPr="00E64CC6">
        <w:rPr>
          <w:b/>
          <w:lang w:val="fr-CA"/>
        </w:rPr>
        <w:t>Répertorié : </w:t>
      </w:r>
      <w:r w:rsidR="002D727C" w:rsidRPr="00E64CC6">
        <w:rPr>
          <w:b/>
          <w:lang w:val="fr-CA"/>
        </w:rPr>
        <w:t xml:space="preserve">R. </w:t>
      </w:r>
      <w:r w:rsidRPr="00E64CC6">
        <w:rPr>
          <w:b/>
          <w:i/>
          <w:lang w:val="fr-CA"/>
        </w:rPr>
        <w:t>c.</w:t>
      </w:r>
      <w:r w:rsidRPr="00E64CC6">
        <w:rPr>
          <w:b/>
          <w:lang w:val="fr-CA"/>
        </w:rPr>
        <w:t xml:space="preserve"> </w:t>
      </w:r>
      <w:proofErr w:type="spellStart"/>
      <w:r w:rsidR="002D727C" w:rsidRPr="00E64CC6">
        <w:rPr>
          <w:rStyle w:val="SCCAppellantForIndexChar"/>
          <w:lang w:val="fr-CA"/>
        </w:rPr>
        <w:t>Snelgrove</w:t>
      </w:r>
      <w:proofErr w:type="spellEnd"/>
    </w:p>
    <w:p w:rsidR="004D7D95" w:rsidRPr="00E64CC6" w:rsidRDefault="00D17B0E" w:rsidP="00531A4D">
      <w:pPr>
        <w:pStyle w:val="SCCSystemYear"/>
        <w:spacing w:after="720"/>
        <w:jc w:val="both"/>
        <w:rPr>
          <w:lang w:val="fr-CA"/>
        </w:rPr>
      </w:pPr>
      <w:r w:rsidRPr="00E64CC6">
        <w:rPr>
          <w:lang w:val="fr-CA"/>
        </w:rPr>
        <w:t>2019</w:t>
      </w:r>
      <w:r w:rsidR="004D7D95" w:rsidRPr="00E64CC6">
        <w:rPr>
          <w:lang w:val="fr-CA"/>
        </w:rPr>
        <w:t xml:space="preserve"> CSC </w:t>
      </w:r>
      <w:r w:rsidR="00A654CF" w:rsidRPr="00E64CC6">
        <w:rPr>
          <w:lang w:val="fr-CA"/>
        </w:rPr>
        <w:t>16</w:t>
      </w:r>
    </w:p>
    <w:p w:rsidR="004D7D95" w:rsidRPr="00E64CC6" w:rsidRDefault="004D7D95" w:rsidP="00531A4D">
      <w:pPr>
        <w:spacing w:after="720"/>
        <w:jc w:val="both"/>
        <w:rPr>
          <w:lang w:val="fr-CA"/>
        </w:rPr>
      </w:pPr>
      <w:r w:rsidRPr="00E64CC6">
        <w:rPr>
          <w:lang w:val="fr-CA"/>
        </w:rPr>
        <w:t>N</w:t>
      </w:r>
      <w:r w:rsidRPr="00E64CC6">
        <w:rPr>
          <w:vertAlign w:val="superscript"/>
          <w:lang w:val="fr-CA"/>
        </w:rPr>
        <w:t>o</w:t>
      </w:r>
      <w:r w:rsidRPr="00E64CC6">
        <w:rPr>
          <w:lang w:val="fr-CA"/>
        </w:rPr>
        <w:t xml:space="preserve"> du greffe : 38372.</w:t>
      </w:r>
    </w:p>
    <w:p w:rsidR="004D7D95" w:rsidRPr="00E64CC6" w:rsidRDefault="00D17B0E" w:rsidP="00531A4D">
      <w:pPr>
        <w:spacing w:after="720"/>
        <w:jc w:val="both"/>
        <w:rPr>
          <w:lang w:val="fr-CA"/>
        </w:rPr>
      </w:pPr>
      <w:r w:rsidRPr="00E64CC6">
        <w:rPr>
          <w:lang w:val="fr-CA"/>
        </w:rPr>
        <w:t>2019 : 22 mars</w:t>
      </w:r>
      <w:r w:rsidR="002D2A0B" w:rsidRPr="00E64CC6">
        <w:rPr>
          <w:lang w:val="fr-CA"/>
        </w:rPr>
        <w:t>.</w:t>
      </w:r>
    </w:p>
    <w:p w:rsidR="004D7D95" w:rsidRPr="00E64CC6" w:rsidRDefault="004D7D95" w:rsidP="00531A4D">
      <w:pPr>
        <w:spacing w:after="720"/>
        <w:jc w:val="both"/>
        <w:rPr>
          <w:lang w:val="fr-CA"/>
        </w:rPr>
      </w:pPr>
      <w:r w:rsidRPr="00E64CC6">
        <w:rPr>
          <w:lang w:val="fr-CA"/>
        </w:rPr>
        <w:t xml:space="preserve">Présents : Les juges </w:t>
      </w:r>
      <w:proofErr w:type="spellStart"/>
      <w:r w:rsidRPr="00E64CC6">
        <w:rPr>
          <w:lang w:val="fr-CA"/>
        </w:rPr>
        <w:t>Moldaver</w:t>
      </w:r>
      <w:proofErr w:type="spellEnd"/>
      <w:r w:rsidRPr="00E64CC6">
        <w:rPr>
          <w:lang w:val="fr-CA"/>
        </w:rPr>
        <w:t xml:space="preserve">, </w:t>
      </w:r>
      <w:proofErr w:type="spellStart"/>
      <w:r w:rsidRPr="00E64CC6">
        <w:rPr>
          <w:lang w:val="fr-CA"/>
        </w:rPr>
        <w:t>Karakatsanis</w:t>
      </w:r>
      <w:proofErr w:type="spellEnd"/>
      <w:r w:rsidRPr="00E64CC6">
        <w:rPr>
          <w:lang w:val="fr-CA"/>
        </w:rPr>
        <w:t>, Brown, Rowe et Martin.</w:t>
      </w:r>
    </w:p>
    <w:p w:rsidR="004D7D95" w:rsidRPr="00E64CC6" w:rsidRDefault="004D7D95" w:rsidP="00531A4D">
      <w:pPr>
        <w:pStyle w:val="SCCLowerCourtNameLowercase"/>
        <w:spacing w:after="720" w:line="240" w:lineRule="auto"/>
        <w:rPr>
          <w:smallCaps w:val="0"/>
          <w:lang w:val="fr-CA"/>
        </w:rPr>
      </w:pPr>
      <w:r w:rsidRPr="00E64CC6">
        <w:rPr>
          <w:lang w:val="fr-CA"/>
        </w:rPr>
        <w:t xml:space="preserve">en appel de la </w:t>
      </w:r>
      <w:r w:rsidR="002D727C" w:rsidRPr="00E64CC6">
        <w:rPr>
          <w:lang w:val="fr-CA"/>
        </w:rPr>
        <w:t>cour d</w:t>
      </w:r>
      <w:r w:rsidR="00E913EB" w:rsidRPr="00E64CC6">
        <w:rPr>
          <w:lang w:val="fr-CA"/>
        </w:rPr>
        <w:t>’</w:t>
      </w:r>
      <w:r w:rsidR="002D727C" w:rsidRPr="00E64CC6">
        <w:rPr>
          <w:lang w:val="fr-CA"/>
        </w:rPr>
        <w:t>appel de</w:t>
      </w:r>
      <w:r w:rsidRPr="00E64CC6">
        <w:rPr>
          <w:lang w:val="fr-CA"/>
        </w:rPr>
        <w:t xml:space="preserve"> </w:t>
      </w:r>
      <w:r w:rsidR="00CC4B00" w:rsidRPr="00E64CC6">
        <w:rPr>
          <w:lang w:val="fr-CA"/>
        </w:rPr>
        <w:t>terre-neuve-</w:t>
      </w:r>
      <w:r w:rsidR="002D727C" w:rsidRPr="00E64CC6">
        <w:rPr>
          <w:lang w:val="fr-CA"/>
        </w:rPr>
        <w:t>et</w:t>
      </w:r>
      <w:r w:rsidR="00CC4B00" w:rsidRPr="00E64CC6">
        <w:rPr>
          <w:lang w:val="fr-CA"/>
        </w:rPr>
        <w:t>-</w:t>
      </w:r>
      <w:r w:rsidRPr="00E64CC6">
        <w:rPr>
          <w:lang w:val="fr-CA"/>
        </w:rPr>
        <w:t>labrador</w:t>
      </w:r>
    </w:p>
    <w:p w:rsidR="003B4558" w:rsidRPr="00A0529C" w:rsidRDefault="003B4558" w:rsidP="003B4558">
      <w:pPr>
        <w:pStyle w:val="SCCNormalDoubleSpacing"/>
        <w:rPr>
          <w:i/>
          <w:lang w:val="fr-CA"/>
        </w:rPr>
      </w:pPr>
      <w:r w:rsidRPr="00A0529C">
        <w:rPr>
          <w:i/>
          <w:lang w:val="fr-CA"/>
        </w:rPr>
        <w:tab/>
        <w:t>Droit criminel — Exposé au jury — Agression sexuelle — Viciation du consentement — Policier acquitté par le jury d’une infraction d’agression sexuelle — Acquittement annulé et nouveau procès ordonné par la Cour d’appel — Erreur commise par la juge du procès lorsqu’elle a refusé de donner au jury des directives sur une disposition qui précise que le consentement du plaignant ne se déduit pas dans les cas où l’accusé l’incite à l’activité sexuelle par abus de confiance ou de pouvoir — Nouveau procès justifié — Code criminel, L.R.C. 1985, c. C-46, art. 273.1(2)c).</w:t>
      </w:r>
    </w:p>
    <w:p w:rsidR="004D7D95" w:rsidRPr="00E64CC6" w:rsidRDefault="004D7D95" w:rsidP="00531A4D">
      <w:pPr>
        <w:pStyle w:val="SCCNormalDoubleSpacing"/>
        <w:spacing w:after="720" w:line="240" w:lineRule="auto"/>
        <w:rPr>
          <w:b/>
          <w:lang w:val="fr-CA"/>
        </w:rPr>
      </w:pPr>
      <w:r w:rsidRPr="00E64CC6">
        <w:rPr>
          <w:b/>
          <w:lang w:val="fr-CA"/>
        </w:rPr>
        <w:t>Jurisprudence</w:t>
      </w:r>
    </w:p>
    <w:p w:rsidR="004D7D95" w:rsidRPr="00E64CC6" w:rsidRDefault="004D7D95" w:rsidP="00531A4D">
      <w:pPr>
        <w:tabs>
          <w:tab w:val="left" w:pos="1170"/>
        </w:tabs>
        <w:spacing w:after="480" w:line="480" w:lineRule="auto"/>
        <w:jc w:val="both"/>
        <w:rPr>
          <w:lang w:val="fr-CA"/>
        </w:rPr>
      </w:pPr>
      <w:r w:rsidRPr="00E64CC6">
        <w:rPr>
          <w:lang w:val="fr-CA"/>
        </w:rPr>
        <w:tab/>
      </w:r>
      <w:r w:rsidRPr="00E64CC6">
        <w:rPr>
          <w:b/>
          <w:lang w:val="fr-CA"/>
        </w:rPr>
        <w:t>Arrêts mentionnés :</w:t>
      </w:r>
      <w:r w:rsidRPr="00E64CC6">
        <w:rPr>
          <w:lang w:val="fr-CA"/>
        </w:rPr>
        <w:t xml:space="preserve"> </w:t>
      </w:r>
      <w:r w:rsidR="00230149" w:rsidRPr="00E64CC6">
        <w:rPr>
          <w:rFonts w:eastAsia="Calibri"/>
          <w:i/>
          <w:szCs w:val="24"/>
          <w:lang w:val="fr-CA"/>
        </w:rPr>
        <w:t xml:space="preserve">R. c. </w:t>
      </w:r>
      <w:proofErr w:type="spellStart"/>
      <w:r w:rsidR="00230149" w:rsidRPr="00E64CC6">
        <w:rPr>
          <w:rFonts w:eastAsia="Calibri"/>
          <w:i/>
          <w:szCs w:val="24"/>
          <w:lang w:val="fr-CA"/>
        </w:rPr>
        <w:t>Hogg</w:t>
      </w:r>
      <w:proofErr w:type="spellEnd"/>
      <w:r w:rsidR="00230149" w:rsidRPr="00E64CC6">
        <w:rPr>
          <w:rFonts w:eastAsia="Calibri"/>
          <w:szCs w:val="24"/>
          <w:lang w:val="fr-CA"/>
        </w:rPr>
        <w:t xml:space="preserve"> (2000), 148 C.C.C. (3d) 86; </w:t>
      </w:r>
      <w:r w:rsidR="00230149" w:rsidRPr="00E64CC6">
        <w:rPr>
          <w:rFonts w:eastAsia="Calibri"/>
          <w:i/>
          <w:szCs w:val="24"/>
          <w:lang w:val="fr-CA"/>
        </w:rPr>
        <w:t>R. c. Lutoslawski</w:t>
      </w:r>
      <w:r w:rsidR="00230149" w:rsidRPr="00E64CC6">
        <w:rPr>
          <w:rFonts w:eastAsia="Calibri"/>
          <w:szCs w:val="24"/>
          <w:lang w:val="fr-CA"/>
        </w:rPr>
        <w:t>,</w:t>
      </w:r>
      <w:r w:rsidR="00230149" w:rsidRPr="00E64CC6">
        <w:rPr>
          <w:rFonts w:eastAsia="Calibri"/>
          <w:i/>
          <w:szCs w:val="24"/>
          <w:lang w:val="fr-CA"/>
        </w:rPr>
        <w:t xml:space="preserve"> </w:t>
      </w:r>
      <w:r w:rsidR="00230149" w:rsidRPr="00E64CC6">
        <w:rPr>
          <w:rFonts w:eastAsia="Calibri"/>
          <w:szCs w:val="24"/>
          <w:lang w:val="fr-CA"/>
        </w:rPr>
        <w:t>2010 ONCA 207, 258 C.C.C. (3d) 1.</w:t>
      </w:r>
    </w:p>
    <w:p w:rsidR="004D7D95" w:rsidRPr="00E64CC6" w:rsidRDefault="004D7D95" w:rsidP="00531A4D">
      <w:pPr>
        <w:pStyle w:val="SCCNormalDoubleSpacing"/>
        <w:spacing w:after="720" w:line="240" w:lineRule="auto"/>
        <w:rPr>
          <w:b/>
          <w:lang w:val="fr-CA"/>
        </w:rPr>
      </w:pPr>
      <w:r w:rsidRPr="00E64CC6">
        <w:rPr>
          <w:b/>
          <w:lang w:val="fr-CA"/>
        </w:rPr>
        <w:t>Lois et règlements cités</w:t>
      </w:r>
    </w:p>
    <w:p w:rsidR="004D7D95" w:rsidRPr="00E64CC6" w:rsidRDefault="00230149" w:rsidP="00531A4D">
      <w:pPr>
        <w:tabs>
          <w:tab w:val="left" w:pos="1170"/>
        </w:tabs>
        <w:spacing w:after="480" w:line="480" w:lineRule="auto"/>
        <w:jc w:val="both"/>
        <w:rPr>
          <w:lang w:val="fr-CA"/>
        </w:rPr>
      </w:pPr>
      <w:r w:rsidRPr="00E64CC6">
        <w:rPr>
          <w:rFonts w:eastAsia="Calibri"/>
          <w:i/>
          <w:szCs w:val="24"/>
          <w:lang w:val="fr-CA"/>
        </w:rPr>
        <w:t>Code criminel</w:t>
      </w:r>
      <w:r w:rsidRPr="00E64CC6">
        <w:rPr>
          <w:rFonts w:eastAsia="Calibri"/>
          <w:szCs w:val="24"/>
          <w:lang w:val="fr-CA"/>
        </w:rPr>
        <w:t>, L.R.C. 1985, c. C-46, art. 265(3)d), 273.1(2)c).</w:t>
      </w:r>
    </w:p>
    <w:p w:rsidR="004D7D95" w:rsidRPr="00E64CC6" w:rsidRDefault="002D727C" w:rsidP="004D7D95">
      <w:pPr>
        <w:pStyle w:val="SCCNormalDoubleSpacing"/>
        <w:rPr>
          <w:lang w:val="fr-CA"/>
        </w:rPr>
      </w:pPr>
      <w:r w:rsidRPr="00E64CC6">
        <w:rPr>
          <w:lang w:val="fr-CA"/>
        </w:rPr>
        <w:tab/>
      </w:r>
      <w:r w:rsidR="004D7D95" w:rsidRPr="00E64CC6">
        <w:rPr>
          <w:lang w:val="fr-CA"/>
        </w:rPr>
        <w:t xml:space="preserve">POURVOI contre un arrêt de la </w:t>
      </w:r>
      <w:r w:rsidR="00406D92" w:rsidRPr="00E64CC6">
        <w:rPr>
          <w:lang w:val="fr-CA"/>
        </w:rPr>
        <w:t>Cour d</w:t>
      </w:r>
      <w:r w:rsidR="00E913EB" w:rsidRPr="00E64CC6">
        <w:rPr>
          <w:lang w:val="fr-CA"/>
        </w:rPr>
        <w:t>’</w:t>
      </w:r>
      <w:r w:rsidR="00706F17" w:rsidRPr="00E64CC6">
        <w:rPr>
          <w:lang w:val="fr-CA"/>
        </w:rPr>
        <w:t>appel de Terre-Neuve-</w:t>
      </w:r>
      <w:r w:rsidR="00406D92" w:rsidRPr="00E64CC6">
        <w:rPr>
          <w:lang w:val="fr-CA"/>
        </w:rPr>
        <w:t>et</w:t>
      </w:r>
      <w:r w:rsidR="00706F17" w:rsidRPr="00E64CC6">
        <w:rPr>
          <w:lang w:val="fr-CA"/>
        </w:rPr>
        <w:t>-</w:t>
      </w:r>
      <w:r w:rsidR="00406D92" w:rsidRPr="00E64CC6">
        <w:rPr>
          <w:lang w:val="fr-CA"/>
        </w:rPr>
        <w:t>Labrador</w:t>
      </w:r>
      <w:r w:rsidR="004D7D95" w:rsidRPr="00E64CC6">
        <w:rPr>
          <w:lang w:val="fr-CA"/>
        </w:rPr>
        <w:t xml:space="preserve"> </w:t>
      </w:r>
      <w:r w:rsidR="00406D92" w:rsidRPr="00E64CC6">
        <w:rPr>
          <w:lang w:val="fr-CA"/>
        </w:rPr>
        <w:t xml:space="preserve">(les juges </w:t>
      </w:r>
      <w:proofErr w:type="spellStart"/>
      <w:r w:rsidR="00406D92" w:rsidRPr="00E64CC6">
        <w:rPr>
          <w:lang w:val="fr-CA"/>
        </w:rPr>
        <w:t>Welsh</w:t>
      </w:r>
      <w:proofErr w:type="spellEnd"/>
      <w:r w:rsidR="00406D92" w:rsidRPr="00E64CC6">
        <w:rPr>
          <w:lang w:val="fr-CA"/>
        </w:rPr>
        <w:t xml:space="preserve">, White et </w:t>
      </w:r>
      <w:proofErr w:type="spellStart"/>
      <w:r w:rsidR="00406D92" w:rsidRPr="00E64CC6">
        <w:rPr>
          <w:lang w:val="fr-CA"/>
        </w:rPr>
        <w:t>Hoegg</w:t>
      </w:r>
      <w:proofErr w:type="spellEnd"/>
      <w:r w:rsidR="00406D92" w:rsidRPr="00E64CC6">
        <w:rPr>
          <w:lang w:val="fr-CA"/>
        </w:rPr>
        <w:t>), 2018 NLCA 59, 366 C.C.C. (3d) 164</w:t>
      </w:r>
      <w:r w:rsidR="00194880" w:rsidRPr="00E64CC6">
        <w:rPr>
          <w:lang w:val="fr-CA"/>
        </w:rPr>
        <w:t>,</w:t>
      </w:r>
      <w:r w:rsidR="00406D92" w:rsidRPr="00E64CC6">
        <w:rPr>
          <w:lang w:val="fr-CA"/>
        </w:rPr>
        <w:t xml:space="preserve"> 50 C.R. (7th) 133, [2018] N.J. No. 300 (QL), 2018 </w:t>
      </w:r>
      <w:proofErr w:type="spellStart"/>
      <w:r w:rsidR="00406D92" w:rsidRPr="00E64CC6">
        <w:rPr>
          <w:lang w:val="fr-CA"/>
        </w:rPr>
        <w:t>CarswellNfld</w:t>
      </w:r>
      <w:proofErr w:type="spellEnd"/>
      <w:r w:rsidR="00406D92" w:rsidRPr="00E64CC6">
        <w:rPr>
          <w:lang w:val="fr-CA"/>
        </w:rPr>
        <w:t xml:space="preserve"> 378 (WL Can.), qui a </w:t>
      </w:r>
      <w:r w:rsidR="00194880" w:rsidRPr="00E64CC6">
        <w:rPr>
          <w:lang w:val="fr-CA"/>
        </w:rPr>
        <w:t xml:space="preserve">annulé </w:t>
      </w:r>
      <w:r w:rsidR="00406D92" w:rsidRPr="00E64CC6">
        <w:rPr>
          <w:lang w:val="fr-CA"/>
        </w:rPr>
        <w:t xml:space="preserve">le </w:t>
      </w:r>
      <w:r w:rsidR="00194880" w:rsidRPr="00E64CC6">
        <w:rPr>
          <w:lang w:val="fr-CA"/>
        </w:rPr>
        <w:t>verdict d’</w:t>
      </w:r>
      <w:r w:rsidR="00531A4D" w:rsidRPr="00E64CC6">
        <w:rPr>
          <w:lang w:val="fr-CA"/>
        </w:rPr>
        <w:t>acquittement prononcé</w:t>
      </w:r>
      <w:r w:rsidR="00406D92" w:rsidRPr="00E64CC6">
        <w:rPr>
          <w:lang w:val="fr-CA"/>
        </w:rPr>
        <w:t xml:space="preserve"> </w:t>
      </w:r>
      <w:r w:rsidR="00194880" w:rsidRPr="00E64CC6">
        <w:rPr>
          <w:lang w:val="fr-CA"/>
        </w:rPr>
        <w:t xml:space="preserve">en faveur de l’accusé </w:t>
      </w:r>
      <w:r w:rsidR="00E913EB" w:rsidRPr="00E64CC6">
        <w:rPr>
          <w:lang w:val="fr-CA"/>
        </w:rPr>
        <w:t>et ordonné un nouveau procès</w:t>
      </w:r>
      <w:r w:rsidR="00406D92" w:rsidRPr="00E64CC6">
        <w:rPr>
          <w:lang w:val="fr-CA"/>
        </w:rPr>
        <w:t xml:space="preserve">. </w:t>
      </w:r>
      <w:r w:rsidR="00E913EB" w:rsidRPr="00E64CC6">
        <w:rPr>
          <w:lang w:val="fr-CA"/>
        </w:rPr>
        <w:t>Pourvoi rejeté</w:t>
      </w:r>
      <w:r w:rsidR="00406D92" w:rsidRPr="00E64CC6">
        <w:rPr>
          <w:lang w:val="fr-CA"/>
        </w:rPr>
        <w:t>.</w:t>
      </w:r>
    </w:p>
    <w:p w:rsidR="004D7D95" w:rsidRPr="00E64CC6" w:rsidRDefault="004D7D95" w:rsidP="004D7D95">
      <w:pPr>
        <w:pStyle w:val="SCCNormalDoubleSpacing"/>
        <w:rPr>
          <w:lang w:val="fr-CA"/>
        </w:rPr>
      </w:pPr>
    </w:p>
    <w:p w:rsidR="003570FB" w:rsidRPr="00E64CC6" w:rsidRDefault="002D2A0B">
      <w:pPr>
        <w:pStyle w:val="SCCNormalDoubleSpacing"/>
        <w:rPr>
          <w:lang w:val="fr-CA"/>
        </w:rPr>
      </w:pPr>
      <w:r w:rsidRPr="00E64CC6">
        <w:rPr>
          <w:rStyle w:val="SCCCounselNameChar"/>
          <w:lang w:val="fr-CA"/>
        </w:rPr>
        <w:tab/>
        <w:t xml:space="preserve">Randolph J. </w:t>
      </w:r>
      <w:proofErr w:type="spellStart"/>
      <w:r w:rsidRPr="00E64CC6">
        <w:rPr>
          <w:rStyle w:val="SCCCounselNameChar"/>
          <w:lang w:val="fr-CA"/>
        </w:rPr>
        <w:t>Piercey</w:t>
      </w:r>
      <w:proofErr w:type="spellEnd"/>
      <w:r w:rsidRPr="00E64CC6">
        <w:rPr>
          <w:rStyle w:val="SCCCounselNameChar"/>
          <w:i w:val="0"/>
          <w:lang w:val="fr-CA"/>
        </w:rPr>
        <w:t>,</w:t>
      </w:r>
      <w:r w:rsidRPr="00E64CC6">
        <w:rPr>
          <w:rStyle w:val="SCCCounselNameChar"/>
          <w:lang w:val="fr-CA"/>
        </w:rPr>
        <w:t xml:space="preserve"> </w:t>
      </w:r>
      <w:proofErr w:type="spellStart"/>
      <w:proofErr w:type="gramStart"/>
      <w:r w:rsidR="00A503E0" w:rsidRPr="00E64CC6">
        <w:rPr>
          <w:rStyle w:val="SCCCounselNameChar"/>
          <w:lang w:val="fr-CA"/>
        </w:rPr>
        <w:t>c</w:t>
      </w:r>
      <w:r w:rsidRPr="00E64CC6">
        <w:rPr>
          <w:rStyle w:val="SCCCounselNameChar"/>
          <w:lang w:val="fr-CA"/>
        </w:rPr>
        <w:t>.</w:t>
      </w:r>
      <w:r w:rsidR="00A503E0" w:rsidRPr="00E64CC6">
        <w:rPr>
          <w:rStyle w:val="SCCCounselNameChar"/>
          <w:lang w:val="fr-CA"/>
        </w:rPr>
        <w:t>r</w:t>
      </w:r>
      <w:proofErr w:type="spellEnd"/>
      <w:r w:rsidRPr="00E64CC6">
        <w:rPr>
          <w:rStyle w:val="SCCCounselNameChar"/>
          <w:lang w:val="fr-CA"/>
        </w:rPr>
        <w:t>.</w:t>
      </w:r>
      <w:r w:rsidR="00A503E0" w:rsidRPr="00E64CC6">
        <w:rPr>
          <w:rStyle w:val="SCCCounselNameChar"/>
          <w:i w:val="0"/>
          <w:lang w:val="fr-CA"/>
        </w:rPr>
        <w:t>,</w:t>
      </w:r>
      <w:proofErr w:type="gramEnd"/>
      <w:r w:rsidR="00E913EB" w:rsidRPr="00E64CC6">
        <w:rPr>
          <w:rStyle w:val="SCCCounselNameChar"/>
          <w:lang w:val="fr-CA"/>
        </w:rPr>
        <w:t xml:space="preserve"> </w:t>
      </w:r>
      <w:r w:rsidR="00E913EB" w:rsidRPr="00E64CC6">
        <w:rPr>
          <w:rStyle w:val="SCCCounselPartyRoleChar"/>
          <w:lang w:val="fr-CA"/>
        </w:rPr>
        <w:t xml:space="preserve">et </w:t>
      </w:r>
      <w:r w:rsidR="00E913EB" w:rsidRPr="00E64CC6">
        <w:rPr>
          <w:rStyle w:val="SCCCounselPartyRoleChar"/>
          <w:i/>
          <w:lang w:val="fr-CA"/>
        </w:rPr>
        <w:t>Michael Crystal</w:t>
      </w:r>
      <w:r w:rsidR="00E913EB" w:rsidRPr="00E64CC6">
        <w:rPr>
          <w:rStyle w:val="SCCCounselPartyRoleChar"/>
          <w:lang w:val="fr-CA"/>
        </w:rPr>
        <w:t>, pour l’appelant</w:t>
      </w:r>
      <w:r w:rsidRPr="00E64CC6">
        <w:rPr>
          <w:rStyle w:val="SCCCounselPartyRoleChar"/>
          <w:lang w:val="fr-CA"/>
        </w:rPr>
        <w:t>.</w:t>
      </w:r>
    </w:p>
    <w:p w:rsidR="003570FB" w:rsidRPr="00E64CC6" w:rsidRDefault="003570FB">
      <w:pPr>
        <w:pStyle w:val="SCCNormalDoubleSpacing"/>
        <w:rPr>
          <w:lang w:val="fr-CA"/>
        </w:rPr>
      </w:pPr>
    </w:p>
    <w:p w:rsidR="003570FB" w:rsidRPr="00E64CC6" w:rsidRDefault="002D2A0B">
      <w:pPr>
        <w:pStyle w:val="SCCNormalDoubleSpacing"/>
        <w:rPr>
          <w:lang w:val="fr-CA"/>
        </w:rPr>
      </w:pPr>
      <w:r w:rsidRPr="00E64CC6">
        <w:rPr>
          <w:rStyle w:val="SCCCounselNameChar"/>
          <w:lang w:val="fr-CA"/>
        </w:rPr>
        <w:tab/>
        <w:t>Iain R.</w:t>
      </w:r>
      <w:r w:rsidR="00CC4B00" w:rsidRPr="00E64CC6">
        <w:rPr>
          <w:rStyle w:val="SCCCounselNameChar"/>
          <w:lang w:val="fr-CA"/>
        </w:rPr>
        <w:t xml:space="preserve"> </w:t>
      </w:r>
      <w:r w:rsidRPr="00E64CC6">
        <w:rPr>
          <w:rStyle w:val="SCCCounselNameChar"/>
          <w:lang w:val="fr-CA"/>
        </w:rPr>
        <w:t xml:space="preserve">W. </w:t>
      </w:r>
      <w:proofErr w:type="spellStart"/>
      <w:r w:rsidRPr="00E64CC6">
        <w:rPr>
          <w:rStyle w:val="SCCCounselNameChar"/>
          <w:lang w:val="fr-CA"/>
        </w:rPr>
        <w:t>Hollett</w:t>
      </w:r>
      <w:proofErr w:type="spellEnd"/>
      <w:r w:rsidRPr="00E64CC6">
        <w:rPr>
          <w:rStyle w:val="SCCCounselPartyRoleChar"/>
          <w:lang w:val="fr-CA"/>
        </w:rPr>
        <w:t>, pour l</w:t>
      </w:r>
      <w:r w:rsidR="00E913EB" w:rsidRPr="00E64CC6">
        <w:rPr>
          <w:rStyle w:val="SCCCounselPartyRoleChar"/>
          <w:lang w:val="fr-CA"/>
        </w:rPr>
        <w:t>’intimée</w:t>
      </w:r>
      <w:r w:rsidRPr="00E64CC6">
        <w:rPr>
          <w:rStyle w:val="SCCCounselPartyRoleChar"/>
          <w:lang w:val="fr-CA"/>
        </w:rPr>
        <w:t>.</w:t>
      </w:r>
    </w:p>
    <w:p w:rsidR="00A654CF" w:rsidRPr="00E64CC6" w:rsidRDefault="00A654CF" w:rsidP="00A654CF">
      <w:pPr>
        <w:pStyle w:val="SCCNormalDoubleSpacing"/>
        <w:rPr>
          <w:rStyle w:val="SCCCounselPartyRoleChar"/>
          <w:lang w:val="fr-CA"/>
        </w:rPr>
      </w:pPr>
    </w:p>
    <w:p w:rsidR="00A654CF" w:rsidRPr="00A0529C" w:rsidRDefault="00230149" w:rsidP="00A0529C">
      <w:pPr>
        <w:pStyle w:val="SCCNormalDoubleSpacing"/>
        <w:rPr>
          <w:lang w:val="fr-CA"/>
        </w:rPr>
      </w:pPr>
      <w:r w:rsidRPr="00E64CC6">
        <w:rPr>
          <w:lang w:val="fr-CA"/>
        </w:rPr>
        <w:tab/>
        <w:t>Version française du jugement</w:t>
      </w:r>
      <w:r w:rsidR="00A654CF" w:rsidRPr="00E64CC6">
        <w:rPr>
          <w:lang w:val="fr-CA"/>
        </w:rPr>
        <w:t xml:space="preserve"> de la Cour rendu </w:t>
      </w:r>
      <w:r w:rsidR="00BA6ACF" w:rsidRPr="00E64CC6">
        <w:rPr>
          <w:lang w:val="fr-CA"/>
        </w:rPr>
        <w:t xml:space="preserve">oralement </w:t>
      </w:r>
      <w:r w:rsidR="00A654CF" w:rsidRPr="00E64CC6">
        <w:rPr>
          <w:lang w:val="fr-CA"/>
        </w:rPr>
        <w:t>par</w:t>
      </w:r>
    </w:p>
    <w:p w:rsidR="00A654CF" w:rsidRPr="00E64CC6" w:rsidRDefault="00A654CF" w:rsidP="00A0529C">
      <w:pPr>
        <w:pStyle w:val="ParaNoNdepar-AltN"/>
        <w:numPr>
          <w:ilvl w:val="0"/>
          <w:numId w:val="0"/>
        </w:numPr>
        <w:rPr>
          <w:lang w:val="fr-CA"/>
        </w:rPr>
      </w:pPr>
      <w:r w:rsidRPr="00E64CC6">
        <w:rPr>
          <w:smallCaps/>
          <w:lang w:val="fr-CA"/>
        </w:rPr>
        <w:t>[1]</w:t>
      </w:r>
      <w:r w:rsidRPr="00E64CC6">
        <w:rPr>
          <w:smallCaps/>
          <w:lang w:val="fr-CA"/>
        </w:rPr>
        <w:tab/>
      </w:r>
      <w:r w:rsidR="00230149" w:rsidRPr="00E64CC6">
        <w:rPr>
          <w:smallCaps/>
          <w:lang w:val="fr-CA"/>
        </w:rPr>
        <w:t xml:space="preserve">Le juge </w:t>
      </w:r>
      <w:proofErr w:type="spellStart"/>
      <w:r w:rsidR="00230149" w:rsidRPr="00E64CC6">
        <w:rPr>
          <w:smallCaps/>
          <w:lang w:val="fr-CA"/>
        </w:rPr>
        <w:t>Moldaver</w:t>
      </w:r>
      <w:proofErr w:type="spellEnd"/>
      <w:r w:rsidRPr="00E64CC6">
        <w:rPr>
          <w:smallCaps/>
          <w:lang w:val="fr-CA"/>
        </w:rPr>
        <w:t xml:space="preserve"> </w:t>
      </w:r>
      <w:r w:rsidRPr="00E64CC6">
        <w:rPr>
          <w:lang w:val="fr-CA"/>
        </w:rPr>
        <w:t xml:space="preserve">— </w:t>
      </w:r>
      <w:r w:rsidR="00230149" w:rsidRPr="00E64CC6">
        <w:rPr>
          <w:rFonts w:eastAsia="Calibri"/>
          <w:szCs w:val="24"/>
          <w:lang w:val="fr-CA"/>
        </w:rPr>
        <w:t xml:space="preserve">Le </w:t>
      </w:r>
      <w:r w:rsidR="00230149" w:rsidRPr="006A5015">
        <w:rPr>
          <w:rFonts w:cs="Times New Roman"/>
          <w:lang w:val="fr-FR"/>
        </w:rPr>
        <w:t>présent</w:t>
      </w:r>
      <w:r w:rsidR="00230149" w:rsidRPr="00E64CC6">
        <w:rPr>
          <w:rFonts w:eastAsia="Calibri"/>
          <w:szCs w:val="24"/>
          <w:lang w:val="fr-CA"/>
        </w:rPr>
        <w:t xml:space="preserve"> appel de plein droit vise un arrêt de la Cour d’appel de Terre-Neuve-et-Labrador. Nous devons décider si les juges majoritaires de ce tribunal ont fait erreur en annulant l’acquittement prononcé en faveur de l’appelant à l’égard d’une accusation d’agression sexuelle au terme d’un procès devant juge et jury, et en ordonnant un nouveau procès. La question particulière qu’il faut trancher consiste à décider si les juges majoritaires de la Cour d’appel ont erronément conclu que la juge du procès avait commis une erreur en refusant de donner au jury des directives sur l’al. 273.1(2)c) du </w:t>
      </w:r>
      <w:r w:rsidR="00230149" w:rsidRPr="00E64CC6">
        <w:rPr>
          <w:rFonts w:eastAsia="Calibri"/>
          <w:i/>
          <w:szCs w:val="24"/>
          <w:lang w:val="fr-CA"/>
        </w:rPr>
        <w:t>Code criminel</w:t>
      </w:r>
      <w:r w:rsidR="00230149" w:rsidRPr="00E64CC6">
        <w:rPr>
          <w:rFonts w:eastAsia="Calibri"/>
          <w:szCs w:val="24"/>
          <w:lang w:val="fr-CA"/>
        </w:rPr>
        <w:t>, L.R.C. 1985, c. C-46, disposition qui précise que le consentement du plaignant ne se déduit pas dans les cas où l’accusé l’incite à l’activité sexuelle par abus de confiance ou de pouvoir.</w:t>
      </w:r>
    </w:p>
    <w:p w:rsidR="00A654CF" w:rsidRPr="00A0529C" w:rsidRDefault="00A654CF" w:rsidP="00A0529C">
      <w:pPr>
        <w:pStyle w:val="ParaNoNdepar-AltN"/>
        <w:numPr>
          <w:ilvl w:val="0"/>
          <w:numId w:val="0"/>
        </w:numPr>
        <w:rPr>
          <w:rFonts w:eastAsia="Calibri"/>
          <w:szCs w:val="24"/>
          <w:lang w:val="fr-CA"/>
        </w:rPr>
      </w:pPr>
      <w:r w:rsidRPr="00E64CC6">
        <w:rPr>
          <w:lang w:val="fr-CA"/>
        </w:rPr>
        <w:t>[2]</w:t>
      </w:r>
      <w:r w:rsidRPr="00E64CC6">
        <w:rPr>
          <w:lang w:val="fr-CA"/>
        </w:rPr>
        <w:tab/>
      </w:r>
      <w:r w:rsidR="00230149" w:rsidRPr="00E64CC6">
        <w:rPr>
          <w:rFonts w:eastAsia="Calibri"/>
          <w:szCs w:val="24"/>
          <w:lang w:val="fr-CA"/>
        </w:rPr>
        <w:t xml:space="preserve">Nous sommes </w:t>
      </w:r>
      <w:r w:rsidR="00230149" w:rsidRPr="00A0529C">
        <w:rPr>
          <w:rFonts w:cs="Times New Roman"/>
          <w:lang w:val="fr-CA"/>
        </w:rPr>
        <w:t>d’avis</w:t>
      </w:r>
      <w:r w:rsidR="00230149" w:rsidRPr="00E64CC6">
        <w:rPr>
          <w:rFonts w:eastAsia="Calibri"/>
          <w:szCs w:val="24"/>
          <w:lang w:val="fr-CA"/>
        </w:rPr>
        <w:t xml:space="preserve"> de rejeter le pourvoi, essentiellement pour les motifs exposés par la majorité de la Cour d’appel. </w:t>
      </w:r>
    </w:p>
    <w:p w:rsidR="00A654CF" w:rsidRPr="00A0529C" w:rsidRDefault="00A654CF" w:rsidP="00A0529C">
      <w:pPr>
        <w:pStyle w:val="ParaNoNdepar-AltN"/>
        <w:numPr>
          <w:ilvl w:val="0"/>
          <w:numId w:val="0"/>
        </w:numPr>
        <w:rPr>
          <w:rFonts w:eastAsia="Calibri"/>
          <w:szCs w:val="24"/>
          <w:lang w:val="fr-CA"/>
        </w:rPr>
      </w:pPr>
      <w:r w:rsidRPr="00E64CC6">
        <w:rPr>
          <w:lang w:val="fr-CA"/>
        </w:rPr>
        <w:t>[3]</w:t>
      </w:r>
      <w:r w:rsidRPr="00E64CC6">
        <w:rPr>
          <w:lang w:val="fr-CA"/>
        </w:rPr>
        <w:tab/>
      </w:r>
      <w:r w:rsidR="00230149" w:rsidRPr="00E64CC6">
        <w:rPr>
          <w:rFonts w:eastAsia="Calibri"/>
          <w:szCs w:val="24"/>
          <w:lang w:val="fr-CA"/>
        </w:rPr>
        <w:t xml:space="preserve">L’alinéa 273.1(2)c) a pour objet </w:t>
      </w:r>
      <w:r w:rsidR="00230149" w:rsidRPr="00E64CC6">
        <w:rPr>
          <w:lang w:val="fr-CA"/>
        </w:rPr>
        <w:t>[</w:t>
      </w:r>
      <w:r w:rsidR="00230149" w:rsidRPr="00E64CC6">
        <w:rPr>
          <w:smallCaps/>
          <w:lang w:val="fr-CA"/>
        </w:rPr>
        <w:t>traduction</w:t>
      </w:r>
      <w:r w:rsidR="00230149" w:rsidRPr="00E64CC6">
        <w:rPr>
          <w:lang w:val="fr-CA"/>
        </w:rPr>
        <w:t xml:space="preserve">] « </w:t>
      </w:r>
      <w:r w:rsidR="00230149" w:rsidRPr="00E64CC6">
        <w:rPr>
          <w:rFonts w:eastAsia="Calibri"/>
          <w:szCs w:val="24"/>
          <w:lang w:val="fr-CA"/>
        </w:rPr>
        <w:t>[l]a protection des personnes faibles et vulnérables ainsi que la préservation du droit de consentir librement à une activité sexuelle » (</w:t>
      </w:r>
      <w:r w:rsidR="00230149" w:rsidRPr="00E64CC6">
        <w:rPr>
          <w:rFonts w:eastAsia="Calibri"/>
          <w:i/>
          <w:szCs w:val="24"/>
          <w:lang w:val="fr-CA"/>
        </w:rPr>
        <w:t xml:space="preserve">R. c. </w:t>
      </w:r>
      <w:proofErr w:type="spellStart"/>
      <w:r w:rsidR="00230149" w:rsidRPr="00E64CC6">
        <w:rPr>
          <w:rFonts w:eastAsia="Calibri"/>
          <w:i/>
          <w:szCs w:val="24"/>
          <w:lang w:val="fr-CA"/>
        </w:rPr>
        <w:t>Hogg</w:t>
      </w:r>
      <w:proofErr w:type="spellEnd"/>
      <w:r w:rsidR="00230149" w:rsidRPr="00E64CC6">
        <w:rPr>
          <w:rFonts w:eastAsia="Calibri"/>
          <w:szCs w:val="24"/>
          <w:lang w:val="fr-CA"/>
        </w:rPr>
        <w:t xml:space="preserve"> (2000), 148 C.C.C. (3d) 86 (C.A. Ont.), par. 17). Inciter quelqu’un à donner son consentement par abus de relations comme celles mentionnées à l’al. 273.1(2)c) n’implique pas le même type de coercition que celle envisagée à l’al. 265(3)d) du </w:t>
      </w:r>
      <w:r w:rsidR="00230149" w:rsidRPr="00E64CC6">
        <w:rPr>
          <w:rFonts w:eastAsia="Calibri"/>
          <w:i/>
          <w:szCs w:val="24"/>
          <w:lang w:val="fr-CA"/>
        </w:rPr>
        <w:t>Code criminel</w:t>
      </w:r>
      <w:r w:rsidR="00230149" w:rsidRPr="00E64CC6">
        <w:rPr>
          <w:rFonts w:eastAsia="Calibri"/>
          <w:szCs w:val="24"/>
          <w:lang w:val="fr-CA"/>
        </w:rPr>
        <w:t xml:space="preserve">, qui vise les cas de consentement obtenu lorsque le plaignant se soumet ou ne résiste pas en raison de l’« exercice de l’autorité ». En fait, comme l’a fait remarquer le juge Doherty dans </w:t>
      </w:r>
      <w:r w:rsidR="00230149" w:rsidRPr="00E64CC6">
        <w:rPr>
          <w:rFonts w:eastAsia="Calibri"/>
          <w:i/>
          <w:szCs w:val="24"/>
          <w:lang w:val="fr-CA"/>
        </w:rPr>
        <w:t>R. c. Lutoslawski</w:t>
      </w:r>
      <w:r w:rsidR="00230149" w:rsidRPr="00E64CC6">
        <w:rPr>
          <w:rFonts w:eastAsia="Calibri"/>
          <w:szCs w:val="24"/>
          <w:lang w:val="fr-CA"/>
        </w:rPr>
        <w:t>,</w:t>
      </w:r>
      <w:r w:rsidR="00230149" w:rsidRPr="00E64CC6">
        <w:rPr>
          <w:rFonts w:eastAsia="Calibri"/>
          <w:i/>
          <w:szCs w:val="24"/>
          <w:lang w:val="fr-CA"/>
        </w:rPr>
        <w:t xml:space="preserve"> </w:t>
      </w:r>
      <w:r w:rsidR="00230149" w:rsidRPr="00E64CC6">
        <w:rPr>
          <w:rFonts w:eastAsia="Calibri"/>
          <w:szCs w:val="24"/>
          <w:lang w:val="fr-CA"/>
        </w:rPr>
        <w:t xml:space="preserve">2010 ONCA 207, 258 C.C.C. (3d) 1 : </w:t>
      </w:r>
      <w:r w:rsidR="00230149" w:rsidRPr="00E64CC6">
        <w:rPr>
          <w:lang w:val="fr-CA"/>
        </w:rPr>
        <w:t>[</w:t>
      </w:r>
      <w:r w:rsidR="00230149" w:rsidRPr="00E64CC6">
        <w:rPr>
          <w:smallCaps/>
          <w:lang w:val="fr-CA"/>
        </w:rPr>
        <w:t>traduction</w:t>
      </w:r>
      <w:r w:rsidR="00230149" w:rsidRPr="00E64CC6">
        <w:rPr>
          <w:lang w:val="fr-CA"/>
        </w:rPr>
        <w:t>]</w:t>
      </w:r>
      <w:r w:rsidR="00230149" w:rsidRPr="00E64CC6">
        <w:rPr>
          <w:rFonts w:eastAsia="Calibri"/>
          <w:szCs w:val="24"/>
          <w:lang w:val="fr-CA"/>
        </w:rPr>
        <w:t xml:space="preserve"> « Un individu qui est dans une situation où il a la confiance d’une autre personne peut se servir des sentiments</w:t>
      </w:r>
      <w:r w:rsidR="00A0529C">
        <w:rPr>
          <w:rFonts w:eastAsia="Calibri"/>
          <w:szCs w:val="24"/>
          <w:lang w:val="fr-CA"/>
        </w:rPr>
        <w:t xml:space="preserve"> personnels et de la confiance </w:t>
      </w:r>
      <w:r w:rsidR="00230149" w:rsidRPr="00E64CC6">
        <w:rPr>
          <w:rFonts w:eastAsia="Calibri"/>
          <w:szCs w:val="24"/>
          <w:lang w:val="fr-CA"/>
        </w:rPr>
        <w:t>engendrés par cette relation pour obtenir un consentement apparent à l’activité sexuelle » (par. 12).</w:t>
      </w:r>
    </w:p>
    <w:p w:rsidR="003570FB" w:rsidRPr="00A0529C" w:rsidRDefault="00230149" w:rsidP="00A0529C">
      <w:pPr>
        <w:pStyle w:val="ParaNoNdepar-AltN"/>
        <w:numPr>
          <w:ilvl w:val="0"/>
          <w:numId w:val="0"/>
        </w:numPr>
        <w:rPr>
          <w:lang w:val="fr-CA"/>
        </w:rPr>
      </w:pPr>
      <w:r w:rsidRPr="00E64CC6">
        <w:rPr>
          <w:lang w:val="fr-CA"/>
        </w:rPr>
        <w:t>[4]</w:t>
      </w:r>
      <w:r w:rsidRPr="00E64CC6">
        <w:rPr>
          <w:lang w:val="fr-CA"/>
        </w:rPr>
        <w:tab/>
      </w:r>
      <w:r w:rsidRPr="00E64CC6">
        <w:rPr>
          <w:rFonts w:eastAsia="Calibri"/>
          <w:szCs w:val="24"/>
          <w:lang w:val="fr-CA"/>
        </w:rPr>
        <w:t>Eu égard aux faits de la présente affaire, nous estimons qu’il aurait été loisible au jury de conclure que, en abusant de la confiance qui lui était accordée et du pouvoir dont il disposait, l’accusé a profité de la plaignante</w:t>
      </w:r>
      <w:r w:rsidRPr="00E64CC6">
        <w:rPr>
          <w:rFonts w:eastAsia="Calibri"/>
          <w:i/>
          <w:szCs w:val="24"/>
          <w:lang w:val="fr-CA"/>
        </w:rPr>
        <w:t xml:space="preserve"> </w:t>
      </w:r>
      <w:r w:rsidRPr="00E64CC6">
        <w:rPr>
          <w:rFonts w:eastAsia="Calibri"/>
          <w:szCs w:val="24"/>
          <w:lang w:val="fr-CA"/>
        </w:rPr>
        <w:t>— qui était très ivre et vulnérable</w:t>
      </w:r>
      <w:r w:rsidRPr="00E64CC6">
        <w:rPr>
          <w:rFonts w:eastAsia="Calibri"/>
          <w:i/>
          <w:szCs w:val="24"/>
          <w:lang w:val="fr-CA"/>
        </w:rPr>
        <w:t xml:space="preserve"> </w:t>
      </w:r>
      <w:r w:rsidRPr="00E64CC6">
        <w:rPr>
          <w:rFonts w:eastAsia="Calibri"/>
          <w:szCs w:val="24"/>
          <w:lang w:val="fr-CA"/>
        </w:rPr>
        <w:t>— en utilisant les sentiments personnels et la confiance engendrés par leur relation pour obtenir son consentement apparent à l’activité sexuelle. Des directives sur l’al. 273.1(2)c) s’imposaient donc. Par conséquent, nous sommes d’avis de rejeter le pourvoi.</w:t>
      </w:r>
    </w:p>
    <w:p w:rsidR="004D7D95" w:rsidRPr="00E64CC6" w:rsidRDefault="004D7D95" w:rsidP="004D7D95">
      <w:pPr>
        <w:pStyle w:val="SCCNormalDoubleSpacing"/>
        <w:rPr>
          <w:i/>
          <w:lang w:val="fr-CA"/>
        </w:rPr>
      </w:pPr>
      <w:r w:rsidRPr="00E64CC6">
        <w:rPr>
          <w:lang w:val="fr-CA"/>
        </w:rPr>
        <w:tab/>
      </w:r>
      <w:r w:rsidR="00C83212" w:rsidRPr="00E64CC6">
        <w:rPr>
          <w:i/>
          <w:lang w:val="fr-CA"/>
        </w:rPr>
        <w:t>Jugement en conséquence</w:t>
      </w:r>
      <w:r w:rsidR="00E913EB" w:rsidRPr="00E64CC6">
        <w:rPr>
          <w:i/>
          <w:lang w:val="fr-CA"/>
        </w:rPr>
        <w:t>.</w:t>
      </w:r>
    </w:p>
    <w:p w:rsidR="004D7D95" w:rsidRPr="00E64CC6" w:rsidRDefault="004D7D95" w:rsidP="004D7D95">
      <w:pPr>
        <w:pStyle w:val="SCCNormalDoubleSpacing"/>
        <w:rPr>
          <w:lang w:val="fr-CA"/>
        </w:rPr>
      </w:pPr>
    </w:p>
    <w:p w:rsidR="003570FB" w:rsidRPr="00E64CC6" w:rsidRDefault="002D2A0B">
      <w:pPr>
        <w:pStyle w:val="SCCLawFirm"/>
        <w:rPr>
          <w:lang w:val="fr-CA"/>
        </w:rPr>
      </w:pPr>
      <w:r w:rsidRPr="00E64CC6">
        <w:rPr>
          <w:lang w:val="fr-CA"/>
        </w:rPr>
        <w:tab/>
      </w:r>
      <w:r w:rsidR="00E913EB" w:rsidRPr="00E64CC6">
        <w:rPr>
          <w:lang w:val="fr-CA"/>
        </w:rPr>
        <w:t>Procureurs</w:t>
      </w:r>
      <w:r w:rsidRPr="00E64CC6">
        <w:rPr>
          <w:lang w:val="fr-CA"/>
        </w:rPr>
        <w:t xml:space="preserve"> de l</w:t>
      </w:r>
      <w:r w:rsidR="00E913EB" w:rsidRPr="00E64CC6">
        <w:rPr>
          <w:lang w:val="fr-CA"/>
        </w:rPr>
        <w:t>’</w:t>
      </w:r>
      <w:r w:rsidRPr="00E64CC6">
        <w:rPr>
          <w:lang w:val="fr-CA"/>
        </w:rPr>
        <w:t xml:space="preserve">appelant : </w:t>
      </w:r>
      <w:proofErr w:type="spellStart"/>
      <w:r w:rsidRPr="00E64CC6">
        <w:rPr>
          <w:lang w:val="fr-CA"/>
        </w:rPr>
        <w:t>Noonan</w:t>
      </w:r>
      <w:proofErr w:type="spellEnd"/>
      <w:r w:rsidRPr="00E64CC6">
        <w:rPr>
          <w:lang w:val="fr-CA"/>
        </w:rPr>
        <w:t xml:space="preserve"> </w:t>
      </w:r>
      <w:proofErr w:type="spellStart"/>
      <w:r w:rsidRPr="00E64CC6">
        <w:rPr>
          <w:lang w:val="fr-CA"/>
        </w:rPr>
        <w:t>Piercey</w:t>
      </w:r>
      <w:proofErr w:type="spellEnd"/>
      <w:r w:rsidRPr="00E64CC6">
        <w:rPr>
          <w:lang w:val="fr-CA"/>
        </w:rPr>
        <w:t>, St. John</w:t>
      </w:r>
      <w:r w:rsidR="00E913EB" w:rsidRPr="00E64CC6">
        <w:rPr>
          <w:lang w:val="fr-CA"/>
        </w:rPr>
        <w:t>’</w:t>
      </w:r>
      <w:r w:rsidRPr="00E64CC6">
        <w:rPr>
          <w:lang w:val="fr-CA"/>
        </w:rPr>
        <w:t>s</w:t>
      </w:r>
      <w:r w:rsidR="00E913EB" w:rsidRPr="00E64CC6">
        <w:rPr>
          <w:lang w:val="fr-CA"/>
        </w:rPr>
        <w:t xml:space="preserve">; </w:t>
      </w:r>
      <w:proofErr w:type="spellStart"/>
      <w:r w:rsidR="00E913EB" w:rsidRPr="00E64CC6">
        <w:rPr>
          <w:lang w:val="fr-CA"/>
        </w:rPr>
        <w:t>Spiteri</w:t>
      </w:r>
      <w:proofErr w:type="spellEnd"/>
      <w:r w:rsidR="00E913EB" w:rsidRPr="00E64CC6">
        <w:rPr>
          <w:lang w:val="fr-CA"/>
        </w:rPr>
        <w:t xml:space="preserve"> &amp; </w:t>
      </w:r>
      <w:proofErr w:type="spellStart"/>
      <w:r w:rsidR="00E913EB" w:rsidRPr="00E64CC6">
        <w:rPr>
          <w:lang w:val="fr-CA"/>
        </w:rPr>
        <w:t>Ursulak</w:t>
      </w:r>
      <w:proofErr w:type="spellEnd"/>
      <w:r w:rsidR="00E913EB" w:rsidRPr="00E64CC6">
        <w:rPr>
          <w:lang w:val="fr-CA"/>
        </w:rPr>
        <w:t>, Ottawa</w:t>
      </w:r>
      <w:r w:rsidRPr="00E64CC6">
        <w:rPr>
          <w:lang w:val="fr-CA"/>
        </w:rPr>
        <w:t>.</w:t>
      </w:r>
    </w:p>
    <w:p w:rsidR="003570FB" w:rsidRPr="00E64CC6" w:rsidRDefault="003570FB">
      <w:pPr>
        <w:pStyle w:val="SCCLawFirm"/>
        <w:rPr>
          <w:lang w:val="fr-CA"/>
        </w:rPr>
      </w:pPr>
    </w:p>
    <w:p w:rsidR="009B57B3" w:rsidRPr="00E64CC6" w:rsidRDefault="002D2A0B" w:rsidP="00BA6ACF">
      <w:pPr>
        <w:pStyle w:val="SCCLawFirm"/>
        <w:rPr>
          <w:lang w:val="fr-CA"/>
        </w:rPr>
      </w:pPr>
      <w:r w:rsidRPr="00E64CC6">
        <w:rPr>
          <w:lang w:val="fr-CA"/>
        </w:rPr>
        <w:tab/>
        <w:t>Procureur de l</w:t>
      </w:r>
      <w:r w:rsidR="00E913EB" w:rsidRPr="00E64CC6">
        <w:rPr>
          <w:lang w:val="fr-CA"/>
        </w:rPr>
        <w:t>’</w:t>
      </w:r>
      <w:r w:rsidRPr="00E64CC6">
        <w:rPr>
          <w:lang w:val="fr-CA"/>
        </w:rPr>
        <w:t xml:space="preserve">intimée : </w:t>
      </w:r>
      <w:r w:rsidR="00E913EB" w:rsidRPr="00E64CC6">
        <w:rPr>
          <w:lang w:val="fr-CA"/>
        </w:rPr>
        <w:t>Procureur général de Terre-Neuve</w:t>
      </w:r>
      <w:r w:rsidR="009F768B" w:rsidRPr="00E64CC6">
        <w:rPr>
          <w:lang w:val="fr-CA"/>
        </w:rPr>
        <w:t>-</w:t>
      </w:r>
      <w:r w:rsidR="00E913EB" w:rsidRPr="00E64CC6">
        <w:rPr>
          <w:lang w:val="fr-CA"/>
        </w:rPr>
        <w:t>et</w:t>
      </w:r>
      <w:r w:rsidR="009F768B" w:rsidRPr="00E64CC6">
        <w:rPr>
          <w:lang w:val="fr-CA"/>
        </w:rPr>
        <w:t>-</w:t>
      </w:r>
      <w:r w:rsidRPr="00E64CC6">
        <w:rPr>
          <w:lang w:val="fr-CA"/>
        </w:rPr>
        <w:t>Labrador, St. John</w:t>
      </w:r>
      <w:r w:rsidR="00E913EB" w:rsidRPr="00E64CC6">
        <w:rPr>
          <w:lang w:val="fr-CA"/>
        </w:rPr>
        <w:t>’</w:t>
      </w:r>
      <w:r w:rsidRPr="00E64CC6">
        <w:rPr>
          <w:lang w:val="fr-CA"/>
        </w:rPr>
        <w:t>s.</w:t>
      </w:r>
    </w:p>
    <w:sectPr w:rsidR="009B57B3" w:rsidRPr="00E64CC6"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D48DF"/>
    <w:multiLevelType w:val="multilevel"/>
    <w:tmpl w:val="CFD4A66C"/>
    <w:lvl w:ilvl="0">
      <w:start w:val="1"/>
      <w:numFmt w:val="decimal"/>
      <w:pStyle w:val="ParaNoNdepar-Alt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4880"/>
    <w:rsid w:val="00195D83"/>
    <w:rsid w:val="001A00C1"/>
    <w:rsid w:val="001B33E0"/>
    <w:rsid w:val="001B4573"/>
    <w:rsid w:val="001C779F"/>
    <w:rsid w:val="001D2AC1"/>
    <w:rsid w:val="001D4E88"/>
    <w:rsid w:val="00220FC2"/>
    <w:rsid w:val="002222F4"/>
    <w:rsid w:val="00224FC0"/>
    <w:rsid w:val="00225EA4"/>
    <w:rsid w:val="00226EAF"/>
    <w:rsid w:val="00230149"/>
    <w:rsid w:val="00231F3A"/>
    <w:rsid w:val="002406EE"/>
    <w:rsid w:val="00243EC8"/>
    <w:rsid w:val="00270D93"/>
    <w:rsid w:val="00271798"/>
    <w:rsid w:val="002745CC"/>
    <w:rsid w:val="002B0970"/>
    <w:rsid w:val="002B6FBE"/>
    <w:rsid w:val="002B7924"/>
    <w:rsid w:val="002C10A6"/>
    <w:rsid w:val="002D28C3"/>
    <w:rsid w:val="002D2A0B"/>
    <w:rsid w:val="002D39A4"/>
    <w:rsid w:val="002D727C"/>
    <w:rsid w:val="002E6705"/>
    <w:rsid w:val="0030329A"/>
    <w:rsid w:val="0031086F"/>
    <w:rsid w:val="0031414C"/>
    <w:rsid w:val="00314E01"/>
    <w:rsid w:val="0032089D"/>
    <w:rsid w:val="003310DE"/>
    <w:rsid w:val="003323B0"/>
    <w:rsid w:val="00340A49"/>
    <w:rsid w:val="0035169A"/>
    <w:rsid w:val="0035259D"/>
    <w:rsid w:val="003570FB"/>
    <w:rsid w:val="00364B18"/>
    <w:rsid w:val="003942C0"/>
    <w:rsid w:val="003A125D"/>
    <w:rsid w:val="003A4C70"/>
    <w:rsid w:val="003B215F"/>
    <w:rsid w:val="003B4558"/>
    <w:rsid w:val="003C799C"/>
    <w:rsid w:val="003D0399"/>
    <w:rsid w:val="003E1C71"/>
    <w:rsid w:val="003F327B"/>
    <w:rsid w:val="00406166"/>
    <w:rsid w:val="00406D92"/>
    <w:rsid w:val="0040704B"/>
    <w:rsid w:val="00410A55"/>
    <w:rsid w:val="00411300"/>
    <w:rsid w:val="00413F17"/>
    <w:rsid w:val="00415417"/>
    <w:rsid w:val="00426659"/>
    <w:rsid w:val="00450352"/>
    <w:rsid w:val="00454BDB"/>
    <w:rsid w:val="0046008E"/>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31A4D"/>
    <w:rsid w:val="00532DA4"/>
    <w:rsid w:val="00555291"/>
    <w:rsid w:val="00566AD1"/>
    <w:rsid w:val="00583EDE"/>
    <w:rsid w:val="005A6079"/>
    <w:rsid w:val="005D4415"/>
    <w:rsid w:val="005E4698"/>
    <w:rsid w:val="00603924"/>
    <w:rsid w:val="00610539"/>
    <w:rsid w:val="00613969"/>
    <w:rsid w:val="00625C35"/>
    <w:rsid w:val="00636E8E"/>
    <w:rsid w:val="00647E49"/>
    <w:rsid w:val="00656313"/>
    <w:rsid w:val="006565F4"/>
    <w:rsid w:val="00684EEA"/>
    <w:rsid w:val="0069689B"/>
    <w:rsid w:val="006A5015"/>
    <w:rsid w:val="006B5FF5"/>
    <w:rsid w:val="006F30AF"/>
    <w:rsid w:val="00701759"/>
    <w:rsid w:val="00705C15"/>
    <w:rsid w:val="00706F17"/>
    <w:rsid w:val="007110F6"/>
    <w:rsid w:val="007208D1"/>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60E2"/>
    <w:rsid w:val="008322BD"/>
    <w:rsid w:val="00834F73"/>
    <w:rsid w:val="0085116D"/>
    <w:rsid w:val="00864C8A"/>
    <w:rsid w:val="00864CF8"/>
    <w:rsid w:val="00874914"/>
    <w:rsid w:val="00891422"/>
    <w:rsid w:val="00892E1A"/>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F0E33"/>
    <w:rsid w:val="009F768B"/>
    <w:rsid w:val="00A0529C"/>
    <w:rsid w:val="00A149DF"/>
    <w:rsid w:val="00A1755C"/>
    <w:rsid w:val="00A21B90"/>
    <w:rsid w:val="00A22AAC"/>
    <w:rsid w:val="00A41805"/>
    <w:rsid w:val="00A5037A"/>
    <w:rsid w:val="00A503E0"/>
    <w:rsid w:val="00A51882"/>
    <w:rsid w:val="00A52AFB"/>
    <w:rsid w:val="00A548CB"/>
    <w:rsid w:val="00A5521C"/>
    <w:rsid w:val="00A643E7"/>
    <w:rsid w:val="00A654CF"/>
    <w:rsid w:val="00A73C38"/>
    <w:rsid w:val="00A921A7"/>
    <w:rsid w:val="00AB670D"/>
    <w:rsid w:val="00AF03C5"/>
    <w:rsid w:val="00B000D8"/>
    <w:rsid w:val="00B00F75"/>
    <w:rsid w:val="00B145B6"/>
    <w:rsid w:val="00B279EB"/>
    <w:rsid w:val="00B50C81"/>
    <w:rsid w:val="00B557F8"/>
    <w:rsid w:val="00B815FC"/>
    <w:rsid w:val="00B93FBC"/>
    <w:rsid w:val="00BA6ACF"/>
    <w:rsid w:val="00BA7DA0"/>
    <w:rsid w:val="00BB2EE4"/>
    <w:rsid w:val="00BB4C92"/>
    <w:rsid w:val="00BC2108"/>
    <w:rsid w:val="00BD0E9E"/>
    <w:rsid w:val="00BD1BEC"/>
    <w:rsid w:val="00BD32FF"/>
    <w:rsid w:val="00BF6FE9"/>
    <w:rsid w:val="00C02092"/>
    <w:rsid w:val="00C24D91"/>
    <w:rsid w:val="00C26DB2"/>
    <w:rsid w:val="00C53F14"/>
    <w:rsid w:val="00C600CF"/>
    <w:rsid w:val="00C6084F"/>
    <w:rsid w:val="00C62A66"/>
    <w:rsid w:val="00C66359"/>
    <w:rsid w:val="00C71458"/>
    <w:rsid w:val="00C77613"/>
    <w:rsid w:val="00C828E7"/>
    <w:rsid w:val="00C83212"/>
    <w:rsid w:val="00C86719"/>
    <w:rsid w:val="00C921DD"/>
    <w:rsid w:val="00CA6391"/>
    <w:rsid w:val="00CC4B00"/>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95F8E"/>
    <w:rsid w:val="00DA0590"/>
    <w:rsid w:val="00DC1739"/>
    <w:rsid w:val="00DC1788"/>
    <w:rsid w:val="00DE319C"/>
    <w:rsid w:val="00DE4E38"/>
    <w:rsid w:val="00DF0CA8"/>
    <w:rsid w:val="00DF2B48"/>
    <w:rsid w:val="00DF49A7"/>
    <w:rsid w:val="00E07EE2"/>
    <w:rsid w:val="00E07FD1"/>
    <w:rsid w:val="00E24573"/>
    <w:rsid w:val="00E25E1E"/>
    <w:rsid w:val="00E27EE7"/>
    <w:rsid w:val="00E35404"/>
    <w:rsid w:val="00E45109"/>
    <w:rsid w:val="00E47B7A"/>
    <w:rsid w:val="00E56A44"/>
    <w:rsid w:val="00E60269"/>
    <w:rsid w:val="00E64CC6"/>
    <w:rsid w:val="00E913EB"/>
    <w:rsid w:val="00E97830"/>
    <w:rsid w:val="00EE0830"/>
    <w:rsid w:val="00EE6CB8"/>
    <w:rsid w:val="00EF0683"/>
    <w:rsid w:val="00F0070C"/>
    <w:rsid w:val="00F00EB7"/>
    <w:rsid w:val="00F36AB6"/>
    <w:rsid w:val="00F37659"/>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 w:val="00FF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A654CF"/>
    <w:pPr>
      <w:ind w:left="720"/>
      <w:contextualSpacing/>
    </w:pPr>
  </w:style>
  <w:style w:type="paragraph" w:customStyle="1" w:styleId="ParaNoNdepar-AltN">
    <w:name w:val="Para. No. / Nº de par. - Alt N"/>
    <w:link w:val="ParaNoNdepar-AltNChar"/>
    <w:qFormat/>
    <w:rsid w:val="00A0529C"/>
    <w:pPr>
      <w:numPr>
        <w:numId w:val="1"/>
      </w:numPr>
      <w:tabs>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A0529C"/>
    <w:rPr>
      <w:rFonts w:eastAsiaTheme="minorEastAsia" w:cstheme="minorBidi"/>
      <w:sz w:val="24"/>
      <w:szCs w:val="22"/>
      <w:lang w:eastAsia="en-US"/>
    </w:rPr>
  </w:style>
  <w:style w:type="table" w:styleId="TableGrid">
    <w:name w:val="Table Grid"/>
    <w:basedOn w:val="TableNormal"/>
    <w:uiPriority w:val="59"/>
    <w:rsid w:val="00DE4E3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E4E38"/>
    <w:rPr>
      <w:rFonts w:ascii="Times New Roman" w:hAnsi="Times New Roman"/>
      <w:sz w:val="24"/>
      <w:szCs w:val="24"/>
      <w:lang w:val="fr-CA"/>
    </w:rPr>
  </w:style>
  <w:style w:type="paragraph" w:customStyle="1" w:styleId="SCCLsocPrefix">
    <w:name w:val="SCC.Lsoc.Prefix"/>
    <w:basedOn w:val="Normal"/>
    <w:next w:val="Normal"/>
    <w:link w:val="SCCLsocPrefixChar"/>
    <w:rsid w:val="00DE4E3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E4E38"/>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2019-06-20T17:46:00Z</dcterms:created>
  <dcterms:modified xsi:type="dcterms:W3CDTF">2020-05-14T13:54:00Z</dcterms:modified>
</cp:coreProperties>
</file>