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7F" w:rsidRDefault="000E477F" w:rsidP="000E477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676816329" r:id="rId8"/>
        </w:object>
      </w:r>
      <w:r>
        <w:t xml:space="preserve"> </w:t>
      </w:r>
      <w:r>
        <w:ptab w:relativeTo="margin" w:alignment="right" w:leader="none"/>
      </w:r>
    </w:p>
    <w:p w:rsidR="000E477F" w:rsidRDefault="000E477F" w:rsidP="000E477F">
      <w:pPr>
        <w:pStyle w:val="Header"/>
      </w:pPr>
    </w:p>
    <w:p w:rsidR="000E477F" w:rsidRPr="001E12E2" w:rsidRDefault="000E477F" w:rsidP="000E477F">
      <w:pPr>
        <w:jc w:val="center"/>
        <w:rPr>
          <w:b/>
        </w:rPr>
      </w:pPr>
      <w:r w:rsidRPr="001E12E2">
        <w:rPr>
          <w:b/>
        </w:rPr>
        <w:t>COUR SUPRÊME DU CANADA</w:t>
      </w:r>
    </w:p>
    <w:p w:rsidR="000E477F" w:rsidRDefault="000E477F" w:rsidP="000E477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0E477F" w:rsidRPr="005E5535" w:rsidTr="002704EA">
        <w:trPr>
          <w:cantSplit/>
        </w:trPr>
        <w:tc>
          <w:tcPr>
            <w:tcW w:w="5940" w:type="dxa"/>
          </w:tcPr>
          <w:p w:rsidR="000E477F" w:rsidRPr="000E477F" w:rsidRDefault="000E477F" w:rsidP="002704EA">
            <w:pPr>
              <w:jc w:val="both"/>
              <w:rPr>
                <w:b/>
                <w:lang w:val="fr-FR"/>
              </w:rPr>
            </w:pPr>
            <w:r w:rsidRPr="000E477F">
              <w:rPr>
                <w:b/>
                <w:smallCaps/>
                <w:lang w:val="fr-FR"/>
              </w:rPr>
              <w:t>Référence :</w:t>
            </w:r>
            <w:r w:rsidRPr="000E477F">
              <w:rPr>
                <w:lang w:val="fr-FR"/>
              </w:rPr>
              <w:t xml:space="preserve"> </w:t>
            </w:r>
            <w:r w:rsidRPr="000E477F">
              <w:rPr>
                <w:rStyle w:val="SCCAppellantForIndexChar0"/>
                <w:rFonts w:eastAsiaTheme="minorHAnsi"/>
                <w:b w:val="0"/>
                <w:lang w:val="fr-CA"/>
              </w:rPr>
              <w:t>TELUS Communications Inc.</w:t>
            </w:r>
            <w:r w:rsidRPr="000E477F">
              <w:rPr>
                <w:b/>
                <w:lang w:val="fr-FR"/>
              </w:rPr>
              <w:t xml:space="preserve"> </w:t>
            </w:r>
            <w:r w:rsidRPr="000E477F">
              <w:rPr>
                <w:i/>
                <w:lang w:val="fr-FR"/>
              </w:rPr>
              <w:t>c.</w:t>
            </w:r>
            <w:r w:rsidRPr="000E477F">
              <w:rPr>
                <w:b/>
                <w:lang w:val="fr-FR"/>
              </w:rPr>
              <w:t xml:space="preserve"> </w:t>
            </w:r>
            <w:proofErr w:type="spellStart"/>
            <w:r w:rsidRPr="000E477F">
              <w:rPr>
                <w:rStyle w:val="SCCRespondentForIndexChar"/>
                <w:rFonts w:eastAsiaTheme="minorHAnsi"/>
                <w:b w:val="0"/>
                <w:lang w:val="fr-CA"/>
              </w:rPr>
              <w:t>Wellman</w:t>
            </w:r>
            <w:proofErr w:type="spellEnd"/>
            <w:r w:rsidRPr="000E477F">
              <w:rPr>
                <w:rStyle w:val="SCCRespondentForIndexChar"/>
                <w:rFonts w:eastAsiaTheme="minorHAnsi"/>
                <w:b w:val="0"/>
                <w:lang w:val="fr-CA"/>
              </w:rPr>
              <w:t>, 2019 CSC 19</w:t>
            </w:r>
            <w:r>
              <w:rPr>
                <w:rStyle w:val="SCCRespondentForIndexChar"/>
                <w:rFonts w:eastAsiaTheme="minorHAnsi"/>
                <w:b w:val="0"/>
                <w:lang w:val="fr-CA"/>
              </w:rPr>
              <w:t>, [2019] 2 R.C.S. 144</w:t>
            </w:r>
          </w:p>
          <w:p w:rsidR="000E477F" w:rsidRPr="000E477F" w:rsidRDefault="000E477F" w:rsidP="002704EA">
            <w:pPr>
              <w:rPr>
                <w:lang w:val="fr-FR"/>
              </w:rPr>
            </w:pPr>
          </w:p>
        </w:tc>
        <w:tc>
          <w:tcPr>
            <w:tcW w:w="3636" w:type="dxa"/>
          </w:tcPr>
          <w:p w:rsidR="000E477F" w:rsidRPr="000E477F" w:rsidRDefault="000E477F" w:rsidP="002704EA">
            <w:pPr>
              <w:rPr>
                <w:lang w:val="fr-FR"/>
              </w:rPr>
            </w:pPr>
            <w:r w:rsidRPr="000E477F">
              <w:rPr>
                <w:b/>
                <w:smallCaps/>
                <w:lang w:val="fr-FR"/>
              </w:rPr>
              <w:t>Appel entendu:</w:t>
            </w:r>
            <w:r w:rsidRPr="000E477F">
              <w:rPr>
                <w:lang w:val="fr-FR"/>
              </w:rPr>
              <w:t xml:space="preserve"> 6 novembre 2018</w:t>
            </w:r>
          </w:p>
          <w:p w:rsidR="000E477F" w:rsidRPr="000E477F" w:rsidRDefault="000E477F" w:rsidP="002704EA">
            <w:pPr>
              <w:rPr>
                <w:b/>
                <w:smallCaps/>
                <w:lang w:val="fr-FR"/>
              </w:rPr>
            </w:pPr>
            <w:r w:rsidRPr="000E477F">
              <w:rPr>
                <w:b/>
                <w:smallCaps/>
                <w:lang w:val="fr-FR"/>
              </w:rPr>
              <w:t>Jugement rendu :</w:t>
            </w:r>
            <w:r w:rsidRPr="000E477F">
              <w:rPr>
                <w:lang w:val="fr-FR"/>
              </w:rPr>
              <w:t xml:space="preserve"> 4 avril 2019</w:t>
            </w:r>
          </w:p>
          <w:p w:rsidR="000E477F" w:rsidRPr="005E5535" w:rsidRDefault="000E477F" w:rsidP="002704EA">
            <w:r w:rsidRPr="005E5535">
              <w:rPr>
                <w:b/>
                <w:smallCaps/>
              </w:rPr>
              <w:t>Dossier :</w:t>
            </w:r>
            <w:r w:rsidRPr="005E5535">
              <w:t xml:space="preserve"> 37722</w:t>
            </w:r>
          </w:p>
        </w:tc>
      </w:tr>
    </w:tbl>
    <w:p w:rsidR="000E477F" w:rsidRPr="005E5535" w:rsidRDefault="000E477F" w:rsidP="000E477F"/>
    <w:p w:rsidR="000E477F" w:rsidRDefault="000E477F" w:rsidP="000E477F">
      <w:pPr>
        <w:pStyle w:val="SCCLsocPrefix"/>
      </w:pPr>
      <w:r>
        <w:t>Entre :</w:t>
      </w:r>
    </w:p>
    <w:p w:rsidR="000E477F" w:rsidRDefault="000E477F" w:rsidP="000E477F">
      <w:pPr>
        <w:pStyle w:val="SCCLsocParty"/>
        <w:jc w:val="center"/>
      </w:pPr>
      <w:r>
        <w:t>TELUS Communications Inc.</w:t>
      </w:r>
    </w:p>
    <w:p w:rsidR="000E477F" w:rsidRDefault="000E477F" w:rsidP="000E477F">
      <w:pPr>
        <w:jc w:val="center"/>
      </w:pPr>
      <w:proofErr w:type="spellStart"/>
      <w:r>
        <w:t>Appelante</w:t>
      </w:r>
      <w:proofErr w:type="spellEnd"/>
    </w:p>
    <w:p w:rsidR="000E477F" w:rsidRPr="005E5535" w:rsidRDefault="000E477F" w:rsidP="000E477F">
      <w:pPr>
        <w:jc w:val="center"/>
      </w:pPr>
    </w:p>
    <w:p w:rsidR="000E477F" w:rsidRPr="000E477F" w:rsidRDefault="000E477F" w:rsidP="000E477F">
      <w:pPr>
        <w:pStyle w:val="SCCLsocVersus"/>
        <w:jc w:val="center"/>
        <w:rPr>
          <w:i w:val="0"/>
        </w:rPr>
      </w:pPr>
      <w:proofErr w:type="gramStart"/>
      <w:r w:rsidRPr="000E477F">
        <w:rPr>
          <w:i w:val="0"/>
        </w:rPr>
        <w:t>et</w:t>
      </w:r>
      <w:proofErr w:type="gramEnd"/>
    </w:p>
    <w:p w:rsidR="000E477F" w:rsidRPr="005E5535" w:rsidRDefault="000E477F" w:rsidP="000E477F">
      <w:pPr>
        <w:jc w:val="center"/>
      </w:pPr>
    </w:p>
    <w:p w:rsidR="000E477F" w:rsidRDefault="000E477F" w:rsidP="000E477F">
      <w:pPr>
        <w:pStyle w:val="SCCLsocParty"/>
        <w:jc w:val="center"/>
      </w:pPr>
      <w:r>
        <w:t>Avraham Wellman</w:t>
      </w:r>
    </w:p>
    <w:p w:rsidR="000E477F" w:rsidRDefault="000E477F" w:rsidP="000E477F">
      <w:pPr>
        <w:jc w:val="center"/>
      </w:pPr>
      <w:proofErr w:type="spellStart"/>
      <w:r>
        <w:t>Intimé</w:t>
      </w:r>
      <w:proofErr w:type="spellEnd"/>
    </w:p>
    <w:p w:rsidR="000E477F" w:rsidRPr="005E5535" w:rsidRDefault="000E477F" w:rsidP="000E477F">
      <w:pPr>
        <w:jc w:val="center"/>
      </w:pPr>
    </w:p>
    <w:p w:rsidR="000E477F" w:rsidRDefault="000E477F" w:rsidP="000E477F">
      <w:pPr>
        <w:pStyle w:val="SCCLsocOtherPartySeparator"/>
        <w:jc w:val="center"/>
      </w:pPr>
      <w:r>
        <w:t xml:space="preserve">- </w:t>
      </w:r>
      <w:proofErr w:type="gramStart"/>
      <w:r>
        <w:t>et</w:t>
      </w:r>
      <w:proofErr w:type="gramEnd"/>
      <w:r>
        <w:t xml:space="preserve"> -</w:t>
      </w:r>
    </w:p>
    <w:p w:rsidR="000E477F" w:rsidRPr="005E5535" w:rsidRDefault="000E477F" w:rsidP="000E477F">
      <w:pPr>
        <w:jc w:val="center"/>
      </w:pPr>
    </w:p>
    <w:p w:rsidR="000E477F" w:rsidRPr="000E477F" w:rsidRDefault="000E477F" w:rsidP="000E477F">
      <w:pPr>
        <w:pStyle w:val="SCCLsocParty"/>
        <w:jc w:val="center"/>
        <w:rPr>
          <w:lang w:val="fr-FR"/>
        </w:rPr>
      </w:pPr>
      <w:r w:rsidRPr="000E477F">
        <w:rPr>
          <w:lang w:val="fr-FR"/>
        </w:rPr>
        <w:t xml:space="preserve">Procureur général de la Colombie-Britannique, ADR Chambers Inc., Chambre de commerce du Canada, Centre pour la défense de l’intérêt public, </w:t>
      </w:r>
      <w:proofErr w:type="spellStart"/>
      <w:r w:rsidRPr="000E477F">
        <w:rPr>
          <w:lang w:val="fr-FR"/>
        </w:rPr>
        <w:t>Consumers</w:t>
      </w:r>
      <w:proofErr w:type="spellEnd"/>
      <w:r w:rsidRPr="000E477F">
        <w:rPr>
          <w:lang w:val="fr-FR"/>
        </w:rPr>
        <w:t xml:space="preserve"> Council of Canada, Fédération canadienne de l’entreprise indépendante, Clinique d’intérêt public et de politique d’internet du Canada Samuelson-</w:t>
      </w:r>
      <w:proofErr w:type="spellStart"/>
      <w:r w:rsidRPr="000E477F">
        <w:rPr>
          <w:lang w:val="fr-FR"/>
        </w:rPr>
        <w:t>Glushko</w:t>
      </w:r>
      <w:proofErr w:type="spellEnd"/>
      <w:r w:rsidRPr="000E477F">
        <w:rPr>
          <w:lang w:val="fr-FR"/>
        </w:rPr>
        <w:t xml:space="preserve"> et Association des consommateurs du Canada</w:t>
      </w:r>
    </w:p>
    <w:p w:rsidR="000E477F" w:rsidRPr="000E477F" w:rsidRDefault="000E477F" w:rsidP="000E477F">
      <w:pPr>
        <w:jc w:val="center"/>
        <w:rPr>
          <w:lang w:val="fr-FR"/>
        </w:rPr>
      </w:pPr>
      <w:r w:rsidRPr="000E477F">
        <w:rPr>
          <w:lang w:val="fr-FR"/>
        </w:rPr>
        <w:t>Intervenants</w:t>
      </w:r>
    </w:p>
    <w:p w:rsidR="000E477F" w:rsidRPr="000E477F" w:rsidRDefault="000E477F" w:rsidP="000E477F">
      <w:pPr>
        <w:rPr>
          <w:lang w:val="fr-FR"/>
        </w:rPr>
      </w:pPr>
    </w:p>
    <w:p w:rsidR="000E477F" w:rsidRPr="000E477F" w:rsidRDefault="000E477F" w:rsidP="000E477F">
      <w:pPr>
        <w:rPr>
          <w:lang w:val="fr-FR"/>
        </w:rPr>
      </w:pPr>
    </w:p>
    <w:p w:rsidR="000E477F" w:rsidRPr="000E477F" w:rsidRDefault="000E477F" w:rsidP="000E477F">
      <w:pPr>
        <w:jc w:val="center"/>
        <w:rPr>
          <w:b/>
          <w:smallCaps/>
          <w:lang w:val="fr-FR"/>
        </w:rPr>
      </w:pPr>
      <w:r w:rsidRPr="000E477F">
        <w:rPr>
          <w:b/>
          <w:smallCaps/>
          <w:lang w:val="fr-FR"/>
        </w:rPr>
        <w:t>Traduction française officielle</w:t>
      </w:r>
    </w:p>
    <w:p w:rsidR="000E477F" w:rsidRPr="000E477F" w:rsidRDefault="000E477F" w:rsidP="000E477F">
      <w:pPr>
        <w:rPr>
          <w:lang w:val="fr-FR"/>
        </w:rPr>
      </w:pPr>
    </w:p>
    <w:p w:rsidR="000E477F" w:rsidRPr="000E477F" w:rsidRDefault="000E477F" w:rsidP="000E477F">
      <w:pPr>
        <w:rPr>
          <w:lang w:val="fr-FR"/>
        </w:rPr>
      </w:pPr>
      <w:r w:rsidRPr="000E477F">
        <w:rPr>
          <w:b/>
          <w:smallCaps/>
          <w:lang w:val="fr-FR"/>
        </w:rPr>
        <w:t>Coram :</w:t>
      </w:r>
      <w:r w:rsidRPr="000E477F">
        <w:rPr>
          <w:lang w:val="fr-FR"/>
        </w:rPr>
        <w:t xml:space="preserve"> Le juge en chef Wagner et les juges Abella, </w:t>
      </w:r>
      <w:proofErr w:type="spellStart"/>
      <w:r w:rsidRPr="000E477F">
        <w:rPr>
          <w:lang w:val="fr-FR"/>
        </w:rPr>
        <w:t>Moldaver</w:t>
      </w:r>
      <w:proofErr w:type="spellEnd"/>
      <w:r w:rsidRPr="000E477F">
        <w:rPr>
          <w:lang w:val="fr-FR"/>
        </w:rPr>
        <w:t xml:space="preserve">, </w:t>
      </w:r>
      <w:proofErr w:type="spellStart"/>
      <w:r w:rsidRPr="000E477F">
        <w:rPr>
          <w:lang w:val="fr-FR"/>
        </w:rPr>
        <w:t>Karakatsanis</w:t>
      </w:r>
      <w:proofErr w:type="spellEnd"/>
      <w:r w:rsidRPr="000E477F">
        <w:rPr>
          <w:lang w:val="fr-FR"/>
        </w:rPr>
        <w:t>, Gascon, Côté, Brown, Rowe et Martin</w:t>
      </w:r>
    </w:p>
    <w:p w:rsidR="000E477F" w:rsidRPr="000E477F" w:rsidRDefault="000E477F" w:rsidP="000E477F">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E477F" w:rsidRPr="009769E3" w:rsidTr="002704EA">
        <w:trPr>
          <w:cantSplit/>
        </w:trPr>
        <w:tc>
          <w:tcPr>
            <w:tcW w:w="3618" w:type="dxa"/>
          </w:tcPr>
          <w:p w:rsidR="000E477F" w:rsidRPr="000E477F" w:rsidRDefault="000E477F" w:rsidP="002704EA">
            <w:pPr>
              <w:rPr>
                <w:b/>
                <w:smallCaps/>
                <w:lang w:val="fr-FR"/>
              </w:rPr>
            </w:pPr>
            <w:r w:rsidRPr="000E477F">
              <w:rPr>
                <w:b/>
                <w:smallCaps/>
                <w:lang w:val="fr-FR"/>
              </w:rPr>
              <w:t>Motifs de jugement :</w:t>
            </w:r>
          </w:p>
          <w:p w:rsidR="000E477F" w:rsidRPr="000E477F" w:rsidRDefault="000E477F" w:rsidP="002704EA">
            <w:pPr>
              <w:rPr>
                <w:lang w:val="fr-FR"/>
              </w:rPr>
            </w:pPr>
            <w:r w:rsidRPr="000E477F">
              <w:rPr>
                <w:lang w:val="fr-FR"/>
              </w:rPr>
              <w:t>(par. 1 à 105)</w:t>
            </w:r>
          </w:p>
        </w:tc>
        <w:tc>
          <w:tcPr>
            <w:tcW w:w="5958" w:type="dxa"/>
          </w:tcPr>
          <w:p w:rsidR="000E477F" w:rsidRPr="000E477F" w:rsidRDefault="000E477F" w:rsidP="002704EA">
            <w:pPr>
              <w:rPr>
                <w:lang w:val="fr-FR"/>
              </w:rPr>
            </w:pPr>
            <w:r w:rsidRPr="000E477F">
              <w:rPr>
                <w:lang w:val="fr-FR"/>
              </w:rPr>
              <w:t xml:space="preserve">Le juge </w:t>
            </w:r>
            <w:proofErr w:type="spellStart"/>
            <w:r w:rsidRPr="000E477F">
              <w:rPr>
                <w:lang w:val="fr-FR"/>
              </w:rPr>
              <w:t>Moldaver</w:t>
            </w:r>
            <w:proofErr w:type="spellEnd"/>
            <w:r w:rsidRPr="000E477F">
              <w:rPr>
                <w:lang w:val="fr-FR"/>
              </w:rPr>
              <w:t xml:space="preserve"> (avec l’accord des juges Gascon, Côté, Brown et Rowe)</w:t>
            </w:r>
          </w:p>
        </w:tc>
      </w:tr>
      <w:tr w:rsidR="000E477F" w:rsidRPr="009769E3" w:rsidTr="002704EA">
        <w:trPr>
          <w:cantSplit/>
        </w:trPr>
        <w:tc>
          <w:tcPr>
            <w:tcW w:w="3618" w:type="dxa"/>
          </w:tcPr>
          <w:p w:rsidR="000E477F" w:rsidRPr="00A2013F" w:rsidRDefault="000E477F" w:rsidP="002704EA">
            <w:pPr>
              <w:rPr>
                <w:b/>
                <w:smallCaps/>
              </w:rPr>
            </w:pPr>
            <w:r w:rsidRPr="00A2013F">
              <w:rPr>
                <w:b/>
                <w:smallCaps/>
              </w:rPr>
              <w:t>Motifs dissidents :</w:t>
            </w:r>
          </w:p>
          <w:p w:rsidR="000E477F" w:rsidRPr="00A2013F" w:rsidRDefault="000E477F" w:rsidP="002704EA">
            <w:pPr>
              <w:rPr>
                <w:b/>
                <w:smallCaps/>
              </w:rPr>
            </w:pPr>
            <w:r w:rsidRPr="00A2013F">
              <w:t>(par. 106 à 172):</w:t>
            </w:r>
          </w:p>
        </w:tc>
        <w:tc>
          <w:tcPr>
            <w:tcW w:w="5958" w:type="dxa"/>
          </w:tcPr>
          <w:p w:rsidR="000E477F" w:rsidRPr="000E477F" w:rsidRDefault="000E477F" w:rsidP="002704EA">
            <w:pPr>
              <w:rPr>
                <w:lang w:val="fr-FR"/>
              </w:rPr>
            </w:pPr>
            <w:r w:rsidRPr="000E477F">
              <w:rPr>
                <w:lang w:val="fr-FR"/>
              </w:rPr>
              <w:t xml:space="preserve">Les juges Abella et </w:t>
            </w:r>
            <w:proofErr w:type="spellStart"/>
            <w:r w:rsidRPr="000E477F">
              <w:rPr>
                <w:lang w:val="fr-FR"/>
              </w:rPr>
              <w:t>Karakatsanis</w:t>
            </w:r>
            <w:proofErr w:type="spellEnd"/>
            <w:r w:rsidRPr="000E477F">
              <w:rPr>
                <w:lang w:val="fr-FR"/>
              </w:rPr>
              <w:t xml:space="preserve"> (avec l’accord du juge en chef Wagner et de la juge Martin)</w:t>
            </w:r>
          </w:p>
        </w:tc>
      </w:tr>
    </w:tbl>
    <w:p w:rsidR="000E477F" w:rsidRPr="000E477F" w:rsidRDefault="000E477F" w:rsidP="000E477F">
      <w:pPr>
        <w:rPr>
          <w:lang w:val="fr-FR"/>
        </w:rPr>
      </w:pPr>
    </w:p>
    <w:p w:rsidR="000E477F" w:rsidRPr="000E477F" w:rsidRDefault="000E477F" w:rsidP="000E477F">
      <w:pPr>
        <w:rPr>
          <w:lang w:val="fr-FR"/>
        </w:rPr>
      </w:pPr>
    </w:p>
    <w:p w:rsidR="000E477F" w:rsidRPr="000E477F" w:rsidRDefault="000E477F" w:rsidP="000E477F">
      <w:pPr>
        <w:rPr>
          <w:lang w:val="fr-FR"/>
        </w:rPr>
      </w:pPr>
      <w:r>
        <w:rPr>
          <w:noProof/>
          <w:lang w:val="en-US" w:eastAsia="en-US"/>
        </w:rPr>
        <mc:AlternateContent>
          <mc:Choice Requires="wps">
            <w:drawing>
              <wp:anchor distT="0" distB="0" distL="114300" distR="114300" simplePos="0" relativeHeight="251659264" behindDoc="0" locked="0" layoutInCell="1" allowOverlap="1" wp14:anchorId="54C048DB" wp14:editId="6FB7CDD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DF2F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E477F" w:rsidRPr="000E477F" w:rsidRDefault="000E477F" w:rsidP="00B618DD">
      <w:pPr>
        <w:spacing w:after="720"/>
        <w:jc w:val="both"/>
        <w:rPr>
          <w:lang w:val="fr-FR"/>
        </w:rPr>
      </w:pPr>
    </w:p>
    <w:p w:rsidR="00B618DD" w:rsidRPr="00653C52" w:rsidRDefault="00FA24A8" w:rsidP="00B618DD">
      <w:pPr>
        <w:spacing w:after="720"/>
        <w:jc w:val="both"/>
        <w:rPr>
          <w:lang w:val="fr-CA"/>
        </w:rPr>
      </w:pPr>
      <w:r>
        <w:rPr>
          <w:lang w:val="fr-CA"/>
        </w:rPr>
        <w:t>TELUS Communications I</w:t>
      </w:r>
      <w:r w:rsidR="00B618DD" w:rsidRPr="00FA24A8">
        <w:rPr>
          <w:lang w:val="fr-CA"/>
        </w:rPr>
        <w:t>nc</w:t>
      </w:r>
      <w:r w:rsidR="00B618DD" w:rsidRPr="00653C52">
        <w:rPr>
          <w:smallCaps/>
          <w:lang w:val="fr-CA"/>
        </w:rPr>
        <w:t>.</w:t>
      </w:r>
      <w:r w:rsidR="00B618DD" w:rsidRPr="00653C52">
        <w:rPr>
          <w:lang w:val="fr-CA"/>
        </w:rPr>
        <w:t xml:space="preserve"> </w:t>
      </w:r>
      <w:r w:rsidR="00B618DD" w:rsidRPr="00653C52">
        <w:rPr>
          <w:i/>
          <w:lang w:val="fr-CA"/>
        </w:rPr>
        <w:t>c.</w:t>
      </w:r>
      <w:r w:rsidR="00B618DD" w:rsidRPr="00653C52">
        <w:rPr>
          <w:lang w:val="fr-CA"/>
        </w:rPr>
        <w:t xml:space="preserve"> </w:t>
      </w:r>
      <w:proofErr w:type="spellStart"/>
      <w:r>
        <w:rPr>
          <w:lang w:val="fr-CA"/>
        </w:rPr>
        <w:t>W</w:t>
      </w:r>
      <w:r w:rsidR="00B618DD" w:rsidRPr="00FA24A8">
        <w:rPr>
          <w:lang w:val="fr-CA"/>
        </w:rPr>
        <w:t>ellman</w:t>
      </w:r>
      <w:proofErr w:type="spellEnd"/>
      <w:r>
        <w:rPr>
          <w:lang w:val="fr-CA"/>
        </w:rPr>
        <w:t>, 2019 CSC 19, [2019] 2 R.C.S. 144</w:t>
      </w:r>
    </w:p>
    <w:p w:rsidR="00B618DD" w:rsidRPr="00653C52" w:rsidRDefault="00B618DD" w:rsidP="00B618DD">
      <w:pPr>
        <w:pStyle w:val="SCCLsocLastPartyInRole"/>
        <w:rPr>
          <w:lang w:val="fr-CA"/>
        </w:rPr>
      </w:pPr>
      <w:r w:rsidRPr="00653C52">
        <w:rPr>
          <w:lang w:val="fr-CA"/>
        </w:rPr>
        <w:t>TELUS Communications Inc.</w:t>
      </w:r>
      <w:r w:rsidRPr="00653C52">
        <w:rPr>
          <w:rStyle w:val="SCCLsocPartyRole"/>
          <w:lang w:val="fr-CA"/>
        </w:rPr>
        <w:tab/>
        <w:t>Appelante</w:t>
      </w:r>
    </w:p>
    <w:p w:rsidR="00B618DD" w:rsidRPr="00653C52" w:rsidRDefault="00B618DD" w:rsidP="00B618DD">
      <w:pPr>
        <w:pStyle w:val="SCCLsocVersus"/>
        <w:rPr>
          <w:lang w:val="fr-CA"/>
        </w:rPr>
      </w:pPr>
      <w:proofErr w:type="gramStart"/>
      <w:r w:rsidRPr="00653C52">
        <w:rPr>
          <w:lang w:val="fr-CA"/>
        </w:rPr>
        <w:t>c</w:t>
      </w:r>
      <w:proofErr w:type="gramEnd"/>
      <w:r w:rsidRPr="00653C52">
        <w:rPr>
          <w:lang w:val="fr-CA"/>
        </w:rPr>
        <w:t>.</w:t>
      </w:r>
    </w:p>
    <w:p w:rsidR="00B618DD" w:rsidRPr="00653C52" w:rsidRDefault="00B618DD" w:rsidP="00B618DD">
      <w:pPr>
        <w:pStyle w:val="SCCLsocLastPartyInRole"/>
        <w:rPr>
          <w:lang w:val="fr-CA"/>
        </w:rPr>
      </w:pPr>
      <w:proofErr w:type="spellStart"/>
      <w:r w:rsidRPr="00653C52">
        <w:rPr>
          <w:lang w:val="fr-CA"/>
        </w:rPr>
        <w:t>Avraham</w:t>
      </w:r>
      <w:proofErr w:type="spellEnd"/>
      <w:r w:rsidRPr="00653C52">
        <w:rPr>
          <w:lang w:val="fr-CA"/>
        </w:rPr>
        <w:t xml:space="preserve"> </w:t>
      </w:r>
      <w:proofErr w:type="spellStart"/>
      <w:r w:rsidRPr="00653C52">
        <w:rPr>
          <w:lang w:val="fr-CA"/>
        </w:rPr>
        <w:t>Wellman</w:t>
      </w:r>
      <w:proofErr w:type="spellEnd"/>
      <w:r w:rsidRPr="00653C52">
        <w:rPr>
          <w:rStyle w:val="SCCLsocPartyRole"/>
          <w:lang w:val="fr-CA"/>
        </w:rPr>
        <w:tab/>
        <w:t>Intimé</w:t>
      </w:r>
    </w:p>
    <w:p w:rsidR="00B618DD" w:rsidRPr="00653C52" w:rsidRDefault="00B618DD" w:rsidP="00B618DD">
      <w:pPr>
        <w:pStyle w:val="SCCLsocOtherPartySeparator"/>
        <w:rPr>
          <w:lang w:val="fr-CA"/>
        </w:rPr>
      </w:pPr>
      <w:proofErr w:type="gramStart"/>
      <w:r w:rsidRPr="00653C52">
        <w:rPr>
          <w:lang w:val="fr-CA"/>
        </w:rPr>
        <w:t>et</w:t>
      </w:r>
      <w:proofErr w:type="gramEnd"/>
    </w:p>
    <w:p w:rsidR="00B618DD" w:rsidRPr="00653C52" w:rsidRDefault="00B618DD" w:rsidP="00B618DD">
      <w:pPr>
        <w:pStyle w:val="SCCLsocParty"/>
        <w:rPr>
          <w:lang w:val="fr-CA"/>
        </w:rPr>
      </w:pPr>
      <w:r w:rsidRPr="00653C52">
        <w:rPr>
          <w:lang w:val="fr-CA"/>
        </w:rPr>
        <w:t>Procureur général de la Colombie</w:t>
      </w:r>
      <w:r w:rsidRPr="00653C52">
        <w:rPr>
          <w:lang w:val="fr-CA"/>
        </w:rPr>
        <w:noBreakHyphen/>
        <w:t>Britannique,</w:t>
      </w:r>
    </w:p>
    <w:p w:rsidR="00B618DD" w:rsidRPr="00653C52" w:rsidRDefault="00B618DD" w:rsidP="00B618DD">
      <w:pPr>
        <w:pStyle w:val="SCCLsocParty"/>
        <w:rPr>
          <w:lang w:val="fr-CA"/>
        </w:rPr>
      </w:pPr>
      <w:r w:rsidRPr="00653C52">
        <w:rPr>
          <w:lang w:val="fr-CA"/>
        </w:rPr>
        <w:t>ADR Chambers Inc.,</w:t>
      </w:r>
    </w:p>
    <w:p w:rsidR="00B618DD" w:rsidRPr="00653C52" w:rsidRDefault="00B618DD" w:rsidP="00B618DD">
      <w:pPr>
        <w:pStyle w:val="SCCLsocParty"/>
        <w:rPr>
          <w:lang w:val="fr-CA"/>
        </w:rPr>
      </w:pPr>
      <w:r w:rsidRPr="00653C52">
        <w:rPr>
          <w:lang w:val="fr-CA"/>
        </w:rPr>
        <w:t>Chambre de commerce du Canada,</w:t>
      </w:r>
    </w:p>
    <w:p w:rsidR="00B618DD" w:rsidRPr="00653C52" w:rsidRDefault="00B618DD" w:rsidP="00B618DD">
      <w:pPr>
        <w:pStyle w:val="SCCLsocParty"/>
        <w:rPr>
          <w:lang w:val="fr-CA"/>
        </w:rPr>
      </w:pPr>
      <w:r w:rsidRPr="00653C52">
        <w:rPr>
          <w:lang w:val="fr-CA"/>
        </w:rPr>
        <w:t>Centre pour la défense de l’intérêt public,</w:t>
      </w:r>
    </w:p>
    <w:p w:rsidR="00B618DD" w:rsidRPr="00653C52" w:rsidRDefault="00B618DD" w:rsidP="00B618DD">
      <w:pPr>
        <w:pStyle w:val="SCCLsocParty"/>
        <w:rPr>
          <w:lang w:val="fr-CA"/>
        </w:rPr>
      </w:pPr>
      <w:proofErr w:type="spellStart"/>
      <w:r w:rsidRPr="00653C52">
        <w:rPr>
          <w:lang w:val="fr-CA"/>
        </w:rPr>
        <w:t>Consumers</w:t>
      </w:r>
      <w:proofErr w:type="spellEnd"/>
      <w:r w:rsidRPr="00653C52">
        <w:rPr>
          <w:lang w:val="fr-CA"/>
        </w:rPr>
        <w:t xml:space="preserve"> Council of Canada,</w:t>
      </w:r>
    </w:p>
    <w:p w:rsidR="00B618DD" w:rsidRPr="00653C52" w:rsidRDefault="00B618DD" w:rsidP="00B618DD">
      <w:pPr>
        <w:pStyle w:val="SCCLsocParty"/>
        <w:rPr>
          <w:lang w:val="fr-CA"/>
        </w:rPr>
      </w:pPr>
      <w:r w:rsidRPr="00653C52">
        <w:rPr>
          <w:lang w:val="fr-CA"/>
        </w:rPr>
        <w:t>Fédération canadienne de l’entreprise indépendante,</w:t>
      </w:r>
    </w:p>
    <w:p w:rsidR="00B618DD" w:rsidRDefault="00B618DD" w:rsidP="00B618DD">
      <w:pPr>
        <w:pStyle w:val="SCCLsocParty"/>
        <w:rPr>
          <w:lang w:val="fr-CA"/>
        </w:rPr>
      </w:pPr>
      <w:r w:rsidRPr="00653C52">
        <w:rPr>
          <w:lang w:val="fr-CA"/>
        </w:rPr>
        <w:t>Clinique d’</w:t>
      </w:r>
      <w:r>
        <w:rPr>
          <w:lang w:val="fr-CA"/>
        </w:rPr>
        <w:t>intérêt public et de politique</w:t>
      </w:r>
    </w:p>
    <w:p w:rsidR="00B618DD" w:rsidRPr="00653C52" w:rsidRDefault="00B618DD" w:rsidP="00B618DD">
      <w:pPr>
        <w:pStyle w:val="SCCLsocParty"/>
        <w:rPr>
          <w:lang w:val="fr-CA"/>
        </w:rPr>
      </w:pPr>
      <w:proofErr w:type="gramStart"/>
      <w:r w:rsidRPr="00653C52">
        <w:rPr>
          <w:lang w:val="fr-CA"/>
        </w:rPr>
        <w:t>d’internet</w:t>
      </w:r>
      <w:proofErr w:type="gramEnd"/>
      <w:r w:rsidRPr="00653C52">
        <w:rPr>
          <w:lang w:val="fr-CA"/>
        </w:rPr>
        <w:t xml:space="preserve"> du Canada Samuelson</w:t>
      </w:r>
      <w:r w:rsidRPr="00653C52">
        <w:rPr>
          <w:lang w:val="fr-CA"/>
        </w:rPr>
        <w:noBreakHyphen/>
      </w:r>
      <w:proofErr w:type="spellStart"/>
      <w:r w:rsidRPr="00653C52">
        <w:rPr>
          <w:lang w:val="fr-CA"/>
        </w:rPr>
        <w:t>Glushko</w:t>
      </w:r>
      <w:proofErr w:type="spellEnd"/>
      <w:r w:rsidRPr="00653C52">
        <w:rPr>
          <w:lang w:val="fr-CA"/>
        </w:rPr>
        <w:t xml:space="preserve"> et</w:t>
      </w:r>
    </w:p>
    <w:p w:rsidR="00B618DD" w:rsidRPr="00653C52" w:rsidRDefault="00B618DD" w:rsidP="00B618DD">
      <w:pPr>
        <w:pStyle w:val="SCCLsocLastPartyInRole"/>
        <w:rPr>
          <w:lang w:val="fr-CA"/>
        </w:rPr>
      </w:pPr>
      <w:r w:rsidRPr="00653C52">
        <w:rPr>
          <w:lang w:val="fr-CA"/>
        </w:rPr>
        <w:t>Association des consommateurs du Canada</w:t>
      </w:r>
      <w:r w:rsidRPr="00653C52">
        <w:rPr>
          <w:rStyle w:val="SCCLsocPartyRole"/>
          <w:lang w:val="fr-CA"/>
        </w:rPr>
        <w:tab/>
        <w:t>Intervenants</w:t>
      </w:r>
    </w:p>
    <w:p w:rsidR="00B618DD" w:rsidRPr="00653C52" w:rsidRDefault="00B618DD" w:rsidP="00B618DD">
      <w:pPr>
        <w:spacing w:after="720"/>
        <w:jc w:val="both"/>
        <w:rPr>
          <w:b/>
          <w:lang w:val="fr-CA"/>
        </w:rPr>
      </w:pPr>
      <w:r w:rsidRPr="00653C52">
        <w:rPr>
          <w:b/>
          <w:lang w:val="fr-CA"/>
        </w:rPr>
        <w:t xml:space="preserve">Répertorié : TELUS Communications Inc. </w:t>
      </w:r>
      <w:r w:rsidRPr="00653C52">
        <w:rPr>
          <w:b/>
          <w:i/>
          <w:lang w:val="fr-CA"/>
        </w:rPr>
        <w:t>c.</w:t>
      </w:r>
      <w:r w:rsidRPr="00653C52">
        <w:rPr>
          <w:b/>
          <w:lang w:val="fr-CA"/>
        </w:rPr>
        <w:t xml:space="preserve"> </w:t>
      </w:r>
      <w:proofErr w:type="spellStart"/>
      <w:r w:rsidRPr="00653C52">
        <w:rPr>
          <w:b/>
          <w:lang w:val="fr-CA"/>
        </w:rPr>
        <w:t>Wellman</w:t>
      </w:r>
      <w:proofErr w:type="spellEnd"/>
    </w:p>
    <w:p w:rsidR="00B618DD" w:rsidRPr="00653C52" w:rsidRDefault="00B618DD" w:rsidP="00B618DD">
      <w:pPr>
        <w:pStyle w:val="SCCSystemYear"/>
        <w:spacing w:after="720"/>
        <w:jc w:val="both"/>
        <w:rPr>
          <w:lang w:val="fr-CA"/>
        </w:rPr>
      </w:pPr>
      <w:r w:rsidRPr="00653C52">
        <w:rPr>
          <w:lang w:val="fr-CA"/>
        </w:rPr>
        <w:t>2019 CSC 19</w:t>
      </w:r>
    </w:p>
    <w:p w:rsidR="00B618DD" w:rsidRPr="00653C52" w:rsidRDefault="00B618DD" w:rsidP="00B618DD">
      <w:pPr>
        <w:spacing w:after="720"/>
        <w:jc w:val="both"/>
        <w:rPr>
          <w:lang w:val="fr-CA"/>
        </w:rPr>
      </w:pPr>
      <w:r w:rsidRPr="00653C52">
        <w:rPr>
          <w:lang w:val="fr-CA"/>
        </w:rPr>
        <w:t>N</w:t>
      </w:r>
      <w:r w:rsidRPr="00653C52">
        <w:rPr>
          <w:vertAlign w:val="superscript"/>
          <w:lang w:val="fr-CA"/>
        </w:rPr>
        <w:t>o</w:t>
      </w:r>
      <w:r w:rsidRPr="00653C52">
        <w:rPr>
          <w:lang w:val="fr-CA"/>
        </w:rPr>
        <w:t xml:space="preserve"> du greffe : 37722.</w:t>
      </w:r>
    </w:p>
    <w:p w:rsidR="00B618DD" w:rsidRPr="00653C52" w:rsidRDefault="00B618DD" w:rsidP="00B618DD">
      <w:pPr>
        <w:spacing w:after="720"/>
        <w:jc w:val="both"/>
        <w:rPr>
          <w:lang w:val="fr-CA"/>
        </w:rPr>
      </w:pPr>
      <w:r w:rsidRPr="00653C52">
        <w:rPr>
          <w:lang w:val="fr-CA"/>
        </w:rPr>
        <w:t>2018 : 6 novembre; 2019 : 4 avril.</w:t>
      </w:r>
    </w:p>
    <w:p w:rsidR="00B618DD" w:rsidRPr="00653C52" w:rsidRDefault="00B618DD" w:rsidP="00B618DD">
      <w:pPr>
        <w:spacing w:after="720"/>
        <w:jc w:val="both"/>
        <w:rPr>
          <w:lang w:val="fr-CA"/>
        </w:rPr>
      </w:pPr>
      <w:r w:rsidRPr="00653C52">
        <w:rPr>
          <w:lang w:val="fr-CA"/>
        </w:rPr>
        <w:t xml:space="preserve">Présents : Le juge en chef Wagner et les juges Abella, </w:t>
      </w:r>
      <w:proofErr w:type="spellStart"/>
      <w:r w:rsidRPr="00653C52">
        <w:rPr>
          <w:lang w:val="fr-CA"/>
        </w:rPr>
        <w:t>Moldaver</w:t>
      </w:r>
      <w:proofErr w:type="spellEnd"/>
      <w:r w:rsidRPr="00653C52">
        <w:rPr>
          <w:lang w:val="fr-CA"/>
        </w:rPr>
        <w:t xml:space="preserve">, </w:t>
      </w:r>
      <w:proofErr w:type="spellStart"/>
      <w:r w:rsidRPr="00653C52">
        <w:rPr>
          <w:lang w:val="fr-CA"/>
        </w:rPr>
        <w:t>Karakatsanis</w:t>
      </w:r>
      <w:proofErr w:type="spellEnd"/>
      <w:r w:rsidRPr="00653C52">
        <w:rPr>
          <w:lang w:val="fr-CA"/>
        </w:rPr>
        <w:t>, Gascon, Côté, Brown, Rowe et Martin.</w:t>
      </w:r>
    </w:p>
    <w:p w:rsidR="00B618DD" w:rsidRPr="00653C52" w:rsidRDefault="00B618DD" w:rsidP="00B618DD">
      <w:pPr>
        <w:spacing w:after="720"/>
        <w:jc w:val="both"/>
        <w:rPr>
          <w:lang w:val="fr-CA"/>
        </w:rPr>
      </w:pPr>
    </w:p>
    <w:p w:rsidR="00B618DD" w:rsidRPr="00653C52" w:rsidRDefault="00B618DD" w:rsidP="00B618DD">
      <w:pPr>
        <w:spacing w:after="720"/>
        <w:jc w:val="both"/>
        <w:rPr>
          <w:smallCaps/>
          <w:lang w:val="fr-CA"/>
        </w:rPr>
      </w:pPr>
      <w:r w:rsidRPr="00653C52">
        <w:rPr>
          <w:smallCaps/>
          <w:lang w:val="fr-CA"/>
        </w:rPr>
        <w:t xml:space="preserve">en appel de la cour d’appel de </w:t>
      </w:r>
      <w:proofErr w:type="spellStart"/>
      <w:r w:rsidRPr="00653C52">
        <w:rPr>
          <w:smallCaps/>
          <w:lang w:val="fr-CA"/>
        </w:rPr>
        <w:t>l’ontario</w:t>
      </w:r>
      <w:proofErr w:type="spellEnd"/>
    </w:p>
    <w:p w:rsidR="00B618DD" w:rsidRPr="00653C52" w:rsidRDefault="00B618DD" w:rsidP="00B618DD">
      <w:pPr>
        <w:pStyle w:val="Headnote"/>
        <w:tabs>
          <w:tab w:val="right" w:pos="720"/>
        </w:tabs>
        <w:spacing w:after="480"/>
        <w:ind w:firstLine="1170"/>
        <w:rPr>
          <w:i/>
          <w:lang w:val="fr-CA"/>
        </w:rPr>
      </w:pPr>
      <w:r w:rsidRPr="00653C52">
        <w:rPr>
          <w:i/>
          <w:lang w:val="fr-CA"/>
        </w:rPr>
        <w:t>Procédure civile — Sursis — Recours collectifs — Réclamations de consommateurs et de non</w:t>
      </w:r>
      <w:r w:rsidRPr="00653C52">
        <w:rPr>
          <w:i/>
          <w:lang w:val="fr-CA"/>
        </w:rPr>
        <w:noBreakHyphen/>
        <w:t>consommateurs — Clause d’arbitrage — Dépôt par un consommateur d’un recours collectif en dommages</w:t>
      </w:r>
      <w:r w:rsidRPr="00653C52">
        <w:rPr>
          <w:i/>
          <w:lang w:val="fr-CA"/>
        </w:rPr>
        <w:noBreakHyphen/>
        <w:t>intérêts pour pratiques trompeuses alléguées de la part d’un fournisseur de services de téléphonie cellulaire — Groupe formé à la fois de consommateurs et de non</w:t>
      </w:r>
      <w:r w:rsidRPr="00653C52">
        <w:rPr>
          <w:i/>
          <w:lang w:val="fr-CA"/>
        </w:rPr>
        <w:noBreakHyphen/>
        <w:t xml:space="preserve">consommateurs — Clause d’arbitrage obligatoire parmi les </w:t>
      </w:r>
      <w:r>
        <w:rPr>
          <w:i/>
          <w:lang w:val="fr-CA"/>
        </w:rPr>
        <w:t>conditions types du contrat du</w:t>
      </w:r>
      <w:r w:rsidRPr="00653C52">
        <w:rPr>
          <w:i/>
          <w:lang w:val="fr-CA"/>
        </w:rPr>
        <w:t xml:space="preserve"> fournisseur de services de téléphonie cellulaire — Clause d’arbitrage invalidée par une loi provinciale de protection des consommateurs en ce qui a trait aux réclamations des consommateurs — Cl</w:t>
      </w:r>
      <w:r>
        <w:rPr>
          <w:i/>
          <w:lang w:val="fr-CA"/>
        </w:rPr>
        <w:t>ause d’arbitrage invoquée par le</w:t>
      </w:r>
      <w:r w:rsidRPr="00653C52">
        <w:rPr>
          <w:i/>
          <w:lang w:val="fr-CA"/>
        </w:rPr>
        <w:t xml:space="preserve"> fournisseur de services de téléphonie cellulaire pour obtenir le sursis des procédures en ce qui a trait aux réclamations des non</w:t>
      </w:r>
      <w:r w:rsidRPr="00653C52">
        <w:rPr>
          <w:i/>
          <w:lang w:val="fr-CA"/>
        </w:rPr>
        <w:noBreakHyphen/>
        <w:t>consommateurs — La loi provinciale régissant l’arbitrage confère</w:t>
      </w:r>
      <w:r w:rsidRPr="00653C52">
        <w:rPr>
          <w:i/>
          <w:lang w:val="fr-CA"/>
        </w:rPr>
        <w:noBreakHyphen/>
        <w:t>t</w:t>
      </w:r>
      <w:r w:rsidRPr="00653C52">
        <w:rPr>
          <w:i/>
          <w:lang w:val="fr-CA"/>
        </w:rPr>
        <w:noBreakHyphen/>
        <w:t>elle au tribunal le pouvoir discrétionnaire de refuser d’ordonner le sursis relativement aux réclamations des non</w:t>
      </w:r>
      <w:r w:rsidRPr="00653C52">
        <w:rPr>
          <w:i/>
          <w:lang w:val="fr-CA"/>
        </w:rPr>
        <w:noBreakHyphen/>
        <w:t xml:space="preserve">consommateurs? — Loi de 1991 sur l’arbitrage, L.O. 1991, c. 17, art. 7 — Loi de 2002 sur la protection des consommateurs, L.O. 2002, c. 30, </w:t>
      </w:r>
      <w:proofErr w:type="spellStart"/>
      <w:r>
        <w:rPr>
          <w:i/>
          <w:lang w:val="fr-CA"/>
        </w:rPr>
        <w:t>a</w:t>
      </w:r>
      <w:r w:rsidRPr="00653C52">
        <w:rPr>
          <w:i/>
          <w:lang w:val="fr-CA"/>
        </w:rPr>
        <w:t>nn</w:t>
      </w:r>
      <w:proofErr w:type="spellEnd"/>
      <w:r w:rsidRPr="00653C52">
        <w:rPr>
          <w:i/>
          <w:lang w:val="fr-CA"/>
        </w:rPr>
        <w:t>. A.</w:t>
      </w:r>
    </w:p>
    <w:p w:rsidR="00B618DD" w:rsidRPr="00653C52" w:rsidRDefault="00B618DD" w:rsidP="00B618DD">
      <w:pPr>
        <w:pStyle w:val="Headnote"/>
        <w:spacing w:after="480"/>
        <w:ind w:firstLine="1170"/>
        <w:rPr>
          <w:lang w:val="fr-CA" w:bidi="en-US"/>
        </w:rPr>
      </w:pPr>
      <w:r w:rsidRPr="00653C52">
        <w:rPr>
          <w:lang w:val="fr-CA"/>
        </w:rPr>
        <w:t>W a déposé un recours collectif projeté en dommages</w:t>
      </w:r>
      <w:r w:rsidRPr="00653C52">
        <w:rPr>
          <w:lang w:val="fr-CA"/>
        </w:rPr>
        <w:noBreakHyphen/>
        <w:t>intérêts contre TELUS au nom d’environ deux millions de résidents ontariens ayant conclu un contrat de services de téléphonie cellulaire avec TELUS pendant une période donnée. Le groupe en cause est composé de consommateurs et de non</w:t>
      </w:r>
      <w:r w:rsidRPr="00653C52">
        <w:rPr>
          <w:lang w:val="fr-CA"/>
        </w:rPr>
        <w:noBreakHyphen/>
        <w:t>consommateurs (soit des clients commerciaux). W allègue que TELUS s’est livrée à une pratique non divulguée consistant à arrondir la durée des appels à la minute suivante, de sorte que les services étaient surfacturés aux consommateurs et que ceux</w:t>
      </w:r>
      <w:r w:rsidRPr="00653C52">
        <w:rPr>
          <w:lang w:val="fr-CA"/>
        </w:rPr>
        <w:noBreakHyphen/>
        <w:t xml:space="preserve">ci ne recevaient pas le nombre de minutes auquel ils avaient droit. Les contrats de service renfermaient des conditions types, dont une clause d’arbitrage qui stipulait que toutes les réclamations découlant du contrat ou s’y rapportant, sauf en ce qui concerne le recouvrement de créances, doivent faire l’objet d’une médiation ou, à défaut de règlement, d’un arbitrage. Aux termes de la </w:t>
      </w:r>
      <w:r w:rsidRPr="00653C52">
        <w:rPr>
          <w:i/>
          <w:lang w:val="fr-CA"/>
        </w:rPr>
        <w:t>Loi sur la protection du consommateur</w:t>
      </w:r>
      <w:r w:rsidRPr="00653C52">
        <w:rPr>
          <w:lang w:val="fr-CA"/>
        </w:rPr>
        <w:t>, cette clause d’arbitrage est invalide dans la mesure où elle empêche les membres du groupe qui sont des consommateurs </w:t>
      </w:r>
      <w:r w:rsidRPr="00653C52">
        <w:rPr>
          <w:lang w:val="fr-CA" w:bidi="en-US"/>
        </w:rPr>
        <w:t xml:space="preserve">de faire valoir leurs réclamations devant un tribunal. Toutefois, comme les clients commerciaux ne bénéficient pas de ces mesures de protection, </w:t>
      </w:r>
      <w:r w:rsidRPr="00653C52">
        <w:rPr>
          <w:lang w:val="fr-CA"/>
        </w:rPr>
        <w:t xml:space="preserve">TELUS a présenté une motion en sursis de l’instance relativement aux réclamations de ces derniers, invoquant la clause d’arbitrage. </w:t>
      </w:r>
      <w:r w:rsidRPr="00653C52">
        <w:rPr>
          <w:bCs/>
          <w:lang w:val="fr-CA"/>
        </w:rPr>
        <w:t xml:space="preserve">La juge des motions a refusé d’ordonner le sursis des réclamations comme TELUS lui demandait </w:t>
      </w:r>
      <w:proofErr w:type="gramStart"/>
      <w:r w:rsidRPr="00653C52">
        <w:rPr>
          <w:bCs/>
          <w:lang w:val="fr-CA"/>
        </w:rPr>
        <w:t>de le</w:t>
      </w:r>
      <w:proofErr w:type="gramEnd"/>
      <w:r w:rsidRPr="00653C52">
        <w:rPr>
          <w:bCs/>
          <w:lang w:val="fr-CA"/>
        </w:rPr>
        <w:t xml:space="preserve"> faire et a certifié le recours. </w:t>
      </w:r>
      <w:r w:rsidRPr="00653C52">
        <w:rPr>
          <w:lang w:val="fr-CA" w:bidi="en-US"/>
        </w:rPr>
        <w:t xml:space="preserve">Elle a affirmé que le par. 7(5) de la </w:t>
      </w:r>
      <w:r w:rsidRPr="00653C52">
        <w:rPr>
          <w:i/>
          <w:lang w:val="fr-CA" w:bidi="en-US"/>
        </w:rPr>
        <w:t>Loi de 1991 sur l’arbitrage</w:t>
      </w:r>
      <w:r w:rsidRPr="00653C52">
        <w:rPr>
          <w:lang w:val="fr-CA" w:bidi="en-US"/>
        </w:rPr>
        <w:t xml:space="preserve"> </w:t>
      </w:r>
      <w:r w:rsidRPr="00653C52">
        <w:rPr>
          <w:lang w:val="fr-CA"/>
        </w:rPr>
        <w:t>confère aux tribunaux le pouvoir discrétionnaire de refuser d’ordonner un sursis dans les cas où il ne serait pas raisonnable de dissocier les questions traitées dans la convention d’arbitrage des autres questions</w:t>
      </w:r>
      <w:r w:rsidRPr="00653C52">
        <w:rPr>
          <w:bCs/>
          <w:lang w:val="fr-CA" w:bidi="en-US"/>
        </w:rPr>
        <w:t xml:space="preserve">, de manière à ce que toutes les questions puissent être soumises au tribunal. Elle était d’avis que </w:t>
      </w:r>
      <w:r w:rsidRPr="00653C52">
        <w:rPr>
          <w:lang w:val="fr-CA" w:bidi="en-US"/>
        </w:rPr>
        <w:t>ce pouvoir discrétionnaire peut être exercé pour que les réclamations des non</w:t>
      </w:r>
      <w:r w:rsidRPr="00653C52">
        <w:rPr>
          <w:lang w:val="fr-CA" w:bidi="en-US"/>
        </w:rPr>
        <w:noBreakHyphen/>
      </w:r>
      <w:r>
        <w:rPr>
          <w:lang w:val="fr-CA" w:bidi="en-US"/>
        </w:rPr>
        <w:t xml:space="preserve">consommateurs </w:t>
      </w:r>
      <w:r w:rsidRPr="00653C52">
        <w:rPr>
          <w:lang w:val="fr-CA" w:bidi="en-US"/>
        </w:rPr>
        <w:t>qui sont autrement vi</w:t>
      </w:r>
      <w:r>
        <w:rPr>
          <w:lang w:val="fr-CA" w:bidi="en-US"/>
        </w:rPr>
        <w:t>sées par une clause d’arbitrage</w:t>
      </w:r>
      <w:r w:rsidRPr="00653C52">
        <w:rPr>
          <w:lang w:val="fr-CA" w:bidi="en-US"/>
        </w:rPr>
        <w:t xml:space="preserve"> puissent être présentées dans le cadre d’un recours collectif, lorsqu’il est raisonnable de le faire. La Cour d’appel a rejeté l’appel de TELUS.</w:t>
      </w:r>
    </w:p>
    <w:p w:rsidR="00B618DD" w:rsidRPr="00653C52" w:rsidRDefault="00B618DD" w:rsidP="00B618DD">
      <w:pPr>
        <w:pStyle w:val="Headnote"/>
        <w:spacing w:after="480"/>
        <w:ind w:firstLine="1170"/>
        <w:rPr>
          <w:lang w:val="fr-CA"/>
        </w:rPr>
      </w:pPr>
      <w:r w:rsidRPr="00653C52">
        <w:rPr>
          <w:i/>
          <w:lang w:val="fr-CA"/>
        </w:rPr>
        <w:t>Arrêt</w:t>
      </w:r>
      <w:r w:rsidRPr="00653C52">
        <w:rPr>
          <w:lang w:val="fr-CA"/>
        </w:rPr>
        <w:t xml:space="preserve"> (</w:t>
      </w:r>
      <w:r>
        <w:rPr>
          <w:lang w:val="fr-CA"/>
        </w:rPr>
        <w:t>l</w:t>
      </w:r>
      <w:r w:rsidRPr="00653C52">
        <w:rPr>
          <w:lang w:val="fr-CA"/>
        </w:rPr>
        <w:t xml:space="preserve">e juge en chef Wagner et les juges Abella, </w:t>
      </w:r>
      <w:proofErr w:type="spellStart"/>
      <w:r w:rsidRPr="00653C52">
        <w:rPr>
          <w:lang w:val="fr-CA"/>
        </w:rPr>
        <w:t>Karakatsanis</w:t>
      </w:r>
      <w:proofErr w:type="spellEnd"/>
      <w:r w:rsidRPr="00653C52">
        <w:rPr>
          <w:lang w:val="fr-CA"/>
        </w:rPr>
        <w:t xml:space="preserve"> et Martin sont dissidents) : L’appel est accueilli et le sursis des réclamations des clients commerciaux est ordonné.</w:t>
      </w:r>
    </w:p>
    <w:p w:rsidR="00B618DD" w:rsidRPr="00653C52" w:rsidRDefault="00B618DD" w:rsidP="00B618DD">
      <w:pPr>
        <w:pStyle w:val="ParaNoNdepar-AltN"/>
        <w:numPr>
          <w:ilvl w:val="0"/>
          <w:numId w:val="0"/>
        </w:numPr>
        <w:ind w:firstLine="1170"/>
        <w:rPr>
          <w:rFonts w:cs="Times New Roman"/>
          <w:lang w:val="fr-CA"/>
        </w:rPr>
      </w:pPr>
      <w:r w:rsidRPr="00653C52">
        <w:rPr>
          <w:rFonts w:cs="Times New Roman"/>
          <w:i/>
          <w:lang w:val="fr-CA"/>
        </w:rPr>
        <w:t xml:space="preserve">Les </w:t>
      </w:r>
      <w:r w:rsidRPr="00E3357B">
        <w:rPr>
          <w:rFonts w:cs="Times New Roman"/>
          <w:lang w:val="fr-CA"/>
        </w:rPr>
        <w:t>juges</w:t>
      </w:r>
      <w:r w:rsidRPr="00653C52">
        <w:rPr>
          <w:rFonts w:cs="Times New Roman"/>
          <w:lang w:val="fr-CA"/>
        </w:rPr>
        <w:t xml:space="preserve"> </w:t>
      </w:r>
      <w:proofErr w:type="spellStart"/>
      <w:r w:rsidRPr="00A9061D">
        <w:rPr>
          <w:rFonts w:cs="Times New Roman"/>
          <w:lang w:val="fr-CA"/>
        </w:rPr>
        <w:t>Moldaver</w:t>
      </w:r>
      <w:proofErr w:type="spellEnd"/>
      <w:r w:rsidRPr="00653C52">
        <w:rPr>
          <w:rFonts w:cs="Times New Roman"/>
          <w:lang w:val="fr-CA"/>
        </w:rPr>
        <w:t xml:space="preserve">, Gascon, Côté, Brown et Rowe : Le paragraphe 7(5) de la </w:t>
      </w:r>
      <w:r w:rsidRPr="00653C52">
        <w:rPr>
          <w:rFonts w:cs="Times New Roman"/>
          <w:i/>
          <w:lang w:val="fr-CA"/>
        </w:rPr>
        <w:t>Loi de 1991 sur l’arbitrage</w:t>
      </w:r>
      <w:r w:rsidRPr="00653C52">
        <w:rPr>
          <w:rFonts w:cs="Times New Roman"/>
          <w:lang w:val="fr-CA"/>
        </w:rPr>
        <w:t xml:space="preserve"> ne confère pas aux tribunaux le pouvoir discrétionnaire de refuser d’ordonner le sursis des réclamations qui sont visées par une convention d’arbitrage. Les mesures de protection prévues par la </w:t>
      </w:r>
      <w:r w:rsidRPr="00653C52">
        <w:rPr>
          <w:rFonts w:cs="Times New Roman"/>
          <w:i/>
          <w:lang w:val="fr-CA"/>
        </w:rPr>
        <w:t>Loi sur la protection du consommateur</w:t>
      </w:r>
      <w:r w:rsidRPr="00653C52">
        <w:rPr>
          <w:rFonts w:cs="Times New Roman"/>
          <w:lang w:val="fr-CA"/>
        </w:rPr>
        <w:t xml:space="preserve"> permettent aux consommateurs de présenter leurs réclamations devant les tribunaux, mais les clients commerciaux restent liés par les conventions d’arbitrage</w:t>
      </w:r>
      <w:r>
        <w:rPr>
          <w:rFonts w:cs="Times New Roman"/>
          <w:lang w:val="fr-CA"/>
        </w:rPr>
        <w:t xml:space="preserve"> dont ils ont convenu</w:t>
      </w:r>
      <w:r w:rsidRPr="00653C52">
        <w:rPr>
          <w:rFonts w:cs="Times New Roman"/>
          <w:lang w:val="fr-CA"/>
        </w:rPr>
        <w:t xml:space="preserve">. Ils sont donc exposés au sursis prévu au </w:t>
      </w:r>
      <w:proofErr w:type="spellStart"/>
      <w:r w:rsidRPr="00653C52">
        <w:rPr>
          <w:rFonts w:cs="Times New Roman"/>
          <w:lang w:val="fr-CA"/>
        </w:rPr>
        <w:t>par</w:t>
      </w:r>
      <w:proofErr w:type="spellEnd"/>
      <w:r w:rsidRPr="00653C52">
        <w:rPr>
          <w:rFonts w:cs="Times New Roman"/>
          <w:lang w:val="fr-CA"/>
        </w:rPr>
        <w:t xml:space="preserve">. 7(1) de la </w:t>
      </w:r>
      <w:r w:rsidRPr="00653C52">
        <w:rPr>
          <w:rFonts w:cs="Times New Roman"/>
          <w:i/>
          <w:lang w:val="fr-CA"/>
        </w:rPr>
        <w:t>Loi de 1991 sur l’arbitrage</w:t>
      </w:r>
      <w:r w:rsidRPr="00653C52">
        <w:rPr>
          <w:rFonts w:cs="Times New Roman"/>
          <w:lang w:val="fr-CA"/>
        </w:rPr>
        <w:t xml:space="preserve">. Puisque la seule exception potentielle à la règle générale énoncée au </w:t>
      </w:r>
      <w:proofErr w:type="spellStart"/>
      <w:r w:rsidRPr="00653C52">
        <w:rPr>
          <w:rFonts w:cs="Times New Roman"/>
          <w:lang w:val="fr-CA"/>
        </w:rPr>
        <w:t>par</w:t>
      </w:r>
      <w:proofErr w:type="spellEnd"/>
      <w:r w:rsidRPr="00653C52">
        <w:rPr>
          <w:rFonts w:cs="Times New Roman"/>
          <w:lang w:val="fr-CA"/>
        </w:rPr>
        <w:t>. 7(1) sur laquelle s’est fondé W ne s’applique pas, il y a lieu de surseoir aux réclamations des clients commerciaux.</w:t>
      </w:r>
    </w:p>
    <w:p w:rsidR="00B618DD" w:rsidRPr="00653C52" w:rsidRDefault="00B618DD" w:rsidP="00B618DD">
      <w:pPr>
        <w:pStyle w:val="ParaNoNdepar-AltN"/>
        <w:numPr>
          <w:ilvl w:val="0"/>
          <w:numId w:val="0"/>
        </w:numPr>
        <w:ind w:firstLine="1170"/>
        <w:rPr>
          <w:rFonts w:cs="Times New Roman"/>
          <w:lang w:val="fr-CA"/>
        </w:rPr>
      </w:pPr>
      <w:r w:rsidRPr="00653C52">
        <w:rPr>
          <w:rFonts w:cs="Times New Roman"/>
          <w:lang w:val="fr-CA"/>
        </w:rPr>
        <w:t>Conformément à l’approche moderne, selon laquelle l’arbitrage est un processus autonome par lequel les parties conviennent de régler leurs différends en les soumettant à un arbitre et non à un tribunal, l’</w:t>
      </w:r>
      <w:r>
        <w:rPr>
          <w:rFonts w:cs="Times New Roman"/>
          <w:lang w:val="fr-CA"/>
        </w:rPr>
        <w:t>art.</w:t>
      </w:r>
      <w:r w:rsidRPr="00653C52">
        <w:rPr>
          <w:rFonts w:cs="Times New Roman"/>
          <w:lang w:val="fr-CA"/>
        </w:rPr>
        <w:t xml:space="preserve"> 6 de la </w:t>
      </w:r>
      <w:r w:rsidRPr="00653C52">
        <w:rPr>
          <w:rFonts w:cs="Times New Roman"/>
          <w:i/>
          <w:lang w:val="fr-CA"/>
        </w:rPr>
        <w:t>Loi de 1991 sur l’arbitrage</w:t>
      </w:r>
      <w:r w:rsidRPr="00653C52">
        <w:rPr>
          <w:rFonts w:cs="Times New Roman"/>
          <w:lang w:val="fr-CA"/>
        </w:rPr>
        <w:t xml:space="preserve"> indique que les tribunaux doivent généralement adopter une politique de non</w:t>
      </w:r>
      <w:r w:rsidRPr="00653C52">
        <w:rPr>
          <w:rFonts w:cs="Times New Roman"/>
          <w:lang w:val="fr-CA"/>
        </w:rPr>
        <w:noBreakHyphen/>
        <w:t>intervention à l’égard des questions régies par cette loi. Le paragraphe 7(1) de cette dernière établit la règle générale selon laquelle, si une partie à une convention d’arbitrage introduit une instance à l’égard d’une question traitée dans la convention, le tribunal doit, sur la motion d’une autre partie à la convention, surseoir à l’instance au profit de l’arbitrage. Cette règle générale confirme le concept de l’autonomie des parties et la politique sous</w:t>
      </w:r>
      <w:r w:rsidRPr="00653C52">
        <w:rPr>
          <w:rFonts w:cs="Times New Roman"/>
          <w:lang w:val="fr-CA"/>
        </w:rPr>
        <w:noBreakHyphen/>
        <w:t xml:space="preserve">jacente de la </w:t>
      </w:r>
      <w:r w:rsidRPr="00653C52">
        <w:rPr>
          <w:rFonts w:cs="Times New Roman"/>
          <w:i/>
          <w:lang w:val="fr-CA"/>
        </w:rPr>
        <w:t>Loi de 1991 sur l’arbitrage</w:t>
      </w:r>
      <w:r w:rsidRPr="00653C52">
        <w:rPr>
          <w:rFonts w:cs="Times New Roman"/>
          <w:lang w:val="fr-CA"/>
        </w:rPr>
        <w:t xml:space="preserve"> selon laquelle les parties à une convention d’arbitrage valide devraient respecter l’entente qu’elles ont conclue. Le paragraphe 7(2) énumère cinq exceptions à la règle générale prévue au </w:t>
      </w:r>
      <w:proofErr w:type="spellStart"/>
      <w:r w:rsidRPr="00653C52">
        <w:rPr>
          <w:rFonts w:cs="Times New Roman"/>
          <w:lang w:val="fr-CA"/>
        </w:rPr>
        <w:t>par</w:t>
      </w:r>
      <w:proofErr w:type="spellEnd"/>
      <w:r w:rsidRPr="00653C52">
        <w:rPr>
          <w:rFonts w:cs="Times New Roman"/>
          <w:lang w:val="fr-CA"/>
        </w:rPr>
        <w:t xml:space="preserve">. 7(1), soit des cas où il serait injuste ou peu pratique de renvoyer l’affaire à l’arbitrage. </w:t>
      </w:r>
      <w:r w:rsidRPr="00653C52">
        <w:rPr>
          <w:rFonts w:cs="Times New Roman"/>
          <w:lang w:val="fr-CA" w:bidi="en-US"/>
        </w:rPr>
        <w:t xml:space="preserve">Le paragraphe 7(5) prévoit une autre exception à la règle générale prévue au </w:t>
      </w:r>
      <w:proofErr w:type="spellStart"/>
      <w:r w:rsidRPr="00653C52">
        <w:rPr>
          <w:rFonts w:cs="Times New Roman"/>
          <w:lang w:val="fr-CA" w:bidi="en-US"/>
        </w:rPr>
        <w:t>par</w:t>
      </w:r>
      <w:proofErr w:type="spellEnd"/>
      <w:r w:rsidRPr="00653C52">
        <w:rPr>
          <w:rFonts w:cs="Times New Roman"/>
          <w:lang w:val="fr-CA" w:bidi="en-US"/>
        </w:rPr>
        <w:t>. 7(1), une exception qui comprend deux éléments principaux. Premièrement, les al</w:t>
      </w:r>
      <w:r w:rsidR="00F214B9">
        <w:rPr>
          <w:rFonts w:cs="Times New Roman"/>
          <w:lang w:val="fr-CA" w:bidi="en-US"/>
        </w:rPr>
        <w:t>.</w:t>
      </w:r>
      <w:r w:rsidRPr="00653C52">
        <w:rPr>
          <w:rFonts w:cs="Times New Roman"/>
          <w:lang w:val="fr-CA" w:bidi="en-US"/>
        </w:rPr>
        <w:t xml:space="preserve"> 7(5)a) et b) énoncent deux conditions préalables.</w:t>
      </w:r>
      <w:r w:rsidRPr="00653C52">
        <w:rPr>
          <w:rFonts w:cs="Times New Roman"/>
          <w:lang w:val="fr-CA"/>
        </w:rPr>
        <w:t xml:space="preserve"> Il est satisfait à la première si la convention ne traite que de certaines des questions à l’égard desquelles l’instance a été introduite. Autrement dit, l’instance doit porter sur au moins une question </w:t>
      </w:r>
      <w:r w:rsidRPr="00653C52">
        <w:rPr>
          <w:rFonts w:cs="Times New Roman"/>
          <w:lang w:val="fr-CA" w:bidi="en-US"/>
        </w:rPr>
        <w:t>qui est traitée dans la convention d’arbitrage et une question qui n’est pas traitée dans la convention d’arbitrage. Il est satisfait à la deuxième condition préalable s’il est raisonnable de dissocier les questions traitées dans la convention des autres questions. Deuxièmement, s’il est satisfait aux deux conditions préalables, au lieu d’ordonner un sursis complet, le tribunal peut autoriser que les questions qui ne sont pas traitées dans la convention d’arbitrage soient soumises au tribunal. Il est toutefois tenu de surseoir à l’instance malgré tout en ce qui touche les questions qui sont traitées dans la convention d’arbitrage. S</w:t>
      </w:r>
      <w:r w:rsidRPr="00653C52">
        <w:rPr>
          <w:rFonts w:cs="Times New Roman"/>
          <w:lang w:val="fr-CA"/>
        </w:rPr>
        <w:t xml:space="preserve">’il n’est pas satisfait aux conditions préalables, l’exception discrétionnaire prévue au </w:t>
      </w:r>
      <w:proofErr w:type="spellStart"/>
      <w:r w:rsidRPr="00653C52">
        <w:rPr>
          <w:rFonts w:cs="Times New Roman"/>
          <w:lang w:val="fr-CA"/>
        </w:rPr>
        <w:t>par</w:t>
      </w:r>
      <w:proofErr w:type="spellEnd"/>
      <w:r w:rsidRPr="00653C52">
        <w:rPr>
          <w:rFonts w:cs="Times New Roman"/>
          <w:lang w:val="fr-CA"/>
        </w:rPr>
        <w:t>. 7(5) n’entre pas en jeu, puisque celui</w:t>
      </w:r>
      <w:r w:rsidRPr="00653C52">
        <w:rPr>
          <w:rFonts w:cs="Times New Roman"/>
          <w:lang w:val="fr-CA"/>
        </w:rPr>
        <w:noBreakHyphen/>
        <w:t xml:space="preserve">ci ne prend effet que si les deux conditions préalables sont remplies. Dans ce cas, à moins qu’une des exceptions énumérées au </w:t>
      </w:r>
      <w:proofErr w:type="spellStart"/>
      <w:r w:rsidRPr="00653C52">
        <w:rPr>
          <w:rFonts w:cs="Times New Roman"/>
          <w:lang w:val="fr-CA"/>
        </w:rPr>
        <w:t>par</w:t>
      </w:r>
      <w:proofErr w:type="spellEnd"/>
      <w:r w:rsidRPr="00653C52">
        <w:rPr>
          <w:rFonts w:cs="Times New Roman"/>
          <w:lang w:val="fr-CA"/>
        </w:rPr>
        <w:t xml:space="preserve">. 7(2) ne s’applique, c’est la règle générale prévue au </w:t>
      </w:r>
      <w:proofErr w:type="spellStart"/>
      <w:r w:rsidRPr="00653C52">
        <w:rPr>
          <w:rFonts w:cs="Times New Roman"/>
          <w:lang w:val="fr-CA"/>
        </w:rPr>
        <w:t>par</w:t>
      </w:r>
      <w:proofErr w:type="spellEnd"/>
      <w:r w:rsidRPr="00653C52">
        <w:rPr>
          <w:rFonts w:cs="Times New Roman"/>
          <w:lang w:val="fr-CA"/>
        </w:rPr>
        <w:t>. 7(1) qui prévaut et le tribunal doit ordonner le sursis de l’instance.</w:t>
      </w:r>
    </w:p>
    <w:p w:rsidR="00B618DD" w:rsidRPr="00653C52" w:rsidRDefault="00B618DD" w:rsidP="00B618DD">
      <w:pPr>
        <w:pStyle w:val="Headnote"/>
        <w:spacing w:after="480"/>
        <w:ind w:firstLine="1170"/>
        <w:rPr>
          <w:lang w:val="fr-CA"/>
        </w:rPr>
      </w:pPr>
      <w:r w:rsidRPr="00653C52">
        <w:rPr>
          <w:lang w:val="fr-CA"/>
        </w:rPr>
        <w:t xml:space="preserve">Des considérations de nature politique ne doivent pas servir à déformer le libellé de la loi, interprété d’une façon qui s’harmonise avec l’économie et l’objet du texte législatif en cause ainsi qu’avec l’intention du législateur, pour donner </w:t>
      </w:r>
      <w:r w:rsidR="00BC3E51">
        <w:rPr>
          <w:lang w:val="fr-CA"/>
        </w:rPr>
        <w:t xml:space="preserve">au </w:t>
      </w:r>
      <w:proofErr w:type="spellStart"/>
      <w:r w:rsidR="00BC3E51">
        <w:rPr>
          <w:lang w:val="fr-CA"/>
        </w:rPr>
        <w:t>par</w:t>
      </w:r>
      <w:proofErr w:type="spellEnd"/>
      <w:r w:rsidR="00BC3E51">
        <w:rPr>
          <w:lang w:val="fr-CA"/>
        </w:rPr>
        <w:t>.</w:t>
      </w:r>
      <w:r w:rsidRPr="00653C52">
        <w:rPr>
          <w:lang w:val="fr-CA"/>
        </w:rPr>
        <w:t xml:space="preserve"> 7(5) un sens qu’il n’a pas. L’analyse des considérations de politique générale joue un rôle légitime dans le processus d’interprétation des lois, mais le choix des politiques dans une démocratie parlementaire demeure la responsabilité du législateur et non celle des tribunaux. Il en est particulièrement ainsi du fait que, en adoptant la </w:t>
      </w:r>
      <w:r w:rsidRPr="00653C52">
        <w:rPr>
          <w:i/>
          <w:lang w:val="fr-CA"/>
        </w:rPr>
        <w:t>Loi sur la protection du consommateur</w:t>
      </w:r>
      <w:r w:rsidRPr="00653C52">
        <w:rPr>
          <w:lang w:val="fr-CA"/>
        </w:rPr>
        <w:t>, la législature de l’Ontario a déjà traité de certaines de ces préoccupations de nature politique en protégeant les consommateurs des conséquences possiblement sévères de l’application des conventions d’arbitrage prévues dans les conventions de consommation, qui prennent souvent la forme de contrats types. Le législateur a pris avec soin la décision politique d’exempter les consommateurs — et seulement les consommateurs — de l’application ordinaire des conventions d’arbitrage. Il faut respecter ce choix, et non pas le miner en interprétant le par. 7(5) comme permettant aux tribunaux de traiter les consommateurs et les non</w:t>
      </w:r>
      <w:r w:rsidRPr="00653C52">
        <w:rPr>
          <w:lang w:val="fr-CA"/>
        </w:rPr>
        <w:noBreakHyphen/>
        <w:t>consommateurs sur un pied d’égalité.</w:t>
      </w:r>
    </w:p>
    <w:p w:rsidR="00B618DD" w:rsidRPr="00653C52" w:rsidRDefault="00B618DD" w:rsidP="00B618DD">
      <w:pPr>
        <w:pStyle w:val="Headnote"/>
        <w:spacing w:after="480"/>
        <w:ind w:firstLine="1170"/>
        <w:rPr>
          <w:lang w:val="fr-CA"/>
        </w:rPr>
      </w:pPr>
      <w:r w:rsidRPr="00653C52">
        <w:rPr>
          <w:lang w:val="fr-CA"/>
        </w:rPr>
        <w:t xml:space="preserve">L’importance de promouvoir l’accès à la justice ne fait aucun doute. On ne saurait pour autant permettre, à moins d’une directive du législateur, que cet objectif prenne le dessus sur les autres objectifs importants visés par la </w:t>
      </w:r>
      <w:r w:rsidRPr="00653C52">
        <w:rPr>
          <w:i/>
          <w:lang w:val="fr-CA"/>
        </w:rPr>
        <w:t>Loi de 1991 sur l’arbitrage</w:t>
      </w:r>
      <w:r w:rsidRPr="00653C52">
        <w:rPr>
          <w:lang w:val="fr-CA"/>
        </w:rPr>
        <w:t>. Adopter cette approche minerait l’objectif déclaré du législateur de s’assurer que les parties à une convention d’arbitrage valide la respectent et réduirait le degré de certitude et de prévisibilité associé aux conventions d’arbitrage en plus d’affaiblir le concept d’autonomie des parties dans le contexte commercial. Cela augmenterait les occasions pour les parties à une convention d’arbitrage valide de se soustraire aux obligations qui y sont prévues et d’exiger réparation devant les tribunaux</w:t>
      </w:r>
      <w:r>
        <w:rPr>
          <w:lang w:val="fr-CA"/>
        </w:rPr>
        <w:t>. En outre, cette affaire</w:t>
      </w:r>
      <w:r w:rsidRPr="00653C52">
        <w:rPr>
          <w:lang w:val="fr-CA"/>
        </w:rPr>
        <w:t xml:space="preserve"> n’a pas pour but de débattre des avantages et des inconvénients de l’application de clauses d’arbitrage contenues dans des contrats types. Elle concerne plutôt l’interprétation qu’il convient de donner au </w:t>
      </w:r>
      <w:proofErr w:type="spellStart"/>
      <w:r w:rsidRPr="00653C52">
        <w:rPr>
          <w:lang w:val="fr-CA"/>
        </w:rPr>
        <w:t>par</w:t>
      </w:r>
      <w:proofErr w:type="spellEnd"/>
      <w:r w:rsidRPr="00653C52">
        <w:rPr>
          <w:lang w:val="fr-CA"/>
        </w:rPr>
        <w:t xml:space="preserve">. 7(5) de la </w:t>
      </w:r>
      <w:r w:rsidRPr="00653C52">
        <w:rPr>
          <w:i/>
          <w:lang w:val="fr-CA"/>
        </w:rPr>
        <w:t>Loi de 1991 sur l’arbitrage</w:t>
      </w:r>
      <w:r w:rsidRPr="00653C52">
        <w:rPr>
          <w:lang w:val="fr-CA"/>
        </w:rPr>
        <w:t>. Bien que différencier les consommateurs et les non</w:t>
      </w:r>
      <w:r w:rsidRPr="00653C52">
        <w:rPr>
          <w:lang w:val="fr-CA"/>
        </w:rPr>
        <w:noBreakHyphen/>
        <w:t xml:space="preserve">consommateurs puisse s’avérer difficile dans certains cas, cette difficulté n’a aucune incidence sur l’interprétation qu’il convient de donner au </w:t>
      </w:r>
      <w:proofErr w:type="spellStart"/>
      <w:r w:rsidRPr="00653C52">
        <w:rPr>
          <w:lang w:val="fr-CA"/>
        </w:rPr>
        <w:t>par</w:t>
      </w:r>
      <w:proofErr w:type="spellEnd"/>
      <w:r w:rsidRPr="00653C52">
        <w:rPr>
          <w:lang w:val="fr-CA"/>
        </w:rPr>
        <w:t>. 7(5). De plus, même s’il peut s’avérer encombrant dans certains cas de procéder à cette distinction, cet inconvénient n’autorise pas le tribunal à reformuler la loi comme bon lui semble pour éviter de telles difficultés. Permettre aux non</w:t>
      </w:r>
      <w:r w:rsidRPr="00653C52">
        <w:rPr>
          <w:lang w:val="fr-CA"/>
        </w:rPr>
        <w:noBreakHyphen/>
        <w:t xml:space="preserve">consommateurs de se joindre aux consommateurs parce qu’il serait encombrant de les distinguer les uns des autres permettrait aussi aux entités commerciales de se retrouver devant les tribunaux judiciaires en dépit de leur consentement à recourir à l’arbitrage, même lorsque la convention d’arbitrage est le fruit d’une négociation en bonne et due forme. Cela réduirait le degré de certitude et de prévisibilité associé aux conventions d’arbitrage et permettrait aux parties à ces conventions de greffer leurs réclamations à celles d’autres parties. Enfin, si l’application d’une loi ontarienne, interprétée correctement, mène à la multiplicité des instances, les tribunaux doivent donner effet à l’intention du législateur. Le paragraphe 7(5) de la </w:t>
      </w:r>
      <w:r w:rsidRPr="00653C52">
        <w:rPr>
          <w:i/>
          <w:lang w:val="fr-CA"/>
        </w:rPr>
        <w:t>Loi de 1991 sur l’arbitrage</w:t>
      </w:r>
      <w:r w:rsidRPr="00653C52">
        <w:rPr>
          <w:lang w:val="fr-CA"/>
        </w:rPr>
        <w:t xml:space="preserve"> prévoit expressément la tenue possible de recours parallèles, car il permet au tribunal d’ordonner un sursis </w:t>
      </w:r>
      <w:r w:rsidRPr="00F5037D">
        <w:rPr>
          <w:lang w:val="fr-CA"/>
        </w:rPr>
        <w:t>partiel</w:t>
      </w:r>
      <w:r w:rsidRPr="00653C52">
        <w:rPr>
          <w:lang w:val="fr-CA"/>
        </w:rPr>
        <w:t xml:space="preserve"> — ce qui pourrait donner lieu à deux procédures concurrentes, soit une procédure d’arbitrage et une procédure judiciaire.</w:t>
      </w:r>
    </w:p>
    <w:p w:rsidR="00B618DD" w:rsidRPr="00653C52" w:rsidRDefault="00B618DD" w:rsidP="00B618DD">
      <w:pPr>
        <w:pStyle w:val="Headnote"/>
        <w:spacing w:after="480"/>
        <w:ind w:firstLine="1170"/>
        <w:rPr>
          <w:lang w:val="fr-CA"/>
        </w:rPr>
      </w:pPr>
      <w:r w:rsidRPr="00653C52">
        <w:rPr>
          <w:lang w:val="fr-CA"/>
        </w:rPr>
        <w:t>La seule question en litige dans l</w:t>
      </w:r>
      <w:r>
        <w:rPr>
          <w:lang w:val="fr-CA"/>
        </w:rPr>
        <w:t>e recours intenté par W</w:t>
      </w:r>
      <w:r w:rsidRPr="00653C52">
        <w:rPr>
          <w:lang w:val="fr-CA"/>
        </w:rPr>
        <w:t xml:space="preserve"> est celle de la surfacturation alléguée. Or, les conventions d’arbitrage qu’ont signé les consommateurs et les clients commerciaux traitent de cette question. Comme l’instance porte sur au moins une question qui est traitée dans les conventions d’arbitrage, la règle générale prévue au </w:t>
      </w:r>
      <w:proofErr w:type="spellStart"/>
      <w:r w:rsidRPr="00653C52">
        <w:rPr>
          <w:lang w:val="fr-CA"/>
        </w:rPr>
        <w:t>par</w:t>
      </w:r>
      <w:proofErr w:type="spellEnd"/>
      <w:r w:rsidRPr="00653C52">
        <w:rPr>
          <w:lang w:val="fr-CA"/>
        </w:rPr>
        <w:t xml:space="preserve">. 7(1) de la </w:t>
      </w:r>
      <w:r w:rsidRPr="00653C52">
        <w:rPr>
          <w:i/>
          <w:lang w:val="fr-CA"/>
        </w:rPr>
        <w:t>Loi de 1991 sur l’arbitrage</w:t>
      </w:r>
      <w:r w:rsidRPr="00653C52">
        <w:rPr>
          <w:lang w:val="fr-CA"/>
        </w:rPr>
        <w:t xml:space="preserve"> exigerait normalement qu’il soit sursis aux procédures dans leur ensemble, ce qui empêcherait tant les consommateurs que les clients commerciaux de recourir aux tribunaux. </w:t>
      </w:r>
      <w:r>
        <w:rPr>
          <w:lang w:val="fr-CA"/>
        </w:rPr>
        <w:t>Or, le par. </w:t>
      </w:r>
      <w:r w:rsidRPr="00653C52">
        <w:rPr>
          <w:lang w:val="fr-CA"/>
        </w:rPr>
        <w:t xml:space="preserve">7(5) de la </w:t>
      </w:r>
      <w:r w:rsidRPr="00653C52">
        <w:rPr>
          <w:i/>
          <w:lang w:val="fr-CA"/>
        </w:rPr>
        <w:t>Loi sur la protection au consommateur</w:t>
      </w:r>
      <w:r w:rsidRPr="00653C52">
        <w:rPr>
          <w:lang w:val="fr-CA"/>
        </w:rPr>
        <w:t xml:space="preserve"> invalide les conventions d’arbitrage dont ont convenu les consommateurs, dans la mesure où elles empêchent par ailleurs ces derniers d’exercer leur droit d’introduire un recours collectif du type de celui déposé par W, ou de se joindre à un tel recours. Les clients commerciaux, par contre, ne sont pas des consommateurs, et ils ne peuvent donc pas se prévaloir des mesures de protection dont profitent ces derniers.</w:t>
      </w:r>
    </w:p>
    <w:p w:rsidR="00B618DD" w:rsidRPr="00653C52" w:rsidRDefault="00B618DD" w:rsidP="00B618DD">
      <w:pPr>
        <w:pStyle w:val="ParaNoNdepar-AltN"/>
        <w:numPr>
          <w:ilvl w:val="0"/>
          <w:numId w:val="0"/>
        </w:numPr>
        <w:ind w:firstLine="1170"/>
        <w:rPr>
          <w:rFonts w:cs="Times New Roman"/>
          <w:lang w:val="fr-CA"/>
        </w:rPr>
      </w:pPr>
      <w:r w:rsidRPr="00653C52">
        <w:rPr>
          <w:rFonts w:cs="Times New Roman"/>
          <w:lang w:val="fr-CA"/>
        </w:rPr>
        <w:t xml:space="preserve">La seule exception potentielle au </w:t>
      </w:r>
      <w:proofErr w:type="spellStart"/>
      <w:r w:rsidRPr="00653C52">
        <w:rPr>
          <w:rFonts w:cs="Times New Roman"/>
          <w:lang w:val="fr-CA"/>
        </w:rPr>
        <w:t>par</w:t>
      </w:r>
      <w:proofErr w:type="spellEnd"/>
      <w:r w:rsidRPr="00653C52">
        <w:rPr>
          <w:rFonts w:cs="Times New Roman"/>
          <w:lang w:val="fr-CA"/>
        </w:rPr>
        <w:t xml:space="preserve">. 7(1) de la </w:t>
      </w:r>
      <w:r w:rsidRPr="00653C52">
        <w:rPr>
          <w:rFonts w:cs="Times New Roman"/>
          <w:i/>
          <w:lang w:val="fr-CA"/>
        </w:rPr>
        <w:t>Loi de 1991 sur l’arbitrage</w:t>
      </w:r>
      <w:r w:rsidRPr="00653C52">
        <w:rPr>
          <w:rFonts w:cs="Times New Roman"/>
          <w:lang w:val="fr-CA"/>
        </w:rPr>
        <w:t xml:space="preserve"> qu’on cherche à invoquer au nom des clients commerciaux en l’espèce, soit la disposition relative au sursis partiel prévue au </w:t>
      </w:r>
      <w:proofErr w:type="spellStart"/>
      <w:r w:rsidRPr="00653C52">
        <w:rPr>
          <w:rFonts w:cs="Times New Roman"/>
          <w:lang w:val="fr-CA"/>
        </w:rPr>
        <w:t>par</w:t>
      </w:r>
      <w:proofErr w:type="spellEnd"/>
      <w:r w:rsidRPr="00653C52">
        <w:rPr>
          <w:rFonts w:cs="Times New Roman"/>
          <w:lang w:val="fr-CA"/>
        </w:rPr>
        <w:t>. 7(5), ne leur est d’aucun secours. Il en est ainsi parce que la seule ques</w:t>
      </w:r>
      <w:r>
        <w:rPr>
          <w:rFonts w:cs="Times New Roman"/>
          <w:lang w:val="fr-CA"/>
        </w:rPr>
        <w:t>tion en litige dans le recours</w:t>
      </w:r>
      <w:r w:rsidRPr="00653C52">
        <w:rPr>
          <w:rFonts w:cs="Times New Roman"/>
          <w:lang w:val="fr-CA"/>
        </w:rPr>
        <w:t xml:space="preserve"> est visée par les conventions d’arbitrage qu’ont signées tant les consommateurs que les clients commerciaux, de sorte qu’il n’est pas satisfait à la première condition préalable énoncée à l’al. 7(5)a). La règle générale prévue au </w:t>
      </w:r>
      <w:proofErr w:type="spellStart"/>
      <w:r w:rsidRPr="00653C52">
        <w:rPr>
          <w:rFonts w:cs="Times New Roman"/>
          <w:lang w:val="fr-CA"/>
        </w:rPr>
        <w:t>par</w:t>
      </w:r>
      <w:proofErr w:type="spellEnd"/>
      <w:r w:rsidRPr="00653C52">
        <w:rPr>
          <w:rFonts w:cs="Times New Roman"/>
          <w:lang w:val="fr-CA"/>
        </w:rPr>
        <w:t>. 7(1) reste donc intacte en ce qui a trait aux clients commerciaux et il faut surseoir à l’instance. Toutefois, c</w:t>
      </w:r>
      <w:r w:rsidRPr="00653C52">
        <w:rPr>
          <w:rFonts w:cs="Times New Roman"/>
          <w:lang w:val="fr-CA" w:bidi="en-US"/>
        </w:rPr>
        <w:t xml:space="preserve">e sursis doit être limité aux parties qui sont liées légalement par une convention d’arbitrage — à savoir TELUS et les clients commerciaux. En somme, </w:t>
      </w:r>
      <w:r w:rsidRPr="00653C52">
        <w:rPr>
          <w:rFonts w:cs="Times New Roman"/>
          <w:lang w:val="fr-CA"/>
        </w:rPr>
        <w:t xml:space="preserve">la juge des motions et la Cour d’appel ont commis une erreur de droit en interprétant incorrectement le par. 7(5) de la </w:t>
      </w:r>
      <w:r w:rsidRPr="00653C52">
        <w:rPr>
          <w:rFonts w:cs="Times New Roman"/>
          <w:i/>
          <w:lang w:val="fr-CA"/>
        </w:rPr>
        <w:t>Loi de 1991 sur l’arbitrage</w:t>
      </w:r>
      <w:r w:rsidRPr="00653C52">
        <w:rPr>
          <w:rFonts w:cs="Times New Roman"/>
          <w:lang w:val="fr-CA"/>
        </w:rPr>
        <w:t xml:space="preserve"> et en refusant d’ordonner un sursis qui, suivant le par. 7(1), était obligatoire. Le paragraphe 7(5) de la </w:t>
      </w:r>
      <w:r w:rsidRPr="00653C52">
        <w:rPr>
          <w:rFonts w:cs="Times New Roman"/>
          <w:i/>
          <w:lang w:val="fr-CA"/>
        </w:rPr>
        <w:t>Loi de 1991 sur l’arbitrage</w:t>
      </w:r>
      <w:r w:rsidRPr="00653C52">
        <w:rPr>
          <w:rFonts w:cs="Times New Roman"/>
          <w:lang w:val="fr-CA"/>
        </w:rPr>
        <w:t xml:space="preserve"> ne permet pas au tribunal d’écarter une convention d’arbitrage valide et exécutoire.</w:t>
      </w:r>
    </w:p>
    <w:p w:rsidR="00B618DD" w:rsidRPr="00653C52" w:rsidRDefault="00B618DD" w:rsidP="00B618DD">
      <w:pPr>
        <w:pStyle w:val="Headnote"/>
        <w:spacing w:after="480"/>
        <w:ind w:firstLine="1170"/>
        <w:rPr>
          <w:lang w:val="fr-CA"/>
        </w:rPr>
      </w:pPr>
      <w:r w:rsidRPr="00653C52">
        <w:rPr>
          <w:i/>
          <w:lang w:val="fr-CA"/>
        </w:rPr>
        <w:t>Le</w:t>
      </w:r>
      <w:r w:rsidRPr="00653C52">
        <w:rPr>
          <w:lang w:val="fr-CA"/>
        </w:rPr>
        <w:t xml:space="preserve"> juge en </w:t>
      </w:r>
      <w:r>
        <w:rPr>
          <w:lang w:val="fr-CA"/>
        </w:rPr>
        <w:t xml:space="preserve">chef </w:t>
      </w:r>
      <w:r w:rsidRPr="00653C52">
        <w:rPr>
          <w:lang w:val="fr-CA"/>
        </w:rPr>
        <w:t xml:space="preserve">Wagner et les juges </w:t>
      </w:r>
      <w:r w:rsidRPr="00A9061D">
        <w:rPr>
          <w:lang w:val="fr-CA"/>
        </w:rPr>
        <w:t>Abella</w:t>
      </w:r>
      <w:r w:rsidRPr="00653C52">
        <w:rPr>
          <w:lang w:val="fr-CA"/>
        </w:rPr>
        <w:t xml:space="preserve">, </w:t>
      </w:r>
      <w:proofErr w:type="spellStart"/>
      <w:r w:rsidRPr="00A9061D">
        <w:rPr>
          <w:lang w:val="fr-CA"/>
        </w:rPr>
        <w:t>Karakatsanis</w:t>
      </w:r>
      <w:proofErr w:type="spellEnd"/>
      <w:r w:rsidRPr="00653C52">
        <w:rPr>
          <w:lang w:val="fr-CA"/>
        </w:rPr>
        <w:t xml:space="preserve"> et Martin (dissidents) : Le pourvoi devrait être rejeté. Lorsque l’instance porte à la fois sur des questions visées par une convention d’arbitrage et d’autres questions qui ne le sont pas, le par. 7(5) de la </w:t>
      </w:r>
      <w:r w:rsidRPr="00653C52">
        <w:rPr>
          <w:i/>
          <w:lang w:val="fr-CA"/>
        </w:rPr>
        <w:t>Loi de 1991 sur l’arbitrage</w:t>
      </w:r>
      <w:r w:rsidRPr="00653C52">
        <w:rPr>
          <w:lang w:val="fr-CA"/>
        </w:rPr>
        <w:t xml:space="preserve"> investit le juge du pouvoir discrétionnaire de permettre que toute l’instance se poursuive devant le tribunal, même si certaines parties sont par ailleurs assujetties à une clause d’arbitrage.</w:t>
      </w:r>
    </w:p>
    <w:p w:rsidR="00B618DD" w:rsidRPr="00653C52" w:rsidRDefault="00B618DD" w:rsidP="00B618DD">
      <w:pPr>
        <w:pStyle w:val="Headnote"/>
        <w:spacing w:after="480"/>
        <w:ind w:firstLine="1170"/>
        <w:rPr>
          <w:lang w:val="fr-CA"/>
        </w:rPr>
      </w:pPr>
      <w:r w:rsidRPr="00653C52">
        <w:rPr>
          <w:lang w:val="fr-CA"/>
        </w:rPr>
        <w:t xml:space="preserve">Le paragraphe 7(5) de la </w:t>
      </w:r>
      <w:r w:rsidRPr="00653C52">
        <w:rPr>
          <w:i/>
          <w:lang w:val="fr-CA"/>
        </w:rPr>
        <w:t>Loi de 1991 sur l’arbitrage</w:t>
      </w:r>
      <w:r w:rsidRPr="00653C52">
        <w:rPr>
          <w:lang w:val="fr-CA"/>
        </w:rPr>
        <w:t xml:space="preserve"> révèle l’intention explicite du législateur d’écarter la clause d’arbitrage par ailleurs applicable. La disposition prévoit que « [l]e </w:t>
      </w:r>
      <w:r w:rsidRPr="00653C52">
        <w:rPr>
          <w:lang w:val="fr-FR"/>
        </w:rPr>
        <w:t>tribunal judiciaire peut surseoir à l’instance en ce qui touche les questions traitées dans la convention d’arbitrage et permettre qu’elle se poursuive en ce qui touche les autres questions</w:t>
      </w:r>
      <w:r>
        <w:rPr>
          <w:lang w:val="fr-CA"/>
        </w:rPr>
        <w:t xml:space="preserve"> </w:t>
      </w:r>
      <w:r w:rsidRPr="00653C52">
        <w:rPr>
          <w:lang w:val="fr-CA"/>
        </w:rPr>
        <w:t>», ce qui signifie que le tribunal peut surseoir à l’instance en ce qui touche les questions arbitrables qui lui sont soumises ou</w:t>
      </w:r>
      <w:r w:rsidRPr="00653C52">
        <w:rPr>
          <w:i/>
          <w:lang w:val="fr-CA"/>
        </w:rPr>
        <w:t xml:space="preserve"> </w:t>
      </w:r>
      <w:r w:rsidRPr="00653C52">
        <w:rPr>
          <w:lang w:val="fr-CA"/>
        </w:rPr>
        <w:t>permettre qu’elle se poursuive. Logiquement, le pouvoir discrétionnaire d’accorder un sursis partiel comprend également le pouvoir de refuser d’accorder un sursis partiel. La seule interprétation qui donne véritablement effet au libellé discrétionnaire du par. 7(5) est celle qui confère aux juges le pouvoir de permettre que les différends arbitrables ainsi que les différends non arbitrables soient portés devant le tribunal. L’affirmation selon laquelle le tribunal ne peut</w:t>
      </w:r>
      <w:r w:rsidRPr="00653C52">
        <w:rPr>
          <w:i/>
          <w:lang w:val="fr-CA"/>
        </w:rPr>
        <w:t xml:space="preserve"> </w:t>
      </w:r>
      <w:r w:rsidRPr="00653C52">
        <w:rPr>
          <w:lang w:val="fr-CA"/>
        </w:rPr>
        <w:t>jamais surseoir aux questions arbitrables en vertu du par. 7(5) rend superflue la première phrase de cette disposition — « </w:t>
      </w:r>
      <w:r w:rsidRPr="00653C52">
        <w:rPr>
          <w:lang w:val="fr-FR"/>
        </w:rPr>
        <w:t>peut surseoir à l’instance en ce qui touche les questions traitées dans la convention d’arbitrage</w:t>
      </w:r>
      <w:r w:rsidRPr="00653C52">
        <w:rPr>
          <w:lang w:val="fr-CA"/>
        </w:rPr>
        <w:t> ». Si on interprète la disposition comme s’appliquant seulement aux questions non arbitrables, le par. 7(5) n’ajoute rien au pouvoir discrétionnaire existant du juge.</w:t>
      </w:r>
    </w:p>
    <w:p w:rsidR="00B618DD" w:rsidRPr="00653C52" w:rsidRDefault="00B618DD" w:rsidP="00B618DD">
      <w:pPr>
        <w:pStyle w:val="Headnote"/>
        <w:ind w:firstLine="1170"/>
        <w:rPr>
          <w:lang w:val="fr-CA"/>
        </w:rPr>
      </w:pPr>
      <w:r w:rsidRPr="00653C52">
        <w:rPr>
          <w:lang w:val="fr-CA"/>
        </w:rPr>
        <w:t xml:space="preserve">La </w:t>
      </w:r>
      <w:r w:rsidRPr="00653C52">
        <w:rPr>
          <w:i/>
          <w:lang w:val="fr-CA"/>
        </w:rPr>
        <w:t xml:space="preserve">Loi de 1991 sur l’arbitrage </w:t>
      </w:r>
      <w:r w:rsidRPr="00653C52">
        <w:rPr>
          <w:lang w:val="fr-CA"/>
        </w:rPr>
        <w:t xml:space="preserve">de l’Ontario a été adoptée afin de permettre aux parties d’élaborer leurs propres processus de règlement et de résoudre leurs différends à l’extérieur des tribunaux. Elle prévoyait que deux ou plusieurs parties peuvent négocier librement leur processus d’arbitrage. Afin d’assurer le règlement opportun des différends et de diminuer les frais de justice, la </w:t>
      </w:r>
      <w:r w:rsidRPr="00653C52">
        <w:rPr>
          <w:i/>
          <w:lang w:val="fr-CA"/>
        </w:rPr>
        <w:t>Loi de 1991 sur l’arbitrage</w:t>
      </w:r>
      <w:r w:rsidRPr="00653C52">
        <w:rPr>
          <w:lang w:val="fr-CA"/>
        </w:rPr>
        <w:t xml:space="preserve"> a limité l’intervention judiciaire à l’égard des différends arbitrables. Mais elle a aussi investi les juges du pouvoir discrétionnaire d’autoriser les instances judiciaires dans certaines circonstances précises, par exemple lorsque la convention d’arbitrage était manifestement inéquitable. Lorsque l’instance porte à la fois sur des questions visées par une convention d’arbitrage et d’autres questions qui ne le sont pas, le par. 7(5) investit le juge du pouvoir discrétionnaire de permettre que toute l’instance se poursuive devant le tribunal, même si certaines parties sont par ailleurs assujetties à une clause d’arbitrage. Depuis 2002, la Cour d’appel de l’Ontario a interprété le par. 7(5) comme conférant aux tribunaux le pouvoir discrétionnaire de surseoir aux questions qui seraient par ailleurs soumises à l’arbitrage. De même, depuis une dizaine d’années, la Cour d’appel de l’Ontario a interprété le par. 7(5) comme permettant que des questions par ailleurs arbitrables soient jointes aux recours collectifs afin d’éviter, dans l’intérêt public, le dédoublement des instances, des coûts plus élevés et le risque de résultats incohérents. Cette interprétation s’accorde avec le texte des dispositions et le régime créé par celles</w:t>
      </w:r>
      <w:r w:rsidRPr="00653C52">
        <w:rPr>
          <w:lang w:val="fr-CA"/>
        </w:rPr>
        <w:noBreakHyphen/>
        <w:t xml:space="preserve">ci et est conforme non seulement aux objets ayant motivé l’adoption de la </w:t>
      </w:r>
      <w:r w:rsidRPr="00653C52">
        <w:rPr>
          <w:i/>
          <w:lang w:val="fr-CA"/>
        </w:rPr>
        <w:t>Loi de 1991 sur l’arbitrage</w:t>
      </w:r>
      <w:r w:rsidRPr="00653C52">
        <w:rPr>
          <w:lang w:val="fr-CA"/>
        </w:rPr>
        <w:t>, mais aussi à l’objet du par. 7(5) lui</w:t>
      </w:r>
      <w:r w:rsidRPr="00653C52">
        <w:rPr>
          <w:lang w:val="fr-CA"/>
        </w:rPr>
        <w:noBreakHyphen/>
        <w:t>même.</w:t>
      </w:r>
    </w:p>
    <w:p w:rsidR="00B618DD" w:rsidRPr="00653C52" w:rsidRDefault="00B618DD" w:rsidP="00B618DD">
      <w:pPr>
        <w:pStyle w:val="ParaNoNdepar-AltN"/>
        <w:numPr>
          <w:ilvl w:val="0"/>
          <w:numId w:val="0"/>
        </w:numPr>
        <w:ind w:firstLine="1170"/>
        <w:rPr>
          <w:rFonts w:cs="Times New Roman"/>
          <w:lang w:val="fr-CA"/>
        </w:rPr>
      </w:pPr>
      <w:r w:rsidRPr="00653C52">
        <w:rPr>
          <w:rFonts w:cs="Times New Roman"/>
          <w:lang w:val="fr-CA"/>
        </w:rPr>
        <w:t xml:space="preserve">L’objet général de la </w:t>
      </w:r>
      <w:r w:rsidRPr="00653C52">
        <w:rPr>
          <w:rFonts w:cs="Times New Roman"/>
          <w:i/>
          <w:lang w:val="fr-CA"/>
        </w:rPr>
        <w:t>Loi de 1991 sur l’arbitrage</w:t>
      </w:r>
      <w:r w:rsidRPr="00653C52">
        <w:rPr>
          <w:rFonts w:cs="Times New Roman"/>
          <w:lang w:val="fr-CA"/>
        </w:rPr>
        <w:t xml:space="preserve"> était de promouvoir l’accès à la justice. Le moyen choisi pour atteindre cet objectif consistait à favoriser l’accessibilité en donnant aux parties le choix de régler leurs différends en dehors du système judiciaire. Cette possibilité a été offerte en reconnaissance du fait que le système judiciaire peut être lent et coûteux. Le pouvoir discrétionnaire des tribunaux d’intervenir dans les affaires arbitrables a donc été restreint afin de favoriser la réalisation des objectifs du règlement opportun des différends.</w:t>
      </w:r>
    </w:p>
    <w:p w:rsidR="00B618DD" w:rsidRPr="00653C52" w:rsidRDefault="00B618DD" w:rsidP="00B618DD">
      <w:pPr>
        <w:pStyle w:val="ParaNoNdepar-AltN"/>
        <w:numPr>
          <w:ilvl w:val="0"/>
          <w:numId w:val="0"/>
        </w:numPr>
        <w:ind w:firstLine="1170"/>
        <w:rPr>
          <w:rFonts w:cs="Times New Roman"/>
          <w:lang w:val="fr-CA"/>
        </w:rPr>
      </w:pPr>
      <w:r w:rsidRPr="00653C52">
        <w:rPr>
          <w:rFonts w:cs="Times New Roman"/>
          <w:lang w:val="fr-CA"/>
        </w:rPr>
        <w:t xml:space="preserve">L’arbitrage se voulait un moyen permettant à des parties relativement égales en situation de négociation de choisir de créer un mécanisme extrajudiciaire de règlement des différends. On ne peut pas parler de « pouvoir de négociation égal » et d’« autonomie des parties » si la nature même du contrat révèle qu’une partie possède le pouvoir exclusif de décider du contenu du contrat. On ne saurait donc raisonnablement affirmer que les parties aux conventions d’arbitrage individuel obligatoire ont « pris place à la table » et négocié, car il n’y a pas de table de négociation. La signature de ces contrats par les particuliers et les sociétés est fonction non pas de choix négociés, mais d’une </w:t>
      </w:r>
      <w:r w:rsidRPr="00653C52">
        <w:rPr>
          <w:rFonts w:cs="Times New Roman"/>
          <w:i/>
          <w:lang w:val="fr-CA"/>
        </w:rPr>
        <w:t>absence</w:t>
      </w:r>
      <w:r w:rsidRPr="00653C52">
        <w:rPr>
          <w:rFonts w:cs="Times New Roman"/>
          <w:lang w:val="fr-CA"/>
        </w:rPr>
        <w:t xml:space="preserve"> de choix. Tous les clients de TELUS — tant les clients commerciaux que les clients consommateurs — ont signé le même contrat type non négociable. La clause d’arbitrage individuel de TELUS empêche en fait les clients commerciaux d’avoir accès à la justice lorsqu’une réclamation de faible valeur ne justifie pas la dépense. Son caractère obligatoire, en outre, indique que les principes sous</w:t>
      </w:r>
      <w:r w:rsidRPr="00653C52">
        <w:rPr>
          <w:rFonts w:cs="Times New Roman"/>
          <w:lang w:val="fr-CA"/>
        </w:rPr>
        <w:noBreakHyphen/>
        <w:t>jacents de l’autonomie des parties et de la liberté contractuelle brillent par leur absence.</w:t>
      </w:r>
    </w:p>
    <w:p w:rsidR="00B618DD" w:rsidRPr="00653C52" w:rsidRDefault="00B618DD" w:rsidP="00B618DD">
      <w:pPr>
        <w:pStyle w:val="ParaNoNdepar-AltN"/>
        <w:numPr>
          <w:ilvl w:val="0"/>
          <w:numId w:val="0"/>
        </w:numPr>
        <w:ind w:firstLine="1170"/>
        <w:rPr>
          <w:rFonts w:cs="Times New Roman"/>
          <w:lang w:val="fr-CA"/>
        </w:rPr>
      </w:pPr>
      <w:r w:rsidRPr="00653C52">
        <w:rPr>
          <w:rFonts w:cs="Times New Roman"/>
          <w:iCs/>
          <w:lang w:val="fr-CA"/>
        </w:rPr>
        <w:t xml:space="preserve">En insérant l’exigence du caractère raisonnable dans l’al. 7(5)b) de la </w:t>
      </w:r>
      <w:r w:rsidRPr="00653C52">
        <w:rPr>
          <w:rFonts w:cs="Times New Roman"/>
          <w:i/>
          <w:iCs/>
          <w:lang w:val="fr-CA"/>
        </w:rPr>
        <w:t>Loi de 1991 sur l’arbitrage</w:t>
      </w:r>
      <w:r w:rsidRPr="00653C52">
        <w:rPr>
          <w:rFonts w:cs="Times New Roman"/>
          <w:iCs/>
          <w:lang w:val="fr-CA"/>
        </w:rPr>
        <w:t>, le législateur provincial a manifestement prévu que, dans certains cas, il ne serait pas</w:t>
      </w:r>
      <w:r w:rsidRPr="00653C52">
        <w:rPr>
          <w:rFonts w:cs="Times New Roman"/>
          <w:i/>
          <w:iCs/>
          <w:lang w:val="fr-CA"/>
        </w:rPr>
        <w:t xml:space="preserve"> </w:t>
      </w:r>
      <w:r w:rsidRPr="00653C52">
        <w:rPr>
          <w:rFonts w:cs="Times New Roman"/>
          <w:iCs/>
          <w:lang w:val="fr-CA"/>
        </w:rPr>
        <w:t>raisonnable</w:t>
      </w:r>
      <w:r w:rsidRPr="00653C52">
        <w:rPr>
          <w:rFonts w:cs="Times New Roman"/>
          <w:i/>
          <w:iCs/>
          <w:lang w:val="fr-CA"/>
        </w:rPr>
        <w:t xml:space="preserve"> </w:t>
      </w:r>
      <w:r w:rsidRPr="00653C52">
        <w:rPr>
          <w:rFonts w:cs="Times New Roman"/>
          <w:iCs/>
          <w:lang w:val="fr-FR"/>
        </w:rPr>
        <w:t>de dissocier les questions traitées dans la convention d’arbitrage des autres questions</w:t>
      </w:r>
      <w:r w:rsidRPr="00653C52">
        <w:rPr>
          <w:rFonts w:cs="Times New Roman"/>
          <w:iCs/>
          <w:lang w:val="fr-CA"/>
        </w:rPr>
        <w:t>. L</w:t>
      </w:r>
      <w:r w:rsidRPr="00653C52">
        <w:rPr>
          <w:rFonts w:eastAsia="Times New Roman" w:cs="Times New Roman"/>
          <w:lang w:val="fr-CA"/>
        </w:rPr>
        <w:t xml:space="preserve">a possibilité d’avoir recours au pouvoir discrétionnaire prévu au </w:t>
      </w:r>
      <w:proofErr w:type="spellStart"/>
      <w:r w:rsidRPr="00653C52">
        <w:rPr>
          <w:rFonts w:eastAsia="Times New Roman" w:cs="Times New Roman"/>
          <w:lang w:val="fr-CA"/>
        </w:rPr>
        <w:t>par</w:t>
      </w:r>
      <w:proofErr w:type="spellEnd"/>
      <w:r w:rsidRPr="00653C52">
        <w:rPr>
          <w:rFonts w:eastAsia="Times New Roman" w:cs="Times New Roman"/>
          <w:lang w:val="fr-CA"/>
        </w:rPr>
        <w:t>. 7(5) n’a pas pour effet d’obliger les juges à permettre que l’instance relative à un recours collectif comportant des réclamations arbitrables se poursuive : ils peuvent simplement décider quand il est raisonnable de le faire. L’élimination de ce pouvoir discrétionnaire, par contre, réduit à néant l’accès à la justice.</w:t>
      </w:r>
      <w:r w:rsidRPr="00653C52">
        <w:rPr>
          <w:rFonts w:cs="Times New Roman"/>
          <w:iCs/>
          <w:lang w:val="fr-CA"/>
        </w:rPr>
        <w:t xml:space="preserve"> Dans ce contexte, le par. 7(5) doit être interprété de façon à conférer aux juges le pouvoir discrétionnaire de refuser de surseoir aux réclamations arbitrables s’il n’est pas raisonnable de les dissocier des réclamations non arbitrables. Cette interprétation s’applique tout autant lorsque l’instance oppose deux parties désignées ou plus que lorsqu’il s’agit d’un recours </w:t>
      </w:r>
      <w:r w:rsidRPr="00653C52">
        <w:rPr>
          <w:rFonts w:cs="Times New Roman"/>
          <w:lang w:val="fr-CA"/>
        </w:rPr>
        <w:t xml:space="preserve">collectif. Une interprétation du par. 7(5) de la </w:t>
      </w:r>
      <w:r w:rsidRPr="00653C52">
        <w:rPr>
          <w:rFonts w:cs="Times New Roman"/>
          <w:i/>
          <w:lang w:val="fr-CA"/>
        </w:rPr>
        <w:t>Loi de 1991 sur l’arbitrage</w:t>
      </w:r>
      <w:r w:rsidRPr="00653C52">
        <w:rPr>
          <w:rFonts w:cs="Times New Roman"/>
          <w:lang w:val="fr-CA"/>
        </w:rPr>
        <w:t xml:space="preserve"> qui permet que des questions par ailleurs arbitrables soient jointes aux recours collectifs afin d’éviter, dans l’intérêt public, le dédoublement des instances, des coûts plus élevés et le risque de résultats incohérents s’accorde avec le texte des dispositions et le régime créé par celles</w:t>
      </w:r>
      <w:r w:rsidRPr="00653C52">
        <w:rPr>
          <w:rFonts w:cs="Times New Roman"/>
          <w:lang w:val="fr-CA"/>
        </w:rPr>
        <w:noBreakHyphen/>
        <w:t xml:space="preserve">ci et est conforme non seulement aux objets ayant motivé l’adoption de la </w:t>
      </w:r>
      <w:r w:rsidRPr="00653C52">
        <w:rPr>
          <w:rFonts w:cs="Times New Roman"/>
          <w:i/>
          <w:lang w:val="fr-CA"/>
        </w:rPr>
        <w:t>Loi de 1991 sur l’arbitrage</w:t>
      </w:r>
      <w:r w:rsidRPr="00653C52">
        <w:rPr>
          <w:rFonts w:cs="Times New Roman"/>
          <w:lang w:val="fr-CA"/>
        </w:rPr>
        <w:t>, mais aussi à l’objet du par. 7(5) lui</w:t>
      </w:r>
      <w:r w:rsidRPr="00653C52">
        <w:rPr>
          <w:rFonts w:cs="Times New Roman"/>
          <w:lang w:val="fr-CA"/>
        </w:rPr>
        <w:noBreakHyphen/>
        <w:t>même.</w:t>
      </w:r>
    </w:p>
    <w:p w:rsidR="00B618DD" w:rsidRPr="00653C52" w:rsidRDefault="00B618DD" w:rsidP="00B618DD">
      <w:pPr>
        <w:pStyle w:val="Headnote"/>
        <w:ind w:firstLine="1170"/>
        <w:rPr>
          <w:lang w:val="fr-CA" w:bidi="en-US"/>
        </w:rPr>
      </w:pPr>
      <w:r w:rsidRPr="00653C52">
        <w:rPr>
          <w:lang w:val="fr-CA"/>
        </w:rPr>
        <w:t xml:space="preserve">L’interprétation préconisée par TELUS donnerait lieu à des examens des faits longs et coûteux quant à la façon dont les réclamations arbitrables seraient dissociées de celles qui ne le sont pas, même lorsque le fond des réclamations est identique, comme en l’espèce. Les deux parties ont reconnu les difficultés éventuelles que peut susciter le fait d’établir une distinction entre le « consommateur » au sens de la </w:t>
      </w:r>
      <w:r w:rsidRPr="00653C52">
        <w:rPr>
          <w:i/>
          <w:lang w:val="fr-CA"/>
        </w:rPr>
        <w:t>Loi sur la protection du consommateur</w:t>
      </w:r>
      <w:r w:rsidRPr="00653C52">
        <w:rPr>
          <w:lang w:val="fr-CA"/>
        </w:rPr>
        <w:t xml:space="preserve">, qui échappe à l’arbitrage, et le client commercial, qui n’y échappe pas. Cette distinction pourrait être particulièrement difficile à établir pour les personnes qui utilisent leur téléphone cellulaire tant à des fins personnelles que dans le cadre de leur entreprise. Établir si ces personnes tombent sous le coup de l’exception prévue dans la </w:t>
      </w:r>
      <w:r w:rsidRPr="00653C52">
        <w:rPr>
          <w:i/>
          <w:lang w:val="fr-CA"/>
        </w:rPr>
        <w:t>Loi sur la protection du consommateur</w:t>
      </w:r>
      <w:r w:rsidRPr="00653C52">
        <w:rPr>
          <w:lang w:val="fr-CA"/>
        </w:rPr>
        <w:t xml:space="preserve"> rendrait l’analyse inutilement plus complexe.</w:t>
      </w:r>
    </w:p>
    <w:p w:rsidR="00B618DD" w:rsidRPr="00653C52" w:rsidRDefault="00B618DD" w:rsidP="00B618DD">
      <w:pPr>
        <w:pStyle w:val="ParaNoNdepar-AltN"/>
        <w:numPr>
          <w:ilvl w:val="0"/>
          <w:numId w:val="0"/>
        </w:numPr>
        <w:ind w:firstLine="1170"/>
        <w:rPr>
          <w:rFonts w:cs="Times New Roman"/>
          <w:lang w:val="fr-CA"/>
        </w:rPr>
      </w:pPr>
      <w:r w:rsidRPr="00653C52">
        <w:rPr>
          <w:rFonts w:cs="Times New Roman"/>
          <w:lang w:val="fr-CA"/>
        </w:rPr>
        <w:t xml:space="preserve">L’objet de la </w:t>
      </w:r>
      <w:r w:rsidRPr="00653C52">
        <w:rPr>
          <w:rFonts w:cs="Times New Roman"/>
          <w:i/>
          <w:lang w:val="fr-CA"/>
        </w:rPr>
        <w:t>Loi de 1991 sur l’arbitrage</w:t>
      </w:r>
      <w:r w:rsidRPr="00653C52">
        <w:rPr>
          <w:rFonts w:cs="Times New Roman"/>
          <w:lang w:val="fr-CA"/>
        </w:rPr>
        <w:t xml:space="preserve"> était d’accroître la capacité des parties de négocier leur propre processus de règlement extrajudiciaire des différends, en partant du principe que l’accès à la justice avait autant à voir avec l’accès à un résultat qu’avec l’accès à un juge. Imposer l’arbitrage à des parties qui n’en veulent pas va à l’encontre de l’esprit de la </w:t>
      </w:r>
      <w:r w:rsidRPr="00653C52">
        <w:rPr>
          <w:rFonts w:cs="Times New Roman"/>
          <w:i/>
          <w:lang w:val="fr-CA"/>
        </w:rPr>
        <w:t xml:space="preserve">Loi de 1991 sur l’arbitrage </w:t>
      </w:r>
      <w:r w:rsidRPr="00653C52">
        <w:rPr>
          <w:rFonts w:cs="Times New Roman"/>
          <w:lang w:val="fr-CA"/>
        </w:rPr>
        <w:t xml:space="preserve">et du processus arbitral. Cela tient lieu de barrière invisible, mais énorme, à la réparation et fait en sorte que les auteurs d’actes répréhensibles sont présumés soustraits à leur responsabilité, contrairement à nos notions les plus fondamentales de justice civile. L’alinéa 7(5)b) de la </w:t>
      </w:r>
      <w:r w:rsidRPr="00653C52">
        <w:rPr>
          <w:rFonts w:cs="Times New Roman"/>
          <w:i/>
          <w:lang w:val="fr-CA"/>
        </w:rPr>
        <w:t>Loi de 1991 sur l’arbitrage</w:t>
      </w:r>
      <w:r w:rsidRPr="00653C52">
        <w:rPr>
          <w:rFonts w:cs="Times New Roman"/>
          <w:lang w:val="fr-CA"/>
        </w:rPr>
        <w:t xml:space="preserve"> conférait à la juge des requêtes le pouvoir discrétionnaire de décider s’il était raisonnable de dissocier les questions traitées dans la convention (les réclamations des clients commerciaux) des autres questions (les réclamations des consommateurs). Le pouvoir discrétionnaire dans la présente affaire a été correctement exercé pour permettre la jonction des réclamations des clients commerciaux au recours collectif intenté par des consommateurs et traitant des mêmes questions.</w:t>
      </w:r>
    </w:p>
    <w:p w:rsidR="00B618DD" w:rsidRPr="00653C52" w:rsidRDefault="00B618DD" w:rsidP="00B618DD">
      <w:pPr>
        <w:pStyle w:val="SCCNormalDoubleSpacing"/>
        <w:keepLines/>
        <w:spacing w:after="720" w:line="240" w:lineRule="auto"/>
        <w:rPr>
          <w:b/>
          <w:lang w:val="fr-CA"/>
        </w:rPr>
      </w:pPr>
      <w:r w:rsidRPr="00653C52">
        <w:rPr>
          <w:b/>
          <w:lang w:val="fr-CA"/>
        </w:rPr>
        <w:t>Jurisprudence</w:t>
      </w:r>
    </w:p>
    <w:p w:rsidR="00B618DD" w:rsidRPr="00653C52" w:rsidRDefault="00B618DD" w:rsidP="00B618DD">
      <w:pPr>
        <w:spacing w:after="720"/>
        <w:rPr>
          <w:lang w:val="fr-CA"/>
        </w:rPr>
      </w:pPr>
      <w:r w:rsidRPr="00653C52">
        <w:rPr>
          <w:lang w:val="fr-CA"/>
        </w:rPr>
        <w:t xml:space="preserve">Citée par le juge </w:t>
      </w:r>
      <w:proofErr w:type="spellStart"/>
      <w:r w:rsidRPr="00653C52">
        <w:rPr>
          <w:lang w:val="fr-CA"/>
        </w:rPr>
        <w:t>Moldaver</w:t>
      </w:r>
      <w:proofErr w:type="spellEnd"/>
    </w:p>
    <w:p w:rsidR="00B618DD" w:rsidRPr="00C93A6C" w:rsidRDefault="00B618DD" w:rsidP="00B618DD">
      <w:pPr>
        <w:tabs>
          <w:tab w:val="right" w:pos="1170"/>
        </w:tabs>
        <w:spacing w:after="480" w:line="480" w:lineRule="auto"/>
        <w:ind w:firstLine="1170"/>
        <w:jc w:val="both"/>
        <w:rPr>
          <w:lang w:val="en-US"/>
        </w:rPr>
      </w:pPr>
      <w:r w:rsidRPr="00653C52">
        <w:rPr>
          <w:b/>
          <w:lang w:val="fr-CA"/>
        </w:rPr>
        <w:t>Arrêts examinés :</w:t>
      </w:r>
      <w:r w:rsidRPr="00653C52">
        <w:rPr>
          <w:lang w:val="fr-CA"/>
        </w:rPr>
        <w:t xml:space="preserve"> </w:t>
      </w:r>
      <w:r w:rsidRPr="00653C52">
        <w:rPr>
          <w:i/>
          <w:lang w:val="fr-CA"/>
        </w:rPr>
        <w:t>Griffin c. Dell Canada Inc.</w:t>
      </w:r>
      <w:r w:rsidRPr="00653C52">
        <w:rPr>
          <w:lang w:val="fr-CA"/>
        </w:rPr>
        <w:t>,</w:t>
      </w:r>
      <w:r>
        <w:rPr>
          <w:lang w:val="fr-CA"/>
        </w:rPr>
        <w:t xml:space="preserve"> 2010 ONCA 29, 98 O.R. (3d) 481; </w:t>
      </w:r>
      <w:r w:rsidRPr="00653C52">
        <w:rPr>
          <w:i/>
          <w:lang w:val="fr-CA"/>
        </w:rPr>
        <w:t>Seidel c. TELUS Communications Inc.</w:t>
      </w:r>
      <w:r w:rsidRPr="00653C52">
        <w:rPr>
          <w:lang w:val="fr-CA"/>
        </w:rPr>
        <w:t>, 2011 CSC 15, [2011] 1 R.C.S. 531;</w:t>
      </w:r>
      <w:r w:rsidRPr="00653C52">
        <w:rPr>
          <w:i/>
          <w:lang w:val="fr-CA"/>
        </w:rPr>
        <w:t xml:space="preserve"> </w:t>
      </w:r>
      <w:r>
        <w:rPr>
          <w:b/>
          <w:lang w:val="fr-CA"/>
        </w:rPr>
        <w:t>arrêts mentionnés</w:t>
      </w:r>
      <w:r w:rsidRPr="00653C52">
        <w:rPr>
          <w:b/>
          <w:lang w:val="fr-CA"/>
        </w:rPr>
        <w:t> :</w:t>
      </w:r>
      <w:r>
        <w:rPr>
          <w:b/>
          <w:lang w:val="fr-CA"/>
        </w:rPr>
        <w:t xml:space="preserve"> </w:t>
      </w:r>
      <w:proofErr w:type="spellStart"/>
      <w:r w:rsidRPr="00653C52">
        <w:rPr>
          <w:i/>
          <w:lang w:val="fr-CA"/>
        </w:rPr>
        <w:t>Corless</w:t>
      </w:r>
      <w:proofErr w:type="spellEnd"/>
      <w:r w:rsidRPr="00653C52">
        <w:rPr>
          <w:i/>
          <w:lang w:val="fr-CA"/>
        </w:rPr>
        <w:t xml:space="preserve"> c. Bell </w:t>
      </w:r>
      <w:proofErr w:type="spellStart"/>
      <w:r w:rsidRPr="00653C52">
        <w:rPr>
          <w:i/>
          <w:lang w:val="fr-CA"/>
        </w:rPr>
        <w:t>Mobility</w:t>
      </w:r>
      <w:proofErr w:type="spellEnd"/>
      <w:r w:rsidRPr="00653C52">
        <w:rPr>
          <w:i/>
          <w:lang w:val="fr-CA"/>
        </w:rPr>
        <w:t xml:space="preserve"> Inc.</w:t>
      </w:r>
      <w:r w:rsidRPr="00653C52">
        <w:rPr>
          <w:lang w:val="fr-CA"/>
        </w:rPr>
        <w:t xml:space="preserve">, 2015 ONSC 7682; </w:t>
      </w:r>
      <w:proofErr w:type="spellStart"/>
      <w:r w:rsidRPr="00653C52">
        <w:rPr>
          <w:i/>
          <w:lang w:val="fr-CA"/>
        </w:rPr>
        <w:t>Bisaillon</w:t>
      </w:r>
      <w:proofErr w:type="spellEnd"/>
      <w:r w:rsidRPr="00653C52">
        <w:rPr>
          <w:i/>
          <w:lang w:val="fr-CA"/>
        </w:rPr>
        <w:t xml:space="preserve"> c. Université Concordia</w:t>
      </w:r>
      <w:r w:rsidRPr="00653C52">
        <w:rPr>
          <w:lang w:val="fr-CA"/>
        </w:rPr>
        <w:t xml:space="preserve">, 2006 CSC 19, [2006] 1 R.C.S. 666; </w:t>
      </w:r>
      <w:r w:rsidRPr="00653C52">
        <w:rPr>
          <w:i/>
          <w:lang w:val="fr-CA"/>
        </w:rPr>
        <w:t>Compagnie des chemins de fer nationaux du Canada c. Canada (Procureur général)</w:t>
      </w:r>
      <w:r w:rsidRPr="00653C52">
        <w:rPr>
          <w:lang w:val="fr-CA"/>
        </w:rPr>
        <w:t>, 2014 CSC 40, [2014] 2 R.C.S. 135;</w:t>
      </w:r>
      <w:r w:rsidRPr="00653C52">
        <w:rPr>
          <w:i/>
          <w:lang w:val="fr-CA"/>
        </w:rPr>
        <w:t xml:space="preserve"> </w:t>
      </w:r>
      <w:proofErr w:type="spellStart"/>
      <w:r w:rsidRPr="00653C52">
        <w:rPr>
          <w:i/>
          <w:lang w:val="fr-CA"/>
        </w:rPr>
        <w:t>Housen</w:t>
      </w:r>
      <w:proofErr w:type="spellEnd"/>
      <w:r w:rsidRPr="00653C52">
        <w:rPr>
          <w:i/>
          <w:lang w:val="fr-CA"/>
        </w:rPr>
        <w:t xml:space="preserve"> c. </w:t>
      </w:r>
      <w:proofErr w:type="spellStart"/>
      <w:r w:rsidRPr="00653C52">
        <w:rPr>
          <w:i/>
          <w:lang w:val="fr-CA"/>
        </w:rPr>
        <w:t>Nikolaisen</w:t>
      </w:r>
      <w:proofErr w:type="spellEnd"/>
      <w:r w:rsidRPr="00653C52">
        <w:rPr>
          <w:lang w:val="fr-CA"/>
        </w:rPr>
        <w:t>, 2002 CSC 33, [2002] 2 R.C.S. 235;</w:t>
      </w:r>
      <w:r w:rsidRPr="00653C52">
        <w:rPr>
          <w:i/>
          <w:lang w:val="fr-CA"/>
        </w:rPr>
        <w:t xml:space="preserve"> </w:t>
      </w:r>
      <w:proofErr w:type="spellStart"/>
      <w:r w:rsidRPr="00653C52">
        <w:rPr>
          <w:i/>
          <w:lang w:val="fr-CA"/>
        </w:rPr>
        <w:t>Radewych</w:t>
      </w:r>
      <w:proofErr w:type="spellEnd"/>
      <w:r w:rsidRPr="00653C52">
        <w:rPr>
          <w:i/>
          <w:lang w:val="fr-CA"/>
        </w:rPr>
        <w:t xml:space="preserve"> c. </w:t>
      </w:r>
      <w:proofErr w:type="spellStart"/>
      <w:r w:rsidRPr="00653C52">
        <w:rPr>
          <w:i/>
          <w:lang w:val="fr-CA"/>
        </w:rPr>
        <w:t>Brookfield</w:t>
      </w:r>
      <w:proofErr w:type="spellEnd"/>
      <w:r w:rsidRPr="00653C52">
        <w:rPr>
          <w:i/>
          <w:lang w:val="fr-CA"/>
        </w:rPr>
        <w:t xml:space="preserve"> Homes (Ontario) Ltd.</w:t>
      </w:r>
      <w:r w:rsidRPr="00653C52">
        <w:rPr>
          <w:lang w:val="fr-CA"/>
        </w:rPr>
        <w:t xml:space="preserve">, 2007 </w:t>
      </w:r>
      <w:proofErr w:type="spellStart"/>
      <w:r w:rsidRPr="00653C52">
        <w:rPr>
          <w:lang w:val="fr-CA"/>
        </w:rPr>
        <w:t>CanLII</w:t>
      </w:r>
      <w:proofErr w:type="spellEnd"/>
      <w:r w:rsidRPr="00653C52">
        <w:rPr>
          <w:lang w:val="fr-CA"/>
        </w:rPr>
        <w:t xml:space="preserve"> 23358, </w:t>
      </w:r>
      <w:proofErr w:type="spellStart"/>
      <w:r w:rsidRPr="00653C52">
        <w:rPr>
          <w:lang w:val="fr-CA"/>
        </w:rPr>
        <w:t>conf</w:t>
      </w:r>
      <w:proofErr w:type="spellEnd"/>
      <w:r w:rsidRPr="00653C52">
        <w:rPr>
          <w:lang w:val="fr-CA"/>
        </w:rPr>
        <w:t xml:space="preserve">. </w:t>
      </w:r>
      <w:proofErr w:type="gramStart"/>
      <w:r w:rsidRPr="00653C52">
        <w:rPr>
          <w:lang w:val="fr-CA"/>
        </w:rPr>
        <w:t>par</w:t>
      </w:r>
      <w:proofErr w:type="gramEnd"/>
      <w:r w:rsidRPr="00653C52">
        <w:rPr>
          <w:lang w:val="fr-CA"/>
        </w:rPr>
        <w:t xml:space="preserve"> 2007 ONCA 721;</w:t>
      </w:r>
      <w:r w:rsidRPr="00653C52">
        <w:rPr>
          <w:i/>
          <w:lang w:val="fr-CA"/>
        </w:rPr>
        <w:t xml:space="preserve"> Johnston c. </w:t>
      </w:r>
      <w:proofErr w:type="spellStart"/>
      <w:r w:rsidRPr="00653C52">
        <w:rPr>
          <w:i/>
          <w:lang w:val="fr-CA"/>
        </w:rPr>
        <w:t>Goudie</w:t>
      </w:r>
      <w:proofErr w:type="spellEnd"/>
      <w:r w:rsidRPr="00653C52">
        <w:rPr>
          <w:lang w:val="fr-CA"/>
        </w:rPr>
        <w:t xml:space="preserve"> (2006), 212 O.A.C. 79;</w:t>
      </w:r>
      <w:r w:rsidRPr="00653C52">
        <w:rPr>
          <w:i/>
          <w:lang w:val="fr-CA"/>
        </w:rPr>
        <w:t xml:space="preserve"> Penn</w:t>
      </w:r>
      <w:r w:rsidRPr="00653C52">
        <w:rPr>
          <w:i/>
          <w:lang w:val="fr-CA"/>
        </w:rPr>
        <w:noBreakHyphen/>
        <w:t xml:space="preserve">Co Construction Canada (2003) Ltd. c. Constance Lake First Nation </w:t>
      </w:r>
      <w:r w:rsidRPr="00653C52">
        <w:rPr>
          <w:lang w:val="fr-CA"/>
        </w:rPr>
        <w:t xml:space="preserve">(2007), 66 C.L.R. (3d) 78, </w:t>
      </w:r>
      <w:proofErr w:type="spellStart"/>
      <w:r w:rsidRPr="00653C52">
        <w:rPr>
          <w:lang w:val="fr-CA"/>
        </w:rPr>
        <w:t>conf</w:t>
      </w:r>
      <w:proofErr w:type="spellEnd"/>
      <w:r w:rsidRPr="00653C52">
        <w:rPr>
          <w:lang w:val="fr-CA"/>
        </w:rPr>
        <w:t>. par 2008 ONCA 768, 76 C.L.R. (3d) 1;</w:t>
      </w:r>
      <w:r w:rsidRPr="00653C52">
        <w:rPr>
          <w:i/>
          <w:lang w:val="fr-CA"/>
        </w:rPr>
        <w:t xml:space="preserve"> </w:t>
      </w:r>
      <w:proofErr w:type="spellStart"/>
      <w:r w:rsidRPr="00653C52">
        <w:rPr>
          <w:i/>
          <w:lang w:val="fr-CA"/>
        </w:rPr>
        <w:t>Frambordeaux</w:t>
      </w:r>
      <w:proofErr w:type="spellEnd"/>
      <w:r w:rsidRPr="00653C52">
        <w:rPr>
          <w:i/>
          <w:lang w:val="fr-CA"/>
        </w:rPr>
        <w:t xml:space="preserve"> </w:t>
      </w:r>
      <w:proofErr w:type="spellStart"/>
      <w:r w:rsidRPr="00653C52">
        <w:rPr>
          <w:i/>
          <w:lang w:val="fr-CA"/>
        </w:rPr>
        <w:t>Developments</w:t>
      </w:r>
      <w:proofErr w:type="spellEnd"/>
      <w:r w:rsidRPr="00653C52">
        <w:rPr>
          <w:i/>
          <w:lang w:val="fr-CA"/>
        </w:rPr>
        <w:t xml:space="preserve"> Inc. c. </w:t>
      </w:r>
      <w:proofErr w:type="spellStart"/>
      <w:r w:rsidRPr="00653C52">
        <w:rPr>
          <w:i/>
          <w:lang w:val="fr-CA"/>
        </w:rPr>
        <w:t>Romandale</w:t>
      </w:r>
      <w:proofErr w:type="spellEnd"/>
      <w:r w:rsidRPr="00653C52">
        <w:rPr>
          <w:i/>
          <w:lang w:val="fr-CA"/>
        </w:rPr>
        <w:t xml:space="preserve"> </w:t>
      </w:r>
      <w:proofErr w:type="spellStart"/>
      <w:r w:rsidRPr="00653C52">
        <w:rPr>
          <w:i/>
          <w:lang w:val="fr-CA"/>
        </w:rPr>
        <w:t>Farms</w:t>
      </w:r>
      <w:proofErr w:type="spellEnd"/>
      <w:r w:rsidRPr="00653C52">
        <w:rPr>
          <w:i/>
          <w:lang w:val="fr-CA"/>
        </w:rPr>
        <w:t xml:space="preserve"> Ltd.</w:t>
      </w:r>
      <w:r w:rsidRPr="00653C52">
        <w:rPr>
          <w:lang w:val="fr-CA"/>
        </w:rPr>
        <w:t xml:space="preserve">, 2007 </w:t>
      </w:r>
      <w:proofErr w:type="spellStart"/>
      <w:r w:rsidRPr="00653C52">
        <w:rPr>
          <w:lang w:val="fr-CA"/>
        </w:rPr>
        <w:t>CanLII</w:t>
      </w:r>
      <w:proofErr w:type="spellEnd"/>
      <w:r w:rsidRPr="00653C52">
        <w:rPr>
          <w:lang w:val="fr-CA"/>
        </w:rPr>
        <w:t xml:space="preserve"> 55364;</w:t>
      </w:r>
      <w:r w:rsidRPr="00653C52">
        <w:rPr>
          <w:i/>
          <w:lang w:val="fr-CA"/>
        </w:rPr>
        <w:t xml:space="preserve"> New </w:t>
      </w:r>
      <w:proofErr w:type="spellStart"/>
      <w:r w:rsidRPr="00653C52">
        <w:rPr>
          <w:i/>
          <w:lang w:val="fr-CA"/>
        </w:rPr>
        <w:t>Era</w:t>
      </w:r>
      <w:proofErr w:type="spellEnd"/>
      <w:r w:rsidRPr="00653C52">
        <w:rPr>
          <w:i/>
          <w:lang w:val="fr-CA"/>
        </w:rPr>
        <w:t xml:space="preserve"> Nutrition Inc. c. Balance Bar Co.</w:t>
      </w:r>
      <w:r w:rsidRPr="00653C52">
        <w:rPr>
          <w:lang w:val="fr-CA"/>
        </w:rPr>
        <w:t>, 2004 ABCA 280, 357 A.R. 184;</w:t>
      </w:r>
      <w:r w:rsidRPr="00653C52">
        <w:rPr>
          <w:i/>
          <w:lang w:val="fr-CA"/>
        </w:rPr>
        <w:t xml:space="preserve"> Griffin c. Dell Canada Inc. </w:t>
      </w:r>
      <w:r w:rsidRPr="00653C52">
        <w:rPr>
          <w:lang w:val="fr-CA"/>
        </w:rPr>
        <w:t xml:space="preserve">(2009), 72 C.P.C. (6th) 158; </w:t>
      </w:r>
      <w:r w:rsidRPr="00653C52">
        <w:rPr>
          <w:i/>
          <w:lang w:val="fr-CA"/>
        </w:rPr>
        <w:t>Dell Computer Corp. c. Union des consommateurs</w:t>
      </w:r>
      <w:r w:rsidRPr="00653C52">
        <w:rPr>
          <w:lang w:val="fr-CA"/>
        </w:rPr>
        <w:t>, 2007 CSC 34, [2007] 2 R.C.S. 801;</w:t>
      </w:r>
      <w:r w:rsidRPr="00653C52">
        <w:rPr>
          <w:i/>
          <w:lang w:val="fr-CA"/>
        </w:rPr>
        <w:t xml:space="preserve"> Rogers Sans</w:t>
      </w:r>
      <w:r w:rsidRPr="00653C52">
        <w:rPr>
          <w:i/>
          <w:lang w:val="fr-CA"/>
        </w:rPr>
        <w:noBreakHyphen/>
        <w:t xml:space="preserve">fil </w:t>
      </w:r>
      <w:proofErr w:type="spellStart"/>
      <w:r w:rsidRPr="00653C52">
        <w:rPr>
          <w:i/>
          <w:lang w:val="fr-CA"/>
        </w:rPr>
        <w:t>inc.</w:t>
      </w:r>
      <w:proofErr w:type="spellEnd"/>
      <w:r w:rsidRPr="00653C52">
        <w:rPr>
          <w:i/>
          <w:lang w:val="fr-CA"/>
        </w:rPr>
        <w:t xml:space="preserve"> c. </w:t>
      </w:r>
      <w:proofErr w:type="spellStart"/>
      <w:r w:rsidRPr="00653C52">
        <w:rPr>
          <w:i/>
          <w:lang w:val="fr-CA"/>
        </w:rPr>
        <w:t>Muroff</w:t>
      </w:r>
      <w:proofErr w:type="spellEnd"/>
      <w:r w:rsidRPr="00653C52">
        <w:rPr>
          <w:lang w:val="fr-CA"/>
        </w:rPr>
        <w:t>, 2007 CSC 35, [2007] 2 R.C.S. 921;</w:t>
      </w:r>
      <w:r w:rsidRPr="00653C52">
        <w:rPr>
          <w:i/>
          <w:lang w:val="fr-CA"/>
        </w:rPr>
        <w:t xml:space="preserve"> </w:t>
      </w:r>
      <w:proofErr w:type="spellStart"/>
      <w:r w:rsidRPr="00653C52">
        <w:rPr>
          <w:i/>
          <w:lang w:val="fr-CA"/>
        </w:rPr>
        <w:t>GreCon</w:t>
      </w:r>
      <w:proofErr w:type="spellEnd"/>
      <w:r w:rsidRPr="00653C52">
        <w:rPr>
          <w:i/>
          <w:lang w:val="fr-CA"/>
        </w:rPr>
        <w:t xml:space="preserve"> </w:t>
      </w:r>
      <w:proofErr w:type="spellStart"/>
      <w:r w:rsidRPr="00653C52">
        <w:rPr>
          <w:i/>
          <w:lang w:val="fr-CA"/>
        </w:rPr>
        <w:t>Dimter</w:t>
      </w:r>
      <w:proofErr w:type="spellEnd"/>
      <w:r w:rsidRPr="00653C52">
        <w:rPr>
          <w:i/>
          <w:lang w:val="fr-CA"/>
        </w:rPr>
        <w:t xml:space="preserve"> </w:t>
      </w:r>
      <w:proofErr w:type="spellStart"/>
      <w:r w:rsidRPr="00653C52">
        <w:rPr>
          <w:i/>
          <w:lang w:val="fr-CA"/>
        </w:rPr>
        <w:t>inc.</w:t>
      </w:r>
      <w:proofErr w:type="spellEnd"/>
      <w:r w:rsidRPr="00653C52">
        <w:rPr>
          <w:i/>
          <w:lang w:val="fr-CA"/>
        </w:rPr>
        <w:t xml:space="preserve"> c. J.R. Normand </w:t>
      </w:r>
      <w:proofErr w:type="spellStart"/>
      <w:r w:rsidRPr="00653C52">
        <w:rPr>
          <w:i/>
          <w:lang w:val="fr-CA"/>
        </w:rPr>
        <w:t>inc.</w:t>
      </w:r>
      <w:proofErr w:type="spellEnd"/>
      <w:r w:rsidRPr="00653C52">
        <w:rPr>
          <w:lang w:val="fr-CA"/>
        </w:rPr>
        <w:t>, 2005 CSC 46, [2005] 2 R.C.S. 401;</w:t>
      </w:r>
      <w:r w:rsidRPr="00653C52">
        <w:rPr>
          <w:i/>
          <w:lang w:val="fr-CA"/>
        </w:rPr>
        <w:t xml:space="preserve"> </w:t>
      </w:r>
      <w:proofErr w:type="spellStart"/>
      <w:r w:rsidRPr="00653C52">
        <w:rPr>
          <w:i/>
          <w:lang w:val="fr-CA"/>
        </w:rPr>
        <w:t>Desputeaux</w:t>
      </w:r>
      <w:proofErr w:type="spellEnd"/>
      <w:r w:rsidRPr="00653C52">
        <w:rPr>
          <w:i/>
          <w:lang w:val="fr-CA"/>
        </w:rPr>
        <w:t xml:space="preserve"> c. Éditions Chouette (1987) </w:t>
      </w:r>
      <w:proofErr w:type="spellStart"/>
      <w:r w:rsidRPr="00653C52">
        <w:rPr>
          <w:i/>
          <w:lang w:val="fr-CA"/>
        </w:rPr>
        <w:t>inc.</w:t>
      </w:r>
      <w:proofErr w:type="spellEnd"/>
      <w:r w:rsidRPr="00653C52">
        <w:rPr>
          <w:lang w:val="fr-CA"/>
        </w:rPr>
        <w:t>, 2003 CSC 17, [2003] 1 R.C.S. 178;</w:t>
      </w:r>
      <w:r w:rsidRPr="00653C52">
        <w:rPr>
          <w:i/>
          <w:lang w:val="fr-CA"/>
        </w:rPr>
        <w:t xml:space="preserve"> Bell </w:t>
      </w:r>
      <w:proofErr w:type="spellStart"/>
      <w:r w:rsidRPr="00653C52">
        <w:rPr>
          <w:i/>
          <w:lang w:val="fr-CA"/>
        </w:rPr>
        <w:t>ExpressVu</w:t>
      </w:r>
      <w:proofErr w:type="spellEnd"/>
      <w:r w:rsidRPr="00653C52">
        <w:rPr>
          <w:i/>
          <w:lang w:val="fr-CA"/>
        </w:rPr>
        <w:t xml:space="preserve"> Limited </w:t>
      </w:r>
      <w:proofErr w:type="spellStart"/>
      <w:r w:rsidRPr="00653C52">
        <w:rPr>
          <w:i/>
          <w:lang w:val="fr-CA"/>
        </w:rPr>
        <w:t>Partnership</w:t>
      </w:r>
      <w:proofErr w:type="spellEnd"/>
      <w:r w:rsidRPr="00653C52">
        <w:rPr>
          <w:i/>
          <w:lang w:val="fr-CA"/>
        </w:rPr>
        <w:t xml:space="preserve"> c. Rex</w:t>
      </w:r>
      <w:r w:rsidRPr="00653C52">
        <w:rPr>
          <w:lang w:val="fr-CA"/>
        </w:rPr>
        <w:t xml:space="preserve">, 2002 CSC 42, [2002] 2 R.C.S. 559; </w:t>
      </w:r>
      <w:proofErr w:type="spellStart"/>
      <w:r w:rsidRPr="00653C52">
        <w:rPr>
          <w:rStyle w:val="solexhl"/>
          <w:rFonts w:eastAsiaTheme="majorEastAsia"/>
          <w:i/>
          <w:iCs/>
          <w:lang w:val="fr-CA"/>
        </w:rPr>
        <w:t>Re</w:t>
      </w:r>
      <w:proofErr w:type="spellEnd"/>
      <w:r w:rsidRPr="00653C52">
        <w:rPr>
          <w:rStyle w:val="solexhl"/>
          <w:rFonts w:eastAsiaTheme="majorEastAsia"/>
          <w:i/>
          <w:iCs/>
          <w:lang w:val="fr-CA"/>
        </w:rPr>
        <w:t xml:space="preserve"> </w:t>
      </w:r>
      <w:proofErr w:type="spellStart"/>
      <w:r w:rsidRPr="00653C52">
        <w:rPr>
          <w:rStyle w:val="solexhl"/>
          <w:rFonts w:eastAsiaTheme="majorEastAsia"/>
          <w:i/>
          <w:iCs/>
          <w:lang w:val="fr-CA"/>
        </w:rPr>
        <w:t>Rootes</w:t>
      </w:r>
      <w:proofErr w:type="spellEnd"/>
      <w:r w:rsidRPr="00653C52">
        <w:rPr>
          <w:i/>
          <w:iCs/>
          <w:lang w:val="fr-CA"/>
        </w:rPr>
        <w:t xml:space="preserve"> Motors (Canada) Ltd. and </w:t>
      </w:r>
      <w:proofErr w:type="spellStart"/>
      <w:r w:rsidRPr="00653C52">
        <w:rPr>
          <w:i/>
          <w:iCs/>
          <w:lang w:val="fr-CA"/>
        </w:rPr>
        <w:t>Wm</w:t>
      </w:r>
      <w:proofErr w:type="spellEnd"/>
      <w:r w:rsidRPr="00653C52">
        <w:rPr>
          <w:i/>
          <w:iCs/>
          <w:lang w:val="fr-CA"/>
        </w:rPr>
        <w:t xml:space="preserve">. </w:t>
      </w:r>
      <w:r w:rsidRPr="00653C52">
        <w:rPr>
          <w:i/>
          <w:iCs/>
        </w:rPr>
        <w:t>Halliday Contracting Co.</w:t>
      </w:r>
      <w:r w:rsidRPr="00653C52">
        <w:t xml:space="preserve">, [1952] 4 D.L.R. 300; </w:t>
      </w:r>
      <w:r w:rsidRPr="00653C52">
        <w:rPr>
          <w:i/>
        </w:rPr>
        <w:t>Ontario Hydro c. Denison Mines Ltd.</w:t>
      </w:r>
      <w:r w:rsidRPr="00653C52">
        <w:t xml:space="preserve">, 1992 </w:t>
      </w:r>
      <w:proofErr w:type="spellStart"/>
      <w:r w:rsidRPr="00653C52">
        <w:t>CarswellOnt</w:t>
      </w:r>
      <w:proofErr w:type="spellEnd"/>
      <w:r w:rsidRPr="00653C52">
        <w:t xml:space="preserve"> 3497;</w:t>
      </w:r>
      <w:r w:rsidRPr="00653C52">
        <w:rPr>
          <w:i/>
        </w:rPr>
        <w:t xml:space="preserve"> Astoria Medical Group c. Health Insurance Plan of Greater New York</w:t>
      </w:r>
      <w:r w:rsidRPr="00653C52">
        <w:t>, 182 N.E.2d 85 (1962);</w:t>
      </w:r>
      <w:r w:rsidRPr="00653C52">
        <w:rPr>
          <w:i/>
        </w:rPr>
        <w:t xml:space="preserve"> Re Arbitration Act</w:t>
      </w:r>
      <w:r w:rsidRPr="00653C52">
        <w:t xml:space="preserve"> (1964), 47 W.W.R. 544;</w:t>
      </w:r>
      <w:r w:rsidRPr="00653C52">
        <w:rPr>
          <w:i/>
        </w:rPr>
        <w:t xml:space="preserve"> Haas c. </w:t>
      </w:r>
      <w:proofErr w:type="spellStart"/>
      <w:r w:rsidRPr="00653C52">
        <w:rPr>
          <w:i/>
        </w:rPr>
        <w:t>Gunasekaram</w:t>
      </w:r>
      <w:proofErr w:type="spellEnd"/>
      <w:r w:rsidRPr="00653C52">
        <w:t>, 2016 ONCA 744, 62 B.L.R. (5th) 1;</w:t>
      </w:r>
      <w:r w:rsidRPr="00653C52">
        <w:rPr>
          <w:i/>
          <w:lang w:val="en-US"/>
        </w:rPr>
        <w:t xml:space="preserve"> </w:t>
      </w:r>
      <w:proofErr w:type="spellStart"/>
      <w:r w:rsidRPr="00653C52">
        <w:rPr>
          <w:i/>
          <w:lang w:val="en-US"/>
        </w:rPr>
        <w:t>Inforica</w:t>
      </w:r>
      <w:proofErr w:type="spellEnd"/>
      <w:r w:rsidRPr="00653C52">
        <w:rPr>
          <w:i/>
          <w:lang w:val="en-US"/>
        </w:rPr>
        <w:t xml:space="preserve"> Inc. c. CGI Information Systems and Management Consultants Inc.</w:t>
      </w:r>
      <w:r w:rsidRPr="00653C52">
        <w:rPr>
          <w:lang w:val="en-US"/>
        </w:rPr>
        <w:t>, 2009 ONCA 642, 97 O.R. (3d) 161;</w:t>
      </w:r>
      <w:r w:rsidRPr="00653C52">
        <w:rPr>
          <w:i/>
          <w:lang w:val="en-US"/>
        </w:rPr>
        <w:t xml:space="preserve"> </w:t>
      </w:r>
      <w:proofErr w:type="spellStart"/>
      <w:r w:rsidRPr="00653C52">
        <w:rPr>
          <w:i/>
          <w:lang w:val="en-US"/>
        </w:rPr>
        <w:t>Alberici</w:t>
      </w:r>
      <w:proofErr w:type="spellEnd"/>
      <w:r w:rsidRPr="00653C52">
        <w:rPr>
          <w:i/>
          <w:lang w:val="en-US"/>
        </w:rPr>
        <w:t xml:space="preserve"> Western Constructors Ltd. c. Saskatchewan Power Corp.</w:t>
      </w:r>
      <w:r w:rsidRPr="00653C52">
        <w:rPr>
          <w:lang w:val="en-US"/>
        </w:rPr>
        <w:t xml:space="preserve">, 2016 SKCA 46, 476 Sask. R. 255; </w:t>
      </w:r>
      <w:r w:rsidRPr="00653C52">
        <w:rPr>
          <w:i/>
          <w:lang w:val="en-US"/>
        </w:rPr>
        <w:t>Briones c. National Money Mart Co.</w:t>
      </w:r>
      <w:r w:rsidRPr="00653C52">
        <w:rPr>
          <w:lang w:val="en-US"/>
        </w:rPr>
        <w:t>, 2013 MBQB 168, 295 Man. R. (2d) 101, conf. par 2014</w:t>
      </w:r>
      <w:r>
        <w:rPr>
          <w:lang w:val="en-US"/>
        </w:rPr>
        <w:t xml:space="preserve"> MBCA 57, 306 Man. R. (2d) 129</w:t>
      </w:r>
      <w:r w:rsidRPr="00653C52">
        <w:rPr>
          <w:lang w:val="en-US"/>
        </w:rPr>
        <w:t>;</w:t>
      </w:r>
      <w:r w:rsidRPr="00653C52">
        <w:rPr>
          <w:i/>
          <w:lang w:val="en-US"/>
        </w:rPr>
        <w:t xml:space="preserve"> MDG Kingston Inc. c. MDG Computers Canada Inc.</w:t>
      </w:r>
      <w:r w:rsidRPr="00653C52">
        <w:rPr>
          <w:lang w:val="en-US"/>
        </w:rPr>
        <w:t>, 2008 ONCA 656, 92 O.R. (3d) 4</w:t>
      </w:r>
      <w:r w:rsidRPr="00653C52">
        <w:t>;</w:t>
      </w:r>
      <w:r w:rsidRPr="00653C52">
        <w:rPr>
          <w:i/>
          <w:lang w:val="en-US"/>
        </w:rPr>
        <w:t xml:space="preserve"> </w:t>
      </w:r>
      <w:proofErr w:type="spellStart"/>
      <w:r w:rsidRPr="00653C52">
        <w:rPr>
          <w:i/>
          <w:lang w:val="en-US"/>
        </w:rPr>
        <w:t>Hryniak</w:t>
      </w:r>
      <w:proofErr w:type="spellEnd"/>
      <w:r w:rsidRPr="00653C52">
        <w:rPr>
          <w:i/>
          <w:lang w:val="en-US"/>
        </w:rPr>
        <w:t xml:space="preserve"> c. Mauldin</w:t>
      </w:r>
      <w:r w:rsidRPr="00653C52">
        <w:rPr>
          <w:lang w:val="en-US"/>
        </w:rPr>
        <w:t>, 2014 CSC 7, [2014] 1 R.C.S. 87;</w:t>
      </w:r>
      <w:r w:rsidRPr="00653C52">
        <w:rPr>
          <w:i/>
          <w:lang w:val="en-US"/>
        </w:rPr>
        <w:t xml:space="preserve"> Heller c. Uber Technologies Inc.</w:t>
      </w:r>
      <w:r w:rsidRPr="00653C52">
        <w:rPr>
          <w:lang w:val="en-US"/>
        </w:rPr>
        <w:t>, 2019 ONCA 1.</w:t>
      </w:r>
    </w:p>
    <w:p w:rsidR="00B618DD" w:rsidRPr="00653C52" w:rsidRDefault="00B618DD" w:rsidP="00B618DD">
      <w:pPr>
        <w:pStyle w:val="SCCNormalDoubleSpacing"/>
        <w:keepNext/>
        <w:keepLines/>
        <w:spacing w:after="720" w:line="240" w:lineRule="auto"/>
        <w:rPr>
          <w:lang w:val="fr-CA"/>
        </w:rPr>
      </w:pPr>
      <w:r w:rsidRPr="00653C52">
        <w:rPr>
          <w:lang w:val="fr-CA"/>
        </w:rPr>
        <w:t xml:space="preserve">Citée par les juges Abella et </w:t>
      </w:r>
      <w:proofErr w:type="spellStart"/>
      <w:r w:rsidRPr="00653C52">
        <w:rPr>
          <w:lang w:val="fr-CA"/>
        </w:rPr>
        <w:t>Karakatsanis</w:t>
      </w:r>
      <w:proofErr w:type="spellEnd"/>
      <w:r w:rsidRPr="00653C52">
        <w:rPr>
          <w:lang w:val="fr-CA"/>
        </w:rPr>
        <w:t xml:space="preserve"> (dissidentes)</w:t>
      </w:r>
    </w:p>
    <w:p w:rsidR="00B618DD" w:rsidRPr="00C84E91" w:rsidRDefault="00B618DD" w:rsidP="00B618DD">
      <w:pPr>
        <w:pStyle w:val="SCCNormalDoubleSpacing"/>
        <w:tabs>
          <w:tab w:val="clear" w:pos="1168"/>
          <w:tab w:val="left" w:pos="1170"/>
        </w:tabs>
        <w:spacing w:after="480"/>
        <w:rPr>
          <w:lang w:val="fr-CA"/>
        </w:rPr>
      </w:pPr>
      <w:r w:rsidRPr="00653C52">
        <w:rPr>
          <w:b/>
          <w:lang w:val="fr-CA"/>
        </w:rPr>
        <w:tab/>
      </w:r>
      <w:r w:rsidRPr="00653C52">
        <w:rPr>
          <w:i/>
          <w:lang w:val="en-US"/>
        </w:rPr>
        <w:t>Rizzo &amp; Rizzo Shoes Ltd. (Re)</w:t>
      </w:r>
      <w:r w:rsidRPr="00653C52">
        <w:rPr>
          <w:lang w:val="en-US"/>
        </w:rPr>
        <w:t xml:space="preserve">, [1998] 1 R.C.S. 27; </w:t>
      </w:r>
      <w:r w:rsidRPr="00653C52">
        <w:rPr>
          <w:i/>
          <w:lang w:val="en-US"/>
        </w:rPr>
        <w:t>Griffin c. Dell Canada Inc</w:t>
      </w:r>
      <w:r w:rsidRPr="00653C52">
        <w:rPr>
          <w:lang w:val="en-US"/>
        </w:rPr>
        <w:t>.</w:t>
      </w:r>
      <w:r>
        <w:rPr>
          <w:lang w:val="en-US"/>
        </w:rPr>
        <w:t>, 2010 ONCA 29, 98 O.R. (3d) 481</w:t>
      </w:r>
      <w:r w:rsidRPr="00653C52">
        <w:rPr>
          <w:lang w:val="en-US"/>
        </w:rPr>
        <w:t xml:space="preserve">; </w:t>
      </w:r>
      <w:r w:rsidRPr="00653C52">
        <w:rPr>
          <w:i/>
          <w:lang w:val="en-US"/>
        </w:rPr>
        <w:t>Griffin c. Dell Canada Inc.</w:t>
      </w:r>
      <w:r w:rsidRPr="00653C52">
        <w:rPr>
          <w:lang w:val="en-US"/>
        </w:rPr>
        <w:t xml:space="preserve"> (2009), 72 C.P.C. (6th) 158; </w:t>
      </w:r>
      <w:proofErr w:type="spellStart"/>
      <w:r w:rsidRPr="00653C52">
        <w:rPr>
          <w:i/>
          <w:lang w:val="en-US"/>
        </w:rPr>
        <w:t>Radewych</w:t>
      </w:r>
      <w:proofErr w:type="spellEnd"/>
      <w:r w:rsidRPr="00653C52">
        <w:rPr>
          <w:i/>
          <w:lang w:val="en-US"/>
        </w:rPr>
        <w:t xml:space="preserve"> c. Brookfield Homes (Ontario) Ltd.</w:t>
      </w:r>
      <w:r w:rsidRPr="00653C52">
        <w:rPr>
          <w:lang w:val="en-US"/>
        </w:rPr>
        <w:t>,</w:t>
      </w:r>
      <w:r w:rsidR="00BC3E51">
        <w:t xml:space="preserve"> 2007 </w:t>
      </w:r>
      <w:proofErr w:type="spellStart"/>
      <w:r w:rsidR="00BC3E51">
        <w:t>CanLII</w:t>
      </w:r>
      <w:proofErr w:type="spellEnd"/>
      <w:r w:rsidR="00BC3E51">
        <w:t xml:space="preserve"> 23358</w:t>
      </w:r>
      <w:r w:rsidR="009B66D8">
        <w:t>,</w:t>
      </w:r>
      <w:r w:rsidR="00B64E22">
        <w:t xml:space="preserve"> conf. par 2007 ONCA 721</w:t>
      </w:r>
      <w:r w:rsidRPr="00653C52">
        <w:rPr>
          <w:lang w:val="en-US"/>
        </w:rPr>
        <w:t xml:space="preserve">; </w:t>
      </w:r>
      <w:r w:rsidRPr="00653C52">
        <w:rPr>
          <w:i/>
          <w:lang w:val="en-US"/>
        </w:rPr>
        <w:t>Johnston c. Goudie</w:t>
      </w:r>
      <w:r w:rsidRPr="00653C52">
        <w:rPr>
          <w:lang w:val="en-US"/>
        </w:rPr>
        <w:t xml:space="preserve"> (2006), 212 O.A.C. 79; </w:t>
      </w:r>
      <w:r w:rsidRPr="00653C52">
        <w:rPr>
          <w:i/>
          <w:lang w:val="en-US"/>
        </w:rPr>
        <w:t>Penn</w:t>
      </w:r>
      <w:r w:rsidRPr="00653C52">
        <w:rPr>
          <w:i/>
          <w:lang w:val="en-US"/>
        </w:rPr>
        <w:noBreakHyphen/>
        <w:t xml:space="preserve">Co Construction Canada (2003) Ltd. c. Constance Lake First Nation </w:t>
      </w:r>
      <w:r w:rsidRPr="00653C52">
        <w:rPr>
          <w:lang w:val="en-US"/>
        </w:rPr>
        <w:t xml:space="preserve">(2007), 66 C.L.R. (3d) 78, conf. par </w:t>
      </w:r>
      <w:r w:rsidRPr="00653C52">
        <w:t>2008 ONCA 768, 76 C.L.R. (3d) 1</w:t>
      </w:r>
      <w:r w:rsidRPr="00653C52">
        <w:rPr>
          <w:lang w:val="en-US"/>
        </w:rPr>
        <w:t xml:space="preserve">; </w:t>
      </w:r>
      <w:proofErr w:type="spellStart"/>
      <w:r w:rsidRPr="00653C52">
        <w:rPr>
          <w:i/>
          <w:lang w:val="en-US"/>
        </w:rPr>
        <w:t>Frambordeaux</w:t>
      </w:r>
      <w:proofErr w:type="spellEnd"/>
      <w:r w:rsidRPr="00653C52">
        <w:rPr>
          <w:i/>
          <w:lang w:val="en-US"/>
        </w:rPr>
        <w:t xml:space="preserve"> Developments Inc. c. </w:t>
      </w:r>
      <w:proofErr w:type="spellStart"/>
      <w:r w:rsidRPr="00653C52">
        <w:rPr>
          <w:i/>
          <w:lang w:val="en-US"/>
        </w:rPr>
        <w:t>Romandale</w:t>
      </w:r>
      <w:proofErr w:type="spellEnd"/>
      <w:r w:rsidRPr="00653C52">
        <w:rPr>
          <w:i/>
          <w:lang w:val="en-US"/>
        </w:rPr>
        <w:t xml:space="preserve"> Farms Ltd.</w:t>
      </w:r>
      <w:r w:rsidRPr="00653C52">
        <w:rPr>
          <w:lang w:val="en-US"/>
        </w:rPr>
        <w:t>,</w:t>
      </w:r>
      <w:r w:rsidR="00BC3E51">
        <w:rPr>
          <w:rStyle w:val="reflex3-alt"/>
        </w:rPr>
        <w:t xml:space="preserve"> 2007 </w:t>
      </w:r>
      <w:proofErr w:type="spellStart"/>
      <w:r w:rsidR="00BC3E51">
        <w:rPr>
          <w:rStyle w:val="reflex3-alt"/>
        </w:rPr>
        <w:t>CanLII</w:t>
      </w:r>
      <w:proofErr w:type="spellEnd"/>
      <w:r w:rsidR="00BC3E51">
        <w:rPr>
          <w:rStyle w:val="reflex3-alt"/>
        </w:rPr>
        <w:t xml:space="preserve"> 55364</w:t>
      </w:r>
      <w:r w:rsidRPr="00653C52">
        <w:rPr>
          <w:lang w:val="en-US"/>
        </w:rPr>
        <w:t xml:space="preserve">; </w:t>
      </w:r>
      <w:r w:rsidRPr="00653C52">
        <w:rPr>
          <w:i/>
          <w:lang w:val="en-US"/>
        </w:rPr>
        <w:t>New Era Nutrition Inc. c. Balance Bar Co.</w:t>
      </w:r>
      <w:r w:rsidRPr="00653C52">
        <w:rPr>
          <w:lang w:val="en-US"/>
        </w:rPr>
        <w:t xml:space="preserve">, 2004 ABCA 280, 245 D.L.R. (4th) 107; </w:t>
      </w:r>
      <w:r w:rsidRPr="00653C52">
        <w:rPr>
          <w:i/>
          <w:lang w:val="en-US"/>
        </w:rPr>
        <w:t>R. c. Alex</w:t>
      </w:r>
      <w:r w:rsidRPr="00653C52">
        <w:rPr>
          <w:lang w:val="en-US"/>
        </w:rPr>
        <w:t xml:space="preserve">, 2017 CSC 37, [2017] 1 R.C.S. 967; </w:t>
      </w:r>
      <w:r w:rsidRPr="00653C52">
        <w:rPr>
          <w:i/>
        </w:rPr>
        <w:t>Rosedale Motors Inc. c. Petro</w:t>
      </w:r>
      <w:r w:rsidRPr="00653C52">
        <w:rPr>
          <w:i/>
        </w:rPr>
        <w:noBreakHyphen/>
        <w:t>Canada Inc</w:t>
      </w:r>
      <w:r w:rsidRPr="00653C52">
        <w:t xml:space="preserve">. </w:t>
      </w:r>
      <w:r w:rsidRPr="00C84E91">
        <w:rPr>
          <w:lang w:val="fr-CA"/>
        </w:rPr>
        <w:t xml:space="preserve">(1998), 42 O.R. (3d) 776; </w:t>
      </w:r>
      <w:r w:rsidRPr="00C84E91">
        <w:rPr>
          <w:i/>
          <w:lang w:val="fr-CA"/>
        </w:rPr>
        <w:t>Brown c. Murphy</w:t>
      </w:r>
      <w:r w:rsidRPr="00C84E91">
        <w:rPr>
          <w:lang w:val="fr-CA"/>
        </w:rPr>
        <w:t xml:space="preserve"> (2002), 59 O.R. (3d) 404; </w:t>
      </w:r>
      <w:r w:rsidRPr="00C84E91">
        <w:rPr>
          <w:i/>
          <w:lang w:val="fr-CA"/>
        </w:rPr>
        <w:t>Seidel c. TELUS Communications Inc.</w:t>
      </w:r>
      <w:r w:rsidRPr="00C84E91">
        <w:rPr>
          <w:lang w:val="fr-CA"/>
        </w:rPr>
        <w:t>, 2011 CSC 15, [2011] 1 R.C.S. 531.</w:t>
      </w:r>
    </w:p>
    <w:p w:rsidR="00B618DD" w:rsidRPr="00653C52" w:rsidRDefault="00B618DD" w:rsidP="00B618DD">
      <w:pPr>
        <w:pStyle w:val="SCCNormalDoubleSpacing"/>
        <w:spacing w:after="720" w:line="240" w:lineRule="auto"/>
        <w:rPr>
          <w:b/>
          <w:lang w:val="fr-CA"/>
        </w:rPr>
      </w:pPr>
      <w:r w:rsidRPr="00653C52">
        <w:rPr>
          <w:b/>
          <w:lang w:val="fr-CA"/>
        </w:rPr>
        <w:t>Lois et règlements cités</w:t>
      </w:r>
    </w:p>
    <w:p w:rsidR="00B618DD" w:rsidRPr="00DB4925" w:rsidRDefault="00B618DD" w:rsidP="00B618DD">
      <w:pPr>
        <w:pStyle w:val="SCCNormalDoubleSpacing"/>
        <w:spacing w:after="240" w:line="240" w:lineRule="auto"/>
        <w:ind w:left="540" w:hanging="540"/>
        <w:rPr>
          <w:iCs/>
          <w:lang w:val="fr-CA"/>
        </w:rPr>
      </w:pPr>
      <w:r w:rsidRPr="00653C52">
        <w:rPr>
          <w:i/>
          <w:iCs/>
          <w:lang w:val="fr-CA"/>
        </w:rPr>
        <w:t>Loi d’interprétation</w:t>
      </w:r>
      <w:r w:rsidRPr="00653C52">
        <w:rPr>
          <w:iCs/>
          <w:lang w:val="fr-CA"/>
        </w:rPr>
        <w:t xml:space="preserve">, </w:t>
      </w:r>
      <w:r w:rsidRPr="00653C52">
        <w:rPr>
          <w:iCs/>
          <w:lang w:val="fr-FR"/>
        </w:rPr>
        <w:t>L.R.O. 1990, c. I.11, art. 10.</w:t>
      </w:r>
    </w:p>
    <w:p w:rsidR="00B618DD" w:rsidRPr="00653C52" w:rsidRDefault="00B618DD" w:rsidP="00B618DD">
      <w:pPr>
        <w:pStyle w:val="SCCNormalDoubleSpacing"/>
        <w:spacing w:after="240" w:line="240" w:lineRule="auto"/>
        <w:ind w:left="540" w:hanging="540"/>
        <w:rPr>
          <w:lang w:val="fr-CA"/>
        </w:rPr>
      </w:pPr>
      <w:r w:rsidRPr="00653C52">
        <w:rPr>
          <w:i/>
          <w:iCs/>
          <w:lang w:val="fr-CA"/>
        </w:rPr>
        <w:t>Loi de 1991  sur l’arbitrage</w:t>
      </w:r>
      <w:r w:rsidRPr="00653C52">
        <w:rPr>
          <w:lang w:val="fr-CA"/>
        </w:rPr>
        <w:t>,</w:t>
      </w:r>
      <w:r w:rsidRPr="00653C52">
        <w:rPr>
          <w:i/>
          <w:iCs/>
          <w:lang w:val="fr-CA"/>
        </w:rPr>
        <w:t> </w:t>
      </w:r>
      <w:r w:rsidRPr="00653C52">
        <w:rPr>
          <w:lang w:val="fr-CA"/>
        </w:rPr>
        <w:t>L.O. 1991, c. 17, art. 1 « convention d’arbitrage », 6, 7.</w:t>
      </w:r>
    </w:p>
    <w:p w:rsidR="00B618DD" w:rsidRPr="00653C52" w:rsidRDefault="00B618DD" w:rsidP="00B618DD">
      <w:pPr>
        <w:pStyle w:val="SCCNormalDoubleSpacing"/>
        <w:spacing w:after="240" w:line="240" w:lineRule="auto"/>
        <w:ind w:left="540" w:hanging="540"/>
        <w:rPr>
          <w:lang w:val="fr-CA"/>
        </w:rPr>
      </w:pPr>
      <w:r w:rsidRPr="00653C52">
        <w:rPr>
          <w:i/>
          <w:lang w:val="fr-CA"/>
        </w:rPr>
        <w:t>Loi de 1992 sur les recours collectifs</w:t>
      </w:r>
      <w:r w:rsidRPr="00653C52">
        <w:rPr>
          <w:lang w:val="fr-CA"/>
        </w:rPr>
        <w:t>, L.O. 1992, c. 6.</w:t>
      </w:r>
    </w:p>
    <w:p w:rsidR="00B618DD" w:rsidRPr="00653C52" w:rsidRDefault="00B618DD" w:rsidP="00B618DD">
      <w:pPr>
        <w:pStyle w:val="SCCNormalDoubleSpacing"/>
        <w:spacing w:after="240" w:line="240" w:lineRule="auto"/>
        <w:ind w:left="540" w:hanging="540"/>
        <w:rPr>
          <w:lang w:val="fr-CA"/>
        </w:rPr>
      </w:pPr>
      <w:r w:rsidRPr="00653C52">
        <w:rPr>
          <w:i/>
          <w:iCs/>
          <w:lang w:val="fr-CA"/>
        </w:rPr>
        <w:t>Loi de 2002 sur la protection du consommateur</w:t>
      </w:r>
      <w:r>
        <w:rPr>
          <w:lang w:val="fr-CA"/>
        </w:rPr>
        <w:t xml:space="preserve">, L.O. 2002, c. 30, </w:t>
      </w:r>
      <w:proofErr w:type="spellStart"/>
      <w:r>
        <w:rPr>
          <w:lang w:val="fr-CA"/>
        </w:rPr>
        <w:t>ann</w:t>
      </w:r>
      <w:proofErr w:type="spellEnd"/>
      <w:r>
        <w:rPr>
          <w:lang w:val="fr-CA"/>
        </w:rPr>
        <w:t>. A</w:t>
      </w:r>
      <w:r w:rsidRPr="00653C52">
        <w:rPr>
          <w:lang w:val="fr-CA"/>
        </w:rPr>
        <w:t>, art. 1 « </w:t>
      </w:r>
      <w:r w:rsidRPr="00653C52">
        <w:rPr>
          <w:iCs/>
          <w:lang w:val="fr-CA"/>
        </w:rPr>
        <w:t>consommateur</w:t>
      </w:r>
      <w:r w:rsidRPr="00653C52">
        <w:rPr>
          <w:lang w:val="fr-CA"/>
        </w:rPr>
        <w:t> », « convention de consommation », « fournisseur », 7, 8.</w:t>
      </w:r>
    </w:p>
    <w:p w:rsidR="00B618DD" w:rsidRPr="00653C52" w:rsidRDefault="00B618DD" w:rsidP="00B618DD">
      <w:pPr>
        <w:pStyle w:val="SCCNormalDoubleSpacing"/>
        <w:spacing w:after="240" w:line="240" w:lineRule="auto"/>
        <w:ind w:left="540" w:hanging="540"/>
        <w:rPr>
          <w:lang w:val="fr-CA"/>
        </w:rPr>
      </w:pPr>
      <w:r w:rsidRPr="00653C52">
        <w:rPr>
          <w:i/>
          <w:iCs/>
          <w:lang w:val="fr-CA"/>
        </w:rPr>
        <w:t>Loi sur les tribunaux judiciaires</w:t>
      </w:r>
      <w:r w:rsidRPr="00653C52">
        <w:rPr>
          <w:lang w:val="fr-CA"/>
        </w:rPr>
        <w:t>, L.R.O. 1990, c. C.43, art.</w:t>
      </w:r>
      <w:r>
        <w:rPr>
          <w:lang w:val="fr-CA"/>
        </w:rPr>
        <w:t>106</w:t>
      </w:r>
      <w:r w:rsidRPr="00653C52">
        <w:rPr>
          <w:lang w:val="fr-CA"/>
        </w:rPr>
        <w:t>, 138.</w:t>
      </w:r>
    </w:p>
    <w:p w:rsidR="00B618DD" w:rsidRPr="00653C52" w:rsidRDefault="00B618DD" w:rsidP="00B618DD">
      <w:pPr>
        <w:pStyle w:val="SCCNormalDoubleSpacing"/>
        <w:spacing w:after="720" w:line="240" w:lineRule="auto"/>
        <w:ind w:left="547" w:hanging="547"/>
        <w:rPr>
          <w:lang w:val="fr-CA"/>
        </w:rPr>
      </w:pPr>
      <w:r w:rsidRPr="00653C52">
        <w:rPr>
          <w:i/>
          <w:iCs/>
          <w:lang w:val="fr-CA"/>
        </w:rPr>
        <w:t>Règles de procédure civile</w:t>
      </w:r>
      <w:r w:rsidRPr="00653C52">
        <w:rPr>
          <w:lang w:val="fr-CA"/>
        </w:rPr>
        <w:t xml:space="preserve">, R.R.O. 1990, </w:t>
      </w:r>
      <w:proofErr w:type="spellStart"/>
      <w:r w:rsidRPr="00653C52">
        <w:rPr>
          <w:lang w:val="fr-CA"/>
        </w:rPr>
        <w:t>Règl</w:t>
      </w:r>
      <w:proofErr w:type="spellEnd"/>
      <w:r w:rsidRPr="00653C52">
        <w:rPr>
          <w:lang w:val="fr-CA"/>
        </w:rPr>
        <w:t>. 194, règle 1.03(1) « instance ».</w:t>
      </w:r>
    </w:p>
    <w:p w:rsidR="00B618DD" w:rsidRPr="00653C52" w:rsidRDefault="00B618DD" w:rsidP="00B618DD">
      <w:pPr>
        <w:pStyle w:val="SCCNormalDoubleSpacing"/>
        <w:spacing w:after="720" w:line="240" w:lineRule="auto"/>
        <w:rPr>
          <w:b/>
          <w:lang w:val="fr-CA"/>
        </w:rPr>
      </w:pPr>
      <w:r w:rsidRPr="00653C52">
        <w:rPr>
          <w:b/>
          <w:lang w:val="fr-CA"/>
        </w:rPr>
        <w:t>Doctrine et autres documents cités</w:t>
      </w:r>
    </w:p>
    <w:p w:rsidR="00B618DD" w:rsidRPr="00F00800" w:rsidRDefault="00B618DD" w:rsidP="00B618DD">
      <w:pPr>
        <w:pStyle w:val="SCCNormalDoubleSpacing"/>
        <w:spacing w:after="240" w:line="240" w:lineRule="auto"/>
        <w:ind w:left="540" w:hanging="540"/>
        <w:rPr>
          <w:color w:val="000000"/>
        </w:rPr>
      </w:pPr>
      <w:r w:rsidRPr="00DC6886">
        <w:rPr>
          <w:color w:val="000000"/>
          <w:lang w:val="fr-CA"/>
        </w:rPr>
        <w:t xml:space="preserve">Alberta. </w:t>
      </w:r>
      <w:r>
        <w:rPr>
          <w:color w:val="000000"/>
        </w:rPr>
        <w:t xml:space="preserve">Institute of Law Research and Reform. Report No. 51. </w:t>
      </w:r>
      <w:r>
        <w:rPr>
          <w:i/>
          <w:color w:val="000000"/>
        </w:rPr>
        <w:t>Proposals for a New Alberta Arbitration Act</w:t>
      </w:r>
      <w:r>
        <w:rPr>
          <w:color w:val="000000"/>
        </w:rPr>
        <w:t>, Edmonton, Institute of Law Research and Reform, 1988.</w:t>
      </w:r>
    </w:p>
    <w:p w:rsidR="00B618DD" w:rsidRPr="00803366" w:rsidRDefault="00B618DD" w:rsidP="00B618DD">
      <w:pPr>
        <w:pStyle w:val="SCCNormalDoubleSpacing"/>
        <w:spacing w:after="240" w:line="240" w:lineRule="auto"/>
        <w:ind w:left="540" w:hanging="540"/>
        <w:rPr>
          <w:lang w:val="en-US"/>
        </w:rPr>
      </w:pPr>
      <w:r w:rsidRPr="00903078">
        <w:rPr>
          <w:rStyle w:val="solexhl"/>
          <w:rFonts w:eastAsiaTheme="majorEastAsia"/>
          <w:color w:val="000000"/>
          <w:lang w:val="en-US"/>
        </w:rPr>
        <w:t>Alberta Law Reform Institute</w:t>
      </w:r>
      <w:r w:rsidRPr="00903078">
        <w:rPr>
          <w:color w:val="000000"/>
          <w:lang w:val="en-US"/>
        </w:rPr>
        <w:t xml:space="preserve">. </w:t>
      </w:r>
      <w:r>
        <w:rPr>
          <w:color w:val="000000"/>
        </w:rPr>
        <w:t>Final Report No. 103. </w:t>
      </w:r>
      <w:r>
        <w:rPr>
          <w:i/>
          <w:iCs/>
          <w:color w:val="000000"/>
        </w:rPr>
        <w:t xml:space="preserve">Arbitration </w:t>
      </w:r>
      <w:proofErr w:type="gramStart"/>
      <w:r>
        <w:rPr>
          <w:i/>
          <w:iCs/>
          <w:color w:val="000000"/>
        </w:rPr>
        <w:t>Act</w:t>
      </w:r>
      <w:r>
        <w:rPr>
          <w:color w:val="000000"/>
        </w:rPr>
        <w:t> :</w:t>
      </w:r>
      <w:proofErr w:type="gramEnd"/>
      <w:r>
        <w:rPr>
          <w:i/>
          <w:iCs/>
          <w:color w:val="000000"/>
        </w:rPr>
        <w:t xml:space="preserve"> Stay and Appeal Issues</w:t>
      </w:r>
      <w:r>
        <w:rPr>
          <w:color w:val="000000"/>
        </w:rPr>
        <w:t>, Edmonton, Alberta Law Reform Institute, 2013.</w:t>
      </w:r>
    </w:p>
    <w:p w:rsidR="00B618DD" w:rsidRPr="00FA1084" w:rsidRDefault="00B618DD" w:rsidP="00B618DD">
      <w:pPr>
        <w:pStyle w:val="SCCNormalDoubleSpacing"/>
        <w:spacing w:after="240" w:line="240" w:lineRule="auto"/>
        <w:ind w:left="540" w:hanging="540"/>
        <w:rPr>
          <w:color w:val="000000"/>
        </w:rPr>
      </w:pPr>
      <w:r w:rsidRPr="001111D5">
        <w:rPr>
          <w:color w:val="000000"/>
          <w:lang w:val="en-US"/>
        </w:rPr>
        <w:t>Casey, J. Brian. </w:t>
      </w:r>
      <w:r w:rsidRPr="00682FD8">
        <w:rPr>
          <w:rStyle w:val="solexhl"/>
          <w:rFonts w:eastAsiaTheme="majorEastAsia"/>
          <w:i/>
          <w:iCs/>
          <w:color w:val="000000"/>
          <w:lang w:val="en-US"/>
        </w:rPr>
        <w:t xml:space="preserve">Arbitration Law of </w:t>
      </w:r>
      <w:proofErr w:type="gramStart"/>
      <w:r w:rsidRPr="00682FD8">
        <w:rPr>
          <w:rStyle w:val="solexhl"/>
          <w:rFonts w:eastAsiaTheme="majorEastAsia"/>
          <w:i/>
          <w:iCs/>
          <w:color w:val="000000"/>
          <w:lang w:val="en-US"/>
        </w:rPr>
        <w:t>Canada :</w:t>
      </w:r>
      <w:proofErr w:type="gramEnd"/>
      <w:r w:rsidRPr="00682FD8">
        <w:rPr>
          <w:rStyle w:val="solexhl"/>
          <w:rFonts w:eastAsiaTheme="majorEastAsia"/>
          <w:i/>
          <w:iCs/>
          <w:color w:val="000000"/>
          <w:lang w:val="en-US"/>
        </w:rPr>
        <w:t xml:space="preserve"> Practice and Procedure</w:t>
      </w:r>
      <w:r w:rsidRPr="00682FD8">
        <w:rPr>
          <w:color w:val="000000"/>
          <w:lang w:val="en-US"/>
        </w:rPr>
        <w:t>, 3rd</w:t>
      </w:r>
      <w:r>
        <w:rPr>
          <w:color w:val="000000"/>
          <w:lang w:val="en-US"/>
        </w:rPr>
        <w:t xml:space="preserve"> ed.,</w:t>
      </w:r>
      <w:r w:rsidRPr="00682FD8">
        <w:rPr>
          <w:color w:val="000000"/>
          <w:lang w:val="en-US"/>
        </w:rPr>
        <w:t xml:space="preserve"> </w:t>
      </w:r>
      <w:r w:rsidRPr="00FA1084">
        <w:rPr>
          <w:color w:val="000000"/>
        </w:rPr>
        <w:t>Huntington (N.Y.)</w:t>
      </w:r>
      <w:r>
        <w:rPr>
          <w:color w:val="000000"/>
        </w:rPr>
        <w:t>, Juris, 2017</w:t>
      </w:r>
      <w:r w:rsidRPr="00FA1084">
        <w:rPr>
          <w:color w:val="000000"/>
        </w:rPr>
        <w:t>.</w:t>
      </w:r>
    </w:p>
    <w:p w:rsidR="00B618DD" w:rsidRDefault="00B618DD" w:rsidP="00053639">
      <w:pPr>
        <w:pStyle w:val="SCCNormalDoubleSpacing"/>
        <w:spacing w:after="240" w:line="240" w:lineRule="auto"/>
        <w:ind w:left="540" w:hanging="540"/>
        <w:rPr>
          <w:color w:val="000000"/>
          <w:lang w:val="fr-CA"/>
        </w:rPr>
      </w:pPr>
      <w:r w:rsidRPr="001A4031">
        <w:rPr>
          <w:color w:val="000000"/>
          <w:lang w:val="fr-CA"/>
        </w:rPr>
        <w:t>Conférence pour l’harmonisation des lois au Canada. </w:t>
      </w:r>
      <w:r w:rsidRPr="001A4031">
        <w:rPr>
          <w:i/>
          <w:color w:val="000000"/>
          <w:lang w:val="fr-CA"/>
        </w:rPr>
        <w:t xml:space="preserve">Loi de 2002 modifiant la loi sur l’arbitrage </w:t>
      </w:r>
      <w:r w:rsidRPr="001A4031">
        <w:rPr>
          <w:color w:val="000000"/>
          <w:lang w:val="fr-CA"/>
        </w:rPr>
        <w:t>(en ligne :</w:t>
      </w:r>
      <w:r w:rsidRPr="001A4031">
        <w:rPr>
          <w:lang w:val="fr-CA"/>
        </w:rPr>
        <w:t xml:space="preserve"> </w:t>
      </w:r>
      <w:r>
        <w:rPr>
          <w:color w:val="000000"/>
          <w:lang w:val="fr-CA"/>
        </w:rPr>
        <w:t>https://www.ulcc.ca/fr/lois</w:t>
      </w:r>
      <w:r>
        <w:rPr>
          <w:color w:val="000000"/>
          <w:lang w:val="fr-CA"/>
        </w:rPr>
        <w:noBreakHyphen/>
        <w:t>uniformes</w:t>
      </w:r>
      <w:r>
        <w:rPr>
          <w:color w:val="000000"/>
          <w:lang w:val="fr-CA"/>
        </w:rPr>
        <w:noBreakHyphen/>
        <w:t>nouvelle</w:t>
      </w:r>
      <w:r>
        <w:rPr>
          <w:color w:val="000000"/>
          <w:lang w:val="fr-CA"/>
        </w:rPr>
        <w:noBreakHyphen/>
        <w:t>structure/lois</w:t>
      </w:r>
      <w:r>
        <w:rPr>
          <w:color w:val="000000"/>
          <w:lang w:val="fr-CA"/>
        </w:rPr>
        <w:noBreakHyphen/>
        <w:t>uniformes</w:t>
      </w:r>
      <w:r>
        <w:rPr>
          <w:color w:val="000000"/>
          <w:lang w:val="fr-CA"/>
        </w:rPr>
        <w:noBreakHyphen/>
        <w:t>moins</w:t>
      </w:r>
      <w:r>
        <w:rPr>
          <w:color w:val="000000"/>
          <w:lang w:val="fr-CA"/>
        </w:rPr>
        <w:noBreakHyphen/>
        <w:t>courantes/118</w:t>
      </w:r>
      <w:r>
        <w:rPr>
          <w:color w:val="000000"/>
          <w:lang w:val="fr-CA"/>
        </w:rPr>
        <w:noBreakHyphen/>
        <w:t>josetta</w:t>
      </w:r>
      <w:r>
        <w:rPr>
          <w:color w:val="000000"/>
          <w:lang w:val="fr-CA"/>
        </w:rPr>
        <w:noBreakHyphen/>
        <w:t>1</w:t>
      </w:r>
      <w:r>
        <w:rPr>
          <w:color w:val="000000"/>
          <w:lang w:val="fr-CA"/>
        </w:rPr>
        <w:noBreakHyphen/>
        <w:t>fr</w:t>
      </w:r>
      <w:r>
        <w:rPr>
          <w:color w:val="000000"/>
          <w:lang w:val="fr-CA"/>
        </w:rPr>
        <w:noBreakHyphen/>
        <w:t>fr/lois</w:t>
      </w:r>
      <w:r>
        <w:rPr>
          <w:color w:val="000000"/>
          <w:lang w:val="fr-CA"/>
        </w:rPr>
        <w:noBreakHyphen/>
        <w:t>uniformes/loi</w:t>
      </w:r>
      <w:r>
        <w:rPr>
          <w:color w:val="000000"/>
          <w:lang w:val="fr-CA"/>
        </w:rPr>
        <w:noBreakHyphen/>
        <w:t>sur</w:t>
      </w:r>
      <w:r>
        <w:rPr>
          <w:color w:val="000000"/>
          <w:lang w:val="fr-CA"/>
        </w:rPr>
        <w:noBreakHyphen/>
      </w:r>
      <w:r w:rsidRPr="001A4031">
        <w:rPr>
          <w:color w:val="000000"/>
          <w:lang w:val="fr-CA"/>
        </w:rPr>
        <w:t>larbitrage/1</w:t>
      </w:r>
      <w:r>
        <w:rPr>
          <w:color w:val="000000"/>
          <w:lang w:val="fr-CA"/>
        </w:rPr>
        <w:t>109</w:t>
      </w:r>
      <w:r>
        <w:rPr>
          <w:color w:val="000000"/>
          <w:lang w:val="fr-CA"/>
        </w:rPr>
        <w:noBreakHyphen/>
        <w:t>larbitrage</w:t>
      </w:r>
      <w:r>
        <w:rPr>
          <w:color w:val="000000"/>
          <w:lang w:val="fr-CA"/>
        </w:rPr>
        <w:noBreakHyphen/>
        <w:t>loi</w:t>
      </w:r>
      <w:r>
        <w:rPr>
          <w:color w:val="000000"/>
          <w:lang w:val="fr-CA"/>
        </w:rPr>
        <w:noBreakHyphen/>
      </w:r>
      <w:r w:rsidRPr="001A4031">
        <w:rPr>
          <w:color w:val="000000"/>
          <w:lang w:val="fr-CA"/>
        </w:rPr>
        <w:t>modifiant; version archivée : </w:t>
      </w:r>
      <w:r w:rsidRPr="00053639">
        <w:rPr>
          <w:rFonts w:eastAsiaTheme="majorEastAsia"/>
          <w:lang w:val="fr-CA"/>
        </w:rPr>
        <w:t>https://www.scc-csc.ca/cso-dce/2019SCC-CSC19_2_fra.pdf</w:t>
      </w:r>
      <w:r w:rsidRPr="001A4031">
        <w:rPr>
          <w:color w:val="000000"/>
          <w:lang w:val="fr-CA"/>
        </w:rPr>
        <w:t>).</w:t>
      </w:r>
    </w:p>
    <w:p w:rsidR="00B618DD" w:rsidRDefault="00B618DD" w:rsidP="00B618DD">
      <w:pPr>
        <w:pStyle w:val="SCCNormalDoubleSpacing"/>
        <w:spacing w:after="240" w:line="240" w:lineRule="auto"/>
        <w:ind w:left="540" w:hanging="540"/>
        <w:rPr>
          <w:color w:val="000000"/>
          <w:lang w:val="fr-CA"/>
        </w:rPr>
      </w:pPr>
      <w:r w:rsidRPr="004E3047">
        <w:rPr>
          <w:color w:val="000000"/>
          <w:lang w:val="fr-CA"/>
        </w:rPr>
        <w:t>Conférence pour l’harmonisation des lois au Canada. </w:t>
      </w:r>
      <w:r w:rsidRPr="004E3047">
        <w:rPr>
          <w:i/>
          <w:color w:val="000000"/>
          <w:lang w:val="fr-CA"/>
        </w:rPr>
        <w:t>Loi uniforme sur l’arbitrage</w:t>
      </w:r>
      <w:r w:rsidRPr="004E3047">
        <w:rPr>
          <w:color w:val="000000"/>
          <w:lang w:val="fr-CA"/>
        </w:rPr>
        <w:t xml:space="preserve"> (1990)</w:t>
      </w:r>
      <w:r>
        <w:rPr>
          <w:color w:val="000000"/>
          <w:lang w:val="fr-CA"/>
        </w:rPr>
        <w:t xml:space="preserve"> (en ligne :</w:t>
      </w:r>
      <w:r w:rsidRPr="00CA463B">
        <w:rPr>
          <w:lang w:val="fr-CA"/>
        </w:rPr>
        <w:t xml:space="preserve"> </w:t>
      </w:r>
      <w:r w:rsidRPr="00CA463B">
        <w:rPr>
          <w:color w:val="000000"/>
          <w:lang w:val="fr-CA"/>
        </w:rPr>
        <w:t>https://www.ulcc.ca/images/stories/</w:t>
      </w:r>
      <w:r w:rsidRPr="001A4031">
        <w:rPr>
          <w:color w:val="000000"/>
          <w:lang w:val="fr-CA"/>
        </w:rPr>
        <w:t>Uniform_Acts_FR/Arbitrat_Fr.pdf; version archivée : </w:t>
      </w:r>
      <w:r w:rsidRPr="00DC6886">
        <w:rPr>
          <w:rFonts w:eastAsiaTheme="majorEastAsia"/>
          <w:lang w:val="fr-CA"/>
        </w:rPr>
        <w:t>https://www.scc-csc.ca/cso-dce/2019SCC-CSC19_1_fra.pdf</w:t>
      </w:r>
      <w:r w:rsidRPr="001A4031">
        <w:rPr>
          <w:color w:val="000000"/>
          <w:lang w:val="fr-CA"/>
        </w:rPr>
        <w:t>).</w:t>
      </w:r>
    </w:p>
    <w:p w:rsidR="00B618DD" w:rsidRPr="008A0A5B" w:rsidRDefault="00B618DD" w:rsidP="00B618DD">
      <w:pPr>
        <w:pStyle w:val="SCCNormalDoubleSpacing"/>
        <w:spacing w:after="240" w:line="240" w:lineRule="auto"/>
        <w:rPr>
          <w:color w:val="000000"/>
        </w:rPr>
      </w:pPr>
      <w:proofErr w:type="spellStart"/>
      <w:r w:rsidRPr="00E953C5">
        <w:rPr>
          <w:color w:val="000000"/>
          <w:lang w:val="en"/>
        </w:rPr>
        <w:t>Driedger</w:t>
      </w:r>
      <w:proofErr w:type="spellEnd"/>
      <w:r w:rsidRPr="00E953C5">
        <w:rPr>
          <w:color w:val="000000"/>
          <w:lang w:val="en"/>
        </w:rPr>
        <w:t xml:space="preserve">, Elmer A. </w:t>
      </w:r>
      <w:r w:rsidRPr="00E953C5">
        <w:rPr>
          <w:i/>
          <w:iCs/>
          <w:color w:val="000000"/>
          <w:lang w:val="en"/>
        </w:rPr>
        <w:t>Construction of Statutes</w:t>
      </w:r>
      <w:r w:rsidRPr="00E953C5">
        <w:rPr>
          <w:color w:val="000000"/>
          <w:lang w:val="en"/>
        </w:rPr>
        <w:t>, 2nd ed.</w:t>
      </w:r>
      <w:r>
        <w:rPr>
          <w:color w:val="000000"/>
          <w:lang w:val="en"/>
        </w:rPr>
        <w:t>,</w:t>
      </w:r>
      <w:r w:rsidRPr="00E953C5">
        <w:rPr>
          <w:color w:val="000000"/>
          <w:lang w:val="en"/>
        </w:rPr>
        <w:t xml:space="preserve"> Toronto</w:t>
      </w:r>
      <w:r>
        <w:rPr>
          <w:color w:val="000000"/>
          <w:lang w:val="en"/>
        </w:rPr>
        <w:t>,</w:t>
      </w:r>
      <w:r w:rsidRPr="00E953C5">
        <w:rPr>
          <w:color w:val="000000"/>
          <w:lang w:val="en"/>
        </w:rPr>
        <w:t xml:space="preserve"> Butterworths, 1983.</w:t>
      </w:r>
    </w:p>
    <w:p w:rsidR="00B618DD" w:rsidRDefault="00B618DD" w:rsidP="00B618DD">
      <w:pPr>
        <w:pStyle w:val="SCCNormalDoubleSpacing"/>
        <w:spacing w:after="240" w:line="240" w:lineRule="auto"/>
        <w:ind w:left="540" w:hanging="540"/>
        <w:rPr>
          <w:color w:val="000000"/>
        </w:rPr>
      </w:pPr>
      <w:proofErr w:type="spellStart"/>
      <w:r w:rsidRPr="00B24E32">
        <w:rPr>
          <w:color w:val="000000"/>
        </w:rPr>
        <w:t>Estlund</w:t>
      </w:r>
      <w:proofErr w:type="spellEnd"/>
      <w:r w:rsidRPr="00B24E32">
        <w:rPr>
          <w:color w:val="000000"/>
        </w:rPr>
        <w:t>, Cynthia</w:t>
      </w:r>
      <w:r>
        <w:rPr>
          <w:color w:val="000000"/>
        </w:rPr>
        <w:t>. « </w:t>
      </w:r>
      <w:r w:rsidRPr="00B24E32">
        <w:rPr>
          <w:color w:val="000000"/>
        </w:rPr>
        <w:t>The Blac</w:t>
      </w:r>
      <w:r>
        <w:rPr>
          <w:color w:val="000000"/>
        </w:rPr>
        <w:t>k Hole of Mandatory Arbitration »</w:t>
      </w:r>
      <w:r w:rsidRPr="0028372B">
        <w:rPr>
          <w:color w:val="000000"/>
        </w:rPr>
        <w:t xml:space="preserve"> </w:t>
      </w:r>
      <w:r w:rsidRPr="00B24E32">
        <w:rPr>
          <w:color w:val="000000"/>
        </w:rPr>
        <w:t>(2018)</w:t>
      </w:r>
      <w:r>
        <w:rPr>
          <w:color w:val="000000"/>
        </w:rPr>
        <w:t>,</w:t>
      </w:r>
      <w:r w:rsidRPr="00B24E32">
        <w:rPr>
          <w:color w:val="000000"/>
        </w:rPr>
        <w:t xml:space="preserve"> 96 </w:t>
      </w:r>
      <w:r w:rsidRPr="0028372B">
        <w:rPr>
          <w:i/>
          <w:color w:val="000000"/>
        </w:rPr>
        <w:t>N.C. L. Rev.</w:t>
      </w:r>
      <w:r>
        <w:rPr>
          <w:color w:val="000000"/>
        </w:rPr>
        <w:t> 679.</w:t>
      </w:r>
    </w:p>
    <w:p w:rsidR="00B618DD" w:rsidRDefault="00B618DD" w:rsidP="00B618DD">
      <w:pPr>
        <w:pStyle w:val="SCCNormalDoubleSpacing"/>
        <w:spacing w:after="240" w:line="240" w:lineRule="auto"/>
        <w:ind w:left="540" w:hanging="540"/>
        <w:rPr>
          <w:color w:val="000000"/>
        </w:rPr>
      </w:pPr>
      <w:r>
        <w:rPr>
          <w:rStyle w:val="solexhl"/>
          <w:rFonts w:eastAsiaTheme="majorEastAsia"/>
          <w:color w:val="000000"/>
        </w:rPr>
        <w:t xml:space="preserve">McEwan, J. Kenneth, and </w:t>
      </w:r>
      <w:proofErr w:type="spellStart"/>
      <w:r>
        <w:rPr>
          <w:rStyle w:val="solexhl"/>
          <w:rFonts w:eastAsiaTheme="majorEastAsia"/>
          <w:color w:val="000000"/>
        </w:rPr>
        <w:t>Ludmila</w:t>
      </w:r>
      <w:proofErr w:type="spellEnd"/>
      <w:r>
        <w:rPr>
          <w:rStyle w:val="solexhl"/>
          <w:rFonts w:eastAsiaTheme="majorEastAsia"/>
          <w:color w:val="000000"/>
        </w:rPr>
        <w:t xml:space="preserve"> B. </w:t>
      </w:r>
      <w:proofErr w:type="spellStart"/>
      <w:r>
        <w:rPr>
          <w:rStyle w:val="solexhl"/>
          <w:rFonts w:eastAsiaTheme="majorEastAsia"/>
          <w:color w:val="000000"/>
        </w:rPr>
        <w:t>Herbst</w:t>
      </w:r>
      <w:proofErr w:type="spellEnd"/>
      <w:r>
        <w:rPr>
          <w:rStyle w:val="solexhl"/>
          <w:rFonts w:eastAsiaTheme="majorEastAsia"/>
          <w:color w:val="000000"/>
        </w:rPr>
        <w:t>. </w:t>
      </w:r>
      <w:r>
        <w:rPr>
          <w:rStyle w:val="solexhl"/>
          <w:rFonts w:eastAsiaTheme="majorEastAsia"/>
          <w:i/>
          <w:iCs/>
          <w:color w:val="000000"/>
        </w:rPr>
        <w:t xml:space="preserve">Commercial Arbitration in </w:t>
      </w:r>
      <w:proofErr w:type="gramStart"/>
      <w:r>
        <w:rPr>
          <w:rStyle w:val="solexhl"/>
          <w:rFonts w:eastAsiaTheme="majorEastAsia"/>
          <w:i/>
          <w:iCs/>
          <w:color w:val="000000"/>
        </w:rPr>
        <w:t>Canada :</w:t>
      </w:r>
      <w:proofErr w:type="gramEnd"/>
      <w:r>
        <w:rPr>
          <w:rStyle w:val="solexhl"/>
          <w:rFonts w:eastAsiaTheme="majorEastAsia"/>
          <w:i/>
          <w:iCs/>
          <w:color w:val="000000"/>
        </w:rPr>
        <w:t xml:space="preserve"> A Guide to Domestic and International Arbitrations</w:t>
      </w:r>
      <w:r>
        <w:rPr>
          <w:color w:val="000000"/>
        </w:rPr>
        <w:t>, Aurora (Ont.) : Canada Law Book, 2004 (loose</w:t>
      </w:r>
      <w:r>
        <w:rPr>
          <w:color w:val="000000"/>
        </w:rPr>
        <w:noBreakHyphen/>
        <w:t>leaf updated December 2018, release 16).</w:t>
      </w:r>
    </w:p>
    <w:p w:rsidR="00B618DD" w:rsidRPr="0078542F" w:rsidRDefault="00B618DD" w:rsidP="00B618DD">
      <w:pPr>
        <w:pStyle w:val="SCCNormalDoubleSpacing"/>
        <w:spacing w:after="240" w:line="240" w:lineRule="auto"/>
        <w:ind w:left="540" w:hanging="540"/>
        <w:rPr>
          <w:lang w:val="fr-CA"/>
        </w:rPr>
      </w:pPr>
      <w:r>
        <w:rPr>
          <w:color w:val="000000"/>
        </w:rPr>
        <w:t xml:space="preserve">McGill, Shelley. </w:t>
      </w:r>
      <w:r>
        <w:t xml:space="preserve">« The Conflict </w:t>
      </w:r>
      <w:proofErr w:type="gramStart"/>
      <w:r>
        <w:t>Between</w:t>
      </w:r>
      <w:proofErr w:type="gramEnd"/>
      <w:r>
        <w:t xml:space="preserve"> Consumer Class Actions and Contractual Arbitration Clauses »</w:t>
      </w:r>
      <w:r w:rsidRPr="00B24E32">
        <w:t xml:space="preserve"> </w:t>
      </w:r>
      <w:r>
        <w:t xml:space="preserve">(2006), 43 </w:t>
      </w:r>
      <w:r w:rsidRPr="00FA1084">
        <w:rPr>
          <w:i/>
          <w:iCs/>
        </w:rPr>
        <w:t>Rev</w:t>
      </w:r>
      <w:r>
        <w:rPr>
          <w:i/>
          <w:iCs/>
        </w:rPr>
        <w:t>. can</w:t>
      </w:r>
      <w:r w:rsidRPr="00FA1084">
        <w:rPr>
          <w:i/>
          <w:iCs/>
        </w:rPr>
        <w:t>. dr. comm.</w:t>
      </w:r>
      <w:r>
        <w:rPr>
          <w:i/>
          <w:iCs/>
        </w:rPr>
        <w:t xml:space="preserve"> </w:t>
      </w:r>
      <w:r w:rsidRPr="0078542F">
        <w:rPr>
          <w:lang w:val="fr-CA"/>
        </w:rPr>
        <w:t>359.</w:t>
      </w:r>
    </w:p>
    <w:p w:rsidR="00B618DD" w:rsidRDefault="00B618DD" w:rsidP="00B618DD">
      <w:pPr>
        <w:pStyle w:val="SCCNormalDoubleSpacing"/>
        <w:spacing w:after="240" w:line="240" w:lineRule="auto"/>
        <w:ind w:left="540" w:hanging="540"/>
        <w:rPr>
          <w:color w:val="000000"/>
          <w:lang w:val="fr-CA"/>
        </w:rPr>
      </w:pPr>
      <w:r>
        <w:rPr>
          <w:color w:val="000000"/>
          <w:lang w:val="fr-CA"/>
        </w:rPr>
        <w:t xml:space="preserve">Ontario. Assemblée législative. </w:t>
      </w:r>
      <w:r w:rsidRPr="00AF4745">
        <w:rPr>
          <w:i/>
          <w:iCs/>
          <w:color w:val="000000"/>
          <w:lang w:val="fr-CA"/>
        </w:rPr>
        <w:t>Journal des débats (</w:t>
      </w:r>
      <w:proofErr w:type="spellStart"/>
      <w:r w:rsidRPr="00AF4745">
        <w:rPr>
          <w:i/>
          <w:iCs/>
          <w:color w:val="000000"/>
          <w:lang w:val="fr-CA"/>
        </w:rPr>
        <w:t>Hansard</w:t>
      </w:r>
      <w:proofErr w:type="spellEnd"/>
      <w:r w:rsidRPr="00AF4745">
        <w:rPr>
          <w:i/>
          <w:iCs/>
          <w:color w:val="000000"/>
          <w:lang w:val="fr-CA"/>
        </w:rPr>
        <w:t>)</w:t>
      </w:r>
      <w:r w:rsidRPr="00AF4745">
        <w:rPr>
          <w:color w:val="000000"/>
          <w:lang w:val="fr-CA"/>
        </w:rPr>
        <w:t xml:space="preserve">, </w:t>
      </w:r>
      <w:r w:rsidRPr="00452DFF">
        <w:rPr>
          <w:color w:val="000000"/>
          <w:lang w:val="fr-CA"/>
        </w:rPr>
        <w:t>1</w:t>
      </w:r>
      <w:r w:rsidRPr="00452DFF">
        <w:rPr>
          <w:color w:val="000000"/>
          <w:vertAlign w:val="superscript"/>
          <w:lang w:val="fr-CA"/>
        </w:rPr>
        <w:t>re</w:t>
      </w:r>
      <w:r w:rsidRPr="00452DFF">
        <w:rPr>
          <w:color w:val="000000"/>
          <w:lang w:val="fr-CA"/>
        </w:rPr>
        <w:t> </w:t>
      </w:r>
      <w:proofErr w:type="spellStart"/>
      <w:proofErr w:type="gramStart"/>
      <w:r w:rsidRPr="00452DFF">
        <w:rPr>
          <w:color w:val="000000"/>
          <w:lang w:val="fr-CA"/>
        </w:rPr>
        <w:t>sess</w:t>
      </w:r>
      <w:proofErr w:type="spellEnd"/>
      <w:r w:rsidRPr="00AF4745">
        <w:rPr>
          <w:color w:val="000000"/>
          <w:lang w:val="fr-CA"/>
        </w:rPr>
        <w:t>.,</w:t>
      </w:r>
      <w:proofErr w:type="gramEnd"/>
      <w:r w:rsidRPr="00AF4745">
        <w:rPr>
          <w:color w:val="000000"/>
          <w:lang w:val="fr-CA"/>
        </w:rPr>
        <w:t xml:space="preserve"> 3</w:t>
      </w:r>
      <w:r>
        <w:rPr>
          <w:color w:val="000000"/>
          <w:lang w:val="fr-CA"/>
        </w:rPr>
        <w:t>5</w:t>
      </w:r>
      <w:r w:rsidRPr="00AF4745">
        <w:rPr>
          <w:color w:val="000000"/>
          <w:vertAlign w:val="superscript"/>
          <w:lang w:val="fr-CA"/>
        </w:rPr>
        <w:t>e</w:t>
      </w:r>
      <w:r>
        <w:rPr>
          <w:color w:val="000000"/>
          <w:lang w:val="fr-CA"/>
        </w:rPr>
        <w:t> </w:t>
      </w:r>
      <w:proofErr w:type="spellStart"/>
      <w:r>
        <w:rPr>
          <w:color w:val="000000"/>
          <w:lang w:val="fr-CA"/>
        </w:rPr>
        <w:t>lég</w:t>
      </w:r>
      <w:proofErr w:type="spellEnd"/>
      <w:r>
        <w:rPr>
          <w:color w:val="000000"/>
          <w:lang w:val="fr-CA"/>
        </w:rPr>
        <w:t>., 27 mars 1991</w:t>
      </w:r>
      <w:r w:rsidRPr="00AF4745">
        <w:rPr>
          <w:color w:val="000000"/>
          <w:lang w:val="fr-CA"/>
        </w:rPr>
        <w:t>, p</w:t>
      </w:r>
      <w:r>
        <w:rPr>
          <w:color w:val="000000"/>
          <w:lang w:val="fr-CA"/>
        </w:rPr>
        <w:t>. 245, 256</w:t>
      </w:r>
      <w:r w:rsidRPr="00AF4745">
        <w:rPr>
          <w:color w:val="000000"/>
          <w:lang w:val="fr-CA"/>
        </w:rPr>
        <w:t>.</w:t>
      </w:r>
    </w:p>
    <w:p w:rsidR="00B618DD" w:rsidRPr="00AF4745" w:rsidRDefault="00B618DD" w:rsidP="00B618DD">
      <w:pPr>
        <w:pStyle w:val="SCCNormalDoubleSpacing"/>
        <w:spacing w:after="240" w:line="240" w:lineRule="auto"/>
        <w:ind w:left="540" w:hanging="540"/>
        <w:rPr>
          <w:color w:val="000000"/>
          <w:lang w:val="fr-CA"/>
        </w:rPr>
      </w:pPr>
      <w:r>
        <w:rPr>
          <w:color w:val="000000"/>
          <w:lang w:val="fr-CA"/>
        </w:rPr>
        <w:t xml:space="preserve">Ontario. Assemblée législative. </w:t>
      </w:r>
      <w:r w:rsidRPr="00AF4745">
        <w:rPr>
          <w:i/>
          <w:iCs/>
          <w:color w:val="000000"/>
          <w:lang w:val="fr-CA"/>
        </w:rPr>
        <w:t>Journal des débats (</w:t>
      </w:r>
      <w:proofErr w:type="spellStart"/>
      <w:r w:rsidRPr="00AF4745">
        <w:rPr>
          <w:i/>
          <w:iCs/>
          <w:color w:val="000000"/>
          <w:lang w:val="fr-CA"/>
        </w:rPr>
        <w:t>Hansard</w:t>
      </w:r>
      <w:proofErr w:type="spellEnd"/>
      <w:r w:rsidRPr="00AF4745">
        <w:rPr>
          <w:i/>
          <w:iCs/>
          <w:color w:val="000000"/>
          <w:lang w:val="fr-CA"/>
        </w:rPr>
        <w:t>)</w:t>
      </w:r>
      <w:r w:rsidRPr="00AF4745">
        <w:rPr>
          <w:color w:val="000000"/>
          <w:lang w:val="fr-CA"/>
        </w:rPr>
        <w:t xml:space="preserve">, </w:t>
      </w:r>
      <w:r w:rsidRPr="00452DFF">
        <w:rPr>
          <w:color w:val="000000"/>
          <w:lang w:val="fr-CA"/>
        </w:rPr>
        <w:t>1</w:t>
      </w:r>
      <w:r w:rsidRPr="00452DFF">
        <w:rPr>
          <w:color w:val="000000"/>
          <w:vertAlign w:val="superscript"/>
          <w:lang w:val="fr-CA"/>
        </w:rPr>
        <w:t>re</w:t>
      </w:r>
      <w:r w:rsidRPr="00452DFF">
        <w:rPr>
          <w:color w:val="000000"/>
          <w:lang w:val="fr-CA"/>
        </w:rPr>
        <w:t> </w:t>
      </w:r>
      <w:proofErr w:type="spellStart"/>
      <w:proofErr w:type="gramStart"/>
      <w:r w:rsidRPr="00452DFF">
        <w:rPr>
          <w:color w:val="000000"/>
          <w:lang w:val="fr-CA"/>
        </w:rPr>
        <w:t>sess</w:t>
      </w:r>
      <w:proofErr w:type="spellEnd"/>
      <w:r w:rsidRPr="00AF4745">
        <w:rPr>
          <w:color w:val="000000"/>
          <w:lang w:val="fr-CA"/>
        </w:rPr>
        <w:t>.,</w:t>
      </w:r>
      <w:proofErr w:type="gramEnd"/>
      <w:r w:rsidRPr="00AF4745">
        <w:rPr>
          <w:color w:val="000000"/>
          <w:lang w:val="fr-CA"/>
        </w:rPr>
        <w:t xml:space="preserve"> 3</w:t>
      </w:r>
      <w:r>
        <w:rPr>
          <w:color w:val="000000"/>
          <w:lang w:val="fr-CA"/>
        </w:rPr>
        <w:t>5</w:t>
      </w:r>
      <w:r w:rsidRPr="00AF4745">
        <w:rPr>
          <w:color w:val="000000"/>
          <w:vertAlign w:val="superscript"/>
          <w:lang w:val="fr-CA"/>
        </w:rPr>
        <w:t>e</w:t>
      </w:r>
      <w:r>
        <w:rPr>
          <w:color w:val="000000"/>
          <w:lang w:val="fr-CA"/>
        </w:rPr>
        <w:t> </w:t>
      </w:r>
      <w:proofErr w:type="spellStart"/>
      <w:r>
        <w:rPr>
          <w:color w:val="000000"/>
          <w:lang w:val="fr-CA"/>
        </w:rPr>
        <w:t>lég</w:t>
      </w:r>
      <w:proofErr w:type="spellEnd"/>
      <w:r>
        <w:rPr>
          <w:color w:val="000000"/>
          <w:lang w:val="fr-CA"/>
        </w:rPr>
        <w:t>., 5 novembre 1991</w:t>
      </w:r>
      <w:r w:rsidRPr="00AF4745">
        <w:rPr>
          <w:color w:val="000000"/>
          <w:lang w:val="fr-CA"/>
        </w:rPr>
        <w:t>, p</w:t>
      </w:r>
      <w:r>
        <w:rPr>
          <w:color w:val="000000"/>
          <w:lang w:val="fr-CA"/>
        </w:rPr>
        <w:t>. 3384</w:t>
      </w:r>
      <w:r w:rsidRPr="00AF4745">
        <w:rPr>
          <w:color w:val="000000"/>
          <w:lang w:val="fr-CA"/>
        </w:rPr>
        <w:t>.</w:t>
      </w:r>
    </w:p>
    <w:p w:rsidR="00B618DD" w:rsidRPr="00C47E36" w:rsidRDefault="00B618DD" w:rsidP="00B618DD">
      <w:pPr>
        <w:pStyle w:val="SCCNormalDoubleSpacing"/>
        <w:spacing w:after="240" w:line="240" w:lineRule="auto"/>
        <w:ind w:left="540" w:hanging="540"/>
        <w:rPr>
          <w:lang w:val="en-US"/>
        </w:rPr>
      </w:pPr>
      <w:proofErr w:type="spellStart"/>
      <w:r w:rsidRPr="00025397">
        <w:rPr>
          <w:lang w:val="en-US"/>
        </w:rPr>
        <w:t>Pavlović</w:t>
      </w:r>
      <w:proofErr w:type="spellEnd"/>
      <w:r w:rsidRPr="00025397">
        <w:rPr>
          <w:lang w:val="en-US"/>
        </w:rPr>
        <w:t>, Marina, and Anthony D</w:t>
      </w:r>
      <w:proofErr w:type="spellStart"/>
      <w:r>
        <w:t>aimsis</w:t>
      </w:r>
      <w:proofErr w:type="spellEnd"/>
      <w:r>
        <w:t xml:space="preserve">. </w:t>
      </w:r>
      <w:r>
        <w:rPr>
          <w:color w:val="000000"/>
        </w:rPr>
        <w:t>« </w:t>
      </w:r>
      <w:r>
        <w:t>Arbitration</w:t>
      </w:r>
      <w:r>
        <w:rPr>
          <w:color w:val="000000"/>
        </w:rPr>
        <w:t> »</w:t>
      </w:r>
      <w:r>
        <w:t xml:space="preserve">, </w:t>
      </w:r>
      <w:r w:rsidRPr="004469B1">
        <w:t xml:space="preserve">in John C. </w:t>
      </w:r>
      <w:proofErr w:type="spellStart"/>
      <w:r w:rsidRPr="004469B1">
        <w:t>Kleefeld</w:t>
      </w:r>
      <w:proofErr w:type="spellEnd"/>
      <w:r w:rsidRPr="004469B1">
        <w:t xml:space="preserve"> et al.,</w:t>
      </w:r>
      <w:r>
        <w:t xml:space="preserve"> eds., </w:t>
      </w:r>
      <w:r>
        <w:rPr>
          <w:i/>
        </w:rPr>
        <w:t xml:space="preserve">Dispute </w:t>
      </w:r>
      <w:proofErr w:type="gramStart"/>
      <w:r>
        <w:rPr>
          <w:i/>
        </w:rPr>
        <w:t>Resolution</w:t>
      </w:r>
      <w:r w:rsidRPr="00682FD8">
        <w:rPr>
          <w:rStyle w:val="solexhl"/>
          <w:rFonts w:eastAsiaTheme="majorEastAsia"/>
          <w:i/>
          <w:iCs/>
          <w:color w:val="000000"/>
          <w:lang w:val="en-US"/>
        </w:rPr>
        <w:t> :</w:t>
      </w:r>
      <w:proofErr w:type="gramEnd"/>
      <w:r w:rsidRPr="00682FD8">
        <w:rPr>
          <w:rStyle w:val="solexhl"/>
          <w:rFonts w:eastAsiaTheme="majorEastAsia"/>
          <w:i/>
          <w:iCs/>
          <w:color w:val="000000"/>
          <w:lang w:val="en-US"/>
        </w:rPr>
        <w:t xml:space="preserve"> </w:t>
      </w:r>
      <w:r>
        <w:rPr>
          <w:i/>
        </w:rPr>
        <w:t>Readings and Case Studies</w:t>
      </w:r>
      <w:r>
        <w:t>, 4</w:t>
      </w:r>
      <w:r w:rsidRPr="00C47E36">
        <w:t>th</w:t>
      </w:r>
      <w:r>
        <w:t xml:space="preserve"> ed., Toronto, </w:t>
      </w:r>
      <w:proofErr w:type="spellStart"/>
      <w:r>
        <w:t>Emond</w:t>
      </w:r>
      <w:proofErr w:type="spellEnd"/>
      <w:r>
        <w:t xml:space="preserve"> Montgomery, 2016.</w:t>
      </w:r>
    </w:p>
    <w:p w:rsidR="00CD0B94" w:rsidRDefault="00CD0B94" w:rsidP="00B618DD">
      <w:pPr>
        <w:pStyle w:val="SCCNormalDoubleSpacing"/>
        <w:spacing w:after="240" w:line="240" w:lineRule="auto"/>
        <w:ind w:left="540" w:hanging="540"/>
        <w:rPr>
          <w:lang w:val="en"/>
        </w:rPr>
      </w:pPr>
      <w:r w:rsidRPr="007E2592">
        <w:rPr>
          <w:rStyle w:val="solexhl"/>
          <w:rFonts w:eastAsiaTheme="majorEastAsia"/>
          <w:color w:val="000000"/>
        </w:rPr>
        <w:t>Sullivan</w:t>
      </w:r>
      <w:r w:rsidRPr="007E2592">
        <w:rPr>
          <w:color w:val="000000"/>
        </w:rPr>
        <w:t>, Ruth. </w:t>
      </w:r>
      <w:r w:rsidRPr="007E2592">
        <w:rPr>
          <w:rStyle w:val="solexhl"/>
          <w:rFonts w:eastAsiaTheme="majorEastAsia"/>
          <w:i/>
          <w:iCs/>
          <w:color w:val="000000"/>
        </w:rPr>
        <w:t>Statutory Interpretation</w:t>
      </w:r>
      <w:r w:rsidRPr="007E2592">
        <w:rPr>
          <w:color w:val="000000"/>
        </w:rPr>
        <w:t>, 3rd ed., Toronto, Irwin Law, 2016.</w:t>
      </w:r>
    </w:p>
    <w:p w:rsidR="00B618DD" w:rsidRPr="008C6B1C" w:rsidRDefault="00B618DD" w:rsidP="00CD0B94">
      <w:pPr>
        <w:pStyle w:val="SCCNormalDoubleSpacing"/>
        <w:spacing w:after="720" w:line="240" w:lineRule="auto"/>
        <w:ind w:left="547" w:hanging="547"/>
      </w:pPr>
      <w:r w:rsidRPr="006E618F">
        <w:rPr>
          <w:lang w:val="en"/>
        </w:rPr>
        <w:t xml:space="preserve">Sullivan, Ruth. </w:t>
      </w:r>
      <w:r w:rsidRPr="006E618F">
        <w:rPr>
          <w:i/>
          <w:iCs/>
          <w:lang w:val="en"/>
        </w:rPr>
        <w:t>Sullivan on the Construction of Statutes</w:t>
      </w:r>
      <w:r w:rsidRPr="006E618F">
        <w:rPr>
          <w:lang w:val="en"/>
        </w:rPr>
        <w:t>, 6th ed.</w:t>
      </w:r>
      <w:r>
        <w:rPr>
          <w:lang w:val="en"/>
        </w:rPr>
        <w:t>,</w:t>
      </w:r>
      <w:r w:rsidRPr="006E618F">
        <w:rPr>
          <w:lang w:val="en"/>
        </w:rPr>
        <w:t xml:space="preserve"> </w:t>
      </w:r>
      <w:r>
        <w:t>Markham</w:t>
      </w:r>
      <w:r w:rsidRPr="008C6B1C">
        <w:t xml:space="preserve"> (Ont.), LexisNexis, 2014.</w:t>
      </w:r>
    </w:p>
    <w:p w:rsidR="00B618DD" w:rsidRPr="00653C52" w:rsidRDefault="00B618DD" w:rsidP="00B618DD">
      <w:pPr>
        <w:pStyle w:val="SCCNormalDoubleSpacing"/>
        <w:tabs>
          <w:tab w:val="clear" w:pos="1168"/>
          <w:tab w:val="right" w:pos="1170"/>
        </w:tabs>
        <w:spacing w:after="480"/>
        <w:ind w:firstLine="1170"/>
        <w:rPr>
          <w:lang w:val="fr-CA"/>
        </w:rPr>
      </w:pPr>
      <w:r w:rsidRPr="00653C52">
        <w:t xml:space="preserve">POURVOI </w:t>
      </w:r>
      <w:proofErr w:type="spellStart"/>
      <w:r w:rsidRPr="00653C52">
        <w:t>contre</w:t>
      </w:r>
      <w:proofErr w:type="spellEnd"/>
      <w:r w:rsidRPr="00653C52">
        <w:t xml:space="preserve"> un </w:t>
      </w:r>
      <w:proofErr w:type="spellStart"/>
      <w:r w:rsidRPr="00653C52">
        <w:t>arrêt</w:t>
      </w:r>
      <w:proofErr w:type="spellEnd"/>
      <w:r w:rsidRPr="00653C52">
        <w:t xml:space="preserve"> de la </w:t>
      </w:r>
      <w:proofErr w:type="spellStart"/>
      <w:r w:rsidRPr="00653C52">
        <w:t>Cour</w:t>
      </w:r>
      <w:proofErr w:type="spellEnd"/>
      <w:r w:rsidRPr="00653C52">
        <w:t xml:space="preserve"> </w:t>
      </w:r>
      <w:proofErr w:type="spellStart"/>
      <w:r w:rsidRPr="00653C52">
        <w:t>d’appel</w:t>
      </w:r>
      <w:proofErr w:type="spellEnd"/>
      <w:r w:rsidRPr="00653C52">
        <w:t xml:space="preserve"> de </w:t>
      </w:r>
      <w:proofErr w:type="spellStart"/>
      <w:r w:rsidRPr="00653C52">
        <w:t>l’Ontario</w:t>
      </w:r>
      <w:proofErr w:type="spellEnd"/>
      <w:r w:rsidRPr="00653C52">
        <w:t xml:space="preserve"> (les </w:t>
      </w:r>
      <w:proofErr w:type="spellStart"/>
      <w:r w:rsidRPr="00653C52">
        <w:t>juges</w:t>
      </w:r>
      <w:proofErr w:type="spellEnd"/>
      <w:r w:rsidRPr="00653C52">
        <w:t xml:space="preserve"> </w:t>
      </w:r>
      <w:proofErr w:type="spellStart"/>
      <w:r w:rsidRPr="00653C52">
        <w:t>Weiler</w:t>
      </w:r>
      <w:proofErr w:type="spellEnd"/>
      <w:r w:rsidRPr="00653C52">
        <w:t xml:space="preserve">, Blair et van </w:t>
      </w:r>
      <w:proofErr w:type="spellStart"/>
      <w:r w:rsidRPr="00653C52">
        <w:t>Rensburg</w:t>
      </w:r>
      <w:proofErr w:type="spellEnd"/>
      <w:r w:rsidRPr="00653C52">
        <w:t xml:space="preserve">), 2017 ONCA 433, 138 O.R. (3d) 413, 413 D.L.R. (4th) 684, 100 C.P.C. (7th) 1, [2017] O.J. No. 2800 (QL), 2017 </w:t>
      </w:r>
      <w:proofErr w:type="spellStart"/>
      <w:r w:rsidRPr="00653C52">
        <w:t>CarswellOnt</w:t>
      </w:r>
      <w:proofErr w:type="spellEnd"/>
      <w:r w:rsidRPr="00653C52">
        <w:t xml:space="preserve"> 8100 (WL Can.), [2017] AZ</w:t>
      </w:r>
      <w:r w:rsidRPr="00653C52">
        <w:noBreakHyphen/>
        <w:t xml:space="preserve">51397363, qui a </w:t>
      </w:r>
      <w:proofErr w:type="spellStart"/>
      <w:r w:rsidRPr="00653C52">
        <w:t>confirmé</w:t>
      </w:r>
      <w:proofErr w:type="spellEnd"/>
      <w:r w:rsidRPr="00653C52">
        <w:t xml:space="preserve"> </w:t>
      </w:r>
      <w:proofErr w:type="spellStart"/>
      <w:r w:rsidRPr="00653C52">
        <w:t>une</w:t>
      </w:r>
      <w:proofErr w:type="spellEnd"/>
      <w:r w:rsidRPr="00653C52">
        <w:t xml:space="preserve"> </w:t>
      </w:r>
      <w:proofErr w:type="spellStart"/>
      <w:r w:rsidRPr="00653C52">
        <w:t>décision</w:t>
      </w:r>
      <w:proofErr w:type="spellEnd"/>
      <w:r w:rsidRPr="00653C52">
        <w:t xml:space="preserve"> de la </w:t>
      </w:r>
      <w:proofErr w:type="spellStart"/>
      <w:r w:rsidRPr="00653C52">
        <w:t>juge</w:t>
      </w:r>
      <w:proofErr w:type="spellEnd"/>
      <w:r w:rsidRPr="00653C52">
        <w:t xml:space="preserve"> Conway, 2014 ONSC 3318, 63 C.P.C. (7th) 50, [2014] O.J. No. 5613 (QL), 2014 </w:t>
      </w:r>
      <w:proofErr w:type="spellStart"/>
      <w:r w:rsidRPr="00653C52">
        <w:t>CarswellOnt</w:t>
      </w:r>
      <w:proofErr w:type="spellEnd"/>
      <w:r w:rsidRPr="00653C52">
        <w:t xml:space="preserve"> 16562 (WL Can.). </w:t>
      </w:r>
      <w:r w:rsidRPr="00653C52">
        <w:rPr>
          <w:lang w:val="fr-CA"/>
        </w:rPr>
        <w:t xml:space="preserve">Pourvoi accueilli, le juge en chef Wagner et les juges Abella, </w:t>
      </w:r>
      <w:proofErr w:type="spellStart"/>
      <w:r w:rsidRPr="00653C52">
        <w:rPr>
          <w:lang w:val="fr-CA"/>
        </w:rPr>
        <w:t>Karakatsanis</w:t>
      </w:r>
      <w:proofErr w:type="spellEnd"/>
      <w:r w:rsidRPr="00653C52">
        <w:rPr>
          <w:lang w:val="fr-CA"/>
        </w:rPr>
        <w:t xml:space="preserve"> et Martin sont dissidents.</w:t>
      </w:r>
    </w:p>
    <w:p w:rsidR="00B618DD" w:rsidRPr="00653C52" w:rsidRDefault="00B618DD" w:rsidP="00B618DD">
      <w:pPr>
        <w:pStyle w:val="SCCNormalDoubleSpacing"/>
        <w:tabs>
          <w:tab w:val="clear" w:pos="1168"/>
          <w:tab w:val="left" w:pos="1170"/>
        </w:tabs>
        <w:spacing w:after="480"/>
        <w:rPr>
          <w:lang w:val="fr-CA"/>
        </w:rPr>
      </w:pPr>
      <w:r w:rsidRPr="00653C52">
        <w:rPr>
          <w:i/>
          <w:lang w:val="fr-CA"/>
        </w:rPr>
        <w:tab/>
        <w:t>D. Geoffrey G. Cowper</w:t>
      </w:r>
      <w:r>
        <w:rPr>
          <w:lang w:val="fr-CA"/>
        </w:rPr>
        <w:t>,</w:t>
      </w:r>
      <w:r w:rsidRPr="00653C52">
        <w:rPr>
          <w:i/>
          <w:lang w:val="fr-CA"/>
        </w:rPr>
        <w:t xml:space="preserve"> </w:t>
      </w:r>
      <w:proofErr w:type="spellStart"/>
      <w:proofErr w:type="gramStart"/>
      <w:r w:rsidRPr="00653C52">
        <w:rPr>
          <w:i/>
          <w:lang w:val="fr-CA"/>
        </w:rPr>
        <w:t>c.r</w:t>
      </w:r>
      <w:proofErr w:type="spellEnd"/>
      <w:r w:rsidRPr="00653C52">
        <w:rPr>
          <w:i/>
          <w:lang w:val="fr-CA"/>
        </w:rPr>
        <w:t>.</w:t>
      </w:r>
      <w:r w:rsidRPr="00653C52">
        <w:rPr>
          <w:lang w:val="fr-CA"/>
        </w:rPr>
        <w:t>,</w:t>
      </w:r>
      <w:proofErr w:type="gramEnd"/>
      <w:r w:rsidRPr="00653C52">
        <w:rPr>
          <w:lang w:val="fr-CA"/>
        </w:rPr>
        <w:t xml:space="preserve"> </w:t>
      </w:r>
      <w:r w:rsidRPr="00653C52">
        <w:rPr>
          <w:i/>
          <w:lang w:val="fr-CA"/>
        </w:rPr>
        <w:t xml:space="preserve">Andrew D. </w:t>
      </w:r>
      <w:proofErr w:type="spellStart"/>
      <w:r w:rsidRPr="00653C52">
        <w:rPr>
          <w:i/>
          <w:lang w:val="fr-CA"/>
        </w:rPr>
        <w:t>Borrell</w:t>
      </w:r>
      <w:proofErr w:type="spellEnd"/>
      <w:r w:rsidRPr="00653C52">
        <w:rPr>
          <w:lang w:val="fr-CA"/>
        </w:rPr>
        <w:t xml:space="preserve">, </w:t>
      </w:r>
      <w:r w:rsidRPr="00653C52">
        <w:rPr>
          <w:i/>
          <w:lang w:val="fr-CA"/>
        </w:rPr>
        <w:t xml:space="preserve">Alexandra </w:t>
      </w:r>
      <w:proofErr w:type="spellStart"/>
      <w:r w:rsidRPr="00653C52">
        <w:rPr>
          <w:i/>
          <w:lang w:val="fr-CA"/>
        </w:rPr>
        <w:t>Mitretodis</w:t>
      </w:r>
      <w:proofErr w:type="spellEnd"/>
      <w:r w:rsidRPr="00653C52">
        <w:rPr>
          <w:i/>
          <w:lang w:val="fr-CA"/>
        </w:rPr>
        <w:t xml:space="preserve"> </w:t>
      </w:r>
      <w:r w:rsidRPr="00653C52">
        <w:rPr>
          <w:lang w:val="fr-CA"/>
        </w:rPr>
        <w:t xml:space="preserve">et </w:t>
      </w:r>
      <w:r w:rsidRPr="00653C52">
        <w:rPr>
          <w:i/>
          <w:lang w:val="fr-CA"/>
        </w:rPr>
        <w:t xml:space="preserve">Alan </w:t>
      </w:r>
      <w:proofErr w:type="spellStart"/>
      <w:r w:rsidRPr="00653C52">
        <w:rPr>
          <w:i/>
          <w:lang w:val="fr-CA"/>
        </w:rPr>
        <w:t>Dabb</w:t>
      </w:r>
      <w:proofErr w:type="spellEnd"/>
      <w:r w:rsidRPr="00653C52">
        <w:rPr>
          <w:lang w:val="fr-CA"/>
        </w:rPr>
        <w:t>, pour l’appelante.</w:t>
      </w:r>
    </w:p>
    <w:p w:rsidR="00B618DD" w:rsidRPr="00653C52" w:rsidRDefault="00B618DD" w:rsidP="00B618DD">
      <w:pPr>
        <w:pStyle w:val="SCCNormalDoubleSpacing"/>
        <w:tabs>
          <w:tab w:val="clear" w:pos="1168"/>
          <w:tab w:val="left" w:pos="1170"/>
        </w:tabs>
        <w:spacing w:after="480"/>
        <w:rPr>
          <w:lang w:val="fr-CA"/>
        </w:rPr>
      </w:pPr>
      <w:r w:rsidRPr="00653C52">
        <w:rPr>
          <w:i/>
          <w:lang w:val="fr-CA"/>
        </w:rPr>
        <w:tab/>
      </w:r>
      <w:proofErr w:type="spellStart"/>
      <w:r w:rsidRPr="00653C52">
        <w:rPr>
          <w:i/>
          <w:lang w:val="fr-CA"/>
        </w:rPr>
        <w:t>Joel</w:t>
      </w:r>
      <w:proofErr w:type="spellEnd"/>
      <w:r w:rsidRPr="00653C52">
        <w:rPr>
          <w:i/>
          <w:lang w:val="fr-CA"/>
        </w:rPr>
        <w:t xml:space="preserve"> P. </w:t>
      </w:r>
      <w:proofErr w:type="spellStart"/>
      <w:r w:rsidRPr="00653C52">
        <w:rPr>
          <w:i/>
          <w:lang w:val="fr-CA"/>
        </w:rPr>
        <w:t>Rochon</w:t>
      </w:r>
      <w:proofErr w:type="spellEnd"/>
      <w:r w:rsidRPr="00653C52">
        <w:rPr>
          <w:lang w:val="fr-CA"/>
        </w:rPr>
        <w:t xml:space="preserve">, </w:t>
      </w:r>
      <w:r w:rsidRPr="00653C52">
        <w:rPr>
          <w:i/>
          <w:lang w:val="fr-CA"/>
        </w:rPr>
        <w:t xml:space="preserve">Peter R. </w:t>
      </w:r>
      <w:proofErr w:type="spellStart"/>
      <w:r w:rsidRPr="00653C52">
        <w:rPr>
          <w:i/>
          <w:lang w:val="fr-CA"/>
        </w:rPr>
        <w:t>Jervis</w:t>
      </w:r>
      <w:proofErr w:type="spellEnd"/>
      <w:r w:rsidRPr="00653C52">
        <w:rPr>
          <w:lang w:val="fr-CA"/>
        </w:rPr>
        <w:t xml:space="preserve">, </w:t>
      </w:r>
      <w:proofErr w:type="spellStart"/>
      <w:r w:rsidRPr="00653C52">
        <w:rPr>
          <w:i/>
          <w:lang w:val="fr-CA"/>
        </w:rPr>
        <w:t>Golnaz</w:t>
      </w:r>
      <w:proofErr w:type="spellEnd"/>
      <w:r w:rsidRPr="00653C52">
        <w:rPr>
          <w:i/>
          <w:lang w:val="fr-CA"/>
        </w:rPr>
        <w:t xml:space="preserve"> </w:t>
      </w:r>
      <w:proofErr w:type="spellStart"/>
      <w:r w:rsidRPr="00653C52">
        <w:rPr>
          <w:i/>
          <w:lang w:val="fr-CA"/>
        </w:rPr>
        <w:t>Nayerahmadi</w:t>
      </w:r>
      <w:proofErr w:type="spellEnd"/>
      <w:r w:rsidRPr="00653C52">
        <w:rPr>
          <w:i/>
          <w:lang w:val="fr-CA"/>
        </w:rPr>
        <w:t xml:space="preserve"> </w:t>
      </w:r>
      <w:r w:rsidRPr="00653C52">
        <w:rPr>
          <w:lang w:val="fr-CA"/>
        </w:rPr>
        <w:t xml:space="preserve">et </w:t>
      </w:r>
      <w:r w:rsidRPr="00653C52">
        <w:rPr>
          <w:i/>
          <w:lang w:val="fr-CA"/>
        </w:rPr>
        <w:t xml:space="preserve">Eli </w:t>
      </w:r>
      <w:proofErr w:type="spellStart"/>
      <w:r w:rsidRPr="00653C52">
        <w:rPr>
          <w:i/>
          <w:lang w:val="fr-CA"/>
        </w:rPr>
        <w:t>Karp</w:t>
      </w:r>
      <w:proofErr w:type="spellEnd"/>
      <w:r w:rsidRPr="00653C52">
        <w:rPr>
          <w:lang w:val="fr-CA"/>
        </w:rPr>
        <w:t>, pour l’intimé.</w:t>
      </w:r>
    </w:p>
    <w:p w:rsidR="00B618DD" w:rsidRPr="00653C52" w:rsidRDefault="00B618DD" w:rsidP="00B618DD">
      <w:pPr>
        <w:pStyle w:val="SCCNormalDoubleSpacing"/>
        <w:tabs>
          <w:tab w:val="clear" w:pos="1168"/>
          <w:tab w:val="left" w:pos="1170"/>
        </w:tabs>
        <w:spacing w:after="480"/>
        <w:rPr>
          <w:lang w:val="fr-CA"/>
        </w:rPr>
      </w:pPr>
      <w:r w:rsidRPr="00653C52">
        <w:rPr>
          <w:i/>
          <w:lang w:val="fr-CA"/>
        </w:rPr>
        <w:tab/>
        <w:t xml:space="preserve">Jonathan </w:t>
      </w:r>
      <w:proofErr w:type="spellStart"/>
      <w:r w:rsidRPr="00653C52">
        <w:rPr>
          <w:i/>
          <w:lang w:val="fr-CA"/>
        </w:rPr>
        <w:t>Eades</w:t>
      </w:r>
      <w:proofErr w:type="spellEnd"/>
      <w:r w:rsidRPr="00653C52">
        <w:rPr>
          <w:lang w:val="fr-CA"/>
        </w:rPr>
        <w:t xml:space="preserve"> et </w:t>
      </w:r>
      <w:r w:rsidRPr="00653C52">
        <w:rPr>
          <w:i/>
          <w:lang w:val="fr-CA"/>
        </w:rPr>
        <w:t>James L. Maxwell</w:t>
      </w:r>
      <w:r w:rsidRPr="00653C52">
        <w:rPr>
          <w:lang w:val="fr-CA"/>
        </w:rPr>
        <w:t xml:space="preserve">, pour </w:t>
      </w:r>
      <w:r>
        <w:rPr>
          <w:lang w:val="fr-CA"/>
        </w:rPr>
        <w:t>l’intervenant le p</w:t>
      </w:r>
      <w:r w:rsidRPr="00653C52">
        <w:rPr>
          <w:lang w:val="fr-CA"/>
        </w:rPr>
        <w:t>rocureur général de la Colombie</w:t>
      </w:r>
      <w:r w:rsidRPr="00653C52">
        <w:rPr>
          <w:lang w:val="fr-CA"/>
        </w:rPr>
        <w:noBreakHyphen/>
        <w:t>Britannique.</w:t>
      </w:r>
    </w:p>
    <w:p w:rsidR="00B618DD" w:rsidRPr="00653C52" w:rsidRDefault="00B618DD" w:rsidP="00B618DD">
      <w:pPr>
        <w:pStyle w:val="SCCNormalDoubleSpacing"/>
        <w:tabs>
          <w:tab w:val="clear" w:pos="1168"/>
          <w:tab w:val="left" w:pos="1170"/>
        </w:tabs>
        <w:spacing w:after="480"/>
        <w:rPr>
          <w:lang w:val="fr-CA"/>
        </w:rPr>
      </w:pPr>
      <w:r w:rsidRPr="00653C52">
        <w:rPr>
          <w:i/>
          <w:lang w:val="fr-CA"/>
        </w:rPr>
        <w:tab/>
        <w:t xml:space="preserve">Michael </w:t>
      </w:r>
      <w:proofErr w:type="spellStart"/>
      <w:r w:rsidRPr="00653C52">
        <w:rPr>
          <w:i/>
          <w:lang w:val="fr-CA"/>
        </w:rPr>
        <w:t>Eizenga</w:t>
      </w:r>
      <w:proofErr w:type="spellEnd"/>
      <w:r w:rsidRPr="00653C52">
        <w:rPr>
          <w:lang w:val="fr-CA"/>
        </w:rPr>
        <w:t xml:space="preserve">, </w:t>
      </w:r>
      <w:r w:rsidRPr="00653C52">
        <w:rPr>
          <w:i/>
          <w:lang w:val="fr-CA"/>
        </w:rPr>
        <w:t xml:space="preserve">Andrew </w:t>
      </w:r>
      <w:proofErr w:type="spellStart"/>
      <w:r w:rsidRPr="00653C52">
        <w:rPr>
          <w:i/>
          <w:lang w:val="fr-CA"/>
        </w:rPr>
        <w:t>Little</w:t>
      </w:r>
      <w:proofErr w:type="spellEnd"/>
      <w:r w:rsidRPr="00BD3B2A">
        <w:rPr>
          <w:lang w:val="fr-CA"/>
        </w:rPr>
        <w:t>,</w:t>
      </w:r>
      <w:r w:rsidRPr="00653C52">
        <w:rPr>
          <w:i/>
          <w:lang w:val="fr-CA"/>
        </w:rPr>
        <w:t xml:space="preserve"> </w:t>
      </w:r>
      <w:proofErr w:type="spellStart"/>
      <w:r w:rsidRPr="00653C52">
        <w:rPr>
          <w:i/>
          <w:lang w:val="fr-CA"/>
        </w:rPr>
        <w:t>Ranjan</w:t>
      </w:r>
      <w:proofErr w:type="spellEnd"/>
      <w:r w:rsidRPr="00653C52">
        <w:rPr>
          <w:i/>
          <w:lang w:val="fr-CA"/>
        </w:rPr>
        <w:t xml:space="preserve"> </w:t>
      </w:r>
      <w:proofErr w:type="spellStart"/>
      <w:r w:rsidRPr="00653C52">
        <w:rPr>
          <w:i/>
          <w:lang w:val="fr-CA"/>
        </w:rPr>
        <w:t>Agarwal</w:t>
      </w:r>
      <w:proofErr w:type="spellEnd"/>
      <w:r w:rsidRPr="00653C52">
        <w:rPr>
          <w:lang w:val="fr-CA"/>
        </w:rPr>
        <w:t xml:space="preserve"> et </w:t>
      </w:r>
      <w:r w:rsidRPr="00653C52">
        <w:rPr>
          <w:i/>
          <w:lang w:val="fr-CA"/>
        </w:rPr>
        <w:t>Charlotte Harman</w:t>
      </w:r>
      <w:r w:rsidRPr="00653C52">
        <w:rPr>
          <w:lang w:val="fr-CA"/>
        </w:rPr>
        <w:t>, pour l’intervenante ADR Chambers Inc.</w:t>
      </w:r>
    </w:p>
    <w:p w:rsidR="00B618DD" w:rsidRPr="00653C52" w:rsidRDefault="00B618DD" w:rsidP="00B618DD">
      <w:pPr>
        <w:pStyle w:val="SCCNormalDoubleSpacing"/>
        <w:tabs>
          <w:tab w:val="clear" w:pos="1168"/>
          <w:tab w:val="left" w:pos="1170"/>
        </w:tabs>
        <w:spacing w:after="480"/>
        <w:rPr>
          <w:lang w:val="fr-CA"/>
        </w:rPr>
      </w:pPr>
      <w:r w:rsidRPr="00653C52">
        <w:rPr>
          <w:i/>
          <w:lang w:val="fr-CA"/>
        </w:rPr>
        <w:tab/>
        <w:t>Br</w:t>
      </w:r>
      <w:r>
        <w:rPr>
          <w:i/>
          <w:lang w:val="fr-CA"/>
        </w:rPr>
        <w:t>and</w:t>
      </w:r>
      <w:r w:rsidRPr="00653C52">
        <w:rPr>
          <w:i/>
          <w:lang w:val="fr-CA"/>
        </w:rPr>
        <w:t xml:space="preserve">on </w:t>
      </w:r>
      <w:proofErr w:type="spellStart"/>
      <w:r w:rsidRPr="00653C52">
        <w:rPr>
          <w:i/>
          <w:lang w:val="fr-CA"/>
        </w:rPr>
        <w:t>Kain</w:t>
      </w:r>
      <w:proofErr w:type="spellEnd"/>
      <w:r w:rsidRPr="00653C52">
        <w:rPr>
          <w:lang w:val="fr-CA"/>
        </w:rPr>
        <w:t xml:space="preserve">, </w:t>
      </w:r>
      <w:r w:rsidRPr="00653C52">
        <w:rPr>
          <w:i/>
          <w:lang w:val="fr-CA"/>
        </w:rPr>
        <w:t>Adam Goldenberg</w:t>
      </w:r>
      <w:r w:rsidRPr="00653C52">
        <w:rPr>
          <w:lang w:val="fr-CA"/>
        </w:rPr>
        <w:t xml:space="preserve"> et </w:t>
      </w:r>
      <w:proofErr w:type="spellStart"/>
      <w:r w:rsidRPr="00653C52">
        <w:rPr>
          <w:i/>
          <w:lang w:val="fr-CA"/>
        </w:rPr>
        <w:t>Ljiljana</w:t>
      </w:r>
      <w:proofErr w:type="spellEnd"/>
      <w:r w:rsidRPr="00653C52">
        <w:rPr>
          <w:i/>
          <w:lang w:val="fr-CA"/>
        </w:rPr>
        <w:t xml:space="preserve"> </w:t>
      </w:r>
      <w:proofErr w:type="spellStart"/>
      <w:r w:rsidRPr="00653C52">
        <w:rPr>
          <w:i/>
          <w:lang w:val="fr-CA"/>
        </w:rPr>
        <w:t>Stanić</w:t>
      </w:r>
      <w:proofErr w:type="spellEnd"/>
      <w:r w:rsidRPr="00653C52">
        <w:rPr>
          <w:lang w:val="fr-CA"/>
        </w:rPr>
        <w:t>, pour l’intervenante la Chambre de commerce du Canada.</w:t>
      </w:r>
    </w:p>
    <w:p w:rsidR="00B618DD" w:rsidRPr="00653C52" w:rsidRDefault="00B618DD" w:rsidP="00B618DD">
      <w:pPr>
        <w:pStyle w:val="SCCNormalDoubleSpacing"/>
        <w:tabs>
          <w:tab w:val="clear" w:pos="1168"/>
          <w:tab w:val="left" w:pos="1170"/>
        </w:tabs>
        <w:spacing w:after="480"/>
        <w:rPr>
          <w:lang w:val="fr-CA"/>
        </w:rPr>
      </w:pPr>
      <w:r w:rsidRPr="00653C52">
        <w:rPr>
          <w:i/>
          <w:lang w:val="fr-CA"/>
        </w:rPr>
        <w:tab/>
      </w:r>
      <w:proofErr w:type="spellStart"/>
      <w:r w:rsidRPr="00653C52">
        <w:rPr>
          <w:i/>
          <w:lang w:val="fr-CA"/>
        </w:rPr>
        <w:t>Mohsen</w:t>
      </w:r>
      <w:proofErr w:type="spellEnd"/>
      <w:r w:rsidRPr="00653C52">
        <w:rPr>
          <w:i/>
          <w:lang w:val="fr-CA"/>
        </w:rPr>
        <w:t xml:space="preserve"> </w:t>
      </w:r>
      <w:proofErr w:type="spellStart"/>
      <w:r w:rsidRPr="00653C52">
        <w:rPr>
          <w:i/>
          <w:lang w:val="fr-CA"/>
        </w:rPr>
        <w:t>Seddigh</w:t>
      </w:r>
      <w:proofErr w:type="spellEnd"/>
      <w:r w:rsidRPr="00653C52">
        <w:rPr>
          <w:lang w:val="fr-CA"/>
        </w:rPr>
        <w:t xml:space="preserve"> et </w:t>
      </w:r>
      <w:r w:rsidRPr="00653C52">
        <w:rPr>
          <w:i/>
          <w:lang w:val="fr-CA"/>
        </w:rPr>
        <w:t xml:space="preserve">Daniel </w:t>
      </w:r>
      <w:proofErr w:type="spellStart"/>
      <w:r w:rsidRPr="00653C52">
        <w:rPr>
          <w:i/>
          <w:lang w:val="fr-CA"/>
        </w:rPr>
        <w:t>Hamson</w:t>
      </w:r>
      <w:proofErr w:type="spellEnd"/>
      <w:r w:rsidRPr="00653C52">
        <w:rPr>
          <w:lang w:val="fr-CA"/>
        </w:rPr>
        <w:t xml:space="preserve">, pour les intervenants le Centre pour la défense de l’intérêt public et </w:t>
      </w:r>
      <w:proofErr w:type="spellStart"/>
      <w:r w:rsidRPr="00653C52">
        <w:rPr>
          <w:lang w:val="fr-CA"/>
        </w:rPr>
        <w:t>Consumers</w:t>
      </w:r>
      <w:proofErr w:type="spellEnd"/>
      <w:r w:rsidRPr="00653C52">
        <w:rPr>
          <w:lang w:val="fr-CA"/>
        </w:rPr>
        <w:t xml:space="preserve"> Council of Canada.</w:t>
      </w:r>
    </w:p>
    <w:p w:rsidR="00B618DD" w:rsidRPr="00653C52" w:rsidRDefault="00B618DD" w:rsidP="00B618DD">
      <w:pPr>
        <w:pStyle w:val="SCCNormalDoubleSpacing"/>
        <w:tabs>
          <w:tab w:val="clear" w:pos="1168"/>
          <w:tab w:val="left" w:pos="1170"/>
        </w:tabs>
        <w:spacing w:after="480"/>
        <w:rPr>
          <w:lang w:val="fr-CA"/>
        </w:rPr>
      </w:pPr>
      <w:r w:rsidRPr="00653C52">
        <w:rPr>
          <w:i/>
          <w:lang w:val="fr-CA"/>
        </w:rPr>
        <w:tab/>
        <w:t xml:space="preserve">Anthony </w:t>
      </w:r>
      <w:proofErr w:type="spellStart"/>
      <w:r w:rsidRPr="00653C52">
        <w:rPr>
          <w:i/>
          <w:lang w:val="fr-CA"/>
        </w:rPr>
        <w:t>Daimsis</w:t>
      </w:r>
      <w:proofErr w:type="spellEnd"/>
      <w:r w:rsidRPr="00653C52">
        <w:rPr>
          <w:lang w:val="fr-CA"/>
        </w:rPr>
        <w:t>, pour l’intervenante la Fédération canadienne de l’entreprise indépendante.</w:t>
      </w:r>
    </w:p>
    <w:p w:rsidR="00B618DD" w:rsidRPr="00653C52" w:rsidRDefault="00B618DD" w:rsidP="00B618DD">
      <w:pPr>
        <w:pStyle w:val="SCCNormalDoubleSpacing"/>
        <w:tabs>
          <w:tab w:val="clear" w:pos="1168"/>
          <w:tab w:val="left" w:pos="1170"/>
        </w:tabs>
        <w:spacing w:after="480"/>
        <w:rPr>
          <w:lang w:val="fr-CA"/>
        </w:rPr>
      </w:pPr>
      <w:r w:rsidRPr="00653C52">
        <w:rPr>
          <w:i/>
          <w:lang w:val="fr-CA"/>
        </w:rPr>
        <w:tab/>
        <w:t xml:space="preserve">Marina </w:t>
      </w:r>
      <w:proofErr w:type="spellStart"/>
      <w:r w:rsidRPr="00653C52">
        <w:rPr>
          <w:i/>
          <w:lang w:val="fr-CA"/>
        </w:rPr>
        <w:t>Pavlović</w:t>
      </w:r>
      <w:proofErr w:type="spellEnd"/>
      <w:r w:rsidRPr="00653C52">
        <w:rPr>
          <w:i/>
          <w:lang w:val="fr-CA"/>
        </w:rPr>
        <w:t xml:space="preserve"> </w:t>
      </w:r>
      <w:r w:rsidRPr="00CE7231">
        <w:rPr>
          <w:lang w:val="fr-CA"/>
        </w:rPr>
        <w:t>et</w:t>
      </w:r>
      <w:r w:rsidRPr="00653C52">
        <w:rPr>
          <w:i/>
          <w:lang w:val="fr-CA"/>
        </w:rPr>
        <w:t xml:space="preserve"> Cynthia Khoo</w:t>
      </w:r>
      <w:r w:rsidRPr="00653C52">
        <w:rPr>
          <w:lang w:val="fr-CA"/>
        </w:rPr>
        <w:t>, pour l’intervenante la Clinique d’intérêt public et de politique d’internet du Canada Samuelson</w:t>
      </w:r>
      <w:r w:rsidRPr="00653C52">
        <w:rPr>
          <w:lang w:val="fr-CA"/>
        </w:rPr>
        <w:noBreakHyphen/>
      </w:r>
      <w:proofErr w:type="spellStart"/>
      <w:r w:rsidRPr="00653C52">
        <w:rPr>
          <w:lang w:val="fr-CA"/>
        </w:rPr>
        <w:t>Glushko</w:t>
      </w:r>
      <w:proofErr w:type="spellEnd"/>
      <w:r w:rsidRPr="00653C52">
        <w:rPr>
          <w:lang w:val="fr-CA"/>
        </w:rPr>
        <w:t>.</w:t>
      </w:r>
    </w:p>
    <w:p w:rsidR="00B618DD" w:rsidRDefault="00B618DD" w:rsidP="00B618DD">
      <w:pPr>
        <w:pStyle w:val="SCCNormalDoubleSpacing"/>
        <w:tabs>
          <w:tab w:val="clear" w:pos="1168"/>
          <w:tab w:val="left" w:pos="1170"/>
        </w:tabs>
        <w:spacing w:after="480"/>
        <w:rPr>
          <w:lang w:val="fr-CA"/>
        </w:rPr>
      </w:pPr>
      <w:r w:rsidRPr="00653C52">
        <w:rPr>
          <w:i/>
          <w:lang w:val="fr-CA"/>
        </w:rPr>
        <w:tab/>
        <w:t>Daniel E.</w:t>
      </w:r>
      <w:r>
        <w:rPr>
          <w:i/>
          <w:lang w:val="fr-CA"/>
        </w:rPr>
        <w:t xml:space="preserve"> </w:t>
      </w:r>
      <w:r w:rsidRPr="00653C52">
        <w:rPr>
          <w:i/>
          <w:lang w:val="fr-CA"/>
        </w:rPr>
        <w:t>H. Bach</w:t>
      </w:r>
      <w:r w:rsidRPr="00653C52">
        <w:rPr>
          <w:lang w:val="fr-CA"/>
        </w:rPr>
        <w:t xml:space="preserve">, </w:t>
      </w:r>
      <w:r w:rsidRPr="00653C52">
        <w:rPr>
          <w:i/>
          <w:lang w:val="fr-CA"/>
        </w:rPr>
        <w:t xml:space="preserve">Tyler J. </w:t>
      </w:r>
      <w:proofErr w:type="spellStart"/>
      <w:r w:rsidRPr="00653C52">
        <w:rPr>
          <w:i/>
          <w:lang w:val="fr-CA"/>
        </w:rPr>
        <w:t>Planeta</w:t>
      </w:r>
      <w:proofErr w:type="spellEnd"/>
      <w:r w:rsidRPr="00653C52">
        <w:rPr>
          <w:i/>
          <w:lang w:val="fr-CA"/>
        </w:rPr>
        <w:t xml:space="preserve"> </w:t>
      </w:r>
      <w:r w:rsidRPr="00653C52">
        <w:rPr>
          <w:lang w:val="fr-CA"/>
        </w:rPr>
        <w:t>et</w:t>
      </w:r>
      <w:r w:rsidRPr="00653C52">
        <w:rPr>
          <w:i/>
          <w:lang w:val="fr-CA"/>
        </w:rPr>
        <w:t xml:space="preserve"> Michael </w:t>
      </w:r>
      <w:proofErr w:type="spellStart"/>
      <w:r w:rsidRPr="00653C52">
        <w:rPr>
          <w:i/>
          <w:lang w:val="fr-CA"/>
        </w:rPr>
        <w:t>Sobkin</w:t>
      </w:r>
      <w:proofErr w:type="spellEnd"/>
      <w:r w:rsidRPr="00653C52">
        <w:rPr>
          <w:lang w:val="fr-CA"/>
        </w:rPr>
        <w:t>, pour l’intervenante l’Association des consommateurs du Canada.</w:t>
      </w:r>
    </w:p>
    <w:p w:rsidR="00B618DD" w:rsidRPr="00DB4925" w:rsidRDefault="00B618DD" w:rsidP="00B618DD">
      <w:pPr>
        <w:pStyle w:val="SCCNormalDoubleSpacing"/>
        <w:spacing w:after="480"/>
        <w:rPr>
          <w:lang w:val="fr-CA"/>
        </w:rPr>
      </w:pPr>
      <w:r>
        <w:rPr>
          <w:lang w:val="fr-CA"/>
        </w:rPr>
        <w:tab/>
      </w:r>
      <w:r w:rsidRPr="00173A02">
        <w:rPr>
          <w:lang w:val="fr-CA"/>
        </w:rPr>
        <w:t xml:space="preserve">Version française du jugement des juges </w:t>
      </w:r>
      <w:proofErr w:type="spellStart"/>
      <w:r>
        <w:rPr>
          <w:lang w:val="fr-CA"/>
        </w:rPr>
        <w:t>Moldaver</w:t>
      </w:r>
      <w:proofErr w:type="spellEnd"/>
      <w:r>
        <w:rPr>
          <w:lang w:val="fr-CA"/>
        </w:rPr>
        <w:t>, Gascon, Côté, Brown et Rowe</w:t>
      </w:r>
      <w:r w:rsidRPr="00173A02">
        <w:rPr>
          <w:lang w:val="fr-CA"/>
        </w:rPr>
        <w:t xml:space="preserve"> rendu par</w:t>
      </w:r>
    </w:p>
    <w:p w:rsidR="00B618DD" w:rsidRPr="0092652F" w:rsidRDefault="00B618DD" w:rsidP="00B618DD">
      <w:pPr>
        <w:pStyle w:val="JudgeJuge"/>
        <w:spacing w:before="240" w:after="720" w:line="240" w:lineRule="auto"/>
        <w:rPr>
          <w:lang w:val="fr-CA"/>
        </w:rPr>
      </w:pPr>
      <w:r w:rsidRPr="0092652F">
        <w:rPr>
          <w:lang w:val="fr-CA"/>
        </w:rPr>
        <w:tab/>
        <w:t xml:space="preserve">Le juge </w:t>
      </w:r>
      <w:proofErr w:type="spellStart"/>
      <w:r w:rsidRPr="0092652F">
        <w:rPr>
          <w:lang w:val="fr-CA"/>
        </w:rPr>
        <w:t>Moldaver</w:t>
      </w:r>
      <w:proofErr w:type="spellEnd"/>
      <w:r w:rsidRPr="0092652F">
        <w:rPr>
          <w:lang w:val="fr-CA"/>
        </w:rPr>
        <w:t xml:space="preserve"> — </w:t>
      </w:r>
    </w:p>
    <w:p w:rsidR="00B618DD" w:rsidRPr="0092652F" w:rsidRDefault="00B618DD" w:rsidP="00B618DD">
      <w:pPr>
        <w:pStyle w:val="Title1LevelTitre1Niveau-AltL"/>
        <w:spacing w:before="0"/>
        <w:rPr>
          <w:rFonts w:cs="Times New Roman"/>
          <w:lang w:val="fr-CA"/>
        </w:rPr>
      </w:pPr>
      <w:r w:rsidRPr="0092652F">
        <w:rPr>
          <w:rFonts w:cs="Times New Roman"/>
          <w:lang w:val="fr-CA"/>
        </w:rPr>
        <w:t>Aperçu</w:t>
      </w:r>
    </w:p>
    <w:p w:rsidR="00B618DD" w:rsidRPr="0092652F" w:rsidRDefault="00B618DD" w:rsidP="00B618DD">
      <w:pPr>
        <w:pStyle w:val="ParaNoNdepar-AltN"/>
        <w:spacing w:before="0"/>
        <w:rPr>
          <w:rFonts w:cs="Times New Roman"/>
          <w:lang w:val="fr-CA"/>
        </w:rPr>
      </w:pPr>
      <w:r w:rsidRPr="0092652F">
        <w:rPr>
          <w:rFonts w:cs="Times New Roman"/>
          <w:lang w:val="fr-CA"/>
        </w:rPr>
        <w:t xml:space="preserve">La Cour est appelée à déterminer ce qui arrive lorsqu’une série de conventions d’arbitrage, la </w:t>
      </w:r>
      <w:r w:rsidRPr="0092652F">
        <w:rPr>
          <w:rFonts w:cs="Times New Roman"/>
          <w:i/>
          <w:lang w:val="fr-CA"/>
        </w:rPr>
        <w:t>Loi de 1991 sur l’arbitrage</w:t>
      </w:r>
      <w:r w:rsidRPr="0092652F">
        <w:rPr>
          <w:rFonts w:cs="Times New Roman"/>
          <w:lang w:val="fr-CA"/>
        </w:rPr>
        <w:t>, L.O. 1991, c. 17 (« </w:t>
      </w:r>
      <w:r w:rsidRPr="0092652F">
        <w:rPr>
          <w:rFonts w:cs="Times New Roman"/>
          <w:i/>
          <w:lang w:val="fr-CA"/>
        </w:rPr>
        <w:t>Loi sur l’arbitrage </w:t>
      </w:r>
      <w:r w:rsidRPr="0092652F">
        <w:rPr>
          <w:rFonts w:cs="Times New Roman"/>
          <w:lang w:val="fr-CA"/>
        </w:rPr>
        <w:t>»)</w:t>
      </w:r>
      <w:r w:rsidRPr="006F35BC">
        <w:rPr>
          <w:rStyle w:val="Hyperlink"/>
          <w:vertAlign w:val="superscript"/>
        </w:rPr>
        <w:footnoteReference w:id="1"/>
      </w:r>
      <w:r w:rsidRPr="0092652F">
        <w:rPr>
          <w:rFonts w:cs="Times New Roman"/>
          <w:lang w:val="fr-CA"/>
        </w:rPr>
        <w:t xml:space="preserve">, la </w:t>
      </w:r>
      <w:r w:rsidRPr="0092652F">
        <w:rPr>
          <w:rFonts w:cs="Times New Roman"/>
          <w:i/>
          <w:lang w:val="fr-CA"/>
        </w:rPr>
        <w:t>Loi de 2002 sur la protection du consommateur</w:t>
      </w:r>
      <w:r w:rsidRPr="0092652F">
        <w:rPr>
          <w:rFonts w:cs="Times New Roman"/>
          <w:lang w:val="fr-CA"/>
        </w:rPr>
        <w:t xml:space="preserve">, L.O. 2002, c. 30, </w:t>
      </w:r>
      <w:proofErr w:type="spellStart"/>
      <w:r w:rsidRPr="0092652F">
        <w:rPr>
          <w:rFonts w:cs="Times New Roman"/>
          <w:lang w:val="fr-CA"/>
        </w:rPr>
        <w:t>ann</w:t>
      </w:r>
      <w:proofErr w:type="spellEnd"/>
      <w:r w:rsidRPr="0092652F">
        <w:rPr>
          <w:rFonts w:cs="Times New Roman"/>
          <w:lang w:val="fr-CA"/>
        </w:rPr>
        <w:t>. A (« </w:t>
      </w:r>
      <w:r w:rsidRPr="0092652F">
        <w:rPr>
          <w:rFonts w:cs="Times New Roman"/>
          <w:i/>
          <w:lang w:val="fr-CA"/>
        </w:rPr>
        <w:t>Loi sur la protection du consommateur</w:t>
      </w:r>
      <w:r w:rsidRPr="0092652F">
        <w:rPr>
          <w:rFonts w:cs="Times New Roman"/>
          <w:lang w:val="fr-CA"/>
        </w:rPr>
        <w:t> »)</w:t>
      </w:r>
      <w:r w:rsidR="00DC6886">
        <w:rPr>
          <w:rFonts w:cs="Times New Roman"/>
          <w:lang w:val="fr-CA"/>
        </w:rPr>
        <w:t>,</w:t>
      </w:r>
      <w:r w:rsidRPr="0092652F">
        <w:rPr>
          <w:rFonts w:cs="Times New Roman"/>
          <w:lang w:val="fr-CA"/>
        </w:rPr>
        <w:t xml:space="preserve"> et un recours collectif visant à la fois des consommateurs et des non-consommateurs entrent en conflit.</w:t>
      </w:r>
    </w:p>
    <w:p w:rsidR="00B618DD" w:rsidRPr="0092652F" w:rsidRDefault="00B618DD" w:rsidP="00B618DD">
      <w:pPr>
        <w:pStyle w:val="ParaNoNdepar-AltN"/>
        <w:spacing w:before="0"/>
        <w:rPr>
          <w:rFonts w:cs="Times New Roman"/>
          <w:lang w:val="fr-CA"/>
        </w:rPr>
      </w:pPr>
      <w:r w:rsidRPr="0092652F">
        <w:rPr>
          <w:rFonts w:cs="Times New Roman"/>
          <w:lang w:val="fr-CA"/>
        </w:rPr>
        <w:t xml:space="preserve">C’est ce qui est survenu lorsque l’intimé, </w:t>
      </w:r>
      <w:proofErr w:type="spellStart"/>
      <w:r w:rsidRPr="0092652F">
        <w:rPr>
          <w:rFonts w:cs="Times New Roman"/>
          <w:lang w:val="fr-CA"/>
        </w:rPr>
        <w:t>Avraham</w:t>
      </w:r>
      <w:proofErr w:type="spellEnd"/>
      <w:r w:rsidRPr="0092652F">
        <w:rPr>
          <w:rFonts w:cs="Times New Roman"/>
          <w:lang w:val="fr-CA"/>
        </w:rPr>
        <w:t> </w:t>
      </w:r>
      <w:proofErr w:type="spellStart"/>
      <w:r w:rsidRPr="0092652F">
        <w:rPr>
          <w:rFonts w:cs="Times New Roman"/>
          <w:lang w:val="fr-CA"/>
        </w:rPr>
        <w:t>Wellman</w:t>
      </w:r>
      <w:proofErr w:type="spellEnd"/>
      <w:r w:rsidRPr="0092652F">
        <w:rPr>
          <w:rFonts w:cs="Times New Roman"/>
          <w:lang w:val="fr-CA"/>
        </w:rPr>
        <w:t>, a déposé un recours collectif projeté en Ontario contre l’appelante, TELUS Communications Inc. (« TELUS »), au nom d’environ deux millions de résidents ontariens ayant conclu un contrat de service de téléphonie cellulaire avec la société pendant une période donnée. Le groupe en cause est composé de consommateurs et de non</w:t>
      </w:r>
      <w:r w:rsidRPr="0092652F">
        <w:rPr>
          <w:rFonts w:cs="Times New Roman"/>
          <w:lang w:val="fr-CA"/>
        </w:rPr>
        <w:noBreakHyphen/>
        <w:t>consommateurs, ces derniers étant des clients commerciaux. L’action porte sur l’allégation selon laquelle TELUS s’est livrée à une pratique non divulguée consistant à « arrondir » la durée des appels à la minute suivante, de sorte que les services étaien</w:t>
      </w:r>
      <w:r>
        <w:rPr>
          <w:rFonts w:cs="Times New Roman"/>
          <w:lang w:val="fr-CA"/>
        </w:rPr>
        <w:t xml:space="preserve">t surfacturés aux clients </w:t>
      </w:r>
      <w:r w:rsidRPr="0092652F">
        <w:rPr>
          <w:rFonts w:cs="Times New Roman"/>
          <w:lang w:val="fr-CA"/>
        </w:rPr>
        <w:t>et que ceux</w:t>
      </w:r>
      <w:r w:rsidRPr="0092652F">
        <w:rPr>
          <w:rFonts w:cs="Times New Roman"/>
          <w:lang w:val="fr-CA"/>
        </w:rPr>
        <w:noBreakHyphen/>
        <w:t>ci ne recevaient pas le nombre de minutes auquel ils avaient droit.</w:t>
      </w:r>
    </w:p>
    <w:p w:rsidR="00B618DD" w:rsidRPr="0092652F" w:rsidRDefault="00B618DD" w:rsidP="00B618DD">
      <w:pPr>
        <w:pStyle w:val="ParaNoNdepar-AltN"/>
        <w:spacing w:before="0"/>
        <w:rPr>
          <w:rFonts w:cs="Times New Roman"/>
          <w:lang w:val="fr-CA"/>
        </w:rPr>
      </w:pPr>
      <w:r w:rsidRPr="0092652F">
        <w:rPr>
          <w:rFonts w:cs="Times New Roman"/>
          <w:lang w:val="fr-CA"/>
        </w:rPr>
        <w:t>Les contrats en question, qui n’ont pas été négociés, renferment des conditions types rédigées par TELUS, dont une clause d’arbitrage qui stipule, en gros, que toutes les réclamations découlant du contrat ou s’y rapportant, sauf en ce qui concerne le recouvrement de créances par TELUS, doivent faire l’objet d’une médiation ou, à défaut de règlement, d’un arbitrage.</w:t>
      </w:r>
    </w:p>
    <w:p w:rsidR="00B618DD" w:rsidRPr="0092652F" w:rsidRDefault="00B618DD" w:rsidP="00B618DD">
      <w:pPr>
        <w:pStyle w:val="ParaNoNdepar-AltN"/>
        <w:spacing w:before="0"/>
        <w:rPr>
          <w:rFonts w:cs="Times New Roman"/>
          <w:lang w:val="fr-CA"/>
        </w:rPr>
      </w:pPr>
      <w:r w:rsidRPr="0092652F">
        <w:rPr>
          <w:rFonts w:cs="Times New Roman"/>
          <w:lang w:val="fr-CA"/>
        </w:rPr>
        <w:t xml:space="preserve">Aux termes de la </w:t>
      </w:r>
      <w:r w:rsidRPr="0092652F">
        <w:rPr>
          <w:rFonts w:cs="Times New Roman"/>
          <w:i/>
          <w:lang w:val="fr-CA"/>
        </w:rPr>
        <w:t>Loi sur la protection du consommateur</w:t>
      </w:r>
      <w:r w:rsidRPr="0092652F">
        <w:rPr>
          <w:rFonts w:cs="Times New Roman"/>
          <w:lang w:val="fr-CA"/>
        </w:rPr>
        <w:t xml:space="preserve">, cette clause d’arbitrage est toutefois invalide dans la mesure où elle empêche les membres du groupe qui sont des « consommateurs » </w:t>
      </w:r>
      <w:r w:rsidRPr="0092652F">
        <w:rPr>
          <w:rFonts w:cs="Times New Roman"/>
          <w:lang w:val="fr-CA" w:bidi="en-US"/>
        </w:rPr>
        <w:t>d’introduire un recours collectif ou de participer à un tel recours comme celui qu’a intenté M. </w:t>
      </w:r>
      <w:proofErr w:type="spellStart"/>
      <w:r w:rsidRPr="0092652F">
        <w:rPr>
          <w:rFonts w:cs="Times New Roman"/>
          <w:lang w:val="fr-CA" w:bidi="en-US"/>
        </w:rPr>
        <w:t>Wellman</w:t>
      </w:r>
      <w:proofErr w:type="spellEnd"/>
      <w:r w:rsidRPr="0092652F">
        <w:rPr>
          <w:rFonts w:cs="Times New Roman"/>
          <w:lang w:val="fr-CA" w:bidi="en-US"/>
        </w:rPr>
        <w:t xml:space="preserve">. En effet, comme nous le verrons, la </w:t>
      </w:r>
      <w:r w:rsidRPr="0092652F">
        <w:rPr>
          <w:rFonts w:cs="Times New Roman"/>
          <w:i/>
          <w:lang w:val="fr-CA" w:bidi="en-US"/>
        </w:rPr>
        <w:t>Loi sur la protection du consommateur</w:t>
      </w:r>
      <w:r w:rsidRPr="0092652F">
        <w:rPr>
          <w:rFonts w:cs="Times New Roman"/>
          <w:lang w:val="fr-CA" w:bidi="en-US"/>
        </w:rPr>
        <w:t xml:space="preserve"> protège expressément les consommateurs contre le sursis de l’instance qui serait prononcé en application de la </w:t>
      </w:r>
      <w:r w:rsidRPr="0092652F">
        <w:rPr>
          <w:rFonts w:cs="Times New Roman"/>
          <w:i/>
          <w:lang w:val="fr-CA" w:bidi="en-US"/>
        </w:rPr>
        <w:t>Loi sur l’arbitrage</w:t>
      </w:r>
      <w:r w:rsidRPr="0092652F">
        <w:rPr>
          <w:rFonts w:cs="Times New Roman"/>
          <w:lang w:val="fr-CA" w:bidi="en-US"/>
        </w:rPr>
        <w:t xml:space="preserve">. Ces membres du groupe peuvent donc présenter leurs réclamations devant les tribunaux. Par contre, les clients commerciaux ne bénéficient pas de ces mesures de protection. Dans quelle situation </w:t>
      </w:r>
      <w:proofErr w:type="gramStart"/>
      <w:r w:rsidRPr="0092652F">
        <w:rPr>
          <w:rFonts w:cs="Times New Roman"/>
          <w:lang w:val="fr-CA" w:bidi="en-US"/>
        </w:rPr>
        <w:t>cela</w:t>
      </w:r>
      <w:proofErr w:type="gramEnd"/>
      <w:r w:rsidRPr="0092652F">
        <w:rPr>
          <w:rFonts w:cs="Times New Roman"/>
          <w:lang w:val="fr-CA" w:bidi="en-US"/>
        </w:rPr>
        <w:t xml:space="preserve"> les place</w:t>
      </w:r>
      <w:r w:rsidRPr="0092652F">
        <w:rPr>
          <w:rFonts w:cs="Times New Roman"/>
          <w:lang w:val="fr-CA" w:bidi="en-US"/>
        </w:rPr>
        <w:noBreakHyphen/>
        <w:t>t</w:t>
      </w:r>
      <w:r w:rsidRPr="0092652F">
        <w:rPr>
          <w:rFonts w:cs="Times New Roman"/>
          <w:lang w:val="fr-CA" w:bidi="en-US"/>
        </w:rPr>
        <w:noBreakHyphen/>
        <w:t>il?</w:t>
      </w:r>
    </w:p>
    <w:p w:rsidR="00B618DD" w:rsidRPr="0092652F" w:rsidRDefault="00B618DD" w:rsidP="00B618DD">
      <w:pPr>
        <w:pStyle w:val="ParaNoNdepar-AltN"/>
        <w:spacing w:before="0"/>
        <w:rPr>
          <w:rFonts w:cs="Times New Roman"/>
          <w:lang w:val="fr-CA"/>
        </w:rPr>
      </w:pPr>
      <w:r w:rsidRPr="0092652F">
        <w:rPr>
          <w:rFonts w:cs="Times New Roman"/>
          <w:lang w:val="fr-CA"/>
        </w:rPr>
        <w:t>Selon M. </w:t>
      </w:r>
      <w:proofErr w:type="spellStart"/>
      <w:r w:rsidRPr="0092652F">
        <w:rPr>
          <w:rFonts w:cs="Times New Roman"/>
          <w:lang w:val="fr-CA"/>
        </w:rPr>
        <w:t>Wellman</w:t>
      </w:r>
      <w:proofErr w:type="spellEnd"/>
      <w:r w:rsidRPr="0092652F">
        <w:rPr>
          <w:rFonts w:cs="Times New Roman"/>
          <w:lang w:val="fr-CA"/>
        </w:rPr>
        <w:t xml:space="preserve">, la réponse se trouve au </w:t>
      </w:r>
      <w:proofErr w:type="spellStart"/>
      <w:r w:rsidRPr="0092652F">
        <w:rPr>
          <w:rFonts w:cs="Times New Roman"/>
          <w:lang w:val="fr-CA"/>
        </w:rPr>
        <w:t>par</w:t>
      </w:r>
      <w:proofErr w:type="spellEnd"/>
      <w:r w:rsidRPr="0092652F">
        <w:rPr>
          <w:rFonts w:cs="Times New Roman"/>
          <w:lang w:val="fr-CA"/>
        </w:rPr>
        <w:t xml:space="preserve">. 7(5) de la </w:t>
      </w:r>
      <w:r w:rsidRPr="0092652F">
        <w:rPr>
          <w:rFonts w:cs="Times New Roman"/>
          <w:i/>
          <w:lang w:val="fr-CA"/>
        </w:rPr>
        <w:t>Loi sur l’arbitrage</w:t>
      </w:r>
      <w:r w:rsidRPr="0092652F">
        <w:rPr>
          <w:rFonts w:cs="Times New Roman"/>
          <w:lang w:val="fr-CA"/>
        </w:rPr>
        <w:t xml:space="preserve"> qui, lu conjointement avec le par. 7(1), prévoit :</w:t>
      </w:r>
    </w:p>
    <w:p w:rsidR="00B618DD" w:rsidRPr="0092652F" w:rsidRDefault="00B618DD" w:rsidP="00B618DD">
      <w:pPr>
        <w:pStyle w:val="CITATION"/>
        <w:tabs>
          <w:tab w:val="left" w:pos="1170"/>
        </w:tabs>
        <w:spacing w:after="240"/>
        <w:ind w:left="0" w:firstLine="540"/>
        <w:rPr>
          <w:rFonts w:cs="Times New Roman"/>
          <w:b/>
          <w:lang w:val="fr-CA"/>
        </w:rPr>
      </w:pPr>
      <w:r w:rsidRPr="0092652F">
        <w:rPr>
          <w:rFonts w:cs="Times New Roman"/>
          <w:b/>
          <w:lang w:val="fr-CA"/>
        </w:rPr>
        <w:tab/>
        <w:t>Sursis</w:t>
      </w:r>
    </w:p>
    <w:p w:rsidR="00B618DD" w:rsidRPr="0092652F" w:rsidRDefault="00B618DD" w:rsidP="00B618DD">
      <w:pPr>
        <w:pStyle w:val="CITATION"/>
        <w:spacing w:after="240"/>
        <w:ind w:left="1170" w:right="58" w:hanging="630"/>
        <w:rPr>
          <w:rFonts w:cs="Times New Roman"/>
          <w:lang w:val="fr-CA"/>
        </w:rPr>
      </w:pPr>
      <w:r w:rsidRPr="0092652F">
        <w:rPr>
          <w:rFonts w:cs="Times New Roman"/>
          <w:b/>
          <w:lang w:val="fr-CA"/>
        </w:rPr>
        <w:tab/>
        <w:t xml:space="preserve">7 </w:t>
      </w:r>
      <w:r w:rsidRPr="0092652F">
        <w:rPr>
          <w:rFonts w:cs="Times New Roman"/>
          <w:lang w:val="fr-CA"/>
        </w:rPr>
        <w:t>(1) Si une partie à une convention d’arbitrage introduit une instance à l’égard d’une question que la convention oblige à soumettre à l’arbitrage, le tribunal judiciaire devant lequel l’instance est introduite doit, sur la motion d’une autre partie à la convention d’arbitrage, surseoir à l’instance.</w:t>
      </w:r>
    </w:p>
    <w:p w:rsidR="00B618DD" w:rsidRPr="0092652F" w:rsidRDefault="00B618DD" w:rsidP="00B618DD">
      <w:pPr>
        <w:pStyle w:val="CITATION"/>
        <w:spacing w:after="240"/>
        <w:ind w:left="1170" w:hanging="630"/>
        <w:jc w:val="center"/>
        <w:rPr>
          <w:rFonts w:cs="Times New Roman"/>
          <w:lang w:val="fr-CA"/>
        </w:rPr>
      </w:pPr>
      <w:r w:rsidRPr="0092652F">
        <w:rPr>
          <w:rFonts w:cs="Times New Roman"/>
          <w:lang w:val="fr-CA"/>
        </w:rPr>
        <w:t>. . .</w:t>
      </w:r>
    </w:p>
    <w:p w:rsidR="00B618DD" w:rsidRPr="0092652F" w:rsidRDefault="00B618DD" w:rsidP="00B618DD">
      <w:pPr>
        <w:pStyle w:val="CITATION"/>
        <w:spacing w:after="240"/>
        <w:ind w:left="1170" w:hanging="630"/>
        <w:rPr>
          <w:rFonts w:cs="Times New Roman"/>
          <w:b/>
          <w:lang w:val="fr-CA"/>
        </w:rPr>
      </w:pPr>
      <w:r w:rsidRPr="0092652F">
        <w:rPr>
          <w:rFonts w:cs="Times New Roman"/>
          <w:b/>
          <w:lang w:val="fr-CA"/>
        </w:rPr>
        <w:tab/>
        <w:t>Convention s’appliquant à une partie du différend</w:t>
      </w:r>
    </w:p>
    <w:p w:rsidR="00B618DD" w:rsidRPr="0092652F" w:rsidRDefault="00B618DD" w:rsidP="00B618DD">
      <w:pPr>
        <w:pStyle w:val="CITATION"/>
        <w:tabs>
          <w:tab w:val="left" w:pos="7671"/>
          <w:tab w:val="left" w:pos="8505"/>
        </w:tabs>
        <w:spacing w:after="240"/>
        <w:ind w:left="1170" w:right="607"/>
        <w:rPr>
          <w:rFonts w:cs="Times New Roman"/>
          <w:lang w:val="fr-CA"/>
        </w:rPr>
      </w:pPr>
      <w:r w:rsidRPr="0092652F">
        <w:rPr>
          <w:rFonts w:cs="Times New Roman"/>
          <w:b/>
          <w:lang w:val="fr-CA"/>
        </w:rPr>
        <w:t>(5)</w:t>
      </w:r>
      <w:r w:rsidRPr="0092652F">
        <w:rPr>
          <w:rFonts w:cs="Times New Roman"/>
          <w:lang w:val="fr-CA"/>
        </w:rPr>
        <w:t xml:space="preserve"> Le tribunal judiciaire peut surseoir à l’instance en ce qui touche les questions traitées dans la convention d’arbitrage et permettre qu’elle se poursuive en ce qui touche les autres questions, s’il constate :</w:t>
      </w:r>
    </w:p>
    <w:p w:rsidR="00B618DD" w:rsidRPr="0092652F" w:rsidRDefault="00B618DD" w:rsidP="00B618DD">
      <w:pPr>
        <w:pStyle w:val="CITATION"/>
        <w:spacing w:after="240"/>
        <w:ind w:left="1710" w:right="58" w:hanging="1170"/>
        <w:rPr>
          <w:rFonts w:cs="Times New Roman"/>
          <w:lang w:val="fr-CA"/>
        </w:rPr>
      </w:pPr>
      <w:r w:rsidRPr="0092652F">
        <w:rPr>
          <w:rFonts w:cs="Times New Roman"/>
          <w:lang w:val="fr-CA"/>
        </w:rPr>
        <w:tab/>
        <w:t>a) d’une part, que la convention ne traite que de certaines des questions à l’égard desquelles l’instance a été introduite;</w:t>
      </w:r>
    </w:p>
    <w:p w:rsidR="00B618DD" w:rsidRPr="0092652F" w:rsidRDefault="00B618DD" w:rsidP="00B618DD">
      <w:pPr>
        <w:pStyle w:val="CITATION"/>
        <w:tabs>
          <w:tab w:val="left" w:pos="1710"/>
        </w:tabs>
        <w:ind w:left="1710" w:right="58" w:hanging="1170"/>
        <w:rPr>
          <w:rFonts w:cs="Times New Roman"/>
          <w:lang w:val="fr-CA"/>
        </w:rPr>
      </w:pPr>
      <w:r w:rsidRPr="0092652F">
        <w:rPr>
          <w:rFonts w:cs="Times New Roman"/>
          <w:lang w:val="fr-CA"/>
        </w:rPr>
        <w:tab/>
        <w:t>b) d’autre part, qu’il est raisonnable de dissocier les questions</w:t>
      </w:r>
    </w:p>
    <w:p w:rsidR="00B618DD" w:rsidRPr="0092652F" w:rsidRDefault="00B618DD" w:rsidP="00B618DD">
      <w:pPr>
        <w:pStyle w:val="CITATION"/>
        <w:spacing w:after="720"/>
        <w:ind w:left="1411" w:right="58" w:firstLine="288"/>
        <w:rPr>
          <w:rFonts w:cs="Times New Roman"/>
          <w:lang w:val="fr-CA"/>
        </w:rPr>
      </w:pPr>
      <w:proofErr w:type="gramStart"/>
      <w:r w:rsidRPr="0092652F">
        <w:rPr>
          <w:rFonts w:cs="Times New Roman"/>
          <w:lang w:val="fr-CA"/>
        </w:rPr>
        <w:t>traitées</w:t>
      </w:r>
      <w:proofErr w:type="gramEnd"/>
      <w:r w:rsidRPr="0092652F">
        <w:rPr>
          <w:rFonts w:cs="Times New Roman"/>
          <w:lang w:val="fr-CA"/>
        </w:rPr>
        <w:t xml:space="preserve"> dans la convention des autres questions.</w:t>
      </w:r>
    </w:p>
    <w:p w:rsidR="00B618DD" w:rsidRPr="0092652F" w:rsidRDefault="00B618DD" w:rsidP="00B618DD">
      <w:pPr>
        <w:pStyle w:val="ParaNoNdepar-AltN"/>
        <w:spacing w:before="0"/>
        <w:rPr>
          <w:rFonts w:cs="Times New Roman"/>
          <w:lang w:val="fr-CA"/>
        </w:rPr>
      </w:pPr>
      <w:r w:rsidRPr="0092652F">
        <w:rPr>
          <w:rFonts w:cs="Times New Roman"/>
          <w:lang w:val="fr-CA"/>
        </w:rPr>
        <w:t>Dans ses observations, M. </w:t>
      </w:r>
      <w:proofErr w:type="spellStart"/>
      <w:r w:rsidRPr="0092652F">
        <w:rPr>
          <w:rFonts w:cs="Times New Roman"/>
          <w:lang w:val="fr-CA"/>
        </w:rPr>
        <w:t>Wellman</w:t>
      </w:r>
      <w:proofErr w:type="spellEnd"/>
      <w:r w:rsidRPr="0092652F">
        <w:rPr>
          <w:rFonts w:cs="Times New Roman"/>
          <w:lang w:val="fr-CA"/>
        </w:rPr>
        <w:t xml:space="preserve"> fait valoir que le par. 7(5) confère aux tribunaux le pouvoir discrétionnaire de permettre à </w:t>
      </w:r>
      <w:r w:rsidRPr="0092652F">
        <w:rPr>
          <w:rFonts w:cs="Times New Roman"/>
          <w:i/>
          <w:lang w:val="fr-CA"/>
        </w:rPr>
        <w:t xml:space="preserve">tous </w:t>
      </w:r>
      <w:r w:rsidRPr="0092652F">
        <w:rPr>
          <w:rFonts w:cs="Times New Roman"/>
          <w:lang w:val="fr-CA"/>
        </w:rPr>
        <w:t>les membres du groupe, qu’il s’agisse de consommateurs ou de clients commerciaux, de présenter ensemble leurs réclamations devant les tribunaux, pourvu qu’il ne soit pas raisonnable de dissocier leurs réclamations. Selon M. </w:t>
      </w:r>
      <w:proofErr w:type="spellStart"/>
      <w:r w:rsidRPr="0092652F">
        <w:rPr>
          <w:rFonts w:cs="Times New Roman"/>
          <w:lang w:val="fr-CA"/>
        </w:rPr>
        <w:t>Wellman</w:t>
      </w:r>
      <w:proofErr w:type="spellEnd"/>
      <w:r w:rsidRPr="0092652F">
        <w:rPr>
          <w:rFonts w:cs="Times New Roman"/>
          <w:lang w:val="fr-CA"/>
        </w:rPr>
        <w:t>, il en est ainsi en dépit du fait que les clients commerciaux ont convenu par contrat de soumettre leurs réclamations à l’arbitrage et qu’ils sont par ailleurs liés par ce contrat. Les tribunaux d’instances inférieures ont souscrit à l’argument de M. </w:t>
      </w:r>
      <w:proofErr w:type="spellStart"/>
      <w:r w:rsidRPr="0092652F">
        <w:rPr>
          <w:rFonts w:cs="Times New Roman"/>
          <w:lang w:val="fr-CA"/>
        </w:rPr>
        <w:t>Wellman</w:t>
      </w:r>
      <w:proofErr w:type="spellEnd"/>
      <w:r w:rsidRPr="0092652F">
        <w:rPr>
          <w:rFonts w:cs="Times New Roman"/>
          <w:lang w:val="fr-CA"/>
        </w:rPr>
        <w:t xml:space="preserve">, sur le fondement de la décision </w:t>
      </w:r>
      <w:r w:rsidRPr="0092652F">
        <w:rPr>
          <w:rFonts w:cs="Times New Roman"/>
          <w:i/>
          <w:iCs/>
          <w:lang w:val="fr-CA"/>
        </w:rPr>
        <w:t>Griffin</w:t>
      </w:r>
      <w:r w:rsidRPr="0092652F">
        <w:rPr>
          <w:rFonts w:cs="Times New Roman"/>
          <w:lang w:val="fr-CA"/>
        </w:rPr>
        <w:t> </w:t>
      </w:r>
      <w:r w:rsidRPr="0092652F">
        <w:rPr>
          <w:rFonts w:cs="Times New Roman"/>
          <w:i/>
          <w:lang w:val="fr-CA"/>
        </w:rPr>
        <w:t>c</w:t>
      </w:r>
      <w:r w:rsidRPr="0092652F">
        <w:rPr>
          <w:rFonts w:cs="Times New Roman"/>
          <w:i/>
          <w:iCs/>
          <w:lang w:val="fr-CA"/>
        </w:rPr>
        <w:t>. Dell Canada Inc.</w:t>
      </w:r>
      <w:r w:rsidRPr="0092652F">
        <w:rPr>
          <w:rFonts w:cs="Times New Roman"/>
          <w:lang w:val="fr-CA"/>
        </w:rPr>
        <w:t>, 2010 ONCA 29, 98 O.R. (3d) 481, demande d’autorisation de pourvoi refusée, [2010] 1 R.C.S. viii.</w:t>
      </w:r>
    </w:p>
    <w:p w:rsidR="00B618DD" w:rsidRPr="0092652F" w:rsidRDefault="00B618DD" w:rsidP="00B618DD">
      <w:pPr>
        <w:pStyle w:val="ParaNoNdepar-AltN"/>
        <w:spacing w:before="0"/>
        <w:rPr>
          <w:rFonts w:cs="Times New Roman"/>
          <w:lang w:val="fr-CA"/>
        </w:rPr>
      </w:pPr>
      <w:r w:rsidRPr="0092652F">
        <w:rPr>
          <w:rFonts w:cs="Times New Roman"/>
          <w:lang w:val="fr-CA"/>
        </w:rPr>
        <w:t>TELUS n’est pas du même avis. Selon elle, le</w:t>
      </w:r>
      <w:r>
        <w:rPr>
          <w:rFonts w:cs="Times New Roman"/>
          <w:lang w:val="fr-CA"/>
        </w:rPr>
        <w:t xml:space="preserve"> par.</w:t>
      </w:r>
      <w:r w:rsidRPr="0092652F">
        <w:rPr>
          <w:rFonts w:cs="Times New Roman"/>
          <w:lang w:val="fr-CA"/>
        </w:rPr>
        <w:t> </w:t>
      </w:r>
      <w:r w:rsidRPr="0092652F">
        <w:rPr>
          <w:rFonts w:cs="Times New Roman"/>
          <w:lang w:val="fr-CA" w:bidi="en-US"/>
        </w:rPr>
        <w:t xml:space="preserve">7(5) ne confère pas aux tribunaux le pouvoir de refuser d’ordonner le sursis des réclamations qui sont visées par une convention d’arbitrage par ailleurs valide et exécutoire. Elle est plutôt d’avis que les seules exceptions possibles à la règle générale relative au sursis prévue au </w:t>
      </w:r>
      <w:proofErr w:type="spellStart"/>
      <w:r w:rsidRPr="0092652F">
        <w:rPr>
          <w:rFonts w:cs="Times New Roman"/>
          <w:lang w:val="fr-CA" w:bidi="en-US"/>
        </w:rPr>
        <w:t>par</w:t>
      </w:r>
      <w:proofErr w:type="spellEnd"/>
      <w:r w:rsidRPr="0092652F">
        <w:rPr>
          <w:rFonts w:cs="Times New Roman"/>
          <w:lang w:val="fr-CA" w:bidi="en-US"/>
        </w:rPr>
        <w:t xml:space="preserve">. 7(1) sont énoncées au </w:t>
      </w:r>
      <w:proofErr w:type="spellStart"/>
      <w:r w:rsidRPr="0092652F">
        <w:rPr>
          <w:rFonts w:cs="Times New Roman"/>
          <w:lang w:val="fr-CA" w:bidi="en-US"/>
        </w:rPr>
        <w:t>par</w:t>
      </w:r>
      <w:proofErr w:type="spellEnd"/>
      <w:r w:rsidRPr="0092652F">
        <w:rPr>
          <w:rFonts w:cs="Times New Roman"/>
          <w:lang w:val="fr-CA" w:bidi="en-US"/>
        </w:rPr>
        <w:t xml:space="preserve">. 7(2) et que, si aucune de ces exceptions ne s’applique, les réclamations qui sont assujetties à l’arbitrage </w:t>
      </w:r>
      <w:r w:rsidRPr="0092652F">
        <w:rPr>
          <w:rFonts w:cs="Times New Roman"/>
          <w:i/>
          <w:lang w:val="fr-CA" w:bidi="en-US"/>
        </w:rPr>
        <w:t xml:space="preserve">doivent </w:t>
      </w:r>
      <w:r w:rsidRPr="0092652F">
        <w:rPr>
          <w:rFonts w:cs="Times New Roman"/>
          <w:lang w:val="fr-CA" w:bidi="en-US"/>
        </w:rPr>
        <w:t xml:space="preserve">être suspendues, </w:t>
      </w:r>
      <w:r>
        <w:rPr>
          <w:rFonts w:cs="Times New Roman"/>
          <w:lang w:val="fr-CA" w:bidi="en-US"/>
        </w:rPr>
        <w:t>point. Toujours selon TELUS</w:t>
      </w:r>
      <w:r w:rsidRPr="0092652F">
        <w:rPr>
          <w:rFonts w:cs="Times New Roman"/>
          <w:lang w:val="fr-CA" w:bidi="en-US"/>
        </w:rPr>
        <w:t>, comme ni l’une ni l’autre de ces exceptions ne s’appliquent, le tribunal doit ordonner le sursis des réclamations des clients commerciaux.</w:t>
      </w:r>
    </w:p>
    <w:p w:rsidR="00B618DD" w:rsidRPr="0092652F" w:rsidRDefault="00B618DD" w:rsidP="00B618DD">
      <w:pPr>
        <w:pStyle w:val="ParaNoNdepar-AltN"/>
        <w:spacing w:before="0"/>
        <w:rPr>
          <w:rFonts w:cs="Times New Roman"/>
          <w:lang w:val="fr-CA"/>
        </w:rPr>
      </w:pPr>
      <w:r w:rsidRPr="0092652F">
        <w:rPr>
          <w:rFonts w:cs="Times New Roman"/>
          <w:lang w:val="fr-CA"/>
        </w:rPr>
        <w:t xml:space="preserve">Pour les motifs qui suivent, je suis d’avis que le par. 7(5) de la </w:t>
      </w:r>
      <w:r w:rsidRPr="0092652F">
        <w:rPr>
          <w:rFonts w:cs="Times New Roman"/>
          <w:i/>
          <w:lang w:val="fr-CA"/>
        </w:rPr>
        <w:t>Loi sur l’arbitrage</w:t>
      </w:r>
      <w:r w:rsidRPr="0092652F">
        <w:rPr>
          <w:rFonts w:cs="Times New Roman"/>
          <w:lang w:val="fr-CA"/>
        </w:rPr>
        <w:t xml:space="preserve"> ne confère pas aux tribunaux le pouvoir discrétionnaire de refuser d’ordonner le sursis des réclamations qui sont visées par une convention d’arbitrage. Pour reprendre les propos de la Cour dans l’arrêt </w:t>
      </w:r>
      <w:r w:rsidRPr="0092652F">
        <w:rPr>
          <w:rFonts w:cs="Times New Roman"/>
          <w:i/>
          <w:iCs/>
          <w:lang w:val="fr-CA"/>
        </w:rPr>
        <w:t>Seidel c. TELUS Communications Inc.</w:t>
      </w:r>
      <w:r w:rsidRPr="0092652F">
        <w:rPr>
          <w:rFonts w:cs="Times New Roman"/>
          <w:lang w:val="fr-CA"/>
        </w:rPr>
        <w:t xml:space="preserve">, 2011 CSC 15, [2011] 1 R.C.S. 531, il ne s’agit pas d’une « dérogation législative à la liberté des parties de choisir l’arbitrage » (par. 40). Comme je l’expliquerai plus en détail ultérieurement, lorsque l’art. 7 est envisagé conjointement avec les protections conférées par la </w:t>
      </w:r>
      <w:r w:rsidRPr="0092652F">
        <w:rPr>
          <w:rFonts w:cs="Times New Roman"/>
          <w:i/>
          <w:lang w:val="fr-CA"/>
        </w:rPr>
        <w:t>Loi sur la protection du consommateur</w:t>
      </w:r>
      <w:r w:rsidRPr="0092652F">
        <w:rPr>
          <w:rFonts w:cs="Times New Roman"/>
          <w:lang w:val="fr-CA"/>
        </w:rPr>
        <w:t xml:space="preserve">, il devient évident que si les consommateurs sont libres de présenter leurs réclamations devant les tribunaux, les clients commerciaux ne le sont pas. Ces derniers restent plutôt liés par les conventions d’arbitrage dont ils ont convenu, ce qui les expose au sursis prévu au </w:t>
      </w:r>
      <w:proofErr w:type="spellStart"/>
      <w:r w:rsidRPr="0092652F">
        <w:rPr>
          <w:rFonts w:cs="Times New Roman"/>
          <w:lang w:val="fr-CA"/>
        </w:rPr>
        <w:t>par</w:t>
      </w:r>
      <w:proofErr w:type="spellEnd"/>
      <w:r w:rsidRPr="0092652F">
        <w:rPr>
          <w:rFonts w:cs="Times New Roman"/>
          <w:lang w:val="fr-CA"/>
        </w:rPr>
        <w:t xml:space="preserve">. 7(1) de la </w:t>
      </w:r>
      <w:r w:rsidRPr="0092652F">
        <w:rPr>
          <w:rFonts w:cs="Times New Roman"/>
          <w:i/>
          <w:lang w:val="fr-CA"/>
        </w:rPr>
        <w:t>Loi sur l’arbitrage</w:t>
      </w:r>
      <w:r w:rsidRPr="0092652F">
        <w:rPr>
          <w:rFonts w:cs="Times New Roman"/>
          <w:lang w:val="fr-CA"/>
        </w:rPr>
        <w:t xml:space="preserve">. La seule exception potentielle à cette disposition, qu’on cherche à invoquer au nom des clients commerciaux en l’espèce, soit la disposition relative au sursis partiel prévue au </w:t>
      </w:r>
      <w:proofErr w:type="spellStart"/>
      <w:r w:rsidRPr="0092652F">
        <w:rPr>
          <w:rFonts w:cs="Times New Roman"/>
          <w:lang w:val="fr-CA"/>
        </w:rPr>
        <w:t>par</w:t>
      </w:r>
      <w:proofErr w:type="spellEnd"/>
      <w:r w:rsidRPr="0092652F">
        <w:rPr>
          <w:rFonts w:cs="Times New Roman"/>
          <w:lang w:val="fr-CA"/>
        </w:rPr>
        <w:t xml:space="preserve">. 7(5), ne leur est d’aucun secours. Il en est ainsi parce que la seule « question » en litige dans la présente affaire — soit la prétendue surfacturation — est </w:t>
      </w:r>
      <w:proofErr w:type="gramStart"/>
      <w:r w:rsidRPr="0092652F">
        <w:rPr>
          <w:rFonts w:cs="Times New Roman"/>
          <w:lang w:val="fr-CA"/>
        </w:rPr>
        <w:t>visée</w:t>
      </w:r>
      <w:proofErr w:type="gramEnd"/>
      <w:r w:rsidRPr="0092652F">
        <w:rPr>
          <w:rFonts w:cs="Times New Roman"/>
          <w:lang w:val="fr-CA"/>
        </w:rPr>
        <w:t xml:space="preserve"> par les conventions d’arbitrage qu’ont signées tant les consommateurs que les clients commerciaux, de sorte qu’il n’est pas satisfait à la première condition préalable énoncée à l’al. 7(5)a). La règle générale prévue au </w:t>
      </w:r>
      <w:proofErr w:type="spellStart"/>
      <w:r w:rsidRPr="0092652F">
        <w:rPr>
          <w:rFonts w:cs="Times New Roman"/>
          <w:lang w:val="fr-CA"/>
        </w:rPr>
        <w:t>par</w:t>
      </w:r>
      <w:proofErr w:type="spellEnd"/>
      <w:r w:rsidRPr="0092652F">
        <w:rPr>
          <w:rFonts w:cs="Times New Roman"/>
          <w:lang w:val="fr-CA"/>
        </w:rPr>
        <w:t>. 7(1) reste donc intacte en ce qui a trait aux clients commerciaux.</w:t>
      </w:r>
    </w:p>
    <w:p w:rsidR="00B618DD" w:rsidRPr="0092652F" w:rsidRDefault="00B618DD" w:rsidP="00B618DD">
      <w:pPr>
        <w:pStyle w:val="ParaNoNdepar-AltN"/>
        <w:spacing w:before="0"/>
        <w:rPr>
          <w:rFonts w:cs="Times New Roman"/>
          <w:lang w:val="fr-CA"/>
        </w:rPr>
      </w:pPr>
      <w:r w:rsidRPr="0092652F">
        <w:rPr>
          <w:rFonts w:cs="Times New Roman"/>
          <w:lang w:val="fr-CA"/>
        </w:rPr>
        <w:t>Je suis donc d’avis d’accueillir l’appel et d’ordonner le sursis des réclamations des clients commerciaux.</w:t>
      </w:r>
    </w:p>
    <w:p w:rsidR="00B618DD" w:rsidRPr="0092652F" w:rsidRDefault="00B618DD" w:rsidP="00B618DD">
      <w:pPr>
        <w:pStyle w:val="Title1LevelTitre1Niveau-AltL"/>
        <w:spacing w:before="0"/>
        <w:rPr>
          <w:rFonts w:cs="Times New Roman"/>
          <w:lang w:val="fr-CA" w:bidi="en-US"/>
        </w:rPr>
      </w:pPr>
      <w:r w:rsidRPr="0092652F">
        <w:rPr>
          <w:rFonts w:cs="Times New Roman"/>
          <w:lang w:val="fr-CA" w:bidi="en-US"/>
        </w:rPr>
        <w:t>Le contexte</w:t>
      </w:r>
    </w:p>
    <w:p w:rsidR="00B618DD" w:rsidRPr="0092652F" w:rsidRDefault="00B618DD" w:rsidP="00B618DD">
      <w:pPr>
        <w:pStyle w:val="Title2LevelTitre2Niveau"/>
        <w:rPr>
          <w:rFonts w:cs="Times New Roman"/>
          <w:lang w:val="fr-CA" w:bidi="en-US"/>
        </w:rPr>
      </w:pPr>
      <w:r w:rsidRPr="0092652F">
        <w:rPr>
          <w:rFonts w:cs="Times New Roman"/>
          <w:lang w:val="fr-CA" w:bidi="en-US"/>
        </w:rPr>
        <w:t>Les contrats de service de téléphonie cellulaire de TELUS</w:t>
      </w:r>
    </w:p>
    <w:p w:rsidR="00B618DD" w:rsidRPr="0092652F" w:rsidRDefault="00B618DD" w:rsidP="00B618DD">
      <w:pPr>
        <w:pStyle w:val="ParaNoNdepar-AltN"/>
        <w:spacing w:before="0"/>
        <w:rPr>
          <w:rFonts w:cs="Times New Roman"/>
          <w:lang w:val="fr-CA" w:bidi="en-US"/>
        </w:rPr>
      </w:pPr>
      <w:r w:rsidRPr="0092652F">
        <w:rPr>
          <w:rFonts w:cs="Times New Roman"/>
          <w:lang w:val="fr-CA" w:bidi="en-US"/>
        </w:rPr>
        <w:t>Des services de téléphonie cellulaire sont offerts au Canada depuis le milieu des années 1980. Pendant environ une dizaine d’années, les principaux fournisseurs de services, dont TELUS, facturaient les services aux clients à la minute. TELUS a ensuite commencé à facturer à la seconde, mais elle est revenue à la facturation à la minute en 2002.</w:t>
      </w:r>
    </w:p>
    <w:p w:rsidR="00B618DD" w:rsidRPr="0092652F" w:rsidRDefault="00B618DD" w:rsidP="00B618DD">
      <w:pPr>
        <w:pStyle w:val="ParaNoNdepar-AltN"/>
        <w:spacing w:before="0"/>
        <w:rPr>
          <w:rFonts w:cs="Times New Roman"/>
          <w:lang w:val="fr-CA" w:bidi="en-US"/>
        </w:rPr>
      </w:pPr>
      <w:r w:rsidRPr="0092652F">
        <w:rPr>
          <w:rFonts w:cs="Times New Roman"/>
          <w:lang w:val="fr-CA" w:bidi="en-US"/>
        </w:rPr>
        <w:t>Tout au long de la période en cause, les plans mensuels de TELUS offraient un nombre fixe de minutes pour un prix donné, et prévoyaient des frais additionnels pour toute utilisation excédentaire. Par exemple, TELUS offrait un plan qui donnait aux clients 50 minutes de service plus 50 minutes d’appels locaux pour 30 $, et des frais de 30 cents s’appliquaient pour chaque minute locale additionnelle. L’utilisation était calculée en arrondissant la durée de chaque appel à la minute suivante. Par exemple, la durée d’un appel d’une minute et une seconde était arrondie à deux minutes.</w:t>
      </w:r>
    </w:p>
    <w:p w:rsidR="00B618DD" w:rsidRPr="0092652F" w:rsidRDefault="00B618DD" w:rsidP="00B618DD">
      <w:pPr>
        <w:pStyle w:val="ParaNoNdepar-AltN"/>
        <w:spacing w:before="0"/>
        <w:rPr>
          <w:rFonts w:cs="Times New Roman"/>
          <w:lang w:val="fr-CA" w:bidi="en-US"/>
        </w:rPr>
      </w:pPr>
      <w:r w:rsidRPr="0092652F">
        <w:rPr>
          <w:rFonts w:cs="Times New Roman"/>
          <w:lang w:val="fr-CA" w:bidi="en-US"/>
        </w:rPr>
        <w:t xml:space="preserve">Tous les clients qui ont souscrit à un plan de service de téléphonie à la minute ont conclu un contrat écrit comprenant les conditions types de TELUS, </w:t>
      </w:r>
      <w:r w:rsidRPr="0092652F">
        <w:rPr>
          <w:rFonts w:cs="Times New Roman"/>
          <w:lang w:val="fr-CA"/>
        </w:rPr>
        <w:t>dont une clause d’arbitrage. Celle</w:t>
      </w:r>
      <w:r w:rsidRPr="0092652F">
        <w:rPr>
          <w:rFonts w:cs="Times New Roman"/>
          <w:lang w:val="fr-CA"/>
        </w:rPr>
        <w:noBreakHyphen/>
        <w:t>ci prévoit, en gros, que toute réclamation découlant du contrat ou s’y rapportant, sauf en ce qui concerne le recouvrement de créances par TELUS, doit faire l’objet d’une médiation privée et confidentielle ou, à défaut de règlement, d’un arbitrage privé, confidentiel et final</w:t>
      </w:r>
      <w:r w:rsidRPr="0092652F">
        <w:rPr>
          <w:rFonts w:cs="Times New Roman"/>
          <w:lang w:val="fr-CA" w:bidi="en-US"/>
        </w:rPr>
        <w:t>.</w:t>
      </w:r>
    </w:p>
    <w:p w:rsidR="00B618DD" w:rsidRPr="0092652F" w:rsidRDefault="00B618DD" w:rsidP="00B618DD">
      <w:pPr>
        <w:pStyle w:val="Title2LevelTitre2Niveau"/>
        <w:spacing w:before="0"/>
        <w:rPr>
          <w:rFonts w:cs="Times New Roman"/>
          <w:lang w:val="fr-CA" w:bidi="en-US"/>
        </w:rPr>
      </w:pPr>
      <w:r w:rsidRPr="0092652F">
        <w:rPr>
          <w:rFonts w:cs="Times New Roman"/>
          <w:lang w:val="fr-CA" w:bidi="en-US"/>
        </w:rPr>
        <w:t>Le recours collectif introduit par M. </w:t>
      </w:r>
      <w:proofErr w:type="spellStart"/>
      <w:r w:rsidRPr="0092652F">
        <w:rPr>
          <w:rFonts w:cs="Times New Roman"/>
          <w:lang w:val="fr-CA" w:bidi="en-US"/>
        </w:rPr>
        <w:t>Wellman</w:t>
      </w:r>
      <w:proofErr w:type="spellEnd"/>
    </w:p>
    <w:p w:rsidR="00B618DD" w:rsidRPr="0092652F" w:rsidRDefault="00B618DD" w:rsidP="00B618DD">
      <w:pPr>
        <w:pStyle w:val="ParaNoNdepar-AltN"/>
        <w:spacing w:before="0"/>
        <w:rPr>
          <w:rFonts w:cs="Times New Roman"/>
          <w:lang w:val="fr-CA"/>
        </w:rPr>
      </w:pPr>
      <w:r w:rsidRPr="0092652F">
        <w:rPr>
          <w:rFonts w:cs="Times New Roman"/>
          <w:lang w:val="fr-CA"/>
        </w:rPr>
        <w:t>En 2006, M. </w:t>
      </w:r>
      <w:proofErr w:type="spellStart"/>
      <w:r w:rsidRPr="0092652F">
        <w:rPr>
          <w:rFonts w:cs="Times New Roman"/>
          <w:lang w:val="fr-CA"/>
        </w:rPr>
        <w:t>Wellman</w:t>
      </w:r>
      <w:proofErr w:type="spellEnd"/>
      <w:r w:rsidRPr="0092652F">
        <w:rPr>
          <w:rFonts w:cs="Times New Roman"/>
          <w:lang w:val="fr-CA"/>
        </w:rPr>
        <w:t xml:space="preserve"> a souscrit à un plan à la minute avec TELUS. Des années plus tard, il a déposé un recours collectif projeté en Ontario contre TELUS</w:t>
      </w:r>
      <w:r w:rsidRPr="00565321">
        <w:rPr>
          <w:rStyle w:val="Hyperlink"/>
          <w:vertAlign w:val="superscript"/>
        </w:rPr>
        <w:footnoteReference w:id="2"/>
      </w:r>
      <w:r w:rsidRPr="0092652F">
        <w:rPr>
          <w:rFonts w:cs="Times New Roman"/>
          <w:lang w:val="fr-CA"/>
        </w:rPr>
        <w:t>, alléguant que, entre 2002 et 2010, les conditions types de TELUS ne mentionnaient pas la pratique consistant à arrondir la durée des appels. L’action vise quelque deux millions de résidents ontariens qui ont souscrit à un plan à la minute avec TELUS entre août 2006 et juillet 2010. Soixante</w:t>
      </w:r>
      <w:r w:rsidRPr="0092652F">
        <w:rPr>
          <w:rFonts w:cs="Times New Roman"/>
          <w:lang w:val="fr-CA"/>
        </w:rPr>
        <w:noBreakHyphen/>
        <w:t xml:space="preserve">dix pour cent des membres du groupe (soit environ 1 400 000 membres) sont des consommateurs qui ont acheté des plans pour leur usage personnel, et 30 pour </w:t>
      </w:r>
      <w:r w:rsidR="00CD0B94">
        <w:rPr>
          <w:rFonts w:cs="Times New Roman"/>
          <w:lang w:val="fr-CA"/>
        </w:rPr>
        <w:t>100</w:t>
      </w:r>
      <w:r w:rsidRPr="0092652F">
        <w:rPr>
          <w:rFonts w:cs="Times New Roman"/>
          <w:lang w:val="fr-CA"/>
        </w:rPr>
        <w:t xml:space="preserve"> des membres (soit environ 600 000 membres) sont des non</w:t>
      </w:r>
      <w:r w:rsidRPr="0092652F">
        <w:rPr>
          <w:rFonts w:cs="Times New Roman"/>
          <w:lang w:val="fr-CA"/>
        </w:rPr>
        <w:noBreakHyphen/>
        <w:t>consommateurs qui ont acheté des plans pour un usage commercial.</w:t>
      </w:r>
    </w:p>
    <w:p w:rsidR="00B618DD" w:rsidRPr="0092652F" w:rsidRDefault="00B618DD" w:rsidP="00B618DD">
      <w:pPr>
        <w:pStyle w:val="ParaNoNdepar-AltN"/>
        <w:spacing w:before="0"/>
        <w:rPr>
          <w:rFonts w:cs="Times New Roman"/>
          <w:lang w:val="fr-CA"/>
        </w:rPr>
      </w:pPr>
      <w:r w:rsidRPr="0092652F">
        <w:rPr>
          <w:rFonts w:cs="Times New Roman"/>
          <w:lang w:val="fr-CA"/>
        </w:rPr>
        <w:t>M. </w:t>
      </w:r>
      <w:proofErr w:type="spellStart"/>
      <w:r w:rsidRPr="0092652F">
        <w:rPr>
          <w:rFonts w:cs="Times New Roman"/>
          <w:lang w:val="fr-CA"/>
        </w:rPr>
        <w:t>Wellman</w:t>
      </w:r>
      <w:proofErr w:type="spellEnd"/>
      <w:r w:rsidRPr="0092652F">
        <w:rPr>
          <w:rFonts w:cs="Times New Roman"/>
          <w:lang w:val="fr-CA"/>
        </w:rPr>
        <w:t xml:space="preserve">, qui soutient être un consommateur, allègue que la pratique non divulguée de TELUS consistant à arrondir la durée des appels a fait en sorte que les membres du groupe ont épuisé plus rapidement le nombre fixe de minutes qu’ils avaient acheté et que des frais d’utilisation excédentaire leur ont été facturés de façon prématurément. Il affirme que les membres du groupe ont donc fait l’objet d’une surfacturation et n’ont pas reçu le nombre de minutes auquel ils avaient droit. Sur ce fondement, il fait valoir trois causes d’action : la rupture de contrat, la violation de la </w:t>
      </w:r>
      <w:r w:rsidRPr="0092652F">
        <w:rPr>
          <w:rFonts w:cs="Times New Roman"/>
          <w:i/>
          <w:lang w:val="fr-CA"/>
        </w:rPr>
        <w:t>Loi sur la protection du consommateur</w:t>
      </w:r>
      <w:r w:rsidRPr="0092652F">
        <w:rPr>
          <w:rFonts w:cs="Times New Roman"/>
          <w:lang w:val="fr-CA" w:bidi="en-US"/>
        </w:rPr>
        <w:t xml:space="preserve"> et l’enrichissement injustifié. Il réclame des dommages</w:t>
      </w:r>
      <w:r w:rsidRPr="0092652F">
        <w:rPr>
          <w:rFonts w:cs="Times New Roman"/>
          <w:lang w:val="fr-CA" w:bidi="en-US"/>
        </w:rPr>
        <w:noBreakHyphen/>
        <w:t>intérêts de 500 millions de dollars et des dommages</w:t>
      </w:r>
      <w:r w:rsidRPr="0092652F">
        <w:rPr>
          <w:rFonts w:cs="Times New Roman"/>
          <w:lang w:val="fr-CA" w:bidi="en-US"/>
        </w:rPr>
        <w:noBreakHyphen/>
        <w:t>intérêts punitifs de 20 millions de dollars au nom du groupe.</w:t>
      </w:r>
    </w:p>
    <w:p w:rsidR="00B618DD" w:rsidRPr="0092652F" w:rsidRDefault="00B618DD" w:rsidP="00B618DD">
      <w:pPr>
        <w:pStyle w:val="ParaNoNdepar-AltN"/>
        <w:rPr>
          <w:rFonts w:cs="Times New Roman"/>
          <w:lang w:val="fr-CA" w:bidi="en-US"/>
        </w:rPr>
      </w:pPr>
      <w:r w:rsidRPr="0092652F">
        <w:rPr>
          <w:rFonts w:cs="Times New Roman"/>
          <w:lang w:val="fr-CA"/>
        </w:rPr>
        <w:t>M. </w:t>
      </w:r>
      <w:proofErr w:type="spellStart"/>
      <w:r w:rsidRPr="0092652F">
        <w:rPr>
          <w:rFonts w:cs="Times New Roman"/>
          <w:lang w:val="fr-CA"/>
        </w:rPr>
        <w:t>Wellman</w:t>
      </w:r>
      <w:proofErr w:type="spellEnd"/>
      <w:r w:rsidRPr="0092652F">
        <w:rPr>
          <w:rFonts w:cs="Times New Roman"/>
          <w:lang w:val="fr-CA"/>
        </w:rPr>
        <w:t xml:space="preserve"> a présenté une motion en vue de faire certifier le recours collectif sous le régime de la </w:t>
      </w:r>
      <w:r w:rsidRPr="0092652F">
        <w:rPr>
          <w:rFonts w:cs="Times New Roman"/>
          <w:i/>
          <w:lang w:val="fr-CA"/>
        </w:rPr>
        <w:t>Loi de 1992 sur les recours collectifs</w:t>
      </w:r>
      <w:r w:rsidRPr="0092652F">
        <w:rPr>
          <w:rFonts w:cs="Times New Roman"/>
          <w:lang w:val="fr-CA"/>
        </w:rPr>
        <w:t>, L.O. 1992, c. 6 (« </w:t>
      </w:r>
      <w:r w:rsidRPr="0092652F">
        <w:rPr>
          <w:rFonts w:cs="Times New Roman"/>
          <w:i/>
          <w:lang w:val="fr-CA"/>
        </w:rPr>
        <w:t>Loi sur les recours collectifs</w:t>
      </w:r>
      <w:r w:rsidRPr="0092652F">
        <w:rPr>
          <w:rFonts w:cs="Times New Roman"/>
          <w:lang w:val="fr-CA"/>
        </w:rPr>
        <w:t> »)</w:t>
      </w:r>
      <w:r w:rsidRPr="0092652F">
        <w:rPr>
          <w:rFonts w:cs="Times New Roman"/>
          <w:vertAlign w:val="superscript"/>
          <w:lang w:val="fr-CA"/>
        </w:rPr>
        <w:footnoteReference w:id="3"/>
      </w:r>
      <w:r w:rsidRPr="0092652F">
        <w:rPr>
          <w:rFonts w:cs="Times New Roman"/>
          <w:lang w:val="fr-CA"/>
        </w:rPr>
        <w:t>. En réponse, TELUS a présenté une motion en sursis de l’instance relativement aux réclamations des non-consommateurs, invoquant la clause d’arbitrage énoncée dans les conditions types de ses contrats.</w:t>
      </w:r>
    </w:p>
    <w:p w:rsidR="00B618DD" w:rsidRPr="0092652F" w:rsidRDefault="00B618DD" w:rsidP="00B618DD">
      <w:pPr>
        <w:pStyle w:val="Title1LevelTitre1Niveau-AltL"/>
        <w:spacing w:before="0"/>
        <w:rPr>
          <w:rFonts w:cs="Times New Roman"/>
          <w:lang w:val="fr-CA" w:bidi="en-US"/>
        </w:rPr>
      </w:pPr>
      <w:r w:rsidRPr="0092652F">
        <w:rPr>
          <w:rFonts w:cs="Times New Roman"/>
          <w:lang w:val="fr-CA" w:bidi="en-US"/>
        </w:rPr>
        <w:t>Les dispositions législatives applicables</w:t>
      </w:r>
    </w:p>
    <w:p w:rsidR="00B618DD" w:rsidRPr="0092652F" w:rsidRDefault="00B618DD" w:rsidP="00B618DD">
      <w:pPr>
        <w:pStyle w:val="ParaNoNdepar-AltN"/>
        <w:spacing w:before="0"/>
        <w:rPr>
          <w:rFonts w:cs="Times New Roman"/>
          <w:lang w:val="fr-CA"/>
        </w:rPr>
      </w:pPr>
      <w:bookmarkStart w:id="0" w:name="_Toc528049517"/>
      <w:r w:rsidRPr="0092652F">
        <w:rPr>
          <w:rFonts w:cs="Times New Roman"/>
          <w:lang w:val="fr-CA"/>
        </w:rPr>
        <w:t xml:space="preserve">Deux lois sont au cœur du présent appel : la </w:t>
      </w:r>
      <w:r w:rsidRPr="0092652F">
        <w:rPr>
          <w:rFonts w:cs="Times New Roman"/>
          <w:i/>
          <w:lang w:val="fr-CA"/>
        </w:rPr>
        <w:t>Loi sur l’arbitrage</w:t>
      </w:r>
      <w:r w:rsidRPr="0092652F">
        <w:rPr>
          <w:rFonts w:cs="Times New Roman"/>
          <w:lang w:val="fr-CA"/>
        </w:rPr>
        <w:t xml:space="preserve"> et la </w:t>
      </w:r>
      <w:r w:rsidRPr="0092652F">
        <w:rPr>
          <w:rFonts w:cs="Times New Roman"/>
          <w:i/>
          <w:lang w:val="fr-CA"/>
        </w:rPr>
        <w:t>Loi sur la protection du consommateur</w:t>
      </w:r>
      <w:r w:rsidRPr="0092652F">
        <w:rPr>
          <w:rFonts w:cs="Times New Roman"/>
          <w:lang w:val="fr-CA"/>
        </w:rPr>
        <w:t>. Les articles clés de ces deux textes législatifs sont reproduits ci</w:t>
      </w:r>
      <w:r w:rsidRPr="0092652F">
        <w:rPr>
          <w:rFonts w:cs="Times New Roman"/>
          <w:lang w:val="fr-CA"/>
        </w:rPr>
        <w:noBreakHyphen/>
        <w:t>après. Il se trouve que les numéros des dispositions en cause sont partiellement les mêmes; lorsque je réfère à un article dans les présents motifs, il importe donc de garder à l’esprit de quelle loi il est question.</w:t>
      </w:r>
    </w:p>
    <w:p w:rsidR="00B618DD" w:rsidRPr="0092652F" w:rsidRDefault="00B618DD" w:rsidP="00B618DD">
      <w:pPr>
        <w:pStyle w:val="ParaNoNdepar-AltN"/>
        <w:numPr>
          <w:ilvl w:val="0"/>
          <w:numId w:val="0"/>
        </w:numPr>
        <w:tabs>
          <w:tab w:val="left" w:pos="1170"/>
        </w:tabs>
        <w:rPr>
          <w:rFonts w:cs="Times New Roman"/>
          <w:lang w:val="fr-CA"/>
        </w:rPr>
      </w:pPr>
      <w:r w:rsidRPr="0092652F">
        <w:rPr>
          <w:rFonts w:cs="Times New Roman"/>
          <w:i/>
          <w:lang w:val="fr-CA"/>
        </w:rPr>
        <w:t>Loi de 1991 sur l’arbitrage</w:t>
      </w:r>
      <w:r w:rsidRPr="0092652F">
        <w:rPr>
          <w:rFonts w:cs="Times New Roman"/>
          <w:lang w:val="fr-CA"/>
        </w:rPr>
        <w:t>, L.O. 1991, c. 17</w:t>
      </w:r>
      <w:bookmarkEnd w:id="0"/>
    </w:p>
    <w:p w:rsidR="00B618DD" w:rsidRPr="0092652F" w:rsidRDefault="00B618DD" w:rsidP="00B618DD">
      <w:pPr>
        <w:pStyle w:val="CITATION"/>
        <w:spacing w:after="240"/>
        <w:ind w:left="1170"/>
        <w:rPr>
          <w:rFonts w:cs="Times New Roman"/>
          <w:b/>
          <w:lang w:val="fr-CA"/>
        </w:rPr>
      </w:pPr>
      <w:r w:rsidRPr="0092652F">
        <w:rPr>
          <w:rFonts w:cs="Times New Roman"/>
          <w:b/>
          <w:lang w:val="fr-CA"/>
        </w:rPr>
        <w:t>Définitions</w:t>
      </w:r>
    </w:p>
    <w:p w:rsidR="00B618DD" w:rsidRPr="0092652F" w:rsidRDefault="00B618DD" w:rsidP="00B618DD">
      <w:pPr>
        <w:pStyle w:val="CITATION"/>
        <w:spacing w:after="240"/>
        <w:ind w:left="1170"/>
        <w:rPr>
          <w:rFonts w:cs="Times New Roman"/>
          <w:lang w:val="fr-CA"/>
        </w:rPr>
      </w:pPr>
      <w:r w:rsidRPr="0092652F">
        <w:rPr>
          <w:rFonts w:cs="Times New Roman"/>
          <w:b/>
          <w:lang w:val="fr-CA"/>
        </w:rPr>
        <w:t>1</w:t>
      </w:r>
      <w:r w:rsidRPr="0092652F">
        <w:rPr>
          <w:rFonts w:cs="Times New Roman"/>
          <w:lang w:val="fr-CA"/>
        </w:rPr>
        <w:t xml:space="preserve"> Les définitions qui suivent s’appliquent à la présente loi.</w:t>
      </w:r>
    </w:p>
    <w:p w:rsidR="00B618DD" w:rsidRPr="0092652F" w:rsidRDefault="00B618DD" w:rsidP="00B618DD">
      <w:pPr>
        <w:pStyle w:val="CITATION"/>
        <w:tabs>
          <w:tab w:val="left" w:pos="3600"/>
        </w:tabs>
        <w:spacing w:after="240"/>
        <w:ind w:left="1170" w:hanging="90"/>
        <w:jc w:val="center"/>
        <w:rPr>
          <w:rFonts w:cs="Times New Roman"/>
          <w:lang w:val="fr-CA"/>
        </w:rPr>
      </w:pPr>
      <w:r w:rsidRPr="0092652F">
        <w:rPr>
          <w:rFonts w:cs="Times New Roman"/>
          <w:lang w:val="fr-CA"/>
        </w:rPr>
        <w:t>. . .</w:t>
      </w:r>
    </w:p>
    <w:p w:rsidR="00B618DD" w:rsidRPr="0092652F" w:rsidRDefault="00B618DD" w:rsidP="00B618DD">
      <w:pPr>
        <w:pStyle w:val="CITATION"/>
        <w:tabs>
          <w:tab w:val="left" w:pos="1710"/>
        </w:tabs>
        <w:spacing w:after="240"/>
        <w:ind w:left="1714" w:right="58" w:hanging="634"/>
        <w:rPr>
          <w:rFonts w:cs="Times New Roman"/>
          <w:lang w:val="fr-CA"/>
        </w:rPr>
      </w:pPr>
      <w:r w:rsidRPr="0092652F">
        <w:rPr>
          <w:rFonts w:cs="Times New Roman"/>
          <w:lang w:val="fr-CA"/>
        </w:rPr>
        <w:tab/>
        <w:t>« </w:t>
      </w:r>
      <w:proofErr w:type="gramStart"/>
      <w:r w:rsidRPr="0092652F">
        <w:rPr>
          <w:rFonts w:cs="Times New Roman"/>
          <w:lang w:val="fr-CA"/>
        </w:rPr>
        <w:t>convention</w:t>
      </w:r>
      <w:proofErr w:type="gramEnd"/>
      <w:r w:rsidRPr="0092652F">
        <w:rPr>
          <w:rFonts w:cs="Times New Roman"/>
          <w:lang w:val="fr-CA"/>
        </w:rPr>
        <w:t xml:space="preserve"> d’arbitrage » Convention par laquelle plusieurs personnes conviennent de soumettre à l’arbitrage un différend survenu ou susceptible de survenir entre elles.</w:t>
      </w:r>
    </w:p>
    <w:p w:rsidR="00B618DD" w:rsidRPr="0092652F" w:rsidRDefault="00B618DD" w:rsidP="00B618DD">
      <w:pPr>
        <w:pStyle w:val="CITATION"/>
        <w:tabs>
          <w:tab w:val="left" w:pos="4320"/>
        </w:tabs>
        <w:spacing w:after="240"/>
        <w:ind w:left="1170"/>
        <w:jc w:val="center"/>
        <w:rPr>
          <w:rFonts w:cs="Times New Roman"/>
          <w:lang w:val="fr-CA"/>
        </w:rPr>
      </w:pPr>
      <w:r w:rsidRPr="0092652F">
        <w:rPr>
          <w:rFonts w:cs="Times New Roman"/>
          <w:lang w:val="fr-CA"/>
        </w:rPr>
        <w:t>. . .</w:t>
      </w:r>
    </w:p>
    <w:p w:rsidR="00B618DD" w:rsidRPr="00FF19AF" w:rsidRDefault="00B618DD" w:rsidP="00B618DD">
      <w:pPr>
        <w:pStyle w:val="CITATION"/>
        <w:tabs>
          <w:tab w:val="left" w:pos="3150"/>
        </w:tabs>
        <w:spacing w:after="240"/>
        <w:ind w:left="1170"/>
        <w:jc w:val="center"/>
        <w:rPr>
          <w:rFonts w:cs="Times New Roman"/>
          <w:smallCaps/>
          <w:lang w:val="fr-CA"/>
        </w:rPr>
      </w:pPr>
      <w:r w:rsidRPr="00FF19AF">
        <w:rPr>
          <w:rFonts w:cs="Times New Roman"/>
          <w:smallCaps/>
          <w:lang w:val="fr-CA"/>
        </w:rPr>
        <w:t>Intervention du tribunal judiciaire</w:t>
      </w:r>
    </w:p>
    <w:p w:rsidR="00B618DD" w:rsidRPr="0092652F" w:rsidRDefault="00B618DD" w:rsidP="00B618DD">
      <w:pPr>
        <w:pStyle w:val="CITATION"/>
        <w:spacing w:after="240"/>
        <w:ind w:left="1170"/>
        <w:rPr>
          <w:rFonts w:cs="Times New Roman"/>
          <w:b/>
          <w:lang w:val="fr-CA"/>
        </w:rPr>
      </w:pPr>
      <w:r w:rsidRPr="0092652F">
        <w:rPr>
          <w:rFonts w:cs="Times New Roman"/>
          <w:b/>
          <w:lang w:val="fr-CA"/>
        </w:rPr>
        <w:t>Intervention limitée du tribunal judiciaire</w:t>
      </w:r>
    </w:p>
    <w:p w:rsidR="00B618DD" w:rsidRPr="0092652F" w:rsidRDefault="00B618DD" w:rsidP="00B618DD">
      <w:pPr>
        <w:pStyle w:val="CITATION"/>
        <w:tabs>
          <w:tab w:val="left" w:pos="7513"/>
        </w:tabs>
        <w:spacing w:after="240"/>
        <w:ind w:left="1170"/>
        <w:rPr>
          <w:rFonts w:cs="Times New Roman"/>
          <w:lang w:val="fr-CA"/>
        </w:rPr>
      </w:pPr>
      <w:r w:rsidRPr="0092652F">
        <w:rPr>
          <w:rFonts w:cs="Times New Roman"/>
          <w:b/>
          <w:lang w:val="fr-CA"/>
        </w:rPr>
        <w:t>6 </w:t>
      </w:r>
      <w:r w:rsidRPr="0092652F">
        <w:rPr>
          <w:rFonts w:cs="Times New Roman"/>
          <w:lang w:val="fr-CA"/>
        </w:rPr>
        <w:t>Aucun tribunal judiciaire ne doit intervenir dans les questions régies par la présente loi, sauf dans les cas prévus par celle</w:t>
      </w:r>
      <w:r w:rsidRPr="0092652F">
        <w:rPr>
          <w:rFonts w:cs="Times New Roman"/>
          <w:lang w:val="fr-CA"/>
        </w:rPr>
        <w:noBreakHyphen/>
        <w:t>ci et pour les objets suivants :</w:t>
      </w:r>
    </w:p>
    <w:p w:rsidR="00B618DD" w:rsidRPr="0092652F" w:rsidRDefault="00B618DD" w:rsidP="00B618DD">
      <w:pPr>
        <w:pStyle w:val="CITATION"/>
        <w:spacing w:after="240"/>
        <w:ind w:left="1701" w:hanging="1168"/>
        <w:rPr>
          <w:rFonts w:cs="Times New Roman"/>
          <w:lang w:val="fr-CA"/>
        </w:rPr>
      </w:pPr>
      <w:r>
        <w:rPr>
          <w:rFonts w:cs="Times New Roman"/>
          <w:lang w:val="fr-CA"/>
        </w:rPr>
        <w:tab/>
        <w:t xml:space="preserve">1. </w:t>
      </w:r>
      <w:r w:rsidRPr="0092652F">
        <w:rPr>
          <w:rFonts w:cs="Times New Roman"/>
          <w:lang w:val="fr-CA"/>
        </w:rPr>
        <w:t>Faciliter la conduite des arbitrages.</w:t>
      </w:r>
    </w:p>
    <w:p w:rsidR="00B618DD" w:rsidRPr="0092652F" w:rsidRDefault="00B618DD" w:rsidP="00B618DD">
      <w:pPr>
        <w:pStyle w:val="CITATION"/>
        <w:spacing w:after="240"/>
        <w:ind w:left="1701" w:right="58" w:hanging="1161"/>
        <w:rPr>
          <w:rFonts w:cs="Times New Roman"/>
          <w:lang w:val="fr-CA"/>
        </w:rPr>
      </w:pPr>
      <w:r>
        <w:rPr>
          <w:rFonts w:cs="Times New Roman"/>
          <w:lang w:val="fr-CA"/>
        </w:rPr>
        <w:tab/>
        <w:t xml:space="preserve">2. </w:t>
      </w:r>
      <w:r w:rsidRPr="0092652F">
        <w:rPr>
          <w:rFonts w:cs="Times New Roman"/>
          <w:lang w:val="fr-CA"/>
        </w:rPr>
        <w:t>Veiller à ce que les arbitrages soient effectués conformément aux conventions d’arbitrage.</w:t>
      </w:r>
    </w:p>
    <w:p w:rsidR="00B618DD" w:rsidRPr="0092652F" w:rsidRDefault="00B618DD" w:rsidP="00B618DD">
      <w:pPr>
        <w:pStyle w:val="CITATION"/>
        <w:spacing w:after="240"/>
        <w:ind w:left="1701" w:right="58" w:hanging="1071"/>
        <w:rPr>
          <w:rFonts w:cs="Times New Roman"/>
          <w:lang w:val="fr-CA"/>
        </w:rPr>
      </w:pPr>
      <w:r>
        <w:rPr>
          <w:rFonts w:cs="Times New Roman"/>
          <w:lang w:val="fr-CA"/>
        </w:rPr>
        <w:tab/>
        <w:t xml:space="preserve">3. </w:t>
      </w:r>
      <w:r w:rsidRPr="0092652F">
        <w:rPr>
          <w:rFonts w:cs="Times New Roman"/>
          <w:lang w:val="fr-CA"/>
        </w:rPr>
        <w:t>Empêcher que des parties aux conventions d’arbitrage soient traitées autrement que sur un pied d’égalité et avec équité.</w:t>
      </w:r>
    </w:p>
    <w:p w:rsidR="00B618DD" w:rsidRPr="0092652F" w:rsidRDefault="00B618DD" w:rsidP="00B618DD">
      <w:pPr>
        <w:pStyle w:val="CITATION"/>
        <w:spacing w:after="240"/>
        <w:ind w:left="1701" w:hanging="1071"/>
        <w:rPr>
          <w:rFonts w:cs="Times New Roman"/>
          <w:lang w:val="fr-CA"/>
        </w:rPr>
      </w:pPr>
      <w:r>
        <w:rPr>
          <w:rFonts w:cs="Times New Roman"/>
          <w:lang w:val="fr-CA"/>
        </w:rPr>
        <w:tab/>
        <w:t xml:space="preserve">4. </w:t>
      </w:r>
      <w:r w:rsidRPr="0092652F">
        <w:rPr>
          <w:rFonts w:cs="Times New Roman"/>
          <w:lang w:val="fr-CA"/>
        </w:rPr>
        <w:t>Exécuter les sentences.</w:t>
      </w:r>
    </w:p>
    <w:p w:rsidR="00B618DD" w:rsidRPr="0092652F" w:rsidRDefault="00B618DD" w:rsidP="00B618DD">
      <w:pPr>
        <w:pStyle w:val="CITATION"/>
        <w:spacing w:after="240"/>
        <w:ind w:left="1170" w:hanging="605"/>
        <w:rPr>
          <w:rFonts w:cs="Times New Roman"/>
          <w:b/>
          <w:lang w:val="fr-CA"/>
        </w:rPr>
      </w:pPr>
      <w:r w:rsidRPr="0092652F">
        <w:rPr>
          <w:rFonts w:cs="Times New Roman"/>
          <w:b/>
          <w:lang w:val="fr-CA"/>
        </w:rPr>
        <w:tab/>
        <w:t>Sursis</w:t>
      </w:r>
    </w:p>
    <w:p w:rsidR="00B618DD" w:rsidRPr="0092652F" w:rsidRDefault="00B618DD" w:rsidP="00B618DD">
      <w:pPr>
        <w:pStyle w:val="CITATION"/>
        <w:spacing w:after="240"/>
        <w:ind w:left="1170" w:hanging="594"/>
        <w:rPr>
          <w:rFonts w:cs="Times New Roman"/>
          <w:lang w:val="fr-CA"/>
        </w:rPr>
      </w:pPr>
      <w:r w:rsidRPr="0092652F">
        <w:rPr>
          <w:rFonts w:cs="Times New Roman"/>
          <w:b/>
          <w:lang w:val="fr-CA"/>
        </w:rPr>
        <w:tab/>
        <w:t xml:space="preserve">7 </w:t>
      </w:r>
      <w:r w:rsidRPr="0092652F">
        <w:rPr>
          <w:rFonts w:cs="Times New Roman"/>
          <w:lang w:val="fr-CA"/>
        </w:rPr>
        <w:t>(1) Si une partie à une convention d’arbitrage introduit une instance à l’égard d’une question que la convention oblige à soumettre à l’arbitrage, le tribunal judiciaire devant lequel l’instance est introduite doit, sur la motion d’une autre partie à la convention d’arbitrage, surseoir à l’instance.</w:t>
      </w:r>
    </w:p>
    <w:p w:rsidR="00B618DD" w:rsidRPr="0092652F" w:rsidRDefault="00B618DD" w:rsidP="00B618DD">
      <w:pPr>
        <w:pStyle w:val="CITATION"/>
        <w:spacing w:after="240"/>
        <w:ind w:left="1170" w:hanging="630"/>
        <w:rPr>
          <w:rFonts w:cs="Times New Roman"/>
          <w:b/>
          <w:lang w:val="fr-CA"/>
        </w:rPr>
      </w:pPr>
      <w:r w:rsidRPr="0092652F">
        <w:rPr>
          <w:rFonts w:cs="Times New Roman"/>
          <w:b/>
          <w:lang w:val="fr-CA"/>
        </w:rPr>
        <w:tab/>
        <w:t>Exceptions</w:t>
      </w:r>
    </w:p>
    <w:p w:rsidR="00B618DD" w:rsidRPr="0092652F" w:rsidRDefault="00B618DD" w:rsidP="00B618DD">
      <w:pPr>
        <w:pStyle w:val="CITATION"/>
        <w:spacing w:after="240"/>
        <w:ind w:left="1170" w:right="58" w:hanging="594"/>
        <w:rPr>
          <w:rFonts w:cs="Times New Roman"/>
          <w:lang w:val="fr-CA"/>
        </w:rPr>
      </w:pPr>
      <w:r w:rsidRPr="0092652F">
        <w:rPr>
          <w:rFonts w:cs="Times New Roman"/>
          <w:b/>
          <w:lang w:val="fr-CA"/>
        </w:rPr>
        <w:tab/>
      </w:r>
      <w:r w:rsidRPr="0092652F">
        <w:rPr>
          <w:rFonts w:cs="Times New Roman"/>
          <w:lang w:val="fr-CA"/>
        </w:rPr>
        <w:t>(2) Cependant, le tribunal judiciaire peut refuser de surseoir à l’instance dans l’un ou l’autre des cas suivants :</w:t>
      </w:r>
    </w:p>
    <w:p w:rsidR="00B618DD" w:rsidRPr="0092652F" w:rsidRDefault="00B618DD" w:rsidP="00B618DD">
      <w:pPr>
        <w:pStyle w:val="CITATION"/>
        <w:spacing w:after="240"/>
        <w:ind w:left="1701" w:right="58" w:hanging="1168"/>
        <w:rPr>
          <w:rFonts w:cs="Times New Roman"/>
          <w:lang w:val="fr-CA"/>
        </w:rPr>
      </w:pPr>
      <w:r>
        <w:rPr>
          <w:rFonts w:cs="Times New Roman"/>
          <w:lang w:val="fr-CA"/>
        </w:rPr>
        <w:tab/>
        <w:t xml:space="preserve">1. </w:t>
      </w:r>
      <w:r w:rsidRPr="0092652F">
        <w:rPr>
          <w:rFonts w:cs="Times New Roman"/>
          <w:lang w:val="fr-CA"/>
        </w:rPr>
        <w:t>Une partie a conclu la convention d’arbitrage alors qu’elle était frappée d’incapacité juridique.</w:t>
      </w:r>
    </w:p>
    <w:p w:rsidR="00B618DD" w:rsidRPr="0092652F" w:rsidRDefault="00B618DD" w:rsidP="00B618DD">
      <w:pPr>
        <w:pStyle w:val="CITATION"/>
        <w:spacing w:after="240"/>
        <w:ind w:left="1701" w:hanging="1168"/>
        <w:rPr>
          <w:rFonts w:cs="Times New Roman"/>
          <w:lang w:val="fr-CA"/>
        </w:rPr>
      </w:pPr>
      <w:r>
        <w:rPr>
          <w:rFonts w:cs="Times New Roman"/>
          <w:lang w:val="fr-CA"/>
        </w:rPr>
        <w:tab/>
        <w:t xml:space="preserve">2. </w:t>
      </w:r>
      <w:r w:rsidRPr="0092652F">
        <w:rPr>
          <w:rFonts w:cs="Times New Roman"/>
          <w:lang w:val="fr-CA"/>
        </w:rPr>
        <w:t>La convention d’arbitrage est nulle.</w:t>
      </w:r>
    </w:p>
    <w:p w:rsidR="00B618DD" w:rsidRPr="0092652F" w:rsidRDefault="00B618DD" w:rsidP="00B618DD">
      <w:pPr>
        <w:pStyle w:val="CITATION"/>
        <w:spacing w:after="240"/>
        <w:ind w:left="1701" w:right="58" w:hanging="1161"/>
        <w:rPr>
          <w:rFonts w:cs="Times New Roman"/>
          <w:lang w:val="fr-CA"/>
        </w:rPr>
      </w:pPr>
      <w:r w:rsidRPr="0092652F">
        <w:rPr>
          <w:rFonts w:cs="Times New Roman"/>
          <w:lang w:val="fr-CA"/>
        </w:rPr>
        <w:tab/>
        <w:t xml:space="preserve">3. </w:t>
      </w:r>
      <w:r w:rsidRPr="0092652F">
        <w:rPr>
          <w:rFonts w:cs="Times New Roman"/>
          <w:lang w:val="fr-CA"/>
        </w:rPr>
        <w:tab/>
        <w:t>L’objet du différend ne peut faire l’objet d’un arbitrage aux termes des lois de l’Ontario.</w:t>
      </w:r>
    </w:p>
    <w:p w:rsidR="00B618DD" w:rsidRPr="0092652F" w:rsidRDefault="00B618DD" w:rsidP="00B618DD">
      <w:pPr>
        <w:pStyle w:val="CITATION"/>
        <w:spacing w:after="240"/>
        <w:ind w:left="1701" w:hanging="1161"/>
        <w:rPr>
          <w:rFonts w:cs="Times New Roman"/>
          <w:lang w:val="fr-CA"/>
        </w:rPr>
      </w:pPr>
      <w:r>
        <w:rPr>
          <w:rFonts w:cs="Times New Roman"/>
          <w:lang w:val="fr-CA"/>
        </w:rPr>
        <w:tab/>
        <w:t xml:space="preserve">4. </w:t>
      </w:r>
      <w:r w:rsidRPr="0092652F">
        <w:rPr>
          <w:rFonts w:cs="Times New Roman"/>
          <w:lang w:val="fr-CA"/>
        </w:rPr>
        <w:t>La motion a été présentée avec un retard indu.</w:t>
      </w:r>
    </w:p>
    <w:p w:rsidR="00B618DD" w:rsidRPr="0092652F" w:rsidRDefault="00B618DD" w:rsidP="00B618DD">
      <w:pPr>
        <w:pStyle w:val="CITATION"/>
        <w:spacing w:after="240"/>
        <w:ind w:left="1699" w:right="58" w:hanging="1166"/>
        <w:rPr>
          <w:rFonts w:cs="Times New Roman"/>
          <w:lang w:val="fr-CA"/>
        </w:rPr>
      </w:pPr>
      <w:r>
        <w:rPr>
          <w:rFonts w:cs="Times New Roman"/>
          <w:lang w:val="fr-CA"/>
        </w:rPr>
        <w:tab/>
        <w:t xml:space="preserve">5. </w:t>
      </w:r>
      <w:r w:rsidRPr="0092652F">
        <w:rPr>
          <w:rFonts w:cs="Times New Roman"/>
          <w:lang w:val="fr-CA"/>
        </w:rPr>
        <w:t>La question est propre à un jugement par défaut ou à un jugement sommaire.</w:t>
      </w:r>
    </w:p>
    <w:p w:rsidR="00B618DD" w:rsidRPr="0092652F" w:rsidRDefault="00B618DD" w:rsidP="00B618DD">
      <w:pPr>
        <w:pStyle w:val="CITATION"/>
        <w:spacing w:after="240"/>
        <w:ind w:left="1170" w:hanging="601"/>
        <w:rPr>
          <w:rFonts w:cs="Times New Roman"/>
          <w:b/>
          <w:lang w:val="fr-CA"/>
        </w:rPr>
      </w:pPr>
      <w:r w:rsidRPr="0092652F">
        <w:rPr>
          <w:rFonts w:cs="Times New Roman"/>
          <w:b/>
          <w:lang w:val="fr-CA"/>
        </w:rPr>
        <w:tab/>
        <w:t>Poursuite de l’arbitrage</w:t>
      </w:r>
    </w:p>
    <w:p w:rsidR="00B618DD" w:rsidRPr="0092652F" w:rsidRDefault="00B618DD" w:rsidP="00B618DD">
      <w:pPr>
        <w:pStyle w:val="CITATION"/>
        <w:spacing w:after="240"/>
        <w:ind w:left="1170" w:right="58" w:hanging="601"/>
        <w:rPr>
          <w:rFonts w:cs="Times New Roman"/>
          <w:lang w:val="fr-CA"/>
        </w:rPr>
      </w:pPr>
      <w:r w:rsidRPr="0092652F">
        <w:rPr>
          <w:rFonts w:cs="Times New Roman"/>
          <w:b/>
          <w:lang w:val="fr-CA"/>
        </w:rPr>
        <w:tab/>
      </w:r>
      <w:r w:rsidRPr="0092652F">
        <w:rPr>
          <w:rFonts w:cs="Times New Roman"/>
          <w:lang w:val="fr-CA"/>
        </w:rPr>
        <w:t>(3) L’arbitrage du différend peut être engagé et poursuivi pendant que la motion est devant le tribunal judiciaire.</w:t>
      </w:r>
    </w:p>
    <w:p w:rsidR="00B618DD" w:rsidRPr="0092652F" w:rsidRDefault="00B618DD" w:rsidP="00B618DD">
      <w:pPr>
        <w:pStyle w:val="CITATION"/>
        <w:spacing w:after="240"/>
        <w:ind w:left="1170" w:hanging="630"/>
        <w:rPr>
          <w:rFonts w:cs="Times New Roman"/>
          <w:b/>
          <w:lang w:val="fr-CA"/>
        </w:rPr>
      </w:pPr>
      <w:r w:rsidRPr="0092652F">
        <w:rPr>
          <w:rFonts w:cs="Times New Roman"/>
          <w:b/>
          <w:lang w:val="fr-CA"/>
        </w:rPr>
        <w:tab/>
        <w:t>Conséquences du refus de surseoir</w:t>
      </w:r>
    </w:p>
    <w:p w:rsidR="00B618DD" w:rsidRPr="0092652F" w:rsidRDefault="00B618DD" w:rsidP="00B618DD">
      <w:pPr>
        <w:pStyle w:val="CITATION"/>
        <w:spacing w:after="240"/>
        <w:ind w:left="1170" w:hanging="637"/>
        <w:rPr>
          <w:rFonts w:cs="Times New Roman"/>
          <w:lang w:val="fr-CA"/>
        </w:rPr>
      </w:pPr>
      <w:r w:rsidRPr="0092652F">
        <w:rPr>
          <w:rFonts w:cs="Times New Roman"/>
          <w:b/>
          <w:lang w:val="fr-CA"/>
        </w:rPr>
        <w:tab/>
      </w:r>
      <w:r w:rsidRPr="0092652F">
        <w:rPr>
          <w:rFonts w:cs="Times New Roman"/>
          <w:lang w:val="fr-CA"/>
        </w:rPr>
        <w:t>(4) Si le tribunal judiciaire refuse de surseoir à l’instance :</w:t>
      </w:r>
    </w:p>
    <w:p w:rsidR="00B618DD" w:rsidRPr="0092652F" w:rsidRDefault="00B618DD" w:rsidP="00B618DD">
      <w:pPr>
        <w:pStyle w:val="CITATION"/>
        <w:spacing w:after="240"/>
        <w:ind w:left="1701" w:right="58" w:hanging="1161"/>
        <w:rPr>
          <w:rFonts w:cs="Times New Roman"/>
          <w:lang w:val="fr-CA"/>
        </w:rPr>
      </w:pPr>
      <w:r w:rsidRPr="0092652F">
        <w:rPr>
          <w:rFonts w:cs="Times New Roman"/>
          <w:lang w:val="fr-CA"/>
        </w:rPr>
        <w:tab/>
        <w:t>a) d’une part, aucun arbitrage du différend ne peut être engagé;</w:t>
      </w:r>
    </w:p>
    <w:p w:rsidR="00B618DD" w:rsidRPr="0092652F" w:rsidRDefault="00B618DD" w:rsidP="00B618DD">
      <w:pPr>
        <w:pStyle w:val="CITATION"/>
        <w:tabs>
          <w:tab w:val="left" w:pos="7513"/>
        </w:tabs>
        <w:spacing w:after="240"/>
        <w:ind w:left="1701" w:hanging="1161"/>
        <w:rPr>
          <w:rFonts w:cs="Times New Roman"/>
          <w:lang w:val="fr-CA"/>
        </w:rPr>
      </w:pPr>
      <w:r w:rsidRPr="0092652F">
        <w:rPr>
          <w:rFonts w:cs="Times New Roman"/>
          <w:lang w:val="fr-CA"/>
        </w:rPr>
        <w:tab/>
        <w:t>b) d’autre part, l’arbitrage qui a été engagé ne peut être poursuivi, et tout ce qui a été fait dans le cadre de l’arbitrage avant que le tribunal judiciaire ne rende sa décision est sans effet.</w:t>
      </w:r>
    </w:p>
    <w:p w:rsidR="00B618DD" w:rsidRPr="0092652F" w:rsidRDefault="00B618DD" w:rsidP="00B618DD">
      <w:pPr>
        <w:pStyle w:val="CITATION"/>
        <w:spacing w:after="240"/>
        <w:ind w:left="1170" w:hanging="1170"/>
        <w:rPr>
          <w:rFonts w:cs="Times New Roman"/>
          <w:b/>
          <w:lang w:val="fr-CA"/>
        </w:rPr>
      </w:pPr>
      <w:r w:rsidRPr="0092652F">
        <w:rPr>
          <w:rFonts w:cs="Times New Roman"/>
          <w:b/>
          <w:lang w:val="fr-CA"/>
        </w:rPr>
        <w:tab/>
        <w:t>Convention s’appliquant à une partie du différend</w:t>
      </w:r>
    </w:p>
    <w:p w:rsidR="00B618DD" w:rsidRPr="0092652F" w:rsidRDefault="00B618DD" w:rsidP="00B618DD">
      <w:pPr>
        <w:pStyle w:val="CITATION"/>
        <w:spacing w:after="240"/>
        <w:ind w:left="1170" w:right="58" w:hanging="637"/>
        <w:rPr>
          <w:rFonts w:cs="Times New Roman"/>
          <w:lang w:val="fr-CA"/>
        </w:rPr>
      </w:pPr>
      <w:r w:rsidRPr="0092652F">
        <w:rPr>
          <w:rFonts w:cs="Times New Roman"/>
          <w:b/>
          <w:lang w:val="fr-CA"/>
        </w:rPr>
        <w:tab/>
      </w:r>
      <w:r w:rsidRPr="0092652F">
        <w:rPr>
          <w:rFonts w:cs="Times New Roman"/>
          <w:lang w:val="fr-CA"/>
        </w:rPr>
        <w:t>(5) Le tribunal judiciaire peut surseoir à l’instance en ce qui touche les questions traitées dans la convention d’arbitrage et permettre qu’elle se poursuive en ce qui touche les autres questions, s’il constate :</w:t>
      </w:r>
    </w:p>
    <w:p w:rsidR="00B618DD" w:rsidRPr="0092652F" w:rsidRDefault="00B618DD" w:rsidP="00B618DD">
      <w:pPr>
        <w:pStyle w:val="CITATION"/>
        <w:spacing w:after="240"/>
        <w:ind w:left="1701" w:right="58" w:hanging="1168"/>
        <w:rPr>
          <w:rFonts w:cs="Times New Roman"/>
          <w:lang w:val="fr-CA"/>
        </w:rPr>
      </w:pPr>
      <w:r w:rsidRPr="0092652F">
        <w:rPr>
          <w:rFonts w:cs="Times New Roman"/>
          <w:lang w:val="fr-CA"/>
        </w:rPr>
        <w:tab/>
        <w:t>a) d’une part, que la convention ne traite que de certaines des questions à l’égard desquelles l’instance a été introduite;</w:t>
      </w:r>
    </w:p>
    <w:p w:rsidR="00B618DD" w:rsidRPr="0092652F" w:rsidRDefault="00B618DD" w:rsidP="00B618DD">
      <w:pPr>
        <w:pStyle w:val="CITATION"/>
        <w:spacing w:after="240"/>
        <w:ind w:left="1701" w:right="58" w:hanging="1168"/>
        <w:rPr>
          <w:rFonts w:cs="Times New Roman"/>
          <w:lang w:val="fr-CA"/>
        </w:rPr>
      </w:pPr>
      <w:r w:rsidRPr="0092652F">
        <w:rPr>
          <w:rFonts w:cs="Times New Roman"/>
          <w:lang w:val="fr-CA"/>
        </w:rPr>
        <w:tab/>
        <w:t>b) d’autre part, qu’il est raisonnable de dissocier les questions traitées dans la convention des autres questions.</w:t>
      </w:r>
    </w:p>
    <w:p w:rsidR="00B618DD" w:rsidRPr="0092652F" w:rsidRDefault="00B618DD" w:rsidP="00B618DD">
      <w:pPr>
        <w:pStyle w:val="CITATION"/>
        <w:spacing w:after="240"/>
        <w:ind w:left="1170" w:hanging="1134"/>
        <w:rPr>
          <w:rFonts w:cs="Times New Roman"/>
          <w:b/>
          <w:lang w:val="fr-CA"/>
        </w:rPr>
      </w:pPr>
      <w:r w:rsidRPr="0092652F">
        <w:rPr>
          <w:rFonts w:cs="Times New Roman"/>
          <w:b/>
          <w:lang w:val="fr-CA"/>
        </w:rPr>
        <w:tab/>
        <w:t>Décision sans appel</w:t>
      </w:r>
    </w:p>
    <w:p w:rsidR="00B618DD" w:rsidRPr="0092652F" w:rsidRDefault="00B618DD" w:rsidP="00B618DD">
      <w:pPr>
        <w:pStyle w:val="CITATION"/>
        <w:spacing w:after="720"/>
        <w:ind w:left="1181" w:hanging="605"/>
        <w:rPr>
          <w:rFonts w:cs="Times New Roman"/>
          <w:lang w:val="fr-CA"/>
        </w:rPr>
      </w:pPr>
      <w:r w:rsidRPr="0092652F">
        <w:rPr>
          <w:rFonts w:cs="Times New Roman"/>
          <w:b/>
          <w:lang w:val="fr-CA"/>
        </w:rPr>
        <w:tab/>
      </w:r>
      <w:r w:rsidRPr="0092652F">
        <w:rPr>
          <w:rFonts w:cs="Times New Roman"/>
          <w:lang w:val="fr-CA"/>
        </w:rPr>
        <w:t>(6) La décision du tribunal judiciaire n’est pas susceptible d’appel.</w:t>
      </w:r>
    </w:p>
    <w:p w:rsidR="00B618DD" w:rsidRPr="0092652F" w:rsidRDefault="00B618DD" w:rsidP="00B618DD">
      <w:pPr>
        <w:pStyle w:val="ContinueParaSuitedupar-AltP"/>
        <w:spacing w:line="240" w:lineRule="auto"/>
        <w:ind w:left="605" w:hanging="605"/>
        <w:rPr>
          <w:rFonts w:cs="Times New Roman"/>
          <w:lang w:val="fr-CA"/>
        </w:rPr>
      </w:pPr>
      <w:bookmarkStart w:id="1" w:name="_Toc528049518"/>
      <w:r w:rsidRPr="0092652F">
        <w:rPr>
          <w:rFonts w:cs="Times New Roman"/>
          <w:i/>
          <w:lang w:val="fr-CA"/>
        </w:rPr>
        <w:t>Loi de 2002 sur la protection des consommateurs</w:t>
      </w:r>
      <w:r w:rsidRPr="0092652F">
        <w:rPr>
          <w:rFonts w:cs="Times New Roman"/>
          <w:lang w:val="fr-CA"/>
        </w:rPr>
        <w:t xml:space="preserve">, L.O. 2002, c. 30, </w:t>
      </w:r>
      <w:proofErr w:type="spellStart"/>
      <w:r w:rsidRPr="0092652F">
        <w:rPr>
          <w:rFonts w:cs="Times New Roman"/>
          <w:lang w:val="fr-CA"/>
        </w:rPr>
        <w:t>ann</w:t>
      </w:r>
      <w:proofErr w:type="spellEnd"/>
      <w:r w:rsidRPr="0092652F">
        <w:rPr>
          <w:rFonts w:cs="Times New Roman"/>
          <w:lang w:val="fr-CA"/>
        </w:rPr>
        <w:t>. </w:t>
      </w:r>
      <w:bookmarkEnd w:id="1"/>
      <w:r w:rsidRPr="0092652F">
        <w:rPr>
          <w:rFonts w:cs="Times New Roman"/>
          <w:lang w:val="fr-CA"/>
        </w:rPr>
        <w:t>A</w:t>
      </w:r>
    </w:p>
    <w:p w:rsidR="00B618DD" w:rsidRPr="0092652F" w:rsidRDefault="00B618DD" w:rsidP="00B618DD">
      <w:pPr>
        <w:pStyle w:val="CITATION"/>
        <w:spacing w:after="240"/>
        <w:ind w:left="1170" w:hanging="637"/>
        <w:rPr>
          <w:rFonts w:cs="Times New Roman"/>
          <w:b/>
          <w:lang w:val="fr-CA"/>
        </w:rPr>
      </w:pPr>
      <w:r w:rsidRPr="0092652F">
        <w:rPr>
          <w:rFonts w:cs="Times New Roman"/>
          <w:b/>
          <w:lang w:val="fr-CA"/>
        </w:rPr>
        <w:tab/>
        <w:t xml:space="preserve">Aucune renonciation aux droits substantiels et procéduraux </w:t>
      </w:r>
    </w:p>
    <w:p w:rsidR="00B618DD" w:rsidRPr="0092652F" w:rsidRDefault="00B618DD" w:rsidP="00B618DD">
      <w:pPr>
        <w:pStyle w:val="CITATION"/>
        <w:spacing w:after="240"/>
        <w:ind w:left="1170" w:right="58" w:hanging="637"/>
        <w:rPr>
          <w:rFonts w:cs="Times New Roman"/>
          <w:lang w:val="fr-CA"/>
        </w:rPr>
      </w:pPr>
      <w:r w:rsidRPr="0092652F">
        <w:rPr>
          <w:rFonts w:cs="Times New Roman"/>
          <w:b/>
          <w:bCs/>
          <w:lang w:val="fr-CA"/>
        </w:rPr>
        <w:tab/>
        <w:t>7 </w:t>
      </w:r>
      <w:r w:rsidRPr="0092652F">
        <w:rPr>
          <w:rFonts w:cs="Times New Roman"/>
          <w:lang w:val="fr-CA"/>
        </w:rPr>
        <w:t>(1) Les droits substantiels et procéduraux accordés en application de la présente loi s’appliquent malgré toute convention ou renonciation à l’effet contraire.</w:t>
      </w:r>
    </w:p>
    <w:p w:rsidR="00B618DD" w:rsidRPr="0092652F" w:rsidRDefault="00B618DD" w:rsidP="00B618DD">
      <w:pPr>
        <w:pStyle w:val="CITATION"/>
        <w:spacing w:after="240"/>
        <w:ind w:left="1170" w:hanging="637"/>
        <w:rPr>
          <w:rFonts w:cs="Times New Roman"/>
          <w:b/>
          <w:lang w:val="fr-CA"/>
        </w:rPr>
      </w:pPr>
      <w:r w:rsidRPr="0092652F">
        <w:rPr>
          <w:rFonts w:cs="Times New Roman"/>
          <w:b/>
          <w:lang w:val="fr-CA"/>
        </w:rPr>
        <w:tab/>
        <w:t>Restriction de l’effet d’une condition exigeant l’arbitrage</w:t>
      </w:r>
    </w:p>
    <w:p w:rsidR="00B618DD" w:rsidRPr="0092652F" w:rsidRDefault="00B618DD" w:rsidP="00B618DD">
      <w:pPr>
        <w:pStyle w:val="CITATION"/>
        <w:spacing w:after="240"/>
        <w:ind w:left="1170" w:right="58" w:hanging="601"/>
        <w:rPr>
          <w:rFonts w:cs="Times New Roman"/>
          <w:lang w:val="fr-CA"/>
        </w:rPr>
      </w:pPr>
      <w:r w:rsidRPr="0092652F">
        <w:rPr>
          <w:rFonts w:cs="Times New Roman"/>
          <w:b/>
          <w:lang w:val="fr-CA"/>
        </w:rPr>
        <w:tab/>
      </w:r>
      <w:r w:rsidRPr="0092652F">
        <w:rPr>
          <w:rFonts w:cs="Times New Roman"/>
          <w:lang w:val="fr-CA"/>
        </w:rPr>
        <w:t>(2) Sans préjudice de la portée générale du paragraphe (1), est invalide, dans la mesure où elle empêche le consommateur d’exercer son droit d’introduire une action devant la Cour supérieure de justice en vertu de la présente loi, la condition ou la reconnaissance, énoncée dans une convention de consommation ou une convention connexe, qui exige ou a pour effet d’exiger que les différends relatifs à la convention de consommation soient soumis à l’arbitrage.</w:t>
      </w:r>
    </w:p>
    <w:p w:rsidR="00B618DD" w:rsidRPr="0092652F" w:rsidRDefault="00B618DD" w:rsidP="00B618DD">
      <w:pPr>
        <w:pStyle w:val="CITATION"/>
        <w:tabs>
          <w:tab w:val="left" w:pos="3600"/>
        </w:tabs>
        <w:spacing w:after="240"/>
        <w:ind w:left="601" w:hanging="601"/>
        <w:jc w:val="center"/>
        <w:rPr>
          <w:rFonts w:cs="Times New Roman"/>
          <w:bCs/>
          <w:lang w:val="fr-CA"/>
        </w:rPr>
      </w:pPr>
      <w:r w:rsidRPr="0092652F">
        <w:rPr>
          <w:rFonts w:cs="Times New Roman"/>
          <w:bCs/>
          <w:lang w:val="fr-CA"/>
        </w:rPr>
        <w:t>. . .</w:t>
      </w:r>
    </w:p>
    <w:p w:rsidR="00B618DD" w:rsidRPr="0092652F" w:rsidRDefault="00B618DD" w:rsidP="00B618DD">
      <w:pPr>
        <w:pStyle w:val="CITATION"/>
        <w:spacing w:after="240"/>
        <w:ind w:left="1170" w:hanging="630"/>
        <w:rPr>
          <w:rFonts w:cs="Times New Roman"/>
          <w:b/>
          <w:bCs/>
          <w:i/>
          <w:iCs/>
          <w:lang w:val="fr-CA"/>
        </w:rPr>
      </w:pPr>
      <w:r w:rsidRPr="0092652F">
        <w:rPr>
          <w:rFonts w:cs="Times New Roman"/>
          <w:b/>
          <w:bCs/>
          <w:lang w:val="fr-CA"/>
        </w:rPr>
        <w:tab/>
        <w:t>Non</w:t>
      </w:r>
      <w:r w:rsidRPr="0092652F">
        <w:rPr>
          <w:rFonts w:cs="Times New Roman"/>
          <w:b/>
          <w:bCs/>
          <w:lang w:val="fr-CA"/>
        </w:rPr>
        <w:noBreakHyphen/>
        <w:t xml:space="preserve">application de la </w:t>
      </w:r>
      <w:r w:rsidRPr="0092652F">
        <w:rPr>
          <w:rFonts w:cs="Times New Roman"/>
          <w:b/>
          <w:bCs/>
          <w:i/>
          <w:lang w:val="fr-CA"/>
        </w:rPr>
        <w:t>Loi de 1991 sur l’arbitrage</w:t>
      </w:r>
    </w:p>
    <w:p w:rsidR="00B618DD" w:rsidRPr="0092652F" w:rsidRDefault="00B618DD" w:rsidP="00B618DD">
      <w:pPr>
        <w:pStyle w:val="CITATION"/>
        <w:spacing w:after="240"/>
        <w:ind w:left="1170" w:right="0" w:hanging="601"/>
        <w:rPr>
          <w:rFonts w:cs="Times New Roman"/>
          <w:lang w:val="fr-CA"/>
        </w:rPr>
      </w:pPr>
      <w:r w:rsidRPr="0092652F">
        <w:rPr>
          <w:rFonts w:cs="Times New Roman"/>
          <w:b/>
          <w:lang w:val="fr-CA"/>
        </w:rPr>
        <w:tab/>
      </w:r>
      <w:r w:rsidRPr="0092652F">
        <w:rPr>
          <w:rFonts w:cs="Times New Roman"/>
          <w:lang w:val="fr-CA"/>
        </w:rPr>
        <w:t xml:space="preserve">(5) Le paragraphe 7(1) de la </w:t>
      </w:r>
      <w:r w:rsidRPr="0092652F">
        <w:rPr>
          <w:rFonts w:cs="Times New Roman"/>
          <w:i/>
          <w:lang w:val="fr-CA"/>
        </w:rPr>
        <w:t xml:space="preserve">Loi de 1991 sur l’arbitrage </w:t>
      </w:r>
      <w:r w:rsidRPr="0092652F">
        <w:rPr>
          <w:rFonts w:cs="Times New Roman"/>
          <w:lang w:val="fr-CA"/>
        </w:rPr>
        <w:t>ne s’applique pas à l’instance visée au paragraphe (2), sauf si, après la naissance du différend, le consommateur consent à le soumettre à l’arbitrage.</w:t>
      </w:r>
    </w:p>
    <w:p w:rsidR="00B618DD" w:rsidRPr="0092652F" w:rsidRDefault="00B618DD" w:rsidP="00B618DD">
      <w:pPr>
        <w:pStyle w:val="CITATION"/>
        <w:spacing w:after="240"/>
        <w:ind w:left="1170" w:hanging="511"/>
        <w:rPr>
          <w:rFonts w:cs="Times New Roman"/>
          <w:b/>
          <w:lang w:val="fr-CA"/>
        </w:rPr>
      </w:pPr>
      <w:r w:rsidRPr="0092652F">
        <w:rPr>
          <w:rFonts w:cs="Times New Roman"/>
          <w:b/>
          <w:lang w:val="fr-CA"/>
        </w:rPr>
        <w:tab/>
        <w:t>Recours collectif</w:t>
      </w:r>
    </w:p>
    <w:p w:rsidR="00B618DD" w:rsidRPr="0092652F" w:rsidRDefault="00B618DD" w:rsidP="00B618DD">
      <w:pPr>
        <w:pStyle w:val="CITATION"/>
        <w:spacing w:after="640"/>
        <w:ind w:left="1181" w:right="0" w:hanging="605"/>
        <w:rPr>
          <w:rFonts w:cs="Times New Roman"/>
          <w:lang w:val="fr-CA"/>
        </w:rPr>
      </w:pPr>
      <w:r w:rsidRPr="0092652F">
        <w:rPr>
          <w:rFonts w:cs="Times New Roman"/>
          <w:b/>
          <w:lang w:val="fr-CA"/>
        </w:rPr>
        <w:tab/>
        <w:t>8</w:t>
      </w:r>
      <w:r w:rsidRPr="0092652F">
        <w:rPr>
          <w:rFonts w:cs="Times New Roman"/>
          <w:lang w:val="fr-CA"/>
        </w:rPr>
        <w:t xml:space="preserve"> (1) Le consommateur peut, en vertu de la </w:t>
      </w:r>
      <w:r w:rsidRPr="0092652F">
        <w:rPr>
          <w:rFonts w:cs="Times New Roman"/>
          <w:i/>
          <w:lang w:val="fr-CA"/>
        </w:rPr>
        <w:t>Loi de 1992 sur les recours collectifs</w:t>
      </w:r>
      <w:r w:rsidRPr="0092652F">
        <w:rPr>
          <w:rFonts w:cs="Times New Roman"/>
          <w:lang w:val="fr-CA"/>
        </w:rPr>
        <w:t>, introduire une instance au nom des membres d’un groupe ou devenir membre d’un groupe dans une telle instance à l’égard d’un différend relatif à une convention de consommation malgré toute condition ou reconnaissance, énoncée dans la convention de consommation ou une convention connexe, qui aurait ou a pour effet de l’empêcher d’introduire un recours collectif ou de devenir membre d’un tel groupe.</w:t>
      </w:r>
    </w:p>
    <w:p w:rsidR="00B618DD" w:rsidRPr="0092652F" w:rsidRDefault="00B618DD" w:rsidP="00B618DD">
      <w:pPr>
        <w:pStyle w:val="Title1LevelTitre1Niveau-AltL"/>
        <w:spacing w:before="0"/>
        <w:rPr>
          <w:rFonts w:cs="Times New Roman"/>
          <w:lang w:val="fr-CA"/>
        </w:rPr>
      </w:pPr>
      <w:r w:rsidRPr="0092652F">
        <w:rPr>
          <w:rFonts w:cs="Times New Roman"/>
          <w:lang w:val="fr-CA"/>
        </w:rPr>
        <w:t>Les décisions des juridictions d’instances inférieures</w:t>
      </w:r>
    </w:p>
    <w:p w:rsidR="00B618DD" w:rsidRPr="0092652F" w:rsidRDefault="00B618DD" w:rsidP="00B618DD">
      <w:pPr>
        <w:pStyle w:val="Title2LevelTitre2Niveau"/>
        <w:spacing w:before="0"/>
        <w:rPr>
          <w:rFonts w:cs="Times New Roman"/>
          <w:lang w:val="fr-CA"/>
        </w:rPr>
      </w:pPr>
      <w:bookmarkStart w:id="2" w:name="_Toc528049454"/>
      <w:r w:rsidRPr="0092652F">
        <w:rPr>
          <w:rFonts w:cs="Times New Roman"/>
          <w:lang w:val="fr-CA" w:bidi="en-US"/>
        </w:rPr>
        <w:t>Cour supérieure de justice de l’Ontario (la juge Conway), 2014 ONSC 3318, 63 C.P.C. (7th) 50</w:t>
      </w:r>
      <w:bookmarkEnd w:id="2"/>
    </w:p>
    <w:p w:rsidR="00B618DD" w:rsidRPr="0092652F" w:rsidRDefault="00B618DD" w:rsidP="00B618DD">
      <w:pPr>
        <w:pStyle w:val="ParaNoNdepar-AltN"/>
        <w:spacing w:before="0"/>
        <w:rPr>
          <w:rFonts w:cs="Times New Roman"/>
          <w:lang w:val="fr-CA"/>
        </w:rPr>
      </w:pPr>
      <w:r w:rsidRPr="0092652F">
        <w:rPr>
          <w:rFonts w:cs="Times New Roman"/>
          <w:lang w:val="fr-CA" w:bidi="en-US"/>
        </w:rPr>
        <w:t xml:space="preserve">Devant la juge des motions, à savoir la juge Conway, TELUS a admis que le par. 7(2) de la </w:t>
      </w:r>
      <w:r w:rsidRPr="0092652F">
        <w:rPr>
          <w:rFonts w:cs="Times New Roman"/>
          <w:i/>
          <w:lang w:val="fr-CA" w:bidi="en-US"/>
        </w:rPr>
        <w:t xml:space="preserve">Loi sur la protection du consommateur </w:t>
      </w:r>
      <w:r w:rsidRPr="0092652F">
        <w:rPr>
          <w:rFonts w:cs="Times New Roman"/>
          <w:lang w:val="fr-CA" w:bidi="en-US"/>
        </w:rPr>
        <w:t xml:space="preserve">protégeait les consommateurs contre les effets de la clause d’arbitrage. Elle a toutefois fait valoir qu’il fallait surseoir aux réclamations des clients commerciaux, qui ne bénéficient d’aucune protection sous le régime de la </w:t>
      </w:r>
      <w:r w:rsidRPr="0092652F">
        <w:rPr>
          <w:rFonts w:cs="Times New Roman"/>
          <w:i/>
          <w:lang w:val="fr-CA" w:bidi="en-US"/>
        </w:rPr>
        <w:t>Loi sur la protection du consommateur</w:t>
      </w:r>
      <w:r w:rsidRPr="0092652F">
        <w:rPr>
          <w:rFonts w:cs="Times New Roman"/>
          <w:lang w:val="fr-CA" w:bidi="en-US"/>
        </w:rPr>
        <w:t>, parce qu’elles étaient visées par une convention d’arbitrage valide et exécutoire.</w:t>
      </w:r>
    </w:p>
    <w:p w:rsidR="00B618DD" w:rsidRPr="0092652F" w:rsidRDefault="00B618DD" w:rsidP="00B618DD">
      <w:pPr>
        <w:pStyle w:val="ParaNoNdepar-AltN"/>
        <w:rPr>
          <w:rFonts w:cs="Times New Roman"/>
          <w:lang w:val="fr-CA"/>
        </w:rPr>
      </w:pPr>
      <w:r w:rsidRPr="0092652F">
        <w:rPr>
          <w:rFonts w:cs="Times New Roman"/>
          <w:lang w:val="fr-CA" w:bidi="en-US"/>
        </w:rPr>
        <w:t xml:space="preserve">La juge des motions n’était pas d’accord. Sur le fondement de la décision </w:t>
      </w:r>
      <w:r w:rsidRPr="0092652F">
        <w:rPr>
          <w:rFonts w:cs="Times New Roman"/>
          <w:i/>
          <w:lang w:val="fr-CA" w:bidi="en-US"/>
        </w:rPr>
        <w:t>Griffin</w:t>
      </w:r>
      <w:r w:rsidRPr="0092652F">
        <w:rPr>
          <w:rFonts w:cs="Times New Roman"/>
          <w:lang w:val="fr-CA" w:bidi="en-US"/>
        </w:rPr>
        <w:t xml:space="preserve"> de la Cour d’appel de l’Ontario, elle a affirmé que le par. 7(5) de la </w:t>
      </w:r>
      <w:r w:rsidRPr="0092652F">
        <w:rPr>
          <w:rFonts w:cs="Times New Roman"/>
          <w:i/>
          <w:lang w:val="fr-CA" w:bidi="en-US"/>
        </w:rPr>
        <w:t>Loi sur l’arbitrage</w:t>
      </w:r>
      <w:r w:rsidRPr="0092652F">
        <w:rPr>
          <w:rFonts w:cs="Times New Roman"/>
          <w:lang w:val="fr-CA" w:bidi="en-US"/>
        </w:rPr>
        <w:t xml:space="preserve"> </w:t>
      </w:r>
      <w:r w:rsidRPr="0092652F">
        <w:rPr>
          <w:rFonts w:cs="Times New Roman"/>
          <w:lang w:val="fr-CA"/>
        </w:rPr>
        <w:t>confère aux tribunaux le pouvoir discrétionnaire de refuser d’accorder un sursis dans les cas où il ne serait pas raisonnable de dissocier les questions traitées dans la convention d’arbitrage des autres questions</w:t>
      </w:r>
      <w:r w:rsidRPr="0092652F">
        <w:rPr>
          <w:rFonts w:cs="Times New Roman"/>
          <w:bCs/>
          <w:lang w:val="fr-CA" w:bidi="en-US"/>
        </w:rPr>
        <w:t xml:space="preserve">, de manière à ce que </w:t>
      </w:r>
      <w:r w:rsidRPr="0092652F">
        <w:rPr>
          <w:rFonts w:cs="Times New Roman"/>
          <w:bCs/>
          <w:i/>
          <w:lang w:val="fr-CA" w:bidi="en-US"/>
        </w:rPr>
        <w:t xml:space="preserve">toutes </w:t>
      </w:r>
      <w:r w:rsidRPr="0092652F">
        <w:rPr>
          <w:rFonts w:cs="Times New Roman"/>
          <w:bCs/>
          <w:lang w:val="fr-CA" w:bidi="en-US"/>
        </w:rPr>
        <w:t>les questions puissent être soumises au tribunal. Elle a ajouté que, suivant la décision</w:t>
      </w:r>
      <w:r w:rsidRPr="0092652F">
        <w:rPr>
          <w:rFonts w:cs="Times New Roman"/>
          <w:i/>
          <w:iCs/>
          <w:lang w:val="fr-CA" w:bidi="en-US"/>
        </w:rPr>
        <w:t xml:space="preserve"> Griffin</w:t>
      </w:r>
      <w:r w:rsidRPr="0092652F">
        <w:rPr>
          <w:rFonts w:cs="Times New Roman"/>
          <w:lang w:val="fr-CA" w:bidi="en-US"/>
        </w:rPr>
        <w:t>, [</w:t>
      </w:r>
      <w:r w:rsidRPr="0092652F">
        <w:rPr>
          <w:rFonts w:cs="Times New Roman"/>
          <w:smallCaps/>
          <w:lang w:val="fr-CA" w:bidi="en-US"/>
        </w:rPr>
        <w:t>traduction</w:t>
      </w:r>
      <w:r w:rsidRPr="0092652F">
        <w:rPr>
          <w:rFonts w:cs="Times New Roman"/>
          <w:lang w:val="fr-CA" w:bidi="en-US"/>
        </w:rPr>
        <w:t>] « ce pouvoir discrétionnaire peut être exercé pour que les réclamations des non</w:t>
      </w:r>
      <w:r w:rsidRPr="0092652F">
        <w:rPr>
          <w:rFonts w:cs="Times New Roman"/>
          <w:lang w:val="fr-CA" w:bidi="en-US"/>
        </w:rPr>
        <w:noBreakHyphen/>
        <w:t xml:space="preserve">consommateurs (qui sont autrement visées par une clause d’arbitrage) puissent être présentées dans le cadre d’un recours collectif, lorsqu’il est raisonnable de le faire » (par. 89). Elle a rejeté la prétention de TELUS selon laquelle la décision </w:t>
      </w:r>
      <w:r w:rsidRPr="0092652F">
        <w:rPr>
          <w:rFonts w:cs="Times New Roman"/>
          <w:i/>
          <w:lang w:val="fr-CA" w:bidi="en-US"/>
        </w:rPr>
        <w:t>Griffin</w:t>
      </w:r>
      <w:r w:rsidRPr="0092652F">
        <w:rPr>
          <w:rFonts w:cs="Times New Roman"/>
          <w:lang w:val="fr-CA" w:bidi="en-US"/>
        </w:rPr>
        <w:t xml:space="preserve"> aurait été supplantée par l’arrêt </w:t>
      </w:r>
      <w:r w:rsidRPr="0092652F">
        <w:rPr>
          <w:rFonts w:cs="Times New Roman"/>
          <w:i/>
          <w:lang w:val="fr-CA" w:bidi="en-US"/>
        </w:rPr>
        <w:t>Seidel</w:t>
      </w:r>
      <w:r w:rsidRPr="0092652F">
        <w:rPr>
          <w:rFonts w:cs="Times New Roman"/>
          <w:lang w:val="fr-CA" w:bidi="en-US"/>
        </w:rPr>
        <w:t>, rendu par la Cour.</w:t>
      </w:r>
    </w:p>
    <w:p w:rsidR="00B618DD" w:rsidRPr="0092652F" w:rsidRDefault="00B618DD" w:rsidP="00B618DD">
      <w:pPr>
        <w:pStyle w:val="ParaNoNdepar-AltN"/>
        <w:spacing w:before="0" w:after="720"/>
        <w:rPr>
          <w:rFonts w:cs="Times New Roman"/>
          <w:bCs/>
          <w:lang w:val="fr-CA"/>
        </w:rPr>
      </w:pPr>
      <w:r w:rsidRPr="0092652F">
        <w:rPr>
          <w:rFonts w:cs="Times New Roman"/>
          <w:lang w:val="fr-CA"/>
        </w:rPr>
        <w:t xml:space="preserve">La juge des motions s’est ensuite penchée sur l’application du par. 7(5) de la </w:t>
      </w:r>
      <w:r w:rsidRPr="0092652F">
        <w:rPr>
          <w:rFonts w:cs="Times New Roman"/>
          <w:i/>
          <w:lang w:val="fr-CA"/>
        </w:rPr>
        <w:t>Loi sur l’arbitrage</w:t>
      </w:r>
      <w:r w:rsidRPr="0092652F">
        <w:rPr>
          <w:rFonts w:cs="Times New Roman"/>
          <w:lang w:val="fr-CA"/>
        </w:rPr>
        <w:t>. Elle a conclu qu’il ne serait pas raisonnable de dissocier les réclamations des consommateurs de celles des clients commerciaux. Elle a souligné que :</w:t>
      </w:r>
    </w:p>
    <w:p w:rsidR="00B618DD" w:rsidRPr="0092652F" w:rsidRDefault="00B618DD" w:rsidP="00B618DD">
      <w:pPr>
        <w:pStyle w:val="Citation-AltC"/>
        <w:numPr>
          <w:ilvl w:val="0"/>
          <w:numId w:val="3"/>
        </w:numPr>
        <w:spacing w:line="480" w:lineRule="auto"/>
        <w:ind w:left="720" w:hanging="720"/>
        <w:contextualSpacing w:val="0"/>
        <w:rPr>
          <w:rFonts w:eastAsiaTheme="minorEastAsia"/>
          <w:lang w:val="fr-CA"/>
        </w:rPr>
      </w:pPr>
      <w:r w:rsidRPr="0092652F">
        <w:rPr>
          <w:rFonts w:eastAsiaTheme="minorEastAsia"/>
          <w:lang w:val="fr-CA"/>
        </w:rPr>
        <w:t>les réclamations des conso</w:t>
      </w:r>
      <w:r w:rsidR="00097F4E">
        <w:rPr>
          <w:rFonts w:eastAsiaTheme="minorEastAsia"/>
          <w:lang w:val="fr-CA"/>
        </w:rPr>
        <w:t xml:space="preserve">mmateurs représentaient 70 pour 100 </w:t>
      </w:r>
      <w:r w:rsidRPr="0092652F">
        <w:rPr>
          <w:rFonts w:eastAsiaTheme="minorEastAsia"/>
          <w:lang w:val="fr-CA"/>
        </w:rPr>
        <w:t>de l’ensemble des réclamations;</w:t>
      </w:r>
    </w:p>
    <w:p w:rsidR="00B618DD" w:rsidRPr="0092652F" w:rsidRDefault="00B618DD" w:rsidP="00B618DD">
      <w:pPr>
        <w:pStyle w:val="Citation-AltC"/>
        <w:numPr>
          <w:ilvl w:val="0"/>
          <w:numId w:val="3"/>
        </w:numPr>
        <w:spacing w:line="480" w:lineRule="auto"/>
        <w:ind w:left="720" w:hanging="720"/>
        <w:contextualSpacing w:val="0"/>
        <w:rPr>
          <w:rFonts w:eastAsiaTheme="minorEastAsia"/>
          <w:lang w:val="fr-CA"/>
        </w:rPr>
      </w:pPr>
      <w:r w:rsidRPr="0092652F">
        <w:rPr>
          <w:rFonts w:eastAsiaTheme="minorEastAsia"/>
          <w:lang w:val="fr-CA"/>
        </w:rPr>
        <w:t>les questions de la responsabilité et des dommages étaient les mêmes pour les consommateurs et les clients commerciaux;</w:t>
      </w:r>
    </w:p>
    <w:p w:rsidR="00B618DD" w:rsidRPr="0092652F" w:rsidRDefault="00B618DD" w:rsidP="00B618DD">
      <w:pPr>
        <w:pStyle w:val="Citation-AltC"/>
        <w:numPr>
          <w:ilvl w:val="0"/>
          <w:numId w:val="3"/>
        </w:numPr>
        <w:spacing w:line="480" w:lineRule="auto"/>
        <w:ind w:left="720" w:hanging="720"/>
        <w:contextualSpacing w:val="0"/>
        <w:rPr>
          <w:rFonts w:eastAsiaTheme="minorEastAsia"/>
          <w:lang w:val="fr-CA"/>
        </w:rPr>
      </w:pPr>
      <w:r w:rsidRPr="0092652F">
        <w:rPr>
          <w:rFonts w:eastAsiaTheme="minorEastAsia"/>
          <w:lang w:val="fr-CA"/>
        </w:rPr>
        <w:t>les réclamations des clients commerciaux ne pouvaient pas être soumises à un arbitrage collectif;</w:t>
      </w:r>
    </w:p>
    <w:p w:rsidR="00B618DD" w:rsidRPr="0092652F" w:rsidRDefault="00B618DD" w:rsidP="00B618DD">
      <w:pPr>
        <w:pStyle w:val="Citation-AltC"/>
        <w:numPr>
          <w:ilvl w:val="0"/>
          <w:numId w:val="3"/>
        </w:numPr>
        <w:spacing w:line="480" w:lineRule="auto"/>
        <w:ind w:left="720" w:hanging="720"/>
        <w:contextualSpacing w:val="0"/>
        <w:rPr>
          <w:rFonts w:eastAsiaTheme="minorEastAsia"/>
          <w:lang w:val="fr-CA"/>
        </w:rPr>
      </w:pPr>
      <w:r w:rsidRPr="0092652F">
        <w:rPr>
          <w:rFonts w:eastAsiaTheme="minorEastAsia"/>
          <w:lang w:val="fr-CA"/>
        </w:rPr>
        <w:t>la dissociation des deux instances pourrait créer de l’inefficacité, mener à des résultats incohérents et entraîner la multiplicité des instances.</w:t>
      </w:r>
    </w:p>
    <w:p w:rsidR="00B618DD" w:rsidRPr="0092652F" w:rsidRDefault="00B618DD" w:rsidP="00B618DD">
      <w:pPr>
        <w:pStyle w:val="ParaNoNdepar-AltN"/>
        <w:rPr>
          <w:rFonts w:cs="Times New Roman"/>
          <w:bCs/>
          <w:lang w:val="fr-CA"/>
        </w:rPr>
      </w:pPr>
      <w:r w:rsidRPr="0092652F">
        <w:rPr>
          <w:rFonts w:cs="Times New Roman"/>
          <w:bCs/>
          <w:lang w:val="fr-CA"/>
        </w:rPr>
        <w:t xml:space="preserve">Vu sa conclusion selon laquelle il ne serait pas raisonnable de dissocier les réclamations des consommateurs de celles des clients commerciaux, la juge des motions a refusé d’ordonner le sursis des réclamations des clients commerciaux. De plus, elle a appliqué le critère à cinq volets en vue de la certification et a conclu qu’il y était satisfait. Elle a donc certifié le recours. </w:t>
      </w:r>
      <w:r w:rsidRPr="0092652F">
        <w:rPr>
          <w:rFonts w:cs="Times New Roman"/>
          <w:bCs/>
          <w:lang w:val="fr-CA" w:bidi="en-US"/>
        </w:rPr>
        <w:t>TELUS a interjeté appel de ce rejet de la demande de sursis</w:t>
      </w:r>
      <w:r w:rsidRPr="00EF673E">
        <w:rPr>
          <w:rStyle w:val="Hyperlink"/>
          <w:vertAlign w:val="superscript"/>
        </w:rPr>
        <w:footnoteReference w:id="4"/>
      </w:r>
      <w:r w:rsidRPr="0092652F">
        <w:rPr>
          <w:rFonts w:cs="Times New Roman"/>
          <w:bCs/>
          <w:lang w:val="fr-CA" w:bidi="en-US"/>
        </w:rPr>
        <w:t>.</w:t>
      </w:r>
    </w:p>
    <w:p w:rsidR="00B618DD" w:rsidRPr="0092652F" w:rsidRDefault="00B618DD" w:rsidP="00B618DD">
      <w:pPr>
        <w:pStyle w:val="Title2LevelTitre2Niveau"/>
        <w:jc w:val="both"/>
        <w:rPr>
          <w:rFonts w:cs="Times New Roman"/>
          <w:lang w:val="fr-CA"/>
        </w:rPr>
      </w:pPr>
      <w:bookmarkStart w:id="3" w:name="_Toc528049455"/>
      <w:r w:rsidRPr="0092652F">
        <w:rPr>
          <w:rFonts w:cs="Times New Roman"/>
          <w:lang w:val="fr-CA" w:bidi="en-US"/>
        </w:rPr>
        <w:t xml:space="preserve">Cour d’appel de l’Ontario (les juges </w:t>
      </w:r>
      <w:proofErr w:type="spellStart"/>
      <w:r w:rsidRPr="0092652F">
        <w:rPr>
          <w:rFonts w:cs="Times New Roman"/>
          <w:lang w:val="fr-CA" w:bidi="en-US"/>
        </w:rPr>
        <w:t>Weiler</w:t>
      </w:r>
      <w:proofErr w:type="spellEnd"/>
      <w:r w:rsidRPr="0092652F">
        <w:rPr>
          <w:rFonts w:cs="Times New Roman"/>
          <w:lang w:val="fr-CA" w:bidi="en-US"/>
        </w:rPr>
        <w:t xml:space="preserve">, Blair et van </w:t>
      </w:r>
      <w:proofErr w:type="spellStart"/>
      <w:r w:rsidRPr="0092652F">
        <w:rPr>
          <w:rFonts w:cs="Times New Roman"/>
          <w:lang w:val="fr-CA" w:bidi="en-US"/>
        </w:rPr>
        <w:t>Rensburg</w:t>
      </w:r>
      <w:proofErr w:type="spellEnd"/>
      <w:r w:rsidRPr="0092652F">
        <w:rPr>
          <w:rFonts w:cs="Times New Roman"/>
          <w:lang w:val="fr-CA" w:bidi="en-US"/>
        </w:rPr>
        <w:t>), 2017 ONCA 433, 138 O.R. (3d) 413</w:t>
      </w:r>
      <w:bookmarkEnd w:id="3"/>
    </w:p>
    <w:p w:rsidR="00B618DD" w:rsidRPr="0092652F" w:rsidRDefault="00B618DD" w:rsidP="00B618DD">
      <w:pPr>
        <w:pStyle w:val="Title3LevelTitre3Niveau"/>
        <w:rPr>
          <w:rFonts w:cs="Times New Roman"/>
          <w:lang w:val="fr-CA"/>
        </w:rPr>
      </w:pPr>
      <w:r w:rsidRPr="0092652F">
        <w:rPr>
          <w:rFonts w:cs="Times New Roman"/>
          <w:lang w:val="fr-CA"/>
        </w:rPr>
        <w:t xml:space="preserve">Les motifs des juges majoritaires (la juge van </w:t>
      </w:r>
      <w:proofErr w:type="spellStart"/>
      <w:r w:rsidRPr="0092652F">
        <w:rPr>
          <w:rFonts w:cs="Times New Roman"/>
          <w:lang w:val="fr-CA"/>
        </w:rPr>
        <w:t>Rensburg</w:t>
      </w:r>
      <w:proofErr w:type="spellEnd"/>
      <w:r w:rsidRPr="0092652F">
        <w:rPr>
          <w:rFonts w:cs="Times New Roman"/>
          <w:lang w:val="fr-CA"/>
        </w:rPr>
        <w:t xml:space="preserve">, avec l’accord de la juge </w:t>
      </w:r>
      <w:proofErr w:type="spellStart"/>
      <w:r w:rsidRPr="0092652F">
        <w:rPr>
          <w:rFonts w:cs="Times New Roman"/>
          <w:lang w:val="fr-CA"/>
        </w:rPr>
        <w:t>Weiler</w:t>
      </w:r>
      <w:proofErr w:type="spellEnd"/>
      <w:r w:rsidRPr="0092652F">
        <w:rPr>
          <w:rFonts w:cs="Times New Roman"/>
          <w:lang w:val="fr-CA"/>
        </w:rPr>
        <w:t>)</w:t>
      </w:r>
    </w:p>
    <w:p w:rsidR="00B618DD" w:rsidRPr="0092652F" w:rsidRDefault="00B618DD" w:rsidP="00B618DD">
      <w:pPr>
        <w:pStyle w:val="ParaNoNdepar-AltN"/>
        <w:rPr>
          <w:rFonts w:cs="Times New Roman"/>
          <w:lang w:val="fr-CA"/>
        </w:rPr>
      </w:pPr>
      <w:r w:rsidRPr="0092652F">
        <w:rPr>
          <w:rFonts w:cs="Times New Roman"/>
          <w:lang w:val="fr-CA" w:bidi="en-US"/>
        </w:rPr>
        <w:t xml:space="preserve">S’exprimant en son nom et en celui de la juge </w:t>
      </w:r>
      <w:proofErr w:type="spellStart"/>
      <w:r w:rsidRPr="0092652F">
        <w:rPr>
          <w:rFonts w:cs="Times New Roman"/>
          <w:lang w:val="fr-CA" w:bidi="en-US"/>
        </w:rPr>
        <w:t>Weiler</w:t>
      </w:r>
      <w:proofErr w:type="spellEnd"/>
      <w:r w:rsidRPr="0092652F">
        <w:rPr>
          <w:rFonts w:cs="Times New Roman"/>
          <w:lang w:val="fr-CA" w:bidi="en-US"/>
        </w:rPr>
        <w:t xml:space="preserve">, la juge van </w:t>
      </w:r>
      <w:proofErr w:type="spellStart"/>
      <w:r w:rsidRPr="0092652F">
        <w:rPr>
          <w:rFonts w:cs="Times New Roman"/>
          <w:lang w:val="fr-CA" w:bidi="en-US"/>
        </w:rPr>
        <w:t>Rensburg</w:t>
      </w:r>
      <w:proofErr w:type="spellEnd"/>
      <w:r w:rsidRPr="0092652F">
        <w:rPr>
          <w:rFonts w:cs="Times New Roman"/>
          <w:lang w:val="fr-CA" w:bidi="en-US"/>
        </w:rPr>
        <w:t xml:space="preserve"> a affirmé que la [</w:t>
      </w:r>
      <w:r w:rsidRPr="0092652F">
        <w:rPr>
          <w:rFonts w:cs="Times New Roman"/>
          <w:smallCaps/>
          <w:lang w:val="fr-CA" w:bidi="en-US"/>
        </w:rPr>
        <w:t>traduction</w:t>
      </w:r>
      <w:r w:rsidRPr="0092652F">
        <w:rPr>
          <w:rFonts w:cs="Times New Roman"/>
          <w:lang w:val="fr-CA" w:bidi="en-US"/>
        </w:rPr>
        <w:t xml:space="preserve">] « seule question » en appel était celle de savoir si la décision </w:t>
      </w:r>
      <w:r w:rsidRPr="0092652F">
        <w:rPr>
          <w:rFonts w:cs="Times New Roman"/>
          <w:i/>
          <w:lang w:val="fr-CA" w:bidi="en-US"/>
        </w:rPr>
        <w:t xml:space="preserve">Griffin </w:t>
      </w:r>
      <w:r w:rsidRPr="0092652F">
        <w:rPr>
          <w:rFonts w:cs="Times New Roman"/>
          <w:lang w:val="fr-CA" w:bidi="en-US"/>
        </w:rPr>
        <w:t xml:space="preserve">avait été supplantée par l’arrêt </w:t>
      </w:r>
      <w:r w:rsidRPr="0092652F">
        <w:rPr>
          <w:rFonts w:cs="Times New Roman"/>
          <w:i/>
          <w:lang w:val="fr-CA" w:bidi="en-US"/>
        </w:rPr>
        <w:t>Seidel</w:t>
      </w:r>
      <w:r w:rsidRPr="0092652F">
        <w:rPr>
          <w:rFonts w:cs="Times New Roman"/>
          <w:lang w:val="fr-CA" w:bidi="en-US"/>
        </w:rPr>
        <w:t xml:space="preserve"> (par. 97). Elle y a répondu par la négative. Selon elle, la décision </w:t>
      </w:r>
      <w:r w:rsidRPr="0092652F">
        <w:rPr>
          <w:rFonts w:cs="Times New Roman"/>
          <w:i/>
          <w:lang w:val="fr-CA" w:bidi="en-US"/>
        </w:rPr>
        <w:t xml:space="preserve">Griffin </w:t>
      </w:r>
      <w:r w:rsidRPr="0092652F">
        <w:rPr>
          <w:rFonts w:cs="Times New Roman"/>
          <w:lang w:val="fr-CA" w:bidi="en-US"/>
        </w:rPr>
        <w:t xml:space="preserve">est « compatible sur le plan des principes avec l’arrêt </w:t>
      </w:r>
      <w:r w:rsidRPr="0092652F">
        <w:rPr>
          <w:rFonts w:cs="Times New Roman"/>
          <w:i/>
          <w:lang w:val="fr-CA" w:bidi="en-US"/>
        </w:rPr>
        <w:t>Seidel</w:t>
      </w:r>
      <w:r w:rsidRPr="0092652F">
        <w:rPr>
          <w:rFonts w:cs="Times New Roman"/>
          <w:lang w:val="fr-CA" w:bidi="en-US"/>
        </w:rPr>
        <w:t xml:space="preserve">, mais a été rendue dans un contexte législatif différent » (par. 59). Elle a ajouté que « [l]’issue de ces deux affaires a été dictée non pas par des points de vue divergents à l’égard de l’arbitrage en tant que mécanisme de résolution des différends, mais plutôt par le cadre législatif propre à chaque juridiction en matière d’arbitrage et de protection des consommateurs » (par. 60). Selon la juge van </w:t>
      </w:r>
      <w:proofErr w:type="spellStart"/>
      <w:r w:rsidRPr="0092652F">
        <w:rPr>
          <w:rFonts w:cs="Times New Roman"/>
          <w:lang w:val="fr-CA" w:bidi="en-US"/>
        </w:rPr>
        <w:t>Rensburg</w:t>
      </w:r>
      <w:proofErr w:type="spellEnd"/>
      <w:r w:rsidRPr="0092652F">
        <w:rPr>
          <w:rFonts w:cs="Times New Roman"/>
          <w:lang w:val="fr-CA" w:bidi="en-US"/>
        </w:rPr>
        <w:t xml:space="preserve">, l’arrêt </w:t>
      </w:r>
      <w:r w:rsidRPr="0092652F">
        <w:rPr>
          <w:rFonts w:cs="Times New Roman"/>
          <w:i/>
          <w:lang w:val="fr-CA" w:bidi="en-US"/>
        </w:rPr>
        <w:t xml:space="preserve">Seidel </w:t>
      </w:r>
      <w:r w:rsidRPr="0092652F">
        <w:rPr>
          <w:rFonts w:cs="Times New Roman"/>
          <w:lang w:val="fr-CA" w:bidi="en-US"/>
        </w:rPr>
        <w:t xml:space="preserve">reconnaît bel et bien l’utilité et l’importance de l’arbitrage privé et confirme que les clauses d’arbitrage sont généralement maintenues, mais la décision </w:t>
      </w:r>
      <w:r w:rsidRPr="0092652F">
        <w:rPr>
          <w:rFonts w:cs="Times New Roman"/>
          <w:i/>
          <w:lang w:val="fr-CA" w:bidi="en-US"/>
        </w:rPr>
        <w:t xml:space="preserve">Griffin </w:t>
      </w:r>
      <w:r w:rsidRPr="0092652F">
        <w:rPr>
          <w:rFonts w:cs="Times New Roman"/>
          <w:lang w:val="fr-CA" w:bidi="en-US"/>
        </w:rPr>
        <w:t>« ne contredit pas le principe général selon lequel il faut présumer que les clauses d’arbitrage contractuelles seront appliquées » (par. 62).</w:t>
      </w:r>
    </w:p>
    <w:p w:rsidR="00B618DD" w:rsidRPr="0092652F" w:rsidRDefault="00B618DD" w:rsidP="00B618DD">
      <w:pPr>
        <w:pStyle w:val="ParaNoNdepar-AltN"/>
        <w:rPr>
          <w:rFonts w:cs="Times New Roman"/>
          <w:lang w:val="fr-CA"/>
        </w:rPr>
      </w:pPr>
      <w:r w:rsidRPr="0092652F">
        <w:rPr>
          <w:rFonts w:cs="Times New Roman"/>
          <w:lang w:val="fr-CA"/>
        </w:rPr>
        <w:t xml:space="preserve">Ayant jugé que la décision </w:t>
      </w:r>
      <w:r w:rsidRPr="0092652F">
        <w:rPr>
          <w:rFonts w:cs="Times New Roman"/>
          <w:i/>
          <w:lang w:val="fr-CA"/>
        </w:rPr>
        <w:t>Griffin</w:t>
      </w:r>
      <w:r w:rsidRPr="0092652F">
        <w:rPr>
          <w:rFonts w:cs="Times New Roman"/>
          <w:lang w:val="fr-CA"/>
        </w:rPr>
        <w:t xml:space="preserve"> demeurait un précédent valable, la juge van </w:t>
      </w:r>
      <w:proofErr w:type="spellStart"/>
      <w:r w:rsidRPr="0092652F">
        <w:rPr>
          <w:rFonts w:cs="Times New Roman"/>
          <w:lang w:val="fr-CA"/>
        </w:rPr>
        <w:t>Rensburg</w:t>
      </w:r>
      <w:proofErr w:type="spellEnd"/>
      <w:r w:rsidRPr="0092652F">
        <w:rPr>
          <w:rFonts w:cs="Times New Roman"/>
          <w:lang w:val="fr-CA"/>
        </w:rPr>
        <w:t xml:space="preserve"> a décrit ainsi le régime prescrit par l’art. 7 :</w:t>
      </w:r>
    </w:p>
    <w:p w:rsidR="00B618DD" w:rsidRPr="0092652F" w:rsidRDefault="00B618DD" w:rsidP="00B618DD">
      <w:pPr>
        <w:pStyle w:val="CITATION"/>
        <w:tabs>
          <w:tab w:val="left" w:pos="1620"/>
        </w:tabs>
        <w:spacing w:after="240"/>
        <w:ind w:left="1170" w:right="-84"/>
        <w:rPr>
          <w:rFonts w:cs="Times New Roman"/>
          <w:lang w:val="fr-CA"/>
        </w:rPr>
      </w:pPr>
      <w:r>
        <w:rPr>
          <w:rFonts w:cs="Times New Roman"/>
          <w:lang w:val="fr-CA"/>
        </w:rPr>
        <w:tab/>
      </w:r>
      <w:r w:rsidRPr="0092652F">
        <w:rPr>
          <w:rFonts w:cs="Times New Roman"/>
          <w:lang w:val="fr-CA"/>
        </w:rPr>
        <w:t>[</w:t>
      </w:r>
      <w:r w:rsidRPr="0092652F">
        <w:rPr>
          <w:rFonts w:cs="Times New Roman"/>
          <w:smallCaps/>
          <w:lang w:val="fr-CA"/>
        </w:rPr>
        <w:t>traduction</w:t>
      </w:r>
      <w:r w:rsidRPr="0092652F">
        <w:rPr>
          <w:rFonts w:cs="Times New Roman"/>
          <w:lang w:val="fr-CA"/>
        </w:rPr>
        <w:t xml:space="preserve">] Bien que le paragraphe 7(1) de la </w:t>
      </w:r>
      <w:r w:rsidRPr="0092652F">
        <w:rPr>
          <w:rFonts w:cs="Times New Roman"/>
          <w:i/>
          <w:lang w:val="fr-CA"/>
        </w:rPr>
        <w:t xml:space="preserve">Loi sur l’arbitrage </w:t>
      </w:r>
      <w:r w:rsidRPr="0092652F">
        <w:rPr>
          <w:rFonts w:cs="Times New Roman"/>
          <w:lang w:val="fr-CA"/>
        </w:rPr>
        <w:t xml:space="preserve">de l’Ontario prévoie qu’un tribunal « doit » surseoir à l’instance introduite par une partie à une convention d’arbitrage, sur la motion d’une autre partie à la convention, cette règle est assujettie aux exceptions énoncées au </w:t>
      </w:r>
      <w:proofErr w:type="spellStart"/>
      <w:r w:rsidRPr="0092652F">
        <w:rPr>
          <w:rFonts w:cs="Times New Roman"/>
          <w:lang w:val="fr-CA"/>
        </w:rPr>
        <w:t>par</w:t>
      </w:r>
      <w:proofErr w:type="spellEnd"/>
      <w:r w:rsidRPr="0092652F">
        <w:rPr>
          <w:rFonts w:cs="Times New Roman"/>
          <w:lang w:val="fr-CA"/>
        </w:rPr>
        <w:t>. 7(2). Ces exceptions confèrent au tribunal le pouvoir discrétionnaire d’intervenir dans les cas où : (1) une partie a conclu la convention d’arbitrage alors qu’elle était frappée d’incapacité juridique, (2) la convention d’arbitrage est nulle, (3) l’objet du différend ne peut faire l’objet d’un arbitrage aux termes des lois de l’Ontario, (4) la motion a été présentée avec un retard indu, et (5) la question est propre à un jugement par défaut ou à un jugement sommaire . . .</w:t>
      </w:r>
    </w:p>
    <w:p w:rsidR="00B618DD" w:rsidRPr="0092652F" w:rsidRDefault="00B618DD" w:rsidP="00B618DD">
      <w:pPr>
        <w:pStyle w:val="CITATION"/>
        <w:tabs>
          <w:tab w:val="left" w:pos="1620"/>
        </w:tabs>
        <w:spacing w:after="240"/>
        <w:ind w:left="1170" w:right="-84"/>
        <w:rPr>
          <w:rFonts w:cs="Times New Roman"/>
          <w:lang w:val="fr-CA"/>
        </w:rPr>
      </w:pPr>
      <w:r>
        <w:rPr>
          <w:rFonts w:cs="Times New Roman"/>
          <w:lang w:val="fr-CA"/>
        </w:rPr>
        <w:tab/>
      </w:r>
      <w:r w:rsidRPr="0092652F">
        <w:rPr>
          <w:rFonts w:cs="Times New Roman"/>
          <w:lang w:val="fr-CA"/>
        </w:rPr>
        <w:t xml:space="preserve">Le paragraphe 7(5) de la </w:t>
      </w:r>
      <w:r w:rsidRPr="0092652F">
        <w:rPr>
          <w:rFonts w:cs="Times New Roman"/>
          <w:i/>
          <w:lang w:val="fr-CA"/>
        </w:rPr>
        <w:t xml:space="preserve">Loi sur l’arbitrage </w:t>
      </w:r>
      <w:r w:rsidRPr="0092652F">
        <w:rPr>
          <w:rFonts w:cs="Times New Roman"/>
          <w:lang w:val="fr-CA"/>
        </w:rPr>
        <w:t>élargit le pouvoir discrétionnaire du tribunal. Il s’applique lorsqu’une action a été introduite et que la convention d’arbitrage ne traite que de certaines des réclamations. Dans ce cas, le tribunal peut accorder un sursis partiel, mais seulement s’il est « raisonnable de dissocier les questions traitées dans la convention des autres questions ». Le paragraphe 7(5) prévoit que lorsqu’une action concerne des réclamations visées par une convention d’arbitrage et des réclamations qui ne le sont pas, l’instance est scindée s’il est raisonnable d’accorder un sursis partiel et vice versa.</w:t>
      </w:r>
    </w:p>
    <w:p w:rsidR="00B618DD" w:rsidRPr="0092652F" w:rsidRDefault="00B618DD" w:rsidP="00B618DD">
      <w:pPr>
        <w:pStyle w:val="CITATION"/>
        <w:tabs>
          <w:tab w:val="left" w:pos="1710"/>
        </w:tabs>
        <w:spacing w:after="720"/>
        <w:ind w:left="1138" w:right="-86" w:firstLine="130"/>
        <w:rPr>
          <w:rFonts w:cs="Times New Roman"/>
          <w:lang w:val="fr-CA"/>
        </w:rPr>
      </w:pPr>
      <w:r w:rsidRPr="0092652F">
        <w:rPr>
          <w:rFonts w:cs="Times New Roman"/>
          <w:lang w:val="fr-CA"/>
        </w:rPr>
        <w:tab/>
        <w:t>Par conséquent, en Ontario, les tribunaux ont le pouvoir discrétionnaire de refuser d’appliquer une clause d’arbitrage qui vise certaines des réclamations à l’égard desquelles l’action a été introduite lorsque certaines autres réclamations ne sont pas soumises à un arbitrage interne. C’est ce choix légi</w:t>
      </w:r>
      <w:r>
        <w:rPr>
          <w:rFonts w:cs="Times New Roman"/>
          <w:lang w:val="fr-CA"/>
        </w:rPr>
        <w:t>slatif qui dicte l’analyse. [par. 71-</w:t>
      </w:r>
      <w:r w:rsidRPr="0092652F">
        <w:rPr>
          <w:rFonts w:cs="Times New Roman"/>
          <w:lang w:val="fr-CA"/>
        </w:rPr>
        <w:t>73]</w:t>
      </w:r>
    </w:p>
    <w:p w:rsidR="00B618DD" w:rsidRPr="0092652F" w:rsidRDefault="00B618DD" w:rsidP="00B618DD">
      <w:pPr>
        <w:pStyle w:val="ParaNoNdepar-AltN"/>
        <w:rPr>
          <w:rFonts w:cs="Times New Roman"/>
          <w:lang w:val="fr-CA"/>
        </w:rPr>
      </w:pPr>
      <w:r w:rsidRPr="0092652F">
        <w:rPr>
          <w:rFonts w:cs="Times New Roman"/>
          <w:lang w:val="fr-CA"/>
        </w:rPr>
        <w:t xml:space="preserve">La juge van </w:t>
      </w:r>
      <w:proofErr w:type="spellStart"/>
      <w:r w:rsidRPr="0092652F">
        <w:rPr>
          <w:rFonts w:cs="Times New Roman"/>
          <w:lang w:val="fr-CA"/>
        </w:rPr>
        <w:t>Rensburg</w:t>
      </w:r>
      <w:proofErr w:type="spellEnd"/>
      <w:r w:rsidRPr="0092652F">
        <w:rPr>
          <w:rFonts w:cs="Times New Roman"/>
          <w:lang w:val="fr-CA"/>
        </w:rPr>
        <w:t xml:space="preserve"> a ensuite examiné deux autres arguments avancés par TELUS. Premièrement, en s’appuyant sur l’arrêt </w:t>
      </w:r>
      <w:r>
        <w:rPr>
          <w:rFonts w:cs="Times New Roman"/>
          <w:lang w:val="fr-CA"/>
        </w:rPr>
        <w:t xml:space="preserve">de la Cour dans </w:t>
      </w:r>
      <w:proofErr w:type="spellStart"/>
      <w:r w:rsidRPr="0092652F">
        <w:rPr>
          <w:rFonts w:cs="Times New Roman"/>
          <w:i/>
          <w:lang w:val="fr-CA"/>
        </w:rPr>
        <w:t>Bisaillon</w:t>
      </w:r>
      <w:proofErr w:type="spellEnd"/>
      <w:r w:rsidRPr="0092652F">
        <w:rPr>
          <w:rFonts w:cs="Times New Roman"/>
          <w:i/>
          <w:lang w:val="fr-CA"/>
        </w:rPr>
        <w:t xml:space="preserve"> c. Université Concordia</w:t>
      </w:r>
      <w:r w:rsidRPr="0092652F">
        <w:rPr>
          <w:rFonts w:cs="Times New Roman"/>
          <w:lang w:val="fr-CA"/>
        </w:rPr>
        <w:t xml:space="preserve">, 2006 CSC 19, [2006] 1 R.C.S. 666, TELUS a soutenu que le mécanisme procédural du recours collectif ne modifie pas le droit substantiel des parties de choisir d’avoir recours à l’arbitrage. Deuxièmement, elle a fait valoir que le par. 7(5) ne doit pas être interprété comme attribuant aux tribunaux la compétence de statuer sur des réclamations que les parties ont convenu de soumettre à l’arbitrage et que ces réclamations sont donc visées par le sursis obligatoire prévu au </w:t>
      </w:r>
      <w:proofErr w:type="spellStart"/>
      <w:r w:rsidRPr="0092652F">
        <w:rPr>
          <w:rFonts w:cs="Times New Roman"/>
          <w:lang w:val="fr-CA"/>
        </w:rPr>
        <w:t>par</w:t>
      </w:r>
      <w:proofErr w:type="spellEnd"/>
      <w:r w:rsidRPr="0092652F">
        <w:rPr>
          <w:rFonts w:cs="Times New Roman"/>
          <w:lang w:val="fr-CA"/>
        </w:rPr>
        <w:t>. 7(1).</w:t>
      </w:r>
    </w:p>
    <w:p w:rsidR="00B618DD" w:rsidRPr="0092652F" w:rsidRDefault="00B618DD" w:rsidP="00B618DD">
      <w:pPr>
        <w:pStyle w:val="ParaNoNdepar-AltN"/>
        <w:rPr>
          <w:rFonts w:cs="Times New Roman"/>
          <w:lang w:val="fr-CA"/>
        </w:rPr>
      </w:pPr>
      <w:r w:rsidRPr="0092652F">
        <w:rPr>
          <w:rFonts w:cs="Times New Roman"/>
          <w:lang w:val="fr-CA"/>
        </w:rPr>
        <w:t xml:space="preserve">La juge van </w:t>
      </w:r>
      <w:proofErr w:type="spellStart"/>
      <w:r w:rsidRPr="0092652F">
        <w:rPr>
          <w:rFonts w:cs="Times New Roman"/>
          <w:lang w:val="fr-CA"/>
        </w:rPr>
        <w:t>Rensburg</w:t>
      </w:r>
      <w:proofErr w:type="spellEnd"/>
      <w:r w:rsidRPr="0092652F">
        <w:rPr>
          <w:rFonts w:cs="Times New Roman"/>
          <w:lang w:val="fr-CA"/>
        </w:rPr>
        <w:t xml:space="preserve"> a rejeté ces deux arguments. À son avis, TELUS avait mal interprété l’arrêt </w:t>
      </w:r>
      <w:r w:rsidRPr="0092652F">
        <w:rPr>
          <w:rFonts w:cs="Times New Roman"/>
          <w:i/>
          <w:lang w:val="fr-CA"/>
        </w:rPr>
        <w:t xml:space="preserve">Seidel </w:t>
      </w:r>
      <w:r w:rsidRPr="0092652F">
        <w:rPr>
          <w:rFonts w:cs="Times New Roman"/>
          <w:lang w:val="fr-CA"/>
        </w:rPr>
        <w:t>et n’avait pas tenu compte du principe le plus important qui découle de cet arrêt, soit que : [</w:t>
      </w:r>
      <w:r w:rsidRPr="0092652F">
        <w:rPr>
          <w:rFonts w:cs="Times New Roman"/>
          <w:smallCaps/>
          <w:lang w:val="fr-CA"/>
        </w:rPr>
        <w:t>traduction</w:t>
      </w:r>
      <w:r w:rsidRPr="0092652F">
        <w:rPr>
          <w:rFonts w:cs="Times New Roman"/>
          <w:lang w:val="fr-CA"/>
        </w:rPr>
        <w:t xml:space="preserve">] </w:t>
      </w:r>
      <w:proofErr w:type="gramStart"/>
      <w:r w:rsidRPr="0092652F">
        <w:rPr>
          <w:rFonts w:cs="Times New Roman"/>
          <w:lang w:val="fr-CA"/>
        </w:rPr>
        <w:t>« .</w:t>
      </w:r>
      <w:proofErr w:type="gramEnd"/>
      <w:r w:rsidRPr="0092652F">
        <w:rPr>
          <w:rFonts w:cs="Times New Roman"/>
          <w:lang w:val="fr-CA"/>
        </w:rPr>
        <w:t xml:space="preserve"> . . l’applicabilité d’une clause d’arbitrage dépend du contexte législatif et de la question de savoir si le législateur avait eu l’intention de limiter la liberté des parties d’avoir recours à l’arbitrage » (par. 81). Elle a ajouté que l’arrêt </w:t>
      </w:r>
      <w:r w:rsidRPr="0092652F">
        <w:rPr>
          <w:rFonts w:cs="Times New Roman"/>
          <w:i/>
          <w:lang w:val="fr-CA"/>
        </w:rPr>
        <w:t xml:space="preserve">Seidel </w:t>
      </w:r>
      <w:r w:rsidRPr="0092652F">
        <w:rPr>
          <w:rFonts w:cs="Times New Roman"/>
          <w:lang w:val="fr-CA"/>
        </w:rPr>
        <w:t xml:space="preserve">ne qualifie pas le sujet de question de compétence et qu’il ne parle pas non plus de droits procéduraux ou substantiels qu’il faudrait traiter distinctement. Selon elle, cet arrêt porte plutôt sur une question d’interprétation législative. La juge van </w:t>
      </w:r>
      <w:proofErr w:type="spellStart"/>
      <w:r w:rsidRPr="0092652F">
        <w:rPr>
          <w:rFonts w:cs="Times New Roman"/>
          <w:lang w:val="fr-CA"/>
        </w:rPr>
        <w:t>Rensburg</w:t>
      </w:r>
      <w:proofErr w:type="spellEnd"/>
      <w:r w:rsidRPr="0092652F">
        <w:rPr>
          <w:rFonts w:cs="Times New Roman"/>
          <w:lang w:val="fr-CA"/>
        </w:rPr>
        <w:t xml:space="preserve"> a par ailleurs ajouté que rien dans la </w:t>
      </w:r>
      <w:r w:rsidRPr="0092652F">
        <w:rPr>
          <w:rFonts w:cs="Times New Roman"/>
          <w:i/>
          <w:lang w:val="fr-CA"/>
        </w:rPr>
        <w:t>Loi sur l’arbitrage</w:t>
      </w:r>
      <w:r w:rsidRPr="0092652F">
        <w:rPr>
          <w:rFonts w:cs="Times New Roman"/>
          <w:lang w:val="fr-CA"/>
        </w:rPr>
        <w:t xml:space="preserve"> ne donne à penser qu’une clause d’arbitrage retire ou écarte la compétence du tribunal à l’égard d’un différend, ajoutant que « l’introduction de la notion de compétence dans l’analyse de la question de savoir si un sursis partiel peut être accordé en application de la </w:t>
      </w:r>
      <w:r w:rsidRPr="0092652F">
        <w:rPr>
          <w:rFonts w:cs="Times New Roman"/>
          <w:i/>
          <w:lang w:val="fr-CA"/>
        </w:rPr>
        <w:t>Loi sur l’arbitrage</w:t>
      </w:r>
      <w:r w:rsidRPr="0092652F">
        <w:rPr>
          <w:rFonts w:cs="Times New Roman"/>
          <w:lang w:val="fr-CA"/>
        </w:rPr>
        <w:t xml:space="preserve"> de l’Ontario </w:t>
      </w:r>
      <w:r w:rsidRPr="0092652F">
        <w:rPr>
          <w:rFonts w:cs="Times New Roman"/>
          <w:lang w:val="fr-CA" w:bidi="en-US"/>
        </w:rPr>
        <w:t>est inutile et trompeuse » (par. 86).</w:t>
      </w:r>
    </w:p>
    <w:p w:rsidR="00B618DD" w:rsidRPr="0092652F" w:rsidRDefault="00B618DD" w:rsidP="00B618DD">
      <w:pPr>
        <w:pStyle w:val="ParaNoNdepar-AltN"/>
        <w:spacing w:before="0"/>
        <w:rPr>
          <w:rFonts w:cs="Times New Roman"/>
          <w:lang w:val="fr-CA"/>
        </w:rPr>
      </w:pPr>
      <w:r w:rsidRPr="0092652F">
        <w:rPr>
          <w:rFonts w:cs="Times New Roman"/>
          <w:lang w:val="fr-CA" w:bidi="en-US"/>
        </w:rPr>
        <w:t>En conséquence, la Cour d’appel a rejeté l’appel et confirmé la décision de la juge des motions de refuser de surseoir à l’instance.</w:t>
      </w:r>
    </w:p>
    <w:p w:rsidR="00B618DD" w:rsidRPr="0092652F" w:rsidRDefault="00B618DD" w:rsidP="00B618DD">
      <w:pPr>
        <w:pStyle w:val="Title3LevelTitre3Niveau"/>
        <w:rPr>
          <w:rFonts w:cs="Times New Roman"/>
          <w:lang w:val="fr-CA"/>
        </w:rPr>
      </w:pPr>
      <w:r w:rsidRPr="0092652F">
        <w:rPr>
          <w:rFonts w:cs="Times New Roman"/>
          <w:lang w:val="fr-CA"/>
        </w:rPr>
        <w:t>Les motifs concordants (le juge Blair)</w:t>
      </w:r>
    </w:p>
    <w:p w:rsidR="00B618DD" w:rsidRPr="0092652F" w:rsidRDefault="00B618DD" w:rsidP="00B618DD">
      <w:pPr>
        <w:pStyle w:val="ParaNoNdepar-AltN"/>
        <w:rPr>
          <w:rFonts w:cs="Times New Roman"/>
          <w:lang w:val="fr-CA"/>
        </w:rPr>
      </w:pPr>
      <w:r w:rsidRPr="0092652F">
        <w:rPr>
          <w:rFonts w:cs="Times New Roman"/>
          <w:lang w:val="fr-CA"/>
        </w:rPr>
        <w:t>Dans ses brefs motifs concordants, le juge Blair est parvenu au même résultat, mais [</w:t>
      </w:r>
      <w:r w:rsidRPr="0092652F">
        <w:rPr>
          <w:rFonts w:cs="Times New Roman"/>
          <w:smallCaps/>
          <w:lang w:val="fr-CA"/>
        </w:rPr>
        <w:t>traduction</w:t>
      </w:r>
      <w:r w:rsidRPr="0092652F">
        <w:rPr>
          <w:rFonts w:cs="Times New Roman"/>
          <w:lang w:val="fr-CA"/>
        </w:rPr>
        <w:t xml:space="preserve">] « de façon plus restrictive » (par. 100). Il a convenu que la décision </w:t>
      </w:r>
      <w:r w:rsidRPr="0092652F">
        <w:rPr>
          <w:rFonts w:cs="Times New Roman"/>
          <w:i/>
          <w:lang w:val="fr-CA"/>
        </w:rPr>
        <w:t xml:space="preserve">Griffin </w:t>
      </w:r>
      <w:r w:rsidRPr="0092652F">
        <w:rPr>
          <w:rFonts w:cs="Times New Roman"/>
          <w:lang w:val="fr-CA"/>
        </w:rPr>
        <w:t xml:space="preserve">n’avait pas été supplantée par l’arrêt </w:t>
      </w:r>
      <w:r w:rsidRPr="0092652F">
        <w:rPr>
          <w:rFonts w:cs="Times New Roman"/>
          <w:i/>
          <w:lang w:val="fr-CA"/>
        </w:rPr>
        <w:t>Seidel</w:t>
      </w:r>
      <w:r w:rsidRPr="0092652F">
        <w:rPr>
          <w:rFonts w:cs="Times New Roman"/>
          <w:lang w:val="fr-CA"/>
        </w:rPr>
        <w:t xml:space="preserve"> et qu’elle était déterminante en ce qui concerne la que</w:t>
      </w:r>
      <w:r>
        <w:rPr>
          <w:rFonts w:cs="Times New Roman"/>
          <w:lang w:val="fr-CA"/>
        </w:rPr>
        <w:t>stion en litige dont la c</w:t>
      </w:r>
      <w:r w:rsidRPr="0092652F">
        <w:rPr>
          <w:rFonts w:cs="Times New Roman"/>
          <w:lang w:val="fr-CA"/>
        </w:rPr>
        <w:t xml:space="preserve">our était saisie. Cependant, il a indiqué avoir des « réserves quant à la justesse de la décision </w:t>
      </w:r>
      <w:r w:rsidRPr="0092652F">
        <w:rPr>
          <w:rFonts w:cs="Times New Roman"/>
          <w:i/>
          <w:lang w:val="fr-CA"/>
        </w:rPr>
        <w:t xml:space="preserve">Griffin </w:t>
      </w:r>
      <w:r w:rsidRPr="0092652F">
        <w:rPr>
          <w:rFonts w:cs="Times New Roman"/>
          <w:lang w:val="fr-CA"/>
        </w:rPr>
        <w:t xml:space="preserve">en ce qui a trait au sursis partiel des réclamations présentées par les non-consommateurs » (par. 101). Il a traité plus particulièrement de deux questions qui, selon lui, n’ont pas été abordées dans la décision </w:t>
      </w:r>
      <w:r w:rsidRPr="0092652F">
        <w:rPr>
          <w:rFonts w:cs="Times New Roman"/>
          <w:i/>
          <w:lang w:val="fr-CA"/>
        </w:rPr>
        <w:t>Griffin</w:t>
      </w:r>
      <w:r w:rsidRPr="0092652F">
        <w:rPr>
          <w:rFonts w:cs="Times New Roman"/>
          <w:lang w:val="fr-CA"/>
        </w:rPr>
        <w:t>, mais qui « mériteraient peut</w:t>
      </w:r>
      <w:r w:rsidRPr="0092652F">
        <w:rPr>
          <w:rFonts w:cs="Times New Roman"/>
          <w:lang w:val="fr-CA"/>
        </w:rPr>
        <w:noBreakHyphen/>
        <w:t>être qu’on s’y attarde davantage » (par. 103).</w:t>
      </w:r>
    </w:p>
    <w:p w:rsidR="00B618DD" w:rsidRPr="0092652F" w:rsidRDefault="00B618DD" w:rsidP="00B618DD">
      <w:pPr>
        <w:pStyle w:val="ParaNoNdepar-AltN"/>
        <w:rPr>
          <w:rFonts w:cs="Times New Roman"/>
          <w:lang w:val="fr-CA"/>
        </w:rPr>
      </w:pPr>
      <w:r w:rsidRPr="0092652F">
        <w:rPr>
          <w:rFonts w:cs="Times New Roman"/>
          <w:lang w:val="fr-CA" w:bidi="en-US"/>
        </w:rPr>
        <w:t>Il a d’abord posé la question suivante : [</w:t>
      </w:r>
      <w:r w:rsidRPr="0092652F">
        <w:rPr>
          <w:rFonts w:cs="Times New Roman"/>
          <w:smallCaps/>
          <w:lang w:val="fr-CA" w:bidi="en-US"/>
        </w:rPr>
        <w:t>traduction</w:t>
      </w:r>
      <w:r w:rsidRPr="0092652F">
        <w:rPr>
          <w:rFonts w:cs="Times New Roman"/>
          <w:lang w:val="fr-CA" w:bidi="en-US"/>
        </w:rPr>
        <w:t xml:space="preserve">] « compte tenu des principes d’interprétation législative, l’expression “autres questions” employée au </w:t>
      </w:r>
      <w:proofErr w:type="spellStart"/>
      <w:r w:rsidRPr="0092652F">
        <w:rPr>
          <w:rFonts w:cs="Times New Roman"/>
          <w:lang w:val="fr-CA" w:bidi="en-US"/>
        </w:rPr>
        <w:t>par</w:t>
      </w:r>
      <w:proofErr w:type="spellEnd"/>
      <w:r w:rsidRPr="0092652F">
        <w:rPr>
          <w:rFonts w:cs="Times New Roman"/>
          <w:lang w:val="fr-CA" w:bidi="en-US"/>
        </w:rPr>
        <w:t xml:space="preserve">. 7(5) de la </w:t>
      </w:r>
      <w:r w:rsidRPr="0092652F">
        <w:rPr>
          <w:rFonts w:cs="Times New Roman"/>
          <w:i/>
          <w:lang w:val="fr-CA" w:bidi="en-US"/>
        </w:rPr>
        <w:t>Loi de 1991 sur l’arbitrage</w:t>
      </w:r>
      <w:r w:rsidRPr="0092652F">
        <w:rPr>
          <w:rFonts w:cs="Times New Roman"/>
          <w:lang w:val="fr-CA" w:bidi="en-US"/>
        </w:rPr>
        <w:t xml:space="preserve"> — dans le contexte de l’art. 7 dans son ensemble et de l’objet de la Loi</w:t>
      </w:r>
      <w:r w:rsidRPr="0092652F">
        <w:rPr>
          <w:rFonts w:cs="Times New Roman"/>
          <w:i/>
          <w:lang w:val="fr-CA" w:bidi="en-US"/>
        </w:rPr>
        <w:t xml:space="preserve"> </w:t>
      </w:r>
      <w:r w:rsidRPr="0092652F">
        <w:rPr>
          <w:rFonts w:cs="Times New Roman"/>
          <w:lang w:val="fr-CA" w:bidi="en-US"/>
        </w:rPr>
        <w:t>— peut</w:t>
      </w:r>
      <w:r w:rsidRPr="0092652F">
        <w:rPr>
          <w:rFonts w:cs="Times New Roman"/>
          <w:lang w:val="fr-CA" w:bidi="en-US"/>
        </w:rPr>
        <w:noBreakHyphen/>
        <w:t>elle être interprétée comme signifiant que le pouvoir d’accorder un sursis partiel dans le contexte d’une convention d’arbitrage s’applique aussi dans le contexte d’autres conventions d’arbitrage conclues par des parties différentes et contenant des clauses d’arbitrage par ailleurs valides et exécutoires, ou renvoie</w:t>
      </w:r>
      <w:r w:rsidRPr="0092652F">
        <w:rPr>
          <w:rFonts w:cs="Times New Roman"/>
          <w:lang w:val="fr-CA" w:bidi="en-US"/>
        </w:rPr>
        <w:noBreakHyphen/>
        <w:t>t</w:t>
      </w:r>
      <w:r w:rsidRPr="0092652F">
        <w:rPr>
          <w:rFonts w:cs="Times New Roman"/>
          <w:lang w:val="fr-CA" w:bidi="en-US"/>
        </w:rPr>
        <w:noBreakHyphen/>
        <w:t>elle plutôt à d’autres questions visant les mêmes parties contractantes, mais non traitées dans la convention d’arbitrage conclue par elles? » (</w:t>
      </w:r>
      <w:r>
        <w:rPr>
          <w:rFonts w:cs="Times New Roman"/>
          <w:lang w:val="fr-CA" w:bidi="en-US"/>
        </w:rPr>
        <w:t>par. 104). À son avis, l’art.</w:t>
      </w:r>
      <w:r w:rsidRPr="0092652F">
        <w:rPr>
          <w:rFonts w:cs="Times New Roman"/>
          <w:lang w:val="fr-CA" w:bidi="en-US"/>
        </w:rPr>
        <w:t xml:space="preserve"> 7 de la </w:t>
      </w:r>
      <w:r w:rsidRPr="0092652F">
        <w:rPr>
          <w:rFonts w:cs="Times New Roman"/>
          <w:i/>
          <w:lang w:val="fr-CA" w:bidi="en-US"/>
        </w:rPr>
        <w:t>Loi sur l’arbitrage</w:t>
      </w:r>
      <w:r w:rsidRPr="0092652F">
        <w:rPr>
          <w:rFonts w:cs="Times New Roman"/>
          <w:lang w:val="fr-CA" w:bidi="en-US"/>
        </w:rPr>
        <w:t xml:space="preserve"> « semble traiter de circonstances se rapportant à une convention d’arbitrage particulière et non de liens entre différentes conventions conclues par des parties différentes » (par</w:t>
      </w:r>
      <w:r w:rsidRPr="0092652F">
        <w:rPr>
          <w:rFonts w:cs="Times New Roman"/>
          <w:i/>
          <w:lang w:val="fr-CA" w:bidi="en-US"/>
        </w:rPr>
        <w:t>.</w:t>
      </w:r>
      <w:r w:rsidRPr="0092652F">
        <w:rPr>
          <w:rFonts w:cs="Times New Roman"/>
          <w:lang w:val="fr-CA" w:bidi="en-US"/>
        </w:rPr>
        <w:t xml:space="preserve"> 104).</w:t>
      </w:r>
    </w:p>
    <w:p w:rsidR="00B618DD" w:rsidRPr="0092652F" w:rsidRDefault="00B618DD" w:rsidP="00B618DD">
      <w:pPr>
        <w:pStyle w:val="ParaNoNdepar-AltN"/>
        <w:rPr>
          <w:rFonts w:cs="Times New Roman"/>
          <w:lang w:val="fr-CA"/>
        </w:rPr>
      </w:pPr>
      <w:r w:rsidRPr="0092652F">
        <w:rPr>
          <w:rFonts w:cs="Times New Roman"/>
          <w:lang w:val="fr-CA" w:bidi="en-US"/>
        </w:rPr>
        <w:t>Le juge Blair a aussi posé la question suivante : [</w:t>
      </w:r>
      <w:r w:rsidRPr="0092652F">
        <w:rPr>
          <w:rFonts w:cs="Times New Roman"/>
          <w:smallCaps/>
          <w:lang w:val="fr-CA" w:bidi="en-US"/>
        </w:rPr>
        <w:t>traduction</w:t>
      </w:r>
      <w:r w:rsidRPr="0092652F">
        <w:rPr>
          <w:rFonts w:cs="Times New Roman"/>
          <w:lang w:val="fr-CA" w:bidi="en-US"/>
        </w:rPr>
        <w:t xml:space="preserve">] « de façon plus générale, les parties à un litige devraient-elles avoir le droit de contourner les obstacles par ailleurs substantiels et législatifs liés à la présentation devant le tribunal d’une réclamation devant être soumise à l’arbitrage en ajoutant tout simplement les réclamations de consommateurs (qui ne peuvent faire l’objet d’un sursis, en application de la </w:t>
      </w:r>
      <w:r w:rsidRPr="0092652F">
        <w:rPr>
          <w:rFonts w:cs="Times New Roman"/>
          <w:i/>
          <w:lang w:val="fr-CA" w:bidi="en-US"/>
        </w:rPr>
        <w:t>Loi sur la protection du consommateur</w:t>
      </w:r>
      <w:r w:rsidRPr="0092652F">
        <w:rPr>
          <w:rFonts w:cs="Times New Roman"/>
          <w:lang w:val="fr-CA" w:bidi="en-US"/>
        </w:rPr>
        <w:t xml:space="preserve">) aux réclamations des non-consommateurs (qui font généralement l’objet d’un sursis obligatoire) et en regroupant toutes les réclamations dans un seul recours collectif? Autrement dit, la </w:t>
      </w:r>
      <w:r w:rsidRPr="0092652F">
        <w:rPr>
          <w:rFonts w:cs="Times New Roman"/>
          <w:i/>
          <w:lang w:val="fr-CA" w:bidi="en-US"/>
        </w:rPr>
        <w:t>Loi sur les recours collectifs</w:t>
      </w:r>
      <w:r w:rsidRPr="0092652F">
        <w:rPr>
          <w:rFonts w:cs="Times New Roman"/>
          <w:lang w:val="fr-CA" w:bidi="en-US"/>
        </w:rPr>
        <w:t xml:space="preserve"> (une loi portant sur un droit procédural) peut</w:t>
      </w:r>
      <w:r w:rsidRPr="0092652F">
        <w:rPr>
          <w:rFonts w:cs="Times New Roman"/>
          <w:lang w:val="fr-CA" w:bidi="en-US"/>
        </w:rPr>
        <w:noBreakHyphen/>
        <w:t xml:space="preserve">elle être invoquée pour déroger aux dispositions de la </w:t>
      </w:r>
      <w:r w:rsidRPr="0092652F">
        <w:rPr>
          <w:rFonts w:cs="Times New Roman"/>
          <w:i/>
          <w:lang w:val="fr-CA" w:bidi="en-US"/>
        </w:rPr>
        <w:t>Loi de 1991 sur l’arbitrage</w:t>
      </w:r>
      <w:r w:rsidRPr="0092652F">
        <w:rPr>
          <w:rFonts w:cs="Times New Roman"/>
          <w:lang w:val="fr-CA" w:bidi="en-US"/>
        </w:rPr>
        <w:t xml:space="preserve"> qui accordent aux parties contractantes le droit de convenir du recours à l’arbitrage exécutoire (un droit substantiel)? » (par. 105).</w:t>
      </w:r>
    </w:p>
    <w:p w:rsidR="00B618DD" w:rsidRPr="0092652F" w:rsidRDefault="00B618DD" w:rsidP="00B618DD">
      <w:pPr>
        <w:pStyle w:val="Title1LevelTitre1Niveau-AltL"/>
        <w:rPr>
          <w:rFonts w:cs="Times New Roman"/>
          <w:lang w:val="fr-CA"/>
        </w:rPr>
      </w:pPr>
      <w:r w:rsidRPr="0092652F">
        <w:rPr>
          <w:rFonts w:cs="Times New Roman"/>
          <w:lang w:val="fr-CA"/>
        </w:rPr>
        <w:t>La question en litige</w:t>
      </w:r>
    </w:p>
    <w:p w:rsidR="00B618DD" w:rsidRPr="0092652F" w:rsidRDefault="00B618DD" w:rsidP="00B618DD">
      <w:pPr>
        <w:pStyle w:val="ParaNoNdepar-AltN"/>
        <w:rPr>
          <w:rFonts w:cs="Times New Roman"/>
          <w:lang w:val="fr-CA"/>
        </w:rPr>
      </w:pPr>
      <w:r w:rsidRPr="0092652F">
        <w:rPr>
          <w:rFonts w:cs="Times New Roman"/>
          <w:lang w:val="fr-CA"/>
        </w:rPr>
        <w:t>Dans le contexte d’un recours collectif projeté mettant en jeu des consommateurs et des non</w:t>
      </w:r>
      <w:r w:rsidRPr="0092652F">
        <w:rPr>
          <w:rFonts w:cs="Times New Roman"/>
          <w:lang w:val="fr-CA"/>
        </w:rPr>
        <w:noBreakHyphen/>
        <w:t>consommateurs, lorsque seules les réclamations présentées par les non</w:t>
      </w:r>
      <w:r w:rsidRPr="0092652F">
        <w:rPr>
          <w:rFonts w:cs="Times New Roman"/>
          <w:lang w:val="fr-CA"/>
        </w:rPr>
        <w:noBreakHyphen/>
        <w:t xml:space="preserve">consommateurs sont visées par une convention d’arbitrage par ailleurs valide et exécutoire, le par. 7(5) de la </w:t>
      </w:r>
      <w:r w:rsidRPr="0092652F">
        <w:rPr>
          <w:rFonts w:cs="Times New Roman"/>
          <w:i/>
          <w:lang w:val="fr-CA"/>
        </w:rPr>
        <w:t>Loi sur l’arbitrage</w:t>
      </w:r>
      <w:r w:rsidRPr="0092652F">
        <w:rPr>
          <w:rFonts w:cs="Times New Roman"/>
          <w:lang w:val="fr-CA"/>
        </w:rPr>
        <w:t xml:space="preserve"> confère</w:t>
      </w:r>
      <w:r w:rsidRPr="0092652F">
        <w:rPr>
          <w:rFonts w:cs="Times New Roman"/>
          <w:lang w:val="fr-CA"/>
        </w:rPr>
        <w:noBreakHyphen/>
        <w:t>t</w:t>
      </w:r>
      <w:r w:rsidRPr="0092652F">
        <w:rPr>
          <w:rFonts w:cs="Times New Roman"/>
          <w:lang w:val="fr-CA"/>
        </w:rPr>
        <w:noBreakHyphen/>
        <w:t>il au tribunal le pouvoir discrétionnaire de refuser d’accorder un sursis à l’égard des réclamations de ces derniers?</w:t>
      </w:r>
    </w:p>
    <w:p w:rsidR="00B618DD" w:rsidRPr="0092652F" w:rsidRDefault="00B618DD" w:rsidP="00B618DD">
      <w:pPr>
        <w:pStyle w:val="Title1LevelTitre1Niveau-AltL"/>
        <w:rPr>
          <w:rFonts w:cs="Times New Roman"/>
          <w:lang w:val="fr-CA"/>
        </w:rPr>
      </w:pPr>
      <w:r w:rsidRPr="0092652F">
        <w:rPr>
          <w:rFonts w:cs="Times New Roman"/>
          <w:lang w:val="fr-CA"/>
        </w:rPr>
        <w:t>Analyse</w:t>
      </w:r>
    </w:p>
    <w:p w:rsidR="00B618DD" w:rsidRPr="0092652F" w:rsidRDefault="00B618DD" w:rsidP="00B618DD">
      <w:pPr>
        <w:pStyle w:val="Title2LevelTitre2Niveau"/>
        <w:rPr>
          <w:rFonts w:cs="Times New Roman"/>
          <w:lang w:val="fr-CA"/>
        </w:rPr>
      </w:pPr>
      <w:r w:rsidRPr="0092652F">
        <w:rPr>
          <w:rFonts w:cs="Times New Roman"/>
          <w:lang w:val="fr-CA"/>
        </w:rPr>
        <w:t>La norme de contrôle</w:t>
      </w:r>
    </w:p>
    <w:p w:rsidR="00B618DD" w:rsidRPr="0092652F" w:rsidRDefault="00B618DD" w:rsidP="00B618DD">
      <w:pPr>
        <w:pStyle w:val="ParaNoNdepar-AltN"/>
        <w:rPr>
          <w:rFonts w:cs="Times New Roman"/>
          <w:lang w:val="fr-CA"/>
        </w:rPr>
      </w:pPr>
      <w:r w:rsidRPr="0092652F">
        <w:rPr>
          <w:rFonts w:cs="Times New Roman"/>
          <w:lang w:val="fr-CA" w:bidi="en-US"/>
        </w:rPr>
        <w:t xml:space="preserve">La question en appel est une question d’interprétation législative et est par conséquent proprement qualifiée de question de droit (voir </w:t>
      </w:r>
      <w:r w:rsidRPr="0092652F">
        <w:rPr>
          <w:rFonts w:cs="Times New Roman"/>
          <w:i/>
          <w:lang w:val="fr-CA" w:bidi="en-US"/>
        </w:rPr>
        <w:t>Compagnie des chemins de fer nationaux du Canada c. Canada (Procureur général)</w:t>
      </w:r>
      <w:r w:rsidRPr="0092652F">
        <w:rPr>
          <w:rFonts w:cs="Times New Roman"/>
          <w:lang w:val="fr-CA" w:bidi="en-US"/>
        </w:rPr>
        <w:t xml:space="preserve">, 2014 CSC 40, [2014] 2 R.C.S. 135, par. 33).  Ainsi, la norme de contrôle applicable est celle de la décision correcte (voir </w:t>
      </w:r>
      <w:proofErr w:type="spellStart"/>
      <w:r w:rsidRPr="0092652F">
        <w:rPr>
          <w:rFonts w:cs="Times New Roman"/>
          <w:i/>
          <w:lang w:val="fr-CA" w:bidi="en-US"/>
        </w:rPr>
        <w:t>Housen</w:t>
      </w:r>
      <w:proofErr w:type="spellEnd"/>
      <w:r w:rsidRPr="0092652F">
        <w:rPr>
          <w:rFonts w:cs="Times New Roman"/>
          <w:i/>
          <w:lang w:val="fr-CA" w:bidi="en-US"/>
        </w:rPr>
        <w:t xml:space="preserve"> c. </w:t>
      </w:r>
      <w:proofErr w:type="spellStart"/>
      <w:r w:rsidRPr="0092652F">
        <w:rPr>
          <w:rFonts w:cs="Times New Roman"/>
          <w:i/>
          <w:lang w:val="fr-CA" w:bidi="en-US"/>
        </w:rPr>
        <w:t>Nikolaisen</w:t>
      </w:r>
      <w:proofErr w:type="spellEnd"/>
      <w:r>
        <w:rPr>
          <w:rFonts w:cs="Times New Roman"/>
          <w:lang w:val="fr-CA" w:bidi="en-US"/>
        </w:rPr>
        <w:t>, 2002 CSC 33, [2002] 2 R.C.S. 2</w:t>
      </w:r>
      <w:r w:rsidRPr="0092652F">
        <w:rPr>
          <w:rFonts w:cs="Times New Roman"/>
          <w:lang w:val="fr-CA" w:bidi="en-US"/>
        </w:rPr>
        <w:t>35, par. 8).</w:t>
      </w:r>
    </w:p>
    <w:p w:rsidR="00B618DD" w:rsidRPr="0092652F" w:rsidRDefault="00B618DD" w:rsidP="00B618DD">
      <w:pPr>
        <w:pStyle w:val="Title2LevelTitre2Niveau"/>
        <w:rPr>
          <w:rFonts w:cs="Times New Roman"/>
          <w:lang w:val="fr-CA" w:bidi="en-US"/>
        </w:rPr>
      </w:pPr>
      <w:r w:rsidRPr="0092652F">
        <w:rPr>
          <w:rFonts w:cs="Times New Roman"/>
          <w:lang w:val="fr-CA" w:bidi="en-US"/>
        </w:rPr>
        <w:t>Les précédents clés</w:t>
      </w:r>
    </w:p>
    <w:p w:rsidR="00B618DD" w:rsidRPr="0092652F" w:rsidRDefault="00B618DD" w:rsidP="00B618DD">
      <w:pPr>
        <w:pStyle w:val="ParaNoNdepar-AltN"/>
        <w:rPr>
          <w:rFonts w:cs="Times New Roman"/>
          <w:lang w:val="fr-CA"/>
        </w:rPr>
      </w:pPr>
      <w:r w:rsidRPr="0092652F">
        <w:rPr>
          <w:rFonts w:cs="Times New Roman"/>
          <w:lang w:val="fr-CA"/>
        </w:rPr>
        <w:t xml:space="preserve">Les deux piliers jurisprudentiels sur lesquels reposent les arguments des parties sont la décision </w:t>
      </w:r>
      <w:r w:rsidRPr="0092652F">
        <w:rPr>
          <w:rFonts w:cs="Times New Roman"/>
          <w:i/>
          <w:lang w:val="fr-CA"/>
        </w:rPr>
        <w:t xml:space="preserve">Griffin </w:t>
      </w:r>
      <w:r w:rsidRPr="0092652F">
        <w:rPr>
          <w:rFonts w:cs="Times New Roman"/>
          <w:lang w:val="fr-CA"/>
        </w:rPr>
        <w:t xml:space="preserve">et l’arrêt </w:t>
      </w:r>
      <w:r w:rsidRPr="0092652F">
        <w:rPr>
          <w:rFonts w:cs="Times New Roman"/>
          <w:i/>
          <w:lang w:val="fr-CA"/>
        </w:rPr>
        <w:t>Seidel</w:t>
      </w:r>
      <w:r w:rsidRPr="0092652F">
        <w:rPr>
          <w:rFonts w:cs="Times New Roman"/>
          <w:lang w:val="fr-CA"/>
        </w:rPr>
        <w:t>. Le lien entre ces deux jugements a été au cœur des décisions rendues par les tribunaux d’instances inférieures. Il est donc utile, à titre préliminaire, de donner un aperçu de ces deux décisions clés.</w:t>
      </w:r>
    </w:p>
    <w:p w:rsidR="00B618DD" w:rsidRPr="0092652F" w:rsidRDefault="00B618DD" w:rsidP="00B618DD">
      <w:pPr>
        <w:pStyle w:val="Title3LevelTitre3Niveau"/>
        <w:rPr>
          <w:rFonts w:cs="Times New Roman"/>
          <w:i/>
          <w:lang w:val="fr-CA"/>
        </w:rPr>
      </w:pPr>
      <w:r w:rsidRPr="0092652F">
        <w:rPr>
          <w:rFonts w:cs="Times New Roman"/>
          <w:lang w:val="fr-CA"/>
        </w:rPr>
        <w:t>La décision</w:t>
      </w:r>
      <w:r w:rsidRPr="0092652F">
        <w:rPr>
          <w:rFonts w:cs="Times New Roman"/>
          <w:i/>
          <w:lang w:val="fr-CA"/>
        </w:rPr>
        <w:t xml:space="preserve"> Griffin</w:t>
      </w:r>
    </w:p>
    <w:p w:rsidR="00B618DD" w:rsidRPr="0092652F" w:rsidRDefault="00B618DD" w:rsidP="00B618DD">
      <w:pPr>
        <w:pStyle w:val="ParaNoNdepar-AltN"/>
        <w:rPr>
          <w:rFonts w:cs="Times New Roman"/>
          <w:bCs/>
          <w:lang w:val="fr-CA"/>
        </w:rPr>
      </w:pPr>
      <w:r w:rsidRPr="0092652F">
        <w:rPr>
          <w:rFonts w:cs="Times New Roman"/>
          <w:lang w:val="fr-CA"/>
        </w:rPr>
        <w:t xml:space="preserve">L’affaire </w:t>
      </w:r>
      <w:r w:rsidRPr="0092652F">
        <w:rPr>
          <w:rFonts w:cs="Times New Roman"/>
          <w:i/>
          <w:lang w:val="fr-CA"/>
        </w:rPr>
        <w:t>Griffin</w:t>
      </w:r>
      <w:r w:rsidRPr="0092652F">
        <w:rPr>
          <w:rFonts w:cs="Times New Roman"/>
          <w:lang w:val="fr-CA"/>
        </w:rPr>
        <w:t xml:space="preserve"> portait sur un recours collectif projeté intenté en Ontario au nom d’acheteurs — consommateurs et non</w:t>
      </w:r>
      <w:r w:rsidRPr="0092652F">
        <w:rPr>
          <w:rFonts w:cs="Times New Roman"/>
          <w:lang w:val="fr-CA"/>
        </w:rPr>
        <w:noBreakHyphen/>
        <w:t>consommateurs</w:t>
      </w:r>
      <w:r w:rsidRPr="00C96758">
        <w:rPr>
          <w:rStyle w:val="Hyperlink"/>
          <w:vertAlign w:val="superscript"/>
        </w:rPr>
        <w:footnoteReference w:id="5"/>
      </w:r>
      <w:r w:rsidRPr="0092652F">
        <w:rPr>
          <w:rFonts w:cs="Times New Roman"/>
          <w:lang w:val="fr-CA"/>
        </w:rPr>
        <w:t xml:space="preserve"> — ayant acheté des ordinateurs Dell qui auraient été défectueux. Le contrat d’adhésion type de Dell contenait une clause d’arbitrage obligatoire. Le demandeur a présenté une motion en vue de faire certifier le recours collectif. En réponse, Dell a présenté une motion </w:t>
      </w:r>
      <w:r w:rsidRPr="0092652F">
        <w:rPr>
          <w:rFonts w:cs="Times New Roman"/>
          <w:lang w:val="fr-CA" w:bidi="en-US"/>
        </w:rPr>
        <w:t xml:space="preserve">en sursis en application de l’art. 7 de la </w:t>
      </w:r>
      <w:r w:rsidRPr="0092652F">
        <w:rPr>
          <w:rFonts w:cs="Times New Roman"/>
          <w:i/>
          <w:lang w:val="fr-CA" w:bidi="en-US"/>
        </w:rPr>
        <w:t>Loi sur l’arbitrage</w:t>
      </w:r>
      <w:r w:rsidRPr="0092652F">
        <w:rPr>
          <w:rFonts w:cs="Times New Roman"/>
          <w:lang w:val="fr-CA" w:bidi="en-US"/>
        </w:rPr>
        <w:t>. La juge des motions a rejeté la demande de sursis et certifié l’action comme recours collectif. Dell a interjeté appel.</w:t>
      </w:r>
    </w:p>
    <w:p w:rsidR="00B618DD" w:rsidRPr="0092652F" w:rsidRDefault="00B618DD" w:rsidP="00B618DD">
      <w:pPr>
        <w:pStyle w:val="ParaNoNdepar-AltN"/>
        <w:rPr>
          <w:rFonts w:cs="Times New Roman"/>
          <w:bCs/>
          <w:lang w:val="fr-CA"/>
        </w:rPr>
      </w:pPr>
      <w:r w:rsidRPr="0092652F">
        <w:rPr>
          <w:rFonts w:cs="Times New Roman"/>
          <w:lang w:val="fr-CA"/>
        </w:rPr>
        <w:t xml:space="preserve">S’exprimant au nom d’une formation de cinq juges unanimes, le juge Sharpe a rejeté l’appel. Il a tout d’abord statué que le par. 7(2) de la </w:t>
      </w:r>
      <w:r w:rsidRPr="0092652F">
        <w:rPr>
          <w:rFonts w:cs="Times New Roman"/>
          <w:i/>
          <w:lang w:val="fr-CA"/>
        </w:rPr>
        <w:t>Loi sur la protection du consommateur</w:t>
      </w:r>
      <w:r w:rsidRPr="0092652F">
        <w:rPr>
          <w:rFonts w:cs="Times New Roman"/>
          <w:lang w:val="fr-CA"/>
        </w:rPr>
        <w:t xml:space="preserve"> s’appliquait, de sorte que la clause d’arbitrage n’empêchait pas que les réclamations des consommateurs soient portées devant le tribunal. </w:t>
      </w:r>
      <w:r w:rsidRPr="0092652F">
        <w:rPr>
          <w:rFonts w:cs="Times New Roman"/>
          <w:lang w:val="fr-CA" w:bidi="en-US"/>
        </w:rPr>
        <w:t>Il s’est ensuite demandé s’il convenait d’ordonner le sursis des réclamations des non-consommateurs et énoncé comme suit l’approche générale relative au caractère exécutoire des conventions d’arbitrage :</w:t>
      </w:r>
    </w:p>
    <w:p w:rsidR="00B618DD" w:rsidRPr="0092652F" w:rsidRDefault="00B618DD" w:rsidP="00B618DD">
      <w:pPr>
        <w:pStyle w:val="CITATION"/>
        <w:tabs>
          <w:tab w:val="left" w:pos="1620"/>
        </w:tabs>
        <w:spacing w:after="720"/>
        <w:ind w:left="1166" w:right="-86"/>
        <w:rPr>
          <w:rFonts w:cs="Times New Roman"/>
          <w:lang w:val="fr-CA"/>
        </w:rPr>
      </w:pPr>
      <w:r>
        <w:rPr>
          <w:rFonts w:cs="Times New Roman"/>
          <w:lang w:val="fr-CA"/>
        </w:rPr>
        <w:tab/>
      </w:r>
      <w:r w:rsidRPr="0092652F">
        <w:rPr>
          <w:rFonts w:cs="Times New Roman"/>
          <w:lang w:val="fr-CA"/>
        </w:rPr>
        <w:t>[</w:t>
      </w:r>
      <w:r w:rsidRPr="0092652F">
        <w:rPr>
          <w:rFonts w:cs="Times New Roman"/>
          <w:smallCaps/>
          <w:lang w:val="fr-CA"/>
        </w:rPr>
        <w:t>traduction</w:t>
      </w:r>
      <w:r w:rsidRPr="0092652F">
        <w:rPr>
          <w:rFonts w:cs="Times New Roman"/>
          <w:lang w:val="fr-CA"/>
        </w:rPr>
        <w:t>] Les parties contractantes précisent souvent que tout différend qui pourrait découler de leur relation doit être soumis à un arbitrage, plutôt qu’à un examen par les tribunaux. Dans ce cas, elles ont normalement droit à ce que les tribunaux respectent le mode de règlement des différends qu’elles ont choisi. L’approche moderne, énoncée dans [</w:t>
      </w:r>
      <w:r w:rsidRPr="0092652F">
        <w:rPr>
          <w:rFonts w:cs="Times New Roman"/>
          <w:i/>
          <w:iCs/>
          <w:lang w:val="fr-CA"/>
        </w:rPr>
        <w:t>Dell Computer Corp. c. Union des consommateurs</w:t>
      </w:r>
      <w:r w:rsidRPr="0092652F">
        <w:rPr>
          <w:rFonts w:cs="Times New Roman"/>
          <w:lang w:val="fr-CA"/>
        </w:rPr>
        <w:t>, 2007 CSC 34, [2007] 2 R.C.S. 801], consiste à exiger que les parties respectent leur choix et à considérer l’arbitrage comme un processus autonome, qu’il faut présumer à l’abri du contrôle judiciaire : [</w:t>
      </w:r>
      <w:proofErr w:type="spellStart"/>
      <w:r w:rsidRPr="0092652F">
        <w:rPr>
          <w:rFonts w:cs="Times New Roman"/>
          <w:i/>
          <w:lang w:val="fr-CA"/>
        </w:rPr>
        <w:t>Inforica</w:t>
      </w:r>
      <w:proofErr w:type="spellEnd"/>
      <w:r w:rsidRPr="0092652F">
        <w:rPr>
          <w:rFonts w:cs="Times New Roman"/>
          <w:i/>
          <w:lang w:val="fr-CA"/>
        </w:rPr>
        <w:t xml:space="preserve"> Inc. c. CGI Information </w:t>
      </w:r>
      <w:proofErr w:type="spellStart"/>
      <w:r w:rsidRPr="0092652F">
        <w:rPr>
          <w:rFonts w:cs="Times New Roman"/>
          <w:i/>
          <w:lang w:val="fr-CA"/>
        </w:rPr>
        <w:t>Systems</w:t>
      </w:r>
      <w:proofErr w:type="spellEnd"/>
      <w:r w:rsidRPr="0092652F">
        <w:rPr>
          <w:rFonts w:cs="Times New Roman"/>
          <w:i/>
          <w:lang w:val="fr-CA"/>
        </w:rPr>
        <w:t xml:space="preserve"> and Management Consultants Inc.</w:t>
      </w:r>
      <w:r w:rsidRPr="0092652F">
        <w:rPr>
          <w:rFonts w:cs="Times New Roman"/>
          <w:lang w:val="fr-CA"/>
        </w:rPr>
        <w:t>, 2009 ONCA 642, 97 O.R. (3d) 161], par. 14. [par. 28]</w:t>
      </w:r>
    </w:p>
    <w:p w:rsidR="00B618DD" w:rsidRPr="0092652F" w:rsidRDefault="00B618DD" w:rsidP="00B618DD">
      <w:pPr>
        <w:pStyle w:val="ParaNoNdepar-AltN"/>
        <w:rPr>
          <w:rFonts w:cs="Times New Roman"/>
          <w:lang w:val="fr-CA"/>
        </w:rPr>
      </w:pPr>
      <w:r w:rsidRPr="0092652F">
        <w:rPr>
          <w:rFonts w:cs="Times New Roman"/>
          <w:lang w:val="fr-CA"/>
        </w:rPr>
        <w:t xml:space="preserve">Le juge Sharpe a par ailleurs interprété le par. 7(5) de la </w:t>
      </w:r>
      <w:r w:rsidRPr="0092652F">
        <w:rPr>
          <w:rFonts w:cs="Times New Roman"/>
          <w:i/>
          <w:lang w:val="fr-CA"/>
        </w:rPr>
        <w:t>Loi sur l’arbitrage</w:t>
      </w:r>
      <w:r w:rsidRPr="0092652F">
        <w:rPr>
          <w:rFonts w:cs="Times New Roman"/>
          <w:lang w:val="fr-CA"/>
        </w:rPr>
        <w:t xml:space="preserve"> </w:t>
      </w:r>
      <w:r>
        <w:rPr>
          <w:rFonts w:cs="Times New Roman"/>
          <w:lang w:val="fr-CA"/>
        </w:rPr>
        <w:t xml:space="preserve">comme </w:t>
      </w:r>
      <w:r w:rsidRPr="0092652F">
        <w:rPr>
          <w:rFonts w:cs="Times New Roman"/>
          <w:lang w:val="fr-CA"/>
        </w:rPr>
        <w:t>[</w:t>
      </w:r>
      <w:r w:rsidRPr="0092652F">
        <w:rPr>
          <w:rFonts w:cs="Times New Roman"/>
          <w:smallCaps/>
          <w:lang w:val="fr-CA"/>
        </w:rPr>
        <w:t>traduction</w:t>
      </w:r>
      <w:r>
        <w:rPr>
          <w:rFonts w:cs="Times New Roman"/>
          <w:lang w:val="fr-CA"/>
        </w:rPr>
        <w:t>] « conférant</w:t>
      </w:r>
      <w:r w:rsidRPr="0092652F">
        <w:rPr>
          <w:rFonts w:cs="Times New Roman"/>
          <w:lang w:val="fr-CA"/>
        </w:rPr>
        <w:t xml:space="preserve"> aux tribunaux le pouvoir discrétionnaire d’accorder un sursis partiel lorsqu’une action porte sur des réclamations qui doivent être soumises à l’arbitrage et des réclamations qui n’ont pas à l’être » (par. 45). Il a affirmé qu’une ordonnance peut être rendue en ce sens lorsqu’il est raisonnable de dissocier les questions traitées dans la convention d’arbitrage des autres questions. Il a également mentionné une série de décisions dans lesquelles les tribunaux ont refusé d’accorder un sursis et autorisé que l’action se poursuive, parce que seules certaines parties au litige étaient liées par une clause d’arbitrage et parce que les réclamations étaient à ce point semblables qu’il n’aurait pas été raisonnable de les dissocier (voir </w:t>
      </w:r>
      <w:proofErr w:type="spellStart"/>
      <w:r w:rsidRPr="0092652F">
        <w:rPr>
          <w:rFonts w:cs="Times New Roman"/>
          <w:i/>
          <w:iCs/>
          <w:lang w:val="fr-CA"/>
        </w:rPr>
        <w:t>Radewych</w:t>
      </w:r>
      <w:proofErr w:type="spellEnd"/>
      <w:r w:rsidRPr="0092652F">
        <w:rPr>
          <w:rFonts w:cs="Times New Roman"/>
          <w:i/>
          <w:iCs/>
          <w:lang w:val="fr-CA"/>
        </w:rPr>
        <w:t xml:space="preserve"> c. </w:t>
      </w:r>
      <w:proofErr w:type="spellStart"/>
      <w:r w:rsidRPr="0092652F">
        <w:rPr>
          <w:rFonts w:cs="Times New Roman"/>
          <w:i/>
          <w:iCs/>
          <w:lang w:val="fr-CA"/>
        </w:rPr>
        <w:t>Brookfield</w:t>
      </w:r>
      <w:proofErr w:type="spellEnd"/>
      <w:r w:rsidRPr="0092652F">
        <w:rPr>
          <w:rFonts w:cs="Times New Roman"/>
          <w:i/>
          <w:iCs/>
          <w:lang w:val="fr-CA"/>
        </w:rPr>
        <w:t xml:space="preserve"> Homes (Ontario) Ltd.</w:t>
      </w:r>
      <w:r w:rsidRPr="0092652F">
        <w:rPr>
          <w:rFonts w:cs="Times New Roman"/>
          <w:lang w:val="fr-CA"/>
        </w:rPr>
        <w:t xml:space="preserve">, 2007 </w:t>
      </w:r>
      <w:proofErr w:type="spellStart"/>
      <w:r w:rsidRPr="0092652F">
        <w:rPr>
          <w:rFonts w:cs="Times New Roman"/>
          <w:lang w:val="fr-CA"/>
        </w:rPr>
        <w:t>CanLII</w:t>
      </w:r>
      <w:proofErr w:type="spellEnd"/>
      <w:r w:rsidRPr="0092652F">
        <w:rPr>
          <w:rFonts w:cs="Times New Roman"/>
          <w:lang w:val="fr-CA"/>
        </w:rPr>
        <w:t> 23358 (C.S.J</w:t>
      </w:r>
      <w:r>
        <w:rPr>
          <w:rFonts w:cs="Times New Roman"/>
          <w:lang w:val="fr-CA"/>
        </w:rPr>
        <w:t xml:space="preserve">.), </w:t>
      </w:r>
      <w:proofErr w:type="spellStart"/>
      <w:r>
        <w:rPr>
          <w:rFonts w:cs="Times New Roman"/>
          <w:lang w:val="fr-CA"/>
        </w:rPr>
        <w:t>conf</w:t>
      </w:r>
      <w:proofErr w:type="spellEnd"/>
      <w:r>
        <w:rPr>
          <w:rFonts w:cs="Times New Roman"/>
          <w:lang w:val="fr-CA"/>
        </w:rPr>
        <w:t xml:space="preserve">. </w:t>
      </w:r>
      <w:r w:rsidR="002B738D">
        <w:rPr>
          <w:rFonts w:cs="Times New Roman"/>
          <w:lang w:val="fr-CA"/>
        </w:rPr>
        <w:t>p</w:t>
      </w:r>
      <w:r>
        <w:rPr>
          <w:rFonts w:cs="Times New Roman"/>
          <w:lang w:val="fr-CA"/>
        </w:rPr>
        <w:t>ar</w:t>
      </w:r>
      <w:r w:rsidR="002B738D">
        <w:rPr>
          <w:rFonts w:cs="Times New Roman"/>
          <w:lang w:val="fr-CA"/>
        </w:rPr>
        <w:t xml:space="preserve"> </w:t>
      </w:r>
      <w:r w:rsidRPr="0092652F">
        <w:rPr>
          <w:rFonts w:cs="Times New Roman"/>
          <w:lang w:val="fr-CA"/>
        </w:rPr>
        <w:t>2007 ONCA 721; </w:t>
      </w:r>
      <w:r w:rsidRPr="0092652F">
        <w:rPr>
          <w:rFonts w:cs="Times New Roman"/>
          <w:i/>
          <w:iCs/>
          <w:lang w:val="fr-CA"/>
        </w:rPr>
        <w:t xml:space="preserve">Johnston c. </w:t>
      </w:r>
      <w:proofErr w:type="spellStart"/>
      <w:r w:rsidRPr="0092652F">
        <w:rPr>
          <w:rFonts w:cs="Times New Roman"/>
          <w:i/>
          <w:iCs/>
          <w:lang w:val="fr-CA"/>
        </w:rPr>
        <w:t>Goudie</w:t>
      </w:r>
      <w:proofErr w:type="spellEnd"/>
      <w:r w:rsidR="002B738D">
        <w:rPr>
          <w:rFonts w:cs="Times New Roman"/>
          <w:i/>
          <w:iCs/>
          <w:lang w:val="fr-CA"/>
        </w:rPr>
        <w:t xml:space="preserve"> </w:t>
      </w:r>
      <w:r w:rsidRPr="0092652F">
        <w:rPr>
          <w:rFonts w:cs="Times New Roman"/>
          <w:lang w:val="fr-CA"/>
        </w:rPr>
        <w:t xml:space="preserve">(2006), 212 O.A.C. 79; </w:t>
      </w:r>
      <w:r w:rsidRPr="0092652F">
        <w:rPr>
          <w:rFonts w:cs="Times New Roman"/>
          <w:i/>
          <w:lang w:val="fr-CA"/>
        </w:rPr>
        <w:t>Penn</w:t>
      </w:r>
      <w:r>
        <w:rPr>
          <w:rFonts w:cs="Times New Roman"/>
          <w:i/>
          <w:lang w:val="fr-CA"/>
        </w:rPr>
        <w:noBreakHyphen/>
      </w:r>
      <w:r w:rsidRPr="0092652F">
        <w:rPr>
          <w:rFonts w:cs="Times New Roman"/>
          <w:i/>
          <w:lang w:val="fr-CA"/>
        </w:rPr>
        <w:t>Co Construction Canada (2003) Ltd. c. Constance Lake First Nation</w:t>
      </w:r>
      <w:r>
        <w:rPr>
          <w:rFonts w:cs="Times New Roman"/>
          <w:lang w:val="fr-CA"/>
        </w:rPr>
        <w:t xml:space="preserve"> (2007),</w:t>
      </w:r>
      <w:r w:rsidRPr="0092652F">
        <w:rPr>
          <w:rFonts w:cs="Times New Roman"/>
          <w:lang w:val="fr-CA"/>
        </w:rPr>
        <w:t xml:space="preserve">66 C.L.R. (3d) 78 (C.S.J.), </w:t>
      </w:r>
      <w:proofErr w:type="spellStart"/>
      <w:r w:rsidRPr="0092652F">
        <w:rPr>
          <w:rFonts w:cs="Times New Roman"/>
          <w:lang w:val="fr-CA"/>
        </w:rPr>
        <w:t>conf</w:t>
      </w:r>
      <w:proofErr w:type="spellEnd"/>
      <w:r w:rsidRPr="0092652F">
        <w:rPr>
          <w:rFonts w:cs="Times New Roman"/>
          <w:lang w:val="fr-CA"/>
        </w:rPr>
        <w:t>.</w:t>
      </w:r>
      <w:r w:rsidR="002B738D">
        <w:rPr>
          <w:rFonts w:cs="Times New Roman"/>
          <w:lang w:val="fr-CA"/>
        </w:rPr>
        <w:t xml:space="preserve"> par</w:t>
      </w:r>
      <w:r w:rsidRPr="0092652F">
        <w:rPr>
          <w:rFonts w:cs="Times New Roman"/>
          <w:lang w:val="fr-CA"/>
        </w:rPr>
        <w:t xml:space="preserve"> 2008 ONCA 768, 76 C.L.R. (3d) 1; </w:t>
      </w:r>
      <w:proofErr w:type="spellStart"/>
      <w:r w:rsidRPr="0092652F">
        <w:rPr>
          <w:rFonts w:cs="Times New Roman"/>
          <w:i/>
          <w:iCs/>
          <w:lang w:val="fr-CA"/>
        </w:rPr>
        <w:t>Frambordeaux</w:t>
      </w:r>
      <w:proofErr w:type="spellEnd"/>
      <w:r w:rsidRPr="0092652F">
        <w:rPr>
          <w:rFonts w:cs="Times New Roman"/>
          <w:i/>
          <w:iCs/>
          <w:lang w:val="fr-CA"/>
        </w:rPr>
        <w:t xml:space="preserve"> </w:t>
      </w:r>
      <w:proofErr w:type="spellStart"/>
      <w:r w:rsidRPr="0092652F">
        <w:rPr>
          <w:rFonts w:cs="Times New Roman"/>
          <w:i/>
          <w:iCs/>
          <w:lang w:val="fr-CA"/>
        </w:rPr>
        <w:t>Developments</w:t>
      </w:r>
      <w:proofErr w:type="spellEnd"/>
      <w:r w:rsidRPr="0092652F">
        <w:rPr>
          <w:rFonts w:cs="Times New Roman"/>
          <w:i/>
          <w:iCs/>
          <w:lang w:val="fr-CA"/>
        </w:rPr>
        <w:t xml:space="preserve"> Inc. c. </w:t>
      </w:r>
      <w:proofErr w:type="spellStart"/>
      <w:r w:rsidRPr="0092652F">
        <w:rPr>
          <w:rFonts w:cs="Times New Roman"/>
          <w:i/>
          <w:iCs/>
          <w:lang w:val="fr-CA"/>
        </w:rPr>
        <w:t>Romandale</w:t>
      </w:r>
      <w:proofErr w:type="spellEnd"/>
      <w:r w:rsidRPr="0092652F">
        <w:rPr>
          <w:rFonts w:cs="Times New Roman"/>
          <w:i/>
          <w:iCs/>
          <w:lang w:val="fr-CA"/>
        </w:rPr>
        <w:t xml:space="preserve"> </w:t>
      </w:r>
      <w:proofErr w:type="spellStart"/>
      <w:r w:rsidRPr="0092652F">
        <w:rPr>
          <w:rFonts w:cs="Times New Roman"/>
          <w:i/>
          <w:iCs/>
          <w:lang w:val="fr-CA"/>
        </w:rPr>
        <w:t>Farms</w:t>
      </w:r>
      <w:proofErr w:type="spellEnd"/>
      <w:r w:rsidRPr="0092652F">
        <w:rPr>
          <w:rFonts w:cs="Times New Roman"/>
          <w:i/>
          <w:iCs/>
          <w:lang w:val="fr-CA"/>
        </w:rPr>
        <w:t xml:space="preserve"> Ltd</w:t>
      </w:r>
      <w:r w:rsidRPr="0092652F">
        <w:rPr>
          <w:rFonts w:cs="Times New Roman"/>
          <w:i/>
          <w:lang w:val="fr-CA"/>
        </w:rPr>
        <w:t>.</w:t>
      </w:r>
      <w:r w:rsidRPr="0092652F">
        <w:rPr>
          <w:rFonts w:cs="Times New Roman"/>
          <w:lang w:val="fr-CA"/>
        </w:rPr>
        <w:t xml:space="preserve">, 2007 </w:t>
      </w:r>
      <w:proofErr w:type="spellStart"/>
      <w:r w:rsidRPr="0092652F">
        <w:rPr>
          <w:rFonts w:cs="Times New Roman"/>
          <w:lang w:val="fr-CA"/>
        </w:rPr>
        <w:t>CanLII</w:t>
      </w:r>
      <w:proofErr w:type="spellEnd"/>
      <w:r w:rsidRPr="0092652F">
        <w:rPr>
          <w:rFonts w:cs="Times New Roman"/>
          <w:lang w:val="fr-CA"/>
        </w:rPr>
        <w:t xml:space="preserve"> 55364 (C.S.J. Ont.); </w:t>
      </w:r>
      <w:r w:rsidRPr="0092652F">
        <w:rPr>
          <w:rFonts w:cs="Times New Roman"/>
          <w:i/>
          <w:iCs/>
          <w:lang w:val="fr-CA"/>
        </w:rPr>
        <w:t xml:space="preserve">New </w:t>
      </w:r>
      <w:proofErr w:type="spellStart"/>
      <w:r w:rsidRPr="0092652F">
        <w:rPr>
          <w:rFonts w:cs="Times New Roman"/>
          <w:i/>
          <w:iCs/>
          <w:lang w:val="fr-CA"/>
        </w:rPr>
        <w:t>Era</w:t>
      </w:r>
      <w:proofErr w:type="spellEnd"/>
      <w:r w:rsidRPr="0092652F">
        <w:rPr>
          <w:rFonts w:cs="Times New Roman"/>
          <w:i/>
          <w:iCs/>
          <w:lang w:val="fr-CA"/>
        </w:rPr>
        <w:t xml:space="preserve"> Nutrition Inc. c. Balance Bar Co.</w:t>
      </w:r>
      <w:r w:rsidRPr="0092652F">
        <w:rPr>
          <w:rFonts w:cs="Times New Roman"/>
          <w:lang w:val="fr-CA"/>
        </w:rPr>
        <w:t xml:space="preserve">, 2004 ABCA 280, 357 A.R. 184 (qui portait sur la disposition équivalente de la loi albertaine au </w:t>
      </w:r>
      <w:proofErr w:type="spellStart"/>
      <w:r w:rsidRPr="0092652F">
        <w:rPr>
          <w:rFonts w:cs="Times New Roman"/>
          <w:lang w:val="fr-CA"/>
        </w:rPr>
        <w:t>par</w:t>
      </w:r>
      <w:proofErr w:type="spellEnd"/>
      <w:r w:rsidRPr="0092652F">
        <w:rPr>
          <w:rFonts w:cs="Times New Roman"/>
          <w:lang w:val="fr-CA"/>
        </w:rPr>
        <w:t xml:space="preserve">. 7(5) de la </w:t>
      </w:r>
      <w:r w:rsidRPr="0092652F">
        <w:rPr>
          <w:rFonts w:cs="Times New Roman"/>
          <w:i/>
          <w:lang w:val="fr-CA"/>
        </w:rPr>
        <w:t>Loi sur l’arbitrage</w:t>
      </w:r>
      <w:r w:rsidRPr="0092652F">
        <w:rPr>
          <w:rFonts w:cs="Times New Roman"/>
          <w:lang w:val="fr-CA"/>
        </w:rPr>
        <w:t>)).</w:t>
      </w:r>
    </w:p>
    <w:p w:rsidR="00B618DD" w:rsidRPr="0092652F" w:rsidRDefault="00B618DD" w:rsidP="00B618DD">
      <w:pPr>
        <w:pStyle w:val="ParaNoNdepar-AltN"/>
        <w:rPr>
          <w:rFonts w:cs="Times New Roman"/>
          <w:lang w:val="fr-CA"/>
        </w:rPr>
      </w:pPr>
      <w:r w:rsidRPr="0092652F">
        <w:rPr>
          <w:rFonts w:cs="Times New Roman"/>
          <w:lang w:val="fr-CA"/>
        </w:rPr>
        <w:t>Compte tenu des faits, le juge Sharpe a conclu qu’il ne serait pas raisonnable de dissocier les réclamations des consommateurs de celles des non-consommateurs. Il a fait remarq</w:t>
      </w:r>
      <w:r>
        <w:rPr>
          <w:rFonts w:cs="Times New Roman"/>
          <w:lang w:val="fr-CA"/>
        </w:rPr>
        <w:t xml:space="preserve">uer (entre autres) que : (1) 70 </w:t>
      </w:r>
      <w:r w:rsidRPr="0092652F">
        <w:rPr>
          <w:rFonts w:cs="Times New Roman"/>
          <w:lang w:val="fr-CA"/>
        </w:rPr>
        <w:t xml:space="preserve">pour </w:t>
      </w:r>
      <w:r>
        <w:rPr>
          <w:rFonts w:cs="Times New Roman"/>
          <w:lang w:val="fr-CA"/>
        </w:rPr>
        <w:t>100</w:t>
      </w:r>
      <w:r w:rsidRPr="0092652F">
        <w:rPr>
          <w:rFonts w:cs="Times New Roman"/>
          <w:lang w:val="fr-CA"/>
        </w:rPr>
        <w:t xml:space="preserve"> des réclamations avaient été présentées par des consommateurs et seraient examinées dans le cadre du recours collectif; (2) les questions de la responsabilité et des dommages étaient les mêmes pour les consommateurs que pour les non-consommateurs; et (3) l’arbitrage collectif n’était pas permis, de sorte que les réclamations des non-consommateurs devaient être soumises à l’arbitrage de façon individuelle. Il était d’avis que l’octroi d’un sursis créerait de l’inefficacité, pourrait entraîner la multiplicité des instances et accroîtrait les coûts et les retards. À son avis, le dossier illustrait aussi clairement que le fait de surseoir aux réclamations ne signifiait pas que celles</w:t>
      </w:r>
      <w:r w:rsidRPr="0092652F">
        <w:rPr>
          <w:rFonts w:cs="Times New Roman"/>
          <w:lang w:val="fr-CA"/>
        </w:rPr>
        <w:noBreakHyphen/>
        <w:t>ci seraient soumises à l’arbitrage, puisque, comme l’avait précisé la juge des motions, il était [</w:t>
      </w:r>
      <w:r w:rsidRPr="0092652F">
        <w:rPr>
          <w:rFonts w:cs="Times New Roman"/>
          <w:smallCaps/>
          <w:lang w:val="fr-CA"/>
        </w:rPr>
        <w:t>traduction</w:t>
      </w:r>
      <w:r w:rsidRPr="0092652F">
        <w:rPr>
          <w:rFonts w:cs="Times New Roman"/>
          <w:lang w:val="fr-CA"/>
        </w:rPr>
        <w:t xml:space="preserve">] « illusoire de penser qu’un demandeur pourrait présenter une réclamation individuelle dans une affaire complexe de responsabilité du fabricant » (par. 1, citant </w:t>
      </w:r>
      <w:r w:rsidRPr="0092652F">
        <w:rPr>
          <w:rFonts w:cs="Times New Roman"/>
          <w:i/>
          <w:lang w:val="fr-CA"/>
        </w:rPr>
        <w:t>Griffin c. Dell Canada Inc.</w:t>
      </w:r>
      <w:r w:rsidRPr="0092652F">
        <w:rPr>
          <w:rFonts w:cs="Times New Roman"/>
          <w:lang w:val="fr-CA"/>
        </w:rPr>
        <w:t xml:space="preserve"> (2009), 72 C.P.C. (6th) 158 (C.S.J. Ont.), par. 92). Le </w:t>
      </w:r>
      <w:r w:rsidR="00E2010C">
        <w:rPr>
          <w:rFonts w:cs="Times New Roman"/>
          <w:lang w:val="fr-CA"/>
        </w:rPr>
        <w:t>juge Sharpe a donc affirmé que</w:t>
      </w:r>
      <w:r w:rsidRPr="0092652F">
        <w:rPr>
          <w:rFonts w:cs="Times New Roman"/>
          <w:lang w:val="fr-CA"/>
        </w:rPr>
        <w:t xml:space="preserve"> [</w:t>
      </w:r>
      <w:r w:rsidRPr="0092652F">
        <w:rPr>
          <w:rFonts w:cs="Times New Roman"/>
          <w:smallCaps/>
          <w:lang w:val="fr-CA"/>
        </w:rPr>
        <w:t>traduction</w:t>
      </w:r>
      <w:r w:rsidRPr="0092652F">
        <w:rPr>
          <w:rFonts w:cs="Times New Roman"/>
          <w:lang w:val="fr-CA"/>
        </w:rPr>
        <w:t>] « [l]e choix qui s’offre à nous n’est pas un choix entre l’arbitrage et le recours collectif. En réalité, il s’agit d’un choix entre exonérer Dell de toute responsabilité à l’égard des produits défectueux vendus à des non</w:t>
      </w:r>
      <w:r w:rsidRPr="0092652F">
        <w:rPr>
          <w:rFonts w:cs="Times New Roman"/>
          <w:lang w:val="fr-CA"/>
        </w:rPr>
        <w:noBreakHyphen/>
        <w:t>consommateurs ou accorder à ces acheteurs la même possibilité qu’aux consommateurs de se faire entendre devant le tribunal par la voie d’un recours collectif » (par. 57).</w:t>
      </w:r>
    </w:p>
    <w:p w:rsidR="00B618DD" w:rsidRPr="0092652F" w:rsidRDefault="00B618DD" w:rsidP="00B618DD">
      <w:pPr>
        <w:pStyle w:val="ParaNoNdepar-AltN"/>
        <w:rPr>
          <w:rFonts w:cs="Times New Roman"/>
          <w:lang w:val="fr-CA"/>
        </w:rPr>
      </w:pPr>
      <w:r w:rsidRPr="0092652F">
        <w:rPr>
          <w:rFonts w:cs="Times New Roman"/>
          <w:lang w:val="fr-CA"/>
        </w:rPr>
        <w:t>Par conséquent, la Cour d’appel a rejeté l’appel. Notre Cour a ensuite rejeté la demande d’autorisation de pourvoi présentée par Dell.</w:t>
      </w:r>
    </w:p>
    <w:p w:rsidR="00B618DD" w:rsidRPr="0092652F" w:rsidRDefault="00B618DD" w:rsidP="00B618DD">
      <w:pPr>
        <w:pStyle w:val="Title3LevelTitre3Niveau"/>
        <w:rPr>
          <w:rFonts w:cs="Times New Roman"/>
          <w:i/>
          <w:lang w:val="fr-CA"/>
        </w:rPr>
      </w:pPr>
      <w:r w:rsidRPr="0092652F">
        <w:rPr>
          <w:rFonts w:cs="Times New Roman"/>
          <w:lang w:val="fr-CA"/>
        </w:rPr>
        <w:t xml:space="preserve">L’arrêt </w:t>
      </w:r>
      <w:r w:rsidRPr="0092652F">
        <w:rPr>
          <w:rFonts w:cs="Times New Roman"/>
          <w:i/>
          <w:lang w:val="fr-CA"/>
        </w:rPr>
        <w:t>Seidel</w:t>
      </w:r>
    </w:p>
    <w:p w:rsidR="00B618DD" w:rsidRPr="0092652F" w:rsidRDefault="00B618DD" w:rsidP="00B618DD">
      <w:pPr>
        <w:pStyle w:val="ParaNoNdepar-AltN"/>
        <w:rPr>
          <w:rFonts w:cs="Times New Roman"/>
          <w:lang w:val="fr-CA" w:bidi="en-US"/>
        </w:rPr>
      </w:pPr>
      <w:r w:rsidRPr="0092652F">
        <w:rPr>
          <w:rFonts w:cs="Times New Roman"/>
          <w:iCs/>
          <w:lang w:val="fr-CA" w:bidi="en-US"/>
        </w:rPr>
        <w:t xml:space="preserve">L’arrêt </w:t>
      </w:r>
      <w:r w:rsidRPr="0092652F">
        <w:rPr>
          <w:rFonts w:cs="Times New Roman"/>
          <w:i/>
          <w:iCs/>
          <w:lang w:val="fr-CA" w:bidi="en-US"/>
        </w:rPr>
        <w:t>Seidel</w:t>
      </w:r>
      <w:r w:rsidRPr="0092652F">
        <w:rPr>
          <w:rFonts w:cs="Times New Roman"/>
          <w:iCs/>
          <w:lang w:val="fr-CA" w:bidi="en-US"/>
        </w:rPr>
        <w:t xml:space="preserve">, qui a été rendu peu de temps après la décision </w:t>
      </w:r>
      <w:r w:rsidRPr="0092652F">
        <w:rPr>
          <w:rFonts w:cs="Times New Roman"/>
          <w:i/>
          <w:iCs/>
          <w:lang w:val="fr-CA" w:bidi="en-US"/>
        </w:rPr>
        <w:t>Griffin</w:t>
      </w:r>
      <w:r w:rsidRPr="0092652F">
        <w:rPr>
          <w:rFonts w:cs="Times New Roman"/>
          <w:iCs/>
          <w:lang w:val="fr-CA" w:bidi="en-US"/>
        </w:rPr>
        <w:t>, portait sur un recours collectif projeté déposé en Colombie</w:t>
      </w:r>
      <w:r w:rsidRPr="0092652F">
        <w:rPr>
          <w:rFonts w:cs="Times New Roman"/>
          <w:iCs/>
          <w:lang w:val="fr-CA" w:bidi="en-US"/>
        </w:rPr>
        <w:noBreakHyphen/>
        <w:t xml:space="preserve">Britannique contre TELUS. </w:t>
      </w:r>
      <w:r w:rsidRPr="0092652F">
        <w:rPr>
          <w:rFonts w:cs="Times New Roman"/>
          <w:lang w:val="fr-CA" w:bidi="en-US"/>
        </w:rPr>
        <w:t xml:space="preserve">Comme en l’espèce, le différend découlait de contrats de service de téléphonie cellulaire contenant une clause d’arbitrage. La demanderesse-représentante, une consommatrice, a invoqué diverses causes d’action, notamment un recours prévu par la </w:t>
      </w:r>
      <w:r w:rsidRPr="0092652F">
        <w:rPr>
          <w:rFonts w:cs="Times New Roman"/>
          <w:i/>
          <w:iCs/>
          <w:lang w:val="fr-CA" w:bidi="en-US"/>
        </w:rPr>
        <w:t xml:space="preserve">Business Practices and Consumer Protection </w:t>
      </w:r>
      <w:proofErr w:type="spellStart"/>
      <w:r w:rsidRPr="0092652F">
        <w:rPr>
          <w:rFonts w:cs="Times New Roman"/>
          <w:i/>
          <w:iCs/>
          <w:lang w:val="fr-CA" w:bidi="en-US"/>
        </w:rPr>
        <w:t>Act</w:t>
      </w:r>
      <w:proofErr w:type="spellEnd"/>
      <w:r w:rsidRPr="0092652F">
        <w:rPr>
          <w:rFonts w:cs="Times New Roman"/>
          <w:lang w:val="fr-CA" w:bidi="en-US"/>
        </w:rPr>
        <w:t>, S.B.C. 2004, c. 2</w:t>
      </w:r>
      <w:r>
        <w:rPr>
          <w:rFonts w:cs="Times New Roman"/>
          <w:lang w:val="fr-CA" w:bidi="en-US"/>
        </w:rPr>
        <w:t>,</w:t>
      </w:r>
      <w:r w:rsidRPr="0092652F">
        <w:rPr>
          <w:rFonts w:cs="Times New Roman"/>
          <w:lang w:val="fr-CA" w:bidi="en-US"/>
        </w:rPr>
        <w:t xml:space="preserve"> de la Colombie</w:t>
      </w:r>
      <w:r w:rsidRPr="0092652F">
        <w:rPr>
          <w:rFonts w:cs="Times New Roman"/>
          <w:lang w:val="fr-CA" w:bidi="en-US"/>
        </w:rPr>
        <w:noBreakHyphen/>
        <w:t>Britannique (« </w:t>
      </w:r>
      <w:r w:rsidRPr="0092652F">
        <w:rPr>
          <w:rFonts w:cs="Times New Roman"/>
          <w:i/>
          <w:iCs/>
          <w:lang w:val="fr-CA" w:bidi="en-US"/>
        </w:rPr>
        <w:t>BPCPA</w:t>
      </w:r>
      <w:r w:rsidRPr="0092652F">
        <w:rPr>
          <w:rFonts w:cs="Times New Roman"/>
          <w:iCs/>
          <w:lang w:val="fr-CA" w:bidi="en-US"/>
        </w:rPr>
        <w:t> »)</w:t>
      </w:r>
      <w:r w:rsidRPr="0092652F">
        <w:rPr>
          <w:rFonts w:cs="Times New Roman"/>
          <w:lang w:val="fr-CA" w:bidi="en-US"/>
        </w:rPr>
        <w:t xml:space="preserve">, prétendant que TELUS lui avait faussement indiqué, ainsi qu’à d’autres consommateurs, la façon dont elle calculait le temps d’antenne à des fins de facturation. L’article 172 de la </w:t>
      </w:r>
      <w:r w:rsidRPr="0092652F">
        <w:rPr>
          <w:rFonts w:cs="Times New Roman"/>
          <w:i/>
          <w:lang w:val="fr-CA" w:bidi="en-US"/>
        </w:rPr>
        <w:t xml:space="preserve">BPCPA </w:t>
      </w:r>
      <w:r w:rsidRPr="0092652F">
        <w:rPr>
          <w:rFonts w:cs="Times New Roman"/>
          <w:lang w:val="fr-CA" w:bidi="en-US"/>
        </w:rPr>
        <w:t xml:space="preserve">prévoit un recours suivant lequel une personne autre qu’un fournisseur peut intenter une action en vue de faire respecter les normes relatives à la protection des consommateurs prévues par la loi. L’article 3 consacre par ailleurs la nullité de toute entente entre les parties qui comporte une renonciation aux protections prévues par la </w:t>
      </w:r>
      <w:r w:rsidRPr="0092652F">
        <w:rPr>
          <w:rFonts w:cs="Times New Roman"/>
          <w:i/>
          <w:lang w:val="fr-CA" w:bidi="en-US"/>
        </w:rPr>
        <w:t>BPCPA</w:t>
      </w:r>
      <w:r w:rsidRPr="0092652F">
        <w:rPr>
          <w:rFonts w:cs="Times New Roman"/>
          <w:lang w:val="fr-CA" w:bidi="en-US"/>
        </w:rPr>
        <w:t>.</w:t>
      </w:r>
    </w:p>
    <w:p w:rsidR="00B618DD" w:rsidRPr="0092652F" w:rsidRDefault="00B618DD" w:rsidP="00B618DD">
      <w:pPr>
        <w:pStyle w:val="ParaNoNdepar-AltN"/>
        <w:rPr>
          <w:rFonts w:cs="Times New Roman"/>
          <w:lang w:val="fr-CA" w:bidi="en-US"/>
        </w:rPr>
      </w:pPr>
      <w:r w:rsidRPr="0092652F">
        <w:rPr>
          <w:rFonts w:cs="Times New Roman"/>
          <w:lang w:val="fr-CA" w:bidi="en-US"/>
        </w:rPr>
        <w:t xml:space="preserve">La demanderesse a présenté une demande en vue de faire certifier l’action comme recours collectif. En réponse, TELUS a cherché à obtenir le sursis de l’instance, en invoquant la clause d’arbitrage, mais aussi l’art. 15 de la </w:t>
      </w:r>
      <w:r w:rsidRPr="0092652F">
        <w:rPr>
          <w:rFonts w:cs="Times New Roman"/>
          <w:i/>
          <w:iCs/>
          <w:lang w:val="fr-CA" w:bidi="en-US"/>
        </w:rPr>
        <w:t xml:space="preserve">Commercial Arbitration </w:t>
      </w:r>
      <w:proofErr w:type="spellStart"/>
      <w:r w:rsidRPr="0092652F">
        <w:rPr>
          <w:rFonts w:cs="Times New Roman"/>
          <w:i/>
          <w:iCs/>
          <w:lang w:val="fr-CA" w:bidi="en-US"/>
        </w:rPr>
        <w:t>Act</w:t>
      </w:r>
      <w:proofErr w:type="spellEnd"/>
      <w:r w:rsidRPr="0092652F">
        <w:rPr>
          <w:rFonts w:cs="Times New Roman"/>
          <w:iCs/>
          <w:lang w:val="fr-CA" w:bidi="en-US"/>
        </w:rPr>
        <w:t>, R.S.B.C. 1996, c. 55</w:t>
      </w:r>
      <w:r>
        <w:rPr>
          <w:rFonts w:cs="Times New Roman"/>
          <w:iCs/>
          <w:lang w:val="fr-CA" w:bidi="en-US"/>
        </w:rPr>
        <w:t>,</w:t>
      </w:r>
      <w:r w:rsidRPr="0092652F">
        <w:rPr>
          <w:rFonts w:cs="Times New Roman"/>
          <w:iCs/>
          <w:lang w:val="fr-CA" w:bidi="en-US"/>
        </w:rPr>
        <w:t xml:space="preserve"> de la Colombie-Britannique (aujourd’hui intitulée </w:t>
      </w:r>
      <w:r w:rsidRPr="0092652F">
        <w:rPr>
          <w:rFonts w:cs="Times New Roman"/>
          <w:i/>
          <w:iCs/>
          <w:lang w:val="fr-CA" w:bidi="en-US"/>
        </w:rPr>
        <w:t xml:space="preserve">Arbitration </w:t>
      </w:r>
      <w:proofErr w:type="spellStart"/>
      <w:r w:rsidRPr="0092652F">
        <w:rPr>
          <w:rFonts w:cs="Times New Roman"/>
          <w:i/>
          <w:iCs/>
          <w:lang w:val="fr-CA" w:bidi="en-US"/>
        </w:rPr>
        <w:t>Act</w:t>
      </w:r>
      <w:proofErr w:type="spellEnd"/>
      <w:r w:rsidRPr="0092652F">
        <w:rPr>
          <w:rFonts w:cs="Times New Roman"/>
          <w:iCs/>
          <w:lang w:val="fr-CA" w:bidi="en-US"/>
        </w:rPr>
        <w:t>),</w:t>
      </w:r>
      <w:r w:rsidRPr="0092652F">
        <w:rPr>
          <w:rFonts w:cs="Times New Roman"/>
          <w:lang w:val="fr-CA" w:bidi="en-US"/>
        </w:rPr>
        <w:t xml:space="preserve"> qui prévoit que si une partie à une convention d’arbitrage intente contre une autre partie à la convention une action relative à une question qui devait être soumise à l’arbitrage, une partie à l’instance peut demander le sursis de cette dernière, et le tribunal doit accueillir cette demande à moins que la convention d’arbitrage soit nulle, inopérante ou non susceptible d’être exécutée.</w:t>
      </w:r>
    </w:p>
    <w:p w:rsidR="00B618DD" w:rsidRPr="0092652F" w:rsidRDefault="00B618DD" w:rsidP="00B618DD">
      <w:pPr>
        <w:pStyle w:val="ParaNoNdepar-AltN"/>
        <w:rPr>
          <w:rFonts w:cs="Times New Roman"/>
          <w:lang w:val="fr-CA"/>
        </w:rPr>
      </w:pPr>
      <w:r w:rsidRPr="0092652F">
        <w:rPr>
          <w:rFonts w:cs="Times New Roman"/>
          <w:lang w:val="fr-CA" w:bidi="en-US"/>
        </w:rPr>
        <w:t>Le juge des motions a rejeté la demande de sursis de TELUS. Selon lui, il était prématuré de décider s’il fallait surseoir à l’action tant qu’il n’avait pas été statué sur la demande de certification. La Cour d’appel de la Colombie</w:t>
      </w:r>
      <w:r w:rsidRPr="0092652F">
        <w:rPr>
          <w:rFonts w:cs="Times New Roman"/>
          <w:lang w:val="fr-CA" w:bidi="en-US"/>
        </w:rPr>
        <w:noBreakHyphen/>
        <w:t>Britannique a accueilli l’appel de TELUS et ordonné le sursis de l’action dans sa totalité. La demanderesse a interjeté appel.</w:t>
      </w:r>
    </w:p>
    <w:p w:rsidR="00B618DD" w:rsidRPr="0092652F" w:rsidRDefault="00B618DD" w:rsidP="00B618DD">
      <w:pPr>
        <w:pStyle w:val="ParaNoNdepar-AltN"/>
        <w:rPr>
          <w:rFonts w:cs="Times New Roman"/>
          <w:lang w:val="fr-CA"/>
        </w:rPr>
      </w:pPr>
      <w:r w:rsidRPr="0092652F">
        <w:rPr>
          <w:rFonts w:cs="Times New Roman"/>
          <w:lang w:val="fr-CA" w:bidi="en-US"/>
        </w:rPr>
        <w:t xml:space="preserve">Le juge </w:t>
      </w:r>
      <w:proofErr w:type="spellStart"/>
      <w:r w:rsidRPr="0092652F">
        <w:rPr>
          <w:rFonts w:cs="Times New Roman"/>
          <w:lang w:val="fr-CA" w:bidi="en-US"/>
        </w:rPr>
        <w:t>Binnie</w:t>
      </w:r>
      <w:proofErr w:type="spellEnd"/>
      <w:r w:rsidRPr="0092652F">
        <w:rPr>
          <w:rFonts w:cs="Times New Roman"/>
          <w:lang w:val="fr-CA" w:bidi="en-US"/>
        </w:rPr>
        <w:t xml:space="preserve">, s’exprimant au nom des cinq juges majoritaires, a accueilli le pourvoi en partie et levé le sursis relativement aux réclamations de la demanderesse fondées sur l’art. 172 de la </w:t>
      </w:r>
      <w:r w:rsidRPr="0092652F">
        <w:rPr>
          <w:rFonts w:cs="Times New Roman"/>
          <w:i/>
          <w:lang w:val="fr-CA" w:bidi="en-US"/>
        </w:rPr>
        <w:t>BPCPA</w:t>
      </w:r>
      <w:r w:rsidRPr="0092652F">
        <w:rPr>
          <w:rFonts w:cs="Times New Roman"/>
          <w:lang w:val="fr-CA" w:bidi="en-US"/>
        </w:rPr>
        <w:t xml:space="preserve">. Au début de ses motifs, le juge </w:t>
      </w:r>
      <w:proofErr w:type="spellStart"/>
      <w:r w:rsidRPr="0092652F">
        <w:rPr>
          <w:rFonts w:cs="Times New Roman"/>
          <w:lang w:val="fr-CA" w:bidi="en-US"/>
        </w:rPr>
        <w:t>Binnie</w:t>
      </w:r>
      <w:proofErr w:type="spellEnd"/>
      <w:r w:rsidRPr="0092652F">
        <w:rPr>
          <w:rFonts w:cs="Times New Roman"/>
          <w:lang w:val="fr-CA" w:bidi="en-US"/>
        </w:rPr>
        <w:t xml:space="preserve"> a décrit l’approche qu’il convient d’appliquer pour juger de la validité et du caractère exécutoire des clauses d’arbitrage figurant dans les contrats commerciaux :</w:t>
      </w:r>
    </w:p>
    <w:p w:rsidR="00B618DD" w:rsidRPr="0092652F" w:rsidRDefault="00B618DD" w:rsidP="00B618DD">
      <w:pPr>
        <w:pStyle w:val="CITATION"/>
        <w:tabs>
          <w:tab w:val="left" w:pos="1620"/>
        </w:tabs>
        <w:spacing w:after="240"/>
        <w:ind w:left="1166" w:right="-86" w:firstLine="4"/>
        <w:rPr>
          <w:rFonts w:cs="Times New Roman"/>
          <w:lang w:val="fr-CA"/>
        </w:rPr>
      </w:pPr>
      <w:r w:rsidRPr="0092652F">
        <w:rPr>
          <w:rFonts w:cs="Times New Roman"/>
          <w:lang w:val="fr-CA"/>
        </w:rPr>
        <w:tab/>
        <w:t xml:space="preserve">La décision de restreindre ou non les clauses d’arbitrage dans les contrats de consommation revient à la législature. En l’absence d’intervention de la législature, les tribunaux donnent généralement effet aux clauses d’un contrat commercial librement conclu dans lequel figure une clause d’arbitrage, et ce, même s’il s’agit d’un contrat d’adhésion. Le présent pourvoi soulève la question importante de savoir si la législature a exprimé, dans la </w:t>
      </w:r>
      <w:r w:rsidRPr="0092652F">
        <w:rPr>
          <w:rFonts w:cs="Times New Roman"/>
          <w:i/>
          <w:lang w:val="fr-CA"/>
        </w:rPr>
        <w:t>BPCPA</w:t>
      </w:r>
      <w:r w:rsidRPr="0092652F">
        <w:rPr>
          <w:rFonts w:cs="Times New Roman"/>
          <w:lang w:val="fr-CA"/>
        </w:rPr>
        <w:t>, la volonté d’intervenir dans les rapports commerciaux pour libérer les consommateurs de leur engagement contractuel de soumettre leur éventuel litige à une médiation ou à un arbitrage « </w:t>
      </w:r>
      <w:proofErr w:type="spellStart"/>
      <w:r w:rsidRPr="0092652F">
        <w:rPr>
          <w:rFonts w:cs="Times New Roman"/>
          <w:lang w:val="fr-CA"/>
        </w:rPr>
        <w:t>priv</w:t>
      </w:r>
      <w:proofErr w:type="spellEnd"/>
      <w:r w:rsidRPr="0092652F">
        <w:rPr>
          <w:rFonts w:cs="Times New Roman"/>
          <w:lang w:val="fr-CA"/>
        </w:rPr>
        <w:t xml:space="preserve">[é] et </w:t>
      </w:r>
      <w:proofErr w:type="spellStart"/>
      <w:proofErr w:type="gramStart"/>
      <w:r w:rsidRPr="0092652F">
        <w:rPr>
          <w:rFonts w:cs="Times New Roman"/>
          <w:lang w:val="fr-CA"/>
        </w:rPr>
        <w:t>confidenti</w:t>
      </w:r>
      <w:proofErr w:type="spellEnd"/>
      <w:r w:rsidRPr="0092652F">
        <w:rPr>
          <w:rFonts w:cs="Times New Roman"/>
          <w:lang w:val="fr-CA"/>
        </w:rPr>
        <w:t>[</w:t>
      </w:r>
      <w:proofErr w:type="gramEnd"/>
      <w:r w:rsidRPr="0092652F">
        <w:rPr>
          <w:rFonts w:cs="Times New Roman"/>
          <w:lang w:val="fr-CA"/>
        </w:rPr>
        <w:t>el] » et, si oui, dans quelles circonstances.</w:t>
      </w:r>
    </w:p>
    <w:p w:rsidR="00B618DD" w:rsidRPr="0092652F" w:rsidRDefault="00B618DD" w:rsidP="00B618DD">
      <w:pPr>
        <w:pStyle w:val="CITATION"/>
        <w:tabs>
          <w:tab w:val="left" w:pos="1170"/>
          <w:tab w:val="left" w:pos="1620"/>
        </w:tabs>
        <w:spacing w:after="720"/>
        <w:ind w:left="1170" w:right="-84" w:hanging="641"/>
        <w:rPr>
          <w:rFonts w:cs="Times New Roman"/>
          <w:lang w:val="fr-CA"/>
        </w:rPr>
      </w:pPr>
      <w:r w:rsidRPr="0092652F">
        <w:rPr>
          <w:rFonts w:cs="Times New Roman"/>
          <w:shd w:val="clear" w:color="auto" w:fill="FFFFFF"/>
          <w:lang w:val="fr-CA"/>
        </w:rPr>
        <w:tab/>
      </w:r>
      <w:r w:rsidRPr="0092652F">
        <w:rPr>
          <w:rFonts w:cs="Times New Roman"/>
          <w:shd w:val="clear" w:color="auto" w:fill="FFFFFF"/>
          <w:lang w:val="fr-CA"/>
        </w:rPr>
        <w:tab/>
        <w:t>. . . Avec égards, j’estime qu’il ne revient pas à la Cour de promouvoir ou de critiquer l’arbitrage privé et confidentiel; il revient à la Cour de donner effet à l’intention exprimée par la législature dans les dispositions de ses lois. [par. 2</w:t>
      </w:r>
      <w:r w:rsidRPr="0092652F">
        <w:rPr>
          <w:rFonts w:cs="Times New Roman"/>
          <w:shd w:val="clear" w:color="auto" w:fill="FFFFFF"/>
          <w:lang w:val="fr-CA"/>
        </w:rPr>
        <w:noBreakHyphen/>
        <w:t>3]</w:t>
      </w:r>
    </w:p>
    <w:p w:rsidR="00B618DD" w:rsidRPr="0092652F" w:rsidRDefault="00B618DD" w:rsidP="00B618DD">
      <w:pPr>
        <w:pStyle w:val="ParaNoNdepar-AltN"/>
        <w:rPr>
          <w:rFonts w:cs="Times New Roman"/>
          <w:lang w:val="fr-CA"/>
        </w:rPr>
      </w:pPr>
      <w:r w:rsidRPr="0092652F">
        <w:rPr>
          <w:rFonts w:cs="Times New Roman"/>
          <w:lang w:val="fr-CA" w:bidi="en-US"/>
        </w:rPr>
        <w:t xml:space="preserve">Le juge </w:t>
      </w:r>
      <w:proofErr w:type="spellStart"/>
      <w:r w:rsidRPr="0092652F">
        <w:rPr>
          <w:rFonts w:cs="Times New Roman"/>
          <w:lang w:val="fr-CA" w:bidi="en-US"/>
        </w:rPr>
        <w:t>Binnie</w:t>
      </w:r>
      <w:proofErr w:type="spellEnd"/>
      <w:r w:rsidRPr="0092652F">
        <w:rPr>
          <w:rFonts w:cs="Times New Roman"/>
          <w:lang w:val="fr-CA" w:bidi="en-US"/>
        </w:rPr>
        <w:t xml:space="preserve"> a reconnu que « [l]es avantages de l’arbitrage commercial ont été reconnus et accueillis favorablement par </w:t>
      </w:r>
      <w:r>
        <w:rPr>
          <w:rFonts w:cs="Times New Roman"/>
          <w:lang w:val="fr-CA" w:bidi="en-US"/>
        </w:rPr>
        <w:t>notre</w:t>
      </w:r>
      <w:r w:rsidRPr="0092652F">
        <w:rPr>
          <w:rFonts w:cs="Times New Roman"/>
          <w:lang w:val="fr-CA" w:bidi="en-US"/>
        </w:rPr>
        <w:t xml:space="preserve"> Cour » (par. 23, citant </w:t>
      </w:r>
      <w:r w:rsidRPr="0092652F">
        <w:rPr>
          <w:rFonts w:cs="Times New Roman"/>
          <w:i/>
          <w:iCs/>
          <w:lang w:val="fr-CA" w:bidi="en-US"/>
        </w:rPr>
        <w:t>Dell Computer Corp. c. Union des consommateurs</w:t>
      </w:r>
      <w:r w:rsidRPr="0092652F">
        <w:rPr>
          <w:rFonts w:cs="Times New Roman"/>
          <w:lang w:val="fr-CA" w:bidi="en-US"/>
        </w:rPr>
        <w:t>, 2007 CSC 34, [2007] 2 R.C.S. 801;</w:t>
      </w:r>
      <w:r w:rsidRPr="0092652F">
        <w:rPr>
          <w:rFonts w:eastAsia="Times New Roman" w:cs="Times New Roman"/>
          <w:i/>
          <w:iCs/>
          <w:szCs w:val="24"/>
          <w:lang w:val="fr-CA" w:eastAsia="en-CA"/>
        </w:rPr>
        <w:t xml:space="preserve"> </w:t>
      </w:r>
      <w:r w:rsidRPr="0092652F">
        <w:rPr>
          <w:rFonts w:cs="Times New Roman"/>
          <w:i/>
          <w:iCs/>
          <w:lang w:val="fr-CA" w:bidi="en-US"/>
        </w:rPr>
        <w:t>Rogers Sans</w:t>
      </w:r>
      <w:r w:rsidRPr="0092652F">
        <w:rPr>
          <w:rFonts w:cs="Times New Roman"/>
          <w:i/>
          <w:iCs/>
          <w:lang w:val="fr-CA" w:bidi="en-US"/>
        </w:rPr>
        <w:noBreakHyphen/>
        <w:t xml:space="preserve">fil </w:t>
      </w:r>
      <w:proofErr w:type="spellStart"/>
      <w:r w:rsidRPr="0092652F">
        <w:rPr>
          <w:rFonts w:cs="Times New Roman"/>
          <w:i/>
          <w:iCs/>
          <w:lang w:val="fr-CA" w:bidi="en-US"/>
        </w:rPr>
        <w:t>inc.</w:t>
      </w:r>
      <w:proofErr w:type="spellEnd"/>
      <w:r w:rsidRPr="0092652F">
        <w:rPr>
          <w:rFonts w:cs="Times New Roman"/>
          <w:i/>
          <w:iCs/>
          <w:lang w:val="fr-CA" w:bidi="en-US"/>
        </w:rPr>
        <w:t xml:space="preserve"> c. </w:t>
      </w:r>
      <w:proofErr w:type="spellStart"/>
      <w:r w:rsidRPr="0092652F">
        <w:rPr>
          <w:rFonts w:cs="Times New Roman"/>
          <w:i/>
          <w:iCs/>
          <w:lang w:val="fr-CA" w:bidi="en-US"/>
        </w:rPr>
        <w:t>Muroff</w:t>
      </w:r>
      <w:proofErr w:type="spellEnd"/>
      <w:r w:rsidRPr="0092652F">
        <w:rPr>
          <w:rFonts w:cs="Times New Roman"/>
          <w:lang w:val="fr-CA" w:bidi="en-US"/>
        </w:rPr>
        <w:t xml:space="preserve">, 2007 CSC 35, [2007] 2 R.C.S. 921; </w:t>
      </w:r>
      <w:proofErr w:type="spellStart"/>
      <w:r w:rsidRPr="0092652F">
        <w:rPr>
          <w:rFonts w:cs="Times New Roman"/>
          <w:i/>
          <w:lang w:val="fr-CA" w:bidi="en-US"/>
        </w:rPr>
        <w:t>Bisaillon</w:t>
      </w:r>
      <w:proofErr w:type="spellEnd"/>
      <w:r w:rsidRPr="0092652F">
        <w:rPr>
          <w:rFonts w:cs="Times New Roman"/>
          <w:lang w:val="fr-CA" w:bidi="en-US"/>
        </w:rPr>
        <w:t xml:space="preserve">; </w:t>
      </w:r>
      <w:proofErr w:type="spellStart"/>
      <w:r w:rsidRPr="0092652F">
        <w:rPr>
          <w:rFonts w:cs="Times New Roman"/>
          <w:i/>
          <w:iCs/>
          <w:lang w:val="fr-CA" w:bidi="en-US"/>
        </w:rPr>
        <w:t>GreCon</w:t>
      </w:r>
      <w:proofErr w:type="spellEnd"/>
      <w:r w:rsidRPr="0092652F">
        <w:rPr>
          <w:rFonts w:cs="Times New Roman"/>
          <w:i/>
          <w:iCs/>
          <w:lang w:val="fr-CA" w:bidi="en-US"/>
        </w:rPr>
        <w:t xml:space="preserve"> </w:t>
      </w:r>
      <w:proofErr w:type="spellStart"/>
      <w:r w:rsidRPr="0092652F">
        <w:rPr>
          <w:rFonts w:cs="Times New Roman"/>
          <w:i/>
          <w:iCs/>
          <w:lang w:val="fr-CA" w:bidi="en-US"/>
        </w:rPr>
        <w:t>Dimter</w:t>
      </w:r>
      <w:proofErr w:type="spellEnd"/>
      <w:r w:rsidRPr="0092652F">
        <w:rPr>
          <w:rFonts w:cs="Times New Roman"/>
          <w:i/>
          <w:iCs/>
          <w:lang w:val="fr-CA" w:bidi="en-US"/>
        </w:rPr>
        <w:t xml:space="preserve"> </w:t>
      </w:r>
      <w:proofErr w:type="spellStart"/>
      <w:r w:rsidRPr="0092652F">
        <w:rPr>
          <w:rFonts w:cs="Times New Roman"/>
          <w:i/>
          <w:iCs/>
          <w:lang w:val="fr-CA" w:bidi="en-US"/>
        </w:rPr>
        <w:t>inc.</w:t>
      </w:r>
      <w:proofErr w:type="spellEnd"/>
      <w:r w:rsidRPr="0092652F">
        <w:rPr>
          <w:rFonts w:cs="Times New Roman"/>
          <w:i/>
          <w:iCs/>
          <w:lang w:val="fr-CA" w:bidi="en-US"/>
        </w:rPr>
        <w:t xml:space="preserve"> c. J.R. Normand </w:t>
      </w:r>
      <w:proofErr w:type="spellStart"/>
      <w:r w:rsidRPr="0092652F">
        <w:rPr>
          <w:rFonts w:cs="Times New Roman"/>
          <w:i/>
          <w:iCs/>
          <w:lang w:val="fr-CA" w:bidi="en-US"/>
        </w:rPr>
        <w:t>inc.</w:t>
      </w:r>
      <w:proofErr w:type="spellEnd"/>
      <w:r w:rsidRPr="0092652F">
        <w:rPr>
          <w:rFonts w:cs="Times New Roman"/>
          <w:lang w:val="fr-CA" w:bidi="en-US"/>
        </w:rPr>
        <w:t xml:space="preserve">, 2005 CSC 46, [2005] 2 R.C.S. 401; </w:t>
      </w:r>
      <w:proofErr w:type="spellStart"/>
      <w:r w:rsidRPr="0092652F">
        <w:rPr>
          <w:rFonts w:cs="Times New Roman"/>
          <w:i/>
          <w:iCs/>
          <w:lang w:val="fr-CA" w:bidi="en-US"/>
        </w:rPr>
        <w:t>Desputeaux</w:t>
      </w:r>
      <w:proofErr w:type="spellEnd"/>
      <w:r w:rsidRPr="0092652F">
        <w:rPr>
          <w:rFonts w:cs="Times New Roman"/>
          <w:i/>
          <w:iCs/>
          <w:lang w:val="fr-CA" w:bidi="en-US"/>
        </w:rPr>
        <w:t xml:space="preserve"> c. Éditions Chouette (1987) </w:t>
      </w:r>
      <w:proofErr w:type="spellStart"/>
      <w:r w:rsidRPr="0092652F">
        <w:rPr>
          <w:rFonts w:cs="Times New Roman"/>
          <w:i/>
          <w:iCs/>
          <w:lang w:val="fr-CA" w:bidi="en-US"/>
        </w:rPr>
        <w:t>inc.</w:t>
      </w:r>
      <w:proofErr w:type="spellEnd"/>
      <w:r w:rsidRPr="0092652F">
        <w:rPr>
          <w:rFonts w:cs="Times New Roman"/>
          <w:lang w:val="fr-CA" w:bidi="en-US"/>
        </w:rPr>
        <w:t xml:space="preserve">, 2003 CSC 17, [2003] 1 R.C.S. 178). Il a toutefois fait remarquer que, du point de vue de la </w:t>
      </w:r>
      <w:r w:rsidRPr="0092652F">
        <w:rPr>
          <w:rFonts w:cs="Times New Roman"/>
          <w:i/>
          <w:iCs/>
          <w:lang w:val="fr-CA" w:bidi="en-US"/>
        </w:rPr>
        <w:t>BPCPA</w:t>
      </w:r>
      <w:r w:rsidRPr="0092652F">
        <w:rPr>
          <w:rFonts w:cs="Times New Roman"/>
          <w:lang w:val="fr-CA" w:bidi="en-US"/>
        </w:rPr>
        <w:t>, « il ne fait guère de doute que » l’arbitrage privé, confidentiel et final « freinera au lieu de favoriser la publicité à grande échelle visant les pratiques de commerce trompeuses ou abusives (et, par conséquent, la prévention de celles</w:t>
      </w:r>
      <w:r w:rsidRPr="0092652F">
        <w:rPr>
          <w:rFonts w:cs="Times New Roman"/>
          <w:lang w:val="fr-CA" w:bidi="en-US"/>
        </w:rPr>
        <w:noBreakHyphen/>
        <w:t xml:space="preserve">ci) » (par. 24). Il a ajouté que plusieurs provinces sont intervenues en assujettissant les clauses d’arbitrage figurant dans les contrats de consommation à des restrictions. Ainsi, comme le juge </w:t>
      </w:r>
      <w:proofErr w:type="spellStart"/>
      <w:r w:rsidRPr="0092652F">
        <w:rPr>
          <w:rFonts w:cs="Times New Roman"/>
          <w:lang w:val="fr-CA" w:bidi="en-US"/>
        </w:rPr>
        <w:t>Binnie</w:t>
      </w:r>
      <w:proofErr w:type="spellEnd"/>
      <w:r w:rsidRPr="0092652F">
        <w:rPr>
          <w:rFonts w:cs="Times New Roman"/>
          <w:lang w:val="fr-CA" w:bidi="en-US"/>
        </w:rPr>
        <w:t xml:space="preserve"> l’a indiqué, la question de fond dans cet appel consistait à savoir « si, selon les règles d’interprétation législative, l’art. 172 de la </w:t>
      </w:r>
      <w:r w:rsidRPr="0092652F">
        <w:rPr>
          <w:rFonts w:cs="Times New Roman"/>
          <w:i/>
          <w:iCs/>
          <w:lang w:val="fr-CA" w:bidi="en-US"/>
        </w:rPr>
        <w:t>BPCPA</w:t>
      </w:r>
      <w:r w:rsidRPr="0092652F">
        <w:rPr>
          <w:rFonts w:cs="Times New Roman"/>
          <w:lang w:val="fr-CA" w:bidi="en-US"/>
        </w:rPr>
        <w:t> contient une restriction de cette nature et, dans l’affirmative, quelle en est la portée et l’effet sur l’action de M</w:t>
      </w:r>
      <w:r w:rsidRPr="0092652F">
        <w:rPr>
          <w:rFonts w:cs="Times New Roman"/>
          <w:vertAlign w:val="superscript"/>
          <w:lang w:val="fr-CA" w:bidi="en-US"/>
        </w:rPr>
        <w:t>me </w:t>
      </w:r>
      <w:r w:rsidRPr="0092652F">
        <w:rPr>
          <w:rFonts w:cs="Times New Roman"/>
          <w:lang w:val="fr-CA" w:bidi="en-US"/>
        </w:rPr>
        <w:t>Seidel » (par. 26).</w:t>
      </w:r>
    </w:p>
    <w:p w:rsidR="00B618DD" w:rsidRPr="0092652F" w:rsidRDefault="00B618DD" w:rsidP="00B618DD">
      <w:pPr>
        <w:pStyle w:val="ParaNoNdepar-AltN"/>
        <w:rPr>
          <w:rFonts w:cs="Times New Roman"/>
          <w:lang w:val="fr-CA"/>
        </w:rPr>
      </w:pPr>
      <w:r w:rsidRPr="0092652F">
        <w:rPr>
          <w:rFonts w:cs="Times New Roman"/>
          <w:lang w:val="fr-CA" w:bidi="en-US"/>
        </w:rPr>
        <w:t>Après avoi</w:t>
      </w:r>
      <w:r>
        <w:rPr>
          <w:rFonts w:cs="Times New Roman"/>
          <w:lang w:val="fr-CA" w:bidi="en-US"/>
        </w:rPr>
        <w:t>r interprété l’art.</w:t>
      </w:r>
      <w:r w:rsidRPr="0092652F">
        <w:rPr>
          <w:rFonts w:cs="Times New Roman"/>
          <w:lang w:val="fr-CA" w:bidi="en-US"/>
        </w:rPr>
        <w:t xml:space="preserve"> 172 de la </w:t>
      </w:r>
      <w:r w:rsidRPr="0092652F">
        <w:rPr>
          <w:rFonts w:cs="Times New Roman"/>
          <w:i/>
          <w:lang w:val="fr-CA" w:bidi="en-US"/>
        </w:rPr>
        <w:t>BPCPA</w:t>
      </w:r>
      <w:r w:rsidRPr="0092652F">
        <w:rPr>
          <w:rFonts w:cs="Times New Roman"/>
          <w:lang w:val="fr-CA" w:bidi="en-US"/>
        </w:rPr>
        <w:t xml:space="preserve"> de manière textuelle, contextuelle et téléologique, le juge </w:t>
      </w:r>
      <w:proofErr w:type="spellStart"/>
      <w:r w:rsidRPr="0092652F">
        <w:rPr>
          <w:rFonts w:cs="Times New Roman"/>
          <w:lang w:val="fr-CA" w:bidi="en-US"/>
        </w:rPr>
        <w:t>Binnie</w:t>
      </w:r>
      <w:proofErr w:type="spellEnd"/>
      <w:r w:rsidRPr="0092652F">
        <w:rPr>
          <w:rFonts w:cs="Times New Roman"/>
          <w:lang w:val="fr-CA" w:bidi="en-US"/>
        </w:rPr>
        <w:t xml:space="preserve"> a conclu que cette disposition « constitue une dérogation législative à la liberté des parties de choisir l’arbitrage » (par. 40)</w:t>
      </w:r>
      <w:r w:rsidRPr="0092652F">
        <w:rPr>
          <w:rFonts w:cs="Times New Roman"/>
          <w:lang w:val="fr-CA" w:bidi="en-CA"/>
        </w:rPr>
        <w:t>, et il a précisé qu’il s’agit d’une « mesure d’intérêt public » (par. 36). Il a toutefois fait remarquer que cette « dérogation législative » était incomplète. En effet, contrairement à ceux d’autres provinces, « le législateur de la C.</w:t>
      </w:r>
      <w:r w:rsidRPr="0092652F">
        <w:rPr>
          <w:rFonts w:cs="Times New Roman"/>
          <w:lang w:val="fr-CA" w:bidi="en-CA"/>
        </w:rPr>
        <w:noBreakHyphen/>
        <w:t>B. a choisi de faire en sorte que seuls certains types de réclamations soient réservés aux tribunaux, et de laisser les parties s’entendre sur la manière de régler les autres » (par. 40). Il a souligné que « les tribunaux sont tenus de donner effet à ce choix législatif » (par. 40).</w:t>
      </w:r>
    </w:p>
    <w:p w:rsidR="00B618DD" w:rsidRPr="0092652F" w:rsidRDefault="00B618DD" w:rsidP="00B618DD">
      <w:pPr>
        <w:pStyle w:val="ParaNoNdepar-AltN"/>
        <w:rPr>
          <w:rFonts w:cs="Times New Roman"/>
          <w:lang w:val="fr-CA"/>
        </w:rPr>
      </w:pPr>
      <w:r w:rsidRPr="0092652F">
        <w:rPr>
          <w:rFonts w:cs="Times New Roman"/>
          <w:lang w:val="fr-CA"/>
        </w:rPr>
        <w:t xml:space="preserve">Le juge </w:t>
      </w:r>
      <w:proofErr w:type="spellStart"/>
      <w:r w:rsidRPr="0092652F">
        <w:rPr>
          <w:rFonts w:cs="Times New Roman"/>
          <w:lang w:val="fr-CA"/>
        </w:rPr>
        <w:t>Binnie</w:t>
      </w:r>
      <w:proofErr w:type="spellEnd"/>
      <w:r w:rsidRPr="0092652F">
        <w:rPr>
          <w:rFonts w:cs="Times New Roman"/>
          <w:lang w:val="fr-CA"/>
        </w:rPr>
        <w:t xml:space="preserve"> a précisé que ce résultat n’était pas incompatible avec les arrêts </w:t>
      </w:r>
      <w:r w:rsidRPr="0092652F">
        <w:rPr>
          <w:rFonts w:cs="Times New Roman"/>
          <w:i/>
          <w:lang w:val="fr-CA"/>
        </w:rPr>
        <w:t xml:space="preserve">Dell </w:t>
      </w:r>
      <w:r w:rsidRPr="0092652F">
        <w:rPr>
          <w:rFonts w:cs="Times New Roman"/>
          <w:lang w:val="fr-CA"/>
        </w:rPr>
        <w:t xml:space="preserve">et </w:t>
      </w:r>
      <w:r w:rsidRPr="0092652F">
        <w:rPr>
          <w:rFonts w:cs="Times New Roman"/>
          <w:i/>
          <w:iCs/>
          <w:lang w:val="fr-CA"/>
        </w:rPr>
        <w:t>Rogers</w:t>
      </w:r>
      <w:r>
        <w:rPr>
          <w:rFonts w:cs="Times New Roman"/>
          <w:iCs/>
          <w:lang w:val="fr-CA"/>
        </w:rPr>
        <w:t>,</w:t>
      </w:r>
      <w:r w:rsidRPr="0092652F">
        <w:rPr>
          <w:rFonts w:cs="Times New Roman"/>
          <w:lang w:val="fr-CA"/>
        </w:rPr>
        <w:t xml:space="preserve"> où la Cour avait rejeté, en raison de clauses d’arbitrage, la tentative de certains consommateurs d’engager des recours collectifs au Québec dans des litiges relatifs à des contrats de fourniture de produits. Il a expliqué que « [l]’issue de ces arrêts se fonde sur la législation québécoise » (par. 41); or, celle de la Colombie</w:t>
      </w:r>
      <w:r w:rsidRPr="0092652F">
        <w:rPr>
          <w:rFonts w:cs="Times New Roman"/>
          <w:lang w:val="fr-CA"/>
        </w:rPr>
        <w:noBreakHyphen/>
        <w:t xml:space="preserve">Britannique était différente et justifiait un résultat différent. À son avis il «  [fallait] simplement retenir de </w:t>
      </w:r>
      <w:r w:rsidRPr="0092652F">
        <w:rPr>
          <w:rFonts w:cs="Times New Roman"/>
          <w:i/>
          <w:lang w:val="fr-CA"/>
        </w:rPr>
        <w:t xml:space="preserve">Dell </w:t>
      </w:r>
      <w:r w:rsidRPr="0092652F">
        <w:rPr>
          <w:rFonts w:cs="Times New Roman"/>
          <w:lang w:val="fr-CA"/>
        </w:rPr>
        <w:t xml:space="preserve">et de </w:t>
      </w:r>
      <w:r w:rsidRPr="0092652F">
        <w:rPr>
          <w:rFonts w:cs="Times New Roman"/>
          <w:i/>
          <w:lang w:val="fr-CA"/>
        </w:rPr>
        <w:t>Rogers Sans</w:t>
      </w:r>
      <w:r w:rsidRPr="0092652F">
        <w:rPr>
          <w:rFonts w:cs="Times New Roman"/>
          <w:i/>
          <w:lang w:val="fr-CA"/>
        </w:rPr>
        <w:noBreakHyphen/>
        <w:t xml:space="preserve">fil </w:t>
      </w:r>
      <w:r w:rsidRPr="0092652F">
        <w:rPr>
          <w:rFonts w:cs="Times New Roman"/>
          <w:lang w:val="fr-CA"/>
        </w:rPr>
        <w:t xml:space="preserve">que, pour déterminer si et dans quelle mesure la liberté des parties de soumettre un litige à l’arbitrage est restreinte par la loi, il faut procéder à un examen attentif de la loi de l’instance où les consommateurs mécontents ont intenté leur action. </w:t>
      </w:r>
      <w:r w:rsidRPr="0092652F">
        <w:rPr>
          <w:rFonts w:cs="Times New Roman"/>
          <w:i/>
          <w:iCs/>
          <w:lang w:val="fr-CA" w:bidi="en-US"/>
        </w:rPr>
        <w:t>Dell</w:t>
      </w:r>
      <w:r w:rsidRPr="0092652F">
        <w:rPr>
          <w:rFonts w:cs="Times New Roman"/>
          <w:lang w:val="fr-CA" w:bidi="en-US"/>
        </w:rPr>
        <w:t> et </w:t>
      </w:r>
      <w:r w:rsidRPr="0092652F">
        <w:rPr>
          <w:rFonts w:cs="Times New Roman"/>
          <w:i/>
          <w:iCs/>
          <w:lang w:val="fr-CA" w:bidi="en-US"/>
        </w:rPr>
        <w:t>Rogers Sans</w:t>
      </w:r>
      <w:r w:rsidRPr="0092652F">
        <w:rPr>
          <w:rFonts w:cs="Times New Roman"/>
          <w:i/>
          <w:iCs/>
          <w:lang w:val="fr-CA" w:bidi="en-US"/>
        </w:rPr>
        <w:noBreakHyphen/>
        <w:t>fil</w:t>
      </w:r>
      <w:r w:rsidRPr="0092652F">
        <w:rPr>
          <w:rFonts w:cs="Times New Roman"/>
          <w:lang w:val="fr-CA" w:bidi="en-US"/>
        </w:rPr>
        <w:t xml:space="preserve"> posent le principe [. . .] selon lequel il y a lieu d’appliquer la clause d’arbitrage </w:t>
      </w:r>
      <w:r w:rsidRPr="0092652F">
        <w:rPr>
          <w:rFonts w:cs="Times New Roman"/>
          <w:i/>
          <w:lang w:val="fr-CA" w:bidi="en-US"/>
        </w:rPr>
        <w:t>en l’absence de disposition contraire de la loi</w:t>
      </w:r>
      <w:r w:rsidRPr="0092652F">
        <w:rPr>
          <w:rFonts w:cs="Times New Roman"/>
          <w:lang w:val="fr-CA" w:bidi="en-US"/>
        </w:rPr>
        <w:t> » (par. 42 (</w:t>
      </w:r>
      <w:r>
        <w:rPr>
          <w:rFonts w:cs="Times New Roman"/>
          <w:lang w:val="fr-CA" w:bidi="en-US"/>
        </w:rPr>
        <w:t xml:space="preserve">en </w:t>
      </w:r>
      <w:r w:rsidRPr="0092652F">
        <w:rPr>
          <w:rFonts w:cs="Times New Roman"/>
          <w:lang w:val="fr-CA" w:bidi="en-US"/>
        </w:rPr>
        <w:t>italique dans l’original)).</w:t>
      </w:r>
    </w:p>
    <w:p w:rsidR="00B618DD" w:rsidRPr="0092652F" w:rsidRDefault="00B618DD" w:rsidP="00B618DD">
      <w:pPr>
        <w:pStyle w:val="ParaNoNdepar-AltN"/>
        <w:rPr>
          <w:rFonts w:cs="Times New Roman"/>
          <w:lang w:val="fr-CA"/>
        </w:rPr>
      </w:pPr>
      <w:r w:rsidRPr="0092652F">
        <w:rPr>
          <w:rFonts w:cs="Times New Roman"/>
          <w:lang w:val="fr-CA" w:bidi="en-US"/>
        </w:rPr>
        <w:t xml:space="preserve">En définitive, les juges majoritaires ont accueilli l’appel en partie et permis à la demanderesse de poursuivre l’instance en ce qui concerne ses réclamations fondées sur l’art. 172 de la </w:t>
      </w:r>
      <w:r w:rsidRPr="0092652F">
        <w:rPr>
          <w:rFonts w:cs="Times New Roman"/>
          <w:i/>
          <w:lang w:val="fr-CA" w:bidi="en-US"/>
        </w:rPr>
        <w:t>BPCPA</w:t>
      </w:r>
      <w:r w:rsidRPr="0092652F">
        <w:rPr>
          <w:rFonts w:cs="Times New Roman"/>
          <w:lang w:val="fr-CA" w:bidi="en-US"/>
        </w:rPr>
        <w:t xml:space="preserve">. Ils ont toutefois confirmé le sursis en ce qui concerne ses autres réclamations fondées sur l’art. 15 de la </w:t>
      </w:r>
      <w:r w:rsidRPr="0092652F">
        <w:rPr>
          <w:rFonts w:cs="Times New Roman"/>
          <w:i/>
          <w:iCs/>
          <w:lang w:val="fr-CA" w:bidi="en-US"/>
        </w:rPr>
        <w:t xml:space="preserve">Commercial Arbitration </w:t>
      </w:r>
      <w:proofErr w:type="spellStart"/>
      <w:r w:rsidRPr="0092652F">
        <w:rPr>
          <w:rFonts w:cs="Times New Roman"/>
          <w:i/>
          <w:iCs/>
          <w:lang w:val="fr-CA" w:bidi="en-US"/>
        </w:rPr>
        <w:t>Act</w:t>
      </w:r>
      <w:proofErr w:type="spellEnd"/>
      <w:r w:rsidRPr="0092652F">
        <w:rPr>
          <w:rFonts w:cs="Times New Roman"/>
          <w:lang w:val="fr-CA" w:bidi="en-US"/>
        </w:rPr>
        <w:t xml:space="preserve">. Le juge </w:t>
      </w:r>
      <w:proofErr w:type="spellStart"/>
      <w:r w:rsidRPr="0092652F">
        <w:rPr>
          <w:rFonts w:cs="Times New Roman"/>
          <w:lang w:val="fr-CA" w:bidi="en-US"/>
        </w:rPr>
        <w:t>Binnie</w:t>
      </w:r>
      <w:proofErr w:type="spellEnd"/>
      <w:r w:rsidRPr="0092652F">
        <w:rPr>
          <w:rFonts w:cs="Times New Roman"/>
          <w:lang w:val="fr-CA" w:bidi="en-US"/>
        </w:rPr>
        <w:t xml:space="preserve"> a reconnu que, certes, ce dispositif pourrait donner lieu à des recours parallèles si les réclamations non fondées sur l’art. 172 étaient soumises à l’arbitrage. Il a toutefois fait remarquer qu’une « telle issue s’accorde avec le choix du législateur de la Colombie</w:t>
      </w:r>
      <w:r w:rsidRPr="0092652F">
        <w:rPr>
          <w:rFonts w:cs="Times New Roman"/>
          <w:lang w:val="fr-CA" w:bidi="en-US"/>
        </w:rPr>
        <w:noBreakHyphen/>
        <w:t>Britannique d’assortir l’art. 172 de limites aussi étroites » (par. 50).</w:t>
      </w:r>
    </w:p>
    <w:p w:rsidR="00B618DD" w:rsidRPr="0092652F" w:rsidRDefault="00B618DD" w:rsidP="00B618DD">
      <w:pPr>
        <w:pStyle w:val="ParaNoNdepar-AltN"/>
        <w:rPr>
          <w:rFonts w:cs="Times New Roman"/>
          <w:lang w:val="fr-CA"/>
        </w:rPr>
      </w:pPr>
      <w:r w:rsidRPr="0092652F">
        <w:rPr>
          <w:rFonts w:cs="Times New Roman"/>
          <w:bCs/>
          <w:lang w:val="fr-CA" w:bidi="en-US"/>
        </w:rPr>
        <w:t xml:space="preserve">Les juges </w:t>
      </w:r>
      <w:proofErr w:type="spellStart"/>
      <w:r w:rsidRPr="0092652F">
        <w:rPr>
          <w:rFonts w:cs="Times New Roman"/>
          <w:bCs/>
          <w:lang w:val="fr-CA" w:bidi="en-US"/>
        </w:rPr>
        <w:t>LeBel</w:t>
      </w:r>
      <w:proofErr w:type="spellEnd"/>
      <w:r w:rsidRPr="0092652F">
        <w:rPr>
          <w:rFonts w:cs="Times New Roman"/>
          <w:bCs/>
          <w:lang w:val="fr-CA" w:bidi="en-US"/>
        </w:rPr>
        <w:t xml:space="preserve"> et Deschamps, s’exprimant au nom des quatre juges dissidents, n’étaient pas convaincus que l’art. 172 de la </w:t>
      </w:r>
      <w:r w:rsidRPr="0092652F">
        <w:rPr>
          <w:rFonts w:cs="Times New Roman"/>
          <w:bCs/>
          <w:i/>
          <w:iCs/>
          <w:lang w:val="fr-CA" w:bidi="en-US"/>
        </w:rPr>
        <w:t>BPCPA</w:t>
      </w:r>
      <w:r w:rsidRPr="0092652F">
        <w:rPr>
          <w:rFonts w:cs="Times New Roman"/>
          <w:bCs/>
          <w:lang w:val="fr-CA" w:bidi="en-US"/>
        </w:rPr>
        <w:t> constituait une dérogation législative à la liberté des parties de choisir l’arbitrage (par. 161).</w:t>
      </w:r>
    </w:p>
    <w:p w:rsidR="00B618DD" w:rsidRPr="0092652F" w:rsidRDefault="00B618DD" w:rsidP="00B618DD">
      <w:pPr>
        <w:pStyle w:val="ParaNoNdepar-AltN"/>
        <w:rPr>
          <w:rFonts w:cs="Times New Roman"/>
          <w:lang w:val="fr-CA"/>
        </w:rPr>
      </w:pPr>
      <w:r w:rsidRPr="0092652F">
        <w:rPr>
          <w:rFonts w:cs="Times New Roman"/>
          <w:lang w:val="fr-CA" w:bidi="en-US"/>
        </w:rPr>
        <w:t xml:space="preserve">Ce qui ressort de l’arrêt </w:t>
      </w:r>
      <w:r w:rsidRPr="0092652F">
        <w:rPr>
          <w:rFonts w:cs="Times New Roman"/>
          <w:i/>
          <w:lang w:val="fr-CA" w:bidi="en-US"/>
        </w:rPr>
        <w:t>Seidel</w:t>
      </w:r>
      <w:r w:rsidRPr="0092652F">
        <w:rPr>
          <w:rFonts w:cs="Times New Roman"/>
          <w:lang w:val="fr-CA" w:bidi="en-US"/>
        </w:rPr>
        <w:t xml:space="preserve">, comme des arrêts </w:t>
      </w:r>
      <w:r w:rsidRPr="0092652F">
        <w:rPr>
          <w:rFonts w:cs="Times New Roman"/>
          <w:i/>
          <w:lang w:val="fr-CA" w:bidi="en-US"/>
        </w:rPr>
        <w:t xml:space="preserve">Dell </w:t>
      </w:r>
      <w:r w:rsidRPr="0092652F">
        <w:rPr>
          <w:rFonts w:cs="Times New Roman"/>
          <w:lang w:val="fr-CA" w:bidi="en-US"/>
        </w:rPr>
        <w:t xml:space="preserve">et </w:t>
      </w:r>
      <w:r w:rsidRPr="0092652F">
        <w:rPr>
          <w:rFonts w:cs="Times New Roman"/>
          <w:i/>
          <w:lang w:val="fr-CA" w:bidi="en-US"/>
        </w:rPr>
        <w:t>Rogers</w:t>
      </w:r>
      <w:r>
        <w:rPr>
          <w:rFonts w:cs="Times New Roman"/>
          <w:i/>
          <w:lang w:val="fr-CA" w:bidi="en-US"/>
        </w:rPr>
        <w:t xml:space="preserve"> </w:t>
      </w:r>
      <w:r w:rsidRPr="0092652F">
        <w:rPr>
          <w:rFonts w:cs="Times New Roman"/>
          <w:lang w:val="fr-CA" w:bidi="en-US"/>
        </w:rPr>
        <w:t xml:space="preserve">qui l’ont précédé, c’est que les clauses d’arbitrage, même celles qui figurent dans un contrat d’adhésion (par. 2), sont généralement appliquées « en l’absence de disposition contraire de la loi » (par. 42 (italique omis)). La Cour a donc pour tâche d’appliquer les principes d’interprétation législative pertinents et de décider si le libellé du par. 7(5) de la </w:t>
      </w:r>
      <w:r w:rsidRPr="0092652F">
        <w:rPr>
          <w:rFonts w:cs="Times New Roman"/>
          <w:i/>
          <w:lang w:val="fr-CA" w:bidi="en-US"/>
        </w:rPr>
        <w:t>Loi sur l’arbitrage</w:t>
      </w:r>
      <w:r w:rsidRPr="0092652F">
        <w:rPr>
          <w:rFonts w:cs="Times New Roman"/>
          <w:lang w:val="fr-CA" w:bidi="en-US"/>
        </w:rPr>
        <w:t>, qui n’a pas d’équivalent dans la loi de la Colombie</w:t>
      </w:r>
      <w:r w:rsidRPr="0092652F">
        <w:rPr>
          <w:rFonts w:cs="Times New Roman"/>
          <w:lang w:val="fr-CA" w:bidi="en-US"/>
        </w:rPr>
        <w:noBreakHyphen/>
        <w:t xml:space="preserve">Britannique en jeu dans l’arrêt </w:t>
      </w:r>
      <w:r w:rsidRPr="0092652F">
        <w:rPr>
          <w:rFonts w:cs="Times New Roman"/>
          <w:i/>
          <w:lang w:val="fr-CA" w:bidi="en-US"/>
        </w:rPr>
        <w:t>Seidel</w:t>
      </w:r>
      <w:r w:rsidRPr="0092652F">
        <w:rPr>
          <w:rFonts w:cs="Times New Roman"/>
          <w:lang w:val="fr-CA" w:bidi="en-US"/>
        </w:rPr>
        <w:t>, permet de déroger au principe selon lequel les clauses d’arbitrage sont généralement appliquées.</w:t>
      </w:r>
    </w:p>
    <w:p w:rsidR="00B618DD" w:rsidRPr="0092652F" w:rsidRDefault="00B618DD" w:rsidP="00B618DD">
      <w:pPr>
        <w:pStyle w:val="Title2LevelTitre2Niveau"/>
        <w:rPr>
          <w:rFonts w:cs="Times New Roman"/>
          <w:lang w:val="fr-CA"/>
        </w:rPr>
      </w:pPr>
      <w:bookmarkStart w:id="4" w:name="_Toc528049510"/>
      <w:r>
        <w:rPr>
          <w:rFonts w:cs="Times New Roman"/>
          <w:lang w:val="fr-CA"/>
        </w:rPr>
        <w:t>L’interprétation de l’art.</w:t>
      </w:r>
      <w:r w:rsidRPr="0092652F">
        <w:rPr>
          <w:rFonts w:cs="Times New Roman"/>
          <w:lang w:val="fr-CA"/>
        </w:rPr>
        <w:t> 7 de la Loi</w:t>
      </w:r>
      <w:bookmarkEnd w:id="4"/>
      <w:r w:rsidRPr="0092652F">
        <w:rPr>
          <w:rFonts w:cs="Times New Roman"/>
          <w:lang w:val="fr-CA"/>
        </w:rPr>
        <w:t xml:space="preserve"> sur l’arbitrage</w:t>
      </w:r>
    </w:p>
    <w:p w:rsidR="00B618DD" w:rsidRPr="0092652F" w:rsidRDefault="00B618DD" w:rsidP="00B618DD">
      <w:pPr>
        <w:pStyle w:val="ParaNoNdepar-AltN"/>
        <w:rPr>
          <w:rFonts w:cs="Times New Roman"/>
          <w:lang w:val="fr-CA"/>
        </w:rPr>
      </w:pPr>
      <w:r w:rsidRPr="0092652F">
        <w:rPr>
          <w:rFonts w:cs="Times New Roman"/>
          <w:lang w:val="fr-CA" w:bidi="en-US"/>
        </w:rPr>
        <w:t xml:space="preserve">Pour interpréter l’art. 7 de la </w:t>
      </w:r>
      <w:r w:rsidRPr="0092652F">
        <w:rPr>
          <w:rFonts w:cs="Times New Roman"/>
          <w:i/>
          <w:lang w:val="fr-CA" w:bidi="en-US"/>
        </w:rPr>
        <w:t>Loi sur l’arbitrage</w:t>
      </w:r>
      <w:r w:rsidRPr="0092652F">
        <w:rPr>
          <w:rFonts w:cs="Times New Roman"/>
          <w:lang w:val="fr-CA" w:bidi="en-US"/>
        </w:rPr>
        <w:t xml:space="preserve"> correctement, il faut appliquer la méthode moderne d’interprétation législative, soit en : «</w:t>
      </w:r>
      <w:r>
        <w:rPr>
          <w:rFonts w:cs="Times New Roman"/>
          <w:lang w:val="fr-CA" w:bidi="en-US"/>
        </w:rPr>
        <w:t xml:space="preserve"> . . .</w:t>
      </w:r>
      <w:r w:rsidRPr="0092652F">
        <w:rPr>
          <w:rFonts w:cs="Times New Roman"/>
          <w:lang w:val="fr-CA" w:bidi="en-US"/>
        </w:rPr>
        <w:t> lire les termes [. . .] dans leur contexte global en suivant le sens ordinaire et grammatical qui s’harmonise avec l’</w:t>
      </w:r>
      <w:r w:rsidRPr="0092652F">
        <w:rPr>
          <w:rFonts w:cs="Times New Roman"/>
          <w:lang w:val="fr-CA"/>
        </w:rPr>
        <w:t>[</w:t>
      </w:r>
      <w:r w:rsidRPr="0092652F">
        <w:rPr>
          <w:rFonts w:cs="Times New Roman"/>
          <w:lang w:val="fr-CA" w:bidi="en-US"/>
        </w:rPr>
        <w:t>économie</w:t>
      </w:r>
      <w:r>
        <w:rPr>
          <w:rFonts w:cs="Times New Roman"/>
          <w:lang w:val="fr-CA"/>
        </w:rPr>
        <w:t>]</w:t>
      </w:r>
      <w:r w:rsidRPr="0092652F">
        <w:rPr>
          <w:rFonts w:cs="Times New Roman"/>
          <w:lang w:val="fr-CA" w:bidi="en-US"/>
        </w:rPr>
        <w:t xml:space="preserve"> de la loi, </w:t>
      </w:r>
      <w:r>
        <w:rPr>
          <w:rFonts w:cs="Times New Roman"/>
          <w:lang w:val="fr-CA" w:bidi="en-US"/>
        </w:rPr>
        <w:t>l’</w:t>
      </w:r>
      <w:r w:rsidRPr="0092652F">
        <w:rPr>
          <w:rFonts w:cs="Times New Roman"/>
          <w:lang w:val="fr-CA" w:bidi="en-US"/>
        </w:rPr>
        <w:t>objet</w:t>
      </w:r>
      <w:r>
        <w:rPr>
          <w:rFonts w:cs="Times New Roman"/>
          <w:lang w:val="fr-CA" w:bidi="en-US"/>
        </w:rPr>
        <w:t xml:space="preserve"> de la loi</w:t>
      </w:r>
      <w:r w:rsidRPr="0092652F">
        <w:rPr>
          <w:rFonts w:cs="Times New Roman"/>
          <w:lang w:val="fr-CA" w:bidi="en-US"/>
        </w:rPr>
        <w:t xml:space="preserve"> et l’intention du législateur» (E. A. </w:t>
      </w:r>
      <w:proofErr w:type="spellStart"/>
      <w:r w:rsidRPr="0092652F">
        <w:rPr>
          <w:rFonts w:cs="Times New Roman"/>
          <w:lang w:val="fr-CA" w:bidi="en-US"/>
        </w:rPr>
        <w:t>Driedger</w:t>
      </w:r>
      <w:proofErr w:type="spellEnd"/>
      <w:r w:rsidRPr="0092652F">
        <w:rPr>
          <w:rFonts w:cs="Times New Roman"/>
          <w:lang w:val="fr-CA" w:bidi="en-US"/>
        </w:rPr>
        <w:t xml:space="preserve">, </w:t>
      </w:r>
      <w:r w:rsidRPr="0092652F">
        <w:rPr>
          <w:rFonts w:cs="Times New Roman"/>
          <w:i/>
          <w:iCs/>
          <w:lang w:val="fr-CA" w:bidi="en-US"/>
        </w:rPr>
        <w:t xml:space="preserve">Construction of </w:t>
      </w:r>
      <w:proofErr w:type="spellStart"/>
      <w:r w:rsidRPr="0092652F">
        <w:rPr>
          <w:rFonts w:cs="Times New Roman"/>
          <w:i/>
          <w:iCs/>
          <w:lang w:val="fr-CA" w:bidi="en-US"/>
        </w:rPr>
        <w:t>Statutes</w:t>
      </w:r>
      <w:proofErr w:type="spellEnd"/>
      <w:r w:rsidRPr="0092652F">
        <w:rPr>
          <w:rFonts w:cs="Times New Roman"/>
          <w:lang w:val="fr-CA" w:bidi="en-US"/>
        </w:rPr>
        <w:t> (2</w:t>
      </w:r>
      <w:r w:rsidRPr="0092652F">
        <w:rPr>
          <w:rFonts w:cs="Times New Roman"/>
          <w:vertAlign w:val="superscript"/>
          <w:lang w:val="fr-CA" w:bidi="en-US"/>
        </w:rPr>
        <w:t>e</w:t>
      </w:r>
      <w:r w:rsidRPr="0092652F">
        <w:rPr>
          <w:rFonts w:cs="Times New Roman"/>
          <w:lang w:val="fr-CA" w:bidi="en-US"/>
        </w:rPr>
        <w:t xml:space="preserve"> éd. 1983), p. 87; </w:t>
      </w:r>
      <w:r w:rsidRPr="0092652F">
        <w:rPr>
          <w:rFonts w:cs="Times New Roman"/>
          <w:i/>
          <w:iCs/>
          <w:lang w:val="fr-CA" w:bidi="en-US"/>
        </w:rPr>
        <w:t xml:space="preserve">Bell </w:t>
      </w:r>
      <w:proofErr w:type="spellStart"/>
      <w:r w:rsidRPr="0092652F">
        <w:rPr>
          <w:rFonts w:cs="Times New Roman"/>
          <w:i/>
          <w:iCs/>
          <w:lang w:val="fr-CA" w:bidi="en-US"/>
        </w:rPr>
        <w:t>ExpressVu</w:t>
      </w:r>
      <w:proofErr w:type="spellEnd"/>
      <w:r w:rsidRPr="0092652F">
        <w:rPr>
          <w:rFonts w:cs="Times New Roman"/>
          <w:i/>
          <w:iCs/>
          <w:lang w:val="fr-CA" w:bidi="en-US"/>
        </w:rPr>
        <w:t xml:space="preserve"> Limited </w:t>
      </w:r>
      <w:proofErr w:type="spellStart"/>
      <w:r w:rsidRPr="0092652F">
        <w:rPr>
          <w:rFonts w:cs="Times New Roman"/>
          <w:i/>
          <w:iCs/>
          <w:lang w:val="fr-CA" w:bidi="en-US"/>
        </w:rPr>
        <w:t>Partnership</w:t>
      </w:r>
      <w:proofErr w:type="spellEnd"/>
      <w:r w:rsidRPr="0092652F">
        <w:rPr>
          <w:rFonts w:cs="Times New Roman"/>
          <w:i/>
          <w:iCs/>
          <w:lang w:val="fr-CA" w:bidi="en-US"/>
        </w:rPr>
        <w:t xml:space="preserve"> c. Rex</w:t>
      </w:r>
      <w:r w:rsidRPr="0092652F">
        <w:rPr>
          <w:rFonts w:cs="Times New Roman"/>
          <w:lang w:val="fr-CA" w:bidi="en-US"/>
        </w:rPr>
        <w:t xml:space="preserve">, 2002 CSC 42, [2002] 2 R.C.S. 559, par. 26). Je précise que je m’inscris en faux contre le point de vue de mes collègues les juges Abella et </w:t>
      </w:r>
      <w:proofErr w:type="spellStart"/>
      <w:r w:rsidRPr="0092652F">
        <w:rPr>
          <w:rFonts w:cs="Times New Roman"/>
          <w:lang w:val="fr-CA" w:bidi="en-US"/>
        </w:rPr>
        <w:t>Karakatsanis</w:t>
      </w:r>
      <w:proofErr w:type="spellEnd"/>
      <w:r w:rsidRPr="0092652F">
        <w:rPr>
          <w:rFonts w:cs="Times New Roman"/>
          <w:lang w:val="fr-CA" w:bidi="en-US"/>
        </w:rPr>
        <w:t xml:space="preserve"> selon lesquelles l’analyse qui suit « représente en réalité </w:t>
      </w:r>
      <w:r>
        <w:rPr>
          <w:rFonts w:cs="Times New Roman"/>
          <w:lang w:val="fr-CA" w:bidi="en-US"/>
        </w:rPr>
        <w:t>le retour d</w:t>
      </w:r>
      <w:r w:rsidRPr="0092652F">
        <w:rPr>
          <w:rFonts w:cs="Times New Roman"/>
          <w:lang w:val="fr-CA" w:bidi="en-US"/>
        </w:rPr>
        <w:t xml:space="preserve">u </w:t>
      </w:r>
      <w:proofErr w:type="spellStart"/>
      <w:r w:rsidRPr="0092652F">
        <w:rPr>
          <w:rFonts w:cs="Times New Roman"/>
          <w:lang w:val="fr-CA" w:bidi="en-US"/>
        </w:rPr>
        <w:t>textualisme</w:t>
      </w:r>
      <w:proofErr w:type="spellEnd"/>
      <w:r w:rsidRPr="0092652F">
        <w:rPr>
          <w:rFonts w:cs="Times New Roman"/>
          <w:lang w:val="fr-CA" w:bidi="en-US"/>
        </w:rPr>
        <w:t xml:space="preserve"> » (par. 109). L’approche décrite plus loin préconise de commencer l’analyse par l’examen de l’objet et de l’économie de la </w:t>
      </w:r>
      <w:r w:rsidRPr="0092652F">
        <w:rPr>
          <w:rFonts w:cs="Times New Roman"/>
          <w:i/>
          <w:lang w:val="fr-CA" w:bidi="en-US"/>
        </w:rPr>
        <w:t>Loi sur l’arbitrage</w:t>
      </w:r>
      <w:r>
        <w:rPr>
          <w:rFonts w:cs="Times New Roman"/>
          <w:lang w:val="fr-CA" w:bidi="en-US"/>
        </w:rPr>
        <w:t xml:space="preserve"> et interprè</w:t>
      </w:r>
      <w:r w:rsidRPr="0092652F">
        <w:rPr>
          <w:rFonts w:cs="Times New Roman"/>
          <w:lang w:val="fr-CA" w:bidi="en-US"/>
        </w:rPr>
        <w:t xml:space="preserve">te le libellé de l’art. 7 à la lumière de l’ensemble de son contexte, d’une manière qui à la fois tient compte des choix de politique du législateur que reflètent tant la </w:t>
      </w:r>
      <w:r w:rsidRPr="0092652F">
        <w:rPr>
          <w:rFonts w:cs="Times New Roman"/>
          <w:i/>
          <w:lang w:val="fr-CA" w:bidi="en-US"/>
        </w:rPr>
        <w:t>Loi sur l’arbitrage</w:t>
      </w:r>
      <w:r w:rsidRPr="0092652F">
        <w:rPr>
          <w:rFonts w:cs="Times New Roman"/>
          <w:lang w:val="fr-CA" w:bidi="en-US"/>
        </w:rPr>
        <w:t xml:space="preserve"> elle</w:t>
      </w:r>
      <w:r w:rsidRPr="0092652F">
        <w:rPr>
          <w:rFonts w:cs="Times New Roman"/>
          <w:lang w:val="fr-CA" w:bidi="en-US"/>
        </w:rPr>
        <w:noBreakHyphen/>
        <w:t xml:space="preserve">même que d’autres lois pertinentes comme la </w:t>
      </w:r>
      <w:r w:rsidRPr="0092652F">
        <w:rPr>
          <w:rFonts w:cs="Times New Roman"/>
          <w:i/>
          <w:lang w:val="fr-CA" w:bidi="en-US"/>
        </w:rPr>
        <w:t>Loi sur la protection du consommateur</w:t>
      </w:r>
      <w:r w:rsidRPr="0092652F">
        <w:rPr>
          <w:rFonts w:cs="Times New Roman"/>
          <w:lang w:val="fr-CA" w:bidi="en-US"/>
        </w:rPr>
        <w:t xml:space="preserve"> et la </w:t>
      </w:r>
      <w:r w:rsidRPr="0092652F">
        <w:rPr>
          <w:rFonts w:cs="Times New Roman"/>
          <w:i/>
          <w:lang w:val="fr-CA" w:bidi="en-US"/>
        </w:rPr>
        <w:t>Loi sur les recours collectif</w:t>
      </w:r>
      <w:r>
        <w:rPr>
          <w:rFonts w:cs="Times New Roman"/>
          <w:i/>
          <w:lang w:val="fr-CA" w:bidi="en-US"/>
        </w:rPr>
        <w:t>s</w:t>
      </w:r>
      <w:r w:rsidRPr="0092652F">
        <w:rPr>
          <w:rFonts w:cs="Times New Roman"/>
          <w:lang w:val="fr-CA" w:bidi="en-US"/>
        </w:rPr>
        <w:t xml:space="preserve"> et est compatible avec eux. Il ne s’agit pas d’un « retour au </w:t>
      </w:r>
      <w:proofErr w:type="spellStart"/>
      <w:r w:rsidRPr="0092652F">
        <w:rPr>
          <w:rFonts w:cs="Times New Roman"/>
          <w:lang w:val="fr-CA" w:bidi="en-US"/>
        </w:rPr>
        <w:t>textualisme</w:t>
      </w:r>
      <w:proofErr w:type="spellEnd"/>
      <w:r w:rsidRPr="0092652F">
        <w:rPr>
          <w:rFonts w:cs="Times New Roman"/>
          <w:lang w:val="fr-CA" w:bidi="en-US"/>
        </w:rPr>
        <w:t> »; il s’agit plutôt d’une interprétation minutieuse de la loi, envisagée dans son contexte global. Gardant cela à l’esprit, je vais maintenant examiner l’objet et l’économie de la Loi.</w:t>
      </w:r>
    </w:p>
    <w:p w:rsidR="00B618DD" w:rsidRPr="0092652F" w:rsidRDefault="00B618DD" w:rsidP="00B618DD">
      <w:pPr>
        <w:pStyle w:val="Title3LevelTitre3Niveau"/>
        <w:rPr>
          <w:rFonts w:cs="Times New Roman"/>
          <w:lang w:val="fr-CA"/>
        </w:rPr>
      </w:pPr>
      <w:r w:rsidRPr="0092652F">
        <w:rPr>
          <w:rFonts w:cs="Times New Roman"/>
          <w:lang w:val="fr-CA"/>
        </w:rPr>
        <w:t xml:space="preserve">L’objet et l’économie de la </w:t>
      </w:r>
      <w:r w:rsidRPr="0092652F">
        <w:rPr>
          <w:rFonts w:cs="Times New Roman"/>
          <w:i/>
          <w:lang w:val="fr-CA"/>
        </w:rPr>
        <w:t>Loi sur l’arbitrage</w:t>
      </w:r>
    </w:p>
    <w:p w:rsidR="00B618DD" w:rsidRPr="0092652F" w:rsidRDefault="00B618DD" w:rsidP="00B618DD">
      <w:pPr>
        <w:pStyle w:val="ParaNoNdepar-AltN"/>
        <w:rPr>
          <w:rFonts w:cs="Times New Roman"/>
          <w:lang w:val="fr-CA"/>
        </w:rPr>
      </w:pPr>
      <w:r w:rsidRPr="0092652F">
        <w:rPr>
          <w:rFonts w:cs="Times New Roman"/>
          <w:lang w:val="fr-CA" w:bidi="en-US"/>
        </w:rPr>
        <w:t>Pendant la majeure partie du 20</w:t>
      </w:r>
      <w:r w:rsidRPr="0092652F">
        <w:rPr>
          <w:rFonts w:cs="Times New Roman"/>
          <w:vertAlign w:val="superscript"/>
          <w:lang w:val="fr-CA" w:bidi="en-US"/>
        </w:rPr>
        <w:t>e</w:t>
      </w:r>
      <w:r w:rsidRPr="0092652F">
        <w:rPr>
          <w:rFonts w:cs="Times New Roman"/>
          <w:lang w:val="fr-CA" w:bidi="en-US"/>
        </w:rPr>
        <w:t> siècle, les tribunaux canadiens se sont montrés « ouvertement hostiles » à l’arbitrage, qu’ils considéraient comme « un mécanisme de résolution des différends de deuxième ordre » (</w:t>
      </w:r>
      <w:r w:rsidRPr="0092652F">
        <w:rPr>
          <w:rFonts w:cs="Times New Roman"/>
          <w:i/>
          <w:lang w:val="fr-CA" w:bidi="en-US"/>
        </w:rPr>
        <w:t>Seidel</w:t>
      </w:r>
      <w:r w:rsidRPr="0092652F">
        <w:rPr>
          <w:rFonts w:cs="Times New Roman"/>
          <w:lang w:val="fr-CA" w:bidi="en-US"/>
        </w:rPr>
        <w:t xml:space="preserve">, par. 89, les juges </w:t>
      </w:r>
      <w:proofErr w:type="spellStart"/>
      <w:r w:rsidRPr="0092652F">
        <w:rPr>
          <w:rFonts w:cs="Times New Roman"/>
          <w:lang w:val="fr-CA" w:bidi="en-US"/>
        </w:rPr>
        <w:t>LeBel</w:t>
      </w:r>
      <w:proofErr w:type="spellEnd"/>
      <w:r w:rsidRPr="0092652F">
        <w:rPr>
          <w:rFonts w:cs="Times New Roman"/>
          <w:lang w:val="fr-CA" w:bidi="en-US"/>
        </w:rPr>
        <w:t xml:space="preserve"> et Deschamps, dissidents (mais non sur ce point)). Les tribunaux protégeaient jalousement leur compétence et « n’accueillaient pas [</w:t>
      </w:r>
      <w:r w:rsidRPr="0092652F">
        <w:rPr>
          <w:rFonts w:cs="Times New Roman"/>
          <w:smallCaps/>
          <w:lang w:val="fr-CA" w:bidi="en-US"/>
        </w:rPr>
        <w:t>traduction</w:t>
      </w:r>
      <w:r w:rsidRPr="0092652F">
        <w:rPr>
          <w:rFonts w:cs="Times New Roman"/>
          <w:lang w:val="fr-CA" w:bidi="en-US"/>
        </w:rPr>
        <w:t xml:space="preserve">] “favorablement les efforts des parties visant à l’écarter par contrat” » (voir </w:t>
      </w:r>
      <w:r w:rsidRPr="0092652F">
        <w:rPr>
          <w:rFonts w:cs="Times New Roman"/>
          <w:i/>
          <w:lang w:val="fr-CA" w:bidi="en-US"/>
        </w:rPr>
        <w:t>Seidel</w:t>
      </w:r>
      <w:r w:rsidRPr="0092652F">
        <w:rPr>
          <w:rFonts w:cs="Times New Roman"/>
          <w:lang w:val="fr-CA" w:bidi="en-US"/>
        </w:rPr>
        <w:t xml:space="preserve">, par. 93, citant </w:t>
      </w:r>
      <w:proofErr w:type="spellStart"/>
      <w:r w:rsidRPr="0092652F">
        <w:rPr>
          <w:rFonts w:cs="Times New Roman"/>
          <w:i/>
          <w:iCs/>
          <w:lang w:val="fr-CA" w:bidi="en-US"/>
        </w:rPr>
        <w:t>Re</w:t>
      </w:r>
      <w:proofErr w:type="spellEnd"/>
      <w:r w:rsidRPr="0092652F">
        <w:rPr>
          <w:rFonts w:cs="Times New Roman"/>
          <w:i/>
          <w:iCs/>
          <w:lang w:val="fr-CA" w:bidi="en-US"/>
        </w:rPr>
        <w:t xml:space="preserve"> </w:t>
      </w:r>
      <w:proofErr w:type="spellStart"/>
      <w:r w:rsidRPr="0092652F">
        <w:rPr>
          <w:rFonts w:cs="Times New Roman"/>
          <w:i/>
          <w:iCs/>
          <w:lang w:val="fr-CA" w:bidi="en-US"/>
        </w:rPr>
        <w:t>Rootes</w:t>
      </w:r>
      <w:proofErr w:type="spellEnd"/>
      <w:r w:rsidRPr="0092652F">
        <w:rPr>
          <w:rFonts w:cs="Times New Roman"/>
          <w:i/>
          <w:iCs/>
          <w:lang w:val="fr-CA" w:bidi="en-US"/>
        </w:rPr>
        <w:t xml:space="preserve"> Motors (Canada) Ltd. and </w:t>
      </w:r>
      <w:proofErr w:type="spellStart"/>
      <w:r w:rsidRPr="0092652F">
        <w:rPr>
          <w:rFonts w:cs="Times New Roman"/>
          <w:i/>
          <w:iCs/>
          <w:lang w:val="fr-CA" w:bidi="en-US"/>
        </w:rPr>
        <w:t>Wm</w:t>
      </w:r>
      <w:proofErr w:type="spellEnd"/>
      <w:r w:rsidRPr="0092652F">
        <w:rPr>
          <w:rFonts w:cs="Times New Roman"/>
          <w:i/>
          <w:iCs/>
          <w:lang w:val="fr-CA" w:bidi="en-US"/>
        </w:rPr>
        <w:t xml:space="preserve">. </w:t>
      </w:r>
      <w:r w:rsidRPr="0092652F">
        <w:rPr>
          <w:rFonts w:cs="Times New Roman"/>
          <w:i/>
          <w:iCs/>
          <w:lang w:val="en-US" w:bidi="en-US"/>
        </w:rPr>
        <w:t>Halliday Contracting Co.</w:t>
      </w:r>
      <w:r w:rsidRPr="0092652F">
        <w:rPr>
          <w:rFonts w:cs="Times New Roman"/>
          <w:lang w:val="en-US" w:bidi="en-US"/>
        </w:rPr>
        <w:t xml:space="preserve">, [1952] 4 D.L.R. 300 (H.C.J. Ont.), p. 304). </w:t>
      </w:r>
      <w:r w:rsidRPr="0092652F">
        <w:rPr>
          <w:rFonts w:cs="Times New Roman"/>
          <w:lang w:val="fr-CA" w:bidi="en-US"/>
        </w:rPr>
        <w:t xml:space="preserve">Selon l’opinion prépondérante, seuls les tribunaux judiciaires pouvaient prononcer les ordonnances requises pour régler des litiges d’ordre juridique. En conséquence, ils estimaient que tout contrat conclu par les parties pour écarter leur compétence violait l’ordre public, sans égard à la nature des questions de droit substantiel en jeu (voir </w:t>
      </w:r>
      <w:r w:rsidRPr="0092652F">
        <w:rPr>
          <w:rFonts w:cs="Times New Roman"/>
          <w:i/>
          <w:lang w:val="fr-CA" w:bidi="en-US"/>
        </w:rPr>
        <w:t>Seidel</w:t>
      </w:r>
      <w:r w:rsidRPr="0092652F">
        <w:rPr>
          <w:rFonts w:cs="Times New Roman"/>
          <w:lang w:val="fr-CA" w:bidi="en-US"/>
        </w:rPr>
        <w:t xml:space="preserve">, par. 96). Cette hostilité judiciaire ainsi que l’absence de législation moderne favorisant l’arbitrage ont freiné l’évolution de ce dernier au Canada (voir </w:t>
      </w:r>
      <w:r w:rsidRPr="0092652F">
        <w:rPr>
          <w:rFonts w:cs="Times New Roman"/>
          <w:i/>
          <w:lang w:val="fr-CA" w:bidi="en-US"/>
        </w:rPr>
        <w:t>Seidel</w:t>
      </w:r>
      <w:r w:rsidRPr="0092652F">
        <w:rPr>
          <w:rFonts w:cs="Times New Roman"/>
          <w:lang w:val="fr-CA" w:bidi="en-US"/>
        </w:rPr>
        <w:t>, par. 89, citant J. B. Casey et J. Mills, </w:t>
      </w:r>
      <w:r w:rsidRPr="0092652F">
        <w:rPr>
          <w:rFonts w:cs="Times New Roman"/>
          <w:i/>
          <w:iCs/>
          <w:lang w:val="fr-CA" w:bidi="en-US"/>
        </w:rPr>
        <w:t>Arbitration Law of Canada</w:t>
      </w:r>
      <w:r>
        <w:rPr>
          <w:rFonts w:cs="Times New Roman"/>
          <w:i/>
          <w:iCs/>
          <w:lang w:val="fr-CA" w:bidi="en-US"/>
        </w:rPr>
        <w:t xml:space="preserve"> </w:t>
      </w:r>
      <w:r w:rsidRPr="0092652F">
        <w:rPr>
          <w:rFonts w:cs="Times New Roman"/>
          <w:i/>
          <w:iCs/>
          <w:lang w:val="fr-CA" w:bidi="en-US"/>
        </w:rPr>
        <w:t xml:space="preserve">: Practice and </w:t>
      </w:r>
      <w:proofErr w:type="spellStart"/>
      <w:r w:rsidRPr="0092652F">
        <w:rPr>
          <w:rFonts w:cs="Times New Roman"/>
          <w:i/>
          <w:iCs/>
          <w:lang w:val="fr-CA" w:bidi="en-US"/>
        </w:rPr>
        <w:t>Procedure</w:t>
      </w:r>
      <w:proofErr w:type="spellEnd"/>
      <w:r>
        <w:rPr>
          <w:rFonts w:cs="Times New Roman"/>
          <w:lang w:val="fr-CA" w:bidi="en-US"/>
        </w:rPr>
        <w:t xml:space="preserve"> (2005), p. 2-</w:t>
      </w:r>
      <w:r w:rsidRPr="0092652F">
        <w:rPr>
          <w:rFonts w:cs="Times New Roman"/>
          <w:lang w:val="fr-CA" w:bidi="en-US"/>
        </w:rPr>
        <w:t>3).</w:t>
      </w:r>
    </w:p>
    <w:p w:rsidR="00B618DD" w:rsidRPr="0092652F" w:rsidRDefault="00B618DD" w:rsidP="00B618DD">
      <w:pPr>
        <w:pStyle w:val="ParaNoNdepar-AltN"/>
        <w:rPr>
          <w:rFonts w:cs="Times New Roman"/>
          <w:lang w:val="fr-CA"/>
        </w:rPr>
      </w:pPr>
      <w:r w:rsidRPr="0092652F">
        <w:rPr>
          <w:rFonts w:cs="Times New Roman"/>
          <w:lang w:val="fr-CA"/>
        </w:rPr>
        <w:t xml:space="preserve">C’est dans ce contexte que le législateur ontarien a adopté la </w:t>
      </w:r>
      <w:r w:rsidRPr="0092652F">
        <w:rPr>
          <w:rFonts w:cs="Times New Roman"/>
          <w:i/>
          <w:lang w:val="fr-CA"/>
        </w:rPr>
        <w:t>Loi sur l’arbitrage</w:t>
      </w:r>
      <w:r w:rsidRPr="0092652F">
        <w:rPr>
          <w:rFonts w:cs="Times New Roman"/>
          <w:lang w:val="fr-CA"/>
        </w:rPr>
        <w:t xml:space="preserve"> en 1991, en se basant sur la </w:t>
      </w:r>
      <w:r w:rsidRPr="0092652F">
        <w:rPr>
          <w:rFonts w:cs="Times New Roman"/>
          <w:i/>
          <w:lang w:val="fr-CA"/>
        </w:rPr>
        <w:t xml:space="preserve">Loi uniforme sur l’arbitrage </w:t>
      </w:r>
      <w:r w:rsidRPr="0092652F">
        <w:rPr>
          <w:rFonts w:cs="Times New Roman"/>
          <w:lang w:val="fr-CA"/>
        </w:rPr>
        <w:t xml:space="preserve">adoptée un an plus tôt par la Conférence pour l’harmonisation des lois au Canada (en ligne) (voir </w:t>
      </w:r>
      <w:r>
        <w:rPr>
          <w:rFonts w:cs="Times New Roman"/>
          <w:bCs/>
          <w:lang w:val="fr-CA" w:bidi="en-CA"/>
        </w:rPr>
        <w:t xml:space="preserve">J. K. </w:t>
      </w:r>
      <w:r w:rsidRPr="0092652F">
        <w:rPr>
          <w:rFonts w:cs="Times New Roman"/>
          <w:bCs/>
          <w:lang w:val="fr-CA" w:bidi="en-CA"/>
        </w:rPr>
        <w:t xml:space="preserve">McEwan et L. B. </w:t>
      </w:r>
      <w:proofErr w:type="spellStart"/>
      <w:r w:rsidRPr="0092652F">
        <w:rPr>
          <w:rFonts w:cs="Times New Roman"/>
          <w:bCs/>
          <w:lang w:val="fr-CA" w:bidi="en-CA"/>
        </w:rPr>
        <w:t>Herbst</w:t>
      </w:r>
      <w:proofErr w:type="spellEnd"/>
      <w:r w:rsidRPr="0092652F">
        <w:rPr>
          <w:rFonts w:cs="Times New Roman"/>
          <w:bCs/>
          <w:lang w:val="fr-CA" w:bidi="en-CA"/>
        </w:rPr>
        <w:t xml:space="preserve">, </w:t>
      </w:r>
      <w:r w:rsidRPr="0092652F">
        <w:rPr>
          <w:rFonts w:cs="Times New Roman"/>
          <w:i/>
          <w:lang w:val="fr-CA" w:bidi="en-CA"/>
        </w:rPr>
        <w:t>Commercial Arbitration in Canada</w:t>
      </w:r>
      <w:r>
        <w:rPr>
          <w:rFonts w:cs="Times New Roman"/>
          <w:i/>
          <w:lang w:val="fr-CA" w:bidi="en-CA"/>
        </w:rPr>
        <w:t xml:space="preserve"> </w:t>
      </w:r>
      <w:r w:rsidRPr="0092652F">
        <w:rPr>
          <w:rFonts w:cs="Times New Roman"/>
          <w:i/>
          <w:lang w:val="fr-CA" w:bidi="en-CA"/>
        </w:rPr>
        <w:t xml:space="preserve">: A Guide to </w:t>
      </w:r>
      <w:proofErr w:type="spellStart"/>
      <w:r w:rsidRPr="0092652F">
        <w:rPr>
          <w:rFonts w:cs="Times New Roman"/>
          <w:i/>
          <w:lang w:val="fr-CA" w:bidi="en-CA"/>
        </w:rPr>
        <w:t>Domestic</w:t>
      </w:r>
      <w:proofErr w:type="spellEnd"/>
      <w:r w:rsidRPr="0092652F">
        <w:rPr>
          <w:rFonts w:cs="Times New Roman"/>
          <w:i/>
          <w:lang w:val="fr-CA" w:bidi="en-CA"/>
        </w:rPr>
        <w:t xml:space="preserve"> and International Arbitrations</w:t>
      </w:r>
      <w:r w:rsidRPr="0092652F">
        <w:rPr>
          <w:rFonts w:cs="Times New Roman"/>
          <w:lang w:val="fr-CA" w:bidi="en-CA"/>
        </w:rPr>
        <w:t xml:space="preserve"> (feuilles mobiles), p. 1</w:t>
      </w:r>
      <w:r w:rsidRPr="0092652F">
        <w:rPr>
          <w:rFonts w:cs="Times New Roman"/>
          <w:lang w:val="fr-CA" w:bidi="en-CA"/>
        </w:rPr>
        <w:noBreakHyphen/>
        <w:t>9 à 1</w:t>
      </w:r>
      <w:r w:rsidRPr="0092652F">
        <w:rPr>
          <w:rFonts w:cs="Times New Roman"/>
          <w:lang w:val="fr-CA" w:bidi="en-CA"/>
        </w:rPr>
        <w:noBreakHyphen/>
        <w:t>15</w:t>
      </w:r>
      <w:r w:rsidRPr="0092652F">
        <w:rPr>
          <w:rFonts w:cs="Times New Roman"/>
          <w:lang w:val="fr-CA"/>
        </w:rPr>
        <w:t>). L’objet et la philosophie qui sous</w:t>
      </w:r>
      <w:r w:rsidRPr="0092652F">
        <w:rPr>
          <w:rFonts w:cs="Times New Roman"/>
          <w:lang w:val="fr-CA"/>
        </w:rPr>
        <w:noBreakHyphen/>
        <w:t xml:space="preserve">tend la </w:t>
      </w:r>
      <w:r w:rsidRPr="0092652F">
        <w:rPr>
          <w:rFonts w:cs="Times New Roman"/>
          <w:i/>
          <w:lang w:val="fr-CA"/>
        </w:rPr>
        <w:t>Loi sur l’arbitrage</w:t>
      </w:r>
      <w:r w:rsidRPr="0092652F">
        <w:rPr>
          <w:rFonts w:cs="Times New Roman"/>
          <w:lang w:val="fr-CA"/>
        </w:rPr>
        <w:t xml:space="preserve"> ont été examinés par le juge Blair (alors juge puîné) dans la décision </w:t>
      </w:r>
      <w:r w:rsidRPr="0092652F">
        <w:rPr>
          <w:rFonts w:cs="Times New Roman"/>
          <w:i/>
          <w:iCs/>
          <w:lang w:val="fr-CA"/>
        </w:rPr>
        <w:t>Ontario Hydro c. Denison Mines Ltd.</w:t>
      </w:r>
      <w:r w:rsidRPr="0092652F">
        <w:rPr>
          <w:rFonts w:cs="Times New Roman"/>
          <w:lang w:val="fr-CA"/>
        </w:rPr>
        <w:t xml:space="preserve">, 1992 </w:t>
      </w:r>
      <w:proofErr w:type="spellStart"/>
      <w:r w:rsidRPr="0092652F">
        <w:rPr>
          <w:rFonts w:cs="Times New Roman"/>
          <w:lang w:val="fr-CA"/>
        </w:rPr>
        <w:t>Carswell</w:t>
      </w:r>
      <w:proofErr w:type="spellEnd"/>
      <w:r w:rsidRPr="0092652F">
        <w:rPr>
          <w:rFonts w:cs="Times New Roman"/>
          <w:lang w:val="fr-CA"/>
        </w:rPr>
        <w:t xml:space="preserve"> Ont 3497 (WL Can.) (Div. </w:t>
      </w:r>
      <w:proofErr w:type="spellStart"/>
      <w:r w:rsidRPr="0092652F">
        <w:rPr>
          <w:rFonts w:cs="Times New Roman"/>
          <w:lang w:val="fr-CA"/>
        </w:rPr>
        <w:t>gén</w:t>
      </w:r>
      <w:proofErr w:type="spellEnd"/>
      <w:r w:rsidRPr="0092652F">
        <w:rPr>
          <w:rFonts w:cs="Times New Roman"/>
          <w:lang w:val="fr-CA"/>
        </w:rPr>
        <w:t>.) :</w:t>
      </w:r>
    </w:p>
    <w:p w:rsidR="00B618DD" w:rsidRPr="0092652F" w:rsidRDefault="00B618DD" w:rsidP="00B618DD">
      <w:pPr>
        <w:pStyle w:val="CITATION"/>
        <w:tabs>
          <w:tab w:val="left" w:pos="1620"/>
        </w:tabs>
        <w:spacing w:after="240"/>
        <w:ind w:left="1170" w:right="-84" w:hanging="605"/>
        <w:rPr>
          <w:rFonts w:cs="Times New Roman"/>
          <w:lang w:val="fr-CA"/>
        </w:rPr>
      </w:pPr>
      <w:r w:rsidRPr="0092652F">
        <w:rPr>
          <w:rFonts w:cs="Times New Roman"/>
          <w:lang w:val="fr-CA"/>
        </w:rPr>
        <w:tab/>
      </w:r>
      <w:r w:rsidRPr="0092652F">
        <w:rPr>
          <w:rFonts w:cs="Times New Roman"/>
          <w:lang w:val="fr-CA"/>
        </w:rPr>
        <w:tab/>
        <w:t>[</w:t>
      </w:r>
      <w:r w:rsidRPr="0092652F">
        <w:rPr>
          <w:rFonts w:cs="Times New Roman"/>
          <w:smallCaps/>
          <w:lang w:val="fr-CA"/>
        </w:rPr>
        <w:t>traduction</w:t>
      </w:r>
      <w:r w:rsidRPr="0092652F">
        <w:rPr>
          <w:rFonts w:cs="Times New Roman"/>
          <w:lang w:val="fr-CA"/>
        </w:rPr>
        <w:t xml:space="preserve">] La </w:t>
      </w:r>
      <w:r w:rsidRPr="0092652F">
        <w:rPr>
          <w:rFonts w:cs="Times New Roman"/>
          <w:i/>
          <w:lang w:val="fr-CA"/>
        </w:rPr>
        <w:t xml:space="preserve">Loi de 1991 sur l’arbitrage </w:t>
      </w:r>
      <w:r w:rsidRPr="0092652F">
        <w:rPr>
          <w:rFonts w:cs="Times New Roman"/>
          <w:lang w:val="fr-CA"/>
        </w:rPr>
        <w:t>est entrée en vigueur le 1</w:t>
      </w:r>
      <w:r w:rsidRPr="0092652F">
        <w:rPr>
          <w:rFonts w:cs="Times New Roman"/>
          <w:vertAlign w:val="superscript"/>
          <w:lang w:val="fr-CA"/>
        </w:rPr>
        <w:t>er</w:t>
      </w:r>
      <w:r w:rsidRPr="0092652F">
        <w:rPr>
          <w:rFonts w:cs="Times New Roman"/>
          <w:lang w:val="fr-CA"/>
        </w:rPr>
        <w:t xml:space="preserve"> janvier 1992. Elle a remplacé la loi intitulée </w:t>
      </w:r>
      <w:r w:rsidRPr="0092652F">
        <w:rPr>
          <w:rFonts w:cs="Times New Roman"/>
          <w:i/>
          <w:lang w:val="fr-CA"/>
        </w:rPr>
        <w:t>Loi sur l’arbitrage</w:t>
      </w:r>
      <w:r w:rsidRPr="0092652F">
        <w:rPr>
          <w:rFonts w:cs="Times New Roman"/>
          <w:lang w:val="fr-CA"/>
        </w:rPr>
        <w:t>, L.R.O. 1980, c. 25, et promulgué un nouveau régime relatif à la conduite de l’arbitrage en Ontario. [. . .] Ce nouveau régime est conçu, à mon avis, en vue d’encourager les parties à recourir à l’arbitrage pour régler les d</w:t>
      </w:r>
      <w:r w:rsidRPr="0092652F">
        <w:rPr>
          <w:rStyle w:val="solexhl"/>
          <w:rFonts w:cs="Times New Roman"/>
          <w:lang w:val="fr-CA"/>
        </w:rPr>
        <w:t>ifférends liés à des questions commerciales et autres, et pour les obliger à respecter leurs engagements, une fois qu’ils ont convenu de procéder par arbitrage.</w:t>
      </w:r>
    </w:p>
    <w:p w:rsidR="00B618DD" w:rsidRPr="0092652F" w:rsidRDefault="00B618DD" w:rsidP="00B618DD">
      <w:pPr>
        <w:pStyle w:val="CITATION"/>
        <w:tabs>
          <w:tab w:val="left" w:pos="1620"/>
        </w:tabs>
        <w:spacing w:after="720"/>
        <w:ind w:left="1166" w:right="-86"/>
        <w:rPr>
          <w:rFonts w:cs="Times New Roman"/>
          <w:lang w:val="fr-CA"/>
        </w:rPr>
      </w:pPr>
      <w:r w:rsidRPr="0092652F">
        <w:rPr>
          <w:rFonts w:cs="Times New Roman"/>
          <w:bCs/>
          <w:lang w:val="fr-CA"/>
        </w:rPr>
        <w:tab/>
        <w:t xml:space="preserve">À cet égard, la nouvelle </w:t>
      </w:r>
      <w:r w:rsidRPr="0092652F">
        <w:rPr>
          <w:rFonts w:cs="Times New Roman"/>
          <w:bCs/>
          <w:i/>
          <w:lang w:val="fr-CA"/>
        </w:rPr>
        <w:t xml:space="preserve">Loi </w:t>
      </w:r>
      <w:r w:rsidRPr="0092652F">
        <w:rPr>
          <w:rFonts w:cs="Times New Roman"/>
          <w:bCs/>
          <w:lang w:val="fr-CA"/>
        </w:rPr>
        <w:t xml:space="preserve">consacre la primauté </w:t>
      </w:r>
      <w:r w:rsidRPr="0092652F">
        <w:rPr>
          <w:rFonts w:cs="Times New Roman"/>
          <w:lang w:val="fr-CA"/>
        </w:rPr>
        <w:t xml:space="preserve">de la procédure d’arbitrage par rapport à la procédure judiciaire dans le cas où les parties ont conclu une convention d’arbitrage, en </w:t>
      </w:r>
      <w:r w:rsidRPr="0092652F">
        <w:rPr>
          <w:rFonts w:cs="Times New Roman"/>
          <w:bCs/>
          <w:lang w:val="fr-CA"/>
        </w:rPr>
        <w:t>enjoignant aux tribunaux de ne pas intervenir, en général, et en prévoyant le sursis « présumé » de l’instance judiciaire pour favoriser l’arbitrage. [par. 8</w:t>
      </w:r>
      <w:r w:rsidRPr="0092652F">
        <w:rPr>
          <w:rFonts w:cs="Times New Roman"/>
          <w:bCs/>
          <w:lang w:val="fr-CA"/>
        </w:rPr>
        <w:noBreakHyphen/>
        <w:t>9]</w:t>
      </w:r>
    </w:p>
    <w:p w:rsidR="00B618DD" w:rsidRPr="0092652F" w:rsidRDefault="00B618DD" w:rsidP="00B618DD">
      <w:pPr>
        <w:pStyle w:val="ParaNoNdepar-AltN"/>
        <w:rPr>
          <w:rFonts w:cs="Times New Roman"/>
          <w:lang w:val="fr-CA"/>
        </w:rPr>
      </w:pPr>
      <w:r w:rsidRPr="0092652F">
        <w:rPr>
          <w:rFonts w:cs="Times New Roman"/>
          <w:lang w:val="fr-CA"/>
        </w:rPr>
        <w:t xml:space="preserve">Lors des débats législatifs sur le projet de loi qui ont précédé l’adoption de la </w:t>
      </w:r>
      <w:r w:rsidRPr="0092652F">
        <w:rPr>
          <w:rFonts w:cs="Times New Roman"/>
          <w:i/>
          <w:lang w:val="fr-CA"/>
        </w:rPr>
        <w:t>Loi sur l’arbitrage</w:t>
      </w:r>
      <w:r w:rsidRPr="0092652F">
        <w:rPr>
          <w:rFonts w:cs="Times New Roman"/>
          <w:lang w:val="fr-CA"/>
        </w:rPr>
        <w:t>, le procureur général de l’Ontario a affirmé que l’un des [</w:t>
      </w:r>
      <w:r w:rsidRPr="0092652F">
        <w:rPr>
          <w:rFonts w:cs="Times New Roman"/>
          <w:smallCaps/>
          <w:lang w:val="fr-CA"/>
        </w:rPr>
        <w:t>traduction</w:t>
      </w:r>
      <w:r w:rsidRPr="0092652F">
        <w:rPr>
          <w:rFonts w:cs="Times New Roman"/>
          <w:lang w:val="fr-CA"/>
        </w:rPr>
        <w:t xml:space="preserve">] « principes directeurs » de ce texte législatif est que « les parties à une convention d’arbitrage valide doivent respecter l’entente qu’elles ont conclue » (Assemblée législative de l’Ontario, </w:t>
      </w:r>
      <w:r w:rsidRPr="0092652F">
        <w:rPr>
          <w:rFonts w:cs="Times New Roman"/>
          <w:i/>
          <w:lang w:val="fr-CA"/>
        </w:rPr>
        <w:t>Journal des débats (</w:t>
      </w:r>
      <w:proofErr w:type="spellStart"/>
      <w:r w:rsidRPr="0092652F">
        <w:rPr>
          <w:rFonts w:cs="Times New Roman"/>
          <w:i/>
          <w:lang w:val="fr-CA"/>
        </w:rPr>
        <w:t>Hansard</w:t>
      </w:r>
      <w:proofErr w:type="spellEnd"/>
      <w:r w:rsidRPr="0092652F">
        <w:rPr>
          <w:rFonts w:cs="Times New Roman"/>
          <w:i/>
          <w:lang w:val="fr-CA"/>
        </w:rPr>
        <w:t>)</w:t>
      </w:r>
      <w:r w:rsidRPr="0092652F">
        <w:rPr>
          <w:rFonts w:cs="Times New Roman"/>
          <w:lang w:val="fr-CA"/>
        </w:rPr>
        <w:t>, 1</w:t>
      </w:r>
      <w:r>
        <w:rPr>
          <w:rFonts w:cs="Times New Roman"/>
          <w:vertAlign w:val="superscript"/>
          <w:lang w:val="fr-CA"/>
        </w:rPr>
        <w:t>re</w:t>
      </w:r>
      <w:r w:rsidRPr="0092652F">
        <w:rPr>
          <w:rFonts w:cs="Times New Roman"/>
          <w:lang w:val="fr-CA"/>
        </w:rPr>
        <w:t xml:space="preserve"> </w:t>
      </w:r>
      <w:proofErr w:type="spellStart"/>
      <w:r w:rsidRPr="0092652F">
        <w:rPr>
          <w:rFonts w:cs="Times New Roman"/>
          <w:lang w:val="fr-CA"/>
        </w:rPr>
        <w:t>sess</w:t>
      </w:r>
      <w:proofErr w:type="spellEnd"/>
      <w:r w:rsidRPr="0092652F">
        <w:rPr>
          <w:rFonts w:cs="Times New Roman"/>
          <w:lang w:val="fr-CA"/>
        </w:rPr>
        <w:t>., 35</w:t>
      </w:r>
      <w:r w:rsidRPr="0092652F">
        <w:rPr>
          <w:rFonts w:cs="Times New Roman"/>
          <w:vertAlign w:val="superscript"/>
          <w:lang w:val="fr-CA"/>
        </w:rPr>
        <w:t>e</w:t>
      </w:r>
      <w:r w:rsidRPr="0092652F">
        <w:rPr>
          <w:rFonts w:cs="Times New Roman"/>
          <w:lang w:val="fr-CA"/>
        </w:rPr>
        <w:t xml:space="preserve"> </w:t>
      </w:r>
      <w:proofErr w:type="spellStart"/>
      <w:r>
        <w:rPr>
          <w:rFonts w:cs="Times New Roman"/>
          <w:lang w:val="fr-CA"/>
        </w:rPr>
        <w:t>lég</w:t>
      </w:r>
      <w:proofErr w:type="spellEnd"/>
      <w:r w:rsidRPr="0092652F">
        <w:rPr>
          <w:rFonts w:cs="Times New Roman"/>
          <w:lang w:val="fr-CA"/>
        </w:rPr>
        <w:t>., 27 mars 1991, p. 256). Il a plus tard souligné que [</w:t>
      </w:r>
      <w:r w:rsidRPr="0092652F">
        <w:rPr>
          <w:rFonts w:cs="Times New Roman"/>
          <w:smallCaps/>
          <w:lang w:val="fr-CA"/>
        </w:rPr>
        <w:t>traduction</w:t>
      </w:r>
      <w:r w:rsidRPr="0092652F">
        <w:rPr>
          <w:rFonts w:cs="Times New Roman"/>
          <w:lang w:val="fr-CA"/>
        </w:rPr>
        <w:t xml:space="preserve">] « la [nouvelle] loi et </w:t>
      </w:r>
      <w:r w:rsidRPr="0092652F">
        <w:rPr>
          <w:rFonts w:cs="Times New Roman"/>
          <w:lang w:val="fr-CA" w:bidi="en-US"/>
        </w:rPr>
        <w:t xml:space="preserve">les tribunaux permettront de veiller à ce que les parties respectent la convention d’arbitrage qu’elles ont conclue » (Assemblée législative de l’Ontario, </w:t>
      </w:r>
      <w:r w:rsidRPr="0092652F">
        <w:rPr>
          <w:rFonts w:cs="Times New Roman"/>
          <w:i/>
          <w:lang w:val="fr-CA" w:bidi="en-US"/>
        </w:rPr>
        <w:t>Journal des débats (</w:t>
      </w:r>
      <w:proofErr w:type="spellStart"/>
      <w:r w:rsidRPr="0092652F">
        <w:rPr>
          <w:rFonts w:cs="Times New Roman"/>
          <w:i/>
          <w:lang w:val="fr-CA" w:bidi="en-US"/>
        </w:rPr>
        <w:t>Hansard</w:t>
      </w:r>
      <w:proofErr w:type="spellEnd"/>
      <w:r w:rsidRPr="0092652F">
        <w:rPr>
          <w:rFonts w:cs="Times New Roman"/>
          <w:i/>
          <w:lang w:val="fr-CA" w:bidi="en-US"/>
        </w:rPr>
        <w:t>)</w:t>
      </w:r>
      <w:r w:rsidRPr="0092652F">
        <w:rPr>
          <w:rFonts w:cs="Times New Roman"/>
          <w:lang w:val="fr-CA" w:bidi="en-US"/>
        </w:rPr>
        <w:t>, 1</w:t>
      </w:r>
      <w:r>
        <w:rPr>
          <w:rFonts w:cs="Times New Roman"/>
          <w:vertAlign w:val="superscript"/>
          <w:lang w:val="fr-CA" w:bidi="en-US"/>
        </w:rPr>
        <w:t>re</w:t>
      </w:r>
      <w:r w:rsidRPr="0092652F">
        <w:rPr>
          <w:rFonts w:cs="Times New Roman"/>
          <w:lang w:val="fr-CA" w:bidi="en-US"/>
        </w:rPr>
        <w:t xml:space="preserve"> </w:t>
      </w:r>
      <w:proofErr w:type="spellStart"/>
      <w:r w:rsidRPr="0092652F">
        <w:rPr>
          <w:rFonts w:cs="Times New Roman"/>
          <w:lang w:val="fr-CA" w:bidi="en-US"/>
        </w:rPr>
        <w:t>sess</w:t>
      </w:r>
      <w:proofErr w:type="spellEnd"/>
      <w:r w:rsidRPr="0092652F">
        <w:rPr>
          <w:rFonts w:cs="Times New Roman"/>
          <w:lang w:val="fr-CA" w:bidi="en-US"/>
        </w:rPr>
        <w:t>., 35</w:t>
      </w:r>
      <w:r w:rsidRPr="0092652F">
        <w:rPr>
          <w:rFonts w:cs="Times New Roman"/>
          <w:vertAlign w:val="superscript"/>
          <w:lang w:val="fr-CA" w:bidi="en-US"/>
        </w:rPr>
        <w:t>e</w:t>
      </w:r>
      <w:r w:rsidRPr="0092652F">
        <w:rPr>
          <w:rFonts w:cs="Times New Roman"/>
          <w:lang w:val="fr-CA" w:bidi="en-US"/>
        </w:rPr>
        <w:t xml:space="preserve"> </w:t>
      </w:r>
      <w:proofErr w:type="spellStart"/>
      <w:r>
        <w:rPr>
          <w:rFonts w:cs="Times New Roman"/>
          <w:lang w:val="fr-CA" w:bidi="en-US"/>
        </w:rPr>
        <w:t>lég</w:t>
      </w:r>
      <w:proofErr w:type="spellEnd"/>
      <w:r w:rsidRPr="0092652F">
        <w:rPr>
          <w:rFonts w:cs="Times New Roman"/>
          <w:lang w:val="fr-CA" w:bidi="en-US"/>
        </w:rPr>
        <w:t>., 5 novembre 1991, p. 3384).</w:t>
      </w:r>
    </w:p>
    <w:p w:rsidR="00B618DD" w:rsidRPr="0092652F" w:rsidRDefault="00B618DD" w:rsidP="00B618DD">
      <w:pPr>
        <w:pStyle w:val="ParaNoNdepar-AltN"/>
        <w:rPr>
          <w:rFonts w:cs="Times New Roman"/>
          <w:lang w:val="fr-CA"/>
        </w:rPr>
      </w:pPr>
      <w:r w:rsidRPr="0092652F">
        <w:rPr>
          <w:rFonts w:cs="Times New Roman"/>
          <w:lang w:val="fr-CA" w:bidi="en-US"/>
        </w:rPr>
        <w:t xml:space="preserve">Ordonner le sursis de l’instance judiciaire est un des moyens dont disposent les tribunaux pour donner effet à la politique portant que les parties à une convention d’arbitrage valide devraient respecter l’entente qu’elles ont conclue. Comme les auteurs de l’ouvrage </w:t>
      </w:r>
      <w:r w:rsidRPr="0092652F">
        <w:rPr>
          <w:rFonts w:cs="Times New Roman"/>
          <w:i/>
          <w:lang w:val="fr-CA" w:bidi="en-CA"/>
        </w:rPr>
        <w:t>Commercial Arbitration in Canada</w:t>
      </w:r>
      <w:r w:rsidRPr="0092652F">
        <w:rPr>
          <w:rFonts w:cs="Times New Roman"/>
          <w:i/>
          <w:lang w:val="fr-CA" w:bidi="en-US"/>
        </w:rPr>
        <w:t xml:space="preserve">: A Guide to </w:t>
      </w:r>
      <w:proofErr w:type="spellStart"/>
      <w:r w:rsidRPr="0092652F">
        <w:rPr>
          <w:rFonts w:cs="Times New Roman"/>
          <w:i/>
          <w:lang w:val="fr-CA" w:bidi="en-US"/>
        </w:rPr>
        <w:t>Domestic</w:t>
      </w:r>
      <w:proofErr w:type="spellEnd"/>
      <w:r w:rsidRPr="0092652F">
        <w:rPr>
          <w:rFonts w:cs="Times New Roman"/>
          <w:i/>
          <w:lang w:val="fr-CA" w:bidi="en-US"/>
        </w:rPr>
        <w:t xml:space="preserve"> and International Arbitrations</w:t>
      </w:r>
      <w:r w:rsidRPr="0092652F">
        <w:rPr>
          <w:rFonts w:cs="Times New Roman"/>
          <w:lang w:val="fr-CA" w:bidi="en-US"/>
        </w:rPr>
        <w:t xml:space="preserve"> l’ont expliqué, le sursis de l’instance est tout simplement [</w:t>
      </w:r>
      <w:r w:rsidRPr="0092652F">
        <w:rPr>
          <w:rFonts w:cs="Times New Roman"/>
          <w:smallCaps/>
          <w:lang w:val="fr-CA" w:bidi="en-US"/>
        </w:rPr>
        <w:t>traduction</w:t>
      </w:r>
      <w:r w:rsidRPr="0092652F">
        <w:rPr>
          <w:rFonts w:cs="Times New Roman"/>
          <w:lang w:val="fr-CA" w:bidi="en-US"/>
        </w:rPr>
        <w:t xml:space="preserve">] « un moyen indirect d’appliquer une convention d’arbitrage » (McEwan et </w:t>
      </w:r>
      <w:proofErr w:type="spellStart"/>
      <w:r w:rsidRPr="0092652F">
        <w:rPr>
          <w:rFonts w:cs="Times New Roman"/>
          <w:lang w:val="fr-CA" w:bidi="en-US"/>
        </w:rPr>
        <w:t>Herbst</w:t>
      </w:r>
      <w:proofErr w:type="spellEnd"/>
      <w:r w:rsidRPr="0092652F">
        <w:rPr>
          <w:rFonts w:cs="Times New Roman"/>
          <w:lang w:val="fr-CA" w:bidi="en-US"/>
        </w:rPr>
        <w:t xml:space="preserve">, </w:t>
      </w:r>
      <w:r w:rsidRPr="0092652F">
        <w:rPr>
          <w:rFonts w:cs="Times New Roman"/>
          <w:bCs/>
          <w:lang w:val="fr-CA" w:bidi="en-CA"/>
        </w:rPr>
        <w:t>p. 3</w:t>
      </w:r>
      <w:r w:rsidRPr="0092652F">
        <w:rPr>
          <w:rFonts w:cs="Times New Roman"/>
          <w:bCs/>
          <w:lang w:val="fr-CA" w:bidi="en-CA"/>
        </w:rPr>
        <w:noBreakHyphen/>
        <w:t>29</w:t>
      </w:r>
      <w:r w:rsidRPr="0092652F">
        <w:rPr>
          <w:rFonts w:cs="Times New Roman"/>
          <w:lang w:val="fr-CA" w:bidi="en-US"/>
        </w:rPr>
        <w:t>). Ils ont ajouté :</w:t>
      </w:r>
    </w:p>
    <w:p w:rsidR="00B618DD" w:rsidRPr="0092652F" w:rsidRDefault="00B618DD" w:rsidP="00B618DD">
      <w:pPr>
        <w:pStyle w:val="CITATION"/>
        <w:spacing w:after="720"/>
        <w:ind w:left="1166" w:right="-86" w:hanging="1166"/>
        <w:rPr>
          <w:rFonts w:cs="Times New Roman"/>
          <w:lang w:val="fr-CA"/>
        </w:rPr>
      </w:pPr>
      <w:r w:rsidRPr="0092652F">
        <w:rPr>
          <w:rFonts w:cs="Times New Roman"/>
          <w:lang w:val="fr-CA"/>
        </w:rPr>
        <w:tab/>
        <w:t>Traditionnellement, il a été dit que les tribunaux n’ordonneront pas l’exécution en nature des conventions d’arbitrage, en ce sens qu’ils n’ordonneront pas aux parties de recourir à l’arbitrage. Les tribunaux n’imposent pas l’arbitrage, ils sursoient plutôt à l’instance judiciaire dans certaines circonstances. [. . .] On enlève à une partie l’option de soumettre le différend à un tribunal judiciaire, c.</w:t>
      </w:r>
      <w:r w:rsidRPr="0092652F">
        <w:rPr>
          <w:rFonts w:cs="Times New Roman"/>
          <w:lang w:val="fr-CA"/>
        </w:rPr>
        <w:noBreakHyphen/>
        <w:t>à</w:t>
      </w:r>
      <w:r w:rsidRPr="0092652F">
        <w:rPr>
          <w:rFonts w:cs="Times New Roman"/>
          <w:lang w:val="fr-CA"/>
        </w:rPr>
        <w:noBreakHyphen/>
        <w:t xml:space="preserve">d. </w:t>
      </w:r>
      <w:proofErr w:type="gramStart"/>
      <w:r w:rsidRPr="0092652F">
        <w:rPr>
          <w:rFonts w:cs="Times New Roman"/>
          <w:lang w:val="fr-CA"/>
        </w:rPr>
        <w:t>que</w:t>
      </w:r>
      <w:proofErr w:type="gramEnd"/>
      <w:r w:rsidRPr="0092652F">
        <w:rPr>
          <w:rFonts w:cs="Times New Roman"/>
          <w:lang w:val="fr-CA"/>
        </w:rPr>
        <w:t xml:space="preserve"> cette partie n’a d’autre choix que de soumettre l’affaire à l’arbitrage. [Notes </w:t>
      </w:r>
      <w:r>
        <w:rPr>
          <w:rFonts w:cs="Times New Roman"/>
          <w:lang w:val="fr-CA"/>
        </w:rPr>
        <w:t>en</w:t>
      </w:r>
      <w:r w:rsidRPr="0092652F">
        <w:rPr>
          <w:rFonts w:cs="Times New Roman"/>
          <w:lang w:val="fr-CA"/>
        </w:rPr>
        <w:t xml:space="preserve"> bas de page omises; p. 3</w:t>
      </w:r>
      <w:r w:rsidRPr="0092652F">
        <w:rPr>
          <w:rFonts w:cs="Times New Roman"/>
          <w:lang w:val="fr-CA"/>
        </w:rPr>
        <w:noBreakHyphen/>
        <w:t>29.]</w:t>
      </w:r>
    </w:p>
    <w:p w:rsidR="00B618DD" w:rsidRPr="0092652F" w:rsidRDefault="00B618DD" w:rsidP="00B618DD">
      <w:pPr>
        <w:pStyle w:val="ParaNoNdepar-AltN"/>
        <w:rPr>
          <w:rFonts w:cs="Times New Roman"/>
          <w:lang w:val="fr-CA"/>
        </w:rPr>
      </w:pPr>
      <w:r w:rsidRPr="0092652F">
        <w:rPr>
          <w:rFonts w:cs="Times New Roman"/>
          <w:lang w:val="fr-CA" w:bidi="en-US"/>
        </w:rPr>
        <w:t xml:space="preserve">La politique selon laquelle les parties à une convention d’arbitrage valide devraient respecter l’entente qu’elles ont conclue donne effet au concept de l’autonomie des parties — ce qui, dans le contexte de l’arbitrage, signifie qu’elles devraient généralement avoir le droit de choisir comment régler leurs différends au moyen d’un accord consensuel (voir J. B. Casey, </w:t>
      </w:r>
      <w:r w:rsidRPr="0092652F">
        <w:rPr>
          <w:rFonts w:cs="Times New Roman"/>
          <w:i/>
          <w:lang w:val="fr-CA" w:bidi="en-US"/>
        </w:rPr>
        <w:t>Arbitration Law of Canada</w:t>
      </w:r>
      <w:r>
        <w:rPr>
          <w:rFonts w:cs="Times New Roman"/>
          <w:i/>
          <w:lang w:val="fr-CA" w:bidi="en-US"/>
        </w:rPr>
        <w:t xml:space="preserve"> </w:t>
      </w:r>
      <w:r w:rsidRPr="0092652F">
        <w:rPr>
          <w:rFonts w:cs="Times New Roman"/>
          <w:i/>
          <w:lang w:val="fr-CA" w:bidi="en-US"/>
        </w:rPr>
        <w:t xml:space="preserve">: Practice and </w:t>
      </w:r>
      <w:proofErr w:type="spellStart"/>
      <w:r w:rsidRPr="0092652F">
        <w:rPr>
          <w:rFonts w:cs="Times New Roman"/>
          <w:i/>
          <w:lang w:val="fr-CA" w:bidi="en-US"/>
        </w:rPr>
        <w:t>Procedure</w:t>
      </w:r>
      <w:proofErr w:type="spellEnd"/>
      <w:r w:rsidRPr="0092652F">
        <w:rPr>
          <w:rFonts w:cs="Times New Roman"/>
          <w:lang w:val="fr-CA" w:bidi="en-US"/>
        </w:rPr>
        <w:t xml:space="preserve"> (3</w:t>
      </w:r>
      <w:r w:rsidRPr="0092652F">
        <w:rPr>
          <w:rFonts w:cs="Times New Roman"/>
          <w:vertAlign w:val="superscript"/>
          <w:lang w:val="fr-CA" w:bidi="en-US"/>
        </w:rPr>
        <w:t>e</w:t>
      </w:r>
      <w:r w:rsidRPr="0092652F">
        <w:rPr>
          <w:rFonts w:cs="Times New Roman"/>
          <w:lang w:val="fr-CA" w:bidi="en-US"/>
        </w:rPr>
        <w:t xml:space="preserve"> éd. 2017), p. 49, 51 et 195; Alberta Law </w:t>
      </w:r>
      <w:proofErr w:type="spellStart"/>
      <w:r w:rsidRPr="0092652F">
        <w:rPr>
          <w:rFonts w:cs="Times New Roman"/>
          <w:lang w:val="fr-CA" w:bidi="en-US"/>
        </w:rPr>
        <w:t>Reform</w:t>
      </w:r>
      <w:proofErr w:type="spellEnd"/>
      <w:r w:rsidRPr="0092652F">
        <w:rPr>
          <w:rFonts w:cs="Times New Roman"/>
          <w:lang w:val="fr-CA" w:bidi="en-US"/>
        </w:rPr>
        <w:t xml:space="preserve"> Institute, Final Report No. 103, </w:t>
      </w:r>
      <w:r w:rsidRPr="0092652F">
        <w:rPr>
          <w:rFonts w:cs="Times New Roman"/>
          <w:i/>
          <w:lang w:val="fr-CA" w:bidi="en-US"/>
        </w:rPr>
        <w:t xml:space="preserve">Arbitration </w:t>
      </w:r>
      <w:proofErr w:type="spellStart"/>
      <w:r w:rsidRPr="0092652F">
        <w:rPr>
          <w:rFonts w:cs="Times New Roman"/>
          <w:i/>
          <w:lang w:val="fr-CA" w:bidi="en-US"/>
        </w:rPr>
        <w:t>Act</w:t>
      </w:r>
      <w:proofErr w:type="spellEnd"/>
      <w:r>
        <w:rPr>
          <w:rFonts w:cs="Times New Roman"/>
          <w:i/>
          <w:lang w:val="fr-CA" w:bidi="en-US"/>
        </w:rPr>
        <w:t xml:space="preserve"> </w:t>
      </w:r>
      <w:r w:rsidRPr="0092652F">
        <w:rPr>
          <w:rFonts w:cs="Times New Roman"/>
          <w:i/>
          <w:lang w:val="fr-CA" w:bidi="en-US"/>
        </w:rPr>
        <w:t xml:space="preserve">: </w:t>
      </w:r>
      <w:proofErr w:type="spellStart"/>
      <w:r w:rsidRPr="0092652F">
        <w:rPr>
          <w:rFonts w:cs="Times New Roman"/>
          <w:i/>
          <w:lang w:val="fr-CA" w:bidi="en-US"/>
        </w:rPr>
        <w:t>Stay</w:t>
      </w:r>
      <w:proofErr w:type="spellEnd"/>
      <w:r w:rsidRPr="0092652F">
        <w:rPr>
          <w:rFonts w:cs="Times New Roman"/>
          <w:i/>
          <w:lang w:val="fr-CA" w:bidi="en-US"/>
        </w:rPr>
        <w:t xml:space="preserve"> and </w:t>
      </w:r>
      <w:proofErr w:type="spellStart"/>
      <w:r w:rsidRPr="0092652F">
        <w:rPr>
          <w:rFonts w:cs="Times New Roman"/>
          <w:i/>
          <w:lang w:val="fr-CA" w:bidi="en-US"/>
        </w:rPr>
        <w:t>Appeal</w:t>
      </w:r>
      <w:proofErr w:type="spellEnd"/>
      <w:r w:rsidRPr="0092652F">
        <w:rPr>
          <w:rFonts w:cs="Times New Roman"/>
          <w:i/>
          <w:lang w:val="fr-CA" w:bidi="en-US"/>
        </w:rPr>
        <w:t xml:space="preserve"> Issues </w:t>
      </w:r>
      <w:r w:rsidRPr="0092652F">
        <w:rPr>
          <w:rFonts w:cs="Times New Roman"/>
          <w:lang w:val="fr-CA" w:bidi="en-US"/>
        </w:rPr>
        <w:t>(2013), par. 10). L’arbitrage consensuel et l’autonomie des parties sont indissociables — la convention d’arbitrage est [</w:t>
      </w:r>
      <w:r w:rsidRPr="0092652F">
        <w:rPr>
          <w:rFonts w:cs="Times New Roman"/>
          <w:smallCaps/>
          <w:lang w:val="fr-CA" w:bidi="en-US"/>
        </w:rPr>
        <w:t>traduction</w:t>
      </w:r>
      <w:r w:rsidRPr="0092652F">
        <w:rPr>
          <w:rFonts w:cs="Times New Roman"/>
          <w:lang w:val="fr-CA" w:bidi="en-US"/>
        </w:rPr>
        <w:t>] « le produit de l’autonomie des parties [. . .] [et] cristallise leur consentement » à l’égard du règlement privé de différends (M. </w:t>
      </w:r>
      <w:proofErr w:type="spellStart"/>
      <w:r w:rsidRPr="0092652F">
        <w:rPr>
          <w:rFonts w:cs="Times New Roman"/>
          <w:lang w:val="fr-CA" w:bidi="en-US"/>
        </w:rPr>
        <w:t>Pavlovi</w:t>
      </w:r>
      <w:r w:rsidRPr="0092652F">
        <w:rPr>
          <w:rFonts w:cs="Times New Roman"/>
          <w:bCs/>
          <w:lang w:val="fr-CA" w:bidi="en-US"/>
        </w:rPr>
        <w:t>ć</w:t>
      </w:r>
      <w:proofErr w:type="spellEnd"/>
      <w:r w:rsidRPr="0092652F">
        <w:rPr>
          <w:rFonts w:cs="Times New Roman"/>
          <w:bCs/>
          <w:lang w:val="fr-CA" w:bidi="en-US"/>
        </w:rPr>
        <w:t xml:space="preserve"> et A. </w:t>
      </w:r>
      <w:proofErr w:type="spellStart"/>
      <w:r w:rsidRPr="0092652F">
        <w:rPr>
          <w:rFonts w:cs="Times New Roman"/>
          <w:bCs/>
          <w:lang w:val="fr-CA" w:bidi="en-US"/>
        </w:rPr>
        <w:t>Daimsis</w:t>
      </w:r>
      <w:proofErr w:type="spellEnd"/>
      <w:r w:rsidRPr="0092652F">
        <w:rPr>
          <w:rFonts w:cs="Times New Roman"/>
          <w:bCs/>
          <w:lang w:val="fr-CA" w:bidi="en-US"/>
        </w:rPr>
        <w:t xml:space="preserve">, « Arbitration », dans J. C. </w:t>
      </w:r>
      <w:proofErr w:type="spellStart"/>
      <w:r w:rsidRPr="0092652F">
        <w:rPr>
          <w:rFonts w:cs="Times New Roman"/>
          <w:bCs/>
          <w:lang w:val="fr-CA" w:bidi="en-US"/>
        </w:rPr>
        <w:t>Kleefeld</w:t>
      </w:r>
      <w:proofErr w:type="spellEnd"/>
      <w:r w:rsidRPr="0092652F">
        <w:rPr>
          <w:rFonts w:cs="Times New Roman"/>
          <w:bCs/>
          <w:lang w:val="fr-CA" w:bidi="en-US"/>
        </w:rPr>
        <w:t xml:space="preserve"> et </w:t>
      </w:r>
      <w:r>
        <w:rPr>
          <w:rFonts w:cs="Times New Roman"/>
          <w:bCs/>
          <w:lang w:val="fr-CA" w:bidi="en-US"/>
        </w:rPr>
        <w:t>autres,</w:t>
      </w:r>
      <w:r w:rsidRPr="0092652F">
        <w:rPr>
          <w:rFonts w:cs="Times New Roman"/>
          <w:bCs/>
          <w:lang w:val="fr-CA" w:bidi="en-US"/>
        </w:rPr>
        <w:t xml:space="preserve"> </w:t>
      </w:r>
      <w:proofErr w:type="spellStart"/>
      <w:proofErr w:type="gramStart"/>
      <w:r>
        <w:rPr>
          <w:rFonts w:cs="Times New Roman"/>
          <w:bCs/>
          <w:lang w:val="fr-CA" w:bidi="en-US"/>
        </w:rPr>
        <w:t>dir</w:t>
      </w:r>
      <w:proofErr w:type="spellEnd"/>
      <w:r w:rsidRPr="0092652F">
        <w:rPr>
          <w:rFonts w:cs="Times New Roman"/>
          <w:bCs/>
          <w:lang w:val="fr-CA" w:bidi="en-US"/>
        </w:rPr>
        <w:t>.,</w:t>
      </w:r>
      <w:proofErr w:type="gramEnd"/>
      <w:r w:rsidRPr="0092652F">
        <w:rPr>
          <w:rFonts w:cs="Times New Roman"/>
          <w:bCs/>
          <w:lang w:val="fr-CA" w:bidi="en-US"/>
        </w:rPr>
        <w:t xml:space="preserve"> </w:t>
      </w:r>
      <w:r w:rsidRPr="0092652F">
        <w:rPr>
          <w:rFonts w:cs="Times New Roman"/>
          <w:bCs/>
          <w:i/>
          <w:lang w:val="fr-CA" w:bidi="en-US"/>
        </w:rPr>
        <w:t xml:space="preserve">Dispute </w:t>
      </w:r>
      <w:proofErr w:type="spellStart"/>
      <w:r w:rsidRPr="0092652F">
        <w:rPr>
          <w:rFonts w:cs="Times New Roman"/>
          <w:bCs/>
          <w:i/>
          <w:lang w:val="fr-CA" w:bidi="en-US"/>
        </w:rPr>
        <w:t>Resolution</w:t>
      </w:r>
      <w:proofErr w:type="spellEnd"/>
      <w:r>
        <w:rPr>
          <w:rFonts w:cs="Times New Roman"/>
          <w:bCs/>
          <w:i/>
          <w:lang w:val="fr-CA" w:bidi="en-US"/>
        </w:rPr>
        <w:t xml:space="preserve"> </w:t>
      </w:r>
      <w:r w:rsidRPr="0092652F">
        <w:rPr>
          <w:rFonts w:cs="Times New Roman"/>
          <w:bCs/>
          <w:i/>
          <w:lang w:val="fr-CA" w:bidi="en-US"/>
        </w:rPr>
        <w:t xml:space="preserve">: </w:t>
      </w:r>
      <w:proofErr w:type="spellStart"/>
      <w:r w:rsidRPr="0092652F">
        <w:rPr>
          <w:rFonts w:cs="Times New Roman"/>
          <w:bCs/>
          <w:i/>
          <w:lang w:val="fr-CA" w:bidi="en-US"/>
        </w:rPr>
        <w:t>Readings</w:t>
      </w:r>
      <w:proofErr w:type="spellEnd"/>
      <w:r w:rsidRPr="0092652F">
        <w:rPr>
          <w:rFonts w:cs="Times New Roman"/>
          <w:bCs/>
          <w:i/>
          <w:lang w:val="fr-CA" w:bidi="en-US"/>
        </w:rPr>
        <w:t xml:space="preserve"> and Case </w:t>
      </w:r>
      <w:proofErr w:type="spellStart"/>
      <w:r w:rsidRPr="0092652F">
        <w:rPr>
          <w:rFonts w:cs="Times New Roman"/>
          <w:bCs/>
          <w:i/>
          <w:lang w:val="fr-CA" w:bidi="en-US"/>
        </w:rPr>
        <w:t>Studies</w:t>
      </w:r>
      <w:proofErr w:type="spellEnd"/>
      <w:r w:rsidRPr="0092652F">
        <w:rPr>
          <w:rFonts w:cs="Times New Roman"/>
          <w:bCs/>
          <w:lang w:val="fr-CA" w:bidi="en-US"/>
        </w:rPr>
        <w:t xml:space="preserve"> (4</w:t>
      </w:r>
      <w:r w:rsidRPr="0092652F">
        <w:rPr>
          <w:rFonts w:cs="Times New Roman"/>
          <w:bCs/>
          <w:vertAlign w:val="superscript"/>
          <w:lang w:val="fr-CA" w:bidi="en-US"/>
        </w:rPr>
        <w:t>e</w:t>
      </w:r>
      <w:r>
        <w:rPr>
          <w:rFonts w:cs="Times New Roman"/>
          <w:bCs/>
          <w:lang w:val="fr-CA" w:bidi="en-US"/>
        </w:rPr>
        <w:t> éd. 2016</w:t>
      </w:r>
      <w:r w:rsidRPr="0092652F">
        <w:rPr>
          <w:rFonts w:cs="Times New Roman"/>
          <w:bCs/>
          <w:lang w:val="fr-CA" w:bidi="en-US"/>
        </w:rPr>
        <w:t xml:space="preserve">), p. 485). Elle </w:t>
      </w:r>
      <w:r w:rsidRPr="0092652F">
        <w:rPr>
          <w:rFonts w:cs="Times New Roman"/>
          <w:lang w:val="fr-CA" w:bidi="en-US"/>
        </w:rPr>
        <w:t>[</w:t>
      </w:r>
      <w:r w:rsidRPr="0092652F">
        <w:rPr>
          <w:rFonts w:cs="Times New Roman"/>
          <w:smallCaps/>
          <w:lang w:val="fr-CA" w:bidi="en-US"/>
        </w:rPr>
        <w:t>traduction</w:t>
      </w:r>
      <w:r w:rsidRPr="0092652F">
        <w:rPr>
          <w:rFonts w:cs="Times New Roman"/>
          <w:lang w:val="fr-CA" w:bidi="en-US"/>
        </w:rPr>
        <w:t>] « est essentiellement une création contractuelle, un contrat par lequel les parties chargent elles</w:t>
      </w:r>
      <w:r w:rsidRPr="0092652F">
        <w:rPr>
          <w:rFonts w:cs="Times New Roman"/>
          <w:lang w:val="fr-CA" w:bidi="en-US"/>
        </w:rPr>
        <w:noBreakHyphen/>
        <w:t>mêmes un tribunal privé de résoudre leurs différends » (</w:t>
      </w:r>
      <w:r>
        <w:rPr>
          <w:rFonts w:cs="Times New Roman"/>
          <w:i/>
          <w:iCs/>
          <w:lang w:val="fr-CA" w:bidi="en-US"/>
        </w:rPr>
        <w:t xml:space="preserve">Astoria </w:t>
      </w:r>
      <w:proofErr w:type="spellStart"/>
      <w:r>
        <w:rPr>
          <w:rFonts w:cs="Times New Roman"/>
          <w:i/>
          <w:iCs/>
          <w:lang w:val="fr-CA" w:bidi="en-US"/>
        </w:rPr>
        <w:t>Medical</w:t>
      </w:r>
      <w:proofErr w:type="spellEnd"/>
      <w:r>
        <w:rPr>
          <w:rFonts w:cs="Times New Roman"/>
          <w:i/>
          <w:iCs/>
          <w:lang w:val="fr-CA" w:bidi="en-US"/>
        </w:rPr>
        <w:t xml:space="preserve"> Group c</w:t>
      </w:r>
      <w:r w:rsidRPr="0092652F">
        <w:rPr>
          <w:rFonts w:cs="Times New Roman"/>
          <w:i/>
          <w:iCs/>
          <w:lang w:val="fr-CA" w:bidi="en-US"/>
        </w:rPr>
        <w:t xml:space="preserve">. </w:t>
      </w:r>
      <w:proofErr w:type="spellStart"/>
      <w:r w:rsidRPr="0092652F">
        <w:rPr>
          <w:rFonts w:cs="Times New Roman"/>
          <w:i/>
          <w:iCs/>
          <w:lang w:val="fr-CA" w:bidi="en-US"/>
        </w:rPr>
        <w:t>Health</w:t>
      </w:r>
      <w:proofErr w:type="spellEnd"/>
      <w:r w:rsidRPr="0092652F">
        <w:rPr>
          <w:rFonts w:cs="Times New Roman"/>
          <w:i/>
          <w:iCs/>
          <w:lang w:val="fr-CA" w:bidi="en-US"/>
        </w:rPr>
        <w:t xml:space="preserve"> </w:t>
      </w:r>
      <w:proofErr w:type="spellStart"/>
      <w:r w:rsidRPr="0092652F">
        <w:rPr>
          <w:rFonts w:cs="Times New Roman"/>
          <w:i/>
          <w:iCs/>
          <w:lang w:val="fr-CA" w:bidi="en-US"/>
        </w:rPr>
        <w:t>Insurance</w:t>
      </w:r>
      <w:proofErr w:type="spellEnd"/>
      <w:r w:rsidRPr="0092652F">
        <w:rPr>
          <w:rFonts w:cs="Times New Roman"/>
          <w:i/>
          <w:iCs/>
          <w:lang w:val="fr-CA" w:bidi="en-US"/>
        </w:rPr>
        <w:t xml:space="preserve"> Plan of </w:t>
      </w:r>
      <w:proofErr w:type="spellStart"/>
      <w:r w:rsidRPr="0092652F">
        <w:rPr>
          <w:rFonts w:cs="Times New Roman"/>
          <w:i/>
          <w:iCs/>
          <w:lang w:val="fr-CA" w:bidi="en-US"/>
        </w:rPr>
        <w:t>Greater</w:t>
      </w:r>
      <w:proofErr w:type="spellEnd"/>
      <w:r w:rsidRPr="0092652F">
        <w:rPr>
          <w:rFonts w:cs="Times New Roman"/>
          <w:i/>
          <w:iCs/>
          <w:lang w:val="fr-CA" w:bidi="en-US"/>
        </w:rPr>
        <w:t xml:space="preserve"> New York</w:t>
      </w:r>
      <w:r w:rsidRPr="0092652F">
        <w:rPr>
          <w:rFonts w:cs="Times New Roman"/>
          <w:lang w:val="fr-CA" w:bidi="en-US"/>
        </w:rPr>
        <w:t xml:space="preserve">, 182 N.E.2d 85 (N.Y. 1962), p. 87, cité dans </w:t>
      </w:r>
      <w:proofErr w:type="spellStart"/>
      <w:r w:rsidRPr="0092652F">
        <w:rPr>
          <w:rFonts w:cs="Times New Roman"/>
          <w:i/>
          <w:lang w:val="fr-CA" w:bidi="en-US"/>
        </w:rPr>
        <w:t>Re</w:t>
      </w:r>
      <w:proofErr w:type="spellEnd"/>
      <w:r w:rsidRPr="0092652F">
        <w:rPr>
          <w:rFonts w:cs="Times New Roman"/>
          <w:i/>
          <w:lang w:val="fr-CA" w:bidi="en-US"/>
        </w:rPr>
        <w:t xml:space="preserve"> </w:t>
      </w:r>
      <w:r w:rsidRPr="0092652F">
        <w:rPr>
          <w:rFonts w:cs="Times New Roman"/>
          <w:i/>
          <w:iCs/>
          <w:lang w:val="fr-CA" w:bidi="en-US"/>
        </w:rPr>
        <w:t xml:space="preserve">Arbitration </w:t>
      </w:r>
      <w:proofErr w:type="spellStart"/>
      <w:r w:rsidRPr="0092652F">
        <w:rPr>
          <w:rFonts w:cs="Times New Roman"/>
          <w:i/>
          <w:iCs/>
          <w:lang w:val="fr-CA" w:bidi="en-US"/>
        </w:rPr>
        <w:t>Act</w:t>
      </w:r>
      <w:proofErr w:type="spellEnd"/>
      <w:r w:rsidRPr="0092652F">
        <w:rPr>
          <w:rFonts w:cs="Times New Roman"/>
          <w:i/>
          <w:iCs/>
          <w:lang w:val="fr-CA" w:bidi="en-US"/>
        </w:rPr>
        <w:t xml:space="preserve"> </w:t>
      </w:r>
      <w:r w:rsidRPr="0092652F">
        <w:rPr>
          <w:rFonts w:cs="Times New Roman"/>
          <w:lang w:val="fr-CA" w:bidi="en-US"/>
        </w:rPr>
        <w:t xml:space="preserve">(1964), 47 W.W.R. 544 (C.S. </w:t>
      </w:r>
      <w:proofErr w:type="spellStart"/>
      <w:r w:rsidRPr="0092652F">
        <w:rPr>
          <w:rFonts w:cs="Times New Roman"/>
          <w:lang w:val="fr-CA" w:bidi="en-US"/>
        </w:rPr>
        <w:t>Alb</w:t>
      </w:r>
      <w:proofErr w:type="spellEnd"/>
      <w:r w:rsidRPr="0092652F">
        <w:rPr>
          <w:rFonts w:cs="Times New Roman"/>
          <w:lang w:val="fr-CA" w:bidi="en-US"/>
        </w:rPr>
        <w:t>.), p. 555).</w:t>
      </w:r>
    </w:p>
    <w:p w:rsidR="00B618DD" w:rsidRPr="0092652F" w:rsidRDefault="00B618DD" w:rsidP="00B618DD">
      <w:pPr>
        <w:pStyle w:val="ParaNoNdepar-AltN"/>
        <w:rPr>
          <w:rFonts w:cs="Times New Roman"/>
          <w:lang w:val="fr-CA"/>
        </w:rPr>
      </w:pPr>
      <w:r w:rsidRPr="0092652F">
        <w:rPr>
          <w:rFonts w:cs="Times New Roman"/>
          <w:lang w:val="fr-CA" w:bidi="en-US"/>
        </w:rPr>
        <w:t>Bien entendu, le concept d’autonomie des parties, qui est toujours en jeu — à tout le moins dans une certaine mesure — lorsqu’il est question de conventions d’arbitrage, a plus ou moins de poids selon le contexte. Par exemple, il en a moins dans le contexte des contrats non négociés, « à prendre ou à laisser », que dans le contexte des accords entièrement négociés. Il n’est donc pas surprenant que les législatures canadiennes aient adopté diverses lois de protection des consommateurs — les parties contractantes les plus faibles et les plus vulnérables (</w:t>
      </w:r>
      <w:r w:rsidRPr="0092652F">
        <w:rPr>
          <w:rFonts w:cs="Times New Roman"/>
          <w:i/>
          <w:lang w:val="fr-CA" w:bidi="en-US"/>
        </w:rPr>
        <w:t>Dell</w:t>
      </w:r>
      <w:r w:rsidRPr="0092652F">
        <w:rPr>
          <w:rFonts w:cs="Times New Roman"/>
          <w:lang w:val="fr-CA" w:bidi="en-US"/>
        </w:rPr>
        <w:t>, par. 90) — contre les résultats potentiellement sévères de l’application des conventions d’arbitrage contenues dans les conventions de consommation, qui prennent souvent la forme de contrats types.</w:t>
      </w:r>
    </w:p>
    <w:p w:rsidR="00B618DD" w:rsidRPr="0092652F" w:rsidRDefault="00B618DD" w:rsidP="00B618DD">
      <w:pPr>
        <w:pStyle w:val="ParaNoNdepar-AltN"/>
        <w:rPr>
          <w:rFonts w:cs="Times New Roman"/>
          <w:lang w:val="fr-CA"/>
        </w:rPr>
      </w:pPr>
      <w:r w:rsidRPr="0092652F">
        <w:rPr>
          <w:rFonts w:cs="Times New Roman"/>
          <w:lang w:val="fr-CA"/>
        </w:rPr>
        <w:t xml:space="preserve">Cela dit, depuis l’adoption de la </w:t>
      </w:r>
      <w:r w:rsidRPr="0092652F">
        <w:rPr>
          <w:rFonts w:cs="Times New Roman"/>
          <w:i/>
          <w:lang w:val="fr-CA"/>
        </w:rPr>
        <w:t>Loi sur l’arbitrage</w:t>
      </w:r>
      <w:r w:rsidRPr="0092652F">
        <w:rPr>
          <w:rFonts w:cs="Times New Roman"/>
          <w:lang w:val="fr-CA"/>
        </w:rPr>
        <w:t xml:space="preserve">, la jurisprudence </w:t>
      </w:r>
      <w:r w:rsidRPr="0092652F">
        <w:rPr>
          <w:rFonts w:eastAsia="Times New Roman" w:cs="Times New Roman"/>
          <w:szCs w:val="24"/>
          <w:lang w:val="fr-CA" w:eastAsia="en-CA" w:bidi="en-US"/>
        </w:rPr>
        <w:t xml:space="preserve">— tant celle de la Cour que celle des cours ontariennes — a établi de façon constante que les tribunaux doivent faire preuve de déférence à l’égard des conventions d’arbitrage et de l’arbitrage en général, particulièrement dans le contexte commercial. Par exemple, dans l’arrêt </w:t>
      </w:r>
      <w:proofErr w:type="spellStart"/>
      <w:r w:rsidRPr="0092652F">
        <w:rPr>
          <w:rFonts w:eastAsia="Times New Roman" w:cs="Times New Roman"/>
          <w:i/>
          <w:iCs/>
          <w:szCs w:val="24"/>
          <w:lang w:val="fr-CA" w:eastAsia="en-CA" w:bidi="en-US"/>
        </w:rPr>
        <w:t>Desputeaux</w:t>
      </w:r>
      <w:proofErr w:type="spellEnd"/>
      <w:r w:rsidRPr="0092652F">
        <w:rPr>
          <w:rFonts w:eastAsia="Times New Roman" w:cs="Times New Roman"/>
          <w:szCs w:val="24"/>
          <w:lang w:val="fr-CA" w:eastAsia="en-CA" w:bidi="en-US"/>
        </w:rPr>
        <w:t xml:space="preserve">, le juge </w:t>
      </w:r>
      <w:proofErr w:type="spellStart"/>
      <w:r w:rsidRPr="0092652F">
        <w:rPr>
          <w:rFonts w:eastAsia="Times New Roman" w:cs="Times New Roman"/>
          <w:szCs w:val="24"/>
          <w:lang w:val="fr-CA" w:eastAsia="en-CA" w:bidi="en-US"/>
        </w:rPr>
        <w:t>LeBel</w:t>
      </w:r>
      <w:proofErr w:type="spellEnd"/>
      <w:r w:rsidRPr="0092652F">
        <w:rPr>
          <w:rFonts w:eastAsia="Times New Roman" w:cs="Times New Roman"/>
          <w:szCs w:val="24"/>
          <w:lang w:val="fr-CA" w:eastAsia="en-CA" w:bidi="en-US"/>
        </w:rPr>
        <w:t xml:space="preserve"> a noté l’existence d’un « mouvement jurisprudentiel et législatif qui [. . .] accepte et même favorise le recours à l’arbitrage civil et commercial » (par. 38). Dans l’arrêt </w:t>
      </w:r>
      <w:r w:rsidRPr="0092652F">
        <w:rPr>
          <w:rFonts w:eastAsia="Times New Roman" w:cs="Times New Roman"/>
          <w:i/>
          <w:szCs w:val="24"/>
          <w:lang w:val="fr-CA" w:eastAsia="en-CA" w:bidi="en-US"/>
        </w:rPr>
        <w:t>Seidel</w:t>
      </w:r>
      <w:r w:rsidRPr="0092652F">
        <w:rPr>
          <w:rFonts w:eastAsia="Times New Roman" w:cs="Times New Roman"/>
          <w:szCs w:val="24"/>
          <w:lang w:val="fr-CA" w:eastAsia="en-CA" w:bidi="en-US"/>
        </w:rPr>
        <w:t xml:space="preserve">, le juge </w:t>
      </w:r>
      <w:proofErr w:type="spellStart"/>
      <w:r w:rsidRPr="0092652F">
        <w:rPr>
          <w:rFonts w:eastAsia="Times New Roman" w:cs="Times New Roman"/>
          <w:szCs w:val="24"/>
          <w:lang w:val="fr-CA" w:eastAsia="en-CA" w:bidi="en-US"/>
        </w:rPr>
        <w:t>Binnie</w:t>
      </w:r>
      <w:proofErr w:type="spellEnd"/>
      <w:r w:rsidRPr="0092652F">
        <w:rPr>
          <w:rFonts w:eastAsia="Times New Roman" w:cs="Times New Roman"/>
          <w:szCs w:val="24"/>
          <w:lang w:val="fr-CA" w:eastAsia="en-CA" w:bidi="en-US"/>
        </w:rPr>
        <w:t xml:space="preserve"> a affirmé que « [l]es avantages de l’arbitrage commercial ont été reconnus et accueillis favorablement par </w:t>
      </w:r>
      <w:r>
        <w:rPr>
          <w:rFonts w:eastAsia="Times New Roman" w:cs="Times New Roman"/>
          <w:szCs w:val="24"/>
          <w:lang w:val="fr-CA" w:eastAsia="en-CA" w:bidi="en-US"/>
        </w:rPr>
        <w:t>notre</w:t>
      </w:r>
      <w:r w:rsidRPr="0092652F">
        <w:rPr>
          <w:rFonts w:eastAsia="Times New Roman" w:cs="Times New Roman"/>
          <w:szCs w:val="24"/>
          <w:lang w:val="fr-CA" w:eastAsia="en-CA" w:bidi="en-US"/>
        </w:rPr>
        <w:t xml:space="preserve"> Cour » (par. 23) et que, « </w:t>
      </w:r>
      <w:r>
        <w:rPr>
          <w:rFonts w:eastAsia="Times New Roman" w:cs="Times New Roman"/>
          <w:szCs w:val="24"/>
          <w:lang w:val="fr-CA" w:eastAsia="en-CA" w:bidi="en-US"/>
        </w:rPr>
        <w:t>e</w:t>
      </w:r>
      <w:r w:rsidRPr="0092652F">
        <w:rPr>
          <w:rFonts w:eastAsia="Times New Roman" w:cs="Times New Roman"/>
          <w:szCs w:val="24"/>
          <w:lang w:val="fr-CA" w:eastAsia="en-CA" w:bidi="en-US"/>
        </w:rPr>
        <w:t>n l’absence de disposition contraire de la loi » (par. 42 (italique omis)), « les tribunaux donnent généralement effet aux clauses d’un contrat commercial librement conclu dans lequel figure une clause d’arbitrage, et ce, même s’il s’agit d’un contrat d’adhésion »</w:t>
      </w:r>
      <w:r w:rsidRPr="0092652F">
        <w:rPr>
          <w:rFonts w:cs="Times New Roman"/>
          <w:lang w:val="fr-CA" w:bidi="en-US"/>
        </w:rPr>
        <w:t xml:space="preserve"> (par. 2). Plus récemment, la Cour d’appel de l’Ontario a fait remarquer que [</w:t>
      </w:r>
      <w:r w:rsidRPr="0092652F">
        <w:rPr>
          <w:rFonts w:cs="Times New Roman"/>
          <w:smallCaps/>
          <w:lang w:val="fr-CA" w:bidi="en-US"/>
        </w:rPr>
        <w:t>traduction</w:t>
      </w:r>
      <w:r w:rsidRPr="0092652F">
        <w:rPr>
          <w:rFonts w:cs="Times New Roman"/>
          <w:lang w:val="fr-CA" w:bidi="en-US"/>
        </w:rPr>
        <w:t>] « [l]e droit préconise qu’il soit donné effet aux conventions d’arbitrage. Cela ressort clairement tant de la loi que de la jurisprudence » (</w:t>
      </w:r>
      <w:r w:rsidRPr="0092652F">
        <w:rPr>
          <w:rFonts w:cs="Times New Roman"/>
          <w:i/>
          <w:lang w:val="fr-CA" w:bidi="en-US"/>
        </w:rPr>
        <w:t xml:space="preserve">Haas c. </w:t>
      </w:r>
      <w:proofErr w:type="spellStart"/>
      <w:r w:rsidRPr="0092652F">
        <w:rPr>
          <w:rFonts w:cs="Times New Roman"/>
          <w:i/>
          <w:lang w:val="fr-CA" w:bidi="en-US"/>
        </w:rPr>
        <w:t>Gunasekaram</w:t>
      </w:r>
      <w:proofErr w:type="spellEnd"/>
      <w:r w:rsidRPr="0092652F">
        <w:rPr>
          <w:rFonts w:cs="Times New Roman"/>
          <w:lang w:val="fr-CA" w:bidi="en-US"/>
        </w:rPr>
        <w:t>, 2016 ONCA 744, 62 B.L.R. (5th) 1, par. 10).</w:t>
      </w:r>
    </w:p>
    <w:p w:rsidR="00B618DD" w:rsidRPr="0092652F" w:rsidRDefault="00B618DD" w:rsidP="00B618DD">
      <w:pPr>
        <w:pStyle w:val="ParaNoNdepar-AltN"/>
        <w:rPr>
          <w:rFonts w:cs="Times New Roman"/>
          <w:lang w:val="fr-CA"/>
        </w:rPr>
      </w:pPr>
      <w:r w:rsidRPr="0092652F">
        <w:rPr>
          <w:rFonts w:cs="Times New Roman"/>
          <w:lang w:val="fr-CA"/>
        </w:rPr>
        <w:t xml:space="preserve">La politique selon laquelle les parties à une convention d’arbitrage valide devraient respecter l’entente qu’elles ont conclue va de pair avec le principe de l’intervention limitée des tribunaux dans le contexte de l’arbitrage. Ce principe est exprimé à maintes reprises dans la législation canadienne moderne en matière d’arbitrage (voir McEwan et </w:t>
      </w:r>
      <w:proofErr w:type="spellStart"/>
      <w:r w:rsidRPr="0092652F">
        <w:rPr>
          <w:rFonts w:cs="Times New Roman"/>
          <w:lang w:val="fr-CA"/>
        </w:rPr>
        <w:t>Herbst</w:t>
      </w:r>
      <w:proofErr w:type="spellEnd"/>
      <w:r w:rsidRPr="0092652F">
        <w:rPr>
          <w:rFonts w:cs="Times New Roman"/>
          <w:lang w:val="fr-CA"/>
        </w:rPr>
        <w:t xml:space="preserve">, </w:t>
      </w:r>
      <w:r w:rsidRPr="0092652F">
        <w:rPr>
          <w:rFonts w:cs="Times New Roman"/>
          <w:bCs/>
          <w:lang w:val="fr-CA" w:bidi="en-CA"/>
        </w:rPr>
        <w:t>p. 10</w:t>
      </w:r>
      <w:r w:rsidRPr="0092652F">
        <w:rPr>
          <w:rFonts w:cs="Times New Roman"/>
          <w:bCs/>
          <w:lang w:val="fr-CA" w:bidi="en-CA"/>
        </w:rPr>
        <w:noBreakHyphen/>
        <w:t>7 à 10</w:t>
      </w:r>
      <w:r w:rsidRPr="0092652F">
        <w:rPr>
          <w:rFonts w:cs="Times New Roman"/>
          <w:bCs/>
          <w:lang w:val="fr-CA" w:bidi="en-CA"/>
        </w:rPr>
        <w:noBreakHyphen/>
        <w:t>11</w:t>
      </w:r>
      <w:r w:rsidRPr="0092652F">
        <w:rPr>
          <w:rFonts w:cs="Times New Roman"/>
          <w:lang w:val="fr-CA"/>
        </w:rPr>
        <w:t>; Casey, p. 319) et a été décrit comme étant un [</w:t>
      </w:r>
      <w:r w:rsidRPr="0092652F">
        <w:rPr>
          <w:rFonts w:cs="Times New Roman"/>
          <w:smallCaps/>
          <w:lang w:val="fr-CA"/>
        </w:rPr>
        <w:t>traduction</w:t>
      </w:r>
      <w:r w:rsidRPr="0092652F">
        <w:rPr>
          <w:rFonts w:cs="Times New Roman"/>
          <w:lang w:val="fr-CA"/>
        </w:rPr>
        <w:t>] « principe fondamental qui sous</w:t>
      </w:r>
      <w:r w:rsidRPr="0092652F">
        <w:rPr>
          <w:rFonts w:cs="Times New Roman"/>
          <w:lang w:val="fr-CA"/>
        </w:rPr>
        <w:noBreakHyphen/>
        <w:t xml:space="preserve">tend la législation en matière d’arbitrage » (Alberta Law </w:t>
      </w:r>
      <w:proofErr w:type="spellStart"/>
      <w:r w:rsidRPr="0092652F">
        <w:rPr>
          <w:rFonts w:cs="Times New Roman"/>
          <w:lang w:val="fr-CA"/>
        </w:rPr>
        <w:t>Reform</w:t>
      </w:r>
      <w:proofErr w:type="spellEnd"/>
      <w:r w:rsidRPr="0092652F">
        <w:rPr>
          <w:rFonts w:cs="Times New Roman"/>
          <w:lang w:val="fr-CA"/>
        </w:rPr>
        <w:t xml:space="preserve"> Institute, par. 19). Il est consacré le plus visiblement </w:t>
      </w:r>
      <w:proofErr w:type="gramStart"/>
      <w:r w:rsidRPr="0092652F">
        <w:rPr>
          <w:rFonts w:cs="Times New Roman"/>
          <w:lang w:val="fr-CA"/>
        </w:rPr>
        <w:t>aux art</w:t>
      </w:r>
      <w:proofErr w:type="gramEnd"/>
      <w:r w:rsidRPr="0092652F">
        <w:rPr>
          <w:rFonts w:cs="Times New Roman"/>
          <w:lang w:val="fr-CA"/>
        </w:rPr>
        <w:t xml:space="preserve">. 6 et 7 de la </w:t>
      </w:r>
      <w:r w:rsidRPr="0092652F">
        <w:rPr>
          <w:rFonts w:cs="Times New Roman"/>
          <w:i/>
          <w:lang w:val="fr-CA"/>
        </w:rPr>
        <w:t>Loi sur l’arbitrage</w:t>
      </w:r>
      <w:r w:rsidRPr="0092652F">
        <w:rPr>
          <w:rFonts w:cs="Times New Roman"/>
          <w:lang w:val="fr-CA"/>
        </w:rPr>
        <w:t xml:space="preserve">, qui se </w:t>
      </w:r>
      <w:proofErr w:type="gramStart"/>
      <w:r w:rsidRPr="0092652F">
        <w:rPr>
          <w:rFonts w:cs="Times New Roman"/>
          <w:lang w:val="fr-CA"/>
        </w:rPr>
        <w:t>trouvent</w:t>
      </w:r>
      <w:proofErr w:type="gramEnd"/>
      <w:r w:rsidRPr="0092652F">
        <w:rPr>
          <w:rFonts w:cs="Times New Roman"/>
          <w:lang w:val="fr-CA"/>
        </w:rPr>
        <w:t xml:space="preserve"> tous les deux dans la section intitulée « Intervention du tribunal judiciaire ». L’article 6 est ainsi libellé :</w:t>
      </w:r>
    </w:p>
    <w:p w:rsidR="00B618DD" w:rsidRPr="0092652F" w:rsidRDefault="00B618DD" w:rsidP="00B618DD">
      <w:pPr>
        <w:pStyle w:val="CITATION"/>
        <w:spacing w:after="240"/>
        <w:ind w:left="1134" w:hanging="605"/>
        <w:rPr>
          <w:rFonts w:cs="Times New Roman"/>
          <w:b/>
          <w:lang w:val="fr-CA"/>
        </w:rPr>
      </w:pPr>
      <w:r w:rsidRPr="0092652F">
        <w:rPr>
          <w:rFonts w:cs="Times New Roman"/>
          <w:b/>
          <w:lang w:val="fr-CA"/>
        </w:rPr>
        <w:tab/>
        <w:t>Intervention limitée du tribunal judiciaire</w:t>
      </w:r>
    </w:p>
    <w:p w:rsidR="00B618DD" w:rsidRPr="0092652F" w:rsidRDefault="00B618DD" w:rsidP="00B618DD">
      <w:pPr>
        <w:pStyle w:val="CITATION"/>
        <w:spacing w:after="240"/>
        <w:ind w:left="1134" w:right="58" w:hanging="605"/>
        <w:rPr>
          <w:rFonts w:cs="Times New Roman"/>
          <w:lang w:val="fr-CA"/>
        </w:rPr>
      </w:pPr>
      <w:r w:rsidRPr="0092652F">
        <w:rPr>
          <w:rFonts w:cs="Times New Roman"/>
          <w:b/>
          <w:lang w:val="fr-CA"/>
        </w:rPr>
        <w:tab/>
        <w:t xml:space="preserve">6 </w:t>
      </w:r>
      <w:r w:rsidRPr="0092652F">
        <w:rPr>
          <w:rFonts w:cs="Times New Roman"/>
          <w:lang w:val="fr-CA"/>
        </w:rPr>
        <w:t>Aucun tribunal judiciaire ne doit intervenir dans les questions régies par la présente loi, sauf dans les cas prévus par celle</w:t>
      </w:r>
      <w:r w:rsidRPr="0092652F">
        <w:rPr>
          <w:rFonts w:cs="Times New Roman"/>
          <w:lang w:val="fr-CA"/>
        </w:rPr>
        <w:noBreakHyphen/>
        <w:t>ci et pour les objets suivants :</w:t>
      </w:r>
    </w:p>
    <w:p w:rsidR="00B618DD" w:rsidRPr="0092652F" w:rsidRDefault="00B618DD" w:rsidP="00B618DD">
      <w:pPr>
        <w:pStyle w:val="CITATION"/>
        <w:spacing w:after="240"/>
        <w:ind w:left="1710" w:hanging="900"/>
        <w:rPr>
          <w:rFonts w:cs="Times New Roman"/>
          <w:lang w:val="fr-CA"/>
        </w:rPr>
      </w:pPr>
      <w:r>
        <w:rPr>
          <w:rFonts w:cs="Times New Roman"/>
          <w:lang w:val="fr-CA"/>
        </w:rPr>
        <w:tab/>
        <w:t xml:space="preserve">1. </w:t>
      </w:r>
      <w:r w:rsidRPr="0092652F">
        <w:rPr>
          <w:rFonts w:cs="Times New Roman"/>
          <w:lang w:val="fr-CA"/>
        </w:rPr>
        <w:t>Faciliter la conduite des arbitrages.</w:t>
      </w:r>
    </w:p>
    <w:p w:rsidR="00B618DD" w:rsidRPr="0092652F" w:rsidRDefault="00B618DD" w:rsidP="00B618DD">
      <w:pPr>
        <w:pStyle w:val="CITATION"/>
        <w:spacing w:after="240"/>
        <w:ind w:left="1701" w:right="58" w:hanging="891"/>
        <w:rPr>
          <w:rFonts w:cs="Times New Roman"/>
          <w:lang w:val="fr-CA"/>
        </w:rPr>
      </w:pPr>
      <w:r>
        <w:rPr>
          <w:rFonts w:cs="Times New Roman"/>
          <w:lang w:val="fr-CA"/>
        </w:rPr>
        <w:tab/>
        <w:t xml:space="preserve">2. </w:t>
      </w:r>
      <w:r w:rsidRPr="0092652F">
        <w:rPr>
          <w:rFonts w:cs="Times New Roman"/>
          <w:lang w:val="fr-CA"/>
        </w:rPr>
        <w:t>Veiller à ce que les arbitrages soient effectués conformément aux conventions d’arbitrage.</w:t>
      </w:r>
    </w:p>
    <w:p w:rsidR="00B618DD" w:rsidRPr="0092652F" w:rsidRDefault="00B618DD" w:rsidP="00B618DD">
      <w:pPr>
        <w:pStyle w:val="CITATION"/>
        <w:spacing w:after="240"/>
        <w:ind w:left="1701" w:right="58" w:hanging="891"/>
        <w:rPr>
          <w:rFonts w:cs="Times New Roman"/>
          <w:lang w:val="fr-CA"/>
        </w:rPr>
      </w:pPr>
      <w:r>
        <w:rPr>
          <w:rFonts w:cs="Times New Roman"/>
          <w:lang w:val="fr-CA"/>
        </w:rPr>
        <w:tab/>
        <w:t xml:space="preserve">3. </w:t>
      </w:r>
      <w:r w:rsidRPr="0092652F">
        <w:rPr>
          <w:rFonts w:cs="Times New Roman"/>
          <w:lang w:val="fr-CA"/>
        </w:rPr>
        <w:t>Empêcher que les parties aux conventions d’arbitrage soient traitées autrement que sur un pied d’égalité et avec équité.</w:t>
      </w:r>
    </w:p>
    <w:p w:rsidR="00B618DD" w:rsidRPr="0092652F" w:rsidRDefault="00B618DD" w:rsidP="00B618DD">
      <w:pPr>
        <w:pStyle w:val="CITATION"/>
        <w:spacing w:after="720"/>
        <w:ind w:left="1699" w:hanging="893"/>
        <w:rPr>
          <w:rFonts w:cs="Times New Roman"/>
          <w:lang w:val="fr-CA"/>
        </w:rPr>
      </w:pPr>
      <w:r>
        <w:rPr>
          <w:rFonts w:cs="Times New Roman"/>
          <w:lang w:val="fr-CA"/>
        </w:rPr>
        <w:tab/>
        <w:t xml:space="preserve">4. </w:t>
      </w:r>
      <w:r w:rsidRPr="0092652F">
        <w:rPr>
          <w:rFonts w:cs="Times New Roman"/>
          <w:lang w:val="fr-CA"/>
        </w:rPr>
        <w:t>Exécuter les sentences.</w:t>
      </w:r>
    </w:p>
    <w:p w:rsidR="00B618DD" w:rsidRPr="0092652F" w:rsidRDefault="00B618DD" w:rsidP="00B618DD">
      <w:pPr>
        <w:pStyle w:val="ParaNoNdepar-AltN"/>
        <w:rPr>
          <w:rFonts w:cs="Times New Roman"/>
          <w:lang w:val="fr-CA"/>
        </w:rPr>
      </w:pPr>
      <w:r>
        <w:rPr>
          <w:rFonts w:cs="Times New Roman"/>
          <w:lang w:val="fr-CA"/>
        </w:rPr>
        <w:t>En résumé, l’art.</w:t>
      </w:r>
      <w:r w:rsidRPr="0092652F">
        <w:rPr>
          <w:rFonts w:cs="Times New Roman"/>
          <w:lang w:val="fr-CA"/>
        </w:rPr>
        <w:t> 6 indique que les tribunaux doivent généralement adopter une politique de « non</w:t>
      </w:r>
      <w:r w:rsidRPr="0092652F">
        <w:rPr>
          <w:rFonts w:cs="Times New Roman"/>
          <w:lang w:val="fr-CA"/>
        </w:rPr>
        <w:noBreakHyphen/>
        <w:t xml:space="preserve">intervention » à l’égard des questions régies par la </w:t>
      </w:r>
      <w:r w:rsidRPr="0092652F">
        <w:rPr>
          <w:rFonts w:cs="Times New Roman"/>
          <w:i/>
          <w:lang w:val="fr-CA"/>
        </w:rPr>
        <w:t>Loi sur l’arbitrage</w:t>
      </w:r>
      <w:r w:rsidRPr="0092652F">
        <w:rPr>
          <w:rFonts w:cs="Times New Roman"/>
          <w:lang w:val="fr-CA"/>
        </w:rPr>
        <w:t>. Cette façon de faire est [</w:t>
      </w:r>
      <w:r w:rsidRPr="0092652F">
        <w:rPr>
          <w:rFonts w:cs="Times New Roman"/>
          <w:smallCaps/>
          <w:lang w:val="fr-CA"/>
        </w:rPr>
        <w:t>traduction</w:t>
      </w:r>
      <w:r w:rsidRPr="0092652F">
        <w:rPr>
          <w:rFonts w:cs="Times New Roman"/>
          <w:lang w:val="fr-CA"/>
        </w:rPr>
        <w:t>] « conforme à l’approche moderne, selon laquelle l’arbitrage est un processus autonome par lequel les parties conviennent de régler leurs différends en les soumettant à un arbitre et non à un tribunal » (</w:t>
      </w:r>
      <w:proofErr w:type="spellStart"/>
      <w:r w:rsidRPr="0092652F">
        <w:rPr>
          <w:rFonts w:cs="Times New Roman"/>
          <w:i/>
          <w:lang w:val="fr-CA"/>
        </w:rPr>
        <w:t>Inforica</w:t>
      </w:r>
      <w:proofErr w:type="spellEnd"/>
      <w:r w:rsidRPr="0092652F">
        <w:rPr>
          <w:rFonts w:cs="Times New Roman"/>
          <w:i/>
          <w:lang w:val="fr-CA"/>
        </w:rPr>
        <w:t xml:space="preserve"> Inc. c. CGI Information </w:t>
      </w:r>
      <w:proofErr w:type="spellStart"/>
      <w:r w:rsidRPr="0092652F">
        <w:rPr>
          <w:rFonts w:cs="Times New Roman"/>
          <w:i/>
          <w:lang w:val="fr-CA"/>
        </w:rPr>
        <w:t>Systems</w:t>
      </w:r>
      <w:proofErr w:type="spellEnd"/>
      <w:r w:rsidRPr="0092652F">
        <w:rPr>
          <w:rFonts w:cs="Times New Roman"/>
          <w:i/>
          <w:lang w:val="fr-CA"/>
        </w:rPr>
        <w:t xml:space="preserve"> and Management Consultants Inc.</w:t>
      </w:r>
      <w:r w:rsidRPr="0092652F">
        <w:rPr>
          <w:rFonts w:cs="Times New Roman"/>
          <w:lang w:val="fr-CA"/>
        </w:rPr>
        <w:t>,</w:t>
      </w:r>
      <w:r w:rsidRPr="0092652F">
        <w:rPr>
          <w:rFonts w:cs="Times New Roman"/>
          <w:i/>
          <w:lang w:val="fr-CA"/>
        </w:rPr>
        <w:t xml:space="preserve"> </w:t>
      </w:r>
      <w:r w:rsidRPr="0092652F">
        <w:rPr>
          <w:rFonts w:cs="Times New Roman"/>
          <w:lang w:val="fr-CA"/>
        </w:rPr>
        <w:t>2009 ONCA 642, 97 O.R. (3d) 161, par. 14).</w:t>
      </w:r>
    </w:p>
    <w:p w:rsidR="00B618DD" w:rsidRPr="0092652F" w:rsidRDefault="00B618DD" w:rsidP="00B618DD">
      <w:pPr>
        <w:pStyle w:val="ParaNoNdepar-AltN"/>
        <w:rPr>
          <w:rFonts w:cs="Times New Roman"/>
          <w:lang w:val="fr-CA"/>
        </w:rPr>
      </w:pPr>
      <w:r w:rsidRPr="0092652F">
        <w:rPr>
          <w:rFonts w:cs="Times New Roman"/>
          <w:lang w:val="fr-CA"/>
        </w:rPr>
        <w:t xml:space="preserve">Cela nous amène au cœur du présent appel : l’art. 7 de la </w:t>
      </w:r>
      <w:r w:rsidRPr="0092652F">
        <w:rPr>
          <w:rFonts w:cs="Times New Roman"/>
          <w:i/>
          <w:lang w:val="fr-CA"/>
        </w:rPr>
        <w:t>Loi sur l’arbitrage</w:t>
      </w:r>
      <w:r w:rsidRPr="0092652F">
        <w:rPr>
          <w:rFonts w:cs="Times New Roman"/>
          <w:lang w:val="fr-CA"/>
        </w:rPr>
        <w:t>.</w:t>
      </w:r>
    </w:p>
    <w:p w:rsidR="00B618DD" w:rsidRPr="0092652F" w:rsidRDefault="00B618DD" w:rsidP="00B618DD">
      <w:pPr>
        <w:pStyle w:val="Title3LevelTitre3Niveau"/>
        <w:ind w:hanging="522"/>
        <w:rPr>
          <w:rFonts w:cs="Times New Roman"/>
          <w:lang w:val="fr-CA"/>
        </w:rPr>
      </w:pPr>
      <w:r w:rsidRPr="0092652F">
        <w:rPr>
          <w:rFonts w:cs="Times New Roman"/>
          <w:lang w:val="fr-CA"/>
        </w:rPr>
        <w:t xml:space="preserve">L’article 7 de la </w:t>
      </w:r>
      <w:r w:rsidRPr="0092652F">
        <w:rPr>
          <w:rFonts w:cs="Times New Roman"/>
          <w:i/>
          <w:lang w:val="fr-CA"/>
        </w:rPr>
        <w:t>Loi sur l’arbitrage</w:t>
      </w:r>
    </w:p>
    <w:p w:rsidR="00B618DD" w:rsidRPr="0092652F" w:rsidRDefault="00B618DD" w:rsidP="00B618DD">
      <w:pPr>
        <w:pStyle w:val="Title4LevelTitre4Niveau"/>
        <w:numPr>
          <w:ilvl w:val="1"/>
          <w:numId w:val="1"/>
        </w:numPr>
        <w:ind w:left="1152" w:hanging="522"/>
        <w:rPr>
          <w:rFonts w:cs="Times New Roman"/>
          <w:lang w:val="fr-CA"/>
        </w:rPr>
      </w:pPr>
      <w:r w:rsidRPr="0092652F">
        <w:rPr>
          <w:rFonts w:cs="Times New Roman"/>
          <w:lang w:val="fr-CA"/>
        </w:rPr>
        <w:t>Le libellé</w:t>
      </w:r>
    </w:p>
    <w:p w:rsidR="00B618DD" w:rsidRPr="0092652F" w:rsidRDefault="00B618DD" w:rsidP="00B618DD">
      <w:pPr>
        <w:pStyle w:val="ParaNoNdepar-AltN"/>
        <w:rPr>
          <w:rFonts w:cs="Times New Roman"/>
          <w:lang w:val="fr-CA"/>
        </w:rPr>
      </w:pPr>
      <w:r>
        <w:rPr>
          <w:rFonts w:cs="Times New Roman"/>
          <w:lang w:val="fr-CA"/>
        </w:rPr>
        <w:t>Le libellé de l’art.</w:t>
      </w:r>
      <w:r w:rsidRPr="0092652F">
        <w:rPr>
          <w:rFonts w:cs="Times New Roman"/>
          <w:lang w:val="fr-CA"/>
        </w:rPr>
        <w:t xml:space="preserve"> 7 de la </w:t>
      </w:r>
      <w:r w:rsidRPr="0092652F">
        <w:rPr>
          <w:rFonts w:cs="Times New Roman"/>
          <w:i/>
          <w:lang w:val="fr-CA"/>
        </w:rPr>
        <w:t>Loi sur l’arbitrage</w:t>
      </w:r>
      <w:r w:rsidRPr="0092652F">
        <w:rPr>
          <w:rFonts w:cs="Times New Roman"/>
          <w:lang w:val="fr-CA"/>
        </w:rPr>
        <w:t xml:space="preserve">, qui régit le sursis, a été reproduit précédemment sous la rubrique « dispositions législatives » des présents motifs. Il vaut également la peine de noter que </w:t>
      </w:r>
      <w:r w:rsidRPr="0092652F">
        <w:rPr>
          <w:rFonts w:cs="Times New Roman"/>
          <w:lang w:val="fr-CA" w:bidi="en-US"/>
        </w:rPr>
        <w:t>le terme « convention d’arbitrage » est défini ainsi à l’article premier : « [c]</w:t>
      </w:r>
      <w:proofErr w:type="spellStart"/>
      <w:r w:rsidRPr="0092652F">
        <w:rPr>
          <w:rFonts w:cs="Times New Roman"/>
          <w:lang w:val="fr-CA" w:bidi="en-US"/>
        </w:rPr>
        <w:t>onvention</w:t>
      </w:r>
      <w:proofErr w:type="spellEnd"/>
      <w:r w:rsidRPr="0092652F">
        <w:rPr>
          <w:rFonts w:cs="Times New Roman"/>
          <w:lang w:val="fr-CA" w:bidi="en-US"/>
        </w:rPr>
        <w:t xml:space="preserve"> par laquelle plusieurs personnes conviennent de soumettre à l’arbitrage un différend survenu ou susceptible de survenir entre elles ». Les termes « question » et « instance » ne sont pas définis dans la </w:t>
      </w:r>
      <w:r w:rsidRPr="0092652F">
        <w:rPr>
          <w:rFonts w:cs="Times New Roman"/>
          <w:i/>
          <w:lang w:val="fr-CA" w:bidi="en-US"/>
        </w:rPr>
        <w:t>Loi sur l’arbitrage</w:t>
      </w:r>
      <w:r w:rsidRPr="0092652F">
        <w:rPr>
          <w:rFonts w:cs="Times New Roman"/>
          <w:lang w:val="fr-CA" w:bidi="en-US"/>
        </w:rPr>
        <w:t xml:space="preserve">, mais le second est défini au </w:t>
      </w:r>
      <w:proofErr w:type="spellStart"/>
      <w:r w:rsidRPr="0092652F">
        <w:rPr>
          <w:rFonts w:cs="Times New Roman"/>
          <w:lang w:val="fr-CA" w:bidi="en-US"/>
        </w:rPr>
        <w:t>par</w:t>
      </w:r>
      <w:proofErr w:type="spellEnd"/>
      <w:r w:rsidRPr="0092652F">
        <w:rPr>
          <w:rFonts w:cs="Times New Roman"/>
          <w:lang w:val="fr-CA" w:bidi="en-US"/>
        </w:rPr>
        <w:t xml:space="preserve">. 1.03(1) des </w:t>
      </w:r>
      <w:r w:rsidRPr="0092652F">
        <w:rPr>
          <w:rFonts w:cs="Times New Roman"/>
          <w:i/>
          <w:lang w:val="fr-CA" w:bidi="en-US"/>
        </w:rPr>
        <w:t>Règles de procédure civile</w:t>
      </w:r>
      <w:r w:rsidRPr="0092652F">
        <w:rPr>
          <w:rFonts w:cs="Times New Roman"/>
          <w:lang w:val="fr-CA" w:bidi="en-US"/>
        </w:rPr>
        <w:t xml:space="preserve"> de l’Ontario, R.R.O. 1990, </w:t>
      </w:r>
      <w:proofErr w:type="spellStart"/>
      <w:r w:rsidRPr="0092652F">
        <w:rPr>
          <w:rFonts w:cs="Times New Roman"/>
          <w:lang w:val="fr-CA" w:bidi="en-US"/>
        </w:rPr>
        <w:t>Règl</w:t>
      </w:r>
      <w:proofErr w:type="spellEnd"/>
      <w:r w:rsidRPr="0092652F">
        <w:rPr>
          <w:rFonts w:cs="Times New Roman"/>
          <w:lang w:val="fr-CA" w:bidi="en-US"/>
        </w:rPr>
        <w:t>. 194, comme une « [a]</w:t>
      </w:r>
      <w:proofErr w:type="spellStart"/>
      <w:r w:rsidRPr="0092652F">
        <w:rPr>
          <w:rFonts w:cs="Times New Roman"/>
          <w:lang w:val="fr-CA" w:bidi="en-US"/>
        </w:rPr>
        <w:t>ction</w:t>
      </w:r>
      <w:proofErr w:type="spellEnd"/>
      <w:r w:rsidRPr="0092652F">
        <w:rPr>
          <w:rFonts w:cs="Times New Roman"/>
          <w:lang w:val="fr-CA" w:bidi="en-US"/>
        </w:rPr>
        <w:t xml:space="preserve"> ou requête »</w:t>
      </w:r>
      <w:r w:rsidRPr="0092652F">
        <w:rPr>
          <w:rFonts w:cs="Times New Roman"/>
          <w:lang w:val="fr-CA"/>
        </w:rPr>
        <w:t>.</w:t>
      </w:r>
    </w:p>
    <w:p w:rsidR="00B618DD" w:rsidRPr="0092652F" w:rsidRDefault="00B618DD" w:rsidP="00B618DD">
      <w:pPr>
        <w:pStyle w:val="Title4LevelTitre4Niveau"/>
        <w:numPr>
          <w:ilvl w:val="1"/>
          <w:numId w:val="7"/>
        </w:numPr>
        <w:ind w:left="1167" w:hanging="533"/>
        <w:rPr>
          <w:rFonts w:cs="Times New Roman"/>
          <w:lang w:val="fr-CA"/>
        </w:rPr>
      </w:pPr>
      <w:r w:rsidRPr="0092652F">
        <w:rPr>
          <w:rFonts w:cs="Times New Roman"/>
          <w:lang w:val="fr-CA" w:bidi="en-US"/>
        </w:rPr>
        <w:t>La position des parties</w:t>
      </w:r>
    </w:p>
    <w:p w:rsidR="00B618DD" w:rsidRPr="0092652F" w:rsidRDefault="00B618DD" w:rsidP="00B618DD">
      <w:pPr>
        <w:pStyle w:val="ParaNoNdepar-AltN"/>
        <w:rPr>
          <w:rFonts w:cs="Times New Roman"/>
          <w:lang w:val="fr-CA"/>
        </w:rPr>
      </w:pPr>
      <w:r w:rsidRPr="0092652F">
        <w:rPr>
          <w:rFonts w:cs="Times New Roman"/>
          <w:lang w:val="fr-CA" w:bidi="en-US"/>
        </w:rPr>
        <w:t xml:space="preserve">TELUS fait valoir que le par. 7(1) établit une règle générale : si une partie à une convention d’arbitrage introduit une instance à l’égard d’une ou de plusieurs questions qui sont traitées dans la convention d’arbitrage, le tribunal doit, sur la motion d’une autre partie à la convention d’arbitrage, surseoir à l’instance. TELUS fait également valoir que, bien que le par. 7(5) autorise le tribunal à permettre que des questions qui </w:t>
      </w:r>
      <w:r w:rsidRPr="0092652F">
        <w:rPr>
          <w:rFonts w:cs="Times New Roman"/>
          <w:i/>
          <w:lang w:val="fr-CA" w:bidi="en-US"/>
        </w:rPr>
        <w:t>ne</w:t>
      </w:r>
      <w:r w:rsidRPr="0092652F">
        <w:rPr>
          <w:rFonts w:cs="Times New Roman"/>
          <w:lang w:val="fr-CA" w:bidi="en-US"/>
        </w:rPr>
        <w:t xml:space="preserve"> sont </w:t>
      </w:r>
      <w:r w:rsidRPr="0092652F">
        <w:rPr>
          <w:rFonts w:cs="Times New Roman"/>
          <w:i/>
          <w:lang w:val="fr-CA" w:bidi="en-US"/>
        </w:rPr>
        <w:t xml:space="preserve">pas </w:t>
      </w:r>
      <w:r w:rsidRPr="0092652F">
        <w:rPr>
          <w:rFonts w:cs="Times New Roman"/>
          <w:lang w:val="fr-CA" w:bidi="en-US"/>
        </w:rPr>
        <w:t xml:space="preserve">traitées dans la convention d’arbitrage soient soumises au tribunal, il ne lui confère pas le pouvoir discrétionnaire de refuser de surseoir aux questions qui </w:t>
      </w:r>
      <w:r w:rsidRPr="0092652F">
        <w:rPr>
          <w:rFonts w:cs="Times New Roman"/>
          <w:i/>
          <w:lang w:val="fr-CA" w:bidi="en-US"/>
        </w:rPr>
        <w:t>sont</w:t>
      </w:r>
      <w:r w:rsidRPr="0092652F">
        <w:rPr>
          <w:rFonts w:cs="Times New Roman"/>
          <w:lang w:val="fr-CA" w:bidi="en-US"/>
        </w:rPr>
        <w:t xml:space="preserve"> traitées dans la convention — le sursis est </w:t>
      </w:r>
      <w:r w:rsidRPr="0092652F">
        <w:rPr>
          <w:rFonts w:cs="Times New Roman"/>
          <w:i/>
          <w:lang w:val="fr-CA" w:bidi="en-US"/>
        </w:rPr>
        <w:t xml:space="preserve">obligatoire </w:t>
      </w:r>
      <w:r w:rsidRPr="0092652F">
        <w:rPr>
          <w:rFonts w:cs="Times New Roman"/>
          <w:lang w:val="fr-CA" w:bidi="en-US"/>
        </w:rPr>
        <w:t xml:space="preserve">dans ce cas. À l’appui de son interprétation, TELUS se fonde principalement (mais non exclusivement) sur l’arrêt </w:t>
      </w:r>
      <w:r w:rsidRPr="0092652F">
        <w:rPr>
          <w:rFonts w:cs="Times New Roman"/>
          <w:i/>
          <w:lang w:val="fr-CA" w:bidi="en-US"/>
        </w:rPr>
        <w:t xml:space="preserve">Seidel </w:t>
      </w:r>
      <w:r w:rsidRPr="0092652F">
        <w:rPr>
          <w:rFonts w:cs="Times New Roman"/>
          <w:lang w:val="fr-CA" w:bidi="en-US"/>
        </w:rPr>
        <w:t xml:space="preserve">et sur la décision </w:t>
      </w:r>
      <w:proofErr w:type="spellStart"/>
      <w:r w:rsidRPr="0092652F">
        <w:rPr>
          <w:rFonts w:cs="Times New Roman"/>
          <w:i/>
          <w:lang w:val="fr-CA" w:bidi="en-US"/>
        </w:rPr>
        <w:t>Alberici</w:t>
      </w:r>
      <w:proofErr w:type="spellEnd"/>
      <w:r w:rsidRPr="0092652F">
        <w:rPr>
          <w:rFonts w:cs="Times New Roman"/>
          <w:i/>
          <w:lang w:val="fr-CA" w:bidi="en-US"/>
        </w:rPr>
        <w:t xml:space="preserve"> Western </w:t>
      </w:r>
      <w:proofErr w:type="spellStart"/>
      <w:r w:rsidRPr="0092652F">
        <w:rPr>
          <w:rFonts w:cs="Times New Roman"/>
          <w:i/>
          <w:lang w:val="fr-CA" w:bidi="en-US"/>
        </w:rPr>
        <w:t>Constructors</w:t>
      </w:r>
      <w:proofErr w:type="spellEnd"/>
      <w:r w:rsidRPr="0092652F">
        <w:rPr>
          <w:rFonts w:cs="Times New Roman"/>
          <w:i/>
          <w:lang w:val="fr-CA" w:bidi="en-US"/>
        </w:rPr>
        <w:t xml:space="preserve"> Ltd. c. Saskatchewan Power Corp.</w:t>
      </w:r>
      <w:r w:rsidRPr="0092652F">
        <w:rPr>
          <w:rFonts w:cs="Times New Roman"/>
          <w:lang w:val="fr-CA" w:bidi="en-US"/>
        </w:rPr>
        <w:t xml:space="preserve">, 2016 SKCA 46, 476 </w:t>
      </w:r>
      <w:proofErr w:type="spellStart"/>
      <w:r w:rsidRPr="0092652F">
        <w:rPr>
          <w:rFonts w:cs="Times New Roman"/>
          <w:lang w:val="fr-CA" w:bidi="en-US"/>
        </w:rPr>
        <w:t>Sask</w:t>
      </w:r>
      <w:proofErr w:type="spellEnd"/>
      <w:r w:rsidRPr="0092652F">
        <w:rPr>
          <w:rFonts w:cs="Times New Roman"/>
          <w:lang w:val="fr-CA" w:bidi="en-US"/>
        </w:rPr>
        <w:t xml:space="preserve">. R. 255 (qui </w:t>
      </w:r>
      <w:proofErr w:type="gramStart"/>
      <w:r w:rsidRPr="0092652F">
        <w:rPr>
          <w:rFonts w:cs="Times New Roman"/>
          <w:lang w:val="fr-CA" w:bidi="en-US"/>
        </w:rPr>
        <w:t>porte</w:t>
      </w:r>
      <w:proofErr w:type="gramEnd"/>
      <w:r w:rsidRPr="0092652F">
        <w:rPr>
          <w:rFonts w:cs="Times New Roman"/>
          <w:lang w:val="fr-CA" w:bidi="en-US"/>
        </w:rPr>
        <w:t xml:space="preserve"> sur l’interprétation d’une disposition équivalente de la loi de la Saskatchewan).</w:t>
      </w:r>
    </w:p>
    <w:p w:rsidR="00B618DD" w:rsidRPr="0092652F" w:rsidRDefault="00B618DD" w:rsidP="00B618DD">
      <w:pPr>
        <w:pStyle w:val="ParaNoNdepar-AltN"/>
        <w:rPr>
          <w:rFonts w:cs="Times New Roman"/>
          <w:lang w:val="fr-CA"/>
        </w:rPr>
      </w:pPr>
      <w:r w:rsidRPr="0092652F">
        <w:rPr>
          <w:rFonts w:cs="Times New Roman"/>
          <w:lang w:val="fr-CA" w:bidi="en-US"/>
        </w:rPr>
        <w:t>En revanche, M. </w:t>
      </w:r>
      <w:proofErr w:type="spellStart"/>
      <w:r w:rsidRPr="0092652F">
        <w:rPr>
          <w:rFonts w:cs="Times New Roman"/>
          <w:lang w:val="fr-CA" w:bidi="en-US"/>
        </w:rPr>
        <w:t>Wellman</w:t>
      </w:r>
      <w:proofErr w:type="spellEnd"/>
      <w:r w:rsidRPr="0092652F">
        <w:rPr>
          <w:rFonts w:cs="Times New Roman"/>
          <w:lang w:val="fr-CA" w:bidi="en-US"/>
        </w:rPr>
        <w:t xml:space="preserve"> fait valoir que si la convention d’arbitrage en cause ne traite que de certaines des questions à l’égard desquelles l’instance a été introduite et qu’il ne serait pas raisonnable de dissocier les questions traitées dans la convention des autres questions, le par. 7(5) accorde au tribunal le pouvoir discrétionnaire indépendant, totalement distinct des </w:t>
      </w:r>
      <w:proofErr w:type="spellStart"/>
      <w:r w:rsidRPr="0092652F">
        <w:rPr>
          <w:rFonts w:cs="Times New Roman"/>
          <w:lang w:val="fr-CA" w:bidi="en-US"/>
        </w:rPr>
        <w:t>par</w:t>
      </w:r>
      <w:proofErr w:type="spellEnd"/>
      <w:r w:rsidRPr="0092652F">
        <w:rPr>
          <w:rFonts w:cs="Times New Roman"/>
          <w:lang w:val="fr-CA" w:bidi="en-US"/>
        </w:rPr>
        <w:t>. 7(1) et (2), de refuser d’ordonner le sursis des questions qui sont traitées dans la convention d’arbitrage. En un mot, M. </w:t>
      </w:r>
      <w:proofErr w:type="spellStart"/>
      <w:r w:rsidRPr="0092652F">
        <w:rPr>
          <w:rFonts w:cs="Times New Roman"/>
          <w:lang w:val="fr-CA" w:bidi="en-US"/>
        </w:rPr>
        <w:t>Wellman</w:t>
      </w:r>
      <w:proofErr w:type="spellEnd"/>
      <w:r w:rsidRPr="0092652F">
        <w:rPr>
          <w:rFonts w:cs="Times New Roman"/>
          <w:lang w:val="fr-CA" w:bidi="en-US"/>
        </w:rPr>
        <w:t xml:space="preserve"> soutient que le par. 7(5) permet d’ordonner le sursis de </w:t>
      </w:r>
      <w:r w:rsidRPr="0092652F">
        <w:rPr>
          <w:rFonts w:cs="Times New Roman"/>
          <w:i/>
          <w:lang w:val="fr-CA" w:bidi="en-US"/>
        </w:rPr>
        <w:t xml:space="preserve">certaines </w:t>
      </w:r>
      <w:r w:rsidRPr="0092652F">
        <w:rPr>
          <w:rFonts w:cs="Times New Roman"/>
          <w:lang w:val="fr-CA" w:bidi="en-US"/>
        </w:rPr>
        <w:t>des questions (c.</w:t>
      </w:r>
      <w:r w:rsidRPr="0092652F">
        <w:rPr>
          <w:rFonts w:cs="Times New Roman"/>
          <w:lang w:val="fr-CA" w:bidi="en-US"/>
        </w:rPr>
        <w:noBreakHyphen/>
        <w:t>à</w:t>
      </w:r>
      <w:r w:rsidRPr="0092652F">
        <w:rPr>
          <w:rFonts w:cs="Times New Roman"/>
          <w:lang w:val="fr-CA" w:bidi="en-US"/>
        </w:rPr>
        <w:noBreakHyphen/>
        <w:t xml:space="preserve">d. d’ordonner un sursis partiel) ou de ne l’ordonner pour </w:t>
      </w:r>
      <w:r w:rsidRPr="0092652F">
        <w:rPr>
          <w:rFonts w:cs="Times New Roman"/>
          <w:i/>
          <w:lang w:val="fr-CA" w:bidi="en-US"/>
        </w:rPr>
        <w:t xml:space="preserve">aucune </w:t>
      </w:r>
      <w:r w:rsidRPr="0092652F">
        <w:rPr>
          <w:rFonts w:cs="Times New Roman"/>
          <w:lang w:val="fr-CA" w:bidi="en-US"/>
        </w:rPr>
        <w:t>des questions (c.</w:t>
      </w:r>
      <w:r w:rsidRPr="0092652F">
        <w:rPr>
          <w:rFonts w:cs="Times New Roman"/>
          <w:lang w:val="fr-CA" w:bidi="en-US"/>
        </w:rPr>
        <w:noBreakHyphen/>
        <w:t>à</w:t>
      </w:r>
      <w:r w:rsidRPr="0092652F">
        <w:rPr>
          <w:rFonts w:cs="Times New Roman"/>
          <w:lang w:val="fr-CA" w:bidi="en-US"/>
        </w:rPr>
        <w:noBreakHyphen/>
        <w:t xml:space="preserve">d. de refuser d’ordonner un sursis). À l’appui de son interprétation, il se fonde principalement (mais non exclusivement) sur les décisions </w:t>
      </w:r>
      <w:r w:rsidRPr="0092652F">
        <w:rPr>
          <w:rFonts w:cs="Times New Roman"/>
          <w:i/>
          <w:lang w:val="fr-CA" w:bidi="en-US"/>
        </w:rPr>
        <w:t>Griffin</w:t>
      </w:r>
      <w:r w:rsidRPr="0092652F">
        <w:rPr>
          <w:rFonts w:cs="Times New Roman"/>
          <w:lang w:val="fr-CA" w:bidi="en-US"/>
        </w:rPr>
        <w:t xml:space="preserve">, </w:t>
      </w:r>
      <w:r w:rsidRPr="0092652F">
        <w:rPr>
          <w:rFonts w:cs="Times New Roman"/>
          <w:i/>
          <w:lang w:val="fr-CA" w:bidi="en-US"/>
        </w:rPr>
        <w:t xml:space="preserve">New </w:t>
      </w:r>
      <w:proofErr w:type="spellStart"/>
      <w:r w:rsidRPr="0092652F">
        <w:rPr>
          <w:rFonts w:cs="Times New Roman"/>
          <w:i/>
          <w:lang w:val="fr-CA" w:bidi="en-US"/>
        </w:rPr>
        <w:t>Era</w:t>
      </w:r>
      <w:proofErr w:type="spellEnd"/>
      <w:r w:rsidRPr="0092652F">
        <w:rPr>
          <w:rFonts w:cs="Times New Roman"/>
          <w:i/>
          <w:lang w:val="fr-CA" w:bidi="en-US"/>
        </w:rPr>
        <w:t xml:space="preserve"> Nutrition </w:t>
      </w:r>
      <w:r w:rsidRPr="0092652F">
        <w:rPr>
          <w:rFonts w:cs="Times New Roman"/>
          <w:lang w:val="fr-CA" w:bidi="en-US"/>
        </w:rPr>
        <w:t xml:space="preserve">(cette dernière portant sur l’interprétation d’une disposition équivalente dans la loi de l’Alberta) et </w:t>
      </w:r>
      <w:proofErr w:type="spellStart"/>
      <w:r w:rsidRPr="0092652F">
        <w:rPr>
          <w:rFonts w:cs="Times New Roman"/>
          <w:i/>
          <w:lang w:val="fr-CA" w:bidi="en-US"/>
        </w:rPr>
        <w:t>Briones</w:t>
      </w:r>
      <w:proofErr w:type="spellEnd"/>
      <w:r w:rsidRPr="0092652F">
        <w:rPr>
          <w:rFonts w:cs="Times New Roman"/>
          <w:i/>
          <w:lang w:val="fr-CA" w:bidi="en-US"/>
        </w:rPr>
        <w:t xml:space="preserve"> c. National Money </w:t>
      </w:r>
      <w:proofErr w:type="spellStart"/>
      <w:r w:rsidRPr="0092652F">
        <w:rPr>
          <w:rFonts w:cs="Times New Roman"/>
          <w:i/>
          <w:lang w:val="fr-CA" w:bidi="en-US"/>
        </w:rPr>
        <w:t>Mart</w:t>
      </w:r>
      <w:proofErr w:type="spellEnd"/>
      <w:r w:rsidRPr="0092652F">
        <w:rPr>
          <w:rFonts w:cs="Times New Roman"/>
          <w:i/>
          <w:lang w:val="fr-CA" w:bidi="en-US"/>
        </w:rPr>
        <w:t xml:space="preserve"> Co.</w:t>
      </w:r>
      <w:r w:rsidRPr="0092652F">
        <w:rPr>
          <w:rFonts w:cs="Times New Roman"/>
          <w:lang w:val="fr-CA" w:bidi="en-US"/>
        </w:rPr>
        <w:t xml:space="preserve">, 2013 MBQB 168, 295 Man. R. (2d) 101, </w:t>
      </w:r>
      <w:proofErr w:type="spellStart"/>
      <w:r w:rsidRPr="0092652F">
        <w:rPr>
          <w:rFonts w:cs="Times New Roman"/>
          <w:lang w:val="fr-CA" w:bidi="en-US"/>
        </w:rPr>
        <w:t>conf</w:t>
      </w:r>
      <w:proofErr w:type="spellEnd"/>
      <w:r w:rsidRPr="0092652F">
        <w:rPr>
          <w:rFonts w:cs="Times New Roman"/>
          <w:lang w:val="fr-CA" w:bidi="en-US"/>
        </w:rPr>
        <w:t>. par 2014 MBCA 57, 306 Man. R. (2d) 129, demande d’autorisation de pourvoi refusée</w:t>
      </w:r>
      <w:r>
        <w:rPr>
          <w:rFonts w:cs="Times New Roman"/>
          <w:lang w:val="fr-CA" w:bidi="en-US"/>
        </w:rPr>
        <w:t>,</w:t>
      </w:r>
      <w:r w:rsidRPr="0092652F">
        <w:rPr>
          <w:rFonts w:cs="Times New Roman"/>
          <w:lang w:val="fr-CA" w:bidi="en-US"/>
        </w:rPr>
        <w:t xml:space="preserve"> [2014] 3 R.C.S. ix (qui porte sur l’interprétation d’une disposition équivalente de la loi du Manitoba).</w:t>
      </w:r>
    </w:p>
    <w:p w:rsidR="00B618DD" w:rsidRPr="0092652F" w:rsidRDefault="00B618DD" w:rsidP="00B618DD">
      <w:pPr>
        <w:pStyle w:val="ParaNoNdepar-AltN"/>
        <w:rPr>
          <w:rFonts w:cs="Times New Roman"/>
          <w:lang w:val="fr-CA"/>
        </w:rPr>
      </w:pPr>
      <w:r w:rsidRPr="0092652F">
        <w:rPr>
          <w:rFonts w:cs="Times New Roman"/>
          <w:lang w:val="fr-CA" w:bidi="en-US"/>
        </w:rPr>
        <w:t xml:space="preserve">Bien que les parties ne s’entendent pas quant à la question de savoir si le par. 7(5) de la </w:t>
      </w:r>
      <w:r w:rsidRPr="0092652F">
        <w:rPr>
          <w:rFonts w:cs="Times New Roman"/>
          <w:i/>
          <w:lang w:val="fr-CA" w:bidi="en-US"/>
        </w:rPr>
        <w:t>Loi sur l’arbitrage</w:t>
      </w:r>
      <w:r w:rsidRPr="0092652F">
        <w:rPr>
          <w:rFonts w:cs="Times New Roman"/>
          <w:lang w:val="fr-CA" w:bidi="en-US"/>
        </w:rPr>
        <w:t xml:space="preserve"> confère au tribunal le pouvoir discrétionnaire de refuser de surseoir aux réclamations qui sont par ailleurs assujetties à une convention d’arbitrage valide et exécutoire, elles s’entendent sur plusieurs autres points importants, notamment sur ce qui suit :</w:t>
      </w:r>
    </w:p>
    <w:p w:rsidR="00B618DD" w:rsidRPr="0092652F" w:rsidRDefault="00B618DD" w:rsidP="00B618DD">
      <w:pPr>
        <w:pStyle w:val="Citation-AltC"/>
        <w:numPr>
          <w:ilvl w:val="3"/>
          <w:numId w:val="1"/>
        </w:numPr>
        <w:spacing w:after="480" w:line="480" w:lineRule="auto"/>
        <w:ind w:left="720" w:hanging="720"/>
        <w:contextualSpacing w:val="0"/>
        <w:rPr>
          <w:lang w:val="fr-CA"/>
        </w:rPr>
      </w:pPr>
      <w:r w:rsidRPr="0092652F">
        <w:rPr>
          <w:lang w:val="fr-CA" w:bidi="en-US"/>
        </w:rPr>
        <w:t>les clauses d’arbitrage contenues dans les ententes commerciales sont généralement appliquées en l’absence de dérogation législative;</w:t>
      </w:r>
    </w:p>
    <w:p w:rsidR="00B618DD" w:rsidRPr="0092652F" w:rsidRDefault="00B618DD" w:rsidP="00B618DD">
      <w:pPr>
        <w:pStyle w:val="Citation-AltC"/>
        <w:numPr>
          <w:ilvl w:val="3"/>
          <w:numId w:val="1"/>
        </w:numPr>
        <w:spacing w:after="480" w:line="480" w:lineRule="auto"/>
        <w:ind w:left="720" w:hanging="720"/>
        <w:contextualSpacing w:val="0"/>
        <w:rPr>
          <w:lang w:val="fr-CA"/>
        </w:rPr>
      </w:pPr>
      <w:r w:rsidRPr="0092652F">
        <w:rPr>
          <w:lang w:val="fr-CA" w:bidi="en-US"/>
        </w:rPr>
        <w:t>les réclamations des clients commerciaux sont traitées dans une convention d’arbitrage;</w:t>
      </w:r>
    </w:p>
    <w:p w:rsidR="00B618DD" w:rsidRPr="0092652F" w:rsidRDefault="00B618DD" w:rsidP="00B618DD">
      <w:pPr>
        <w:pStyle w:val="Citation-AltC"/>
        <w:numPr>
          <w:ilvl w:val="3"/>
          <w:numId w:val="1"/>
        </w:numPr>
        <w:spacing w:after="480" w:line="480" w:lineRule="auto"/>
        <w:ind w:left="720" w:hanging="720"/>
        <w:contextualSpacing w:val="0"/>
        <w:rPr>
          <w:lang w:val="fr-CA"/>
        </w:rPr>
      </w:pPr>
      <w:r w:rsidRPr="0092652F">
        <w:rPr>
          <w:lang w:val="fr-CA" w:bidi="en-US"/>
        </w:rPr>
        <w:t xml:space="preserve">en application de la </w:t>
      </w:r>
      <w:r w:rsidRPr="0092652F">
        <w:rPr>
          <w:i/>
          <w:lang w:val="fr-CA" w:bidi="en-US"/>
        </w:rPr>
        <w:t>Loi sur la protection du consommateur</w:t>
      </w:r>
      <w:r w:rsidRPr="0092652F">
        <w:rPr>
          <w:lang w:val="fr-CA" w:bidi="en-US"/>
        </w:rPr>
        <w:t>, les consommateurs ont le droit de présenter leurs réclamations devant les tribunaux;</w:t>
      </w:r>
    </w:p>
    <w:p w:rsidR="00B618DD" w:rsidRPr="0092652F" w:rsidRDefault="00B618DD" w:rsidP="00B618DD">
      <w:pPr>
        <w:pStyle w:val="Citation-AltC"/>
        <w:numPr>
          <w:ilvl w:val="3"/>
          <w:numId w:val="1"/>
        </w:numPr>
        <w:spacing w:after="480" w:line="480" w:lineRule="auto"/>
        <w:ind w:left="900" w:hanging="720"/>
        <w:contextualSpacing w:val="0"/>
        <w:rPr>
          <w:lang w:val="fr-CA"/>
        </w:rPr>
      </w:pPr>
      <w:r w:rsidRPr="0092652F">
        <w:rPr>
          <w:lang w:val="fr-CA" w:bidi="en-US"/>
        </w:rPr>
        <w:t xml:space="preserve">s’il est satisfait aux deux conditions énoncées au </w:t>
      </w:r>
      <w:proofErr w:type="spellStart"/>
      <w:r w:rsidRPr="0092652F">
        <w:rPr>
          <w:lang w:val="fr-CA" w:bidi="en-US"/>
        </w:rPr>
        <w:t>par</w:t>
      </w:r>
      <w:proofErr w:type="spellEnd"/>
      <w:r w:rsidRPr="0092652F">
        <w:rPr>
          <w:lang w:val="fr-CA" w:bidi="en-US"/>
        </w:rPr>
        <w:t xml:space="preserve">. 7(5) de la </w:t>
      </w:r>
      <w:r w:rsidRPr="0092652F">
        <w:rPr>
          <w:i/>
          <w:lang w:val="fr-CA" w:bidi="en-US"/>
        </w:rPr>
        <w:t>Loi sur l’arbitrage</w:t>
      </w:r>
      <w:r>
        <w:rPr>
          <w:lang w:val="fr-CA" w:bidi="en-US"/>
        </w:rPr>
        <w:t>, le tribunal peut</w:t>
      </w:r>
      <w:r w:rsidRPr="0092652F">
        <w:rPr>
          <w:lang w:val="fr-CA" w:bidi="en-US"/>
        </w:rPr>
        <w:t xml:space="preserve"> surseoir à l’instance en ce qui touche les questions traitées dans la convention d’arbitrage et permettre qu’elle se poursuive en ce qui touche les autres questions.</w:t>
      </w:r>
    </w:p>
    <w:p w:rsidR="00B618DD" w:rsidRPr="0092652F" w:rsidRDefault="00B618DD" w:rsidP="00B618DD">
      <w:pPr>
        <w:pStyle w:val="ParaNoNdepar-AltN"/>
        <w:rPr>
          <w:rFonts w:cs="Times New Roman"/>
          <w:lang w:val="fr-CA"/>
        </w:rPr>
      </w:pPr>
      <w:r w:rsidRPr="0092652F">
        <w:rPr>
          <w:rFonts w:cs="Times New Roman"/>
          <w:lang w:val="fr-CA" w:bidi="en-US"/>
        </w:rPr>
        <w:t xml:space="preserve">Ce terrain d’entente permet de mieux délimiter le présent pourvoi, qui porte entièrement sur la question suivante : le par. 7(5) de la </w:t>
      </w:r>
      <w:r w:rsidRPr="0092652F">
        <w:rPr>
          <w:rFonts w:cs="Times New Roman"/>
          <w:i/>
          <w:lang w:val="fr-CA" w:bidi="en-US"/>
        </w:rPr>
        <w:t>Loi sur l’arbitrage</w:t>
      </w:r>
      <w:r w:rsidRPr="0092652F">
        <w:rPr>
          <w:rFonts w:cs="Times New Roman"/>
          <w:lang w:val="fr-CA" w:bidi="en-US"/>
        </w:rPr>
        <w:t xml:space="preserve"> confère</w:t>
      </w:r>
      <w:r w:rsidRPr="0092652F">
        <w:rPr>
          <w:rFonts w:cs="Times New Roman"/>
          <w:lang w:val="fr-CA" w:bidi="en-US"/>
        </w:rPr>
        <w:noBreakHyphen/>
        <w:t>t</w:t>
      </w:r>
      <w:r w:rsidRPr="0092652F">
        <w:rPr>
          <w:rFonts w:cs="Times New Roman"/>
          <w:lang w:val="fr-CA" w:bidi="en-US"/>
        </w:rPr>
        <w:noBreakHyphen/>
        <w:t>il au tribunal le pouvoir discrétionnaire de refuser de surseoir aux réclamations des clients commerciaux? Dans cette optique, voici comment j’interpréterais l’art. 7.</w:t>
      </w:r>
    </w:p>
    <w:p w:rsidR="00B618DD" w:rsidRPr="0092652F" w:rsidRDefault="00B618DD" w:rsidP="00B618DD">
      <w:pPr>
        <w:pStyle w:val="Title4LevelTitre4Niveau"/>
        <w:numPr>
          <w:ilvl w:val="1"/>
          <w:numId w:val="8"/>
        </w:numPr>
        <w:tabs>
          <w:tab w:val="left" w:pos="900"/>
        </w:tabs>
        <w:ind w:left="900"/>
        <w:rPr>
          <w:rFonts w:cs="Times New Roman"/>
          <w:lang w:val="fr-CA"/>
        </w:rPr>
      </w:pPr>
      <w:r w:rsidRPr="0092652F">
        <w:rPr>
          <w:rFonts w:cs="Times New Roman"/>
          <w:lang w:val="fr-CA" w:bidi="en-US"/>
        </w:rPr>
        <w:t xml:space="preserve">Le cadre de </w:t>
      </w:r>
      <w:r>
        <w:rPr>
          <w:rFonts w:cs="Times New Roman"/>
          <w:lang w:val="fr-CA" w:bidi="en-US"/>
        </w:rPr>
        <w:t>l’analyse relative à l’art.</w:t>
      </w:r>
      <w:r w:rsidRPr="0092652F">
        <w:rPr>
          <w:rFonts w:cs="Times New Roman"/>
          <w:lang w:val="fr-CA" w:bidi="en-US"/>
        </w:rPr>
        <w:t> 7</w:t>
      </w:r>
    </w:p>
    <w:p w:rsidR="00B618DD" w:rsidRPr="0092652F" w:rsidRDefault="00B618DD" w:rsidP="00B618DD">
      <w:pPr>
        <w:pStyle w:val="Title5LevelTitre5Niveau"/>
        <w:tabs>
          <w:tab w:val="num" w:pos="1170"/>
        </w:tabs>
        <w:ind w:left="1134" w:hanging="594"/>
        <w:rPr>
          <w:rFonts w:cs="Times New Roman"/>
          <w:lang w:val="fr-CA"/>
        </w:rPr>
      </w:pPr>
      <w:r w:rsidRPr="0092652F">
        <w:rPr>
          <w:rFonts w:cs="Times New Roman"/>
          <w:lang w:val="fr-CA"/>
        </w:rPr>
        <w:t>Le paragraphe 7(1) — la règle générale</w:t>
      </w:r>
    </w:p>
    <w:p w:rsidR="00B618DD" w:rsidRPr="0092652F" w:rsidRDefault="00B618DD" w:rsidP="00B618DD">
      <w:pPr>
        <w:pStyle w:val="ParaNoNdepar-AltN"/>
        <w:rPr>
          <w:rFonts w:cs="Times New Roman"/>
          <w:lang w:val="fr-CA"/>
        </w:rPr>
      </w:pPr>
      <w:r>
        <w:rPr>
          <w:rFonts w:cs="Times New Roman"/>
          <w:lang w:val="fr-CA"/>
        </w:rPr>
        <w:t>Tout d’abord, le par.</w:t>
      </w:r>
      <w:r w:rsidRPr="0092652F">
        <w:rPr>
          <w:rFonts w:cs="Times New Roman"/>
          <w:lang w:val="fr-CA"/>
        </w:rPr>
        <w:t xml:space="preserve"> 7(1) établit une règle générale : si une partie à une convention d’arbitrage introduit une instance à l’égard d’une question traitée dans la convention — autrement dit, si la convention d’arbitrage traite d’au moins une des questions soulevées dans le cadre de l’instance — le tribunal « doit », sur la motion d’une autre partie à la convention, surseoir à l’instance au profit de l’arbitrage. L’impératif « doit » au </w:t>
      </w:r>
      <w:proofErr w:type="spellStart"/>
      <w:r w:rsidRPr="0092652F">
        <w:rPr>
          <w:rFonts w:cs="Times New Roman"/>
          <w:lang w:val="fr-CA"/>
        </w:rPr>
        <w:t>par</w:t>
      </w:r>
      <w:proofErr w:type="spellEnd"/>
      <w:r w:rsidRPr="0092652F">
        <w:rPr>
          <w:rFonts w:cs="Times New Roman"/>
          <w:lang w:val="fr-CA"/>
        </w:rPr>
        <w:t xml:space="preserve">. 7(1) indique qu’il s’agit d’une obligation (voir </w:t>
      </w:r>
      <w:r w:rsidRPr="0092652F">
        <w:rPr>
          <w:rFonts w:cs="Times New Roman"/>
          <w:i/>
          <w:lang w:val="fr-CA"/>
        </w:rPr>
        <w:t>Haas</w:t>
      </w:r>
      <w:r w:rsidRPr="0092652F">
        <w:rPr>
          <w:rFonts w:cs="Times New Roman"/>
          <w:lang w:val="fr-CA"/>
        </w:rPr>
        <w:t>, par. 10</w:t>
      </w:r>
      <w:r w:rsidRPr="0092652F">
        <w:rPr>
          <w:rFonts w:cs="Times New Roman"/>
          <w:lang w:val="fr-CA"/>
        </w:rPr>
        <w:noBreakHyphen/>
        <w:t xml:space="preserve">12; voir également R. Sullivan, </w:t>
      </w:r>
      <w:proofErr w:type="spellStart"/>
      <w:r w:rsidRPr="0092652F">
        <w:rPr>
          <w:rFonts w:cs="Times New Roman"/>
          <w:i/>
          <w:lang w:val="fr-CA"/>
        </w:rPr>
        <w:t>Statutory</w:t>
      </w:r>
      <w:proofErr w:type="spellEnd"/>
      <w:r w:rsidRPr="0092652F">
        <w:rPr>
          <w:rFonts w:cs="Times New Roman"/>
          <w:i/>
          <w:lang w:val="fr-CA"/>
        </w:rPr>
        <w:t xml:space="preserve"> </w:t>
      </w:r>
      <w:proofErr w:type="spellStart"/>
      <w:r w:rsidRPr="0092652F">
        <w:rPr>
          <w:rFonts w:cs="Times New Roman"/>
          <w:i/>
          <w:lang w:val="fr-CA"/>
        </w:rPr>
        <w:t>Interpretation</w:t>
      </w:r>
      <w:proofErr w:type="spellEnd"/>
      <w:r w:rsidRPr="0092652F">
        <w:rPr>
          <w:rFonts w:cs="Times New Roman"/>
          <w:lang w:val="fr-CA"/>
        </w:rPr>
        <w:t xml:space="preserve"> (3</w:t>
      </w:r>
      <w:r w:rsidRPr="0092652F">
        <w:rPr>
          <w:rFonts w:cs="Times New Roman"/>
          <w:vertAlign w:val="superscript"/>
          <w:lang w:val="fr-CA"/>
        </w:rPr>
        <w:t>e</w:t>
      </w:r>
      <w:r w:rsidRPr="0092652F">
        <w:rPr>
          <w:rFonts w:cs="Times New Roman"/>
          <w:lang w:val="fr-CA"/>
        </w:rPr>
        <w:t> éd. 2016), p. 90). Cette règle générale confirme le concept de l’autonomie des parties et la politique sous</w:t>
      </w:r>
      <w:r w:rsidRPr="0092652F">
        <w:rPr>
          <w:rFonts w:cs="Times New Roman"/>
          <w:lang w:val="fr-CA"/>
        </w:rPr>
        <w:noBreakHyphen/>
        <w:t xml:space="preserve">jacente de la </w:t>
      </w:r>
      <w:r w:rsidRPr="0092652F">
        <w:rPr>
          <w:rFonts w:cs="Times New Roman"/>
          <w:i/>
          <w:lang w:val="fr-CA"/>
        </w:rPr>
        <w:t>Loi sur l’arbitrage</w:t>
      </w:r>
      <w:r w:rsidRPr="0092652F">
        <w:rPr>
          <w:rFonts w:cs="Times New Roman"/>
          <w:lang w:val="fr-CA"/>
        </w:rPr>
        <w:t>, selon laquelle les parties à une convention d’arbitrage valide devraient respecter l’entente qu’elles ont conclue.</w:t>
      </w:r>
    </w:p>
    <w:p w:rsidR="00B618DD" w:rsidRPr="0092652F" w:rsidRDefault="00B618DD" w:rsidP="00B618DD">
      <w:pPr>
        <w:pStyle w:val="ParaNoNdepar-AltN"/>
        <w:tabs>
          <w:tab w:val="clear" w:pos="1152"/>
          <w:tab w:val="num" w:pos="1170"/>
        </w:tabs>
        <w:rPr>
          <w:rFonts w:cs="Times New Roman"/>
          <w:lang w:val="fr-CA"/>
        </w:rPr>
      </w:pPr>
      <w:r w:rsidRPr="0092652F">
        <w:rPr>
          <w:rFonts w:cs="Times New Roman"/>
          <w:lang w:val="fr-CA"/>
        </w:rPr>
        <w:t>Toutefois, comme je l’expliquerai, cette règle générale n’est pas absolue.</w:t>
      </w:r>
    </w:p>
    <w:p w:rsidR="00B618DD" w:rsidRPr="0092652F" w:rsidRDefault="00B618DD" w:rsidP="00B618DD">
      <w:pPr>
        <w:pStyle w:val="Title5LevelTitre5Niveau"/>
        <w:tabs>
          <w:tab w:val="num" w:pos="1170"/>
        </w:tabs>
        <w:ind w:left="1170"/>
        <w:rPr>
          <w:rFonts w:cs="Times New Roman"/>
          <w:lang w:val="fr-CA"/>
        </w:rPr>
      </w:pPr>
      <w:r w:rsidRPr="0092652F">
        <w:rPr>
          <w:rFonts w:cs="Times New Roman"/>
          <w:lang w:val="fr-CA"/>
        </w:rPr>
        <w:t>Le paragraphe 7(2) — les cinq exceptions</w:t>
      </w:r>
    </w:p>
    <w:p w:rsidR="00B618DD" w:rsidRPr="0092652F" w:rsidRDefault="00B618DD" w:rsidP="00B618DD">
      <w:pPr>
        <w:pStyle w:val="ParaNoNdepar-AltN"/>
        <w:rPr>
          <w:rFonts w:cs="Times New Roman"/>
          <w:lang w:val="fr-CA"/>
        </w:rPr>
      </w:pPr>
      <w:r w:rsidRPr="0092652F">
        <w:rPr>
          <w:rFonts w:cs="Times New Roman"/>
          <w:lang w:val="fr-CA"/>
        </w:rPr>
        <w:t xml:space="preserve">Le paragraphe 7(2) énumère cinq exceptions à la règle générale prévue au </w:t>
      </w:r>
      <w:proofErr w:type="spellStart"/>
      <w:r w:rsidRPr="0092652F">
        <w:rPr>
          <w:rFonts w:cs="Times New Roman"/>
          <w:lang w:val="fr-CA"/>
        </w:rPr>
        <w:t>par</w:t>
      </w:r>
      <w:proofErr w:type="spellEnd"/>
      <w:r w:rsidRPr="0092652F">
        <w:rPr>
          <w:rFonts w:cs="Times New Roman"/>
          <w:lang w:val="fr-CA"/>
        </w:rPr>
        <w:t>. 7(1). Le tribunal « peut » refuser de surseoir à l’instance si l’une des situations suivantes s’applique : (1) une partie a conclu la convention d’arbitrage alors qu’elle était frappée d’incapacité juridique; (2) la convention d’arbitrage est nulle; (3) l’objet du différend ne peut faire l’objet d’un arbitrage aux termes des lois de l’Ontario; (4) la motion a été présentée avec un retard indu; (5) la question est propre à un jugement par défaut ou à un jugement sommaire. Il s’agit [</w:t>
      </w:r>
      <w:r w:rsidRPr="0092652F">
        <w:rPr>
          <w:rFonts w:cs="Times New Roman"/>
          <w:smallCaps/>
          <w:lang w:val="fr-CA"/>
        </w:rPr>
        <w:t>traduction</w:t>
      </w:r>
      <w:r w:rsidRPr="0092652F">
        <w:rPr>
          <w:rFonts w:cs="Times New Roman"/>
          <w:lang w:val="fr-CA"/>
        </w:rPr>
        <w:t>] « dans tous les cas de situations dans lesquelles il serait injuste ou peu pratique de renvoyer l’affaire à l’arbitrage » (</w:t>
      </w:r>
      <w:r w:rsidRPr="0092652F">
        <w:rPr>
          <w:rFonts w:cs="Times New Roman"/>
          <w:i/>
          <w:lang w:val="fr-CA"/>
        </w:rPr>
        <w:t>MDG Kingston Inc. c. MDG Computers Canada Inc.</w:t>
      </w:r>
      <w:r w:rsidRPr="0092652F">
        <w:rPr>
          <w:rFonts w:cs="Times New Roman"/>
          <w:lang w:val="fr-CA"/>
        </w:rPr>
        <w:t>, 2008 ONCA 656, 92 O.R. (3d) 4, par. 36).</w:t>
      </w:r>
    </w:p>
    <w:p w:rsidR="00B618DD" w:rsidRPr="0092652F" w:rsidRDefault="00B618DD" w:rsidP="00B618DD">
      <w:pPr>
        <w:pStyle w:val="Title5LevelTitre5Niveau"/>
        <w:tabs>
          <w:tab w:val="num" w:pos="1170"/>
        </w:tabs>
        <w:ind w:left="1170"/>
        <w:rPr>
          <w:rFonts w:cs="Times New Roman"/>
          <w:lang w:val="fr-CA"/>
        </w:rPr>
      </w:pPr>
      <w:r w:rsidRPr="0092652F">
        <w:rPr>
          <w:rFonts w:cs="Times New Roman"/>
          <w:lang w:val="fr-CA"/>
        </w:rPr>
        <w:t>Le paragraphe 7(5) — Disposition relative à un sursis partiel</w:t>
      </w:r>
    </w:p>
    <w:p w:rsidR="00B618DD" w:rsidRPr="0092652F" w:rsidRDefault="00B618DD" w:rsidP="00B618DD">
      <w:pPr>
        <w:pStyle w:val="ParaNoNdepar-AltN"/>
        <w:rPr>
          <w:rFonts w:cs="Times New Roman"/>
          <w:lang w:val="fr-CA"/>
        </w:rPr>
      </w:pPr>
      <w:r w:rsidRPr="0092652F">
        <w:rPr>
          <w:rFonts w:cs="Times New Roman"/>
          <w:lang w:val="fr-CA" w:bidi="en-US"/>
        </w:rPr>
        <w:t xml:space="preserve">Le paragraphe 7(5) prévoit une autre exception à la règle générale prévue au </w:t>
      </w:r>
      <w:proofErr w:type="spellStart"/>
      <w:r w:rsidRPr="0092652F">
        <w:rPr>
          <w:rFonts w:cs="Times New Roman"/>
          <w:lang w:val="fr-CA" w:bidi="en-US"/>
        </w:rPr>
        <w:t>par</w:t>
      </w:r>
      <w:proofErr w:type="spellEnd"/>
      <w:r w:rsidRPr="0092652F">
        <w:rPr>
          <w:rFonts w:cs="Times New Roman"/>
          <w:lang w:val="fr-CA" w:bidi="en-US"/>
        </w:rPr>
        <w:t>. 7(1). Sur l</w:t>
      </w:r>
      <w:r>
        <w:rPr>
          <w:rFonts w:cs="Times New Roman"/>
          <w:lang w:val="fr-CA" w:bidi="en-US"/>
        </w:rPr>
        <w:t>e plan structural, le par.</w:t>
      </w:r>
      <w:r w:rsidRPr="0092652F">
        <w:rPr>
          <w:rFonts w:cs="Times New Roman"/>
          <w:lang w:val="fr-CA" w:bidi="en-US"/>
        </w:rPr>
        <w:t> 7(5) comprend deux éléments principaux :</w:t>
      </w:r>
    </w:p>
    <w:p w:rsidR="00B618DD" w:rsidRPr="0092652F" w:rsidRDefault="00B618DD" w:rsidP="00B618DD">
      <w:pPr>
        <w:pStyle w:val="Citation-AltC"/>
        <w:numPr>
          <w:ilvl w:val="2"/>
          <w:numId w:val="4"/>
        </w:numPr>
        <w:spacing w:after="480" w:line="480" w:lineRule="auto"/>
        <w:ind w:left="720" w:hanging="720"/>
        <w:contextualSpacing w:val="0"/>
        <w:rPr>
          <w:rFonts w:eastAsiaTheme="minorEastAsia"/>
          <w:lang w:val="fr-CA"/>
        </w:rPr>
      </w:pPr>
      <w:r w:rsidRPr="0092652F">
        <w:rPr>
          <w:rFonts w:eastAsiaTheme="minorEastAsia"/>
          <w:b/>
          <w:lang w:val="fr-CA"/>
        </w:rPr>
        <w:t xml:space="preserve">Des conditions préalables </w:t>
      </w:r>
      <w:r w:rsidRPr="0092652F">
        <w:rPr>
          <w:rFonts w:eastAsiaTheme="minorEastAsia"/>
          <w:lang w:val="fr-CA"/>
        </w:rPr>
        <w:t xml:space="preserve">— </w:t>
      </w:r>
      <w:r w:rsidRPr="0092652F">
        <w:rPr>
          <w:lang w:val="fr-CA" w:bidi="en-US"/>
        </w:rPr>
        <w:t>Les alinéas 7(5)a) et b) énoncent deux conditions préalables</w:t>
      </w:r>
      <w:r w:rsidRPr="0092652F">
        <w:rPr>
          <w:rFonts w:eastAsiaTheme="minorEastAsia"/>
          <w:lang w:val="fr-CA"/>
        </w:rPr>
        <w:t> : a) « la convention ne traite que de certaines des questions à l’égard desquelles l’instance a été introduite » et b) « il est raisonnable de dissocier les questions traitées dans la convention des autres questions ».</w:t>
      </w:r>
    </w:p>
    <w:p w:rsidR="00B618DD" w:rsidRPr="0092652F" w:rsidRDefault="00B618DD" w:rsidP="00B618DD">
      <w:pPr>
        <w:pStyle w:val="Citation-AltC"/>
        <w:numPr>
          <w:ilvl w:val="2"/>
          <w:numId w:val="4"/>
        </w:numPr>
        <w:spacing w:after="480" w:line="480" w:lineRule="auto"/>
        <w:ind w:left="720" w:hanging="720"/>
        <w:contextualSpacing w:val="0"/>
        <w:rPr>
          <w:lang w:val="fr-CA"/>
        </w:rPr>
      </w:pPr>
      <w:r w:rsidRPr="0092652F">
        <w:rPr>
          <w:b/>
          <w:lang w:val="fr-CA" w:bidi="en-US"/>
        </w:rPr>
        <w:t>Une exception discrétionnaire</w:t>
      </w:r>
      <w:r w:rsidRPr="0092652F">
        <w:rPr>
          <w:lang w:val="fr-CA" w:bidi="en-US"/>
        </w:rPr>
        <w:t xml:space="preserve"> — S’il est satisfait à ces deux conditions </w:t>
      </w:r>
      <w:r w:rsidRPr="00873A81">
        <w:rPr>
          <w:rFonts w:eastAsiaTheme="minorEastAsia"/>
          <w:lang w:val="fr-CA"/>
        </w:rPr>
        <w:t>préalables</w:t>
      </w:r>
      <w:r w:rsidRPr="0092652F">
        <w:rPr>
          <w:lang w:val="fr-CA" w:bidi="en-US"/>
        </w:rPr>
        <w:t>, le tribunal « peut surseoir à l’instance en ce qui touche les questions traitées dans la convention d’arbitrage et permettre qu’elle se poursuive en ce qui touche les autres questions ».</w:t>
      </w:r>
    </w:p>
    <w:p w:rsidR="00B618DD" w:rsidRPr="0092652F" w:rsidRDefault="00B618DD" w:rsidP="00B618DD">
      <w:pPr>
        <w:pStyle w:val="ParaNoNdepar-AltN"/>
        <w:rPr>
          <w:rFonts w:cs="Times New Roman"/>
          <w:lang w:val="fr-CA"/>
        </w:rPr>
      </w:pPr>
      <w:r w:rsidRPr="0092652F">
        <w:rPr>
          <w:rFonts w:cs="Times New Roman"/>
          <w:lang w:val="fr-CA"/>
        </w:rPr>
        <w:t xml:space="preserve">Examinons dans un premier temps les deux conditions préalables. Il est satisfait </w:t>
      </w:r>
      <w:proofErr w:type="gramStart"/>
      <w:r w:rsidRPr="0092652F">
        <w:rPr>
          <w:rFonts w:cs="Times New Roman"/>
          <w:lang w:val="fr-CA"/>
        </w:rPr>
        <w:t>à la première</w:t>
      </w:r>
      <w:proofErr w:type="gramEnd"/>
      <w:r w:rsidRPr="0092652F">
        <w:rPr>
          <w:rFonts w:cs="Times New Roman"/>
          <w:lang w:val="fr-CA"/>
        </w:rPr>
        <w:t xml:space="preserve"> si « la convention ne traite que de certaines des questions à l’égard desquelles l’instance a été introduite ». Autrement dit, l’instance doit porter sur (1) au moins une question </w:t>
      </w:r>
      <w:r w:rsidRPr="0092652F">
        <w:rPr>
          <w:rFonts w:cs="Times New Roman"/>
          <w:lang w:val="fr-CA" w:bidi="en-US"/>
        </w:rPr>
        <w:t xml:space="preserve">qui </w:t>
      </w:r>
      <w:r w:rsidRPr="0092652F">
        <w:rPr>
          <w:rFonts w:cs="Times New Roman"/>
          <w:i/>
          <w:lang w:val="fr-CA" w:bidi="en-US"/>
        </w:rPr>
        <w:t xml:space="preserve">est </w:t>
      </w:r>
      <w:r w:rsidRPr="0092652F">
        <w:rPr>
          <w:rFonts w:cs="Times New Roman"/>
          <w:lang w:val="fr-CA" w:bidi="en-US"/>
        </w:rPr>
        <w:t xml:space="preserve">traitée dans la convention d’arbitrage et (2) au moins une question qui </w:t>
      </w:r>
      <w:r w:rsidRPr="0092652F">
        <w:rPr>
          <w:rFonts w:cs="Times New Roman"/>
          <w:i/>
          <w:lang w:val="fr-CA" w:bidi="en-US"/>
        </w:rPr>
        <w:t>n’est pas</w:t>
      </w:r>
      <w:r w:rsidRPr="0092652F">
        <w:rPr>
          <w:rFonts w:cs="Times New Roman"/>
          <w:lang w:val="fr-CA" w:bidi="en-US"/>
        </w:rPr>
        <w:t xml:space="preserve"> traitée dans la convention d’arbitrage.</w:t>
      </w:r>
    </w:p>
    <w:p w:rsidR="00B618DD" w:rsidRPr="0092652F" w:rsidRDefault="00B618DD" w:rsidP="00B618DD">
      <w:pPr>
        <w:pStyle w:val="ParaNoNdepar-AltN"/>
        <w:rPr>
          <w:rFonts w:cs="Times New Roman"/>
          <w:lang w:val="fr-CA"/>
        </w:rPr>
      </w:pPr>
      <w:r w:rsidRPr="0092652F">
        <w:rPr>
          <w:rFonts w:cs="Times New Roman"/>
          <w:lang w:val="fr-CA" w:bidi="en-US"/>
        </w:rPr>
        <w:t xml:space="preserve">La deuxième condition préalable est remplie s’il « est raisonnable de dissocier les questions traitées dans la convention des autres questions ». Naturellement, les « autres questions » sont celles qui </w:t>
      </w:r>
      <w:r w:rsidRPr="0092652F">
        <w:rPr>
          <w:rFonts w:cs="Times New Roman"/>
          <w:i/>
          <w:lang w:val="fr-CA" w:bidi="en-US"/>
        </w:rPr>
        <w:t>ne sont pas</w:t>
      </w:r>
      <w:r w:rsidRPr="0092652F">
        <w:rPr>
          <w:rFonts w:cs="Times New Roman"/>
          <w:lang w:val="fr-CA" w:bidi="en-US"/>
        </w:rPr>
        <w:t xml:space="preserve"> traitées dans la convention d’arbitrage, car le par. 7(5) ne prévoit que deux catégories de « questions » : celles qui </w:t>
      </w:r>
      <w:r w:rsidRPr="0092652F">
        <w:rPr>
          <w:rFonts w:cs="Times New Roman"/>
          <w:i/>
          <w:lang w:val="fr-CA" w:bidi="en-US"/>
        </w:rPr>
        <w:t xml:space="preserve">sont </w:t>
      </w:r>
      <w:r w:rsidRPr="0092652F">
        <w:rPr>
          <w:rFonts w:cs="Times New Roman"/>
          <w:lang w:val="fr-CA" w:bidi="en-US"/>
        </w:rPr>
        <w:t xml:space="preserve">traitées dans la convention d’arbitrage et celles qui </w:t>
      </w:r>
      <w:r w:rsidRPr="0092652F">
        <w:rPr>
          <w:rFonts w:cs="Times New Roman"/>
          <w:i/>
          <w:lang w:val="fr-CA" w:bidi="en-US"/>
        </w:rPr>
        <w:t>ne le sont pas</w:t>
      </w:r>
      <w:r w:rsidRPr="0092652F">
        <w:rPr>
          <w:rFonts w:cs="Times New Roman"/>
          <w:lang w:val="fr-CA" w:bidi="en-US"/>
        </w:rPr>
        <w:t>.</w:t>
      </w:r>
    </w:p>
    <w:p w:rsidR="00B618DD" w:rsidRPr="0092652F" w:rsidRDefault="00B618DD" w:rsidP="00B618DD">
      <w:pPr>
        <w:pStyle w:val="ParaNoNdepar-AltN"/>
        <w:rPr>
          <w:rFonts w:cs="Times New Roman"/>
          <w:lang w:val="fr-CA"/>
        </w:rPr>
      </w:pPr>
      <w:r w:rsidRPr="0092652F">
        <w:rPr>
          <w:rFonts w:cs="Times New Roman"/>
          <w:lang w:val="fr-CA" w:bidi="en-US"/>
        </w:rPr>
        <w:t xml:space="preserve">S’il est satisfait aux deux conditions préalables, au lieu d’ordonner un sursis complet, le tribunal « peut » </w:t>
      </w:r>
      <w:proofErr w:type="gramStart"/>
      <w:r w:rsidRPr="0092652F">
        <w:rPr>
          <w:rFonts w:cs="Times New Roman"/>
          <w:lang w:val="fr-CA" w:bidi="en-US"/>
        </w:rPr>
        <w:t>autoriser</w:t>
      </w:r>
      <w:proofErr w:type="gramEnd"/>
      <w:r w:rsidRPr="0092652F">
        <w:rPr>
          <w:rFonts w:cs="Times New Roman"/>
          <w:lang w:val="fr-CA" w:bidi="en-US"/>
        </w:rPr>
        <w:t xml:space="preserve"> que les questions qui </w:t>
      </w:r>
      <w:r w:rsidRPr="0092652F">
        <w:rPr>
          <w:rFonts w:cs="Times New Roman"/>
          <w:i/>
          <w:lang w:val="fr-CA" w:bidi="en-US"/>
        </w:rPr>
        <w:t xml:space="preserve">ne </w:t>
      </w:r>
      <w:r w:rsidRPr="0092652F">
        <w:rPr>
          <w:rFonts w:cs="Times New Roman"/>
          <w:lang w:val="fr-CA" w:bidi="en-US"/>
        </w:rPr>
        <w:t xml:space="preserve">sont </w:t>
      </w:r>
      <w:r w:rsidRPr="0092652F">
        <w:rPr>
          <w:rFonts w:cs="Times New Roman"/>
          <w:i/>
          <w:lang w:val="fr-CA" w:bidi="en-US"/>
        </w:rPr>
        <w:t>pas</w:t>
      </w:r>
      <w:r w:rsidRPr="0092652F">
        <w:rPr>
          <w:rFonts w:cs="Times New Roman"/>
          <w:lang w:val="fr-CA" w:bidi="en-US"/>
        </w:rPr>
        <w:t xml:space="preserve"> traitées dans la convention d’arbitrage soient soumises au tribunal. Il doit toutefois surseoir à l’instance malgré tout en ce qui touche les questions qui </w:t>
      </w:r>
      <w:r w:rsidRPr="0092652F">
        <w:rPr>
          <w:rFonts w:cs="Times New Roman"/>
          <w:i/>
          <w:lang w:val="fr-CA" w:bidi="en-US"/>
        </w:rPr>
        <w:t xml:space="preserve">sont </w:t>
      </w:r>
      <w:r w:rsidRPr="0092652F">
        <w:rPr>
          <w:rFonts w:cs="Times New Roman"/>
          <w:lang w:val="fr-CA" w:bidi="en-US"/>
        </w:rPr>
        <w:t xml:space="preserve">traitées dans la convention d’arbitrage. Par exemple, si les parties à une convention d’arbitrage ont choisi d’inclure « A », mais non « B », dans la convention, le par. 7(5) permet au tribunal, lorsqu’il est satisfait aux deux conditions préalables, d’instruire une instance à l’égard de « B », même s’il doit surseoir à l’instance à l’égard de « A ». Puisqu’elle donne effet à l’entente que les parties ont conclue de soumettre seulement certains types de différends à l’arbitrage, cette interprétation </w:t>
      </w:r>
      <w:r w:rsidRPr="0092652F">
        <w:rPr>
          <w:rFonts w:cs="Times New Roman"/>
          <w:lang w:val="fr-CA"/>
        </w:rPr>
        <w:t>confirme le concept de l’autonomie des parties ainsi que la politique sous</w:t>
      </w:r>
      <w:r w:rsidRPr="0092652F">
        <w:rPr>
          <w:rFonts w:cs="Times New Roman"/>
          <w:lang w:val="fr-CA"/>
        </w:rPr>
        <w:noBreakHyphen/>
        <w:t xml:space="preserve">jacente de la </w:t>
      </w:r>
      <w:r w:rsidRPr="0092652F">
        <w:rPr>
          <w:rFonts w:cs="Times New Roman"/>
          <w:i/>
          <w:lang w:val="fr-CA"/>
        </w:rPr>
        <w:t>Loi sur l’arbitrage</w:t>
      </w:r>
      <w:r w:rsidRPr="0092652F">
        <w:rPr>
          <w:rFonts w:cs="Times New Roman"/>
          <w:lang w:val="fr-CA"/>
        </w:rPr>
        <w:t xml:space="preserve"> selon laquelle les parties à une convention d’arbitrage valide devraient respecter l’entente qu’elles ont conclue.</w:t>
      </w:r>
    </w:p>
    <w:p w:rsidR="00B618DD" w:rsidRPr="0092652F" w:rsidRDefault="00B618DD" w:rsidP="00B618DD">
      <w:pPr>
        <w:pStyle w:val="ParaNoNdepar-AltN"/>
        <w:rPr>
          <w:rFonts w:cs="Times New Roman"/>
          <w:lang w:val="fr-CA"/>
        </w:rPr>
      </w:pPr>
      <w:r w:rsidRPr="0092652F">
        <w:rPr>
          <w:rFonts w:cs="Times New Roman"/>
          <w:lang w:val="fr-CA"/>
        </w:rPr>
        <w:t xml:space="preserve">Cependant, s’il </w:t>
      </w:r>
      <w:r w:rsidRPr="0092652F">
        <w:rPr>
          <w:rFonts w:cs="Times New Roman"/>
          <w:i/>
          <w:lang w:val="fr-CA"/>
        </w:rPr>
        <w:t>n’</w:t>
      </w:r>
      <w:r w:rsidRPr="0092652F">
        <w:rPr>
          <w:rFonts w:cs="Times New Roman"/>
          <w:lang w:val="fr-CA"/>
        </w:rPr>
        <w:t xml:space="preserve">est </w:t>
      </w:r>
      <w:r w:rsidRPr="0092652F">
        <w:rPr>
          <w:rFonts w:cs="Times New Roman"/>
          <w:i/>
          <w:lang w:val="fr-CA"/>
        </w:rPr>
        <w:t>pas</w:t>
      </w:r>
      <w:r w:rsidRPr="0092652F">
        <w:rPr>
          <w:rFonts w:cs="Times New Roman"/>
          <w:lang w:val="fr-CA"/>
        </w:rPr>
        <w:t xml:space="preserve"> satisfait aux conditions préalables, l’exception discrétionnaire prévue au </w:t>
      </w:r>
      <w:proofErr w:type="spellStart"/>
      <w:r w:rsidRPr="0092652F">
        <w:rPr>
          <w:rFonts w:cs="Times New Roman"/>
          <w:lang w:val="fr-CA"/>
        </w:rPr>
        <w:t>par</w:t>
      </w:r>
      <w:proofErr w:type="spellEnd"/>
      <w:r w:rsidRPr="0092652F">
        <w:rPr>
          <w:rFonts w:cs="Times New Roman"/>
          <w:lang w:val="fr-CA"/>
        </w:rPr>
        <w:t xml:space="preserve">. 7(5) n’entre pas en jeu. </w:t>
      </w:r>
      <w:r>
        <w:rPr>
          <w:rFonts w:cs="Times New Roman"/>
          <w:lang w:val="fr-CA"/>
        </w:rPr>
        <w:t>Cela est logique : le par.</w:t>
      </w:r>
      <w:r w:rsidRPr="0092652F">
        <w:rPr>
          <w:rFonts w:cs="Times New Roman"/>
          <w:lang w:val="fr-CA"/>
        </w:rPr>
        <w:t xml:space="preserve"> 7(5) ne prend effet que « si » les deux conditions préalables sont remplies; si elles ne le sont pas, le par. 7(5) ne s’applique pas. Dans ce cas, à moins qu’une des cinq exceptions énumérées au </w:t>
      </w:r>
      <w:proofErr w:type="spellStart"/>
      <w:r w:rsidRPr="0092652F">
        <w:rPr>
          <w:rFonts w:cs="Times New Roman"/>
          <w:lang w:val="fr-CA"/>
        </w:rPr>
        <w:t>par</w:t>
      </w:r>
      <w:proofErr w:type="spellEnd"/>
      <w:r w:rsidRPr="0092652F">
        <w:rPr>
          <w:rFonts w:cs="Times New Roman"/>
          <w:lang w:val="fr-CA"/>
        </w:rPr>
        <w:t xml:space="preserve">. 7(2) s’applique, c’est la règle générale prévue au </w:t>
      </w:r>
      <w:proofErr w:type="spellStart"/>
      <w:r w:rsidRPr="0092652F">
        <w:rPr>
          <w:rFonts w:cs="Times New Roman"/>
          <w:lang w:val="fr-CA"/>
        </w:rPr>
        <w:t>par</w:t>
      </w:r>
      <w:proofErr w:type="spellEnd"/>
      <w:r w:rsidRPr="0092652F">
        <w:rPr>
          <w:rFonts w:cs="Times New Roman"/>
          <w:lang w:val="fr-CA"/>
        </w:rPr>
        <w:t>. 7(1) qui prévaut et le tribunal doit ordonner le sursis de l’instance.</w:t>
      </w:r>
    </w:p>
    <w:p w:rsidR="00B618DD" w:rsidRPr="0092652F" w:rsidRDefault="00B618DD" w:rsidP="00B618DD">
      <w:pPr>
        <w:pStyle w:val="ParaNoNdepar-AltN"/>
        <w:rPr>
          <w:rFonts w:cs="Times New Roman"/>
          <w:lang w:val="fr-CA" w:bidi="en-CA"/>
        </w:rPr>
      </w:pPr>
      <w:r w:rsidRPr="0092652F">
        <w:rPr>
          <w:rFonts w:cs="Times New Roman"/>
          <w:lang w:val="fr-CA"/>
        </w:rPr>
        <w:t xml:space="preserve">Cette interprétation est étayée par la doctrine. Dans l’ouvrage </w:t>
      </w:r>
      <w:r w:rsidRPr="0092652F">
        <w:rPr>
          <w:rFonts w:cs="Times New Roman"/>
          <w:i/>
          <w:lang w:val="fr-CA"/>
        </w:rPr>
        <w:t>Arbitration Law of Canada</w:t>
      </w:r>
      <w:r>
        <w:rPr>
          <w:rFonts w:cs="Times New Roman"/>
          <w:i/>
          <w:lang w:val="fr-CA"/>
        </w:rPr>
        <w:t xml:space="preserve"> </w:t>
      </w:r>
      <w:r w:rsidRPr="0092652F">
        <w:rPr>
          <w:rFonts w:cs="Times New Roman"/>
          <w:i/>
          <w:lang w:val="fr-CA"/>
        </w:rPr>
        <w:t xml:space="preserve">: Practice and </w:t>
      </w:r>
      <w:proofErr w:type="spellStart"/>
      <w:r w:rsidRPr="0092652F">
        <w:rPr>
          <w:rFonts w:cs="Times New Roman"/>
          <w:i/>
          <w:lang w:val="fr-CA"/>
        </w:rPr>
        <w:t>Procedure</w:t>
      </w:r>
      <w:proofErr w:type="spellEnd"/>
      <w:r w:rsidRPr="0092652F">
        <w:rPr>
          <w:rFonts w:cs="Times New Roman"/>
          <w:lang w:val="fr-CA"/>
        </w:rPr>
        <w:t>, J. B. Casey a formulé les commentaires suivants au sujet des dispositions équivalentes de la loi de l’Alberta :</w:t>
      </w:r>
    </w:p>
    <w:p w:rsidR="00B618DD" w:rsidRPr="0092652F" w:rsidRDefault="00B618DD" w:rsidP="00B618DD">
      <w:pPr>
        <w:pStyle w:val="CITATION"/>
        <w:tabs>
          <w:tab w:val="left" w:pos="1170"/>
        </w:tabs>
        <w:spacing w:after="240"/>
        <w:ind w:left="1170" w:right="-84"/>
        <w:rPr>
          <w:rFonts w:eastAsiaTheme="minorEastAsia" w:cs="Times New Roman"/>
          <w:lang w:val="fr-CA"/>
        </w:rPr>
      </w:pPr>
      <w:r w:rsidRPr="0092652F">
        <w:rPr>
          <w:rFonts w:eastAsiaTheme="minorEastAsia" w:cs="Times New Roman"/>
          <w:lang w:val="fr-CA"/>
        </w:rPr>
        <w:t>[</w:t>
      </w:r>
      <w:r w:rsidRPr="0092652F">
        <w:rPr>
          <w:rFonts w:eastAsiaTheme="minorEastAsia" w:cs="Times New Roman"/>
          <w:smallCaps/>
          <w:lang w:val="fr-CA"/>
        </w:rPr>
        <w:t>traduction</w:t>
      </w:r>
      <w:r w:rsidRPr="0092652F">
        <w:rPr>
          <w:rFonts w:eastAsiaTheme="minorEastAsia" w:cs="Times New Roman"/>
          <w:lang w:val="fr-CA"/>
        </w:rPr>
        <w:t>] Le paragraphe 7(1) énonce la règle générale selon laquelle, si une partie introduit une action en justice à l’égard de questions régies par une convention d’arbitrage, le tribunal « doit » surseoir à l’instance. Le paragraphe 7(5) énonce ensuite une exception partielle à cette règle générale. Il prévoit que le tribunal peut autoriser la poursuite d’une instance à l’égard de questions qui ne sont pas visées par la convention d’arbitrage, pourvu qu’il soit raisonnable de les dissocier de celles qui sont visées par la convention en question. Rien dans le libellé du paragraphe 7(5) ne semble conférer au tribunal la compétence d’autoriser que toute l’action soit instruite lorsqu’il n’est pas raisonnable de dissocier les questions en litige, et d’affirmer que le paragraphe 7(4) permet de surseoir à la procédure d’arbitrage.</w:t>
      </w:r>
    </w:p>
    <w:p w:rsidR="00B618DD" w:rsidRPr="0092652F" w:rsidRDefault="00B618DD" w:rsidP="00B618DD">
      <w:pPr>
        <w:pStyle w:val="CITATION"/>
        <w:tabs>
          <w:tab w:val="left" w:pos="1710"/>
        </w:tabs>
        <w:spacing w:after="720"/>
        <w:ind w:left="1166" w:right="-86" w:firstLine="4"/>
        <w:rPr>
          <w:rFonts w:cs="Times New Roman"/>
          <w:lang w:val="fr-CA"/>
        </w:rPr>
      </w:pPr>
      <w:r>
        <w:rPr>
          <w:rFonts w:cs="Times New Roman"/>
          <w:lang w:val="fr-CA"/>
        </w:rPr>
        <w:tab/>
      </w:r>
      <w:r w:rsidRPr="0092652F">
        <w:rPr>
          <w:rFonts w:cs="Times New Roman"/>
          <w:lang w:val="fr-CA"/>
        </w:rPr>
        <w:t>Le paragraphe 7(5) prévoit que le tribunal peut autoriser la poursuite de l’instance à l’égard des questions qui ne sont pas visées par la convention d’arbitrage s’il est raisonnable de les dissocier des questions qui sont soumises à l’arbitrage. Il ne traite pas de la situation inverse, c’est</w:t>
      </w:r>
      <w:r w:rsidRPr="0092652F">
        <w:rPr>
          <w:rFonts w:cs="Times New Roman"/>
          <w:lang w:val="fr-CA"/>
        </w:rPr>
        <w:noBreakHyphen/>
        <w:t>à</w:t>
      </w:r>
      <w:r w:rsidRPr="0092652F">
        <w:rPr>
          <w:rFonts w:cs="Times New Roman"/>
          <w:lang w:val="fr-CA"/>
        </w:rPr>
        <w:noBreakHyphen/>
        <w:t>dire de celle où le tribunal conclut qu’il n’est pas raisonnable de dissocier les questions. Dans ce cas, à notre avis, le tribunal suspendrait l’instance en attendant l’issue de l’arbitrage, puis déciderait s’il est nécessaire de poursuivre l’action en justice. [p. 349</w:t>
      </w:r>
      <w:r w:rsidRPr="0092652F">
        <w:rPr>
          <w:rFonts w:cs="Times New Roman"/>
          <w:lang w:val="fr-CA"/>
        </w:rPr>
        <w:noBreakHyphen/>
        <w:t>350]</w:t>
      </w:r>
    </w:p>
    <w:p w:rsidR="00B618DD" w:rsidRPr="0092652F" w:rsidRDefault="00B618DD" w:rsidP="00B618DD">
      <w:pPr>
        <w:pStyle w:val="ParaNoNdepar-AltN"/>
        <w:rPr>
          <w:rFonts w:cs="Times New Roman"/>
          <w:lang w:val="fr-CA"/>
        </w:rPr>
      </w:pPr>
      <w:r w:rsidRPr="0092652F">
        <w:rPr>
          <w:rFonts w:cs="Times New Roman"/>
          <w:lang w:val="fr-CA"/>
        </w:rPr>
        <w:t>L’auteur affirme par la suite que [</w:t>
      </w:r>
      <w:r w:rsidRPr="0092652F">
        <w:rPr>
          <w:rFonts w:cs="Times New Roman"/>
          <w:smallCaps/>
          <w:lang w:val="fr-CA"/>
        </w:rPr>
        <w:t>traduction</w:t>
      </w:r>
      <w:r w:rsidRPr="0092652F">
        <w:rPr>
          <w:rFonts w:cs="Times New Roman"/>
          <w:lang w:val="fr-CA"/>
        </w:rPr>
        <w:t>] « [l]e paragraphe 7(5) ne permet pas d’autoriser l’instruction d’une action et la suspension d’une convention d’arbitrage valide simplement parce qu’il semble y avoir un chevauchement entre les réclamations soumises au tribunal et celles soumises à l’arbitrage et qu’il n’est pas raisonnable de les dissocier ». Il ajoute que « [l]e paragraphe 7(5) porte sur la question de savoir si le tribunal peut autoriser ou non que des réclamations distinctes qui ne sont pas visées par la convention d’arbitrage soient soumises au tribunal par voie d’action. Il ne porte pas sur la question de savoir si les réclamations visées par la convention d’arbitrage devrai</w:t>
      </w:r>
      <w:r>
        <w:rPr>
          <w:rFonts w:cs="Times New Roman"/>
          <w:lang w:val="fr-CA"/>
        </w:rPr>
        <w:t>ent ou non être suspendues » (p</w:t>
      </w:r>
      <w:r w:rsidRPr="0092652F">
        <w:rPr>
          <w:rFonts w:cs="Times New Roman"/>
          <w:lang w:val="fr-CA"/>
        </w:rPr>
        <w:t>. 352</w:t>
      </w:r>
      <w:r w:rsidRPr="0092652F">
        <w:rPr>
          <w:rFonts w:cs="Times New Roman"/>
          <w:lang w:val="fr-CA"/>
        </w:rPr>
        <w:noBreakHyphen/>
        <w:t>353).</w:t>
      </w:r>
    </w:p>
    <w:p w:rsidR="00B618DD" w:rsidRPr="0092652F" w:rsidRDefault="00B618DD" w:rsidP="00B618DD">
      <w:pPr>
        <w:pStyle w:val="ParaNoNdepar-AltN"/>
        <w:rPr>
          <w:rFonts w:cs="Times New Roman"/>
          <w:lang w:val="fr-CA"/>
        </w:rPr>
      </w:pPr>
      <w:r w:rsidRPr="0092652F">
        <w:rPr>
          <w:rFonts w:cs="Times New Roman"/>
          <w:lang w:val="fr-CA"/>
        </w:rPr>
        <w:t>M. </w:t>
      </w:r>
      <w:proofErr w:type="spellStart"/>
      <w:r w:rsidRPr="0092652F">
        <w:rPr>
          <w:rFonts w:cs="Times New Roman"/>
          <w:lang w:val="fr-CA"/>
        </w:rPr>
        <w:t>Wellman</w:t>
      </w:r>
      <w:proofErr w:type="spellEnd"/>
      <w:r w:rsidRPr="0092652F">
        <w:rPr>
          <w:rFonts w:cs="Times New Roman"/>
          <w:lang w:val="fr-CA"/>
        </w:rPr>
        <w:t xml:space="preserve"> n’est pas d’accord. Essentiellement, il fait valoir que le par. 7(5) doit être interprété comme signifiant que le tribunal « peut </w:t>
      </w:r>
      <w:proofErr w:type="gramStart"/>
      <w:r w:rsidRPr="0092652F">
        <w:rPr>
          <w:rFonts w:cs="Times New Roman"/>
          <w:lang w:val="fr-CA"/>
        </w:rPr>
        <w:t>surseoir</w:t>
      </w:r>
      <w:r w:rsidRPr="00ED3C25">
        <w:rPr>
          <w:rFonts w:cs="Times New Roman"/>
          <w:lang w:val="fr-CA"/>
        </w:rPr>
        <w:t>[</w:t>
      </w:r>
      <w:proofErr w:type="gramEnd"/>
      <w:r w:rsidRPr="00ED3C25">
        <w:rPr>
          <w:rFonts w:cs="Times New Roman"/>
          <w:lang w:val="fr-CA"/>
        </w:rPr>
        <w:t xml:space="preserve">, </w:t>
      </w:r>
      <w:r w:rsidRPr="0092652F">
        <w:rPr>
          <w:rFonts w:cs="Times New Roman"/>
          <w:u w:val="single"/>
          <w:lang w:val="fr-CA"/>
        </w:rPr>
        <w:t>ou refuser de surseoir,]</w:t>
      </w:r>
      <w:r w:rsidRPr="0092652F">
        <w:rPr>
          <w:rFonts w:cs="Times New Roman"/>
          <w:lang w:val="fr-CA"/>
        </w:rPr>
        <w:t xml:space="preserve"> à l’instance en ce qui touche les questions traitées dans la convention d’arbitrage et permettre qu’elle se poursuive en ce qui touche les autres questions »</w:t>
      </w:r>
      <w:r w:rsidRPr="0092652F">
        <w:rPr>
          <w:rFonts w:cs="Times New Roman"/>
          <w:lang w:val="fr-CA" w:bidi="en-US"/>
        </w:rPr>
        <w:t>, et que l’al. 7(5)b) doit être interprété comme autorisant le tribunal à refuser de surseoir à l’instance lorsqu’il « [</w:t>
      </w:r>
      <w:r w:rsidRPr="0092652F">
        <w:rPr>
          <w:rFonts w:cs="Times New Roman"/>
          <w:u w:val="single"/>
          <w:lang w:val="fr-CA" w:bidi="en-US"/>
        </w:rPr>
        <w:t>n’est pas]</w:t>
      </w:r>
      <w:r w:rsidRPr="0092652F">
        <w:rPr>
          <w:rFonts w:cs="Times New Roman"/>
          <w:lang w:val="fr-CA" w:bidi="en-US"/>
        </w:rPr>
        <w:t xml:space="preserve"> raisonnable de dissocier les questions traitées dans la convention des autres questions ». Avec égards, je ne peux pas accepter cette prétention</w:t>
      </w:r>
      <w:r>
        <w:rPr>
          <w:rFonts w:cs="Times New Roman"/>
          <w:lang w:val="fr-CA" w:bidi="en-US"/>
        </w:rPr>
        <w:t>. L’interprétation du par.</w:t>
      </w:r>
      <w:r w:rsidRPr="0092652F">
        <w:rPr>
          <w:rFonts w:cs="Times New Roman"/>
          <w:lang w:val="fr-CA" w:bidi="en-US"/>
        </w:rPr>
        <w:t xml:space="preserve"> 7(5) proposée par </w:t>
      </w:r>
      <w:r w:rsidRPr="0092652F">
        <w:rPr>
          <w:rFonts w:cs="Times New Roman"/>
          <w:lang w:val="fr-CA"/>
        </w:rPr>
        <w:t>M. </w:t>
      </w:r>
      <w:proofErr w:type="spellStart"/>
      <w:r w:rsidRPr="0092652F">
        <w:rPr>
          <w:rFonts w:cs="Times New Roman"/>
          <w:lang w:val="fr-CA"/>
        </w:rPr>
        <w:t>Wellman</w:t>
      </w:r>
      <w:proofErr w:type="spellEnd"/>
      <w:r w:rsidRPr="0092652F">
        <w:rPr>
          <w:rFonts w:cs="Times New Roman"/>
          <w:lang w:val="fr-CA"/>
        </w:rPr>
        <w:t xml:space="preserve"> se fonde sur des termes qui ne figurent tout simplement pas dans la disposition. Qui plus est, ces termes </w:t>
      </w:r>
      <w:r w:rsidRPr="0092652F">
        <w:rPr>
          <w:rFonts w:cs="Times New Roman"/>
          <w:i/>
          <w:lang w:val="fr-CA"/>
        </w:rPr>
        <w:t>figurent</w:t>
      </w:r>
      <w:r w:rsidRPr="0092652F">
        <w:rPr>
          <w:rFonts w:cs="Times New Roman"/>
          <w:lang w:val="fr-CA"/>
        </w:rPr>
        <w:t xml:space="preserve"> ailleurs dans la loi, à savoir au </w:t>
      </w:r>
      <w:proofErr w:type="spellStart"/>
      <w:r w:rsidRPr="0092652F">
        <w:rPr>
          <w:rFonts w:cs="Times New Roman"/>
          <w:lang w:val="fr-CA"/>
        </w:rPr>
        <w:t>par</w:t>
      </w:r>
      <w:proofErr w:type="spellEnd"/>
      <w:r w:rsidRPr="0092652F">
        <w:rPr>
          <w:rFonts w:cs="Times New Roman"/>
          <w:lang w:val="fr-CA"/>
        </w:rPr>
        <w:t xml:space="preserve">. 7(2), qui </w:t>
      </w:r>
      <w:proofErr w:type="gramStart"/>
      <w:r w:rsidRPr="0092652F">
        <w:rPr>
          <w:rFonts w:cs="Times New Roman"/>
          <w:lang w:val="fr-CA"/>
        </w:rPr>
        <w:t>prévoit</w:t>
      </w:r>
      <w:proofErr w:type="gramEnd"/>
      <w:r w:rsidRPr="0092652F">
        <w:rPr>
          <w:rFonts w:cs="Times New Roman"/>
          <w:lang w:val="fr-CA"/>
        </w:rPr>
        <w:t xml:space="preserve"> que « le tribunal </w:t>
      </w:r>
      <w:r w:rsidRPr="0092652F">
        <w:rPr>
          <w:rFonts w:cs="Times New Roman"/>
          <w:u w:val="single"/>
          <w:lang w:val="fr-CA"/>
        </w:rPr>
        <w:t>peut refuser de surseoir à l’instance</w:t>
      </w:r>
      <w:r w:rsidRPr="0092652F">
        <w:rPr>
          <w:rFonts w:cs="Times New Roman"/>
          <w:lang w:val="fr-CA"/>
        </w:rPr>
        <w:t xml:space="preserve"> dans l’un ou l’autre des cas suivants ». Le paragraphe 7(2) illustre donc que, dans les cas où le législateur a voulu autoriser le tribunal à refuser d’accorder un sursis, il a utilisé l’expression « peut refuser de surseoir ».</w:t>
      </w:r>
    </w:p>
    <w:p w:rsidR="00B618DD" w:rsidRPr="0092652F" w:rsidRDefault="00B618DD" w:rsidP="00B618DD">
      <w:pPr>
        <w:pStyle w:val="ParaNoNdepar-AltN"/>
        <w:rPr>
          <w:rFonts w:cs="Times New Roman"/>
          <w:lang w:val="fr-CA"/>
        </w:rPr>
      </w:pPr>
      <w:r w:rsidRPr="0092652F">
        <w:rPr>
          <w:rFonts w:cs="Times New Roman"/>
          <w:lang w:val="fr-CA"/>
        </w:rPr>
        <w:t>En outre, soit dit en tout respect, je suis d’avis que l’argument de M. </w:t>
      </w:r>
      <w:proofErr w:type="spellStart"/>
      <w:r w:rsidRPr="0092652F">
        <w:rPr>
          <w:rFonts w:cs="Times New Roman"/>
          <w:lang w:val="fr-CA"/>
        </w:rPr>
        <w:t>Wellman</w:t>
      </w:r>
      <w:proofErr w:type="spellEnd"/>
      <w:r w:rsidRPr="0092652F">
        <w:rPr>
          <w:rFonts w:cs="Times New Roman"/>
          <w:lang w:val="fr-CA"/>
        </w:rPr>
        <w:t xml:space="preserve"> selon lequel le par. 7(5) est une disposition autonome qui doit être interprétée indépendamment des </w:t>
      </w:r>
      <w:proofErr w:type="spellStart"/>
      <w:r w:rsidRPr="0092652F">
        <w:rPr>
          <w:rFonts w:cs="Times New Roman"/>
          <w:lang w:val="fr-CA"/>
        </w:rPr>
        <w:t>par</w:t>
      </w:r>
      <w:proofErr w:type="spellEnd"/>
      <w:r w:rsidRPr="0092652F">
        <w:rPr>
          <w:rFonts w:cs="Times New Roman"/>
          <w:lang w:val="fr-CA"/>
        </w:rPr>
        <w:t xml:space="preserve">. 7(1) et (2) ne peut pas être retenu. Le paragraphe 7(5) emploie l’article défini devant les termes « instance », « questions » et « convention d’arbitrage ». La seule façon de définir « l’instance », « les questions » et « la convention d’arbitrage » visées au </w:t>
      </w:r>
      <w:proofErr w:type="spellStart"/>
      <w:r w:rsidRPr="0092652F">
        <w:rPr>
          <w:rFonts w:cs="Times New Roman"/>
          <w:lang w:val="fr-CA"/>
        </w:rPr>
        <w:t>par</w:t>
      </w:r>
      <w:proofErr w:type="spellEnd"/>
      <w:r w:rsidRPr="0092652F">
        <w:rPr>
          <w:rFonts w:cs="Times New Roman"/>
          <w:lang w:val="fr-CA"/>
        </w:rPr>
        <w:t xml:space="preserve">. 7(5) est par renvoi au </w:t>
      </w:r>
      <w:proofErr w:type="spellStart"/>
      <w:r w:rsidRPr="0092652F">
        <w:rPr>
          <w:rFonts w:cs="Times New Roman"/>
          <w:lang w:val="fr-CA"/>
        </w:rPr>
        <w:t>par</w:t>
      </w:r>
      <w:proofErr w:type="spellEnd"/>
      <w:r w:rsidRPr="0092652F">
        <w:rPr>
          <w:rFonts w:cs="Times New Roman"/>
          <w:lang w:val="fr-CA"/>
        </w:rPr>
        <w:t>. 7(1), qui emploie l’article indéfini devant ces mêmes termes. Il y a donc un lien logique et nécessaire entre les deux dispositions, ce qui contredit l’argument selon lequel le par. 7(5) est une disposition indépendante.</w:t>
      </w:r>
    </w:p>
    <w:p w:rsidR="00B618DD" w:rsidRPr="0092652F" w:rsidRDefault="00B618DD" w:rsidP="00B618DD">
      <w:pPr>
        <w:pStyle w:val="ParaNoNdepar-AltN"/>
        <w:rPr>
          <w:rFonts w:cs="Times New Roman"/>
          <w:lang w:val="fr-CA"/>
        </w:rPr>
      </w:pPr>
      <w:r w:rsidRPr="0092652F">
        <w:rPr>
          <w:rFonts w:cs="Times New Roman"/>
          <w:lang w:val="fr-CA"/>
        </w:rPr>
        <w:t>Par ailleurs, bien que je convienne que le par. 7(5) devrait être lu dans le contexte du régime législatif dans son ensemble et que l’art. 6</w:t>
      </w:r>
      <w:r w:rsidRPr="0092652F">
        <w:rPr>
          <w:rFonts w:cs="Times New Roman"/>
          <w:lang w:val="fr-CA"/>
        </w:rPr>
        <w:noBreakHyphen/>
        <w:t>3 permet au tribunal d’intervenir pour « [e]</w:t>
      </w:r>
      <w:proofErr w:type="spellStart"/>
      <w:r w:rsidRPr="0092652F">
        <w:rPr>
          <w:rFonts w:cs="Times New Roman"/>
          <w:lang w:val="fr-CA"/>
        </w:rPr>
        <w:t>mpêcher</w:t>
      </w:r>
      <w:proofErr w:type="spellEnd"/>
      <w:r w:rsidRPr="0092652F">
        <w:rPr>
          <w:rFonts w:cs="Times New Roman"/>
          <w:lang w:val="fr-CA"/>
        </w:rPr>
        <w:t xml:space="preserve"> que des parties aux conventions d’arbitrage soient traitées autrement que sur un pied d’égalité et avec équité », je constate aussi que l’art. 6 </w:t>
      </w:r>
      <w:proofErr w:type="gramStart"/>
      <w:r w:rsidRPr="0092652F">
        <w:rPr>
          <w:rFonts w:cs="Times New Roman"/>
          <w:lang w:val="fr-CA"/>
        </w:rPr>
        <w:t>limite</w:t>
      </w:r>
      <w:proofErr w:type="gramEnd"/>
      <w:r w:rsidRPr="0092652F">
        <w:rPr>
          <w:rFonts w:cs="Times New Roman"/>
          <w:lang w:val="fr-CA"/>
        </w:rPr>
        <w:t xml:space="preserve"> l’intervention du tribunal aux « cas prévus par [la Loi] ». Ainsi, même si l’interprétation que donne M. </w:t>
      </w:r>
      <w:proofErr w:type="spellStart"/>
      <w:r w:rsidRPr="0092652F">
        <w:rPr>
          <w:rFonts w:cs="Times New Roman"/>
          <w:lang w:val="fr-CA"/>
        </w:rPr>
        <w:t>Wellman</w:t>
      </w:r>
      <w:proofErr w:type="spellEnd"/>
      <w:r w:rsidRPr="0092652F">
        <w:rPr>
          <w:rFonts w:cs="Times New Roman"/>
          <w:lang w:val="fr-CA"/>
        </w:rPr>
        <w:t xml:space="preserve"> au </w:t>
      </w:r>
      <w:proofErr w:type="spellStart"/>
      <w:r w:rsidRPr="0092652F">
        <w:rPr>
          <w:rFonts w:cs="Times New Roman"/>
          <w:lang w:val="fr-CA"/>
        </w:rPr>
        <w:t>par</w:t>
      </w:r>
      <w:proofErr w:type="spellEnd"/>
      <w:r w:rsidRPr="0092652F">
        <w:rPr>
          <w:rFonts w:cs="Times New Roman"/>
          <w:lang w:val="fr-CA"/>
        </w:rPr>
        <w:t>. 7(5) donnerait manifestement au tribunal une plus grande marge de manœuvre pour intervenir afin d’empêcher la perception que des parties à des conventions d’arbitrage sont traitées autrement que sur un pied d’égalité et avec équité</w:t>
      </w:r>
      <w:r w:rsidRPr="0092652F">
        <w:rPr>
          <w:rFonts w:eastAsia="Times New Roman" w:cs="Times New Roman"/>
          <w:szCs w:val="20"/>
          <w:lang w:val="fr-CA" w:eastAsia="en-CA"/>
        </w:rPr>
        <w:t xml:space="preserve">, l’expression « dans les cas prévus par [la Loi] » indique que l’art. 6 ne vise pas à écarter ou à modifier le sens des autres dispositions de la </w:t>
      </w:r>
      <w:r w:rsidRPr="0092652F">
        <w:rPr>
          <w:rFonts w:eastAsia="Times New Roman" w:cs="Times New Roman"/>
          <w:i/>
          <w:szCs w:val="20"/>
          <w:lang w:val="fr-CA" w:eastAsia="en-CA"/>
        </w:rPr>
        <w:t>Loi sur l’arbitrage</w:t>
      </w:r>
      <w:r w:rsidRPr="0092652F">
        <w:rPr>
          <w:rFonts w:eastAsia="Times New Roman" w:cs="Times New Roman"/>
          <w:szCs w:val="20"/>
          <w:lang w:val="fr-CA" w:eastAsia="en-CA"/>
        </w:rPr>
        <w:t>.</w:t>
      </w:r>
    </w:p>
    <w:p w:rsidR="00B618DD" w:rsidRPr="0092652F" w:rsidRDefault="00B618DD" w:rsidP="00B618DD">
      <w:pPr>
        <w:pStyle w:val="ParaNoNdepar-AltN"/>
        <w:rPr>
          <w:rFonts w:cs="Times New Roman"/>
          <w:lang w:val="fr-CA"/>
        </w:rPr>
      </w:pPr>
      <w:r w:rsidRPr="0092652F">
        <w:rPr>
          <w:rFonts w:eastAsia="Times New Roman" w:cs="Times New Roman"/>
          <w:szCs w:val="20"/>
          <w:lang w:val="fr-CA" w:eastAsia="en-CA"/>
        </w:rPr>
        <w:t>Plus fondamentalement, l’interprétation proposée par M. </w:t>
      </w:r>
      <w:proofErr w:type="spellStart"/>
      <w:r w:rsidRPr="0092652F">
        <w:rPr>
          <w:rFonts w:eastAsia="Times New Roman" w:cs="Times New Roman"/>
          <w:szCs w:val="20"/>
          <w:lang w:val="fr-CA" w:eastAsia="en-CA"/>
        </w:rPr>
        <w:t>Wellman</w:t>
      </w:r>
      <w:proofErr w:type="spellEnd"/>
      <w:r w:rsidRPr="0092652F">
        <w:rPr>
          <w:rFonts w:eastAsia="Times New Roman" w:cs="Times New Roman"/>
          <w:szCs w:val="20"/>
          <w:lang w:val="fr-CA" w:eastAsia="en-CA"/>
        </w:rPr>
        <w:t xml:space="preserve"> va à l’encontre de la politique qui sous</w:t>
      </w:r>
      <w:r w:rsidRPr="0092652F">
        <w:rPr>
          <w:rFonts w:eastAsia="Times New Roman" w:cs="Times New Roman"/>
          <w:szCs w:val="20"/>
          <w:lang w:val="fr-CA" w:eastAsia="en-CA"/>
        </w:rPr>
        <w:noBreakHyphen/>
        <w:t xml:space="preserve">tend la </w:t>
      </w:r>
      <w:r w:rsidRPr="0092652F">
        <w:rPr>
          <w:rFonts w:eastAsia="Times New Roman" w:cs="Times New Roman"/>
          <w:i/>
          <w:szCs w:val="20"/>
          <w:lang w:val="fr-CA" w:eastAsia="en-CA"/>
        </w:rPr>
        <w:t>Loi sur l’arbitrage</w:t>
      </w:r>
      <w:r w:rsidRPr="0092652F">
        <w:rPr>
          <w:rFonts w:eastAsia="Times New Roman" w:cs="Times New Roman"/>
          <w:szCs w:val="20"/>
          <w:lang w:val="fr-CA" w:eastAsia="en-CA"/>
        </w:rPr>
        <w:t xml:space="preserve"> selon laquelle les parties à une convention d’arbitrage valide devraient respecter l’entente qu’elles ont conclue. Si elle était acceptée, cette interprétation réduirait le degré de certitude et de prévisibilité associé aux conventions d’arbitrage, et permettrait à des personnes qui sont parties à une entente de ce type de « se greffer » aux réclamations présentées par d’autres. Au bout du compte, cela minerait la confiance dans le fait que les conventions d’arbitrage seront appliquées et pourrait décourager les parties d’utiliser l’arbitrage comme moyen efficace et économique pour régler leurs différends. Manifestement, ce n’est pas ce que le législateur avait à l’esprit quand il a adopté la </w:t>
      </w:r>
      <w:r w:rsidRPr="0092652F">
        <w:rPr>
          <w:rFonts w:eastAsia="Times New Roman" w:cs="Times New Roman"/>
          <w:i/>
          <w:szCs w:val="20"/>
          <w:lang w:val="fr-CA" w:eastAsia="en-CA"/>
        </w:rPr>
        <w:t>Loi sur l’arbitrage</w:t>
      </w:r>
      <w:r w:rsidRPr="0092652F">
        <w:rPr>
          <w:rFonts w:eastAsia="Times New Roman" w:cs="Times New Roman"/>
          <w:szCs w:val="20"/>
          <w:lang w:val="fr-CA" w:eastAsia="en-CA"/>
        </w:rPr>
        <w:t>.</w:t>
      </w:r>
    </w:p>
    <w:p w:rsidR="00B618DD" w:rsidRPr="0092652F" w:rsidRDefault="00B618DD" w:rsidP="00B618DD">
      <w:pPr>
        <w:pStyle w:val="ParaNoNdepar-AltN"/>
        <w:rPr>
          <w:rFonts w:cs="Times New Roman"/>
          <w:lang w:val="fr-CA"/>
        </w:rPr>
      </w:pPr>
      <w:r w:rsidRPr="0092652F">
        <w:rPr>
          <w:rFonts w:cs="Times New Roman"/>
          <w:lang w:val="fr-CA"/>
        </w:rPr>
        <w:t>M. </w:t>
      </w:r>
      <w:proofErr w:type="spellStart"/>
      <w:r w:rsidRPr="0092652F">
        <w:rPr>
          <w:rFonts w:cs="Times New Roman"/>
          <w:lang w:val="fr-CA"/>
        </w:rPr>
        <w:t>Wellman</w:t>
      </w:r>
      <w:proofErr w:type="spellEnd"/>
      <w:r w:rsidRPr="0092652F">
        <w:rPr>
          <w:rFonts w:cs="Times New Roman"/>
          <w:lang w:val="fr-CA"/>
        </w:rPr>
        <w:t xml:space="preserve"> et divers intervenants soulèvent également un certain nombre de considérations de nature politique énoncées ci</w:t>
      </w:r>
      <w:r w:rsidRPr="0092652F">
        <w:rPr>
          <w:rFonts w:cs="Times New Roman"/>
          <w:lang w:val="fr-CA"/>
        </w:rPr>
        <w:noBreakHyphen/>
        <w:t>après qui, selon eux, appuient l’interprétation qu’ils proposent :</w:t>
      </w:r>
    </w:p>
    <w:p w:rsidR="00B618DD" w:rsidRPr="0092652F" w:rsidRDefault="00B618DD" w:rsidP="00B618DD">
      <w:pPr>
        <w:pStyle w:val="Citation-AltC"/>
        <w:numPr>
          <w:ilvl w:val="0"/>
          <w:numId w:val="5"/>
        </w:numPr>
        <w:tabs>
          <w:tab w:val="left" w:pos="720"/>
        </w:tabs>
        <w:spacing w:after="480" w:line="480" w:lineRule="auto"/>
        <w:ind w:left="720" w:hanging="720"/>
        <w:contextualSpacing w:val="0"/>
        <w:rPr>
          <w:lang w:val="fr-CA"/>
        </w:rPr>
      </w:pPr>
      <w:r w:rsidRPr="0092652F">
        <w:rPr>
          <w:b/>
          <w:lang w:val="fr-CA"/>
        </w:rPr>
        <w:t>Accès à la justice et aux tribunaux</w:t>
      </w:r>
      <w:r w:rsidRPr="0092652F">
        <w:rPr>
          <w:lang w:val="fr-CA"/>
        </w:rPr>
        <w:t xml:space="preserve"> — La décision </w:t>
      </w:r>
      <w:r w:rsidRPr="0092652F">
        <w:rPr>
          <w:i/>
          <w:lang w:val="fr-CA"/>
        </w:rPr>
        <w:t>Griffin</w:t>
      </w:r>
      <w:r w:rsidRPr="0092652F">
        <w:rPr>
          <w:lang w:val="fr-CA"/>
        </w:rPr>
        <w:t xml:space="preserve"> facilite l’accès à la justice en éliminant les obstacles liés à l’obtention d’une réparation devant les tribunaux.</w:t>
      </w:r>
    </w:p>
    <w:p w:rsidR="00B618DD" w:rsidRPr="0092652F" w:rsidRDefault="00B618DD" w:rsidP="00B618DD">
      <w:pPr>
        <w:pStyle w:val="Citation-AltC"/>
        <w:numPr>
          <w:ilvl w:val="0"/>
          <w:numId w:val="5"/>
        </w:numPr>
        <w:tabs>
          <w:tab w:val="left" w:pos="720"/>
        </w:tabs>
        <w:spacing w:after="480" w:line="480" w:lineRule="auto"/>
        <w:ind w:left="720" w:hanging="720"/>
        <w:contextualSpacing w:val="0"/>
        <w:rPr>
          <w:lang w:val="fr-CA"/>
        </w:rPr>
      </w:pPr>
      <w:r w:rsidRPr="0092652F">
        <w:rPr>
          <w:b/>
          <w:lang w:val="fr-CA"/>
        </w:rPr>
        <w:t>Abus des clauses d’arbitrage dans les contrats d’adhésion</w:t>
      </w:r>
      <w:r w:rsidRPr="0092652F">
        <w:rPr>
          <w:lang w:val="fr-CA"/>
        </w:rPr>
        <w:t xml:space="preserve"> —</w:t>
      </w:r>
      <w:r w:rsidRPr="0092652F">
        <w:rPr>
          <w:b/>
          <w:lang w:val="fr-CA"/>
        </w:rPr>
        <w:t xml:space="preserve"> </w:t>
      </w:r>
      <w:r w:rsidRPr="0092652F">
        <w:rPr>
          <w:lang w:val="fr-CA"/>
        </w:rPr>
        <w:t>Les grandes entreprises dotées d’un important pouvoir de négociation ne devraient pas avoir le droit d’inclure des clauses d’arbitrage injustes dans les contrats types qu’ils font signer à leurs clients et de se dégager ainsi de toute responsabilité en exigeant que tout différend soit soumis à un arbitrage privé et individuel, même les réclamations de faible valeur qu’il ne serait pas économique de soumettre à une procédure d’arbitrage.</w:t>
      </w:r>
    </w:p>
    <w:p w:rsidR="00B618DD" w:rsidRPr="0092652F" w:rsidRDefault="00B618DD" w:rsidP="00B618DD">
      <w:pPr>
        <w:pStyle w:val="Citation-AltC"/>
        <w:numPr>
          <w:ilvl w:val="0"/>
          <w:numId w:val="5"/>
        </w:numPr>
        <w:tabs>
          <w:tab w:val="left" w:pos="720"/>
        </w:tabs>
        <w:spacing w:after="480" w:line="480" w:lineRule="auto"/>
        <w:ind w:left="720" w:hanging="720"/>
        <w:contextualSpacing w:val="0"/>
        <w:rPr>
          <w:lang w:val="fr-CA"/>
        </w:rPr>
      </w:pPr>
      <w:r w:rsidRPr="0092652F">
        <w:rPr>
          <w:b/>
          <w:lang w:val="fr-CA"/>
        </w:rPr>
        <w:t>Réduction du groupe</w:t>
      </w:r>
      <w:r w:rsidRPr="0092652F">
        <w:rPr>
          <w:lang w:val="fr-CA"/>
        </w:rPr>
        <w:t xml:space="preserve"> —</w:t>
      </w:r>
      <w:r w:rsidRPr="0092652F">
        <w:rPr>
          <w:b/>
          <w:lang w:val="fr-CA"/>
        </w:rPr>
        <w:t xml:space="preserve"> </w:t>
      </w:r>
      <w:r w:rsidRPr="0092652F">
        <w:rPr>
          <w:lang w:val="fr-CA"/>
        </w:rPr>
        <w:t>Selon l’interprétation du par. 7(5) énoncée précédemment, les non</w:t>
      </w:r>
      <w:r w:rsidRPr="0092652F">
        <w:rPr>
          <w:lang w:val="fr-CA"/>
        </w:rPr>
        <w:noBreakHyphen/>
        <w:t>consommateurs seraient exclus des recours collectifs mettant en jeu à la fois des consommateurs et des non</w:t>
      </w:r>
      <w:r w:rsidRPr="0092652F">
        <w:rPr>
          <w:lang w:val="fr-CA"/>
        </w:rPr>
        <w:noBreakHyphen/>
        <w:t>consommateurs dans les cas où les parties ont conclu une convention d’arbitrage. Le groupe visé serait donc réduit, ce qui rendrait les recours collectifs moins viables sur le plan économique et diminuerait la probabilité qu’ils soient introduits.</w:t>
      </w:r>
    </w:p>
    <w:p w:rsidR="00B618DD" w:rsidRPr="0092652F" w:rsidRDefault="00B618DD" w:rsidP="00B618DD">
      <w:pPr>
        <w:pStyle w:val="Citation-AltC"/>
        <w:numPr>
          <w:ilvl w:val="0"/>
          <w:numId w:val="5"/>
        </w:numPr>
        <w:tabs>
          <w:tab w:val="left" w:pos="720"/>
        </w:tabs>
        <w:spacing w:after="480" w:line="480" w:lineRule="auto"/>
        <w:ind w:left="720" w:hanging="720"/>
        <w:contextualSpacing w:val="0"/>
        <w:rPr>
          <w:lang w:val="fr-CA"/>
        </w:rPr>
      </w:pPr>
      <w:r w:rsidRPr="0092652F">
        <w:rPr>
          <w:b/>
          <w:lang w:val="fr-CA"/>
        </w:rPr>
        <w:t>Multiplicité des instances</w:t>
      </w:r>
      <w:r w:rsidRPr="0092652F">
        <w:rPr>
          <w:lang w:val="fr-CA"/>
        </w:rPr>
        <w:t xml:space="preserve"> —</w:t>
      </w:r>
      <w:r w:rsidRPr="0092652F">
        <w:rPr>
          <w:b/>
          <w:lang w:val="fr-CA"/>
        </w:rPr>
        <w:t xml:space="preserve"> </w:t>
      </w:r>
      <w:r w:rsidRPr="0092652F">
        <w:rPr>
          <w:lang w:val="fr-CA"/>
        </w:rPr>
        <w:t xml:space="preserve">La décision </w:t>
      </w:r>
      <w:r w:rsidRPr="0092652F">
        <w:rPr>
          <w:i/>
          <w:lang w:val="fr-CA"/>
        </w:rPr>
        <w:t>Griffin</w:t>
      </w:r>
      <w:r w:rsidRPr="0092652F">
        <w:rPr>
          <w:lang w:val="fr-CA"/>
        </w:rPr>
        <w:t xml:space="preserve"> renforce la capacité des tribunaux d’éviter la multiplicité des instances, laquelle augmente le risque de résultats contradictoires, réduit l’efficacité et augmente les co</w:t>
      </w:r>
      <w:r>
        <w:rPr>
          <w:lang w:val="fr-CA"/>
        </w:rPr>
        <w:t>ûts globaux. En outre, l’art.</w:t>
      </w:r>
      <w:r w:rsidRPr="0092652F">
        <w:rPr>
          <w:lang w:val="fr-CA"/>
        </w:rPr>
        <w:t xml:space="preserve"> 138 de la </w:t>
      </w:r>
      <w:r w:rsidRPr="0092652F">
        <w:rPr>
          <w:i/>
          <w:lang w:val="fr-CA"/>
        </w:rPr>
        <w:t>Loi sur les tribunaux judiciaires</w:t>
      </w:r>
      <w:r w:rsidRPr="0092652F">
        <w:rPr>
          <w:lang w:val="fr-CA"/>
        </w:rPr>
        <w:t xml:space="preserve"> de l’Ontario, L.R.O. 1990, c. </w:t>
      </w:r>
      <w:r>
        <w:rPr>
          <w:lang w:val="fr-CA" w:bidi="en-US"/>
        </w:rPr>
        <w:t>C.</w:t>
      </w:r>
      <w:r w:rsidRPr="0092652F">
        <w:rPr>
          <w:lang w:val="fr-CA" w:bidi="en-US"/>
        </w:rPr>
        <w:t>43, prévoit que les tribunaux doivent éviter, dans la mesure du possible, la multiplicité des instances.</w:t>
      </w:r>
    </w:p>
    <w:p w:rsidR="00B618DD" w:rsidRPr="0092652F" w:rsidRDefault="00B618DD" w:rsidP="00B618DD">
      <w:pPr>
        <w:pStyle w:val="Citation-AltC"/>
        <w:numPr>
          <w:ilvl w:val="0"/>
          <w:numId w:val="5"/>
        </w:numPr>
        <w:tabs>
          <w:tab w:val="left" w:pos="720"/>
        </w:tabs>
        <w:spacing w:after="480" w:line="480" w:lineRule="auto"/>
        <w:ind w:left="720" w:hanging="720"/>
        <w:contextualSpacing w:val="0"/>
        <w:rPr>
          <w:lang w:val="fr-CA"/>
        </w:rPr>
      </w:pPr>
      <w:r w:rsidRPr="0092652F">
        <w:rPr>
          <w:b/>
          <w:lang w:val="fr-CA"/>
        </w:rPr>
        <w:t>Difficulté à distinguer les consommateurs des non-consommateurs</w:t>
      </w:r>
      <w:r w:rsidRPr="0092652F">
        <w:rPr>
          <w:lang w:val="fr-CA"/>
        </w:rPr>
        <w:t xml:space="preserve"> — La distinction entre les consommateurs et les non-consommateurs peut être difficile à faire, en particulier compte tenu de l’apparition de « consommateurs hybrides » et de « quasi</w:t>
      </w:r>
      <w:r w:rsidRPr="0092652F">
        <w:rPr>
          <w:lang w:val="fr-CA"/>
        </w:rPr>
        <w:noBreakHyphen/>
        <w:t>consommateurs », de sorte qu’il est préférable de traiter les consommateurs et les non-consommateurs de la même façon.</w:t>
      </w:r>
    </w:p>
    <w:p w:rsidR="00B618DD" w:rsidRPr="0092652F" w:rsidRDefault="00B618DD" w:rsidP="00B618DD">
      <w:pPr>
        <w:pStyle w:val="ParaNoNdepar-AltN"/>
        <w:rPr>
          <w:rFonts w:cs="Times New Roman"/>
          <w:lang w:val="fr-CA"/>
        </w:rPr>
      </w:pPr>
      <w:r w:rsidRPr="0092652F">
        <w:rPr>
          <w:rFonts w:cs="Times New Roman"/>
          <w:lang w:val="fr-CA"/>
        </w:rPr>
        <w:t>Dans l</w:t>
      </w:r>
      <w:r>
        <w:rPr>
          <w:rFonts w:cs="Times New Roman"/>
          <w:lang w:val="fr-CA"/>
        </w:rPr>
        <w:t>eur interprétation du par.</w:t>
      </w:r>
      <w:r w:rsidRPr="0092652F">
        <w:rPr>
          <w:rFonts w:cs="Times New Roman"/>
          <w:lang w:val="fr-CA"/>
        </w:rPr>
        <w:t xml:space="preserve"> 7(5), mes collègues les juges Abella et </w:t>
      </w:r>
      <w:proofErr w:type="spellStart"/>
      <w:r w:rsidRPr="0092652F">
        <w:rPr>
          <w:rFonts w:cs="Times New Roman"/>
          <w:lang w:val="fr-CA"/>
        </w:rPr>
        <w:t>Karakatsanis</w:t>
      </w:r>
      <w:proofErr w:type="spellEnd"/>
      <w:r w:rsidRPr="0092652F">
        <w:rPr>
          <w:rFonts w:cs="Times New Roman"/>
          <w:lang w:val="fr-CA"/>
        </w:rPr>
        <w:t xml:space="preserve"> se fondent sur plusieurs de ces considérations de nature politique, en insistant particulièrement sur l’importance de promouvoir l’accès à la justice, sur la difficulté d’établir une distinction entre les consommateurs et les non-consommateurs et sur l’injustice que risquerait d’entraîner l’application des clauses d’arbitrage qui figurent dans des contrats types.</w:t>
      </w:r>
    </w:p>
    <w:p w:rsidR="00B618DD" w:rsidRPr="0092652F" w:rsidRDefault="00B618DD" w:rsidP="00B618DD">
      <w:pPr>
        <w:pStyle w:val="ParaNoNdepar-AltN"/>
        <w:rPr>
          <w:rFonts w:cs="Times New Roman"/>
          <w:lang w:val="fr-CA"/>
        </w:rPr>
      </w:pPr>
      <w:r w:rsidRPr="0092652F">
        <w:rPr>
          <w:rFonts w:cs="Times New Roman"/>
          <w:lang w:val="fr-CA"/>
        </w:rPr>
        <w:t>Je suis conscient de ces considérations. Soit dit avec respect, je suis toutefois d’avis qu’elles ne doivent pas servir à déformer le libellé de la loi, interprété d’une façon qui s’harmonise avec l’économie et l’objet du texte législatif en question ainsi qu’avec l’intention du législateur, pour donner à la disposition un sens qu’elle n’a pas. L’analyse des considérations de politique générale joue un rôle légitime dans le processus d’interpréta</w:t>
      </w:r>
      <w:r>
        <w:rPr>
          <w:rFonts w:cs="Times New Roman"/>
          <w:lang w:val="fr-CA"/>
        </w:rPr>
        <w:t>tion des lois (voir Sullivan, p</w:t>
      </w:r>
      <w:r w:rsidRPr="0092652F">
        <w:rPr>
          <w:rFonts w:cs="Times New Roman"/>
          <w:lang w:val="fr-CA"/>
        </w:rPr>
        <w:t>. 223</w:t>
      </w:r>
      <w:r w:rsidRPr="0092652F">
        <w:rPr>
          <w:rFonts w:cs="Times New Roman"/>
          <w:lang w:val="fr-CA"/>
        </w:rPr>
        <w:noBreakHyphen/>
        <w:t>250), mais le choix des politiques dans une démocratie parlementaire demeure la responsabilité du législateur et non celle des tribunaux. Selon moi, le rôle principal des tribunaux consiste à interpréter et à appliquer ces lois en fonction de leur libellé, pourvu qu’elles aient été édictées légalement. La Cour n’a pas pour rôle de récrire la loi.</w:t>
      </w:r>
    </w:p>
    <w:p w:rsidR="00B618DD" w:rsidRPr="0092652F" w:rsidRDefault="00B618DD" w:rsidP="00B618DD">
      <w:pPr>
        <w:pStyle w:val="ParaNoNdepar-AltN"/>
        <w:rPr>
          <w:rFonts w:cs="Times New Roman"/>
          <w:lang w:val="fr-CA"/>
        </w:rPr>
      </w:pPr>
      <w:r w:rsidRPr="0092652F">
        <w:rPr>
          <w:rFonts w:cs="Times New Roman"/>
          <w:lang w:val="fr-CA"/>
        </w:rPr>
        <w:t xml:space="preserve">Il en est particulièrement ainsi du fait que la législature de l’Ontario a déjà traité de certaines de ces préoccupations de nature politique en protégeant les consommateurs des conséquences possiblement sévères de l’application des conventions d’arbitrage prévues dans les conventions de consommation, qui prennent souvent la forme de contrats types. Le législateur a pris avec soin la décision politique d’exempter les consommateurs — et </w:t>
      </w:r>
      <w:r w:rsidRPr="0092652F">
        <w:rPr>
          <w:rFonts w:cs="Times New Roman"/>
          <w:i/>
          <w:lang w:val="fr-CA"/>
        </w:rPr>
        <w:t>seulement</w:t>
      </w:r>
      <w:r w:rsidRPr="0092652F">
        <w:rPr>
          <w:rFonts w:cs="Times New Roman"/>
          <w:lang w:val="fr-CA"/>
        </w:rPr>
        <w:t xml:space="preserve"> les consommateurs — de l’application ordinaire des conventions d’arbitrage. Il faut respecter ce choix, et non pas le miner en interprétant le par. 7(5) comme permettant aux tribunaux de traiter les consommateurs et les non-consommateurs sur un pied d’égalité.</w:t>
      </w:r>
    </w:p>
    <w:p w:rsidR="00B618DD" w:rsidRPr="0092652F" w:rsidRDefault="00B618DD" w:rsidP="00B618DD">
      <w:pPr>
        <w:pStyle w:val="ParaNoNdepar-AltN"/>
        <w:rPr>
          <w:rFonts w:cs="Times New Roman"/>
          <w:lang w:val="fr-CA"/>
        </w:rPr>
      </w:pPr>
      <w:r w:rsidRPr="0092652F">
        <w:rPr>
          <w:rFonts w:cs="Times New Roman"/>
          <w:lang w:val="fr-CA"/>
        </w:rPr>
        <w:t>Qui plus est, comme je l’expliquerai, je ne saurais souscrire à plusieurs des points précis soulevés par mes collègues en ce qui concerne les considérations de nature politique énoncées précédemment.</w:t>
      </w:r>
    </w:p>
    <w:p w:rsidR="00B618DD" w:rsidRPr="0092652F" w:rsidRDefault="00B618DD" w:rsidP="00B618DD">
      <w:pPr>
        <w:pStyle w:val="ParaNoNdepar-AltN"/>
        <w:rPr>
          <w:rFonts w:cs="Times New Roman"/>
          <w:lang w:val="fr-CA"/>
        </w:rPr>
      </w:pPr>
      <w:r w:rsidRPr="0092652F">
        <w:rPr>
          <w:rFonts w:cs="Times New Roman"/>
          <w:lang w:val="fr-CA"/>
        </w:rPr>
        <w:t xml:space="preserve">Premièrement, bien que mes collègues considèrent que l’« objet général » de la </w:t>
      </w:r>
      <w:r w:rsidRPr="0092652F">
        <w:rPr>
          <w:rFonts w:cs="Times New Roman"/>
          <w:i/>
          <w:lang w:val="fr-CA"/>
        </w:rPr>
        <w:t>Loi sur l’arbitrage</w:t>
      </w:r>
      <w:r w:rsidRPr="0092652F">
        <w:rPr>
          <w:rFonts w:cs="Times New Roman"/>
          <w:lang w:val="fr-CA"/>
        </w:rPr>
        <w:t xml:space="preserve"> est de « promouvoir l’accès à la justice » (par. 137), il convient de réitérer que cet objectif était loin d’être le seul que poursuivait le législateur lorsqu’il a adopté cette Loi. Comme je l’ai déjà dit, un certain nombre de « principes directeurs » servent de base à la </w:t>
      </w:r>
      <w:r w:rsidRPr="0092652F">
        <w:rPr>
          <w:rFonts w:cs="Times New Roman"/>
          <w:i/>
          <w:lang w:val="fr-CA"/>
        </w:rPr>
        <w:t>Loi sur l’arbitrage</w:t>
      </w:r>
      <w:r w:rsidRPr="0092652F">
        <w:rPr>
          <w:rFonts w:cs="Times New Roman"/>
          <w:lang w:val="fr-CA"/>
        </w:rPr>
        <w:t>, dont l’un prévoit que [</w:t>
      </w:r>
      <w:r w:rsidRPr="0092652F">
        <w:rPr>
          <w:rFonts w:cs="Times New Roman"/>
          <w:smallCaps/>
          <w:lang w:val="fr-CA"/>
        </w:rPr>
        <w:t>traduction</w:t>
      </w:r>
      <w:r w:rsidRPr="0092652F">
        <w:rPr>
          <w:rFonts w:cs="Times New Roman"/>
          <w:lang w:val="fr-CA"/>
        </w:rPr>
        <w:t xml:space="preserve">] « les parties à une convention d’arbitrage valide doivent respecter l’entente qu’elles ont conclue » (Assemblée législative de l’Ontario, 27 mars 1991, p. 256). De même, comme l’a affirmé le juge Blair dans la décision </w:t>
      </w:r>
      <w:r w:rsidRPr="0092652F">
        <w:rPr>
          <w:rFonts w:cs="Times New Roman"/>
          <w:i/>
          <w:lang w:val="fr-CA"/>
        </w:rPr>
        <w:t>Denison Mines</w:t>
      </w:r>
      <w:r w:rsidRPr="0092652F">
        <w:rPr>
          <w:rFonts w:cs="Times New Roman"/>
          <w:lang w:val="fr-CA"/>
        </w:rPr>
        <w:t xml:space="preserve">, la </w:t>
      </w:r>
      <w:r w:rsidRPr="0092652F">
        <w:rPr>
          <w:rFonts w:cs="Times New Roman"/>
          <w:i/>
          <w:lang w:val="fr-CA"/>
        </w:rPr>
        <w:t>Loi sur l’arbitrage</w:t>
      </w:r>
      <w:r w:rsidRPr="0092652F">
        <w:rPr>
          <w:rFonts w:cs="Times New Roman"/>
          <w:lang w:val="fr-CA"/>
        </w:rPr>
        <w:t xml:space="preserve"> a été conçue [</w:t>
      </w:r>
      <w:r w:rsidRPr="0092652F">
        <w:rPr>
          <w:rFonts w:cs="Times New Roman"/>
          <w:smallCaps/>
          <w:lang w:val="fr-CA"/>
        </w:rPr>
        <w:t>traduction</w:t>
      </w:r>
      <w:r w:rsidRPr="0092652F">
        <w:rPr>
          <w:rFonts w:cs="Times New Roman"/>
          <w:lang w:val="fr-CA"/>
        </w:rPr>
        <w:t>] « en vue d’encourager les parties à recourir à l’arbitrage pour régler les d</w:t>
      </w:r>
      <w:r w:rsidRPr="0092652F">
        <w:rPr>
          <w:rStyle w:val="solexhl"/>
          <w:rFonts w:cs="Times New Roman"/>
          <w:lang w:val="fr-CA"/>
        </w:rPr>
        <w:t>ifférends liés à des questions commerciales et autres, et pour les obliger à respecter leurs engagements une fois qu’ils ont convenu de procéder par arbitrage</w:t>
      </w:r>
      <w:r w:rsidRPr="0092652F">
        <w:rPr>
          <w:rFonts w:cs="Times New Roman"/>
          <w:lang w:val="fr-CA"/>
        </w:rPr>
        <w:t> » (par. 8).</w:t>
      </w:r>
    </w:p>
    <w:p w:rsidR="00B618DD" w:rsidRPr="0092652F" w:rsidRDefault="00B618DD" w:rsidP="00B618DD">
      <w:pPr>
        <w:pStyle w:val="ParaNoNdepar-AltN"/>
        <w:rPr>
          <w:rFonts w:cs="Times New Roman"/>
          <w:lang w:val="fr-CA"/>
        </w:rPr>
      </w:pPr>
      <w:r w:rsidRPr="0092652F">
        <w:rPr>
          <w:rFonts w:cs="Times New Roman"/>
          <w:lang w:val="fr-CA"/>
        </w:rPr>
        <w:t xml:space="preserve">Certes, l’importance de promouvoir l’accès à la justice ne fait aucun doute (voir </w:t>
      </w:r>
      <w:proofErr w:type="spellStart"/>
      <w:r w:rsidRPr="0092652F">
        <w:rPr>
          <w:rFonts w:cs="Times New Roman"/>
          <w:i/>
          <w:lang w:val="fr-CA"/>
        </w:rPr>
        <w:t>Hryniak</w:t>
      </w:r>
      <w:proofErr w:type="spellEnd"/>
      <w:r w:rsidRPr="0092652F">
        <w:rPr>
          <w:rFonts w:cs="Times New Roman"/>
          <w:i/>
          <w:lang w:val="fr-CA"/>
        </w:rPr>
        <w:t xml:space="preserve"> c. </w:t>
      </w:r>
      <w:proofErr w:type="spellStart"/>
      <w:r w:rsidRPr="0092652F">
        <w:rPr>
          <w:rFonts w:cs="Times New Roman"/>
          <w:i/>
          <w:lang w:val="fr-CA"/>
        </w:rPr>
        <w:t>Mauldin</w:t>
      </w:r>
      <w:proofErr w:type="spellEnd"/>
      <w:r w:rsidRPr="0092652F">
        <w:rPr>
          <w:rFonts w:cs="Times New Roman"/>
          <w:lang w:val="fr-CA"/>
        </w:rPr>
        <w:t xml:space="preserve">, 2014 CSC 7, [2014] 1 R.C.S. 87, par. 1). On ne saurait pour autant permettre, à moins d’une directive du législateur, que cet objectif prenne le dessus sur les autres objectifs importants visés par la </w:t>
      </w:r>
      <w:r w:rsidRPr="0092652F">
        <w:rPr>
          <w:rFonts w:cs="Times New Roman"/>
          <w:i/>
          <w:lang w:val="fr-CA"/>
        </w:rPr>
        <w:t>Loi sur l’arbitrage</w:t>
      </w:r>
      <w:r w:rsidRPr="0092652F">
        <w:rPr>
          <w:rFonts w:cs="Times New Roman"/>
          <w:lang w:val="fr-CA"/>
        </w:rPr>
        <w:t>, y compris celui de veiller à ce que les parties à une convention d’arbitrage valide respectent l’entente qu’elles ont conclue. Soit dit avec respect, l’approche adoptée par mes collègues minerait l’objectif déclaré du législateur de s’assurer que les parties à une convention d’arbitrage valide la respectent et réduirait le degré de certitude et de prévisibilité associé aux conventions de ce type en plus d’affaiblir le concept d’autonomie des parties dans le contexte commercial. Cette approche augmenterait les occasions pour les parties à une convention d’arbitrage valide — même une convention durement négociée entre des entités commerciales averties — de se soustraire aux obligations qui y sont prévues et d’exiger réparation devant les tribunaux. En retour, cela éloignerait les parties d’une [</w:t>
      </w:r>
      <w:r w:rsidRPr="0092652F">
        <w:rPr>
          <w:rFonts w:cs="Times New Roman"/>
          <w:smallCaps/>
          <w:lang w:val="fr-CA"/>
        </w:rPr>
        <w:t>traduction</w:t>
      </w:r>
      <w:r w:rsidRPr="0092652F">
        <w:rPr>
          <w:rFonts w:cs="Times New Roman"/>
          <w:lang w:val="fr-CA"/>
        </w:rPr>
        <w:t>] « bonne méthode accessible pour parvenir à régler un grand nombre de différends », laquelle « peut s’avérer plus efficace et moins coûteuse que de recourir aux tribunaux » (Assemblée législative de l’Ontario, 27 mars 1991, p. 245).</w:t>
      </w:r>
    </w:p>
    <w:p w:rsidR="00B618DD" w:rsidRPr="0092652F" w:rsidRDefault="00B618DD" w:rsidP="00B618DD">
      <w:pPr>
        <w:pStyle w:val="ParaNoNdepar-AltN"/>
        <w:rPr>
          <w:rFonts w:cs="Times New Roman"/>
          <w:lang w:val="fr-CA"/>
        </w:rPr>
      </w:pPr>
      <w:r w:rsidRPr="0092652F">
        <w:rPr>
          <w:rFonts w:cs="Times New Roman"/>
          <w:lang w:val="fr-CA"/>
        </w:rPr>
        <w:t xml:space="preserve">Deuxièmement, mes collègues insistent sur le fait que la </w:t>
      </w:r>
      <w:r w:rsidRPr="0092652F">
        <w:rPr>
          <w:rFonts w:cs="Times New Roman"/>
          <w:i/>
          <w:lang w:val="fr-CA"/>
        </w:rPr>
        <w:t>Loi sur l’arbitrage</w:t>
      </w:r>
      <w:r w:rsidRPr="0092652F">
        <w:rPr>
          <w:rFonts w:cs="Times New Roman"/>
          <w:lang w:val="fr-CA"/>
        </w:rPr>
        <w:t xml:space="preserve"> a été conçue dans une optique de convention d’arbitrage « </w:t>
      </w:r>
      <w:proofErr w:type="spellStart"/>
      <w:r w:rsidRPr="0092652F">
        <w:rPr>
          <w:rFonts w:cs="Times New Roman"/>
          <w:lang w:val="fr-CA"/>
        </w:rPr>
        <w:t>négoci</w:t>
      </w:r>
      <w:proofErr w:type="spellEnd"/>
      <w:r w:rsidRPr="0092652F">
        <w:rPr>
          <w:rFonts w:cs="Times New Roman"/>
          <w:lang w:val="fr-CA"/>
        </w:rPr>
        <w:t>[</w:t>
      </w:r>
      <w:proofErr w:type="spellStart"/>
      <w:r w:rsidRPr="0092652F">
        <w:rPr>
          <w:rFonts w:cs="Times New Roman"/>
          <w:lang w:val="fr-CA"/>
        </w:rPr>
        <w:t>ée</w:t>
      </w:r>
      <w:proofErr w:type="spellEnd"/>
      <w:r w:rsidRPr="0092652F">
        <w:rPr>
          <w:rFonts w:cs="Times New Roman"/>
          <w:lang w:val="fr-CA"/>
        </w:rPr>
        <w:t>] librement » (par. 131), que le « contrat type [de TELUS] ne représente guère un accord librement conclu » (par. 160), et qu’« [i]</w:t>
      </w:r>
      <w:proofErr w:type="spellStart"/>
      <w:r w:rsidRPr="0092652F">
        <w:rPr>
          <w:rFonts w:cs="Times New Roman"/>
          <w:lang w:val="fr-CA"/>
        </w:rPr>
        <w:t>mposer</w:t>
      </w:r>
      <w:proofErr w:type="spellEnd"/>
      <w:r w:rsidRPr="0092652F">
        <w:rPr>
          <w:rFonts w:cs="Times New Roman"/>
          <w:lang w:val="fr-CA"/>
        </w:rPr>
        <w:t xml:space="preserve"> l’arbitrage à des parties qui n’en veulent pas va à l’encontre de l’esprit de la </w:t>
      </w:r>
      <w:r w:rsidRPr="0092652F">
        <w:rPr>
          <w:rFonts w:cs="Times New Roman"/>
          <w:i/>
          <w:lang w:val="fr-CA"/>
        </w:rPr>
        <w:t xml:space="preserve">Loi de 1991 sur l’arbitrage </w:t>
      </w:r>
      <w:r w:rsidRPr="0092652F">
        <w:rPr>
          <w:rFonts w:cs="Times New Roman"/>
          <w:lang w:val="fr-CA"/>
        </w:rPr>
        <w:t xml:space="preserve">et du processus arbitral » (par. 167). Or, à mon avis, mes collègues perdent de vue la question dont est réellement saisie la Cour. En effet, la présente espèce n’a pas pour but de débattre des avantages et des inconvénients de l’application de clauses d’arbitrage contenues dans des contrats types. Elle concerne plutôt l’interprétation qu’il convient de donner au </w:t>
      </w:r>
      <w:proofErr w:type="spellStart"/>
      <w:r w:rsidRPr="0092652F">
        <w:rPr>
          <w:rFonts w:cs="Times New Roman"/>
          <w:lang w:val="fr-CA"/>
        </w:rPr>
        <w:t>par</w:t>
      </w:r>
      <w:proofErr w:type="spellEnd"/>
      <w:r w:rsidRPr="0092652F">
        <w:rPr>
          <w:rFonts w:cs="Times New Roman"/>
          <w:lang w:val="fr-CA"/>
        </w:rPr>
        <w:t xml:space="preserve">. 7(5) de la </w:t>
      </w:r>
      <w:r w:rsidRPr="0092652F">
        <w:rPr>
          <w:rFonts w:cs="Times New Roman"/>
          <w:i/>
          <w:lang w:val="fr-CA"/>
        </w:rPr>
        <w:t>Loi sur l’arbitrage</w:t>
      </w:r>
      <w:r w:rsidRPr="0092652F">
        <w:rPr>
          <w:rFonts w:cs="Times New Roman"/>
          <w:lang w:val="fr-CA"/>
        </w:rPr>
        <w:t>. De plus, tandis que mes collègues affirment que la Loi a été conçue dans une optique de convention d’arbitrage « </w:t>
      </w:r>
      <w:proofErr w:type="spellStart"/>
      <w:proofErr w:type="gramStart"/>
      <w:r w:rsidRPr="0092652F">
        <w:rPr>
          <w:rFonts w:cs="Times New Roman"/>
          <w:lang w:val="fr-CA"/>
        </w:rPr>
        <w:t>négoci</w:t>
      </w:r>
      <w:proofErr w:type="spellEnd"/>
      <w:r w:rsidRPr="0092652F">
        <w:rPr>
          <w:rFonts w:cs="Times New Roman"/>
          <w:lang w:val="fr-CA"/>
        </w:rPr>
        <w:t>[</w:t>
      </w:r>
      <w:proofErr w:type="spellStart"/>
      <w:proofErr w:type="gramEnd"/>
      <w:r w:rsidRPr="0092652F">
        <w:rPr>
          <w:rFonts w:cs="Times New Roman"/>
          <w:lang w:val="fr-CA"/>
        </w:rPr>
        <w:t>ée</w:t>
      </w:r>
      <w:proofErr w:type="spellEnd"/>
      <w:r w:rsidRPr="0092652F">
        <w:rPr>
          <w:rFonts w:cs="Times New Roman"/>
          <w:lang w:val="fr-CA"/>
        </w:rPr>
        <w:t xml:space="preserve">] librement », rien dans la </w:t>
      </w:r>
      <w:r w:rsidRPr="0092652F">
        <w:rPr>
          <w:rFonts w:cs="Times New Roman"/>
          <w:i/>
          <w:lang w:val="fr-CA"/>
        </w:rPr>
        <w:t>Loi sur l’arbitrage</w:t>
      </w:r>
      <w:r w:rsidRPr="0092652F">
        <w:rPr>
          <w:rFonts w:cs="Times New Roman"/>
          <w:lang w:val="fr-CA"/>
        </w:rPr>
        <w:t xml:space="preserve"> ne donne à penser que les conventions d’arbitrage types, qui se caractérisent par une absence de négociation véritable, sont en soi </w:t>
      </w:r>
      <w:proofErr w:type="spellStart"/>
      <w:r w:rsidRPr="0092652F">
        <w:rPr>
          <w:rFonts w:cs="Times New Roman"/>
          <w:lang w:val="fr-CA"/>
        </w:rPr>
        <w:t>inexécutoires</w:t>
      </w:r>
      <w:proofErr w:type="spellEnd"/>
      <w:r w:rsidRPr="0092652F">
        <w:rPr>
          <w:rFonts w:cs="Times New Roman"/>
          <w:lang w:val="fr-CA"/>
        </w:rPr>
        <w:t xml:space="preserve">. En effet, l’arrêt </w:t>
      </w:r>
      <w:r w:rsidRPr="0092652F">
        <w:rPr>
          <w:rFonts w:cs="Times New Roman"/>
          <w:i/>
          <w:lang w:val="fr-CA"/>
        </w:rPr>
        <w:t>Seidel</w:t>
      </w:r>
      <w:r w:rsidRPr="0092652F">
        <w:rPr>
          <w:rFonts w:cs="Times New Roman"/>
          <w:lang w:val="fr-CA"/>
        </w:rPr>
        <w:t xml:space="preserve"> de la Cour — de même que ses prédécesseurs </w:t>
      </w:r>
      <w:r w:rsidRPr="0092652F">
        <w:rPr>
          <w:rFonts w:cs="Times New Roman"/>
          <w:i/>
          <w:iCs/>
          <w:lang w:val="fr-CA"/>
        </w:rPr>
        <w:t>Dell</w:t>
      </w:r>
      <w:r w:rsidRPr="0092652F">
        <w:rPr>
          <w:rFonts w:cs="Times New Roman"/>
          <w:iCs/>
          <w:lang w:val="fr-CA"/>
        </w:rPr>
        <w:t>,</w:t>
      </w:r>
      <w:r w:rsidRPr="0092652F">
        <w:rPr>
          <w:rFonts w:cs="Times New Roman"/>
          <w:i/>
          <w:iCs/>
          <w:lang w:val="fr-CA"/>
        </w:rPr>
        <w:t xml:space="preserve"> Rogers</w:t>
      </w:r>
      <w:r w:rsidRPr="0092652F">
        <w:rPr>
          <w:rFonts w:cs="Times New Roman"/>
          <w:iCs/>
          <w:lang w:val="fr-CA"/>
        </w:rPr>
        <w:t xml:space="preserve"> et </w:t>
      </w:r>
      <w:proofErr w:type="spellStart"/>
      <w:r w:rsidRPr="0092652F">
        <w:rPr>
          <w:rFonts w:cs="Times New Roman"/>
          <w:i/>
          <w:iCs/>
          <w:lang w:val="fr-CA"/>
        </w:rPr>
        <w:t>Desputeaux</w:t>
      </w:r>
      <w:proofErr w:type="spellEnd"/>
      <w:r w:rsidRPr="0092652F">
        <w:rPr>
          <w:rFonts w:cs="Times New Roman"/>
          <w:lang w:val="fr-CA"/>
        </w:rPr>
        <w:t xml:space="preserve"> — confirme que la présomption initiale est l’inverse.</w:t>
      </w:r>
    </w:p>
    <w:p w:rsidR="00B618DD" w:rsidRPr="0092652F" w:rsidRDefault="00B618DD" w:rsidP="00B618DD">
      <w:pPr>
        <w:pStyle w:val="ParaNoNdepar-AltN"/>
        <w:rPr>
          <w:rFonts w:cs="Times New Roman"/>
          <w:lang w:val="fr-CA"/>
        </w:rPr>
      </w:pPr>
      <w:r w:rsidRPr="0092652F">
        <w:rPr>
          <w:rFonts w:cs="Times New Roman"/>
          <w:lang w:val="fr-CA"/>
        </w:rPr>
        <w:t>Qui plus est, M. </w:t>
      </w:r>
      <w:proofErr w:type="spellStart"/>
      <w:r w:rsidRPr="0092652F">
        <w:rPr>
          <w:rFonts w:cs="Times New Roman"/>
          <w:lang w:val="fr-CA"/>
        </w:rPr>
        <w:t>Wellman</w:t>
      </w:r>
      <w:proofErr w:type="spellEnd"/>
      <w:r w:rsidRPr="0092652F">
        <w:rPr>
          <w:rFonts w:cs="Times New Roman"/>
          <w:lang w:val="fr-CA"/>
        </w:rPr>
        <w:t xml:space="preserve"> n’a pas invoqué, ni devant la Cour ni devant les tribunaux de juridictions inférieures, que le contrat d’arbitrage type en question était inéquitable. Cet argument, s’il s’avérait fondé, rendrait le contrat invalide et permettrait au tribunal de refuser de surseoir à l’instance en application de l’al. 7(2)2 de la </w:t>
      </w:r>
      <w:r w:rsidRPr="0092652F">
        <w:rPr>
          <w:rFonts w:cs="Times New Roman"/>
          <w:i/>
          <w:lang w:val="fr-CA"/>
        </w:rPr>
        <w:t>Loi sur l’arbitrage</w:t>
      </w:r>
      <w:r w:rsidRPr="0092652F">
        <w:rPr>
          <w:rFonts w:cs="Times New Roman"/>
          <w:lang w:val="fr-CA"/>
        </w:rPr>
        <w:t xml:space="preserve">. À mon sens, les arguments relatifs à l’injustice que risquerait d’entraîner l’application des clauses d’arbitrage qui figurent dans des contrats types devraient plutôt être tranchés directement par application du principe de l’iniquité, soit l’approche adoptée dans la décision </w:t>
      </w:r>
      <w:r w:rsidRPr="0092652F">
        <w:rPr>
          <w:rFonts w:cs="Times New Roman"/>
          <w:i/>
          <w:lang w:val="fr-CA"/>
        </w:rPr>
        <w:t xml:space="preserve">Heller c. </w:t>
      </w:r>
      <w:proofErr w:type="spellStart"/>
      <w:r w:rsidRPr="0092652F">
        <w:rPr>
          <w:rFonts w:cs="Times New Roman"/>
          <w:i/>
          <w:lang w:val="fr-CA"/>
        </w:rPr>
        <w:t>Uber</w:t>
      </w:r>
      <w:proofErr w:type="spellEnd"/>
      <w:r w:rsidRPr="0092652F">
        <w:rPr>
          <w:rFonts w:cs="Times New Roman"/>
          <w:i/>
          <w:lang w:val="fr-CA"/>
        </w:rPr>
        <w:t xml:space="preserve"> Technologies Inc.</w:t>
      </w:r>
      <w:r w:rsidRPr="0092652F">
        <w:rPr>
          <w:rFonts w:cs="Times New Roman"/>
          <w:lang w:val="fr-CA"/>
        </w:rPr>
        <w:t>, 2019 ONCA 1, plutôt qu’indirectement en tentant d’élargir la portée du par. 7(5) en vue de régler un problème perçu qu’il n’a jamais eu pour but de régler.</w:t>
      </w:r>
    </w:p>
    <w:p w:rsidR="00B618DD" w:rsidRPr="0092652F" w:rsidRDefault="00B618DD" w:rsidP="00B618DD">
      <w:pPr>
        <w:pStyle w:val="ParaNoNdepar-AltN"/>
        <w:rPr>
          <w:rFonts w:cs="Times New Roman"/>
          <w:lang w:val="fr-CA"/>
        </w:rPr>
      </w:pPr>
      <w:r w:rsidRPr="0092652F">
        <w:rPr>
          <w:rFonts w:cs="Times New Roman"/>
          <w:lang w:val="fr-CA"/>
        </w:rPr>
        <w:t>Troisièmement, mes collègues insistent sur la difficulté d’établir une distinction entre les consommateurs et les non</w:t>
      </w:r>
      <w:r w:rsidRPr="0092652F">
        <w:rPr>
          <w:rFonts w:cs="Times New Roman"/>
          <w:lang w:val="fr-CA"/>
        </w:rPr>
        <w:noBreakHyphen/>
        <w:t xml:space="preserve">consommateurs, insistant sur le fait que l’interprétation que donne TELUS au </w:t>
      </w:r>
      <w:proofErr w:type="spellStart"/>
      <w:r w:rsidRPr="0092652F">
        <w:rPr>
          <w:rFonts w:cs="Times New Roman"/>
          <w:lang w:val="fr-CA"/>
        </w:rPr>
        <w:t>par</w:t>
      </w:r>
      <w:proofErr w:type="spellEnd"/>
      <w:r w:rsidRPr="0092652F">
        <w:rPr>
          <w:rFonts w:cs="Times New Roman"/>
          <w:lang w:val="fr-CA"/>
        </w:rPr>
        <w:t>. 7(5) rendrait la procédure d’autorisation des recours collectifs « encombrant » et risquerait de faire de l’étape de l’autorisation « une recherche par le défendeur du statut précis de chaque membre du groupe » (par. 158).</w:t>
      </w:r>
    </w:p>
    <w:p w:rsidR="00B618DD" w:rsidRPr="0092652F" w:rsidRDefault="00B618DD" w:rsidP="00B618DD">
      <w:pPr>
        <w:pStyle w:val="ParaNoNdepar-AltN"/>
        <w:tabs>
          <w:tab w:val="left" w:pos="6237"/>
        </w:tabs>
        <w:rPr>
          <w:rFonts w:cs="Times New Roman"/>
          <w:lang w:val="fr-CA"/>
        </w:rPr>
      </w:pPr>
      <w:r w:rsidRPr="0092652F">
        <w:rPr>
          <w:rFonts w:cs="Times New Roman"/>
          <w:lang w:val="fr-CA"/>
        </w:rPr>
        <w:t>Bien que différencier les consommateurs et les non</w:t>
      </w:r>
      <w:r w:rsidRPr="0092652F">
        <w:rPr>
          <w:rFonts w:cs="Times New Roman"/>
          <w:lang w:val="fr-CA"/>
        </w:rPr>
        <w:noBreakHyphen/>
        <w:t xml:space="preserve">consommateurs puisse s’avérer difficile dans certains cas, cette difficulté, à mon sens, n’a aucune incidence sur l’interprétation qu’il convient de donner au </w:t>
      </w:r>
      <w:proofErr w:type="spellStart"/>
      <w:r w:rsidRPr="0092652F">
        <w:rPr>
          <w:rFonts w:cs="Times New Roman"/>
          <w:lang w:val="fr-CA"/>
        </w:rPr>
        <w:t>par</w:t>
      </w:r>
      <w:proofErr w:type="spellEnd"/>
      <w:r w:rsidRPr="0092652F">
        <w:rPr>
          <w:rFonts w:cs="Times New Roman"/>
          <w:lang w:val="fr-CA"/>
        </w:rPr>
        <w:t xml:space="preserve">. 7(5). La difficulté relevée par mes collègues résulte de deux facteurs : (1) l’exigence prévue dans la </w:t>
      </w:r>
      <w:r w:rsidRPr="0092652F">
        <w:rPr>
          <w:rFonts w:cs="Times New Roman"/>
          <w:i/>
          <w:lang w:val="fr-CA"/>
        </w:rPr>
        <w:t xml:space="preserve">Loi sur les recours collectifs </w:t>
      </w:r>
      <w:r w:rsidRPr="0092652F">
        <w:rPr>
          <w:rFonts w:cs="Times New Roman"/>
          <w:lang w:val="fr-CA"/>
        </w:rPr>
        <w:t xml:space="preserve">voulant que toute personne souhaitant participer à un recours collectif doit correspondre à une définition objective du groupe; et (2) la décision du législateur d’accorder des protections supplémentaires uniquement aux « consommateurs », qu’il a choisi de définir de façon particulière dans la </w:t>
      </w:r>
      <w:r w:rsidRPr="0092652F">
        <w:rPr>
          <w:rFonts w:cs="Times New Roman"/>
          <w:i/>
          <w:lang w:val="fr-CA"/>
        </w:rPr>
        <w:t>Loi sur la protection du consommateur </w:t>
      </w:r>
      <w:r w:rsidRPr="0092652F">
        <w:rPr>
          <w:rFonts w:cs="Times New Roman"/>
          <w:lang w:val="fr-CA"/>
        </w:rPr>
        <w:t>—</w:t>
      </w:r>
      <w:r w:rsidRPr="0092652F">
        <w:rPr>
          <w:rFonts w:cs="Times New Roman"/>
          <w:i/>
          <w:lang w:val="fr-CA"/>
        </w:rPr>
        <w:t xml:space="preserve"> </w:t>
      </w:r>
      <w:r w:rsidRPr="0092652F">
        <w:rPr>
          <w:rFonts w:cs="Times New Roman"/>
          <w:lang w:val="fr-CA"/>
        </w:rPr>
        <w:t>comme étant un « [p</w:t>
      </w:r>
      <w:r>
        <w:rPr>
          <w:rFonts w:cs="Times New Roman"/>
          <w:lang w:val="fr-CA"/>
        </w:rPr>
        <w:t>]</w:t>
      </w:r>
      <w:proofErr w:type="spellStart"/>
      <w:r w:rsidRPr="0092652F">
        <w:rPr>
          <w:rFonts w:cs="Times New Roman"/>
          <w:lang w:val="fr-CA"/>
        </w:rPr>
        <w:t>articulier</w:t>
      </w:r>
      <w:proofErr w:type="spellEnd"/>
      <w:r w:rsidRPr="0092652F">
        <w:rPr>
          <w:rFonts w:cs="Times New Roman"/>
          <w:lang w:val="fr-CA"/>
        </w:rPr>
        <w:t xml:space="preserve"> qui agit à des fins personnelles, familiales ou domestiques, mais non commerciales » (art. 1). Bien que différencier les consommateurs et les non-consommateurs puisse s’avérer « encombrant » dans certains cas, cet inconvénient n’autorise pas le tribunal à reformuler la loi comme bon lui semble pour contourner de telles difficultés. Les tribunaux doivent plutôt respecter le cadre établi par le législateur, y compris à l’étape de la certification du recours collectif.</w:t>
      </w:r>
    </w:p>
    <w:p w:rsidR="00B618DD" w:rsidRPr="0092652F" w:rsidRDefault="00B618DD" w:rsidP="00B618DD">
      <w:pPr>
        <w:pStyle w:val="ParaNoNdepar-AltN"/>
        <w:rPr>
          <w:rFonts w:cs="Times New Roman"/>
          <w:lang w:val="fr-CA"/>
        </w:rPr>
      </w:pPr>
      <w:r w:rsidRPr="0092652F">
        <w:rPr>
          <w:rFonts w:cs="Times New Roman"/>
          <w:lang w:val="fr-CA"/>
        </w:rPr>
        <w:t xml:space="preserve">En </w:t>
      </w:r>
      <w:r>
        <w:rPr>
          <w:rFonts w:cs="Times New Roman"/>
          <w:lang w:val="fr-CA"/>
        </w:rPr>
        <w:t>outre, interpréter le par.</w:t>
      </w:r>
      <w:r w:rsidRPr="0092652F">
        <w:rPr>
          <w:rFonts w:cs="Times New Roman"/>
          <w:lang w:val="fr-CA"/>
        </w:rPr>
        <w:t xml:space="preserve"> 7(5) de la </w:t>
      </w:r>
      <w:r w:rsidRPr="0092652F">
        <w:rPr>
          <w:rFonts w:cs="Times New Roman"/>
          <w:i/>
          <w:lang w:val="fr-CA"/>
        </w:rPr>
        <w:t>Loi sur l’arbitrage</w:t>
      </w:r>
      <w:r w:rsidRPr="0092652F">
        <w:rPr>
          <w:rFonts w:cs="Times New Roman"/>
          <w:lang w:val="fr-CA"/>
        </w:rPr>
        <w:t xml:space="preserve"> comme autorisant les non-consommateurs à « se joindre » aux consommateurs parce qu’il serait « encombrant » de les distinguer les uns des autres permettrait aux entités commerciales de se retrouver devant les tribunaux judiciaires en dépit de leur consentement à recourir à l’arbitrage, même lorsque la convention d’arbitrage est le fruit d’une négociation en bonne et due forme. Je le répète, cela réduirait le degré de certitude et de prévisibilité associé aux conventions d’arbitrage et permettrait aux parties à ces conventions de « greffer » leurs réclamations à celles d’autres parties.</w:t>
      </w:r>
    </w:p>
    <w:p w:rsidR="00B618DD" w:rsidRPr="0092652F" w:rsidRDefault="00B618DD" w:rsidP="00B618DD">
      <w:pPr>
        <w:pStyle w:val="ParaNoNdepar-AltN"/>
        <w:rPr>
          <w:rFonts w:cs="Times New Roman"/>
          <w:lang w:val="fr-CA"/>
        </w:rPr>
      </w:pPr>
      <w:r w:rsidRPr="0092652F">
        <w:rPr>
          <w:rFonts w:cs="Times New Roman"/>
          <w:lang w:val="fr-CA"/>
        </w:rPr>
        <w:t xml:space="preserve">Bien entendu, le législateur ontarien pourrait répondre aux préoccupations de nature politique énoncées précédemment s’il jugeait qu’il est indiqué de le faire. Bien que je ne formule aucun commentaire sur la pertinence de quelque réforme que ce soit, je note que, en théorie, diverses réponses sont possibles. Pour ne donner qu’un exemple, le législateur pourrait modifier la </w:t>
      </w:r>
      <w:r w:rsidRPr="0092652F">
        <w:rPr>
          <w:rFonts w:cs="Times New Roman"/>
          <w:i/>
          <w:lang w:val="fr-CA"/>
        </w:rPr>
        <w:t>Loi sur l’arbitrage</w:t>
      </w:r>
      <w:r w:rsidRPr="0092652F">
        <w:rPr>
          <w:rFonts w:cs="Times New Roman"/>
          <w:lang w:val="fr-CA"/>
        </w:rPr>
        <w:t xml:space="preserve"> pour accorder aux tribunaux le pouvoir discrétionnaire de refuser de surseoir à l’instance lorsque la convention d’arbitrage ne traite que de certaines des questions en litige. À cet égard, je fais remarquer que la loi type sur laquelle la </w:t>
      </w:r>
      <w:r w:rsidRPr="0092652F">
        <w:rPr>
          <w:rFonts w:cs="Times New Roman"/>
          <w:i/>
          <w:lang w:val="fr-CA"/>
        </w:rPr>
        <w:t>Loi sur l’arbitrage</w:t>
      </w:r>
      <w:r w:rsidRPr="0092652F">
        <w:rPr>
          <w:rFonts w:cs="Times New Roman"/>
          <w:lang w:val="fr-CA"/>
        </w:rPr>
        <w:t xml:space="preserve"> est basée, à savoir la </w:t>
      </w:r>
      <w:r w:rsidRPr="0092652F">
        <w:rPr>
          <w:rFonts w:cs="Times New Roman"/>
          <w:i/>
          <w:lang w:val="fr-CA"/>
        </w:rPr>
        <w:t xml:space="preserve">Loi uniforme sur l’arbitrage </w:t>
      </w:r>
      <w:r w:rsidRPr="0092652F">
        <w:rPr>
          <w:rFonts w:cs="Times New Roman"/>
          <w:lang w:val="fr-CA"/>
        </w:rPr>
        <w:t>de 1990</w:t>
      </w:r>
      <w:r w:rsidRPr="0092652F">
        <w:rPr>
          <w:rFonts w:cs="Times New Roman"/>
          <w:vertAlign w:val="superscript"/>
          <w:lang w:val="fr-CA" w:bidi="en-US"/>
        </w:rPr>
        <w:footnoteReference w:id="6"/>
      </w:r>
      <w:r w:rsidRPr="0092652F">
        <w:rPr>
          <w:rFonts w:cs="Times New Roman"/>
          <w:lang w:val="fr-CA"/>
        </w:rPr>
        <w:t>, a été modifiée comme suit en 2002 :</w:t>
      </w:r>
    </w:p>
    <w:p w:rsidR="00B618DD" w:rsidRPr="0092652F" w:rsidRDefault="00B618DD" w:rsidP="00B618DD">
      <w:pPr>
        <w:pStyle w:val="CITATION"/>
        <w:spacing w:after="240"/>
        <w:ind w:left="1170" w:right="-84" w:hanging="637"/>
        <w:rPr>
          <w:rFonts w:eastAsiaTheme="minorEastAsia" w:cs="Times New Roman"/>
          <w:lang w:val="fr-CA"/>
        </w:rPr>
      </w:pPr>
      <w:r w:rsidRPr="0092652F">
        <w:rPr>
          <w:rFonts w:eastAsiaTheme="minorEastAsia" w:cs="Times New Roman"/>
          <w:b/>
          <w:lang w:val="fr-CA"/>
        </w:rPr>
        <w:tab/>
      </w:r>
      <w:r w:rsidRPr="0092652F">
        <w:rPr>
          <w:rFonts w:eastAsiaTheme="minorEastAsia" w:cs="Times New Roman"/>
          <w:lang w:val="fr-CA"/>
        </w:rPr>
        <w:t xml:space="preserve">7(1) Si une partie à une convention d’arbitrage introduit une instance à l’égard d’une question que la convention </w:t>
      </w:r>
      <w:r>
        <w:rPr>
          <w:rFonts w:eastAsiaTheme="minorEastAsia" w:cs="Times New Roman"/>
          <w:lang w:val="fr-CA"/>
        </w:rPr>
        <w:t>autorise une autre partie de</w:t>
      </w:r>
      <w:r w:rsidRPr="0092652F">
        <w:rPr>
          <w:rFonts w:eastAsiaTheme="minorEastAsia" w:cs="Times New Roman"/>
          <w:lang w:val="fr-CA"/>
        </w:rPr>
        <w:t xml:space="preserve"> soumettre à l’arbitrage, le tribunal judiciaire devant lequel l’instance est introduite doit, sur la motion d</w:t>
      </w:r>
      <w:r>
        <w:rPr>
          <w:rFonts w:eastAsiaTheme="minorEastAsia" w:cs="Times New Roman"/>
          <w:lang w:val="fr-CA"/>
        </w:rPr>
        <w:t>e</w:t>
      </w:r>
      <w:r w:rsidRPr="0092652F">
        <w:rPr>
          <w:rFonts w:eastAsiaTheme="minorEastAsia" w:cs="Times New Roman"/>
          <w:lang w:val="fr-CA"/>
        </w:rPr>
        <w:t xml:space="preserve"> </w:t>
      </w:r>
      <w:r>
        <w:rPr>
          <w:rFonts w:eastAsiaTheme="minorEastAsia" w:cs="Times New Roman"/>
          <w:lang w:val="fr-CA"/>
        </w:rPr>
        <w:t>l’</w:t>
      </w:r>
      <w:r w:rsidRPr="0092652F">
        <w:rPr>
          <w:rFonts w:eastAsiaTheme="minorEastAsia" w:cs="Times New Roman"/>
          <w:lang w:val="fr-CA"/>
        </w:rPr>
        <w:t>autre partie, surseoir à l’instance.</w:t>
      </w:r>
    </w:p>
    <w:p w:rsidR="00B618DD" w:rsidRPr="0092652F" w:rsidRDefault="00B618DD" w:rsidP="00B618DD">
      <w:pPr>
        <w:pStyle w:val="CITATION"/>
        <w:tabs>
          <w:tab w:val="left" w:pos="1170"/>
        </w:tabs>
        <w:spacing w:after="240"/>
        <w:ind w:left="1170" w:hanging="630"/>
        <w:jc w:val="center"/>
        <w:rPr>
          <w:rFonts w:eastAsiaTheme="minorEastAsia" w:cs="Times New Roman"/>
          <w:lang w:val="fr-CA"/>
        </w:rPr>
      </w:pPr>
      <w:r w:rsidRPr="0092652F">
        <w:rPr>
          <w:rFonts w:eastAsiaTheme="minorEastAsia" w:cs="Times New Roman"/>
          <w:lang w:val="fr-CA"/>
        </w:rPr>
        <w:t>. . .</w:t>
      </w:r>
    </w:p>
    <w:p w:rsidR="00B618DD" w:rsidRPr="0092652F" w:rsidRDefault="00B618DD" w:rsidP="00B618DD">
      <w:pPr>
        <w:pStyle w:val="CITATION"/>
        <w:spacing w:after="240"/>
        <w:ind w:left="1170" w:right="-84" w:hanging="637"/>
        <w:rPr>
          <w:rFonts w:eastAsiaTheme="minorEastAsia" w:cs="Times New Roman"/>
          <w:lang w:val="fr-CA"/>
        </w:rPr>
      </w:pPr>
      <w:r w:rsidRPr="0092652F">
        <w:rPr>
          <w:rFonts w:eastAsiaTheme="minorEastAsia" w:cs="Times New Roman"/>
          <w:lang w:val="fr-CA"/>
        </w:rPr>
        <w:tab/>
        <w:t>(3) Malgré le paragraphe (1), si une convention d’arbitrage ne traite que de certaines des questions à l’égard desquelles l’instance a été introduite, le tribunal judiciaire peut :</w:t>
      </w:r>
    </w:p>
    <w:p w:rsidR="00B618DD" w:rsidRPr="0092652F" w:rsidRDefault="00B618DD" w:rsidP="00B618DD">
      <w:pPr>
        <w:pStyle w:val="CITATION"/>
        <w:numPr>
          <w:ilvl w:val="1"/>
          <w:numId w:val="6"/>
        </w:numPr>
        <w:spacing w:after="240"/>
        <w:ind w:left="2160" w:right="-84" w:hanging="450"/>
        <w:rPr>
          <w:rFonts w:eastAsiaTheme="minorEastAsia" w:cs="Times New Roman"/>
          <w:lang w:val="fr-CA"/>
        </w:rPr>
      </w:pPr>
      <w:r w:rsidRPr="0092652F">
        <w:rPr>
          <w:rFonts w:eastAsiaTheme="minorEastAsia" w:cs="Times New Roman"/>
          <w:u w:val="single"/>
          <w:lang w:val="fr-CA"/>
        </w:rPr>
        <w:t>soit refuser de surseoir à l’instance;</w:t>
      </w:r>
    </w:p>
    <w:p w:rsidR="00B618DD" w:rsidRPr="0092652F" w:rsidRDefault="00B618DD" w:rsidP="00B618DD">
      <w:pPr>
        <w:pStyle w:val="CITATION"/>
        <w:numPr>
          <w:ilvl w:val="1"/>
          <w:numId w:val="1"/>
        </w:numPr>
        <w:spacing w:after="240"/>
        <w:ind w:left="2160" w:right="-84" w:hanging="450"/>
        <w:rPr>
          <w:rFonts w:eastAsiaTheme="minorEastAsia" w:cs="Times New Roman"/>
          <w:lang w:val="fr-CA"/>
        </w:rPr>
      </w:pPr>
      <w:r w:rsidRPr="0092652F">
        <w:rPr>
          <w:rFonts w:eastAsiaTheme="minorEastAsia" w:cs="Times New Roman"/>
          <w:lang w:val="fr-CA"/>
        </w:rPr>
        <w:t>soit surseoir à l’instance en ce qui tou</w:t>
      </w:r>
      <w:r>
        <w:rPr>
          <w:rFonts w:eastAsiaTheme="minorEastAsia" w:cs="Times New Roman"/>
          <w:lang w:val="fr-CA"/>
        </w:rPr>
        <w:t xml:space="preserve">che les questions traitées dans </w:t>
      </w:r>
      <w:r w:rsidRPr="0092652F">
        <w:rPr>
          <w:rFonts w:eastAsiaTheme="minorEastAsia" w:cs="Times New Roman"/>
          <w:lang w:val="fr-CA"/>
        </w:rPr>
        <w:t>la convention d’arbitrage et permettre qu’elle se poursuive en ce qui touche les autres questions.</w:t>
      </w:r>
    </w:p>
    <w:p w:rsidR="00B618DD" w:rsidRPr="0092652F" w:rsidRDefault="00B618DD" w:rsidP="00B618DD">
      <w:pPr>
        <w:pStyle w:val="CITATION"/>
        <w:spacing w:after="240"/>
        <w:ind w:left="1170" w:right="-84" w:hanging="637"/>
        <w:rPr>
          <w:rFonts w:eastAsiaTheme="minorEastAsia" w:cs="Times New Roman"/>
          <w:lang w:val="fr-CA"/>
        </w:rPr>
      </w:pPr>
      <w:r w:rsidRPr="0092652F">
        <w:rPr>
          <w:rFonts w:eastAsiaTheme="minorEastAsia" w:cs="Times New Roman"/>
          <w:lang w:val="fr-CA"/>
        </w:rPr>
        <w:tab/>
        <w:t>(4) Lorsqu’il rend une décision en vertu du paragraphe (3), le tribunal judiciaire :</w:t>
      </w:r>
    </w:p>
    <w:p w:rsidR="00B618DD" w:rsidRPr="0092652F" w:rsidRDefault="00B618DD" w:rsidP="00B618DD">
      <w:pPr>
        <w:pStyle w:val="CITATION"/>
        <w:numPr>
          <w:ilvl w:val="1"/>
          <w:numId w:val="6"/>
        </w:numPr>
        <w:spacing w:after="240"/>
        <w:ind w:left="2160" w:right="-84" w:hanging="450"/>
        <w:rPr>
          <w:rFonts w:eastAsiaTheme="minorEastAsia" w:cs="Times New Roman"/>
          <w:lang w:val="fr-CA"/>
        </w:rPr>
      </w:pPr>
      <w:r w:rsidRPr="0092652F">
        <w:rPr>
          <w:rFonts w:eastAsiaTheme="minorEastAsia" w:cs="Times New Roman"/>
          <w:lang w:val="fr-CA"/>
        </w:rPr>
        <w:t>tient compte de l’importance de veiller à l’exécution des conventions d’arbitrage;</w:t>
      </w:r>
    </w:p>
    <w:p w:rsidR="00B618DD" w:rsidRPr="0092652F" w:rsidRDefault="00B618DD" w:rsidP="00B618DD">
      <w:pPr>
        <w:pStyle w:val="CITATION"/>
        <w:numPr>
          <w:ilvl w:val="1"/>
          <w:numId w:val="6"/>
        </w:numPr>
        <w:spacing w:after="240"/>
        <w:ind w:left="2160" w:right="-84" w:hanging="450"/>
        <w:rPr>
          <w:rFonts w:eastAsiaTheme="minorEastAsia" w:cs="Times New Roman"/>
          <w:lang w:val="fr-CA"/>
        </w:rPr>
      </w:pPr>
      <w:r w:rsidRPr="0092652F">
        <w:rPr>
          <w:rFonts w:eastAsiaTheme="minorEastAsia" w:cs="Times New Roman"/>
          <w:lang w:val="fr-CA"/>
        </w:rPr>
        <w:t xml:space="preserve">détermine s’il est raisonnable de séparer les questions en litige </w:t>
      </w:r>
      <w:r>
        <w:rPr>
          <w:rFonts w:eastAsiaTheme="minorEastAsia" w:cs="Times New Roman"/>
          <w:lang w:val="fr-CA"/>
        </w:rPr>
        <w:t xml:space="preserve"> </w:t>
      </w:r>
      <w:r w:rsidRPr="0092652F">
        <w:rPr>
          <w:rFonts w:eastAsiaTheme="minorEastAsia" w:cs="Times New Roman"/>
          <w:lang w:val="fr-CA"/>
        </w:rPr>
        <w:t xml:space="preserve">dont il est traité dans la convention d’arbitrage des autres questions en litige. </w:t>
      </w:r>
      <w:r w:rsidRPr="0092652F">
        <w:rPr>
          <w:rFonts w:cs="Times New Roman"/>
          <w:lang w:val="fr-CA"/>
        </w:rPr>
        <w:t>[Je souligne.]</w:t>
      </w:r>
    </w:p>
    <w:p w:rsidR="00B618DD" w:rsidRPr="0092652F" w:rsidRDefault="00B618DD" w:rsidP="00B618DD">
      <w:pPr>
        <w:spacing w:after="720"/>
        <w:ind w:right="-86"/>
        <w:rPr>
          <w:lang w:val="fr-CA"/>
        </w:rPr>
      </w:pPr>
      <w:r w:rsidRPr="0092652F">
        <w:rPr>
          <w:lang w:val="fr-CA"/>
        </w:rPr>
        <w:t xml:space="preserve">(Conférence sur l’harmonisation des lois au Canada, </w:t>
      </w:r>
      <w:r w:rsidRPr="0092652F">
        <w:rPr>
          <w:i/>
          <w:lang w:val="fr-CA"/>
        </w:rPr>
        <w:t xml:space="preserve">Loi de 2002 modifiant la Loi sur l’arbitrage </w:t>
      </w:r>
      <w:r w:rsidRPr="0092652F">
        <w:rPr>
          <w:lang w:val="fr-CA"/>
        </w:rPr>
        <w:t>(en ligne))</w:t>
      </w:r>
    </w:p>
    <w:p w:rsidR="00B618DD" w:rsidRPr="0092652F" w:rsidRDefault="00B618DD" w:rsidP="00B618DD">
      <w:pPr>
        <w:pStyle w:val="ParaNoNdepar-AltN"/>
        <w:rPr>
          <w:rFonts w:cs="Times New Roman"/>
          <w:lang w:val="fr-CA"/>
        </w:rPr>
      </w:pPr>
      <w:r>
        <w:rPr>
          <w:rFonts w:cs="Times New Roman"/>
          <w:lang w:val="fr-CA"/>
        </w:rPr>
        <w:t>Enfin, bien que l’art.</w:t>
      </w:r>
      <w:r w:rsidRPr="0092652F">
        <w:rPr>
          <w:rFonts w:cs="Times New Roman"/>
          <w:lang w:val="fr-CA"/>
        </w:rPr>
        <w:t xml:space="preserve"> 138 de la </w:t>
      </w:r>
      <w:r w:rsidRPr="0092652F">
        <w:rPr>
          <w:rFonts w:cs="Times New Roman"/>
          <w:i/>
          <w:lang w:val="fr-CA"/>
        </w:rPr>
        <w:t xml:space="preserve">Loi sur les tribunaux judiciaires </w:t>
      </w:r>
      <w:r w:rsidRPr="0092652F">
        <w:rPr>
          <w:rFonts w:cs="Times New Roman"/>
          <w:lang w:val="fr-CA"/>
        </w:rPr>
        <w:t xml:space="preserve">prévoie qu’il « faut » éviter la multiplicité des instances, cette obligation est tempérée par l’emploi de l’expression « dans la mesure du possible ». En conséquence, si l’application d’une loi ontarienne, interprétée correctement, mène à la multiplicité des instances, les tribunaux doivent malgré tout donner effet à l’intention du législateur. Cette façon de faire est conforme à l’arrêt </w:t>
      </w:r>
      <w:r w:rsidRPr="0092652F">
        <w:rPr>
          <w:rFonts w:cs="Times New Roman"/>
          <w:i/>
          <w:lang w:val="fr-CA"/>
        </w:rPr>
        <w:t>Seidel</w:t>
      </w:r>
      <w:r w:rsidRPr="0092652F">
        <w:rPr>
          <w:rFonts w:cs="Times New Roman"/>
          <w:lang w:val="fr-CA"/>
        </w:rPr>
        <w:t>, où la Cour a reconnu que les tribunaux doivent donner effet au « choix du législateur » reflété dans la loi en cause, même si cela pouvait mener à la multiplicité des instances (par.</w:t>
      </w:r>
      <w:r>
        <w:rPr>
          <w:rFonts w:cs="Times New Roman"/>
          <w:lang w:val="fr-CA"/>
        </w:rPr>
        <w:t> 50). En l’espèce, le par.</w:t>
      </w:r>
      <w:r w:rsidRPr="0092652F">
        <w:rPr>
          <w:rFonts w:cs="Times New Roman"/>
          <w:lang w:val="fr-CA"/>
        </w:rPr>
        <w:t xml:space="preserve"> 7(5) de la </w:t>
      </w:r>
      <w:r w:rsidRPr="0092652F">
        <w:rPr>
          <w:rFonts w:cs="Times New Roman"/>
          <w:i/>
          <w:lang w:val="fr-CA"/>
        </w:rPr>
        <w:t>Loi sur l’arbitrage</w:t>
      </w:r>
      <w:r w:rsidRPr="0092652F">
        <w:rPr>
          <w:rFonts w:cs="Times New Roman"/>
          <w:lang w:val="fr-CA"/>
        </w:rPr>
        <w:t xml:space="preserve"> prévoit expressément la tenue possible de recours parallèles, car il permet au tribunal d’ordonner un sursis </w:t>
      </w:r>
      <w:r w:rsidRPr="0092652F">
        <w:rPr>
          <w:rFonts w:cs="Times New Roman"/>
          <w:i/>
          <w:lang w:val="fr-CA"/>
        </w:rPr>
        <w:t>partiel</w:t>
      </w:r>
      <w:r w:rsidRPr="0092652F">
        <w:rPr>
          <w:rFonts w:cs="Times New Roman"/>
          <w:lang w:val="fr-CA"/>
        </w:rPr>
        <w:t xml:space="preserve"> — ce qui peut donner lieu à deux procédures concurrentes, soit une procédure d’arbitrage et une procédure judiciaire — lorsqu’il est satisfait aux deux conditions préalables énoncées aux al. 7(5)a) et b). En théorie, la </w:t>
      </w:r>
      <w:r w:rsidRPr="0092652F">
        <w:rPr>
          <w:rFonts w:cs="Times New Roman"/>
          <w:i/>
          <w:lang w:val="fr-CA"/>
        </w:rPr>
        <w:t>Loi sur l’arbitrage</w:t>
      </w:r>
      <w:r w:rsidRPr="0092652F">
        <w:rPr>
          <w:rFonts w:cs="Times New Roman"/>
          <w:lang w:val="fr-CA"/>
        </w:rPr>
        <w:t xml:space="preserve"> pourrait être modifiée pour accorder aux tribunaux un vaste pouvoir discrétionnaire de refuser d’accorder un sursis dans les cas où, s’ils ne le faisaient pas, il pourrait y avoir multiplicité des instances; or, le législateur n’a pris aucune mesure en ce sens. Pour les raisons qui précèdent, bien que la multiplicité des instances puisse causer certaines di</w:t>
      </w:r>
      <w:r>
        <w:rPr>
          <w:rFonts w:cs="Times New Roman"/>
          <w:lang w:val="fr-CA"/>
        </w:rPr>
        <w:t>fficultés sur le plan pratique, on ne peut</w:t>
      </w:r>
      <w:r w:rsidRPr="0092652F">
        <w:rPr>
          <w:rFonts w:cs="Times New Roman"/>
          <w:lang w:val="fr-CA"/>
        </w:rPr>
        <w:t xml:space="preserve"> pas s’appuyer sur cette réalité pour faire fi du libellé de la loi.</w:t>
      </w:r>
    </w:p>
    <w:p w:rsidR="00B618DD" w:rsidRPr="0092652F" w:rsidRDefault="00B618DD" w:rsidP="00B618DD">
      <w:pPr>
        <w:pStyle w:val="Title5LevelTitre5Niveau"/>
        <w:tabs>
          <w:tab w:val="num" w:pos="1170"/>
        </w:tabs>
        <w:ind w:left="1170" w:hanging="630"/>
        <w:rPr>
          <w:rFonts w:cs="Times New Roman"/>
          <w:lang w:val="fr-CA"/>
        </w:rPr>
      </w:pPr>
      <w:r w:rsidRPr="0092652F">
        <w:rPr>
          <w:rFonts w:cs="Times New Roman"/>
          <w:lang w:val="fr-CA"/>
        </w:rPr>
        <w:t>Le paragraphe 7(6) — l’interdiction d’interjeter appel</w:t>
      </w:r>
    </w:p>
    <w:p w:rsidR="00B618DD" w:rsidRPr="0092652F" w:rsidRDefault="00B618DD" w:rsidP="00B618DD">
      <w:pPr>
        <w:pStyle w:val="ParaNoNdepar-AltN"/>
        <w:rPr>
          <w:rFonts w:cs="Times New Roman"/>
          <w:lang w:val="fr-CA"/>
        </w:rPr>
      </w:pPr>
      <w:r>
        <w:rPr>
          <w:rFonts w:cs="Times New Roman"/>
          <w:lang w:val="fr-CA"/>
        </w:rPr>
        <w:t>Enfin, le par.</w:t>
      </w:r>
      <w:r w:rsidRPr="0092652F">
        <w:rPr>
          <w:rFonts w:cs="Times New Roman"/>
          <w:lang w:val="fr-CA"/>
        </w:rPr>
        <w:t> 7(6) prévoit tout simplement que « [l]a décision du tribunal judiciaire n’est pas susceptible d’appel »</w:t>
      </w:r>
      <w:r w:rsidRPr="0092652F">
        <w:rPr>
          <w:rFonts w:cs="Times New Roman"/>
          <w:lang w:val="fr-CA" w:bidi="en-US"/>
        </w:rPr>
        <w:t xml:space="preserve">. </w:t>
      </w:r>
      <w:r w:rsidRPr="0092652F">
        <w:rPr>
          <w:rFonts w:cs="Times New Roman"/>
          <w:lang w:val="fr-CA"/>
        </w:rPr>
        <w:t>Étant donné l’absence de termes restrictifs, il faut considérer que ce paragraphe renvoie à une « décision » rendue aux termes de l’un ou l’autre des paragraphes de l’art. 7. Le paragraphe 7(6) viserait donc, par exemple, la décision de surseoir à l’instance au titre du par. 7(1), la décision de refuser de surseoir à l’instance au titre du par. 7(2) et la décision d’ordonner un sursis partiel au titre du par. 7(5).</w:t>
      </w:r>
    </w:p>
    <w:p w:rsidR="00B618DD" w:rsidRPr="0092652F" w:rsidRDefault="00B618DD" w:rsidP="00B618DD">
      <w:pPr>
        <w:pStyle w:val="ParaNoNdepar-AltN"/>
        <w:rPr>
          <w:rFonts w:cs="Times New Roman"/>
          <w:lang w:val="fr-CA"/>
        </w:rPr>
      </w:pPr>
      <w:r w:rsidRPr="0092652F">
        <w:rPr>
          <w:rFonts w:cs="Times New Roman"/>
          <w:lang w:val="fr-CA"/>
        </w:rPr>
        <w:t>J’aborde maintenant l’application de ce cadre d’analyse.</w:t>
      </w:r>
    </w:p>
    <w:p w:rsidR="00B618DD" w:rsidRPr="0092652F" w:rsidRDefault="00B618DD" w:rsidP="00B618DD">
      <w:pPr>
        <w:pStyle w:val="Title2LevelTitre2Niveau"/>
        <w:spacing w:after="480" w:line="480" w:lineRule="auto"/>
        <w:rPr>
          <w:rFonts w:cs="Times New Roman"/>
          <w:lang w:val="fr-CA"/>
        </w:rPr>
      </w:pPr>
      <w:r w:rsidRPr="0092652F">
        <w:rPr>
          <w:rFonts w:cs="Times New Roman"/>
          <w:lang w:val="fr-CA"/>
        </w:rPr>
        <w:t>Application</w:t>
      </w:r>
    </w:p>
    <w:p w:rsidR="00B618DD" w:rsidRPr="0092652F" w:rsidRDefault="00B618DD" w:rsidP="00B618DD">
      <w:pPr>
        <w:pStyle w:val="Title3LevelTitre3Niveau"/>
        <w:rPr>
          <w:rFonts w:cs="Times New Roman"/>
          <w:lang w:val="fr-CA"/>
        </w:rPr>
      </w:pPr>
      <w:r w:rsidRPr="0092652F">
        <w:rPr>
          <w:rFonts w:cs="Times New Roman"/>
          <w:lang w:val="fr-CA"/>
        </w:rPr>
        <w:t>L’instance</w:t>
      </w:r>
    </w:p>
    <w:p w:rsidR="00B618DD" w:rsidRPr="0092652F" w:rsidRDefault="00B618DD" w:rsidP="00B618DD">
      <w:pPr>
        <w:pStyle w:val="ParaNoNdepar-AltN"/>
        <w:rPr>
          <w:rFonts w:cs="Times New Roman"/>
          <w:lang w:val="fr-CA"/>
        </w:rPr>
      </w:pPr>
      <w:r w:rsidRPr="0092652F">
        <w:rPr>
          <w:rFonts w:cs="Times New Roman"/>
          <w:lang w:val="fr-CA"/>
        </w:rPr>
        <w:t>En l’espèce, l’« instance » est tout simplement le recours collectif intenté par M. </w:t>
      </w:r>
      <w:proofErr w:type="spellStart"/>
      <w:r w:rsidRPr="0092652F">
        <w:rPr>
          <w:rFonts w:cs="Times New Roman"/>
          <w:lang w:val="fr-CA"/>
        </w:rPr>
        <w:t>Wellman</w:t>
      </w:r>
      <w:proofErr w:type="spellEnd"/>
      <w:r w:rsidRPr="0092652F">
        <w:rPr>
          <w:rFonts w:cs="Times New Roman"/>
          <w:lang w:val="fr-CA"/>
        </w:rPr>
        <w:t xml:space="preserve">, qui soutient être un « consommateur » au sens de la </w:t>
      </w:r>
      <w:r w:rsidRPr="0092652F">
        <w:rPr>
          <w:rFonts w:cs="Times New Roman"/>
          <w:i/>
          <w:lang w:val="fr-CA"/>
        </w:rPr>
        <w:t>Loi sur la protection du consommateur</w:t>
      </w:r>
      <w:r w:rsidRPr="0092652F">
        <w:rPr>
          <w:rFonts w:cs="Times New Roman"/>
          <w:lang w:val="fr-CA"/>
        </w:rPr>
        <w:t xml:space="preserve">.  Cette instance sert de véhicule procédural au moyen duquel de multiples parties peuvent faire valoir ensemble leur réclamation (voir </w:t>
      </w:r>
      <w:proofErr w:type="spellStart"/>
      <w:r w:rsidRPr="0092652F">
        <w:rPr>
          <w:rFonts w:cs="Times New Roman"/>
          <w:i/>
          <w:lang w:val="fr-CA"/>
        </w:rPr>
        <w:t>Bisaillon</w:t>
      </w:r>
      <w:proofErr w:type="spellEnd"/>
      <w:r w:rsidRPr="0092652F">
        <w:rPr>
          <w:rFonts w:cs="Times New Roman"/>
          <w:lang w:val="fr-CA"/>
        </w:rPr>
        <w:t>, par. 17). Comme je l’ai déjà précisé, certaines de ces parties sont des consommateurs, tandis que d’autres n’en sont pas.</w:t>
      </w:r>
    </w:p>
    <w:p w:rsidR="00B618DD" w:rsidRPr="0092652F" w:rsidRDefault="00B618DD" w:rsidP="00B618DD">
      <w:pPr>
        <w:pStyle w:val="Title3LevelTitre3Niveau"/>
        <w:spacing w:after="480" w:line="480" w:lineRule="auto"/>
        <w:rPr>
          <w:rFonts w:cs="Times New Roman"/>
          <w:lang w:val="fr-CA"/>
        </w:rPr>
      </w:pPr>
      <w:r w:rsidRPr="0092652F">
        <w:rPr>
          <w:rFonts w:cs="Times New Roman"/>
          <w:lang w:val="fr-CA"/>
        </w:rPr>
        <w:t>Les conventions d’arbitrage</w:t>
      </w:r>
    </w:p>
    <w:p w:rsidR="00B618DD" w:rsidRPr="0092652F" w:rsidRDefault="00B618DD" w:rsidP="00B618DD">
      <w:pPr>
        <w:pStyle w:val="ParaNoNdepar-AltN"/>
        <w:rPr>
          <w:rFonts w:cs="Times New Roman"/>
          <w:lang w:val="fr-CA"/>
        </w:rPr>
      </w:pPr>
      <w:r w:rsidRPr="0092652F">
        <w:rPr>
          <w:rFonts w:cs="Times New Roman"/>
          <w:lang w:val="fr-CA"/>
        </w:rPr>
        <w:t xml:space="preserve">La présente instance met en jeu non pas une « convention » d’arbitrage, mais une constellation de « conventions » qui prennent chacune la forme d’une clause d’arbitrage type figurant dans tous les contrats de service de téléphonie cellulaire conclus entre TELUS et ses clients, qu’ils soient des consommateurs ou non. Chaque convention contient des clauses identiques quant aux types de questions qu’elle vise. En gros, elles stipulent que toutes les réclamations découlant du contrat ou s’y rapportant, sauf en ce qui concerne le recouvrement de créances par TELUS, doivent faire l’objet d’une médiation ou, à défaut de règlement, d’un arbitrage. Ainsi, les stipulations d’arbitrage précisent les « questions » à l’égard desquelles l’arbitrage </w:t>
      </w:r>
      <w:r w:rsidRPr="0092652F">
        <w:rPr>
          <w:rFonts w:cs="Times New Roman"/>
          <w:i/>
          <w:lang w:val="fr-CA"/>
        </w:rPr>
        <w:t xml:space="preserve">est </w:t>
      </w:r>
      <w:r w:rsidRPr="0092652F">
        <w:rPr>
          <w:rFonts w:cs="Times New Roman"/>
          <w:lang w:val="fr-CA"/>
        </w:rPr>
        <w:t xml:space="preserve">obligatoire, ainsi que les « questions » à l’égard desquelles il </w:t>
      </w:r>
      <w:r w:rsidRPr="0092652F">
        <w:rPr>
          <w:rFonts w:cs="Times New Roman"/>
          <w:i/>
          <w:lang w:val="fr-CA"/>
        </w:rPr>
        <w:t>ne l’est pas </w:t>
      </w:r>
      <w:r w:rsidRPr="0092652F">
        <w:rPr>
          <w:rFonts w:cs="Times New Roman"/>
          <w:lang w:val="fr-CA"/>
        </w:rPr>
        <w:t>: les différends concernant le recouvrement ne sont pas assujettis à l’arbitrage obligatoire, tandis que les différends concernant toute autre question découlant du contrat ou s’y rapportant le sont.</w:t>
      </w:r>
    </w:p>
    <w:p w:rsidR="00B618DD" w:rsidRPr="0092652F" w:rsidRDefault="00B618DD" w:rsidP="00B618DD">
      <w:pPr>
        <w:pStyle w:val="ParaNoNdepar-AltN"/>
        <w:rPr>
          <w:rFonts w:cs="Times New Roman"/>
          <w:lang w:val="fr-CA"/>
        </w:rPr>
      </w:pPr>
      <w:r w:rsidRPr="0092652F">
        <w:rPr>
          <w:rFonts w:cs="Times New Roman"/>
          <w:lang w:val="fr-CA"/>
        </w:rPr>
        <w:t xml:space="preserve">Cela nous amène à l’art. 7 de la </w:t>
      </w:r>
      <w:r w:rsidRPr="0092652F">
        <w:rPr>
          <w:rFonts w:cs="Times New Roman"/>
          <w:i/>
          <w:lang w:val="fr-CA"/>
        </w:rPr>
        <w:t>Loi sur l’arbitrage</w:t>
      </w:r>
      <w:r w:rsidRPr="0092652F">
        <w:rPr>
          <w:rFonts w:cs="Times New Roman"/>
          <w:lang w:val="fr-CA"/>
        </w:rPr>
        <w:t>.</w:t>
      </w:r>
    </w:p>
    <w:p w:rsidR="00B618DD" w:rsidRPr="0092652F" w:rsidRDefault="00B618DD" w:rsidP="00B618DD">
      <w:pPr>
        <w:pStyle w:val="Title3LevelTitre3Niveau"/>
        <w:spacing w:after="480" w:line="480" w:lineRule="auto"/>
        <w:rPr>
          <w:rFonts w:cs="Times New Roman"/>
          <w:lang w:val="fr-CA"/>
        </w:rPr>
      </w:pPr>
      <w:r w:rsidRPr="0092652F">
        <w:rPr>
          <w:rFonts w:cs="Times New Roman"/>
          <w:lang w:val="fr-CA"/>
        </w:rPr>
        <w:t xml:space="preserve">L’article 7 de la </w:t>
      </w:r>
      <w:r w:rsidRPr="0092652F">
        <w:rPr>
          <w:rFonts w:cs="Times New Roman"/>
          <w:i/>
          <w:lang w:val="fr-CA"/>
        </w:rPr>
        <w:t>Loi sur l’arbitrage</w:t>
      </w:r>
    </w:p>
    <w:p w:rsidR="00B618DD" w:rsidRPr="0092652F" w:rsidRDefault="00B618DD" w:rsidP="00B618DD">
      <w:pPr>
        <w:pStyle w:val="ParaNoNdepar-AltN"/>
        <w:rPr>
          <w:rFonts w:cs="Times New Roman"/>
          <w:lang w:val="fr-CA"/>
        </w:rPr>
      </w:pPr>
      <w:r>
        <w:rPr>
          <w:rFonts w:cs="Times New Roman"/>
          <w:lang w:val="fr-CA"/>
        </w:rPr>
        <w:t>Examinons d’abord le par.</w:t>
      </w:r>
      <w:r w:rsidRPr="0092652F">
        <w:rPr>
          <w:rFonts w:cs="Times New Roman"/>
          <w:lang w:val="fr-CA"/>
        </w:rPr>
        <w:t xml:space="preserve"> 7(1) de la </w:t>
      </w:r>
      <w:r w:rsidRPr="0092652F">
        <w:rPr>
          <w:rFonts w:cs="Times New Roman"/>
          <w:i/>
          <w:lang w:val="fr-CA"/>
        </w:rPr>
        <w:t>Loi sur l’arbitrage</w:t>
      </w:r>
      <w:r w:rsidRPr="0092652F">
        <w:rPr>
          <w:rFonts w:cs="Times New Roman"/>
          <w:lang w:val="fr-CA"/>
        </w:rPr>
        <w:t>. La seule « question » en litige dans le recours intenté par M. </w:t>
      </w:r>
      <w:proofErr w:type="spellStart"/>
      <w:r w:rsidRPr="0092652F">
        <w:rPr>
          <w:rFonts w:cs="Times New Roman"/>
          <w:lang w:val="fr-CA"/>
        </w:rPr>
        <w:t>Wellman</w:t>
      </w:r>
      <w:proofErr w:type="spellEnd"/>
      <w:r w:rsidRPr="0092652F">
        <w:rPr>
          <w:rFonts w:cs="Times New Roman"/>
          <w:lang w:val="fr-CA"/>
        </w:rPr>
        <w:t xml:space="preserve">, une partie à une convention d’arbitrage, est celle de la surfacturation alléguée. Or, les conventions d’arbitrage qu’ont signé les consommateurs et les clients commerciaux traitent de cette question. Comme l’instance porte sur au moins une question qui est traitée dans les conventions d’arbitrage, la règle générale prévue au </w:t>
      </w:r>
      <w:proofErr w:type="spellStart"/>
      <w:r w:rsidRPr="0092652F">
        <w:rPr>
          <w:rFonts w:cs="Times New Roman"/>
          <w:lang w:val="fr-CA"/>
        </w:rPr>
        <w:t>par</w:t>
      </w:r>
      <w:proofErr w:type="spellEnd"/>
      <w:r w:rsidRPr="0092652F">
        <w:rPr>
          <w:rFonts w:cs="Times New Roman"/>
          <w:lang w:val="fr-CA"/>
        </w:rPr>
        <w:t>. 7(1) exigerait donc normalement qu’il soit sursis aux procédures dans leur ensemble, ce qui empêcherait tant les consommateurs que les clients commerciaux de recourir aux tribunaux.</w:t>
      </w:r>
    </w:p>
    <w:p w:rsidR="00B618DD" w:rsidRPr="0092652F" w:rsidRDefault="00B618DD" w:rsidP="00B618DD">
      <w:pPr>
        <w:pStyle w:val="ParaNoNdepar-AltN"/>
        <w:rPr>
          <w:rFonts w:cs="Times New Roman"/>
          <w:lang w:val="fr-CA"/>
        </w:rPr>
      </w:pPr>
      <w:r w:rsidRPr="0092652F">
        <w:rPr>
          <w:rFonts w:cs="Times New Roman"/>
          <w:lang w:val="fr-CA"/>
        </w:rPr>
        <w:t xml:space="preserve">Or, la </w:t>
      </w:r>
      <w:r w:rsidRPr="0092652F">
        <w:rPr>
          <w:rFonts w:cs="Times New Roman"/>
          <w:i/>
          <w:lang w:val="fr-CA"/>
        </w:rPr>
        <w:t>Loi sur la protection au consommateur</w:t>
      </w:r>
      <w:r w:rsidRPr="0092652F">
        <w:rPr>
          <w:rFonts w:cs="Times New Roman"/>
          <w:lang w:val="fr-CA"/>
        </w:rPr>
        <w:t xml:space="preserve"> donne la clé de la salle d’audience aux consommateurs. Le paragraphe 7(2) de cette loi prévoit en effet que toute clause d’arbitrage énoncée dans une « convention de consommation », définie à l’article premier comme une convention entre un « consommateur » et un « fournisseur »</w:t>
      </w:r>
      <w:r w:rsidRPr="0092652F">
        <w:rPr>
          <w:rFonts w:cs="Times New Roman"/>
          <w:vertAlign w:val="superscript"/>
          <w:lang w:val="fr-CA" w:bidi="en-US"/>
        </w:rPr>
        <w:footnoteReference w:id="7"/>
      </w:r>
      <w:r w:rsidRPr="0092652F">
        <w:rPr>
          <w:rFonts w:cs="Times New Roman"/>
          <w:lang w:val="fr-CA" w:bidi="en-US"/>
        </w:rPr>
        <w:t xml:space="preserve"> selon laquelle « le fournisseur convient de fournir des marchandises ou des services moyennant paiement », </w:t>
      </w:r>
      <w:r w:rsidRPr="0092652F">
        <w:rPr>
          <w:rFonts w:cs="Times New Roman"/>
          <w:lang w:val="fr-CA"/>
        </w:rPr>
        <w:t>« est invalide, dans la mesure où elle empêche le consommateur d’exercer son droit d’introduire une action devant la Cour supérieure de justice en vertu de la présen</w:t>
      </w:r>
      <w:r>
        <w:rPr>
          <w:rFonts w:cs="Times New Roman"/>
          <w:lang w:val="fr-CA"/>
        </w:rPr>
        <w:t>te loi ». De plus, le par.</w:t>
      </w:r>
      <w:r w:rsidRPr="0092652F">
        <w:rPr>
          <w:rFonts w:cs="Times New Roman"/>
          <w:lang w:val="fr-CA"/>
        </w:rPr>
        <w:t xml:space="preserve"> 8(1) </w:t>
      </w:r>
      <w:r>
        <w:rPr>
          <w:rFonts w:cs="Times New Roman"/>
          <w:lang w:val="fr-CA"/>
        </w:rPr>
        <w:t xml:space="preserve">de la </w:t>
      </w:r>
      <w:r w:rsidRPr="009D00DF">
        <w:rPr>
          <w:rFonts w:cs="Times New Roman"/>
          <w:i/>
          <w:lang w:val="fr-CA"/>
        </w:rPr>
        <w:t>Loi sur la protection au consommateur</w:t>
      </w:r>
      <w:r>
        <w:rPr>
          <w:rFonts w:cs="Times New Roman"/>
          <w:lang w:val="fr-CA"/>
        </w:rPr>
        <w:t xml:space="preserve"> </w:t>
      </w:r>
      <w:r w:rsidRPr="0092652F">
        <w:rPr>
          <w:rFonts w:cs="Times New Roman"/>
          <w:lang w:val="fr-CA"/>
        </w:rPr>
        <w:t>donne aux consommateurs le droit d’intenter un recours collectif ou de devenir membres d’un groupe dans le cadre d’un recours collectif à l’égard d’un différend relatif à une convention de consommation. Lues conjointement, ces deux dispositions invalident les conventions d’arbitrage auxquelles ont adhéré les consommateurs dans la mesure où celles</w:t>
      </w:r>
      <w:r w:rsidRPr="0092652F">
        <w:rPr>
          <w:rFonts w:cs="Times New Roman"/>
          <w:lang w:val="fr-CA"/>
        </w:rPr>
        <w:noBreakHyphen/>
        <w:t xml:space="preserve">ci empêchent ces derniers d’intenter un recours collectif ou </w:t>
      </w:r>
      <w:r w:rsidRPr="0092652F">
        <w:rPr>
          <w:rFonts w:cs="Times New Roman"/>
          <w:lang w:val="fr-CA" w:bidi="en-US"/>
        </w:rPr>
        <w:t>de participer à un recours collectif comme celui qu’a introduit M. </w:t>
      </w:r>
      <w:proofErr w:type="spellStart"/>
      <w:r w:rsidRPr="0092652F">
        <w:rPr>
          <w:rFonts w:cs="Times New Roman"/>
          <w:lang w:val="fr-CA" w:bidi="en-US"/>
        </w:rPr>
        <w:t>Wellman</w:t>
      </w:r>
      <w:proofErr w:type="spellEnd"/>
      <w:r w:rsidRPr="0092652F">
        <w:rPr>
          <w:rFonts w:cs="Times New Roman"/>
          <w:lang w:val="fr-CA" w:bidi="en-US"/>
        </w:rPr>
        <w:t xml:space="preserve">. À cet égard, les dispositions de la </w:t>
      </w:r>
      <w:r w:rsidRPr="0092652F">
        <w:rPr>
          <w:rFonts w:cs="Times New Roman"/>
          <w:i/>
          <w:lang w:val="fr-CA" w:bidi="en-US"/>
        </w:rPr>
        <w:t xml:space="preserve">Loi sur la protection du consommateur </w:t>
      </w:r>
      <w:r w:rsidRPr="0092652F">
        <w:rPr>
          <w:rFonts w:cs="Times New Roman"/>
          <w:lang w:val="fr-CA" w:bidi="en-US"/>
        </w:rPr>
        <w:t xml:space="preserve">constituent une « dérogation législative » à la clause d’arbitrage à l’égard des </w:t>
      </w:r>
      <w:r w:rsidRPr="0092652F">
        <w:rPr>
          <w:rFonts w:cs="Times New Roman"/>
          <w:lang w:val="fr-CA"/>
        </w:rPr>
        <w:t>consommateurs (</w:t>
      </w:r>
      <w:r w:rsidRPr="0092652F">
        <w:rPr>
          <w:rFonts w:cs="Times New Roman"/>
          <w:i/>
          <w:lang w:val="fr-CA"/>
        </w:rPr>
        <w:t>Seidel</w:t>
      </w:r>
      <w:r w:rsidRPr="0092652F">
        <w:rPr>
          <w:rFonts w:cs="Times New Roman"/>
          <w:lang w:val="fr-CA"/>
        </w:rPr>
        <w:t>, par. 40).</w:t>
      </w:r>
      <w:r>
        <w:rPr>
          <w:rFonts w:cs="Times New Roman"/>
          <w:lang w:val="fr-CA"/>
        </w:rPr>
        <w:t xml:space="preserve"> En outre, puisque le par.</w:t>
      </w:r>
      <w:r w:rsidRPr="0092652F">
        <w:rPr>
          <w:rFonts w:cs="Times New Roman"/>
          <w:lang w:val="fr-CA"/>
        </w:rPr>
        <w:t xml:space="preserve"> 7(2) de la </w:t>
      </w:r>
      <w:r w:rsidRPr="0092652F">
        <w:rPr>
          <w:rFonts w:cs="Times New Roman"/>
          <w:i/>
          <w:lang w:val="fr-CA"/>
        </w:rPr>
        <w:t>Loi sur la protection du consommateur</w:t>
      </w:r>
      <w:r w:rsidRPr="0092652F">
        <w:rPr>
          <w:rFonts w:cs="Times New Roman"/>
          <w:lang w:val="fr-CA"/>
        </w:rPr>
        <w:t xml:space="preserve"> s’applique, le par. 7(5) entre en jeu. Cette disposition prévoit que « [l]e paragraphe 7 (1) de la </w:t>
      </w:r>
      <w:r w:rsidRPr="0092652F">
        <w:rPr>
          <w:rFonts w:cs="Times New Roman"/>
          <w:i/>
          <w:lang w:val="fr-CA"/>
        </w:rPr>
        <w:t xml:space="preserve">Loi de 1991 sur l’arbitrage </w:t>
      </w:r>
      <w:r w:rsidRPr="0092652F">
        <w:rPr>
          <w:rFonts w:cs="Times New Roman"/>
          <w:lang w:val="fr-CA"/>
        </w:rPr>
        <w:t>ne s’applique pas à l’instance visée au paragraphe (2), sauf si, après la naissance du différend, le consommateur consent à le soumettre à l’a</w:t>
      </w:r>
      <w:r>
        <w:rPr>
          <w:rFonts w:cs="Times New Roman"/>
          <w:lang w:val="fr-CA"/>
        </w:rPr>
        <w:t>rbitrage ». Ainsi, le par.</w:t>
      </w:r>
      <w:r w:rsidRPr="0092652F">
        <w:rPr>
          <w:rFonts w:cs="Times New Roman"/>
          <w:lang w:val="fr-CA"/>
        </w:rPr>
        <w:t xml:space="preserve"> 7(5) de la </w:t>
      </w:r>
      <w:r w:rsidRPr="0092652F">
        <w:rPr>
          <w:rFonts w:cs="Times New Roman"/>
          <w:i/>
          <w:lang w:val="fr-CA"/>
        </w:rPr>
        <w:t>Loi sur la protection du consommateur</w:t>
      </w:r>
      <w:r w:rsidRPr="0092652F">
        <w:rPr>
          <w:rFonts w:cs="Times New Roman"/>
          <w:lang w:val="fr-CA"/>
        </w:rPr>
        <w:t xml:space="preserve"> protège les consommateurs dans la présente affaire du sursis visé au </w:t>
      </w:r>
      <w:proofErr w:type="spellStart"/>
      <w:r w:rsidRPr="0092652F">
        <w:rPr>
          <w:rFonts w:cs="Times New Roman"/>
          <w:lang w:val="fr-CA"/>
        </w:rPr>
        <w:t>par</w:t>
      </w:r>
      <w:proofErr w:type="spellEnd"/>
      <w:r w:rsidRPr="0092652F">
        <w:rPr>
          <w:rFonts w:cs="Times New Roman"/>
          <w:lang w:val="fr-CA"/>
        </w:rPr>
        <w:t xml:space="preserve">. 7(1) de la </w:t>
      </w:r>
      <w:r w:rsidRPr="0092652F">
        <w:rPr>
          <w:rFonts w:cs="Times New Roman"/>
          <w:i/>
          <w:lang w:val="fr-CA"/>
        </w:rPr>
        <w:t>Loi sur l’arbitrage</w:t>
      </w:r>
      <w:r w:rsidRPr="0092652F">
        <w:rPr>
          <w:rFonts w:cs="Times New Roman"/>
          <w:lang w:val="fr-CA"/>
        </w:rPr>
        <w:t>.</w:t>
      </w:r>
    </w:p>
    <w:p w:rsidR="00B618DD" w:rsidRPr="0092652F" w:rsidRDefault="00B618DD" w:rsidP="00B618DD">
      <w:pPr>
        <w:pStyle w:val="ParaNoNdepar-AltN"/>
        <w:rPr>
          <w:rFonts w:cs="Times New Roman"/>
          <w:lang w:val="fr-CA"/>
        </w:rPr>
      </w:pPr>
      <w:r w:rsidRPr="0092652F">
        <w:rPr>
          <w:rFonts w:cs="Times New Roman"/>
          <w:lang w:val="fr-CA"/>
        </w:rPr>
        <w:t xml:space="preserve">Les clients commerciaux, par contre, ne sont pas des « consommateurs » au sens de la </w:t>
      </w:r>
      <w:r w:rsidRPr="0092652F">
        <w:rPr>
          <w:rFonts w:cs="Times New Roman"/>
          <w:i/>
          <w:lang w:val="fr-CA"/>
        </w:rPr>
        <w:t>Loi sur la protection du consommateur</w:t>
      </w:r>
      <w:r w:rsidRPr="0092652F">
        <w:rPr>
          <w:rFonts w:cs="Times New Roman"/>
          <w:lang w:val="fr-CA"/>
        </w:rPr>
        <w:t xml:space="preserve">; ils ne peuvent donc pas se prévaloir des mesures de protections qu’offrent aux </w:t>
      </w:r>
      <w:r w:rsidR="006E5019">
        <w:rPr>
          <w:rFonts w:cs="Times New Roman"/>
          <w:lang w:val="fr-CA"/>
        </w:rPr>
        <w:t xml:space="preserve">consommateurs les par. 7(2) et </w:t>
      </w:r>
      <w:r w:rsidRPr="0092652F">
        <w:rPr>
          <w:rFonts w:cs="Times New Roman"/>
          <w:lang w:val="fr-CA"/>
        </w:rPr>
        <w:t xml:space="preserve">(5) ainsi que l’art. 8 de cette loi. </w:t>
      </w:r>
      <w:r w:rsidRPr="0092652F">
        <w:rPr>
          <w:rFonts w:cs="Times New Roman"/>
          <w:lang w:val="fr-CA" w:bidi="en-US"/>
        </w:rPr>
        <w:t xml:space="preserve">En termes clairs, même si le par. 7(5) de la </w:t>
      </w:r>
      <w:r w:rsidRPr="0092652F">
        <w:rPr>
          <w:rFonts w:cs="Times New Roman"/>
          <w:i/>
          <w:lang w:val="fr-CA" w:bidi="en-US"/>
        </w:rPr>
        <w:t>Loi sur la protection du consommateur</w:t>
      </w:r>
      <w:r w:rsidRPr="0092652F">
        <w:rPr>
          <w:rFonts w:cs="Times New Roman"/>
          <w:lang w:val="fr-CA" w:bidi="en-US"/>
        </w:rPr>
        <w:t xml:space="preserve"> renvoie « </w:t>
      </w:r>
      <w:r w:rsidRPr="0092652F">
        <w:rPr>
          <w:rFonts w:cs="Times New Roman"/>
          <w:lang w:val="fr-CA"/>
        </w:rPr>
        <w:t>à l’instance visée au paragraphe (2) »</w:t>
      </w:r>
      <w:r w:rsidRPr="0092652F">
        <w:rPr>
          <w:rFonts w:cs="Times New Roman"/>
          <w:lang w:val="fr-CA" w:bidi="en-US"/>
        </w:rPr>
        <w:t xml:space="preserve">, je ne suis pas convaincu que l’emploi du terme « instance » met les </w:t>
      </w:r>
      <w:r w:rsidRPr="0092652F">
        <w:rPr>
          <w:rFonts w:cs="Times New Roman"/>
          <w:i/>
          <w:lang w:val="fr-CA" w:bidi="en-US"/>
        </w:rPr>
        <w:t>non</w:t>
      </w:r>
      <w:r w:rsidRPr="0092652F">
        <w:rPr>
          <w:rFonts w:cs="Times New Roman"/>
          <w:i/>
          <w:lang w:val="fr-CA" w:bidi="en-US"/>
        </w:rPr>
        <w:noBreakHyphen/>
        <w:t>consommateurs</w:t>
      </w:r>
      <w:r w:rsidRPr="0092652F">
        <w:rPr>
          <w:rFonts w:cs="Times New Roman"/>
          <w:lang w:val="fr-CA" w:bidi="en-US"/>
        </w:rPr>
        <w:t xml:space="preserve"> visés par l’instance à l’abri du sursis obligatoire prévu au </w:t>
      </w:r>
      <w:proofErr w:type="spellStart"/>
      <w:r w:rsidRPr="0092652F">
        <w:rPr>
          <w:rFonts w:cs="Times New Roman"/>
          <w:lang w:val="fr-CA" w:bidi="en-US"/>
        </w:rPr>
        <w:t>par</w:t>
      </w:r>
      <w:proofErr w:type="spellEnd"/>
      <w:r w:rsidRPr="0092652F">
        <w:rPr>
          <w:rFonts w:cs="Times New Roman"/>
          <w:lang w:val="fr-CA" w:bidi="en-US"/>
        </w:rPr>
        <w:t xml:space="preserve">. 7(1) de la </w:t>
      </w:r>
      <w:r w:rsidRPr="0092652F">
        <w:rPr>
          <w:rFonts w:cs="Times New Roman"/>
          <w:i/>
          <w:lang w:val="fr-CA" w:bidi="en-US"/>
        </w:rPr>
        <w:t>Loi sur l’arbitrage</w:t>
      </w:r>
      <w:r w:rsidRPr="0092652F">
        <w:rPr>
          <w:rFonts w:cs="Times New Roman"/>
          <w:lang w:val="fr-CA" w:bidi="en-US"/>
        </w:rPr>
        <w:t xml:space="preserve">. Si c’était le cas, les mesures de protection offertes par la </w:t>
      </w:r>
      <w:r w:rsidRPr="0092652F">
        <w:rPr>
          <w:rFonts w:cs="Times New Roman"/>
          <w:i/>
          <w:lang w:val="fr-CA" w:bidi="en-US"/>
        </w:rPr>
        <w:t xml:space="preserve">Loi sur la protection du consommateur </w:t>
      </w:r>
      <w:r w:rsidRPr="0092652F">
        <w:rPr>
          <w:rFonts w:cs="Times New Roman"/>
          <w:lang w:val="fr-CA" w:bidi="en-US"/>
        </w:rPr>
        <w:t>s’étendraient à des personnes qui ne sont pas des « consommateurs », ce qui éroderait la politique qui sous</w:t>
      </w:r>
      <w:r w:rsidRPr="0092652F">
        <w:rPr>
          <w:rFonts w:cs="Times New Roman"/>
          <w:lang w:val="fr-CA" w:bidi="en-US"/>
        </w:rPr>
        <w:noBreakHyphen/>
        <w:t xml:space="preserve">tend la </w:t>
      </w:r>
      <w:r w:rsidRPr="0092652F">
        <w:rPr>
          <w:rFonts w:cs="Times New Roman"/>
          <w:i/>
          <w:lang w:val="fr-CA" w:bidi="en-US"/>
        </w:rPr>
        <w:t>Loi sur l’arbitrage</w:t>
      </w:r>
      <w:r w:rsidRPr="0092652F">
        <w:rPr>
          <w:rFonts w:cs="Times New Roman"/>
          <w:lang w:val="fr-CA" w:bidi="en-US"/>
        </w:rPr>
        <w:t>, selon laquelle les parties à une convention d’arbitrage valide devraient respecter l’entente qu’elles ont conclue. Si des non</w:t>
      </w:r>
      <w:r w:rsidRPr="0092652F">
        <w:rPr>
          <w:rFonts w:cs="Times New Roman"/>
          <w:lang w:val="fr-CA" w:bidi="en-US"/>
        </w:rPr>
        <w:noBreakHyphen/>
        <w:t>consommateurs qui sont liés par une convention d’arbitrage valide pouvaient court</w:t>
      </w:r>
      <w:r w:rsidRPr="0092652F">
        <w:rPr>
          <w:rFonts w:cs="Times New Roman"/>
          <w:lang w:val="fr-CA" w:bidi="en-US"/>
        </w:rPr>
        <w:noBreakHyphen/>
        <w:t xml:space="preserve">circuiter le par. 7(1) de la </w:t>
      </w:r>
      <w:r w:rsidRPr="0092652F">
        <w:rPr>
          <w:rFonts w:cs="Times New Roman"/>
          <w:i/>
          <w:lang w:val="fr-CA" w:bidi="en-US"/>
        </w:rPr>
        <w:t>Loi sur l’arbitrage</w:t>
      </w:r>
      <w:r w:rsidRPr="0092652F">
        <w:rPr>
          <w:rFonts w:cs="Times New Roman"/>
          <w:lang w:val="fr-CA" w:bidi="en-US"/>
        </w:rPr>
        <w:t xml:space="preserve"> simplement en joignant leur réclamation à celle d’un consommateur et en invoquant le par. 7(5) de la </w:t>
      </w:r>
      <w:r w:rsidRPr="0092652F">
        <w:rPr>
          <w:rFonts w:cs="Times New Roman"/>
          <w:i/>
          <w:lang w:val="fr-CA" w:bidi="en-US"/>
        </w:rPr>
        <w:t>Loi sur la protection du consommateur</w:t>
      </w:r>
      <w:r w:rsidRPr="0092652F">
        <w:rPr>
          <w:rFonts w:cs="Times New Roman"/>
          <w:lang w:val="fr-CA" w:bidi="en-US"/>
        </w:rPr>
        <w:t>, cette disposition</w:t>
      </w:r>
      <w:r w:rsidRPr="0092652F">
        <w:rPr>
          <w:rFonts w:cs="Times New Roman"/>
          <w:i/>
          <w:lang w:val="fr-CA" w:bidi="en-US"/>
        </w:rPr>
        <w:t xml:space="preserve"> </w:t>
      </w:r>
      <w:r w:rsidRPr="0092652F">
        <w:rPr>
          <w:rFonts w:cs="Times New Roman"/>
          <w:lang w:val="fr-CA" w:bidi="en-US"/>
        </w:rPr>
        <w:t>deviendrait un moyen pour que les réclamations des non</w:t>
      </w:r>
      <w:r w:rsidRPr="0092652F">
        <w:rPr>
          <w:rFonts w:cs="Times New Roman"/>
          <w:lang w:val="fr-CA" w:bidi="en-US"/>
        </w:rPr>
        <w:noBreakHyphen/>
        <w:t>consommateurs « se greffent » à celles de consommateurs. En effet, s’il fallait adopter une telle interprétation, un recours collectif intenté au nom de millions de non</w:t>
      </w:r>
      <w:r w:rsidRPr="0092652F">
        <w:rPr>
          <w:rFonts w:cs="Times New Roman"/>
          <w:lang w:val="fr-CA" w:bidi="en-US"/>
        </w:rPr>
        <w:noBreakHyphen/>
        <w:t xml:space="preserve">consommateurs chacun lié par une convention d’arbitrage, s’il était certifié, pourrait être entendu par un tribunal </w:t>
      </w:r>
      <w:r w:rsidRPr="0092652F">
        <w:rPr>
          <w:rFonts w:cs="Times New Roman"/>
          <w:i/>
          <w:lang w:val="fr-CA" w:bidi="en-US"/>
        </w:rPr>
        <w:t>dans son entièreté</w:t>
      </w:r>
      <w:r w:rsidRPr="0092652F">
        <w:rPr>
          <w:rFonts w:cs="Times New Roman"/>
          <w:lang w:val="fr-CA" w:bidi="en-US"/>
        </w:rPr>
        <w:t xml:space="preserve"> à condition qu’un seul consommateur se joigne au recours. Ainsi, l’inclusion d’un seul consommateur suffirait pour que tous aient accès au tribunal. E</w:t>
      </w:r>
      <w:r>
        <w:rPr>
          <w:rFonts w:cs="Times New Roman"/>
          <w:lang w:val="fr-CA" w:bidi="en-US"/>
        </w:rPr>
        <w:t xml:space="preserve">n revanche, donner au </w:t>
      </w:r>
      <w:proofErr w:type="spellStart"/>
      <w:r>
        <w:rPr>
          <w:rFonts w:cs="Times New Roman"/>
          <w:lang w:val="fr-CA" w:bidi="en-US"/>
        </w:rPr>
        <w:t>par</w:t>
      </w:r>
      <w:proofErr w:type="spellEnd"/>
      <w:r>
        <w:rPr>
          <w:rFonts w:cs="Times New Roman"/>
          <w:lang w:val="fr-CA" w:bidi="en-US"/>
        </w:rPr>
        <w:t>.</w:t>
      </w:r>
      <w:r w:rsidRPr="0092652F">
        <w:rPr>
          <w:rFonts w:cs="Times New Roman"/>
          <w:lang w:val="fr-CA" w:bidi="en-US"/>
        </w:rPr>
        <w:t xml:space="preserve"> 7(5) de la </w:t>
      </w:r>
      <w:r w:rsidRPr="0092652F">
        <w:rPr>
          <w:rFonts w:cs="Times New Roman"/>
          <w:i/>
          <w:lang w:val="fr-CA" w:bidi="en-US"/>
        </w:rPr>
        <w:t xml:space="preserve">Loi sur la protection du consommateur </w:t>
      </w:r>
      <w:r w:rsidRPr="0092652F">
        <w:rPr>
          <w:rFonts w:cs="Times New Roman"/>
          <w:lang w:val="fr-CA" w:bidi="en-US"/>
        </w:rPr>
        <w:t xml:space="preserve">une interprétation qui limite son application aux consommateurs mène à un résultat valable, qui concorde avec les objectifs </w:t>
      </w:r>
      <w:proofErr w:type="spellStart"/>
      <w:r w:rsidRPr="0092652F">
        <w:rPr>
          <w:rFonts w:cs="Times New Roman"/>
          <w:lang w:val="fr-CA" w:bidi="en-US"/>
        </w:rPr>
        <w:t>sous</w:t>
      </w:r>
      <w:r w:rsidRPr="0092652F">
        <w:rPr>
          <w:rFonts w:cs="Times New Roman"/>
          <w:lang w:val="fr-CA" w:bidi="en-US"/>
        </w:rPr>
        <w:noBreakHyphen/>
        <w:t>jascents</w:t>
      </w:r>
      <w:proofErr w:type="spellEnd"/>
      <w:r w:rsidRPr="0092652F">
        <w:rPr>
          <w:rFonts w:cs="Times New Roman"/>
          <w:lang w:val="fr-CA" w:bidi="en-US"/>
        </w:rPr>
        <w:t xml:space="preserve"> des deux lois : soit préserver les mesures de protection prévues uniquement pour les « consommateurs » dans la </w:t>
      </w:r>
      <w:r w:rsidRPr="0092652F">
        <w:rPr>
          <w:rFonts w:cs="Times New Roman"/>
          <w:i/>
          <w:lang w:val="fr-CA" w:bidi="en-US"/>
        </w:rPr>
        <w:t xml:space="preserve">Loi sur la protection du consommateur </w:t>
      </w:r>
      <w:r w:rsidRPr="0092652F">
        <w:rPr>
          <w:rFonts w:cs="Times New Roman"/>
          <w:lang w:val="fr-CA" w:bidi="en-US"/>
        </w:rPr>
        <w:t>et donner effet à la politique qui sous</w:t>
      </w:r>
      <w:r w:rsidRPr="0092652F">
        <w:rPr>
          <w:rFonts w:cs="Times New Roman"/>
          <w:lang w:val="fr-CA" w:bidi="en-US"/>
        </w:rPr>
        <w:noBreakHyphen/>
        <w:t xml:space="preserve">tend la </w:t>
      </w:r>
      <w:r w:rsidRPr="0092652F">
        <w:rPr>
          <w:rFonts w:cs="Times New Roman"/>
          <w:i/>
          <w:lang w:val="fr-CA" w:bidi="en-US"/>
        </w:rPr>
        <w:t>Loi sur l’arbitrage</w:t>
      </w:r>
      <w:r w:rsidRPr="0092652F">
        <w:rPr>
          <w:rFonts w:cs="Times New Roman"/>
          <w:lang w:val="fr-CA" w:bidi="en-US"/>
        </w:rPr>
        <w:t>, selon laquelle les parties à une convention d’arbitrage valide devraient respecter l’entente qu’elles ont conclue.</w:t>
      </w:r>
    </w:p>
    <w:p w:rsidR="00B618DD" w:rsidRPr="0092652F" w:rsidRDefault="00B618DD" w:rsidP="00B618DD">
      <w:pPr>
        <w:pStyle w:val="ParaNoNdepar-AltN"/>
        <w:rPr>
          <w:rFonts w:cs="Times New Roman"/>
          <w:lang w:val="fr-CA"/>
        </w:rPr>
      </w:pPr>
      <w:r w:rsidRPr="0092652F">
        <w:rPr>
          <w:rFonts w:cs="Times New Roman"/>
          <w:lang w:val="fr-CA"/>
        </w:rPr>
        <w:t xml:space="preserve">Puisque j’ai conclu que les clients commerciaux ne peuvent pas éviter le sursis prévu au </w:t>
      </w:r>
      <w:proofErr w:type="spellStart"/>
      <w:r w:rsidRPr="0092652F">
        <w:rPr>
          <w:rFonts w:cs="Times New Roman"/>
          <w:lang w:val="fr-CA"/>
        </w:rPr>
        <w:t>par</w:t>
      </w:r>
      <w:proofErr w:type="spellEnd"/>
      <w:r w:rsidRPr="0092652F">
        <w:rPr>
          <w:rFonts w:cs="Times New Roman"/>
          <w:lang w:val="fr-CA"/>
        </w:rPr>
        <w:t xml:space="preserve">. 7(1) de la </w:t>
      </w:r>
      <w:r w:rsidRPr="0092652F">
        <w:rPr>
          <w:rFonts w:cs="Times New Roman"/>
          <w:i/>
          <w:lang w:val="fr-CA"/>
        </w:rPr>
        <w:t>Loi sur l’arbitrage</w:t>
      </w:r>
      <w:r w:rsidRPr="0092652F">
        <w:rPr>
          <w:rFonts w:cs="Times New Roman"/>
          <w:lang w:val="fr-CA"/>
        </w:rPr>
        <w:t xml:space="preserve"> en invoquant la </w:t>
      </w:r>
      <w:r w:rsidRPr="0092652F">
        <w:rPr>
          <w:rFonts w:cs="Times New Roman"/>
          <w:i/>
          <w:lang w:val="fr-CA"/>
        </w:rPr>
        <w:t>Loi sur la protection du consommateur</w:t>
      </w:r>
      <w:r w:rsidRPr="0092652F">
        <w:rPr>
          <w:rFonts w:cs="Times New Roman"/>
          <w:lang w:val="fr-CA"/>
        </w:rPr>
        <w:t xml:space="preserve">, ils ne leur restent que deux avenues possibles pour arriver à leur fin : les par. 7(2) et (5) de la </w:t>
      </w:r>
      <w:r w:rsidRPr="0092652F">
        <w:rPr>
          <w:rFonts w:cs="Times New Roman"/>
          <w:i/>
          <w:lang w:val="fr-CA"/>
        </w:rPr>
        <w:t>Loi sur l’arbitrage</w:t>
      </w:r>
      <w:r w:rsidRPr="0092652F">
        <w:rPr>
          <w:rFonts w:cs="Times New Roman"/>
          <w:lang w:val="fr-CA"/>
        </w:rPr>
        <w:t>. Cela dit, comme M. </w:t>
      </w:r>
      <w:proofErr w:type="spellStart"/>
      <w:r w:rsidRPr="0092652F">
        <w:rPr>
          <w:rFonts w:cs="Times New Roman"/>
          <w:lang w:val="fr-CA"/>
        </w:rPr>
        <w:t>Wellman</w:t>
      </w:r>
      <w:proofErr w:type="spellEnd"/>
      <w:r w:rsidRPr="0092652F">
        <w:rPr>
          <w:rFonts w:cs="Times New Roman"/>
          <w:lang w:val="fr-CA"/>
        </w:rPr>
        <w:t xml:space="preserve"> n’a pas fait valoir qu’une des cinq exceptions énoncées au </w:t>
      </w:r>
      <w:proofErr w:type="spellStart"/>
      <w:r w:rsidRPr="0092652F">
        <w:rPr>
          <w:rFonts w:cs="Times New Roman"/>
          <w:lang w:val="fr-CA"/>
        </w:rPr>
        <w:t>par</w:t>
      </w:r>
      <w:proofErr w:type="spellEnd"/>
      <w:r w:rsidRPr="0092652F">
        <w:rPr>
          <w:rFonts w:cs="Times New Roman"/>
          <w:lang w:val="fr-CA"/>
        </w:rPr>
        <w:t>. 7(2) s’applique, seul le par. 7(5) pourrait ouvrir la voie du tribunal aux clients commerciaux. Or, comme je l’expliquerai, cette disposition ne s’applique pas eu égard aux faits de l’espèce.</w:t>
      </w:r>
    </w:p>
    <w:p w:rsidR="00B618DD" w:rsidRPr="0092652F" w:rsidRDefault="00B618DD" w:rsidP="00B618DD">
      <w:pPr>
        <w:pStyle w:val="ParaNoNdepar-AltN"/>
        <w:rPr>
          <w:rFonts w:cs="Times New Roman"/>
          <w:lang w:val="fr-CA"/>
        </w:rPr>
      </w:pPr>
      <w:r w:rsidRPr="0092652F">
        <w:rPr>
          <w:rFonts w:cs="Times New Roman"/>
          <w:lang w:val="fr-CA"/>
        </w:rPr>
        <w:t>Comme je l’</w:t>
      </w:r>
      <w:r>
        <w:rPr>
          <w:rFonts w:cs="Times New Roman"/>
          <w:lang w:val="fr-CA"/>
        </w:rPr>
        <w:t>ai déjà mentionné, le par.</w:t>
      </w:r>
      <w:r w:rsidRPr="0092652F">
        <w:rPr>
          <w:rFonts w:cs="Times New Roman"/>
          <w:lang w:val="fr-CA"/>
        </w:rPr>
        <w:t xml:space="preserve"> 7(5) de la </w:t>
      </w:r>
      <w:r w:rsidRPr="0092652F">
        <w:rPr>
          <w:rFonts w:cs="Times New Roman"/>
          <w:i/>
          <w:lang w:val="fr-CA"/>
        </w:rPr>
        <w:t>Loi sur l’arbitrage</w:t>
      </w:r>
      <w:r w:rsidRPr="0092652F">
        <w:rPr>
          <w:rFonts w:cs="Times New Roman"/>
          <w:lang w:val="fr-CA"/>
        </w:rPr>
        <w:t xml:space="preserve"> ne s’applique que lorsqu’il est satisfait aux deux conditions préalables énoncées aux al. 7(5)a) et b). La première condition exige que l’instance porte sur (1) au moins une question </w:t>
      </w:r>
      <w:r w:rsidRPr="0092652F">
        <w:rPr>
          <w:rFonts w:cs="Times New Roman"/>
          <w:lang w:val="fr-CA" w:bidi="en-US"/>
        </w:rPr>
        <w:t xml:space="preserve">qui </w:t>
      </w:r>
      <w:r w:rsidRPr="0092652F">
        <w:rPr>
          <w:rFonts w:cs="Times New Roman"/>
          <w:i/>
          <w:lang w:val="fr-CA" w:bidi="en-US"/>
        </w:rPr>
        <w:t xml:space="preserve">est </w:t>
      </w:r>
      <w:r w:rsidRPr="0092652F">
        <w:rPr>
          <w:rFonts w:cs="Times New Roman"/>
          <w:lang w:val="fr-CA" w:bidi="en-US"/>
        </w:rPr>
        <w:t xml:space="preserve">traitée dans la convention d’arbitrage et (2) au moins une question qui </w:t>
      </w:r>
      <w:r w:rsidRPr="0092652F">
        <w:rPr>
          <w:rFonts w:cs="Times New Roman"/>
          <w:i/>
          <w:lang w:val="fr-CA" w:bidi="en-US"/>
        </w:rPr>
        <w:t>ne l’est pas</w:t>
      </w:r>
      <w:r w:rsidRPr="0092652F">
        <w:rPr>
          <w:rFonts w:cs="Times New Roman"/>
          <w:lang w:val="fr-CA"/>
        </w:rPr>
        <w:t>. Ce n’est toutefois pas le cas en l’espèce. Comme je l’ai déjà expliqué, l’instance porte plutôt sur une seule question — celle de la surfacturation alléguée —, dont traitent les conventions d’arbitrage qu’ont signées les consommateurs et les clients commerciaux. Il n’est donc pas satisfait à la première condition préalable, et le par. 7(5) ne s’applique pas.</w:t>
      </w:r>
    </w:p>
    <w:p w:rsidR="00B618DD" w:rsidRPr="0092652F" w:rsidRDefault="00B618DD" w:rsidP="00B618DD">
      <w:pPr>
        <w:pStyle w:val="ParaNoNdepar-AltN"/>
        <w:rPr>
          <w:rFonts w:cs="Times New Roman"/>
          <w:lang w:val="fr-CA"/>
        </w:rPr>
      </w:pPr>
      <w:r w:rsidRPr="0092652F">
        <w:rPr>
          <w:rFonts w:cs="Times New Roman"/>
          <w:lang w:val="fr-CA"/>
        </w:rPr>
        <w:t>Pour</w:t>
      </w:r>
      <w:r>
        <w:rPr>
          <w:rFonts w:cs="Times New Roman"/>
          <w:lang w:val="fr-CA"/>
        </w:rPr>
        <w:t xml:space="preserve"> illustrer comment le par.</w:t>
      </w:r>
      <w:r w:rsidRPr="0092652F">
        <w:rPr>
          <w:rFonts w:cs="Times New Roman"/>
          <w:lang w:val="fr-CA"/>
        </w:rPr>
        <w:t xml:space="preserve"> 7(5) pourrait s’appliquer à un différend entre TELUS et ses clients commerciaux, imaginons un scénario où l’instance porte à la fois sur (1) une réclamation présentée par les clients commerciaux concernant la surfacturation alléguée et (2) une réclamation présentée par TELUS pour le recouvrement de créances. La première question </w:t>
      </w:r>
      <w:r w:rsidRPr="0092652F">
        <w:rPr>
          <w:rFonts w:cs="Times New Roman"/>
          <w:i/>
          <w:lang w:val="fr-CA"/>
        </w:rPr>
        <w:t xml:space="preserve">est </w:t>
      </w:r>
      <w:r w:rsidRPr="0092652F">
        <w:rPr>
          <w:rFonts w:cs="Times New Roman"/>
          <w:lang w:val="fr-CA"/>
        </w:rPr>
        <w:t xml:space="preserve">visée par la convention d’arbitrage; la seconde </w:t>
      </w:r>
      <w:r w:rsidRPr="0092652F">
        <w:rPr>
          <w:rFonts w:cs="Times New Roman"/>
          <w:i/>
          <w:lang w:val="fr-CA"/>
        </w:rPr>
        <w:t>ne l’est pas</w:t>
      </w:r>
      <w:r w:rsidRPr="0092652F">
        <w:rPr>
          <w:rFonts w:cs="Times New Roman"/>
          <w:lang w:val="fr-CA"/>
        </w:rPr>
        <w:t>. Cette instance fictive satisferait à la première condition préalable. Si le tribunal jugeait qu’il est raisonnable de dissocier les deux questions, de sorte que la deuxième condition préalable serait aussi remplie, le par. 7(5) permettrait donc au tribunal de surseoir à l’instance en ce qui touche la question traitée dans les conventions d’arbitrage (c.</w:t>
      </w:r>
      <w:r w:rsidRPr="0092652F">
        <w:rPr>
          <w:rFonts w:cs="Times New Roman"/>
          <w:lang w:val="fr-CA"/>
        </w:rPr>
        <w:noBreakHyphen/>
        <w:t>à</w:t>
      </w:r>
      <w:r w:rsidRPr="0092652F">
        <w:rPr>
          <w:rFonts w:cs="Times New Roman"/>
          <w:lang w:val="fr-CA"/>
        </w:rPr>
        <w:noBreakHyphen/>
        <w:t xml:space="preserve">d. </w:t>
      </w:r>
      <w:r w:rsidRPr="0092652F">
        <w:rPr>
          <w:rFonts w:cs="Times New Roman"/>
          <w:lang w:val="fr-CA" w:bidi="en-US"/>
        </w:rPr>
        <w:t xml:space="preserve">la question de la surfacturation alléguée) et de permettre qu’elle se poursuive en ce qui touche la question qui </w:t>
      </w:r>
      <w:r w:rsidRPr="0092652F">
        <w:rPr>
          <w:rFonts w:cs="Times New Roman"/>
          <w:i/>
          <w:lang w:val="fr-CA" w:bidi="en-US"/>
        </w:rPr>
        <w:t>n’</w:t>
      </w:r>
      <w:r w:rsidRPr="0092652F">
        <w:rPr>
          <w:rFonts w:cs="Times New Roman"/>
          <w:lang w:val="fr-CA" w:bidi="en-US"/>
        </w:rPr>
        <w:t xml:space="preserve">est </w:t>
      </w:r>
      <w:r w:rsidRPr="0092652F">
        <w:rPr>
          <w:rFonts w:cs="Times New Roman"/>
          <w:i/>
          <w:lang w:val="fr-CA" w:bidi="en-US"/>
        </w:rPr>
        <w:t>pas</w:t>
      </w:r>
      <w:r w:rsidRPr="0092652F">
        <w:rPr>
          <w:rFonts w:cs="Times New Roman"/>
          <w:lang w:val="fr-CA" w:bidi="en-US"/>
        </w:rPr>
        <w:t xml:space="preserve"> traitée dans les conventions d’arbitrage (c.</w:t>
      </w:r>
      <w:r w:rsidRPr="0092652F">
        <w:rPr>
          <w:rFonts w:cs="Times New Roman"/>
          <w:lang w:val="fr-CA" w:bidi="en-US"/>
        </w:rPr>
        <w:noBreakHyphen/>
        <w:t>à</w:t>
      </w:r>
      <w:r w:rsidRPr="0092652F">
        <w:rPr>
          <w:rFonts w:cs="Times New Roman"/>
          <w:lang w:val="fr-CA" w:bidi="en-US"/>
        </w:rPr>
        <w:noBreakHyphen/>
        <w:t xml:space="preserve">d. la question du recouvrement des créances). Subsidiairement, si le tribunal jugeait qu’il </w:t>
      </w:r>
      <w:r w:rsidRPr="0092652F">
        <w:rPr>
          <w:rFonts w:cs="Times New Roman"/>
          <w:i/>
          <w:lang w:val="fr-CA" w:bidi="en-US"/>
        </w:rPr>
        <w:t>n’</w:t>
      </w:r>
      <w:r w:rsidRPr="0092652F">
        <w:rPr>
          <w:rFonts w:cs="Times New Roman"/>
          <w:lang w:val="fr-CA" w:bidi="en-US"/>
        </w:rPr>
        <w:t xml:space="preserve">était </w:t>
      </w:r>
      <w:r w:rsidRPr="0092652F">
        <w:rPr>
          <w:rFonts w:cs="Times New Roman"/>
          <w:i/>
          <w:lang w:val="fr-CA" w:bidi="en-US"/>
        </w:rPr>
        <w:t xml:space="preserve">pas </w:t>
      </w:r>
      <w:r w:rsidRPr="0092652F">
        <w:rPr>
          <w:rFonts w:cs="Times New Roman"/>
          <w:lang w:val="fr-CA" w:bidi="en-US"/>
        </w:rPr>
        <w:t xml:space="preserve">raisonnable de dissocier les deux questions, de sorte que la deuxième condition préalable </w:t>
      </w:r>
      <w:r w:rsidRPr="0092652F">
        <w:rPr>
          <w:rFonts w:cs="Times New Roman"/>
          <w:i/>
          <w:lang w:val="fr-CA" w:bidi="en-US"/>
        </w:rPr>
        <w:t xml:space="preserve">ne </w:t>
      </w:r>
      <w:r w:rsidRPr="0092652F">
        <w:rPr>
          <w:rFonts w:cs="Times New Roman"/>
          <w:lang w:val="fr-CA" w:bidi="en-US"/>
        </w:rPr>
        <w:t xml:space="preserve">serait </w:t>
      </w:r>
      <w:r w:rsidRPr="0092652F">
        <w:rPr>
          <w:rFonts w:cs="Times New Roman"/>
          <w:i/>
          <w:lang w:val="fr-CA" w:bidi="en-US"/>
        </w:rPr>
        <w:t>pas</w:t>
      </w:r>
      <w:r w:rsidRPr="0092652F">
        <w:rPr>
          <w:rFonts w:cs="Times New Roman"/>
          <w:lang w:val="fr-CA" w:bidi="en-US"/>
        </w:rPr>
        <w:t xml:space="preserve"> remplie, la règle générale prévue au </w:t>
      </w:r>
      <w:proofErr w:type="spellStart"/>
      <w:r w:rsidRPr="0092652F">
        <w:rPr>
          <w:rFonts w:cs="Times New Roman"/>
          <w:lang w:val="fr-CA" w:bidi="en-US"/>
        </w:rPr>
        <w:t>par</w:t>
      </w:r>
      <w:proofErr w:type="spellEnd"/>
      <w:r w:rsidRPr="0092652F">
        <w:rPr>
          <w:rFonts w:cs="Times New Roman"/>
          <w:lang w:val="fr-CA" w:bidi="en-US"/>
        </w:rPr>
        <w:t>. 7(1) s’appliquerait et le tribunal serait tenu de surseoir à l’instance.</w:t>
      </w:r>
    </w:p>
    <w:p w:rsidR="00B618DD" w:rsidRPr="0092652F" w:rsidRDefault="00B618DD" w:rsidP="00B618DD">
      <w:pPr>
        <w:pStyle w:val="ParaNoNdepar-AltN"/>
        <w:rPr>
          <w:rFonts w:cs="Times New Roman"/>
          <w:lang w:val="fr-CA"/>
        </w:rPr>
      </w:pPr>
      <w:r>
        <w:rPr>
          <w:rFonts w:cs="Times New Roman"/>
          <w:lang w:val="fr-CA" w:bidi="en-US"/>
        </w:rPr>
        <w:t>Puisque le par.</w:t>
      </w:r>
      <w:r w:rsidRPr="0092652F">
        <w:rPr>
          <w:rFonts w:cs="Times New Roman"/>
          <w:lang w:val="fr-CA" w:bidi="en-US"/>
        </w:rPr>
        <w:t xml:space="preserve"> 7(5) ne s’applique pas en l’espèce, il faut donc surseoir à l’instance en application de la règle générale prévue au </w:t>
      </w:r>
      <w:proofErr w:type="spellStart"/>
      <w:r w:rsidRPr="0092652F">
        <w:rPr>
          <w:rFonts w:cs="Times New Roman"/>
          <w:lang w:val="fr-CA" w:bidi="en-US"/>
        </w:rPr>
        <w:t>par</w:t>
      </w:r>
      <w:proofErr w:type="spellEnd"/>
      <w:r w:rsidRPr="0092652F">
        <w:rPr>
          <w:rFonts w:cs="Times New Roman"/>
          <w:lang w:val="fr-CA" w:bidi="en-US"/>
        </w:rPr>
        <w:t xml:space="preserve">. 7(1). En outre même si le terme « instance » est utilisé sans autre précision au </w:t>
      </w:r>
      <w:proofErr w:type="spellStart"/>
      <w:r w:rsidRPr="0092652F">
        <w:rPr>
          <w:rFonts w:cs="Times New Roman"/>
          <w:lang w:val="fr-CA" w:bidi="en-US"/>
        </w:rPr>
        <w:t>par</w:t>
      </w:r>
      <w:proofErr w:type="spellEnd"/>
      <w:r w:rsidRPr="0092652F">
        <w:rPr>
          <w:rFonts w:cs="Times New Roman"/>
          <w:lang w:val="fr-CA" w:bidi="en-US"/>
        </w:rPr>
        <w:t xml:space="preserve">. 7(1), vraisemblablement dans le sens d’« instance </w:t>
      </w:r>
      <w:r w:rsidRPr="0092652F">
        <w:rPr>
          <w:rFonts w:cs="Times New Roman"/>
          <w:i/>
          <w:lang w:val="fr-CA" w:bidi="en-US"/>
        </w:rPr>
        <w:t>dans son ensemble</w:t>
      </w:r>
      <w:r w:rsidRPr="0092652F">
        <w:rPr>
          <w:rFonts w:cs="Times New Roman"/>
          <w:lang w:val="fr-CA" w:bidi="en-US"/>
        </w:rPr>
        <w:t xml:space="preserve"> », je suis d’avis que le sursis en l’espèce doit être limité aux parties qui sont liées légalement par une convention d’arbitrage — à savoir TELUS et les clients commerciaux. Comme je l’ai déjà précisé, la </w:t>
      </w:r>
      <w:r w:rsidRPr="0092652F">
        <w:rPr>
          <w:rFonts w:cs="Times New Roman"/>
          <w:i/>
          <w:lang w:val="fr-CA" w:bidi="en-US"/>
        </w:rPr>
        <w:t xml:space="preserve">Loi sur la protection du consommateur </w:t>
      </w:r>
      <w:r w:rsidRPr="0092652F">
        <w:rPr>
          <w:rFonts w:cs="Times New Roman"/>
          <w:lang w:val="fr-CA" w:bidi="en-US"/>
        </w:rPr>
        <w:t xml:space="preserve">confère aux consommateurs le droit d’intenter un recours judiciaire et la </w:t>
      </w:r>
      <w:r w:rsidRPr="0092652F">
        <w:rPr>
          <w:rFonts w:cs="Times New Roman"/>
          <w:i/>
          <w:lang w:val="fr-CA" w:bidi="en-US"/>
        </w:rPr>
        <w:t>Loi sur l’arbitrage</w:t>
      </w:r>
      <w:r w:rsidRPr="0092652F">
        <w:rPr>
          <w:rFonts w:cs="Times New Roman"/>
          <w:lang w:val="fr-CA" w:bidi="en-US"/>
        </w:rPr>
        <w:t xml:space="preserve"> ne peut pas leur enlever ce droit. De plus, d’un point de vue téléologique, le cadre d’analyse de l’art. 7 vise principalement à garantir que les parties à une convention d’arbitrage valide respectent l’entente qu’elles ont conclue; il ne vise pas à faire en sorte que les parties qui n’ont jamais convenu d’être liées par une convention d’arbitrage ou qui ne sont pas liées par une telle convention se voient refuser l’accès aux tribunaux. La </w:t>
      </w:r>
      <w:r w:rsidRPr="0092652F">
        <w:rPr>
          <w:rFonts w:cs="Times New Roman"/>
          <w:i/>
          <w:lang w:val="fr-CA" w:bidi="en-US"/>
        </w:rPr>
        <w:t>Loi sur l’arbitrage</w:t>
      </w:r>
      <w:r w:rsidRPr="0092652F">
        <w:rPr>
          <w:rFonts w:cs="Times New Roman"/>
          <w:lang w:val="fr-CA" w:bidi="en-US"/>
        </w:rPr>
        <w:t xml:space="preserve"> ne peut pas interférer avec les droits procéduraux ou substantifs de ces parties, et elle ne peut certainement pas les priver de leur droit de demander une réparation devant les tribunaux uniquement parce qu’ils s’adonnent à être indirectement liés à d’autres qui, eux, </w:t>
      </w:r>
      <w:r w:rsidRPr="0092652F">
        <w:rPr>
          <w:rFonts w:cs="Times New Roman"/>
          <w:i/>
          <w:lang w:val="fr-CA" w:bidi="en-US"/>
        </w:rPr>
        <w:t>ont</w:t>
      </w:r>
      <w:r w:rsidRPr="0092652F">
        <w:rPr>
          <w:rFonts w:cs="Times New Roman"/>
          <w:lang w:val="fr-CA" w:bidi="en-US"/>
        </w:rPr>
        <w:t xml:space="preserve"> conclu une convention d’arbitrage et à laquelle ils </w:t>
      </w:r>
      <w:r w:rsidRPr="0092652F">
        <w:rPr>
          <w:rFonts w:cs="Times New Roman"/>
          <w:i/>
          <w:lang w:val="fr-CA" w:bidi="en-US"/>
        </w:rPr>
        <w:t xml:space="preserve">sont </w:t>
      </w:r>
      <w:r w:rsidRPr="0092652F">
        <w:rPr>
          <w:rFonts w:cs="Times New Roman"/>
          <w:lang w:val="fr-CA" w:bidi="en-US"/>
        </w:rPr>
        <w:t>liés.</w:t>
      </w:r>
    </w:p>
    <w:p w:rsidR="00B618DD" w:rsidRPr="0092652F" w:rsidRDefault="00B618DD" w:rsidP="00B618DD">
      <w:pPr>
        <w:pStyle w:val="ParaNoNdepar-AltN"/>
        <w:rPr>
          <w:rFonts w:cs="Times New Roman"/>
          <w:lang w:val="fr-CA"/>
        </w:rPr>
      </w:pPr>
      <w:r w:rsidRPr="0092652F">
        <w:rPr>
          <w:rFonts w:cs="Times New Roman"/>
          <w:lang w:val="fr-CA"/>
        </w:rPr>
        <w:t xml:space="preserve">En somme, je conclus que la juge des motions et la Cour d’appel ont commis une erreur de droit en interprétant incorrectement le par. 7(5) de la </w:t>
      </w:r>
      <w:r w:rsidRPr="0092652F">
        <w:rPr>
          <w:rFonts w:cs="Times New Roman"/>
          <w:i/>
          <w:lang w:val="fr-CA"/>
        </w:rPr>
        <w:t>Loi sur l’arbitrage</w:t>
      </w:r>
      <w:r w:rsidRPr="0092652F">
        <w:rPr>
          <w:rFonts w:cs="Times New Roman"/>
          <w:lang w:val="fr-CA"/>
        </w:rPr>
        <w:t xml:space="preserve"> et en refusant d’ordonner un sursis qui, suivant le par. 7(1) de cette même loi, était obligatoire. En défi</w:t>
      </w:r>
      <w:r>
        <w:rPr>
          <w:rFonts w:cs="Times New Roman"/>
          <w:lang w:val="fr-CA"/>
        </w:rPr>
        <w:t>nitive, selon moi, le par.</w:t>
      </w:r>
      <w:r w:rsidRPr="0092652F">
        <w:rPr>
          <w:rFonts w:cs="Times New Roman"/>
          <w:lang w:val="fr-CA"/>
        </w:rPr>
        <w:t> 7(5) ne permet pas au tribunal d’écarter une convention d’arbitrage valide et exécutoire.</w:t>
      </w:r>
    </w:p>
    <w:p w:rsidR="00B618DD" w:rsidRPr="0092652F" w:rsidRDefault="00B618DD" w:rsidP="00B618DD">
      <w:pPr>
        <w:pStyle w:val="Title3LevelTitre3Niveau"/>
        <w:rPr>
          <w:rFonts w:cs="Times New Roman"/>
          <w:lang w:val="fr-CA"/>
        </w:rPr>
      </w:pPr>
      <w:r w:rsidRPr="0092652F">
        <w:rPr>
          <w:rFonts w:cs="Times New Roman"/>
          <w:lang w:val="fr-CA"/>
        </w:rPr>
        <w:t>Le paragraphe 7(6) — l’interdiction d’interjeter appel</w:t>
      </w:r>
    </w:p>
    <w:p w:rsidR="00B618DD" w:rsidRPr="0092652F" w:rsidRDefault="00B618DD" w:rsidP="00B618DD">
      <w:pPr>
        <w:pStyle w:val="ParaNoNdepar-AltN"/>
        <w:rPr>
          <w:rFonts w:cs="Times New Roman"/>
          <w:lang w:val="fr-CA"/>
        </w:rPr>
      </w:pPr>
      <w:r w:rsidRPr="0092652F">
        <w:rPr>
          <w:rFonts w:cs="Times New Roman"/>
          <w:lang w:val="fr-CA"/>
        </w:rPr>
        <w:t xml:space="preserve">Enfin, je remarque que la cour d’instance inférieure n’a pas examiné l’application possible du par. 7(6) de la </w:t>
      </w:r>
      <w:r w:rsidRPr="0092652F">
        <w:rPr>
          <w:rFonts w:cs="Times New Roman"/>
          <w:i/>
          <w:lang w:val="fr-CA"/>
        </w:rPr>
        <w:t>Loi sur l’arbitrage</w:t>
      </w:r>
      <w:r w:rsidRPr="0092652F">
        <w:rPr>
          <w:rFonts w:cs="Times New Roman"/>
          <w:lang w:val="fr-CA"/>
        </w:rPr>
        <w:t xml:space="preserve"> et que la question n’a été abordée que brièvement durant les plaidoiries orales devant la Cour. Ni l’une ni l’autre des parties n’a suggéré que l’interdiction d’int</w:t>
      </w:r>
      <w:r>
        <w:rPr>
          <w:rFonts w:cs="Times New Roman"/>
          <w:lang w:val="fr-CA"/>
        </w:rPr>
        <w:t xml:space="preserve">erjeter appel prévue au </w:t>
      </w:r>
      <w:proofErr w:type="spellStart"/>
      <w:r>
        <w:rPr>
          <w:rFonts w:cs="Times New Roman"/>
          <w:lang w:val="fr-CA"/>
        </w:rPr>
        <w:t>par</w:t>
      </w:r>
      <w:proofErr w:type="spellEnd"/>
      <w:r>
        <w:rPr>
          <w:rFonts w:cs="Times New Roman"/>
          <w:lang w:val="fr-CA"/>
        </w:rPr>
        <w:t xml:space="preserve">. </w:t>
      </w:r>
      <w:r w:rsidRPr="0092652F">
        <w:rPr>
          <w:rFonts w:cs="Times New Roman"/>
          <w:lang w:val="fr-CA"/>
        </w:rPr>
        <w:t>7(6) s’applique. En l’absence d’observations complètes, j’estime qu’il ne convient pas de rendre une décision définitive sur la question.</w:t>
      </w:r>
    </w:p>
    <w:p w:rsidR="00B618DD" w:rsidRPr="0092652F" w:rsidRDefault="00B618DD" w:rsidP="00B618DD">
      <w:pPr>
        <w:pStyle w:val="Title1LevelTitre1Niveau-AltL"/>
        <w:spacing w:after="480" w:line="480" w:lineRule="auto"/>
        <w:rPr>
          <w:rFonts w:cs="Times New Roman"/>
          <w:lang w:val="fr-CA"/>
        </w:rPr>
      </w:pPr>
      <w:r w:rsidRPr="0092652F">
        <w:rPr>
          <w:rFonts w:cs="Times New Roman"/>
          <w:lang w:val="fr-CA" w:bidi="en-US"/>
        </w:rPr>
        <w:t>Conclusion</w:t>
      </w:r>
    </w:p>
    <w:p w:rsidR="00B618DD" w:rsidRPr="00281552" w:rsidRDefault="00B618DD" w:rsidP="00B618DD">
      <w:pPr>
        <w:pStyle w:val="ParaNoNdepar-AltN"/>
        <w:rPr>
          <w:rFonts w:cs="Times New Roman"/>
          <w:lang w:val="fr-CA"/>
        </w:rPr>
      </w:pPr>
      <w:r w:rsidRPr="0092652F">
        <w:rPr>
          <w:rFonts w:cs="Times New Roman"/>
          <w:lang w:val="fr-CA"/>
        </w:rPr>
        <w:t>En définitive, je suis d’avis d’accueillir le pourvoi et d’ordonner le sursis des réclamations des clients commerciaux. En conséquence, TELUS a droit à ses dépens devant la Cour et devant la Cour d’appel. Toutefois, comme la motion en vue d’un sursis de TELUS a été entendue en même temps que la demande de certification de M. </w:t>
      </w:r>
      <w:proofErr w:type="spellStart"/>
      <w:r w:rsidRPr="0092652F">
        <w:rPr>
          <w:rFonts w:cs="Times New Roman"/>
          <w:lang w:val="fr-CA"/>
        </w:rPr>
        <w:t>Wellman</w:t>
      </w:r>
      <w:proofErr w:type="spellEnd"/>
      <w:r w:rsidRPr="0092652F">
        <w:rPr>
          <w:rFonts w:cs="Times New Roman"/>
          <w:lang w:val="fr-CA"/>
        </w:rPr>
        <w:t xml:space="preserve"> qui a été accueillie, j’estime qu’il ne serait pas approprié d’accorder à TELUS les dépens en Cour supérieure. Je suis donc d’avis d’annuler l’ordonnance quant aux dépens rendue par la Cour supérieure et d’ordonner que chaque partie assume ses propres dépens devant cette cour.</w:t>
      </w:r>
    </w:p>
    <w:p w:rsidR="00B618DD" w:rsidRDefault="00B618DD" w:rsidP="00B618DD">
      <w:pPr>
        <w:pStyle w:val="SCCNormalDoubleSpacing"/>
        <w:spacing w:after="480"/>
        <w:rPr>
          <w:lang w:val="fr-CA"/>
        </w:rPr>
      </w:pPr>
      <w:r>
        <w:rPr>
          <w:lang w:val="fr-CA"/>
        </w:rPr>
        <w:tab/>
      </w:r>
      <w:r w:rsidRPr="00173A02">
        <w:rPr>
          <w:lang w:val="fr-CA"/>
        </w:rPr>
        <w:t xml:space="preserve">Version française </w:t>
      </w:r>
      <w:r w:rsidRPr="00DB4925">
        <w:rPr>
          <w:rFonts w:eastAsiaTheme="minorHAnsi"/>
          <w:szCs w:val="22"/>
          <w:lang w:val="fr-CA" w:eastAsia="en-US" w:bidi="en-US"/>
        </w:rPr>
        <w:t>des</w:t>
      </w:r>
      <w:r w:rsidRPr="00173A02">
        <w:rPr>
          <w:lang w:val="fr-CA"/>
        </w:rPr>
        <w:t xml:space="preserve"> motifs </w:t>
      </w:r>
      <w:r>
        <w:rPr>
          <w:lang w:val="fr-CA"/>
        </w:rPr>
        <w:t xml:space="preserve">du juge en chef Wagner et </w:t>
      </w:r>
      <w:r w:rsidRPr="00173A02">
        <w:rPr>
          <w:lang w:val="fr-CA"/>
        </w:rPr>
        <w:t xml:space="preserve">des juges </w:t>
      </w:r>
      <w:r>
        <w:rPr>
          <w:lang w:val="fr-CA"/>
        </w:rPr>
        <w:t xml:space="preserve">Abella, </w:t>
      </w:r>
      <w:proofErr w:type="spellStart"/>
      <w:r>
        <w:rPr>
          <w:lang w:val="fr-CA"/>
        </w:rPr>
        <w:t>Karakatsanis</w:t>
      </w:r>
      <w:proofErr w:type="spellEnd"/>
      <w:r w:rsidRPr="00173A02">
        <w:rPr>
          <w:lang w:val="fr-CA"/>
        </w:rPr>
        <w:t xml:space="preserve"> </w:t>
      </w:r>
      <w:r>
        <w:rPr>
          <w:lang w:val="fr-CA"/>
        </w:rPr>
        <w:t xml:space="preserve">et Martin </w:t>
      </w:r>
      <w:r w:rsidRPr="00173A02">
        <w:rPr>
          <w:lang w:val="fr-CA"/>
        </w:rPr>
        <w:t>rendus par</w:t>
      </w:r>
    </w:p>
    <w:p w:rsidR="00B618DD" w:rsidRPr="00400361" w:rsidRDefault="00B618DD" w:rsidP="00B618DD">
      <w:pPr>
        <w:pStyle w:val="ParaNoNdepar-AltN"/>
        <w:rPr>
          <w:rFonts w:cs="Times New Roman"/>
          <w:lang w:val="fr-CA"/>
        </w:rPr>
      </w:pPr>
      <w:r w:rsidRPr="00281552">
        <w:rPr>
          <w:smallCaps/>
          <w:lang w:val="fr-CA"/>
        </w:rPr>
        <w:t xml:space="preserve">Les juges Abella et </w:t>
      </w:r>
      <w:proofErr w:type="spellStart"/>
      <w:r w:rsidRPr="00281552">
        <w:rPr>
          <w:smallCaps/>
          <w:lang w:val="fr-CA"/>
        </w:rPr>
        <w:t>Karakatsanis</w:t>
      </w:r>
      <w:proofErr w:type="spellEnd"/>
      <w:r w:rsidRPr="00120D77">
        <w:rPr>
          <w:lang w:val="fr-CA"/>
        </w:rPr>
        <w:t xml:space="preserve"> </w:t>
      </w:r>
      <w:r>
        <w:rPr>
          <w:lang w:val="fr-CA"/>
        </w:rPr>
        <w:t xml:space="preserve">(dissidentes) </w:t>
      </w:r>
      <w:r w:rsidRPr="00120D77">
        <w:rPr>
          <w:lang w:val="fr-CA"/>
        </w:rPr>
        <w:t xml:space="preserve">— </w:t>
      </w:r>
      <w:r w:rsidRPr="003B62D8">
        <w:rPr>
          <w:rFonts w:cs="Times New Roman"/>
          <w:lang w:val="fr-CA"/>
        </w:rPr>
        <w:t xml:space="preserve">Le présent pourvoi concerne un recours collectif contre TELUS Communications Inc. Le contrat obligatoire et non négociable que doivent signer tous les acheteurs de forfaits de téléphonie cellulaire TELUS exige l’arbitrage individuel pour toutes les réclamations, et empêche la formation de recours judiciaires comme le recours collectif. La loi ontarienne soustrait les consommateurs à l’application de ces clauses d’arbitrage obligatoire. Cependant, les entreprises, peu importe leur taille, et même si elles présentent des réclamations identiques à celles des consommateurs, peuvent être assujetties à l’application de la clause d’arbitrage prévue dans le contrat. </w:t>
      </w:r>
      <w:r w:rsidRPr="00400361">
        <w:rPr>
          <w:rFonts w:cs="Times New Roman"/>
          <w:lang w:val="fr-CA"/>
        </w:rPr>
        <w:t xml:space="preserve">Les tribunaux de l’Ontario ont toutefois reconnu le déni d’accès à la justice que créait cette disparité et ont interprété la </w:t>
      </w:r>
      <w:r w:rsidRPr="00400361">
        <w:rPr>
          <w:rFonts w:cs="Times New Roman"/>
          <w:i/>
          <w:lang w:val="fr-CA"/>
        </w:rPr>
        <w:t>Loi de 1991 sur l’arbitrage</w:t>
      </w:r>
      <w:r w:rsidRPr="00400361">
        <w:rPr>
          <w:rFonts w:cs="Times New Roman"/>
          <w:lang w:val="fr-CA"/>
        </w:rPr>
        <w:t xml:space="preserve"> de manière à ce que les tribunaux aient le pouvoir discrétionnaire de corriger cette anomalie et de permettre aux deux catégories de demandeurs d’exercer un recours collectif.</w:t>
      </w:r>
    </w:p>
    <w:p w:rsidR="00B618DD" w:rsidRPr="00120D77" w:rsidRDefault="00B618DD" w:rsidP="00B618DD">
      <w:pPr>
        <w:pStyle w:val="ParaNoNdepar-AltN"/>
        <w:rPr>
          <w:rFonts w:cs="Times New Roman"/>
          <w:lang w:val="fr-CA"/>
        </w:rPr>
      </w:pPr>
      <w:r w:rsidRPr="00120D77">
        <w:rPr>
          <w:rFonts w:cs="Times New Roman"/>
          <w:szCs w:val="24"/>
          <w:lang w:val="fr-CA"/>
        </w:rPr>
        <w:t>L’interprétation législative est l’art de déduire le sens des mots. Celui</w:t>
      </w:r>
      <w:r w:rsidRPr="00120D77">
        <w:rPr>
          <w:rFonts w:cs="Times New Roman"/>
          <w:szCs w:val="24"/>
          <w:lang w:val="fr-CA"/>
        </w:rPr>
        <w:noBreakHyphen/>
        <w:t>ci est parfois évident, que ce soit en raison de la clarté du libellé ou de son lien avec le contexte législatif. Parfois, cependant, l’interprétation littérale des mots pris isolément compromet les objectifs de politique générale du régime législatif. La Cour suprême a réglé, en 1998, le débat au Canada entre les « </w:t>
      </w:r>
      <w:proofErr w:type="spellStart"/>
      <w:r w:rsidRPr="00120D77">
        <w:rPr>
          <w:rFonts w:cs="Times New Roman"/>
          <w:szCs w:val="24"/>
          <w:lang w:val="fr-CA"/>
        </w:rPr>
        <w:t>textualistes</w:t>
      </w:r>
      <w:proofErr w:type="spellEnd"/>
      <w:r w:rsidRPr="00120D77">
        <w:rPr>
          <w:rFonts w:cs="Times New Roman"/>
          <w:szCs w:val="24"/>
          <w:lang w:val="fr-CA"/>
        </w:rPr>
        <w:t> » et les « intentionnalistes » lorsqu’elle a décidé qu’« il n’y a qu’un seul principe ou solution : il faut lire les termes d’une loi dans leur contexte global en suivant le sens ordinaire et grammatical qui s’harmonise avec l’esprit de la loi, l’objet de la loi et l’intention du législateur</w:t>
      </w:r>
      <w:r w:rsidRPr="008B31FA">
        <w:rPr>
          <w:rStyle w:val="Hyperlink"/>
          <w:vertAlign w:val="superscript"/>
        </w:rPr>
        <w:footnoteReference w:id="8"/>
      </w:r>
      <w:r w:rsidRPr="00120D77">
        <w:rPr>
          <w:rFonts w:cs="Times New Roman"/>
          <w:szCs w:val="24"/>
          <w:lang w:val="fr-CA"/>
        </w:rPr>
        <w:t xml:space="preserve"> ». Nous ne faisons pas qu’observer les mots. De plus, en Ontario, toutes les lois doivent être interprétées conformément </w:t>
      </w:r>
      <w:r w:rsidR="009769E3">
        <w:rPr>
          <w:rFonts w:cs="Times New Roman"/>
          <w:szCs w:val="24"/>
          <w:lang w:val="fr-CA"/>
        </w:rPr>
        <w:t>a</w:t>
      </w:r>
      <w:r w:rsidR="009769E3" w:rsidRPr="005A7A6F">
        <w:rPr>
          <w:lang w:val="fr-CA"/>
        </w:rPr>
        <w:t xml:space="preserve">u </w:t>
      </w:r>
      <w:proofErr w:type="spellStart"/>
      <w:r w:rsidR="009769E3" w:rsidRPr="005A7A6F">
        <w:rPr>
          <w:lang w:val="fr-CA"/>
        </w:rPr>
        <w:t>par</w:t>
      </w:r>
      <w:proofErr w:type="spellEnd"/>
      <w:r w:rsidR="009769E3" w:rsidRPr="005A7A6F">
        <w:rPr>
          <w:lang w:val="fr-CA"/>
        </w:rPr>
        <w:t xml:space="preserve">. 64(1) de la </w:t>
      </w:r>
      <w:r w:rsidR="009769E3" w:rsidRPr="005A7A6F">
        <w:rPr>
          <w:i/>
          <w:lang w:val="fr-CA"/>
        </w:rPr>
        <w:t>Loi de 2006</w:t>
      </w:r>
      <w:r w:rsidR="009769E3">
        <w:rPr>
          <w:i/>
          <w:lang w:val="fr-CA"/>
        </w:rPr>
        <w:t xml:space="preserve"> sur la législation</w:t>
      </w:r>
      <w:r w:rsidR="009769E3">
        <w:rPr>
          <w:lang w:val="fr-CA"/>
        </w:rPr>
        <w:t xml:space="preserve">, L.O. 2006, c. 21, </w:t>
      </w:r>
      <w:proofErr w:type="spellStart"/>
      <w:r w:rsidR="009769E3">
        <w:rPr>
          <w:lang w:val="fr-CA"/>
        </w:rPr>
        <w:t>ann</w:t>
      </w:r>
      <w:proofErr w:type="spellEnd"/>
      <w:r w:rsidR="009769E3">
        <w:rPr>
          <w:lang w:val="fr-CA"/>
        </w:rPr>
        <w:t>. F, qui prévoit que « [l]</w:t>
      </w:r>
      <w:r w:rsidR="009769E3" w:rsidRPr="005A7A6F">
        <w:rPr>
          <w:lang w:val="fr-CA"/>
        </w:rPr>
        <w:t>a loi est censée apporter une solution de droit et s’interprète de la manière la plus équitable et la plus large qui soit compatible avec la réalisation de ses objets</w:t>
      </w:r>
      <w:r w:rsidR="009769E3">
        <w:rPr>
          <w:lang w:val="fr-CA"/>
        </w:rPr>
        <w:t>. »</w:t>
      </w:r>
      <w:r w:rsidR="009769E3">
        <w:rPr>
          <w:lang w:val="fr-CA"/>
        </w:rPr>
        <w:t xml:space="preserve"> </w:t>
      </w:r>
    </w:p>
    <w:p w:rsidR="00B618DD" w:rsidRPr="00120D77" w:rsidRDefault="00B618DD" w:rsidP="00B618DD">
      <w:pPr>
        <w:pStyle w:val="ParaNoNdepar-AltN"/>
        <w:rPr>
          <w:rFonts w:cs="Times New Roman"/>
          <w:lang w:val="fr-CA"/>
        </w:rPr>
      </w:pPr>
      <w:r w:rsidRPr="00120D77">
        <w:rPr>
          <w:rFonts w:cs="Times New Roman"/>
          <w:szCs w:val="24"/>
          <w:lang w:val="fr-CA"/>
        </w:rPr>
        <w:t>Autrement dit, les mots comptent, les objectifs de politique générale comptent et les conséquences comptent.</w:t>
      </w:r>
    </w:p>
    <w:p w:rsidR="00B618DD" w:rsidRPr="00120D77" w:rsidRDefault="00B618DD" w:rsidP="00B618DD">
      <w:pPr>
        <w:pStyle w:val="ParaNoNdepar-AltN"/>
        <w:rPr>
          <w:rFonts w:cs="Times New Roman"/>
          <w:lang w:val="fr-CA"/>
        </w:rPr>
      </w:pPr>
      <w:r w:rsidRPr="00120D77">
        <w:rPr>
          <w:rFonts w:cs="Times New Roman"/>
          <w:szCs w:val="24"/>
          <w:lang w:val="fr-CA"/>
        </w:rPr>
        <w:t xml:space="preserve">Soit dit en tout respect, l’approche des juges majoritaires représente en réalité le retour du </w:t>
      </w:r>
      <w:proofErr w:type="spellStart"/>
      <w:r w:rsidRPr="00120D77">
        <w:rPr>
          <w:rFonts w:cs="Times New Roman"/>
          <w:szCs w:val="24"/>
          <w:lang w:val="fr-CA"/>
        </w:rPr>
        <w:t>textualisme</w:t>
      </w:r>
      <w:proofErr w:type="spellEnd"/>
      <w:r w:rsidRPr="00120D77">
        <w:rPr>
          <w:rFonts w:cs="Times New Roman"/>
          <w:szCs w:val="24"/>
          <w:lang w:val="fr-CA"/>
        </w:rPr>
        <w:t xml:space="preserve">. Les mots ont dominé et supprimé les objectifs contextuels de politique générale à la fois de la </w:t>
      </w:r>
      <w:r w:rsidRPr="00120D77">
        <w:rPr>
          <w:rFonts w:cs="Times New Roman"/>
          <w:i/>
          <w:lang w:val="fr-CA"/>
        </w:rPr>
        <w:t>Loi de 1991 sur l’arbitrage</w:t>
      </w:r>
      <w:r w:rsidRPr="00120D77">
        <w:rPr>
          <w:rFonts w:cs="Times New Roman"/>
          <w:lang w:val="fr-CA"/>
        </w:rPr>
        <w:t xml:space="preserve">, L.O. 1991, c. 17, </w:t>
      </w:r>
      <w:r w:rsidRPr="00120D77">
        <w:rPr>
          <w:rFonts w:cs="Times New Roman"/>
          <w:szCs w:val="24"/>
          <w:lang w:val="fr-CA"/>
        </w:rPr>
        <w:t xml:space="preserve">et de la </w:t>
      </w:r>
      <w:r w:rsidRPr="00120D77">
        <w:rPr>
          <w:rFonts w:cs="Times New Roman"/>
          <w:i/>
          <w:lang w:val="fr-CA"/>
        </w:rPr>
        <w:t>Loi de 1992 sur les recours collectifs</w:t>
      </w:r>
      <w:r w:rsidRPr="00120D77">
        <w:rPr>
          <w:rFonts w:cs="Times New Roman"/>
          <w:lang w:val="fr-CA"/>
        </w:rPr>
        <w:t xml:space="preserve">, L.O. 1992, c. 6, </w:t>
      </w:r>
      <w:r w:rsidRPr="00120D77">
        <w:rPr>
          <w:rFonts w:cs="Times New Roman"/>
          <w:szCs w:val="24"/>
          <w:lang w:val="fr-CA"/>
        </w:rPr>
        <w:t>créant de cette façon un univers de règlement des différends qui a pour effet de contraindre les parties à un litige à dépenser des milliers de dollars en vue de régler un différend qui ne vaut qu’une fraction de ce coût; de priver d’autres personnes d’un accès concret à un recours si elles ne sont pas préparées ou ne peuvent se permettre de prendre part à une affaire où elles perdraient sur le plan des coûts et des bénéfices; et de susciter la multiplication d’instances, ce que le recours collectif visait justement à éviter. Ces facteurs dissuasifs ont pour résultat que les clients commerciaux ne feront tout simplement pas valoir leurs droits.</w:t>
      </w:r>
    </w:p>
    <w:p w:rsidR="00B618DD" w:rsidRPr="00120D77" w:rsidRDefault="00B618DD" w:rsidP="00B618DD">
      <w:pPr>
        <w:pStyle w:val="ParaNoNdepar-AltN"/>
        <w:rPr>
          <w:rFonts w:cs="Times New Roman"/>
          <w:lang w:val="fr-CA"/>
        </w:rPr>
      </w:pPr>
      <w:r w:rsidRPr="00120D77">
        <w:rPr>
          <w:rFonts w:cs="Times New Roman"/>
          <w:szCs w:val="24"/>
          <w:lang w:val="fr-CA"/>
        </w:rPr>
        <w:t xml:space="preserve">C’est pourquoi la Cour d’appel de l’Ontario a toujours interprété le libellé du par. 7(5) de la </w:t>
      </w:r>
      <w:r w:rsidRPr="00120D77">
        <w:rPr>
          <w:rFonts w:cs="Times New Roman"/>
          <w:i/>
          <w:szCs w:val="24"/>
          <w:lang w:val="fr-CA"/>
        </w:rPr>
        <w:t>Loi de 1991 sur l’arbitrage</w:t>
      </w:r>
      <w:r w:rsidRPr="00120D77">
        <w:rPr>
          <w:rFonts w:cs="Times New Roman"/>
          <w:szCs w:val="24"/>
          <w:lang w:val="fr-CA"/>
        </w:rPr>
        <w:t xml:space="preserve"> de façon à éviter les conséquences inacceptables tout en renforçant les objets et le fonctionnement efficace des régimes législatifs pertinents. Cette façon de faire est conforme à la méthode moderne d’interprétation législative de notre Cour, et devrait, en conséquence, être entérinée par celle</w:t>
      </w:r>
      <w:r w:rsidRPr="00120D77">
        <w:rPr>
          <w:rFonts w:cs="Times New Roman"/>
          <w:szCs w:val="24"/>
          <w:lang w:val="fr-CA"/>
        </w:rPr>
        <w:noBreakHyphen/>
        <w:t>ci.</w:t>
      </w:r>
    </w:p>
    <w:p w:rsidR="00B618DD" w:rsidRPr="00120D77" w:rsidRDefault="00B618DD" w:rsidP="00B618DD">
      <w:pPr>
        <w:pStyle w:val="ParaNoNdepar-AltN"/>
        <w:rPr>
          <w:rFonts w:cs="Times New Roman"/>
          <w:lang w:val="fr-CA"/>
        </w:rPr>
      </w:pPr>
      <w:r w:rsidRPr="00120D77">
        <w:rPr>
          <w:rFonts w:cs="Times New Roman"/>
          <w:lang w:val="fr-CA"/>
        </w:rPr>
        <w:t xml:space="preserve">Le législateur ontarien a adopté la </w:t>
      </w:r>
      <w:r w:rsidRPr="00120D77">
        <w:rPr>
          <w:rFonts w:cs="Times New Roman"/>
          <w:i/>
          <w:lang w:val="fr-CA"/>
        </w:rPr>
        <w:t>Loi de 1991 sur l’arbitrage</w:t>
      </w:r>
      <w:r w:rsidRPr="00120D77">
        <w:rPr>
          <w:rFonts w:cs="Times New Roman"/>
          <w:lang w:val="fr-CA"/>
        </w:rPr>
        <w:t xml:space="preserve"> pour permettre aux parties qui le souhaitent de recourir à l’arbitrage comme autre forme de règlement des différends. Afin d’assurer le règlement opportun des différends et de diminuer les frais de justice, la </w:t>
      </w:r>
      <w:r w:rsidRPr="00120D77">
        <w:rPr>
          <w:rFonts w:cs="Times New Roman"/>
          <w:i/>
          <w:lang w:val="fr-CA"/>
        </w:rPr>
        <w:t>Loi de 1991 sur l’arbitrage</w:t>
      </w:r>
      <w:r w:rsidRPr="00120D77">
        <w:rPr>
          <w:rFonts w:cs="Times New Roman"/>
          <w:lang w:val="fr-CA"/>
        </w:rPr>
        <w:t xml:space="preserve"> a limité l’intervention judiciaire à l’égard des différends arbitrables. Mais elle a aussi investi les juges du pouvoir discrétionnaire d’autoriser les instances judiciaires dans certaines circonstances précises, par exemple lorsque la convention d’arbitrage était manifestement inéquitable.</w:t>
      </w:r>
    </w:p>
    <w:p w:rsidR="00B618DD" w:rsidRPr="00120D77" w:rsidRDefault="00B618DD" w:rsidP="00B618DD">
      <w:pPr>
        <w:pStyle w:val="ParaNoNdepar-AltN"/>
        <w:spacing w:before="0"/>
        <w:rPr>
          <w:rFonts w:cs="Times New Roman"/>
          <w:lang w:val="fr-CA"/>
        </w:rPr>
      </w:pPr>
      <w:r w:rsidRPr="00120D77">
        <w:rPr>
          <w:rFonts w:cs="Times New Roman"/>
          <w:lang w:val="fr-CA"/>
        </w:rPr>
        <w:t xml:space="preserve">La question qui se pose dans le présent pourvoi est de savoir jusqu’où peut aller ce pouvoir discrétionnaire en vertu de la </w:t>
      </w:r>
      <w:r w:rsidRPr="00120D77">
        <w:rPr>
          <w:rFonts w:cs="Times New Roman"/>
          <w:i/>
          <w:lang w:val="fr-CA"/>
        </w:rPr>
        <w:t>Loi de 1991 sur l’arbitrage</w:t>
      </w:r>
      <w:r w:rsidRPr="00120D77">
        <w:rPr>
          <w:rFonts w:cs="Times New Roman"/>
          <w:lang w:val="fr-CA"/>
        </w:rPr>
        <w:t>. Il s’agit plus précisément d’établir si le par. 7(5) investit les juges du pouvoir discrétionnaire d’entendre les parties visées par une convention d’arbitrage lorsque la même question fait l’objet d’un litige devant les tribunaux. Le paragraphe 7(5) est ainsi libellé :</w:t>
      </w:r>
    </w:p>
    <w:p w:rsidR="00B618DD" w:rsidRPr="00120D77" w:rsidRDefault="00B618DD" w:rsidP="00B618DD">
      <w:pPr>
        <w:pStyle w:val="Citation-AltC"/>
        <w:spacing w:after="240"/>
        <w:ind w:hanging="1166"/>
        <w:contextualSpacing w:val="0"/>
        <w:rPr>
          <w:b/>
          <w:lang w:val="fr-FR"/>
        </w:rPr>
      </w:pPr>
      <w:r w:rsidRPr="00120D77">
        <w:rPr>
          <w:b/>
          <w:lang w:val="fr-FR"/>
        </w:rPr>
        <w:tab/>
        <w:t>Convention s’appliquant à une partie du différend</w:t>
      </w:r>
    </w:p>
    <w:p w:rsidR="00B618DD" w:rsidRPr="00120D77" w:rsidRDefault="00B618DD" w:rsidP="00B618DD">
      <w:pPr>
        <w:pStyle w:val="Citation-AltC"/>
        <w:spacing w:after="240"/>
        <w:ind w:hanging="1166"/>
        <w:contextualSpacing w:val="0"/>
        <w:rPr>
          <w:lang w:val="fr-FR"/>
        </w:rPr>
      </w:pPr>
      <w:r w:rsidRPr="00120D77">
        <w:rPr>
          <w:lang w:val="fr-CA"/>
        </w:rPr>
        <w:tab/>
        <w:t xml:space="preserve">(5) </w:t>
      </w:r>
      <w:r w:rsidRPr="00120D77">
        <w:rPr>
          <w:lang w:val="fr-FR"/>
        </w:rPr>
        <w:t>Le tribunal judiciaire peut surseoir à l’instance en ce qui touche les questions traitées dans la convention d’arbitrage et permettre qu’elle se poursuive en ce qui touche les autres questions, s’il constate :</w:t>
      </w:r>
    </w:p>
    <w:p w:rsidR="00B618DD" w:rsidRPr="00120D77" w:rsidRDefault="00B618DD" w:rsidP="00B618DD">
      <w:pPr>
        <w:pStyle w:val="Citation-AltC"/>
        <w:spacing w:after="240"/>
        <w:ind w:left="1710" w:hanging="1620"/>
        <w:contextualSpacing w:val="0"/>
        <w:rPr>
          <w:lang w:val="fr-CA"/>
        </w:rPr>
      </w:pPr>
      <w:r w:rsidRPr="00120D77">
        <w:rPr>
          <w:lang w:val="fr-FR"/>
        </w:rPr>
        <w:tab/>
        <w:t>a) d’une part, que la convention ne traite que de certaines des questions à l’égard desquelles l’instance a été introduite</w:t>
      </w:r>
      <w:r w:rsidRPr="00120D77">
        <w:rPr>
          <w:lang w:val="fr-CA"/>
        </w:rPr>
        <w:t>;</w:t>
      </w:r>
    </w:p>
    <w:p w:rsidR="00B618DD" w:rsidRPr="00120D77" w:rsidRDefault="00B618DD" w:rsidP="00B618DD">
      <w:pPr>
        <w:pStyle w:val="Citation-AltC"/>
        <w:ind w:left="1710" w:hanging="1627"/>
        <w:contextualSpacing w:val="0"/>
        <w:rPr>
          <w:lang w:val="fr-CA"/>
        </w:rPr>
      </w:pPr>
      <w:r w:rsidRPr="00120D77">
        <w:rPr>
          <w:lang w:val="fr-FR"/>
        </w:rPr>
        <w:tab/>
        <w:t>b) d’autre part, qu’il est raisonnable de dissocier les questions traitées dans la convention des autres questions</w:t>
      </w:r>
      <w:r w:rsidRPr="00120D77">
        <w:rPr>
          <w:lang w:val="fr-CA"/>
        </w:rPr>
        <w:t>.</w:t>
      </w:r>
    </w:p>
    <w:p w:rsidR="00B618DD" w:rsidRPr="00120D77" w:rsidRDefault="00B618DD" w:rsidP="00B618DD">
      <w:pPr>
        <w:pStyle w:val="ParaNoNdepar-AltN"/>
        <w:rPr>
          <w:rFonts w:cs="Times New Roman"/>
          <w:lang w:val="fr-CA"/>
        </w:rPr>
      </w:pPr>
      <w:r w:rsidRPr="00120D77">
        <w:rPr>
          <w:rFonts w:cs="Times New Roman"/>
          <w:lang w:val="fr-CA"/>
        </w:rPr>
        <w:t>Depuis 2002, la Cour d’appel de l’Ontario a interprété le par. 7(5) comme conférant aux tribunaux le pouvoir discrétionnaire de surseoir aux questions qui seraient par ailleurs soumises à l’arbitrage. De même, depuis une dizaine d’années, la Cour d’appel de l’Ontario a interprété le par. 7(5) comme permettant que des questions par ailleurs arbitrables soient jointes aux recours collectifs afin d’éviter, dans l’intérêt public, le dédoublement des instances, des coûts plus élevés et le risque de résultats incohérents.</w:t>
      </w:r>
    </w:p>
    <w:p w:rsidR="00B618DD" w:rsidRPr="00120D77" w:rsidRDefault="00B618DD" w:rsidP="00B618DD">
      <w:pPr>
        <w:pStyle w:val="ParaNoNdepar-AltN"/>
        <w:rPr>
          <w:rFonts w:cs="Times New Roman"/>
          <w:lang w:val="fr-CA"/>
        </w:rPr>
      </w:pPr>
      <w:r w:rsidRPr="00120D77">
        <w:rPr>
          <w:rFonts w:cs="Times New Roman"/>
          <w:lang w:val="fr-CA"/>
        </w:rPr>
        <w:t>Cette interprétation, à notre avis, s’accorde avec le texte des dispositions et le régime créé par celles</w:t>
      </w:r>
      <w:r w:rsidRPr="00120D77">
        <w:rPr>
          <w:rFonts w:cs="Times New Roman"/>
          <w:lang w:val="fr-CA"/>
        </w:rPr>
        <w:noBreakHyphen/>
        <w:t xml:space="preserve">ci et est conforme non seulement aux objets ayant motivé l’adoption de la </w:t>
      </w:r>
      <w:r w:rsidRPr="00120D77">
        <w:rPr>
          <w:rFonts w:cs="Times New Roman"/>
          <w:i/>
          <w:lang w:val="fr-CA"/>
        </w:rPr>
        <w:t>Loi de 1991 sur l’arbitrage</w:t>
      </w:r>
      <w:r w:rsidRPr="00120D77">
        <w:rPr>
          <w:rFonts w:cs="Times New Roman"/>
          <w:lang w:val="fr-CA"/>
        </w:rPr>
        <w:t>, mais aussi à l’objet du par. 7(5) lui</w:t>
      </w:r>
      <w:r w:rsidRPr="00120D77">
        <w:rPr>
          <w:rFonts w:cs="Times New Roman"/>
          <w:lang w:val="fr-CA"/>
        </w:rPr>
        <w:noBreakHyphen/>
        <w:t>même.</w:t>
      </w:r>
    </w:p>
    <w:p w:rsidR="00B618DD" w:rsidRPr="00120D77" w:rsidRDefault="00B618DD" w:rsidP="00B618DD">
      <w:pPr>
        <w:pStyle w:val="ParaNoNdepar-AltN"/>
        <w:rPr>
          <w:rFonts w:cs="Times New Roman"/>
          <w:lang w:val="fr-CA"/>
        </w:rPr>
      </w:pPr>
      <w:r w:rsidRPr="00120D77">
        <w:rPr>
          <w:rFonts w:cs="Times New Roman"/>
          <w:lang w:val="fr-CA"/>
        </w:rPr>
        <w:t>À notre avis, lorsque l’instance porte à la fois sur des questions visées par une convention d’arbitrage et d’autres questions qui ne le sont pas, le par. 7(5) investit le juge du pouvoir discrétionnaire de permettre que toute l’instance se poursuive devant le tribunal, même si certaines parties sont par ailleurs assujetties à une clause d’arbitrage.</w:t>
      </w:r>
    </w:p>
    <w:p w:rsidR="00B618DD" w:rsidRPr="00120D77" w:rsidRDefault="00B618DD" w:rsidP="009900A1">
      <w:pPr>
        <w:pStyle w:val="Title1LevelTitre1Niveau-AltL"/>
        <w:numPr>
          <w:ilvl w:val="0"/>
          <w:numId w:val="0"/>
        </w:numPr>
        <w:spacing w:after="480" w:line="480" w:lineRule="auto"/>
        <w:rPr>
          <w:rFonts w:cs="Times New Roman"/>
          <w:lang w:val="fr-CA"/>
        </w:rPr>
      </w:pPr>
      <w:r w:rsidRPr="00120D77">
        <w:rPr>
          <w:rFonts w:cs="Times New Roman"/>
          <w:lang w:val="fr-CA"/>
        </w:rPr>
        <w:t>Contexte</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Il est allégué que TELUS, un fournisseur de services de téléphonie cellulaire canadien, a pendant un certain nombre d’années, et sans en aviser ses clients, arrondi à la minute suivante la durée des appels faits au moyen d’un téléphone cellulaire. Cette pratique a donné lieu à une facturation excessive de petits montants sur les factures mensuelles des clients.</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 xml:space="preserve">TELUS utilisait le même contrat type pour les clients commerciaux et les clients consommateurs, qui ont intenté ensemble un recours collectif contre elle. Le demandeur désigné dans le présent pourvoi, </w:t>
      </w:r>
      <w:proofErr w:type="spellStart"/>
      <w:r w:rsidRPr="00120D77">
        <w:rPr>
          <w:rFonts w:eastAsia="Times New Roman" w:cs="Times New Roman"/>
          <w:lang w:val="fr-CA"/>
        </w:rPr>
        <w:t>Avraham</w:t>
      </w:r>
      <w:proofErr w:type="spellEnd"/>
      <w:r w:rsidRPr="00120D77">
        <w:rPr>
          <w:rFonts w:eastAsia="Times New Roman" w:cs="Times New Roman"/>
          <w:lang w:val="fr-CA"/>
        </w:rPr>
        <w:t> </w:t>
      </w:r>
      <w:proofErr w:type="spellStart"/>
      <w:r w:rsidRPr="00120D77">
        <w:rPr>
          <w:rFonts w:eastAsia="Times New Roman" w:cs="Times New Roman"/>
          <w:lang w:val="fr-CA"/>
        </w:rPr>
        <w:t>Wellman</w:t>
      </w:r>
      <w:proofErr w:type="spellEnd"/>
      <w:r w:rsidRPr="00120D77">
        <w:rPr>
          <w:rFonts w:eastAsia="Times New Roman" w:cs="Times New Roman"/>
          <w:lang w:val="fr-CA"/>
        </w:rPr>
        <w:t>, est un consommateur et représente le groupe.</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Le contrat type de TELUS est non négociable. Il contient une clause de règlement des différends exigeant la médiation ou, à défaut de règlement, l’arbitrage de tous les différends, sauf en ce qui concerne le recouvrement de créances par TELUS. Cette clause d’arbitrage ne s’applique pas aux consommateurs parce que la loi sur la protection du consommateur de l’Ontario invalide les clauses d’arbitrage dans les contrats de consommation dans la mesure où celles</w:t>
      </w:r>
      <w:r w:rsidRPr="00120D77">
        <w:rPr>
          <w:rFonts w:eastAsia="Times New Roman" w:cs="Times New Roman"/>
          <w:lang w:val="fr-CA"/>
        </w:rPr>
        <w:noBreakHyphen/>
        <w:t>ci empêchent le consommateur d’introduire une instance judiciaire (</w:t>
      </w:r>
      <w:r w:rsidRPr="00120D77">
        <w:rPr>
          <w:rFonts w:eastAsia="Times New Roman" w:cs="Times New Roman"/>
          <w:i/>
          <w:lang w:val="fr-CA"/>
        </w:rPr>
        <w:t>Loi de 2002 sur la protection du consommateur</w:t>
      </w:r>
      <w:r>
        <w:rPr>
          <w:rFonts w:eastAsia="Times New Roman" w:cs="Times New Roman"/>
          <w:lang w:val="fr-CA"/>
        </w:rPr>
        <w:t xml:space="preserve">, L.O. 2002, c. 30, </w:t>
      </w:r>
      <w:proofErr w:type="spellStart"/>
      <w:r>
        <w:rPr>
          <w:rFonts w:eastAsia="Times New Roman" w:cs="Times New Roman"/>
          <w:lang w:val="fr-CA"/>
        </w:rPr>
        <w:t>a</w:t>
      </w:r>
      <w:r w:rsidRPr="00120D77">
        <w:rPr>
          <w:rFonts w:eastAsia="Times New Roman" w:cs="Times New Roman"/>
          <w:lang w:val="fr-CA"/>
        </w:rPr>
        <w:t>nn</w:t>
      </w:r>
      <w:proofErr w:type="spellEnd"/>
      <w:r w:rsidRPr="00120D77">
        <w:rPr>
          <w:rFonts w:eastAsia="Times New Roman" w:cs="Times New Roman"/>
          <w:lang w:val="fr-CA"/>
        </w:rPr>
        <w:t>. A, art. 7).</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À première vue, la clause d’arbitrage est valide pour les clients commerciaux. C’est pourquoi TELUS a demandé au tribunal de surseoir aux réclamations des clients commerciaux et de les radier du recours collectif, au motif que ces réclamations devaient être soumises à l’arbitrage.</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 xml:space="preserve">Les dispositions de la </w:t>
      </w:r>
      <w:r w:rsidRPr="00120D77">
        <w:rPr>
          <w:rFonts w:eastAsia="Times New Roman" w:cs="Times New Roman"/>
          <w:i/>
          <w:lang w:val="fr-CA"/>
        </w:rPr>
        <w:t>Loi de 1991 sur l’arbitrage</w:t>
      </w:r>
      <w:r w:rsidRPr="00120D77">
        <w:rPr>
          <w:rFonts w:eastAsia="Times New Roman" w:cs="Times New Roman"/>
          <w:lang w:val="fr-CA"/>
        </w:rPr>
        <w:t xml:space="preserve"> traitant du sursis figurent à l’art. 7, qui </w:t>
      </w:r>
      <w:proofErr w:type="gramStart"/>
      <w:r w:rsidRPr="00120D77">
        <w:rPr>
          <w:rFonts w:eastAsia="Times New Roman" w:cs="Times New Roman"/>
          <w:lang w:val="fr-CA"/>
        </w:rPr>
        <w:t>est</w:t>
      </w:r>
      <w:proofErr w:type="gramEnd"/>
      <w:r w:rsidRPr="00120D77">
        <w:rPr>
          <w:rFonts w:eastAsia="Times New Roman" w:cs="Times New Roman"/>
          <w:lang w:val="fr-CA"/>
        </w:rPr>
        <w:t xml:space="preserve"> ainsi rédigé :</w:t>
      </w:r>
    </w:p>
    <w:p w:rsidR="00B618DD" w:rsidRPr="00120D77" w:rsidRDefault="00B618DD" w:rsidP="00B618DD">
      <w:pPr>
        <w:pStyle w:val="Citation-AltC"/>
        <w:spacing w:after="240"/>
        <w:ind w:hanging="1166"/>
        <w:contextualSpacing w:val="0"/>
        <w:rPr>
          <w:b/>
          <w:lang w:val="fr-CA"/>
        </w:rPr>
      </w:pPr>
      <w:r w:rsidRPr="00120D77">
        <w:rPr>
          <w:b/>
          <w:lang w:val="fr-CA"/>
        </w:rPr>
        <w:tab/>
        <w:t>Sursis</w:t>
      </w:r>
    </w:p>
    <w:p w:rsidR="00B618DD" w:rsidRPr="00120D77" w:rsidRDefault="00B618DD" w:rsidP="00B618DD">
      <w:pPr>
        <w:pStyle w:val="Citation-AltC"/>
        <w:tabs>
          <w:tab w:val="left" w:pos="1843"/>
        </w:tabs>
        <w:spacing w:after="240"/>
        <w:ind w:hanging="1166"/>
        <w:contextualSpacing w:val="0"/>
        <w:rPr>
          <w:lang w:val="fr-CA"/>
        </w:rPr>
      </w:pPr>
      <w:r w:rsidRPr="00120D77">
        <w:rPr>
          <w:b/>
          <w:lang w:val="fr-CA"/>
        </w:rPr>
        <w:tab/>
        <w:t>7</w:t>
      </w:r>
      <w:r w:rsidRPr="00120D77">
        <w:rPr>
          <w:lang w:val="fr-CA"/>
        </w:rPr>
        <w:t xml:space="preserve"> (1)</w:t>
      </w:r>
      <w:r w:rsidRPr="00120D77">
        <w:rPr>
          <w:lang w:val="fr-FR"/>
        </w:rPr>
        <w:t xml:space="preserve"> Si une partie à une convention d’arbitrage introduit une instance à l’égard d’une question que la convention oblige à soumettre à l’arbitrage, le tribunal judiciaire devant lequel l’instance est introduite doit, sur la motion d’une autre partie à la convention d’arbitrage, surseoir à l’instance</w:t>
      </w:r>
      <w:r w:rsidRPr="00120D77">
        <w:rPr>
          <w:lang w:val="fr-CA"/>
        </w:rPr>
        <w:t>.</w:t>
      </w:r>
    </w:p>
    <w:p w:rsidR="00B618DD" w:rsidRPr="00120D77" w:rsidRDefault="00B618DD" w:rsidP="00B618DD">
      <w:pPr>
        <w:pStyle w:val="Citation-AltC"/>
        <w:spacing w:after="240"/>
        <w:ind w:hanging="1166"/>
        <w:contextualSpacing w:val="0"/>
        <w:rPr>
          <w:b/>
          <w:lang w:val="fr-CA"/>
        </w:rPr>
      </w:pPr>
      <w:r w:rsidRPr="00120D77">
        <w:rPr>
          <w:b/>
          <w:lang w:val="fr-CA"/>
        </w:rPr>
        <w:tab/>
        <w:t>Exceptions</w:t>
      </w:r>
    </w:p>
    <w:p w:rsidR="00B618DD" w:rsidRPr="00120D77" w:rsidRDefault="00B618DD" w:rsidP="00B618DD">
      <w:pPr>
        <w:pStyle w:val="Citation-AltC"/>
        <w:spacing w:after="240"/>
        <w:ind w:hanging="1166"/>
        <w:contextualSpacing w:val="0"/>
        <w:rPr>
          <w:lang w:val="fr-FR"/>
        </w:rPr>
      </w:pPr>
      <w:r w:rsidRPr="00120D77">
        <w:rPr>
          <w:lang w:val="fr-CA"/>
        </w:rPr>
        <w:tab/>
        <w:t>(2)</w:t>
      </w:r>
      <w:r w:rsidRPr="00120D77">
        <w:rPr>
          <w:lang w:val="fr-FR"/>
        </w:rPr>
        <w:t xml:space="preserve"> Cependant, le tribunal judiciaire peut refuser de surseoir à l’instance dans l’un ou l’autre des cas suivants :</w:t>
      </w:r>
    </w:p>
    <w:p w:rsidR="00B618DD" w:rsidRDefault="00B618DD" w:rsidP="00B618DD">
      <w:pPr>
        <w:pStyle w:val="Citation-AltC"/>
        <w:tabs>
          <w:tab w:val="left" w:pos="1800"/>
        </w:tabs>
        <w:spacing w:after="240"/>
        <w:ind w:left="1530" w:hanging="450"/>
        <w:rPr>
          <w:lang w:val="fr-CA"/>
        </w:rPr>
      </w:pPr>
      <w:r w:rsidRPr="00120D77">
        <w:rPr>
          <w:lang w:val="fr-FR"/>
        </w:rPr>
        <w:tab/>
      </w:r>
      <w:r w:rsidRPr="00120D77">
        <w:rPr>
          <w:lang w:val="fr-CA"/>
        </w:rPr>
        <w:t xml:space="preserve">1. </w:t>
      </w:r>
      <w:r w:rsidRPr="00120D77">
        <w:rPr>
          <w:lang w:val="fr-FR"/>
        </w:rPr>
        <w:t>Une partie a conclu la convention d’arbitrage alors qu’elle était frappée d’incapacité juridique</w:t>
      </w:r>
      <w:r w:rsidRPr="00120D77">
        <w:rPr>
          <w:lang w:val="fr-CA"/>
        </w:rPr>
        <w:t>.</w:t>
      </w:r>
    </w:p>
    <w:p w:rsidR="00B618DD" w:rsidRPr="00120D77" w:rsidRDefault="00B618DD" w:rsidP="00B618DD">
      <w:pPr>
        <w:pStyle w:val="Citation-AltC"/>
        <w:tabs>
          <w:tab w:val="left" w:pos="1800"/>
        </w:tabs>
        <w:spacing w:after="240"/>
        <w:ind w:left="1530" w:hanging="450"/>
        <w:rPr>
          <w:lang w:val="fr-CA"/>
        </w:rPr>
      </w:pPr>
    </w:p>
    <w:p w:rsidR="00B618DD" w:rsidRDefault="00B618DD" w:rsidP="00B618DD">
      <w:pPr>
        <w:pStyle w:val="Citation-AltC"/>
        <w:spacing w:after="240"/>
        <w:ind w:left="1530" w:hanging="450"/>
        <w:rPr>
          <w:lang w:val="fr-CA"/>
        </w:rPr>
      </w:pPr>
      <w:r w:rsidRPr="00120D77">
        <w:rPr>
          <w:lang w:val="fr-CA"/>
        </w:rPr>
        <w:tab/>
        <w:t xml:space="preserve">2. </w:t>
      </w:r>
      <w:r w:rsidRPr="00120D77">
        <w:rPr>
          <w:lang w:val="fr-FR"/>
        </w:rPr>
        <w:t>La convention d’arbitrage est nulle</w:t>
      </w:r>
      <w:r w:rsidRPr="00120D77">
        <w:rPr>
          <w:lang w:val="fr-CA"/>
        </w:rPr>
        <w:t>.</w:t>
      </w:r>
    </w:p>
    <w:p w:rsidR="00B618DD" w:rsidRPr="00120D77" w:rsidRDefault="00B618DD" w:rsidP="00B618DD">
      <w:pPr>
        <w:pStyle w:val="Citation-AltC"/>
        <w:spacing w:after="240"/>
        <w:ind w:left="1530" w:hanging="450"/>
        <w:rPr>
          <w:lang w:val="fr-CA"/>
        </w:rPr>
      </w:pPr>
    </w:p>
    <w:p w:rsidR="00B618DD" w:rsidRDefault="00B618DD" w:rsidP="00B618DD">
      <w:pPr>
        <w:pStyle w:val="Citation-AltC"/>
        <w:tabs>
          <w:tab w:val="left" w:pos="1985"/>
        </w:tabs>
        <w:spacing w:after="240"/>
        <w:ind w:left="1530" w:hanging="450"/>
        <w:rPr>
          <w:lang w:val="fr-CA"/>
        </w:rPr>
      </w:pPr>
      <w:r w:rsidRPr="00120D77">
        <w:rPr>
          <w:lang w:val="fr-CA"/>
        </w:rPr>
        <w:tab/>
        <w:t xml:space="preserve">3. </w:t>
      </w:r>
      <w:r w:rsidRPr="00120D77">
        <w:rPr>
          <w:lang w:val="fr-FR"/>
        </w:rPr>
        <w:t>L’objet du différend ne peut faire l’objet d’un arbitrage aux termes des lois de l’Ontario</w:t>
      </w:r>
      <w:r w:rsidRPr="00120D77">
        <w:rPr>
          <w:lang w:val="fr-CA"/>
        </w:rPr>
        <w:t>.</w:t>
      </w:r>
    </w:p>
    <w:p w:rsidR="00B618DD" w:rsidRPr="00120D77" w:rsidRDefault="00B618DD" w:rsidP="00B618DD">
      <w:pPr>
        <w:pStyle w:val="Citation-AltC"/>
        <w:tabs>
          <w:tab w:val="left" w:pos="1985"/>
        </w:tabs>
        <w:spacing w:after="240"/>
        <w:ind w:left="1530" w:hanging="450"/>
        <w:rPr>
          <w:lang w:val="fr-CA"/>
        </w:rPr>
      </w:pPr>
    </w:p>
    <w:p w:rsidR="00B618DD" w:rsidRDefault="00B618DD" w:rsidP="00B618DD">
      <w:pPr>
        <w:pStyle w:val="Citation-AltC"/>
        <w:spacing w:after="240"/>
        <w:ind w:left="1530" w:hanging="450"/>
        <w:rPr>
          <w:lang w:val="fr-CA"/>
        </w:rPr>
      </w:pPr>
      <w:r w:rsidRPr="00120D77">
        <w:rPr>
          <w:lang w:val="fr-CA"/>
        </w:rPr>
        <w:tab/>
        <w:t xml:space="preserve">4. </w:t>
      </w:r>
      <w:r w:rsidRPr="00120D77">
        <w:rPr>
          <w:lang w:val="fr-FR"/>
        </w:rPr>
        <w:t>La motion a été présentée avec un retard indu</w:t>
      </w:r>
      <w:r w:rsidRPr="00120D77">
        <w:rPr>
          <w:lang w:val="fr-CA"/>
        </w:rPr>
        <w:t>.</w:t>
      </w:r>
    </w:p>
    <w:p w:rsidR="00B618DD" w:rsidRPr="00120D77" w:rsidRDefault="00B618DD" w:rsidP="00B618DD">
      <w:pPr>
        <w:pStyle w:val="Citation-AltC"/>
        <w:spacing w:after="240"/>
        <w:ind w:left="1530" w:hanging="450"/>
        <w:rPr>
          <w:lang w:val="fr-CA"/>
        </w:rPr>
      </w:pPr>
    </w:p>
    <w:p w:rsidR="00B618DD" w:rsidRPr="00120D77" w:rsidRDefault="00B618DD" w:rsidP="00B618DD">
      <w:pPr>
        <w:pStyle w:val="Citation-AltC"/>
        <w:spacing w:after="240"/>
        <w:ind w:left="1530" w:hanging="450"/>
        <w:contextualSpacing w:val="0"/>
        <w:rPr>
          <w:lang w:val="fr-CA"/>
        </w:rPr>
      </w:pPr>
      <w:r w:rsidRPr="00120D77">
        <w:rPr>
          <w:lang w:val="fr-CA"/>
        </w:rPr>
        <w:tab/>
        <w:t xml:space="preserve">5. </w:t>
      </w:r>
      <w:r w:rsidRPr="00120D77">
        <w:rPr>
          <w:lang w:val="fr-FR"/>
        </w:rPr>
        <w:t>La question est propre à un jugement par défaut ou à un jugement sommaire</w:t>
      </w:r>
      <w:r w:rsidRPr="00120D77">
        <w:rPr>
          <w:lang w:val="fr-CA"/>
        </w:rPr>
        <w:t>.</w:t>
      </w:r>
    </w:p>
    <w:p w:rsidR="00B618DD" w:rsidRDefault="00B618DD" w:rsidP="00B618DD">
      <w:pPr>
        <w:pStyle w:val="Citation-AltC"/>
        <w:spacing w:after="240"/>
        <w:ind w:hanging="1166"/>
        <w:rPr>
          <w:b/>
          <w:bCs/>
          <w:lang w:val="fr-CA"/>
        </w:rPr>
      </w:pPr>
      <w:r w:rsidRPr="00120D77">
        <w:rPr>
          <w:b/>
          <w:bCs/>
          <w:lang w:val="fr-CA"/>
        </w:rPr>
        <w:tab/>
        <w:t>Poursuite de l’arbitrage</w:t>
      </w:r>
    </w:p>
    <w:p w:rsidR="00B618DD" w:rsidRPr="00120D77" w:rsidRDefault="00B618DD" w:rsidP="00B618DD">
      <w:pPr>
        <w:pStyle w:val="Citation-AltC"/>
        <w:spacing w:after="240"/>
        <w:ind w:hanging="1166"/>
        <w:rPr>
          <w:b/>
          <w:bCs/>
          <w:lang w:val="fr-CA"/>
        </w:rPr>
      </w:pPr>
    </w:p>
    <w:p w:rsidR="00B618DD" w:rsidRPr="00120D77" w:rsidRDefault="00B618DD" w:rsidP="00B618DD">
      <w:pPr>
        <w:pStyle w:val="Citation-AltC"/>
        <w:spacing w:after="240"/>
        <w:ind w:hanging="806"/>
        <w:contextualSpacing w:val="0"/>
        <w:rPr>
          <w:lang w:val="fr-CA"/>
        </w:rPr>
      </w:pPr>
      <w:r w:rsidRPr="00120D77">
        <w:rPr>
          <w:lang w:val="fr-CA"/>
        </w:rPr>
        <w:tab/>
        <w:t>(3)</w:t>
      </w:r>
      <w:r w:rsidRPr="00120D77">
        <w:rPr>
          <w:lang w:val="fr-FR"/>
        </w:rPr>
        <w:t xml:space="preserve"> L’arbitrage du différend peut être engagé et poursuivi pendant que la motion est devant le tribunal judiciaire</w:t>
      </w:r>
      <w:r w:rsidRPr="00120D77">
        <w:rPr>
          <w:lang w:val="fr-CA"/>
        </w:rPr>
        <w:t>.</w:t>
      </w:r>
    </w:p>
    <w:p w:rsidR="00B618DD" w:rsidRPr="00120D77" w:rsidRDefault="00B618DD" w:rsidP="00B618DD">
      <w:pPr>
        <w:pStyle w:val="Citation-AltC"/>
        <w:spacing w:after="240"/>
        <w:ind w:hanging="806"/>
        <w:contextualSpacing w:val="0"/>
        <w:rPr>
          <w:b/>
          <w:bCs/>
          <w:lang w:val="fr-FR"/>
        </w:rPr>
      </w:pPr>
      <w:r w:rsidRPr="00120D77">
        <w:rPr>
          <w:b/>
          <w:bCs/>
          <w:lang w:val="fr-FR"/>
        </w:rPr>
        <w:tab/>
        <w:t>Conséquences du refus de surseoir</w:t>
      </w:r>
    </w:p>
    <w:p w:rsidR="00B618DD" w:rsidRPr="00120D77" w:rsidRDefault="00B618DD" w:rsidP="00B618DD">
      <w:pPr>
        <w:pStyle w:val="Citation-AltC"/>
        <w:spacing w:after="240"/>
        <w:ind w:hanging="806"/>
        <w:contextualSpacing w:val="0"/>
        <w:rPr>
          <w:lang w:val="fr-FR"/>
        </w:rPr>
      </w:pPr>
      <w:r w:rsidRPr="00120D77">
        <w:rPr>
          <w:lang w:val="fr-CA"/>
        </w:rPr>
        <w:tab/>
        <w:t xml:space="preserve">(4) </w:t>
      </w:r>
      <w:r w:rsidRPr="00120D77">
        <w:rPr>
          <w:lang w:val="fr-FR"/>
        </w:rPr>
        <w:t>Si le tribunal judiciaire refuse de surseoir à l’instance :</w:t>
      </w:r>
    </w:p>
    <w:p w:rsidR="00B618DD" w:rsidRPr="00120D77" w:rsidRDefault="00B618DD" w:rsidP="00B618DD">
      <w:pPr>
        <w:pStyle w:val="Citation-AltC"/>
        <w:spacing w:after="240"/>
        <w:ind w:left="1710" w:hanging="810"/>
        <w:contextualSpacing w:val="0"/>
        <w:rPr>
          <w:lang w:val="fr-FR"/>
        </w:rPr>
      </w:pPr>
      <w:r w:rsidRPr="00120D77">
        <w:rPr>
          <w:lang w:val="fr-CA"/>
        </w:rPr>
        <w:tab/>
        <w:t xml:space="preserve">a) </w:t>
      </w:r>
      <w:r w:rsidRPr="00120D77">
        <w:rPr>
          <w:lang w:val="fr-FR"/>
        </w:rPr>
        <w:t>d’une part, aucun arbitrage du différend ne peut être engagé;</w:t>
      </w:r>
    </w:p>
    <w:p w:rsidR="00B618DD" w:rsidRPr="00120D77" w:rsidRDefault="00B618DD" w:rsidP="00B618DD">
      <w:pPr>
        <w:pStyle w:val="Citation-AltC"/>
        <w:spacing w:after="240"/>
        <w:ind w:left="1710" w:hanging="810"/>
        <w:contextualSpacing w:val="0"/>
        <w:rPr>
          <w:lang w:val="fr-CA"/>
        </w:rPr>
      </w:pPr>
      <w:r w:rsidRPr="00120D77">
        <w:rPr>
          <w:lang w:val="fr-CA"/>
        </w:rPr>
        <w:tab/>
        <w:t>b)</w:t>
      </w:r>
      <w:r w:rsidRPr="00120D77">
        <w:rPr>
          <w:lang w:val="fr-FR"/>
        </w:rPr>
        <w:t xml:space="preserve"> d’autre part, l’arbitrage qui a été engagé ne peut être poursuivi, et tout ce qui a été fait dans le cadre de l’arbitrage avant que le tribunal judiciaire ne rende sa décision est sans effet</w:t>
      </w:r>
      <w:r w:rsidRPr="00120D77">
        <w:rPr>
          <w:lang w:val="fr-CA"/>
        </w:rPr>
        <w:t>.</w:t>
      </w:r>
    </w:p>
    <w:p w:rsidR="00B618DD" w:rsidRPr="00120D77" w:rsidRDefault="00B618DD" w:rsidP="00B618DD">
      <w:pPr>
        <w:pStyle w:val="Citation-AltC"/>
        <w:spacing w:after="240"/>
        <w:ind w:hanging="806"/>
        <w:contextualSpacing w:val="0"/>
        <w:rPr>
          <w:b/>
          <w:lang w:val="fr-FR"/>
        </w:rPr>
      </w:pPr>
      <w:r w:rsidRPr="00120D77">
        <w:rPr>
          <w:b/>
          <w:lang w:val="fr-FR"/>
        </w:rPr>
        <w:tab/>
        <w:t>Convention s’appliquant à une partie du différend</w:t>
      </w:r>
    </w:p>
    <w:p w:rsidR="00B618DD" w:rsidRPr="00120D77" w:rsidRDefault="00B618DD" w:rsidP="00B618DD">
      <w:pPr>
        <w:pStyle w:val="Citation-AltC"/>
        <w:spacing w:after="240"/>
        <w:ind w:hanging="806"/>
        <w:contextualSpacing w:val="0"/>
        <w:rPr>
          <w:lang w:val="fr-FR"/>
        </w:rPr>
      </w:pPr>
      <w:r w:rsidRPr="00120D77">
        <w:rPr>
          <w:lang w:val="fr-CA"/>
        </w:rPr>
        <w:tab/>
        <w:t xml:space="preserve">(5) </w:t>
      </w:r>
      <w:r w:rsidRPr="00120D77">
        <w:rPr>
          <w:lang w:val="fr-FR"/>
        </w:rPr>
        <w:t>Le tribunal judiciaire peut surseoir à l’instance en ce qui touche les questions traitées dans la convention d’arbitrage et permettre qu’elle se poursuive en ce qui touche les autres questions, s’il constate :</w:t>
      </w:r>
    </w:p>
    <w:p w:rsidR="00B618DD" w:rsidRPr="00120D77" w:rsidRDefault="00B618DD" w:rsidP="00B618DD">
      <w:pPr>
        <w:pStyle w:val="Citation-AltC"/>
        <w:spacing w:after="240"/>
        <w:ind w:left="1710" w:hanging="810"/>
        <w:contextualSpacing w:val="0"/>
        <w:rPr>
          <w:lang w:val="fr-FR"/>
        </w:rPr>
      </w:pPr>
      <w:r w:rsidRPr="00120D77">
        <w:rPr>
          <w:lang w:val="fr-CA"/>
        </w:rPr>
        <w:tab/>
        <w:t xml:space="preserve">a) </w:t>
      </w:r>
      <w:r w:rsidRPr="00120D77">
        <w:rPr>
          <w:lang w:val="fr-FR"/>
        </w:rPr>
        <w:t>d’une part, que la convention ne traite que de certaines des questions à l’égard desquelles l’instance a été introduite;</w:t>
      </w:r>
    </w:p>
    <w:p w:rsidR="00B618DD" w:rsidRPr="00120D77" w:rsidRDefault="00B618DD" w:rsidP="00B618DD">
      <w:pPr>
        <w:pStyle w:val="Citation-AltC"/>
        <w:ind w:left="1714" w:hanging="814"/>
        <w:contextualSpacing w:val="0"/>
        <w:rPr>
          <w:lang w:val="fr-CA"/>
        </w:rPr>
      </w:pPr>
      <w:r w:rsidRPr="00120D77">
        <w:rPr>
          <w:lang w:val="fr-CA"/>
        </w:rPr>
        <w:tab/>
        <w:t>b)</w:t>
      </w:r>
      <w:r w:rsidRPr="00120D77">
        <w:rPr>
          <w:lang w:val="fr-FR"/>
        </w:rPr>
        <w:t xml:space="preserve"> d’autre part, qu’il est raisonnable de dissocier les questions traitées dans la convention des autres questions</w:t>
      </w:r>
      <w:r w:rsidRPr="00120D77">
        <w:rPr>
          <w:lang w:val="fr-CA"/>
        </w:rPr>
        <w:t>.</w:t>
      </w:r>
    </w:p>
    <w:p w:rsidR="00B618DD" w:rsidRPr="00120D77" w:rsidRDefault="00B618DD" w:rsidP="00B618DD">
      <w:pPr>
        <w:pStyle w:val="ParaNoNdepar-AltN"/>
        <w:rPr>
          <w:rFonts w:cs="Times New Roman"/>
          <w:lang w:val="fr-CA"/>
        </w:rPr>
      </w:pPr>
      <w:r w:rsidRPr="00120D77">
        <w:rPr>
          <w:rFonts w:eastAsia="Times New Roman" w:cs="Times New Roman"/>
          <w:lang w:val="fr-CA"/>
        </w:rPr>
        <w:t xml:space="preserve">Comme il a déjà été mentionné, la disposition en cause dans le présent pourvoi est le par. 7(5), que les tribunaux ontariens ont </w:t>
      </w:r>
      <w:proofErr w:type="gramStart"/>
      <w:r w:rsidRPr="00120D77">
        <w:rPr>
          <w:rFonts w:eastAsia="Times New Roman" w:cs="Times New Roman"/>
          <w:lang w:val="fr-CA"/>
        </w:rPr>
        <w:t>interprété</w:t>
      </w:r>
      <w:proofErr w:type="gramEnd"/>
      <w:r w:rsidRPr="00120D77">
        <w:rPr>
          <w:rFonts w:eastAsia="Times New Roman" w:cs="Times New Roman"/>
          <w:lang w:val="fr-CA"/>
        </w:rPr>
        <w:t xml:space="preserve"> comme permettant aux clients commerciaux qui seraient par ailleurs liés par une convention d’arbitrage de participer à des recours collectifs avec les consommateurs.</w:t>
      </w:r>
    </w:p>
    <w:p w:rsidR="00B618DD" w:rsidRPr="00120D77" w:rsidRDefault="00B618DD" w:rsidP="00B618DD">
      <w:pPr>
        <w:pStyle w:val="ParaNoNdepar-AltN"/>
        <w:rPr>
          <w:rFonts w:cs="Times New Roman"/>
          <w:lang w:val="fr-CA"/>
        </w:rPr>
      </w:pPr>
      <w:r w:rsidRPr="00120D77">
        <w:rPr>
          <w:rFonts w:eastAsia="Times New Roman" w:cs="Times New Roman"/>
          <w:lang w:val="fr-CA"/>
        </w:rPr>
        <w:t xml:space="preserve">Tant la juge des requêtes que les juges majoritaires de la Cour d’appel en l’espèce se sont fondés sur l’arrêt </w:t>
      </w:r>
      <w:r w:rsidRPr="00120D77">
        <w:rPr>
          <w:rFonts w:eastAsia="Times New Roman" w:cs="Times New Roman"/>
          <w:i/>
          <w:lang w:val="fr-CA"/>
        </w:rPr>
        <w:t>Griffin c. Dell Canada Inc.</w:t>
      </w:r>
      <w:r w:rsidRPr="00120D77">
        <w:rPr>
          <w:rFonts w:eastAsia="Times New Roman" w:cs="Times New Roman"/>
          <w:lang w:val="fr-CA"/>
        </w:rPr>
        <w:t>,</w:t>
      </w:r>
      <w:r w:rsidRPr="00120D77">
        <w:rPr>
          <w:rFonts w:eastAsia="Times New Roman" w:cs="Times New Roman"/>
          <w:i/>
          <w:lang w:val="fr-CA"/>
        </w:rPr>
        <w:t xml:space="preserve"> </w:t>
      </w:r>
      <w:r>
        <w:rPr>
          <w:rFonts w:eastAsia="Times New Roman" w:cs="Times New Roman"/>
          <w:lang w:val="fr-CA"/>
        </w:rPr>
        <w:t>2010 ONCA 29, 98 O.R. (3d) 481</w:t>
      </w:r>
      <w:r w:rsidRPr="00120D77">
        <w:rPr>
          <w:rFonts w:eastAsia="Times New Roman" w:cs="Times New Roman"/>
          <w:lang w:val="fr-CA"/>
        </w:rPr>
        <w:t>, qui a été rendu par une formation de cinq juges de la Cour d’appel de l’Ontario</w:t>
      </w:r>
      <w:r w:rsidRPr="00120D77">
        <w:rPr>
          <w:rFonts w:cs="Times New Roman"/>
          <w:lang w:val="fr-CA"/>
        </w:rPr>
        <w:t xml:space="preserve">. </w:t>
      </w:r>
      <w:proofErr w:type="spellStart"/>
      <w:r w:rsidRPr="00120D77">
        <w:rPr>
          <w:rFonts w:eastAsia="Times New Roman" w:cs="Times New Roman"/>
          <w:lang w:val="fr-CA"/>
        </w:rPr>
        <w:t>Thaddeus</w:t>
      </w:r>
      <w:proofErr w:type="spellEnd"/>
      <w:r w:rsidRPr="00120D77">
        <w:rPr>
          <w:rFonts w:eastAsia="Times New Roman" w:cs="Times New Roman"/>
          <w:lang w:val="fr-CA"/>
        </w:rPr>
        <w:t> Griffin, qui avait acheté un ordinateur bloc</w:t>
      </w:r>
      <w:r w:rsidRPr="00120D77">
        <w:rPr>
          <w:rFonts w:eastAsia="Times New Roman" w:cs="Times New Roman"/>
          <w:lang w:val="fr-CA"/>
        </w:rPr>
        <w:noBreakHyphen/>
        <w:t>notes Dell par l’intermédiaire de son entreprise personnelle, a participé avec des consommateurs à un recours collectif dans lequel ceux</w:t>
      </w:r>
      <w:r w:rsidRPr="00120D77">
        <w:rPr>
          <w:rFonts w:eastAsia="Times New Roman" w:cs="Times New Roman"/>
          <w:lang w:val="fr-CA"/>
        </w:rPr>
        <w:noBreakHyphen/>
        <w:t xml:space="preserve">ci soutenaient que les produits Dell étaient défectueux. Le contrat de vente type de </w:t>
      </w:r>
      <w:r w:rsidRPr="00120D77">
        <w:rPr>
          <w:rFonts w:cs="Times New Roman"/>
          <w:lang w:val="fr-CA"/>
        </w:rPr>
        <w:t>Dell contenait une clause exigeant que tous les différends soient soumis à l’arbitrage.</w:t>
      </w:r>
    </w:p>
    <w:p w:rsidR="00B618DD" w:rsidRPr="00120D77" w:rsidRDefault="00B618DD" w:rsidP="00B618DD">
      <w:pPr>
        <w:pStyle w:val="ParaNoNdepar-AltN"/>
        <w:rPr>
          <w:rFonts w:cs="Times New Roman"/>
          <w:lang w:val="fr-CA"/>
        </w:rPr>
      </w:pPr>
      <w:r w:rsidRPr="00120D77">
        <w:rPr>
          <w:rFonts w:cs="Times New Roman"/>
          <w:lang w:val="fr-CA"/>
        </w:rPr>
        <w:t>À l’étape de la certification, Dell a soutenu que les clients commerciaux ne devraient pas être autorisés à participer au recours collectif avec les consommateurs, et que leurs réclamations devraient faire l’objet d’un sursis et être renvoyées à l’arbitrage individuel. La juge </w:t>
      </w:r>
      <w:proofErr w:type="spellStart"/>
      <w:r w:rsidRPr="00120D77">
        <w:rPr>
          <w:rFonts w:cs="Times New Roman"/>
          <w:lang w:val="fr-CA"/>
        </w:rPr>
        <w:t>Lax</w:t>
      </w:r>
      <w:proofErr w:type="spellEnd"/>
      <w:r w:rsidRPr="00120D77">
        <w:rPr>
          <w:rFonts w:cs="Times New Roman"/>
          <w:lang w:val="fr-CA"/>
        </w:rPr>
        <w:t xml:space="preserve"> a estimé qu’il était [</w:t>
      </w:r>
      <w:r w:rsidRPr="00120D77">
        <w:rPr>
          <w:rFonts w:cs="Times New Roman"/>
          <w:smallCaps/>
          <w:lang w:val="fr-CA"/>
        </w:rPr>
        <w:t>traduction</w:t>
      </w:r>
      <w:r w:rsidRPr="00120D77">
        <w:rPr>
          <w:rFonts w:cs="Times New Roman"/>
          <w:lang w:val="fr-CA"/>
        </w:rPr>
        <w:t>] « fantaisiste de croire qu’un demandeur pourrait présenter une réclamation individuelle dans une affaire complexe de responsabilité du fabricant » et que l’application de la clause d’arbitrage de Dell aurait pour effet que celle</w:t>
      </w:r>
      <w:r w:rsidRPr="00120D77">
        <w:rPr>
          <w:rFonts w:cs="Times New Roman"/>
          <w:lang w:val="fr-CA"/>
        </w:rPr>
        <w:noBreakHyphen/>
        <w:t>ci serait immunisée contre l’obligation de [</w:t>
      </w:r>
      <w:r w:rsidRPr="00120D77">
        <w:rPr>
          <w:rFonts w:cs="Times New Roman"/>
          <w:smallCaps/>
          <w:lang w:val="fr-CA"/>
        </w:rPr>
        <w:t>traduction</w:t>
      </w:r>
      <w:r w:rsidRPr="00120D77">
        <w:rPr>
          <w:rFonts w:cs="Times New Roman"/>
          <w:lang w:val="fr-CA"/>
        </w:rPr>
        <w:t>] « rendre des comptes aux membres du groupe  concernant le tort qu’elle a pu causer » (</w:t>
      </w:r>
      <w:r w:rsidRPr="00120D77">
        <w:rPr>
          <w:rFonts w:cs="Times New Roman"/>
          <w:i/>
          <w:lang w:val="fr-CA"/>
        </w:rPr>
        <w:t>Griffin c. Dell Canada Inc.</w:t>
      </w:r>
      <w:r w:rsidRPr="00120D77">
        <w:rPr>
          <w:rFonts w:cs="Times New Roman"/>
          <w:lang w:val="fr-CA"/>
        </w:rPr>
        <w:t xml:space="preserve"> (2009)</w:t>
      </w:r>
      <w:r>
        <w:rPr>
          <w:rFonts w:cs="Times New Roman"/>
          <w:lang w:val="fr-CA"/>
        </w:rPr>
        <w:t>,</w:t>
      </w:r>
      <w:r w:rsidRPr="00120D77">
        <w:rPr>
          <w:rFonts w:cs="Times New Roman"/>
          <w:lang w:val="fr-CA"/>
        </w:rPr>
        <w:t xml:space="preserve"> 72 C.P.C. (6th) 158 (C.S.J.</w:t>
      </w:r>
      <w:r>
        <w:rPr>
          <w:rFonts w:cs="Times New Roman"/>
          <w:lang w:val="fr-CA"/>
        </w:rPr>
        <w:t xml:space="preserve"> Ont.</w:t>
      </w:r>
      <w:r w:rsidRPr="00120D77">
        <w:rPr>
          <w:rFonts w:cs="Times New Roman"/>
          <w:lang w:val="fr-CA"/>
        </w:rPr>
        <w:t>), par. 92</w:t>
      </w:r>
      <w:r w:rsidRPr="00120D77">
        <w:rPr>
          <w:rFonts w:cs="Times New Roman"/>
          <w:lang w:val="fr-CA"/>
        </w:rPr>
        <w:noBreakHyphen/>
        <w:t>93).</w:t>
      </w:r>
    </w:p>
    <w:p w:rsidR="00B618DD" w:rsidRPr="00120D77" w:rsidRDefault="00B618DD" w:rsidP="00B618DD">
      <w:pPr>
        <w:pStyle w:val="ParaNoNdepar-AltN"/>
        <w:spacing w:before="0"/>
        <w:rPr>
          <w:rFonts w:cs="Times New Roman"/>
          <w:lang w:val="fr-CA"/>
        </w:rPr>
      </w:pPr>
      <w:r w:rsidRPr="00120D77">
        <w:rPr>
          <w:rFonts w:cs="Times New Roman"/>
          <w:lang w:val="fr-CA"/>
        </w:rPr>
        <w:t>La Cour d’appel de l’Ontario a confirmé la décision selon laquelle la réclamation de M. Griffin pouvait être portée devant le tribunal. Elle a conclu que le par. 7(5) investit le juge des requêtes du pouvoir discrétionnaire de refuser d’accorder un sursis partiel lorsque l’action porte sur des réclamations qui sont visées par une convention d’arbitrage et d’autres qui ne le sont pas, parce que</w:t>
      </w:r>
    </w:p>
    <w:p w:rsidR="00B618DD" w:rsidRPr="00120D77" w:rsidRDefault="00B618DD" w:rsidP="00B618DD">
      <w:pPr>
        <w:pStyle w:val="Citation-AltC"/>
        <w:tabs>
          <w:tab w:val="left" w:pos="1710"/>
        </w:tabs>
        <w:spacing w:after="240"/>
        <w:ind w:left="1170"/>
        <w:contextualSpacing w:val="0"/>
        <w:rPr>
          <w:lang w:val="fr-CA"/>
        </w:rPr>
      </w:pPr>
      <w:r w:rsidRPr="00120D77">
        <w:rPr>
          <w:lang w:val="fr-CA"/>
        </w:rPr>
        <w:t>[</w:t>
      </w:r>
      <w:r w:rsidRPr="00120D77">
        <w:rPr>
          <w:smallCaps/>
          <w:lang w:val="fr-CA"/>
        </w:rPr>
        <w:t>traduction</w:t>
      </w:r>
      <w:r w:rsidRPr="00120D77">
        <w:rPr>
          <w:lang w:val="fr-CA"/>
        </w:rPr>
        <w:t xml:space="preserve">] . . . il </w:t>
      </w:r>
      <w:r w:rsidRPr="00120D77">
        <w:rPr>
          <w:lang w:val="fr-FR"/>
        </w:rPr>
        <w:t>ne serait pas raisonnable de dissocier les réclamations présentées par des consommateurs de celles qui sont présentées par des non</w:t>
      </w:r>
      <w:r w:rsidRPr="00120D77">
        <w:rPr>
          <w:lang w:val="fr-FR"/>
        </w:rPr>
        <w:noBreakHyphen/>
        <w:t>consommateurs. Nous devrions, par conséquent, refuser d’accorder un sursis partiel et permettre que toutes les réclamations soient examinées dans le cadre du recours collectif.</w:t>
      </w:r>
    </w:p>
    <w:p w:rsidR="00B618DD" w:rsidRPr="00120D77" w:rsidRDefault="00B618DD" w:rsidP="00B618DD">
      <w:pPr>
        <w:pStyle w:val="Citation-AltC"/>
        <w:tabs>
          <w:tab w:val="left" w:pos="1620"/>
        </w:tabs>
        <w:contextualSpacing w:val="0"/>
        <w:rPr>
          <w:lang w:val="fr-CA"/>
        </w:rPr>
      </w:pPr>
      <w:r w:rsidRPr="00120D77">
        <w:rPr>
          <w:lang w:val="fr-FR"/>
        </w:rPr>
        <w:tab/>
        <w:t>Accorder un sursis pour les réclamations présentées par des non</w:t>
      </w:r>
      <w:r w:rsidRPr="00120D77">
        <w:rPr>
          <w:lang w:val="fr-FR"/>
        </w:rPr>
        <w:noBreakHyphen/>
        <w:t xml:space="preserve">consommateurs créerait de l’inefficacité et entraînerait un risque de multiplicité des instances et des coûts et des retards supplémentaires. Cela serait contraire à l’art. 138 de la </w:t>
      </w:r>
      <w:bookmarkStart w:id="5" w:name="_Toc242781657"/>
      <w:bookmarkEnd w:id="5"/>
      <w:r w:rsidRPr="00120D77">
        <w:rPr>
          <w:i/>
          <w:iCs/>
          <w:lang w:val="fr-FR"/>
        </w:rPr>
        <w:t>Loi sur les tribunaux judiciaires</w:t>
      </w:r>
      <w:r w:rsidRPr="00120D77">
        <w:rPr>
          <w:lang w:val="fr-FR"/>
        </w:rPr>
        <w:t>, qui dispose qu’« [i]l faut éviter, dans la mesure du possible, la multiplicité des instances », et contraire à la jurisprudence sur le caractère raisonnable des sursis partiels ordonnés aux termes du par. </w:t>
      </w:r>
      <w:r w:rsidRPr="00120D77">
        <w:rPr>
          <w:lang w:val="fr-CA"/>
        </w:rPr>
        <w:t xml:space="preserve">7(5) de la </w:t>
      </w:r>
      <w:r w:rsidRPr="00120D77">
        <w:rPr>
          <w:i/>
          <w:lang w:val="fr-CA"/>
        </w:rPr>
        <w:t>Loi de 1991 sur l’arbitrage</w:t>
      </w:r>
      <w:r w:rsidRPr="00120D77">
        <w:rPr>
          <w:lang w:val="fr-CA"/>
        </w:rPr>
        <w:t>. [par. 46</w:t>
      </w:r>
      <w:r w:rsidRPr="00120D77">
        <w:rPr>
          <w:lang w:val="fr-CA"/>
        </w:rPr>
        <w:noBreakHyphen/>
        <w:t>47]</w:t>
      </w:r>
    </w:p>
    <w:p w:rsidR="00B618DD" w:rsidRPr="009E4366" w:rsidRDefault="00B618DD" w:rsidP="00B618DD">
      <w:pPr>
        <w:pStyle w:val="ParaNoNdepar-AltN"/>
        <w:rPr>
          <w:rFonts w:cs="Times New Roman"/>
          <w:lang w:val="fr-CA"/>
        </w:rPr>
      </w:pPr>
      <w:r w:rsidRPr="00120D77">
        <w:rPr>
          <w:rFonts w:cs="Times New Roman"/>
          <w:lang w:val="fr-CA"/>
        </w:rPr>
        <w:t>Plusieurs décisions ont été invoquées à l’appui de cette interprétation (</w:t>
      </w:r>
      <w:proofErr w:type="spellStart"/>
      <w:r w:rsidRPr="00120D77">
        <w:rPr>
          <w:rFonts w:cs="Times New Roman"/>
          <w:i/>
          <w:lang w:val="fr-CA"/>
        </w:rPr>
        <w:t>Radewych</w:t>
      </w:r>
      <w:proofErr w:type="spellEnd"/>
      <w:r w:rsidRPr="00120D77">
        <w:rPr>
          <w:rFonts w:cs="Times New Roman"/>
          <w:i/>
          <w:lang w:val="fr-CA"/>
        </w:rPr>
        <w:t xml:space="preserve"> c. </w:t>
      </w:r>
      <w:proofErr w:type="spellStart"/>
      <w:r w:rsidRPr="00120D77">
        <w:rPr>
          <w:rFonts w:cs="Times New Roman"/>
          <w:i/>
          <w:lang w:val="fr-CA"/>
        </w:rPr>
        <w:t>Brookfield</w:t>
      </w:r>
      <w:proofErr w:type="spellEnd"/>
      <w:r w:rsidRPr="00120D77">
        <w:rPr>
          <w:rFonts w:cs="Times New Roman"/>
          <w:i/>
          <w:lang w:val="fr-CA"/>
        </w:rPr>
        <w:t xml:space="preserve"> Homes (Ontario) Ltd.</w:t>
      </w:r>
      <w:r w:rsidRPr="00120D77">
        <w:rPr>
          <w:rFonts w:cs="Times New Roman"/>
          <w:lang w:val="fr-CA"/>
        </w:rPr>
        <w:t>,</w:t>
      </w:r>
      <w:r w:rsidR="00E2010C">
        <w:rPr>
          <w:rFonts w:cs="Times New Roman"/>
          <w:lang w:val="fr-CA"/>
        </w:rPr>
        <w:t xml:space="preserve"> 2007 </w:t>
      </w:r>
      <w:proofErr w:type="spellStart"/>
      <w:r w:rsidR="00E2010C">
        <w:rPr>
          <w:rFonts w:cs="Times New Roman"/>
          <w:lang w:val="fr-CA"/>
        </w:rPr>
        <w:t>CanLII</w:t>
      </w:r>
      <w:proofErr w:type="spellEnd"/>
      <w:r w:rsidR="00E2010C">
        <w:rPr>
          <w:rFonts w:cs="Times New Roman"/>
          <w:lang w:val="fr-CA"/>
        </w:rPr>
        <w:t xml:space="preserve"> 23358 (C.S.J.)</w:t>
      </w:r>
      <w:r w:rsidR="00F70E5C">
        <w:rPr>
          <w:rFonts w:cs="Times New Roman"/>
          <w:lang w:val="fr-CA"/>
        </w:rPr>
        <w:t xml:space="preserve">, </w:t>
      </w:r>
      <w:proofErr w:type="spellStart"/>
      <w:r w:rsidR="00F70E5C">
        <w:rPr>
          <w:rFonts w:cs="Times New Roman"/>
          <w:lang w:val="fr-CA"/>
        </w:rPr>
        <w:t>conf</w:t>
      </w:r>
      <w:proofErr w:type="spellEnd"/>
      <w:r w:rsidR="00F70E5C">
        <w:rPr>
          <w:rFonts w:cs="Times New Roman"/>
          <w:lang w:val="fr-CA"/>
        </w:rPr>
        <w:t>. par 2007 ONCA 721</w:t>
      </w:r>
      <w:r w:rsidRPr="00120D77">
        <w:rPr>
          <w:rFonts w:cs="Times New Roman"/>
          <w:lang w:val="fr-CA"/>
        </w:rPr>
        <w:t xml:space="preserve">; </w:t>
      </w:r>
      <w:r w:rsidRPr="00120D77">
        <w:rPr>
          <w:rFonts w:eastAsia="Times New Roman" w:cs="Times New Roman"/>
          <w:i/>
          <w:lang w:val="fr-CA"/>
        </w:rPr>
        <w:t xml:space="preserve">Johnston c. </w:t>
      </w:r>
      <w:proofErr w:type="spellStart"/>
      <w:r w:rsidRPr="00120D77">
        <w:rPr>
          <w:rFonts w:eastAsia="Times New Roman" w:cs="Times New Roman"/>
          <w:i/>
          <w:lang w:val="fr-CA"/>
        </w:rPr>
        <w:t>Goudie</w:t>
      </w:r>
      <w:proofErr w:type="spellEnd"/>
      <w:r w:rsidRPr="00120D77">
        <w:rPr>
          <w:rFonts w:eastAsia="Times New Roman" w:cs="Times New Roman"/>
          <w:lang w:val="fr-CA"/>
        </w:rPr>
        <w:t xml:space="preserve"> (2006), 212 O.A.C. 79, par. 18; </w:t>
      </w:r>
      <w:r w:rsidRPr="00120D77">
        <w:rPr>
          <w:rFonts w:eastAsia="Times New Roman" w:cs="Times New Roman"/>
          <w:i/>
          <w:lang w:val="fr-CA"/>
        </w:rPr>
        <w:t>Penn</w:t>
      </w:r>
      <w:r w:rsidRPr="00120D77">
        <w:rPr>
          <w:rFonts w:eastAsia="Times New Roman" w:cs="Times New Roman"/>
          <w:i/>
          <w:lang w:val="fr-CA"/>
        </w:rPr>
        <w:noBreakHyphen/>
        <w:t>Co Construction Canada (2003) Ltd. c. Constance Lake First Nation</w:t>
      </w:r>
      <w:r w:rsidRPr="00120D77">
        <w:rPr>
          <w:rFonts w:eastAsia="Times New Roman" w:cs="Times New Roman"/>
          <w:lang w:val="fr-CA"/>
        </w:rPr>
        <w:t xml:space="preserve"> (2007), 66 C.L.R. (3d) 78 (C.S.J.), par. 31, </w:t>
      </w:r>
      <w:proofErr w:type="spellStart"/>
      <w:r w:rsidRPr="00120D77">
        <w:rPr>
          <w:rFonts w:eastAsia="Times New Roman" w:cs="Times New Roman"/>
          <w:lang w:val="fr-CA"/>
        </w:rPr>
        <w:t>conf</w:t>
      </w:r>
      <w:proofErr w:type="spellEnd"/>
      <w:r w:rsidRPr="00120D77">
        <w:rPr>
          <w:rFonts w:eastAsia="Times New Roman" w:cs="Times New Roman"/>
          <w:lang w:val="fr-CA"/>
        </w:rPr>
        <w:t>. par 2008 ONCA 768, 76 C.L.R. (3d) 1;</w:t>
      </w:r>
      <w:r w:rsidRPr="00120D77">
        <w:rPr>
          <w:rFonts w:cs="Times New Roman"/>
          <w:lang w:val="fr-CA"/>
        </w:rPr>
        <w:t xml:space="preserve"> </w:t>
      </w:r>
      <w:proofErr w:type="spellStart"/>
      <w:r w:rsidRPr="00120D77">
        <w:rPr>
          <w:rFonts w:cs="Times New Roman"/>
          <w:i/>
          <w:lang w:val="fr-CA"/>
        </w:rPr>
        <w:t>Frambordeaux</w:t>
      </w:r>
      <w:proofErr w:type="spellEnd"/>
      <w:r w:rsidRPr="00120D77">
        <w:rPr>
          <w:rFonts w:cs="Times New Roman"/>
          <w:i/>
          <w:lang w:val="fr-CA"/>
        </w:rPr>
        <w:t xml:space="preserve"> </w:t>
      </w:r>
      <w:proofErr w:type="spellStart"/>
      <w:r w:rsidRPr="00120D77">
        <w:rPr>
          <w:rFonts w:cs="Times New Roman"/>
          <w:i/>
          <w:lang w:val="fr-CA"/>
        </w:rPr>
        <w:t>Developments</w:t>
      </w:r>
      <w:proofErr w:type="spellEnd"/>
      <w:r w:rsidRPr="00120D77">
        <w:rPr>
          <w:rFonts w:cs="Times New Roman"/>
          <w:i/>
          <w:lang w:val="fr-CA"/>
        </w:rPr>
        <w:t xml:space="preserve"> Inc. c. </w:t>
      </w:r>
      <w:proofErr w:type="spellStart"/>
      <w:r w:rsidRPr="00120D77">
        <w:rPr>
          <w:rFonts w:cs="Times New Roman"/>
          <w:i/>
          <w:lang w:val="fr-CA"/>
        </w:rPr>
        <w:t>Romandale</w:t>
      </w:r>
      <w:proofErr w:type="spellEnd"/>
      <w:r w:rsidRPr="00120D77">
        <w:rPr>
          <w:rFonts w:cs="Times New Roman"/>
          <w:i/>
          <w:lang w:val="fr-CA"/>
        </w:rPr>
        <w:t xml:space="preserve"> </w:t>
      </w:r>
      <w:proofErr w:type="spellStart"/>
      <w:r w:rsidRPr="00120D77">
        <w:rPr>
          <w:rFonts w:cs="Times New Roman"/>
          <w:i/>
          <w:lang w:val="fr-CA"/>
        </w:rPr>
        <w:t>Farms</w:t>
      </w:r>
      <w:proofErr w:type="spellEnd"/>
      <w:r w:rsidRPr="00120D77">
        <w:rPr>
          <w:rFonts w:cs="Times New Roman"/>
          <w:i/>
          <w:lang w:val="fr-CA"/>
        </w:rPr>
        <w:t xml:space="preserve"> Ltd.</w:t>
      </w:r>
      <w:r w:rsidRPr="00120D77">
        <w:rPr>
          <w:rFonts w:cs="Times New Roman"/>
          <w:lang w:val="fr-CA"/>
        </w:rPr>
        <w:t xml:space="preserve">, </w:t>
      </w:r>
      <w:r w:rsidR="00E2010C">
        <w:rPr>
          <w:rStyle w:val="reflex3-alt"/>
          <w:rFonts w:cs="Times New Roman"/>
          <w:lang w:val="fr-CA"/>
        </w:rPr>
        <w:t xml:space="preserve"> 227 </w:t>
      </w:r>
      <w:proofErr w:type="spellStart"/>
      <w:r w:rsidR="00E2010C">
        <w:rPr>
          <w:rStyle w:val="reflex3-alt"/>
          <w:rFonts w:cs="Times New Roman"/>
          <w:lang w:val="fr-CA"/>
        </w:rPr>
        <w:t>CanLII</w:t>
      </w:r>
      <w:proofErr w:type="spellEnd"/>
      <w:r w:rsidR="00E2010C">
        <w:rPr>
          <w:rStyle w:val="reflex3-alt"/>
          <w:rFonts w:cs="Times New Roman"/>
          <w:lang w:val="fr-CA"/>
        </w:rPr>
        <w:t xml:space="preserve"> 55364 (C.S.J. Ont.)</w:t>
      </w:r>
      <w:r w:rsidRPr="009E4366">
        <w:rPr>
          <w:rStyle w:val="reflex3-block"/>
          <w:rFonts w:cs="Times New Roman"/>
          <w:lang w:val="fr-CA"/>
        </w:rPr>
        <w:t>, par. 34</w:t>
      </w:r>
      <w:r w:rsidRPr="009E4366">
        <w:rPr>
          <w:rFonts w:cs="Times New Roman"/>
          <w:lang w:val="fr-CA"/>
        </w:rPr>
        <w:t xml:space="preserve">; </w:t>
      </w:r>
      <w:r w:rsidRPr="009E4366">
        <w:rPr>
          <w:rFonts w:eastAsia="Times New Roman" w:cs="Times New Roman"/>
          <w:i/>
          <w:lang w:val="fr-CA"/>
        </w:rPr>
        <w:t xml:space="preserve">New </w:t>
      </w:r>
      <w:proofErr w:type="spellStart"/>
      <w:r w:rsidRPr="009E4366">
        <w:rPr>
          <w:rFonts w:eastAsia="Times New Roman" w:cs="Times New Roman"/>
          <w:i/>
          <w:lang w:val="fr-CA"/>
        </w:rPr>
        <w:t>Era</w:t>
      </w:r>
      <w:proofErr w:type="spellEnd"/>
      <w:r w:rsidRPr="009E4366">
        <w:rPr>
          <w:rFonts w:eastAsia="Times New Roman" w:cs="Times New Roman"/>
          <w:i/>
          <w:lang w:val="fr-CA"/>
        </w:rPr>
        <w:t xml:space="preserve"> Nutrition Inc. c. Balance Bar Co.</w:t>
      </w:r>
      <w:r w:rsidRPr="009E4366">
        <w:rPr>
          <w:rFonts w:eastAsia="Times New Roman" w:cs="Times New Roman"/>
          <w:lang w:val="fr-CA"/>
        </w:rPr>
        <w:t>, 2004 ABCA 280, 245 D.L.R. (4th) 107, par. 37</w:t>
      </w:r>
      <w:r w:rsidRPr="009E4366">
        <w:rPr>
          <w:rFonts w:eastAsia="Times New Roman" w:cs="Times New Roman"/>
          <w:lang w:val="fr-CA"/>
        </w:rPr>
        <w:noBreakHyphen/>
        <w:t>38.)</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 xml:space="preserve">Dans l’affaire qui nous occupe, TELUS a présenté une demande de sursis similaire à l’égard des réclamations des clients commerciaux. La juge Conway s’est fondée sur l’arrêt </w:t>
      </w:r>
      <w:r w:rsidRPr="00120D77">
        <w:rPr>
          <w:rFonts w:eastAsia="Times New Roman" w:cs="Times New Roman"/>
          <w:i/>
          <w:lang w:val="fr-CA"/>
        </w:rPr>
        <w:t>Griffin</w:t>
      </w:r>
      <w:r w:rsidRPr="00120D77">
        <w:rPr>
          <w:rFonts w:eastAsia="Times New Roman" w:cs="Times New Roman"/>
          <w:lang w:val="fr-CA"/>
        </w:rPr>
        <w:t xml:space="preserve"> de la Cour d’appel de l’Ontario pour conclure que le par. 7(5) de la </w:t>
      </w:r>
      <w:r w:rsidRPr="00120D77">
        <w:rPr>
          <w:rFonts w:eastAsia="Times New Roman" w:cs="Times New Roman"/>
          <w:i/>
          <w:lang w:val="fr-CA"/>
        </w:rPr>
        <w:t>Loi de 1991 sur l’arbitrage</w:t>
      </w:r>
      <w:r w:rsidRPr="00120D77">
        <w:rPr>
          <w:rFonts w:eastAsia="Times New Roman" w:cs="Times New Roman"/>
          <w:lang w:val="fr-CA"/>
        </w:rPr>
        <w:t xml:space="preserve"> confère expressément à la cour le pouvoir discrétionnaire de décider s’il est raisonnable de dissocier</w:t>
      </w:r>
      <w:r w:rsidRPr="00120D77">
        <w:rPr>
          <w:rFonts w:eastAsia="Times New Roman" w:cs="Times New Roman"/>
          <w:szCs w:val="24"/>
          <w:lang w:val="fr-FR" w:eastAsia="en-CA"/>
        </w:rPr>
        <w:t xml:space="preserve"> </w:t>
      </w:r>
      <w:r w:rsidRPr="00120D77">
        <w:rPr>
          <w:rFonts w:eastAsia="Times New Roman" w:cs="Times New Roman"/>
          <w:lang w:val="fr-FR"/>
        </w:rPr>
        <w:t>les questions traitées dans une convention d’arbitrage des autres questions en litige</w:t>
      </w:r>
      <w:r w:rsidRPr="00120D77">
        <w:rPr>
          <w:rFonts w:eastAsia="Times New Roman" w:cs="Times New Roman"/>
          <w:lang w:val="fr-CA"/>
        </w:rPr>
        <w:t xml:space="preserve">. Si la cour estime qu’il n’est pas raisonnable de les dissocier et refuse d’accorder un sursis partiel, toutes les questions peuvent être soumises au tribunal, nonobstant la clause d’arbitrage. Conformément à l’arrêt </w:t>
      </w:r>
      <w:r w:rsidRPr="00120D77">
        <w:rPr>
          <w:rFonts w:eastAsia="Times New Roman" w:cs="Times New Roman"/>
          <w:i/>
          <w:lang w:val="fr-CA"/>
        </w:rPr>
        <w:t>Griffin</w:t>
      </w:r>
      <w:r w:rsidRPr="00120D77">
        <w:rPr>
          <w:rFonts w:eastAsia="Times New Roman" w:cs="Times New Roman"/>
          <w:lang w:val="fr-CA"/>
        </w:rPr>
        <w:t>, elle a conclu que ce pouvoir discrétionnaire pouvait être exercé pour permettre la jonction des réclamations présentées par des non</w:t>
      </w:r>
      <w:r w:rsidRPr="00120D77">
        <w:rPr>
          <w:rFonts w:eastAsia="Times New Roman" w:cs="Times New Roman"/>
          <w:lang w:val="fr-CA"/>
        </w:rPr>
        <w:noBreakHyphen/>
        <w:t>consommateurs à un recours collectif intenté par des consommateurs, lorsqu’il est raisonnable de le faire. Étant donné que l</w:t>
      </w:r>
      <w:r w:rsidRPr="00120D77">
        <w:rPr>
          <w:rFonts w:cs="Times New Roman"/>
          <w:lang w:val="fr-CA"/>
        </w:rPr>
        <w:t>es réclamations présentées par des non</w:t>
      </w:r>
      <w:r w:rsidRPr="00120D77">
        <w:rPr>
          <w:rFonts w:cs="Times New Roman"/>
          <w:lang w:val="fr-CA"/>
        </w:rPr>
        <w:noBreakHyphen/>
        <w:t>consommateurs ne peuvent pas être soumises à un arbitrage collectif</w:t>
      </w:r>
      <w:r w:rsidRPr="00120D77">
        <w:rPr>
          <w:rFonts w:eastAsia="Times New Roman" w:cs="Times New Roman"/>
          <w:lang w:val="fr-CA"/>
        </w:rPr>
        <w:t>, la dissociation des deux instances pourrait créer de l’inefficacité, mener à des résultats incohérents et entraîner la multiplicité des instances.</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TELUS a interjeté appel de la décision devant la Cour d’appel de l’Ontario. La juge van </w:t>
      </w:r>
      <w:proofErr w:type="spellStart"/>
      <w:r w:rsidRPr="00120D77">
        <w:rPr>
          <w:rFonts w:eastAsia="Times New Roman" w:cs="Times New Roman"/>
          <w:lang w:val="fr-CA"/>
        </w:rPr>
        <w:t>Rensburg</w:t>
      </w:r>
      <w:proofErr w:type="spellEnd"/>
      <w:r w:rsidRPr="00120D77">
        <w:rPr>
          <w:rFonts w:eastAsia="Times New Roman" w:cs="Times New Roman"/>
          <w:lang w:val="fr-CA"/>
        </w:rPr>
        <w:t>, s’exprimant au nom des juges majoritaires, a souscrit à l’opinion de la juge des requêtes.</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 xml:space="preserve">TELUS a porté cette décision en appel, faisant valoir que l’arrêt </w:t>
      </w:r>
      <w:r w:rsidRPr="00120D77">
        <w:rPr>
          <w:rFonts w:eastAsia="Times New Roman" w:cs="Times New Roman"/>
          <w:i/>
          <w:lang w:val="fr-CA"/>
        </w:rPr>
        <w:t xml:space="preserve">Griffin </w:t>
      </w:r>
      <w:r w:rsidRPr="00120D77">
        <w:rPr>
          <w:rFonts w:eastAsia="Times New Roman" w:cs="Times New Roman"/>
          <w:lang w:val="fr-CA"/>
        </w:rPr>
        <w:t>est erroné.</w:t>
      </w:r>
    </w:p>
    <w:p w:rsidR="00B618DD" w:rsidRPr="00120D77" w:rsidRDefault="00B618DD" w:rsidP="00B618DD">
      <w:pPr>
        <w:pStyle w:val="ParaNoNdepar-AltN"/>
        <w:rPr>
          <w:rFonts w:eastAsia="Times New Roman" w:cs="Times New Roman"/>
          <w:lang w:val="fr-CA"/>
        </w:rPr>
      </w:pPr>
      <w:r w:rsidRPr="00120D77">
        <w:rPr>
          <w:rFonts w:eastAsia="Times New Roman" w:cs="Times New Roman"/>
          <w:lang w:val="fr-CA"/>
        </w:rPr>
        <w:t>Contrairement à nos collègues, nous partageons l’opinion de la juge van </w:t>
      </w:r>
      <w:proofErr w:type="spellStart"/>
      <w:r w:rsidRPr="00120D77">
        <w:rPr>
          <w:rFonts w:eastAsia="Times New Roman" w:cs="Times New Roman"/>
          <w:lang w:val="fr-CA"/>
        </w:rPr>
        <w:t>Rensburg</w:t>
      </w:r>
      <w:proofErr w:type="spellEnd"/>
      <w:r w:rsidRPr="00120D77">
        <w:rPr>
          <w:rFonts w:eastAsia="Times New Roman" w:cs="Times New Roman"/>
          <w:lang w:val="fr-CA"/>
        </w:rPr>
        <w:t xml:space="preserve"> et sommes d’avis de rejeter le pourvoi.</w:t>
      </w:r>
    </w:p>
    <w:p w:rsidR="00B618DD" w:rsidRPr="00120D77" w:rsidRDefault="00B618DD" w:rsidP="00B618DD">
      <w:pPr>
        <w:pStyle w:val="Title1LevelTitre1Niveau-AltL"/>
        <w:numPr>
          <w:ilvl w:val="0"/>
          <w:numId w:val="0"/>
        </w:numPr>
        <w:ind w:left="576"/>
        <w:rPr>
          <w:rFonts w:cs="Times New Roman"/>
          <w:lang w:val="fr-CA"/>
        </w:rPr>
      </w:pPr>
      <w:r w:rsidRPr="00120D77">
        <w:rPr>
          <w:rFonts w:cs="Times New Roman"/>
          <w:lang w:val="fr-CA"/>
        </w:rPr>
        <w:t>Analyse</w:t>
      </w:r>
    </w:p>
    <w:p w:rsidR="00B618DD" w:rsidRPr="00120D77" w:rsidRDefault="00B618DD" w:rsidP="00B618DD">
      <w:pPr>
        <w:pStyle w:val="ParaNoNdepar-AltN"/>
        <w:rPr>
          <w:rFonts w:cs="Times New Roman"/>
          <w:lang w:val="fr-CA"/>
        </w:rPr>
      </w:pPr>
      <w:r w:rsidRPr="00120D77">
        <w:rPr>
          <w:rFonts w:cs="Times New Roman"/>
          <w:lang w:val="fr-CA"/>
        </w:rPr>
        <w:t>Une disposition doit être appréciée sous toutes ses textures — libellé, objet et effet — pour que son sens ne soit pas étouffé par une interprétation littérale et formaliste de ses termes. Comme l’a souligné le juge </w:t>
      </w:r>
      <w:proofErr w:type="spellStart"/>
      <w:r w:rsidRPr="00120D77">
        <w:rPr>
          <w:rFonts w:cs="Times New Roman"/>
          <w:lang w:val="fr-CA"/>
        </w:rPr>
        <w:t>Moldaver</w:t>
      </w:r>
      <w:proofErr w:type="spellEnd"/>
      <w:r w:rsidRPr="00120D77">
        <w:rPr>
          <w:rFonts w:cs="Times New Roman"/>
          <w:lang w:val="fr-CA"/>
        </w:rPr>
        <w:t xml:space="preserve"> dans </w:t>
      </w:r>
      <w:r w:rsidRPr="00120D77">
        <w:rPr>
          <w:rFonts w:cs="Times New Roman"/>
          <w:i/>
          <w:lang w:val="fr-CA"/>
        </w:rPr>
        <w:t>R. c. Alex</w:t>
      </w:r>
      <w:r w:rsidRPr="00120D77">
        <w:rPr>
          <w:rFonts w:cs="Times New Roman"/>
          <w:lang w:val="fr-CA"/>
        </w:rPr>
        <w:t>,</w:t>
      </w:r>
      <w:r w:rsidRPr="00120D77">
        <w:rPr>
          <w:rStyle w:val="sccappellantforindexchar"/>
          <w:rFonts w:cs="Times New Roman"/>
          <w:lang w:val="fr-CA"/>
        </w:rPr>
        <w:t xml:space="preserve"> </w:t>
      </w:r>
      <w:r w:rsidRPr="00120D77">
        <w:rPr>
          <w:rFonts w:cs="Times New Roman"/>
          <w:lang w:val="fr-CA"/>
        </w:rPr>
        <w:t>[2017] 1 R.C.S. 967 : « </w:t>
      </w:r>
      <w:r w:rsidR="001C1ADF">
        <w:rPr>
          <w:rFonts w:cs="Times New Roman"/>
          <w:lang w:val="fr-CA"/>
        </w:rPr>
        <w:t>L</w:t>
      </w:r>
      <w:r w:rsidRPr="00120D77">
        <w:rPr>
          <w:rFonts w:cs="Times New Roman"/>
          <w:lang w:val="fr-FR"/>
        </w:rPr>
        <w:t xml:space="preserve">a Cour signale dans maints arrêts que le sens ordinaire n’est pas en soi déterminant et qu’une entreprise d’interprétation législative demeure incomplète sans l’examen du contexte, de l’objet et des normes juridiques </w:t>
      </w:r>
      <w:proofErr w:type="gramStart"/>
      <w:r w:rsidRPr="00120D77">
        <w:rPr>
          <w:rFonts w:cs="Times New Roman"/>
          <w:lang w:val="fr-FR"/>
        </w:rPr>
        <w:t>pertinentes</w:t>
      </w:r>
      <w:r w:rsidRPr="00120D77">
        <w:rPr>
          <w:rFonts w:cs="Times New Roman"/>
          <w:lang w:val="fr-CA"/>
        </w:rPr>
        <w:t> </w:t>
      </w:r>
      <w:r w:rsidR="001C1ADF">
        <w:rPr>
          <w:rFonts w:cs="Times New Roman"/>
          <w:lang w:val="fr-CA"/>
        </w:rPr>
        <w:t>.</w:t>
      </w:r>
      <w:proofErr w:type="gramEnd"/>
      <w:r w:rsidR="001C1ADF">
        <w:rPr>
          <w:rFonts w:cs="Times New Roman"/>
          <w:lang w:val="fr-CA"/>
        </w:rPr>
        <w:t> . . </w:t>
      </w:r>
      <w:r w:rsidRPr="00120D77">
        <w:rPr>
          <w:rFonts w:cs="Times New Roman"/>
          <w:lang w:val="fr-CA"/>
        </w:rPr>
        <w:t>» (par. 31). Ce qu’il faut, c’est une interprétation qui ancrée dans l’intention du législateur, le libellé de la loi, la jurisprudence et les pratiques (</w:t>
      </w:r>
      <w:proofErr w:type="spellStart"/>
      <w:r w:rsidRPr="00120D77">
        <w:rPr>
          <w:rFonts w:cs="Times New Roman"/>
          <w:i/>
          <w:lang w:val="fr-CA"/>
        </w:rPr>
        <w:t>Rizzo</w:t>
      </w:r>
      <w:proofErr w:type="spellEnd"/>
      <w:r w:rsidRPr="00120D77">
        <w:rPr>
          <w:rFonts w:cs="Times New Roman"/>
          <w:i/>
          <w:lang w:val="fr-CA"/>
        </w:rPr>
        <w:t xml:space="preserve"> &amp; </w:t>
      </w:r>
      <w:proofErr w:type="spellStart"/>
      <w:r w:rsidRPr="00120D77">
        <w:rPr>
          <w:rFonts w:cs="Times New Roman"/>
          <w:i/>
          <w:lang w:val="fr-CA"/>
        </w:rPr>
        <w:t>Rizzo</w:t>
      </w:r>
      <w:proofErr w:type="spellEnd"/>
      <w:r w:rsidRPr="00120D77">
        <w:rPr>
          <w:rFonts w:cs="Times New Roman"/>
          <w:i/>
          <w:lang w:val="fr-CA"/>
        </w:rPr>
        <w:t xml:space="preserve"> </w:t>
      </w:r>
      <w:proofErr w:type="spellStart"/>
      <w:r w:rsidRPr="00120D77">
        <w:rPr>
          <w:rFonts w:cs="Times New Roman"/>
          <w:i/>
          <w:lang w:val="fr-CA"/>
        </w:rPr>
        <w:t>Shoes</w:t>
      </w:r>
      <w:proofErr w:type="spellEnd"/>
      <w:r w:rsidRPr="00120D77">
        <w:rPr>
          <w:rFonts w:cs="Times New Roman"/>
          <w:lang w:val="fr-CA"/>
        </w:rPr>
        <w:t>, par. 20</w:t>
      </w:r>
      <w:r w:rsidRPr="00120D77">
        <w:rPr>
          <w:rFonts w:cs="Times New Roman"/>
          <w:lang w:val="fr-CA"/>
        </w:rPr>
        <w:noBreakHyphen/>
        <w:t>41). Autrement dit, l’interprétation doit être [</w:t>
      </w:r>
      <w:r w:rsidRPr="00120D77">
        <w:rPr>
          <w:rFonts w:cs="Times New Roman"/>
          <w:smallCaps/>
          <w:lang w:val="fr-CA"/>
        </w:rPr>
        <w:t>traduction</w:t>
      </w:r>
      <w:r w:rsidRPr="00120D77">
        <w:rPr>
          <w:rFonts w:cs="Times New Roman"/>
          <w:lang w:val="fr-CA"/>
        </w:rPr>
        <w:t xml:space="preserve">] « raisonnable et juste » (Ruth Sullivan, </w:t>
      </w:r>
      <w:r w:rsidRPr="00120D77">
        <w:rPr>
          <w:rFonts w:cs="Times New Roman"/>
          <w:i/>
          <w:lang w:val="fr-CA"/>
        </w:rPr>
        <w:t xml:space="preserve">Sullivan on the Construction of </w:t>
      </w:r>
      <w:proofErr w:type="spellStart"/>
      <w:r w:rsidRPr="00120D77">
        <w:rPr>
          <w:rFonts w:cs="Times New Roman"/>
          <w:i/>
          <w:lang w:val="fr-CA"/>
        </w:rPr>
        <w:t>Statutes</w:t>
      </w:r>
      <w:proofErr w:type="spellEnd"/>
      <w:r w:rsidRPr="00120D77">
        <w:rPr>
          <w:rFonts w:cs="Times New Roman"/>
          <w:lang w:val="fr-CA"/>
        </w:rPr>
        <w:t xml:space="preserve"> (6</w:t>
      </w:r>
      <w:r w:rsidRPr="00120D77">
        <w:rPr>
          <w:rFonts w:cs="Times New Roman"/>
          <w:vertAlign w:val="superscript"/>
          <w:lang w:val="fr-CA"/>
        </w:rPr>
        <w:t>e</w:t>
      </w:r>
      <w:r w:rsidRPr="00120D77">
        <w:rPr>
          <w:rFonts w:cs="Times New Roman"/>
          <w:lang w:val="fr-CA"/>
        </w:rPr>
        <w:t> éd. 2014), § 2.9).</w:t>
      </w:r>
    </w:p>
    <w:p w:rsidR="00B618DD" w:rsidRPr="00120D77" w:rsidRDefault="00B618DD" w:rsidP="00B618DD">
      <w:pPr>
        <w:pStyle w:val="ParaNoNdepar-AltN"/>
        <w:rPr>
          <w:rFonts w:cs="Times New Roman"/>
          <w:lang w:val="fr-CA"/>
        </w:rPr>
      </w:pPr>
      <w:r w:rsidRPr="00120D77">
        <w:rPr>
          <w:rFonts w:cs="Times New Roman"/>
          <w:lang w:val="fr-CA"/>
        </w:rPr>
        <w:t xml:space="preserve">La </w:t>
      </w:r>
      <w:r w:rsidRPr="00120D77">
        <w:rPr>
          <w:rFonts w:cs="Times New Roman"/>
          <w:i/>
          <w:lang w:val="fr-CA"/>
        </w:rPr>
        <w:t xml:space="preserve">Loi de 1991 sur l’arbitrage </w:t>
      </w:r>
      <w:r w:rsidRPr="00120D77">
        <w:rPr>
          <w:rFonts w:cs="Times New Roman"/>
          <w:lang w:val="fr-CA"/>
        </w:rPr>
        <w:t>de l’Ontario a été adoptée afin de permettre aux parties d’élaborer leurs propres processus de règlement et de résoudre leurs différends à l’extérieur des tribunaux. Elle prévoyait que deux ou plusieurs parties peuvent négocier librement leur processus d’arbitrage. Avant l’adoption de la loi de 1991, les juges pouvaient surseoir aux procédures d’arbitrage en vertu de leur large pouvoir discrétionnaire — même lorsque toutes les parties avaient convenu de soumettre leur différend à l’arbitrage. L’exercice de ce pouvoir par les tribunaux prêtait à controverse parce qu’on le voyait comme une ingérence judiciaire à l’égard de la liberté contractuelle des parties.</w:t>
      </w:r>
    </w:p>
    <w:p w:rsidR="00B618DD" w:rsidRPr="00120D77" w:rsidRDefault="00B618DD" w:rsidP="00B618DD">
      <w:pPr>
        <w:pStyle w:val="ParaNoNdepar-AltN"/>
        <w:rPr>
          <w:rFonts w:cs="Times New Roman"/>
          <w:lang w:val="fr-CA"/>
        </w:rPr>
      </w:pPr>
      <w:r w:rsidRPr="00120D77">
        <w:rPr>
          <w:rFonts w:cs="Times New Roman"/>
          <w:lang w:val="fr-CA"/>
        </w:rPr>
        <w:t xml:space="preserve">La </w:t>
      </w:r>
      <w:r w:rsidRPr="00120D77">
        <w:rPr>
          <w:rFonts w:cs="Times New Roman"/>
          <w:i/>
          <w:lang w:val="fr-CA"/>
        </w:rPr>
        <w:t>Loi de 1991 sur l’arbitrage</w:t>
      </w:r>
      <w:r w:rsidRPr="00120D77">
        <w:rPr>
          <w:rFonts w:cs="Times New Roman"/>
          <w:lang w:val="fr-CA"/>
        </w:rPr>
        <w:t xml:space="preserve"> de l’Ontario s’inspirait de la </w:t>
      </w:r>
      <w:r w:rsidRPr="00120D77">
        <w:rPr>
          <w:rFonts w:cs="Times New Roman"/>
          <w:i/>
          <w:lang w:val="fr-CA"/>
        </w:rPr>
        <w:t xml:space="preserve">Loi uniforme sur l’arbitrage </w:t>
      </w:r>
      <w:r w:rsidRPr="00120D77">
        <w:rPr>
          <w:rFonts w:cs="Times New Roman"/>
          <w:lang w:val="fr-CA"/>
        </w:rPr>
        <w:t>(1990)</w:t>
      </w:r>
      <w:r>
        <w:rPr>
          <w:rFonts w:cs="Times New Roman"/>
          <w:lang w:val="fr-CA"/>
        </w:rPr>
        <w:t xml:space="preserve"> </w:t>
      </w:r>
      <w:r w:rsidRPr="00120D77">
        <w:rPr>
          <w:rFonts w:cs="Times New Roman"/>
          <w:lang w:val="fr-CA"/>
        </w:rPr>
        <w:t>(en ligne) adoptée par la Conférence pour l’harmonisation des lois au Canada, qui découlait du rapport de 1989 sur l’adoption d’une législation uniforme en matière d’arbitrage de l’Alberta Law Commission. Elle prenait modèle, en partie, sur le rapport de 1988</w:t>
      </w:r>
      <w:r w:rsidRPr="00120D77">
        <w:rPr>
          <w:rFonts w:eastAsia="Times New Roman" w:cs="Times New Roman"/>
          <w:szCs w:val="24"/>
          <w:lang w:val="fr-CA" w:eastAsia="en-CA"/>
        </w:rPr>
        <w:t xml:space="preserve"> de l’</w:t>
      </w:r>
      <w:r w:rsidRPr="00120D77">
        <w:rPr>
          <w:rFonts w:cs="Times New Roman"/>
          <w:lang w:val="fr-CA"/>
        </w:rPr>
        <w:t xml:space="preserve">Alberta Institute of Law </w:t>
      </w:r>
      <w:proofErr w:type="spellStart"/>
      <w:r w:rsidRPr="00120D77">
        <w:rPr>
          <w:rFonts w:cs="Times New Roman"/>
          <w:lang w:val="fr-CA"/>
        </w:rPr>
        <w:t>Research</w:t>
      </w:r>
      <w:proofErr w:type="spellEnd"/>
      <w:r w:rsidRPr="00120D77">
        <w:rPr>
          <w:rFonts w:cs="Times New Roman"/>
          <w:lang w:val="fr-CA"/>
        </w:rPr>
        <w:t xml:space="preserve"> and </w:t>
      </w:r>
      <w:proofErr w:type="spellStart"/>
      <w:r w:rsidRPr="00120D77">
        <w:rPr>
          <w:rFonts w:cs="Times New Roman"/>
          <w:lang w:val="fr-CA"/>
        </w:rPr>
        <w:t>Reform</w:t>
      </w:r>
      <w:proofErr w:type="spellEnd"/>
      <w:r w:rsidRPr="00120D77">
        <w:rPr>
          <w:rFonts w:cs="Times New Roman"/>
          <w:lang w:val="fr-CA"/>
        </w:rPr>
        <w:t xml:space="preserve"> intitulé </w:t>
      </w:r>
      <w:proofErr w:type="spellStart"/>
      <w:r w:rsidRPr="00120D77">
        <w:rPr>
          <w:rFonts w:cs="Times New Roman"/>
          <w:i/>
          <w:lang w:val="fr-CA"/>
        </w:rPr>
        <w:t>Proposals</w:t>
      </w:r>
      <w:proofErr w:type="spellEnd"/>
      <w:r w:rsidRPr="00120D77">
        <w:rPr>
          <w:rFonts w:cs="Times New Roman"/>
          <w:i/>
          <w:lang w:val="fr-CA"/>
        </w:rPr>
        <w:t xml:space="preserve"> for a New Alberta Arbitration </w:t>
      </w:r>
      <w:proofErr w:type="spellStart"/>
      <w:r w:rsidRPr="00120D77">
        <w:rPr>
          <w:rFonts w:cs="Times New Roman"/>
          <w:i/>
          <w:lang w:val="fr-CA"/>
        </w:rPr>
        <w:t>Act</w:t>
      </w:r>
      <w:proofErr w:type="spellEnd"/>
      <w:r w:rsidRPr="00120D77">
        <w:rPr>
          <w:rFonts w:cs="Times New Roman"/>
          <w:lang w:val="fr-CA"/>
        </w:rPr>
        <w:t xml:space="preserve"> (Rapport n</w:t>
      </w:r>
      <w:r w:rsidRPr="00120D77">
        <w:rPr>
          <w:rFonts w:cs="Times New Roman"/>
          <w:vertAlign w:val="superscript"/>
          <w:lang w:val="fr-CA"/>
        </w:rPr>
        <w:t>o</w:t>
      </w:r>
      <w:r w:rsidRPr="00120D77">
        <w:rPr>
          <w:rFonts w:cs="Times New Roman"/>
          <w:lang w:val="fr-CA"/>
        </w:rPr>
        <w:t xml:space="preserve"> 51). Dans ce rapport, l’Institut recommandait une refonte importante de la loi existante. Plus précisément, l’Institut proposait de limiter le pouvoir des tribunaux de refuser de surseoir à l’instance lorsque les parties avaient convenu de recourir à l’arbitrage. Cette proposition a trouvé son expression dans le par. 7(1) de la </w:t>
      </w:r>
      <w:r w:rsidRPr="00120D77">
        <w:rPr>
          <w:rFonts w:cs="Times New Roman"/>
          <w:i/>
          <w:lang w:val="fr-CA"/>
        </w:rPr>
        <w:t>Loi de 1991 sur l’arbitrage</w:t>
      </w:r>
      <w:r w:rsidRPr="00120D77">
        <w:rPr>
          <w:rFonts w:cs="Times New Roman"/>
          <w:lang w:val="fr-CA"/>
        </w:rPr>
        <w:t>, qui prévoit que, si une partie à une convention d’arbitrage tente de former un recours judiciaire à l’égard d’un différend arbitrable, le juge doit surseoir à l’instance. Le par</w:t>
      </w:r>
      <w:r>
        <w:rPr>
          <w:rFonts w:cs="Times New Roman"/>
          <w:lang w:val="fr-CA"/>
        </w:rPr>
        <w:t xml:space="preserve">agraphe </w:t>
      </w:r>
      <w:r w:rsidRPr="00120D77">
        <w:rPr>
          <w:rFonts w:cs="Times New Roman"/>
          <w:lang w:val="fr-CA"/>
        </w:rPr>
        <w:t>7(2) prévoit des exceptions limitées à cette règle générale.</w:t>
      </w:r>
    </w:p>
    <w:p w:rsidR="00B618DD" w:rsidRPr="00120D77" w:rsidRDefault="00B618DD" w:rsidP="00B618DD">
      <w:pPr>
        <w:pStyle w:val="ParaNoNdepar-AltN"/>
        <w:rPr>
          <w:rFonts w:cs="Times New Roman"/>
          <w:lang w:val="fr-CA"/>
        </w:rPr>
      </w:pPr>
      <w:r w:rsidRPr="00120D77">
        <w:rPr>
          <w:rFonts w:cs="Times New Roman"/>
          <w:lang w:val="fr-CA"/>
        </w:rPr>
        <w:t>La proposition contenait également une disposition, sans commentaire,</w:t>
      </w:r>
      <w:r>
        <w:rPr>
          <w:rFonts w:cs="Times New Roman"/>
          <w:lang w:val="fr-CA"/>
        </w:rPr>
        <w:t xml:space="preserve"> </w:t>
      </w:r>
      <w:r w:rsidRPr="00120D77">
        <w:rPr>
          <w:rFonts w:cs="Times New Roman"/>
          <w:lang w:val="fr-CA"/>
        </w:rPr>
        <w:t>conférant au tribunal le pouvoir discrétionnaire de refuser de surseoir à l’instance si la [</w:t>
      </w:r>
      <w:r w:rsidRPr="00120D77">
        <w:rPr>
          <w:rFonts w:cs="Times New Roman"/>
          <w:smallCaps/>
          <w:lang w:val="fr-CA"/>
        </w:rPr>
        <w:t>traduction</w:t>
      </w:r>
      <w:r w:rsidRPr="00120D77">
        <w:rPr>
          <w:rFonts w:cs="Times New Roman"/>
          <w:lang w:val="fr-CA"/>
        </w:rPr>
        <w:t xml:space="preserve">] « convention d’arbitrage sur laquelle est fondée la demande [. . .] ne s’applique pas au différend [. . .] </w:t>
      </w:r>
      <w:r w:rsidRPr="00120D77">
        <w:rPr>
          <w:rFonts w:cs="Times New Roman"/>
          <w:i/>
          <w:lang w:val="fr-CA"/>
        </w:rPr>
        <w:t>ou ne lie pas toutes les parties au différend</w:t>
      </w:r>
      <w:r w:rsidRPr="00120D77">
        <w:rPr>
          <w:rFonts w:cs="Times New Roman"/>
          <w:lang w:val="fr-CA"/>
        </w:rPr>
        <w:t xml:space="preserve"> » (par. 8(2) (italiques ajoutés)). Cette disposition est l’ancêtre du par. 7(5) de la </w:t>
      </w:r>
      <w:r w:rsidRPr="00120D77">
        <w:rPr>
          <w:rFonts w:cs="Times New Roman"/>
          <w:i/>
          <w:lang w:val="fr-CA"/>
        </w:rPr>
        <w:t>Loi de 1991 sur l’arbitrage</w:t>
      </w:r>
      <w:r w:rsidRPr="00120D77">
        <w:rPr>
          <w:rFonts w:cs="Times New Roman"/>
          <w:lang w:val="fr-CA"/>
        </w:rPr>
        <w:t xml:space="preserve"> actuelle.</w:t>
      </w:r>
    </w:p>
    <w:p w:rsidR="00B618DD" w:rsidRPr="00120D77" w:rsidRDefault="00B618DD" w:rsidP="00B618DD">
      <w:pPr>
        <w:pStyle w:val="ParaNoNdepar-AltN"/>
        <w:rPr>
          <w:rFonts w:cs="Times New Roman"/>
          <w:lang w:val="fr-CA"/>
        </w:rPr>
      </w:pPr>
      <w:r w:rsidRPr="00120D77">
        <w:rPr>
          <w:rFonts w:cs="Times New Roman"/>
          <w:lang w:val="fr-CA"/>
        </w:rPr>
        <w:t xml:space="preserve">Cette deuxième disposition proposée semblait indiquer que les tribunaux peuvent, en vertu de leur pouvoir discrétionnaire, permettre que les instances judiciaires se poursuivent dans deux cas : </w:t>
      </w:r>
      <w:r>
        <w:rPr>
          <w:rFonts w:cs="Times New Roman"/>
          <w:lang w:val="fr-CA"/>
        </w:rPr>
        <w:t>(</w:t>
      </w:r>
      <w:r w:rsidRPr="00120D77">
        <w:rPr>
          <w:rFonts w:cs="Times New Roman"/>
          <w:lang w:val="fr-CA"/>
        </w:rPr>
        <w:t xml:space="preserve">1) lorsque l’arbitrage ne s’applique pas à toutes les questions soulevées dans le cadre du différend, et </w:t>
      </w:r>
      <w:r>
        <w:rPr>
          <w:rFonts w:cs="Times New Roman"/>
          <w:lang w:val="fr-CA"/>
        </w:rPr>
        <w:t>(</w:t>
      </w:r>
      <w:r w:rsidRPr="00120D77">
        <w:rPr>
          <w:rFonts w:cs="Times New Roman"/>
          <w:lang w:val="fr-CA"/>
        </w:rPr>
        <w:t xml:space="preserve">2) lorsque des parties </w:t>
      </w:r>
      <w:r w:rsidRPr="00120D77">
        <w:rPr>
          <w:rFonts w:cs="Times New Roman"/>
          <w:i/>
          <w:lang w:val="fr-CA"/>
        </w:rPr>
        <w:t>et</w:t>
      </w:r>
      <w:r w:rsidRPr="00120D77">
        <w:rPr>
          <w:rFonts w:cs="Times New Roman"/>
          <w:lang w:val="fr-CA"/>
        </w:rPr>
        <w:t xml:space="preserve"> des non</w:t>
      </w:r>
      <w:r w:rsidRPr="00120D77">
        <w:rPr>
          <w:rFonts w:cs="Times New Roman"/>
          <w:lang w:val="fr-CA"/>
        </w:rPr>
        <w:noBreakHyphen/>
        <w:t>parties à une convention d’arbitrage engagent une poursuite contre le même défendeur.</w:t>
      </w:r>
    </w:p>
    <w:p w:rsidR="00B618DD" w:rsidRPr="005016F3" w:rsidRDefault="00B618DD" w:rsidP="00B618DD">
      <w:pPr>
        <w:pStyle w:val="ParaNoNdepar-AltN"/>
        <w:rPr>
          <w:rFonts w:cs="Times New Roman"/>
          <w:lang w:val="fr-CA"/>
        </w:rPr>
      </w:pPr>
      <w:r w:rsidRPr="00120D77">
        <w:rPr>
          <w:rFonts w:cs="Times New Roman"/>
          <w:lang w:val="fr-CA"/>
        </w:rPr>
        <w:t>Les raisons de principe à la base de ces exceptions étaient les mêmes que celles qui sous</w:t>
      </w:r>
      <w:r w:rsidRPr="00120D77">
        <w:rPr>
          <w:rFonts w:cs="Times New Roman"/>
          <w:lang w:val="fr-CA"/>
        </w:rPr>
        <w:noBreakHyphen/>
        <w:t xml:space="preserve">tendaient la </w:t>
      </w:r>
      <w:r w:rsidRPr="00120D77">
        <w:rPr>
          <w:rFonts w:cs="Times New Roman"/>
          <w:i/>
          <w:lang w:val="fr-CA"/>
        </w:rPr>
        <w:t>Loi de 1991 sur l’arbitrage</w:t>
      </w:r>
      <w:r w:rsidRPr="00120D77">
        <w:rPr>
          <w:rFonts w:cs="Times New Roman"/>
          <w:lang w:val="fr-CA"/>
        </w:rPr>
        <w:t xml:space="preserve">, à savoir l’accès à la justice, l’opportunité et la limitation du rôle des tribunaux aux circonstances où leur participation améliorerait l’efficacité et réduirait les retards. Lors de la présentation de la </w:t>
      </w:r>
      <w:r w:rsidRPr="00120D77">
        <w:rPr>
          <w:rFonts w:cs="Times New Roman"/>
          <w:i/>
          <w:lang w:val="fr-CA"/>
        </w:rPr>
        <w:t>Loi de 1991 sur l’arbitrage</w:t>
      </w:r>
      <w:r w:rsidRPr="00120D77">
        <w:rPr>
          <w:rFonts w:cs="Times New Roman"/>
          <w:lang w:val="fr-CA"/>
        </w:rPr>
        <w:t>, Howard Hampton, le procureur général de l’époque, a dit ceci :</w:t>
      </w:r>
    </w:p>
    <w:p w:rsidR="00B618DD" w:rsidRPr="00120D77" w:rsidRDefault="00B618DD" w:rsidP="00B618DD">
      <w:pPr>
        <w:pStyle w:val="Citation-AltC"/>
        <w:tabs>
          <w:tab w:val="left" w:pos="1620"/>
        </w:tabs>
        <w:spacing w:after="240"/>
        <w:ind w:hanging="1166"/>
        <w:contextualSpacing w:val="0"/>
        <w:rPr>
          <w:lang w:val="fr-CA"/>
        </w:rPr>
      </w:pPr>
      <w:r w:rsidRPr="00120D77">
        <w:rPr>
          <w:lang w:val="fr-CA"/>
        </w:rPr>
        <w:tab/>
      </w:r>
      <w:r w:rsidRPr="00120D77">
        <w:rPr>
          <w:lang w:val="fr-CA"/>
        </w:rPr>
        <w:tab/>
        <w:t>[</w:t>
      </w:r>
      <w:r w:rsidRPr="00120D77">
        <w:rPr>
          <w:smallCaps/>
          <w:lang w:val="fr-CA"/>
        </w:rPr>
        <w:t>traduction</w:t>
      </w:r>
      <w:r w:rsidRPr="00120D77">
        <w:rPr>
          <w:lang w:val="fr-CA"/>
        </w:rPr>
        <w:t>]</w:t>
      </w:r>
      <w:r>
        <w:rPr>
          <w:lang w:val="fr-CA"/>
        </w:rPr>
        <w:t xml:space="preserve"> </w:t>
      </w:r>
      <w:r w:rsidRPr="00120D77">
        <w:rPr>
          <w:lang w:val="fr-CA"/>
        </w:rPr>
        <w:t>L’un des engagements qu’a pris le présent gouvernement envers les Ontariens est d’</w:t>
      </w:r>
      <w:r w:rsidRPr="00120D77">
        <w:rPr>
          <w:i/>
          <w:lang w:val="fr-CA"/>
        </w:rPr>
        <w:t>améliorer l’accès à la justice dans la province</w:t>
      </w:r>
      <w:r w:rsidRPr="00120D77">
        <w:rPr>
          <w:lang w:val="fr-CA"/>
        </w:rPr>
        <w:t>. L’exécution de cet engagement comportera la mise en œuvre de toute une série de programmes et de politiques. Elle comprendra également des mesures de réforme du droit visant à simplifier le système judiciaire souvent intimidant pour l’usage du public.</w:t>
      </w:r>
    </w:p>
    <w:p w:rsidR="00B618DD" w:rsidRPr="00120D77" w:rsidRDefault="00B618DD" w:rsidP="00B618DD">
      <w:pPr>
        <w:pStyle w:val="Citation-AltC"/>
        <w:tabs>
          <w:tab w:val="left" w:pos="1620"/>
        </w:tabs>
        <w:spacing w:after="240"/>
        <w:ind w:hanging="1166"/>
        <w:contextualSpacing w:val="0"/>
        <w:rPr>
          <w:lang w:val="fr-CA"/>
        </w:rPr>
      </w:pPr>
      <w:r w:rsidRPr="00120D77">
        <w:rPr>
          <w:lang w:val="fr-CA"/>
        </w:rPr>
        <w:tab/>
      </w:r>
      <w:r w:rsidRPr="00120D77">
        <w:rPr>
          <w:lang w:val="fr-CA"/>
        </w:rPr>
        <w:tab/>
        <w:t xml:space="preserve">Dans ce contexte, je présente aujourd’hui en première lecture la Loi de 1991 sur l’arbitrage. L’arbitrage est un bon moyen accessible de tenter d’obtenir le règlement de plusieurs types de différends. Il peut être </w:t>
      </w:r>
      <w:r w:rsidRPr="00120D77">
        <w:rPr>
          <w:i/>
          <w:lang w:val="fr-CA"/>
        </w:rPr>
        <w:t xml:space="preserve">plus opportun et moins coûteux que de s’adresser aux tribunaux. </w:t>
      </w:r>
      <w:r w:rsidRPr="00120D77">
        <w:rPr>
          <w:lang w:val="fr-CA"/>
        </w:rPr>
        <w:t>Les parties peuvent élaborer leurs propres procédures et choisir des arbitres compétents.</w:t>
      </w:r>
    </w:p>
    <w:p w:rsidR="00B618DD" w:rsidRPr="00120D77" w:rsidRDefault="00B618DD" w:rsidP="00B618DD">
      <w:pPr>
        <w:pStyle w:val="Citation-AltC"/>
        <w:tabs>
          <w:tab w:val="left" w:pos="4590"/>
        </w:tabs>
        <w:spacing w:after="240"/>
        <w:ind w:left="2520" w:hanging="1166"/>
        <w:contextualSpacing w:val="0"/>
        <w:jc w:val="center"/>
        <w:rPr>
          <w:lang w:val="fr-CA"/>
        </w:rPr>
      </w:pPr>
      <w:r>
        <w:rPr>
          <w:lang w:val="fr-CA"/>
        </w:rPr>
        <w:t>. . .</w:t>
      </w:r>
    </w:p>
    <w:p w:rsidR="00B618DD" w:rsidRPr="00120D77" w:rsidRDefault="00B618DD" w:rsidP="00B618DD">
      <w:pPr>
        <w:pStyle w:val="Citation-AltC"/>
        <w:tabs>
          <w:tab w:val="left" w:pos="1620"/>
        </w:tabs>
        <w:spacing w:after="240"/>
        <w:ind w:hanging="446"/>
        <w:contextualSpacing w:val="0"/>
        <w:rPr>
          <w:lang w:val="fr-CA"/>
        </w:rPr>
      </w:pPr>
      <w:r w:rsidRPr="00120D77">
        <w:rPr>
          <w:lang w:val="fr-CA"/>
        </w:rPr>
        <w:tab/>
      </w:r>
      <w:r w:rsidRPr="00120D77">
        <w:rPr>
          <w:lang w:val="fr-CA"/>
        </w:rPr>
        <w:tab/>
        <w:t>La nouvelle loi permettra aux gens de soumettre plus facilement leurs différends privés à l’arbitrage en vue d’un règlement, et ce, de plusieurs façons :</w:t>
      </w:r>
    </w:p>
    <w:p w:rsidR="00B618DD" w:rsidRPr="00120D77" w:rsidRDefault="00B618DD" w:rsidP="00B618DD">
      <w:pPr>
        <w:pStyle w:val="Citation-AltC"/>
        <w:tabs>
          <w:tab w:val="left" w:pos="1620"/>
        </w:tabs>
        <w:spacing w:after="240"/>
        <w:contextualSpacing w:val="0"/>
        <w:rPr>
          <w:lang w:val="fr-CA"/>
        </w:rPr>
      </w:pPr>
      <w:r w:rsidRPr="00120D77">
        <w:rPr>
          <w:lang w:val="fr-CA"/>
        </w:rPr>
        <w:tab/>
        <w:t>D’abord, lorsque les gens auront convenu d’aller en arbitrage, la loi fera en sorte que toutes les parties respectent cette convention.</w:t>
      </w:r>
    </w:p>
    <w:p w:rsidR="00B618DD" w:rsidRPr="0098447F" w:rsidRDefault="00B618DD" w:rsidP="00B618DD">
      <w:pPr>
        <w:pStyle w:val="Citation-AltC"/>
        <w:tabs>
          <w:tab w:val="left" w:pos="1620"/>
        </w:tabs>
        <w:spacing w:after="240"/>
        <w:ind w:hanging="266"/>
        <w:contextualSpacing w:val="0"/>
        <w:rPr>
          <w:lang w:val="fr-CA"/>
        </w:rPr>
      </w:pPr>
      <w:r w:rsidRPr="00120D77">
        <w:rPr>
          <w:lang w:val="fr-CA"/>
        </w:rPr>
        <w:tab/>
      </w:r>
      <w:r w:rsidRPr="00120D77">
        <w:rPr>
          <w:lang w:val="fr-CA"/>
        </w:rPr>
        <w:tab/>
        <w:t xml:space="preserve">Ensuite, le pouvoir des tribunaux d’intervenir dans les arbitrages est </w:t>
      </w:r>
      <w:proofErr w:type="gramStart"/>
      <w:r w:rsidRPr="00120D77">
        <w:rPr>
          <w:lang w:val="fr-CA"/>
        </w:rPr>
        <w:t>énoncé</w:t>
      </w:r>
      <w:proofErr w:type="gramEnd"/>
      <w:r w:rsidRPr="00120D77">
        <w:rPr>
          <w:lang w:val="fr-CA"/>
        </w:rPr>
        <w:t xml:space="preserve"> précisément et, par conséquent, </w:t>
      </w:r>
      <w:r w:rsidRPr="00120D77">
        <w:rPr>
          <w:i/>
          <w:lang w:val="fr-CA"/>
        </w:rPr>
        <w:t>les tribunaux joueront un rôle constructif et seront moins susceptibles d’être utilisés par des parties réticentes pour retarder les instances.</w:t>
      </w:r>
      <w:r>
        <w:rPr>
          <w:lang w:val="fr-CA"/>
        </w:rPr>
        <w:t xml:space="preserve"> [Italiques ajoutés.]</w:t>
      </w:r>
    </w:p>
    <w:p w:rsidR="00B618DD" w:rsidRPr="00120D77" w:rsidRDefault="00B618DD" w:rsidP="00B618DD">
      <w:pPr>
        <w:pStyle w:val="Citation-AltC"/>
        <w:ind w:left="0"/>
        <w:contextualSpacing w:val="0"/>
        <w:rPr>
          <w:lang w:val="fr-CA"/>
        </w:rPr>
      </w:pPr>
      <w:r w:rsidRPr="00120D77">
        <w:rPr>
          <w:lang w:val="fr-CA"/>
        </w:rPr>
        <w:t xml:space="preserve">(Assemblée législative de l’Ontario, </w:t>
      </w:r>
      <w:r w:rsidRPr="00120D77">
        <w:rPr>
          <w:i/>
          <w:lang w:val="fr-CA"/>
        </w:rPr>
        <w:t>Journal des débats (</w:t>
      </w:r>
      <w:proofErr w:type="spellStart"/>
      <w:r w:rsidRPr="00120D77">
        <w:rPr>
          <w:i/>
          <w:lang w:val="fr-CA"/>
        </w:rPr>
        <w:t>Hansard</w:t>
      </w:r>
      <w:proofErr w:type="spellEnd"/>
      <w:r w:rsidRPr="00120D77">
        <w:rPr>
          <w:i/>
          <w:lang w:val="fr-CA"/>
        </w:rPr>
        <w:t>)</w:t>
      </w:r>
      <w:r w:rsidRPr="00120D77">
        <w:rPr>
          <w:lang w:val="fr-CA"/>
        </w:rPr>
        <w:t>, 1</w:t>
      </w:r>
      <w:r w:rsidRPr="00120D77">
        <w:rPr>
          <w:vertAlign w:val="superscript"/>
          <w:lang w:val="fr-CA"/>
        </w:rPr>
        <w:t>re</w:t>
      </w:r>
      <w:r w:rsidRPr="00120D77">
        <w:rPr>
          <w:lang w:val="fr-CA"/>
        </w:rPr>
        <w:t> </w:t>
      </w:r>
      <w:proofErr w:type="spellStart"/>
      <w:proofErr w:type="gramStart"/>
      <w:r w:rsidRPr="00120D77">
        <w:rPr>
          <w:lang w:val="fr-CA"/>
        </w:rPr>
        <w:t>sess</w:t>
      </w:r>
      <w:proofErr w:type="spellEnd"/>
      <w:r w:rsidRPr="00120D77">
        <w:rPr>
          <w:lang w:val="fr-CA"/>
        </w:rPr>
        <w:t>.,</w:t>
      </w:r>
      <w:proofErr w:type="gramEnd"/>
      <w:r w:rsidRPr="00120D77">
        <w:rPr>
          <w:lang w:val="fr-CA"/>
        </w:rPr>
        <w:t xml:space="preserve"> 35</w:t>
      </w:r>
      <w:r w:rsidRPr="00120D77">
        <w:rPr>
          <w:vertAlign w:val="superscript"/>
          <w:lang w:val="fr-CA"/>
        </w:rPr>
        <w:t>e</w:t>
      </w:r>
      <w:r w:rsidRPr="00120D77">
        <w:rPr>
          <w:lang w:val="fr-CA"/>
        </w:rPr>
        <w:t xml:space="preserve"> </w:t>
      </w:r>
      <w:proofErr w:type="spellStart"/>
      <w:r w:rsidRPr="00120D77">
        <w:rPr>
          <w:lang w:val="fr-CA"/>
        </w:rPr>
        <w:t>lég</w:t>
      </w:r>
      <w:proofErr w:type="spellEnd"/>
      <w:r w:rsidRPr="00120D77">
        <w:rPr>
          <w:lang w:val="fr-CA"/>
        </w:rPr>
        <w:t>., 27 mars 1991, p. 245)</w:t>
      </w:r>
    </w:p>
    <w:p w:rsidR="00B618DD" w:rsidRPr="00120D77" w:rsidRDefault="00B618DD" w:rsidP="00B618DD">
      <w:pPr>
        <w:pStyle w:val="ParaNoNdepar-AltN"/>
        <w:rPr>
          <w:rFonts w:cs="Times New Roman"/>
          <w:lang w:val="fr-CA"/>
        </w:rPr>
      </w:pPr>
      <w:r w:rsidRPr="00120D77">
        <w:rPr>
          <w:rFonts w:cs="Times New Roman"/>
          <w:lang w:val="fr-CA"/>
        </w:rPr>
        <w:t>Lors de la première lecture du projet de loi, le même jour, le procureur général a en outre expliqué ceci :</w:t>
      </w:r>
    </w:p>
    <w:p w:rsidR="00B618DD" w:rsidRPr="00120D77" w:rsidRDefault="00B618DD" w:rsidP="00B618DD">
      <w:pPr>
        <w:pStyle w:val="Citation-AltC"/>
        <w:spacing w:after="240"/>
        <w:ind w:hanging="1166"/>
        <w:contextualSpacing w:val="0"/>
        <w:rPr>
          <w:lang w:val="fr-CA"/>
        </w:rPr>
      </w:pPr>
      <w:r w:rsidRPr="00120D77">
        <w:rPr>
          <w:lang w:val="fr-CA"/>
        </w:rPr>
        <w:tab/>
        <w:t>[</w:t>
      </w:r>
      <w:r w:rsidRPr="00120D77">
        <w:rPr>
          <w:smallCaps/>
          <w:lang w:val="fr-CA"/>
        </w:rPr>
        <w:t>traduction</w:t>
      </w:r>
      <w:r w:rsidRPr="00120D77">
        <w:rPr>
          <w:lang w:val="fr-CA"/>
        </w:rPr>
        <w:t xml:space="preserve">] Les principes directeurs de la nouvelle Loi sur l’arbitrage sont que les parties à une convention d’arbitrage valide doivent respecter l’entente qu’elles ont conclue, qu’elles doivent être libres d’élaborer comme elles l’entendent leur propre processus d’arbitrage </w:t>
      </w:r>
      <w:r w:rsidRPr="00120D77">
        <w:rPr>
          <w:i/>
          <w:lang w:val="fr-CA"/>
        </w:rPr>
        <w:t>dans les limites de l’équité générale</w:t>
      </w:r>
      <w:r w:rsidRPr="00120D77">
        <w:rPr>
          <w:lang w:val="fr-CA"/>
        </w:rPr>
        <w:t xml:space="preserve">, que </w:t>
      </w:r>
      <w:r w:rsidRPr="00120D77">
        <w:rPr>
          <w:i/>
          <w:lang w:val="fr-CA"/>
        </w:rPr>
        <w:t>les possibilités d’occasionner un retard doivent être réduites au minimum</w:t>
      </w:r>
      <w:r w:rsidRPr="00120D77">
        <w:rPr>
          <w:lang w:val="fr-CA"/>
        </w:rPr>
        <w:t xml:space="preserve"> et, enfin, que les sentences arbitrales doivent être faciles à exécuter et susceptibles de contrôle judiciaire seulement en ce qui concerne des irrégularités précises.</w:t>
      </w:r>
      <w:r>
        <w:rPr>
          <w:lang w:val="fr-CA"/>
        </w:rPr>
        <w:t xml:space="preserve"> [Italiques ajoutés.]</w:t>
      </w:r>
    </w:p>
    <w:p w:rsidR="00B618DD" w:rsidRPr="00120D77" w:rsidRDefault="00B618DD" w:rsidP="00B618DD">
      <w:pPr>
        <w:pStyle w:val="Citation-AltC"/>
        <w:ind w:hanging="1166"/>
        <w:contextualSpacing w:val="0"/>
        <w:rPr>
          <w:lang w:val="fr-CA"/>
        </w:rPr>
      </w:pPr>
      <w:r w:rsidRPr="00120D77">
        <w:rPr>
          <w:lang w:val="fr-CA"/>
        </w:rPr>
        <w:t>(Assemblée législative de l’Ontario, p. 256)</w:t>
      </w:r>
    </w:p>
    <w:p w:rsidR="00B618DD" w:rsidRPr="00120D77" w:rsidRDefault="00B618DD" w:rsidP="00B618DD">
      <w:pPr>
        <w:pStyle w:val="ParaNoNdepar-AltN"/>
        <w:rPr>
          <w:rFonts w:cs="Times New Roman"/>
          <w:lang w:val="fr-CA"/>
        </w:rPr>
      </w:pPr>
      <w:r w:rsidRPr="00120D77">
        <w:rPr>
          <w:rFonts w:cs="Times New Roman"/>
          <w:lang w:val="fr-CA"/>
        </w:rPr>
        <w:t xml:space="preserve">Ces déclarations donnent un aperçu des raisons d’être de la loi ainsi que des moyens par lesquels elles étaient censées être mises en œuvre. L’objet général de la </w:t>
      </w:r>
      <w:r w:rsidRPr="00120D77">
        <w:rPr>
          <w:rFonts w:cs="Times New Roman"/>
          <w:i/>
          <w:lang w:val="fr-CA"/>
        </w:rPr>
        <w:t>Loi de 1991 sur l’arbitrage</w:t>
      </w:r>
      <w:r w:rsidRPr="00120D77">
        <w:rPr>
          <w:rFonts w:cs="Times New Roman"/>
          <w:lang w:val="fr-CA"/>
        </w:rPr>
        <w:t xml:space="preserve"> était de promouvoir l’accès à la justice. Le moyen choisi pour atteindre cet objectif consistait à favoriser l’accessibilité en donnant aux parties le choix de régler leurs différends en dehors du système judiciaire. Cette possibilité a été offerte en reconnaissance du fait que le système judiciaire peut être lent et coûteux. Le pouvoir discrétionnaire des tribunaux d’intervenir dans les affaires arbitrables a donc été restreint afin de favoriser la réalisation des objectifs du règlement opportun des différends.</w:t>
      </w:r>
    </w:p>
    <w:p w:rsidR="00B618DD" w:rsidRPr="00120D77" w:rsidRDefault="00B618DD" w:rsidP="00B618DD">
      <w:pPr>
        <w:pStyle w:val="ParaNoNdepar-AltN"/>
        <w:rPr>
          <w:rFonts w:cs="Times New Roman"/>
          <w:lang w:val="fr-CA"/>
        </w:rPr>
      </w:pPr>
      <w:r w:rsidRPr="00120D77">
        <w:rPr>
          <w:rFonts w:cs="Times New Roman"/>
          <w:lang w:val="fr-CA"/>
        </w:rPr>
        <w:t xml:space="preserve">La </w:t>
      </w:r>
      <w:r w:rsidRPr="00120D77">
        <w:rPr>
          <w:rFonts w:cs="Times New Roman"/>
          <w:i/>
          <w:lang w:val="fr-CA"/>
        </w:rPr>
        <w:t xml:space="preserve">Loi de 1991 sur l’arbitrage </w:t>
      </w:r>
      <w:r w:rsidRPr="00120D77">
        <w:rPr>
          <w:rFonts w:cs="Times New Roman"/>
          <w:lang w:val="fr-CA"/>
        </w:rPr>
        <w:t xml:space="preserve">instaure un régime permettant l’arbitrage privé efficace des différends visés par une convention d’arbitrage. Elle établit des règles applicables par défaut qui régissent les arbitrages et le rôle des tribunaux relativement aux arbitrages privés. Diverses dispositions prévoient les situations où l’intervention des tribunaux est justifiée, où l’appui des tribunaux est nécessaire pour donner effet aux processus et aux sentences d’arbitrage privé et où les appels devant les tribunaux sont nécessaires. D’une manière générale, la </w:t>
      </w:r>
      <w:r w:rsidRPr="00120D77">
        <w:rPr>
          <w:rFonts w:cs="Times New Roman"/>
          <w:i/>
          <w:lang w:val="fr-CA"/>
        </w:rPr>
        <w:t>Loi de 1991 sur l’arbitrage</w:t>
      </w:r>
      <w:r w:rsidRPr="00120D77">
        <w:rPr>
          <w:rFonts w:cs="Times New Roman"/>
          <w:lang w:val="fr-CA"/>
        </w:rPr>
        <w:t xml:space="preserve"> vise à faciliter le règlement efficace et opportun des différends.</w:t>
      </w:r>
    </w:p>
    <w:p w:rsidR="00B618DD" w:rsidRPr="00120D77" w:rsidRDefault="00B618DD" w:rsidP="00B618DD">
      <w:pPr>
        <w:pStyle w:val="ParaNoNdepar-AltN"/>
        <w:rPr>
          <w:rFonts w:cs="Times New Roman"/>
          <w:lang w:val="fr-CA"/>
        </w:rPr>
      </w:pPr>
      <w:r w:rsidRPr="00120D77">
        <w:rPr>
          <w:rFonts w:cs="Times New Roman"/>
          <w:lang w:val="fr-CA"/>
        </w:rPr>
        <w:t xml:space="preserve">Depuis 1998, les tribunaux ontariens ont invariablement mis l’accent sur les objets de la </w:t>
      </w:r>
      <w:r w:rsidRPr="00120D77">
        <w:rPr>
          <w:rFonts w:cs="Times New Roman"/>
          <w:i/>
          <w:lang w:val="fr-CA"/>
        </w:rPr>
        <w:t>Loi de 1991 sur l’arbitrage</w:t>
      </w:r>
      <w:r w:rsidRPr="00120D77">
        <w:rPr>
          <w:rFonts w:cs="Times New Roman"/>
          <w:lang w:val="fr-CA"/>
        </w:rPr>
        <w:t xml:space="preserve"> lorsqu’ils ont interprété le par. 7(5) comme conférant le pouvoir discrétionnaire d’écarter la convention d’arbitrage lorsqu’il serait déraisonnable de dissocier les questions arbitrables de celles qui ne le sont pas. Dans l’affaire </w:t>
      </w:r>
      <w:proofErr w:type="spellStart"/>
      <w:r w:rsidRPr="00120D77">
        <w:rPr>
          <w:rFonts w:cs="Times New Roman"/>
          <w:i/>
          <w:lang w:val="fr-CA"/>
        </w:rPr>
        <w:t>Rosedale</w:t>
      </w:r>
      <w:proofErr w:type="spellEnd"/>
      <w:r w:rsidRPr="00120D77">
        <w:rPr>
          <w:rFonts w:cs="Times New Roman"/>
          <w:i/>
          <w:lang w:val="fr-CA"/>
        </w:rPr>
        <w:t xml:space="preserve"> Motors Inc. c. Petro</w:t>
      </w:r>
      <w:r w:rsidRPr="00120D77">
        <w:rPr>
          <w:rFonts w:cs="Times New Roman"/>
          <w:i/>
          <w:lang w:val="fr-CA"/>
        </w:rPr>
        <w:noBreakHyphen/>
        <w:t>Canada Inc</w:t>
      </w:r>
      <w:r w:rsidRPr="00120D77">
        <w:rPr>
          <w:rFonts w:cs="Times New Roman"/>
          <w:lang w:val="fr-CA"/>
        </w:rPr>
        <w:t xml:space="preserve">. (1998), 42 O.R. (3d) 776 (C.S.J.), </w:t>
      </w:r>
      <w:proofErr w:type="spellStart"/>
      <w:r w:rsidRPr="00120D77">
        <w:rPr>
          <w:rFonts w:cs="Times New Roman"/>
          <w:lang w:val="fr-CA"/>
        </w:rPr>
        <w:t>Rosedale</w:t>
      </w:r>
      <w:proofErr w:type="spellEnd"/>
      <w:r w:rsidRPr="00120D77">
        <w:rPr>
          <w:rFonts w:cs="Times New Roman"/>
          <w:lang w:val="fr-CA"/>
        </w:rPr>
        <w:t xml:space="preserve"> Motors a tenté de porter devant le tribunal plusieurs questions, dont certaines étaient régies par une convention d’arbitrage et d’autres non. Petro</w:t>
      </w:r>
      <w:r w:rsidRPr="00120D77">
        <w:rPr>
          <w:rFonts w:cs="Times New Roman"/>
          <w:lang w:val="fr-CA"/>
        </w:rPr>
        <w:noBreakHyphen/>
        <w:t>Canada Inc. a demandé un sursis à l’égard des questions arbitrables. Le juge Sharpe a conclu que [</w:t>
      </w:r>
      <w:r w:rsidRPr="00120D77">
        <w:rPr>
          <w:rFonts w:cs="Times New Roman"/>
          <w:smallCaps/>
          <w:lang w:val="fr-CA"/>
        </w:rPr>
        <w:t>traduction</w:t>
      </w:r>
      <w:r w:rsidRPr="00120D77">
        <w:rPr>
          <w:rFonts w:cs="Times New Roman"/>
          <w:lang w:val="fr-CA"/>
        </w:rPr>
        <w:t>] « [l]e libellé du</w:t>
      </w:r>
      <w:r w:rsidRPr="00120D77">
        <w:rPr>
          <w:rFonts w:eastAsia="Times New Roman" w:cs="Times New Roman"/>
          <w:szCs w:val="24"/>
          <w:lang w:val="fr-CA" w:eastAsia="en-CA"/>
        </w:rPr>
        <w:t xml:space="preserve"> </w:t>
      </w:r>
      <w:r w:rsidRPr="00120D77">
        <w:rPr>
          <w:rFonts w:cs="Times New Roman"/>
          <w:lang w:val="fr-CA"/>
        </w:rPr>
        <w:t xml:space="preserve">par. 7(5) de la </w:t>
      </w:r>
      <w:r w:rsidRPr="00120D77">
        <w:rPr>
          <w:rFonts w:cs="Times New Roman"/>
          <w:i/>
          <w:lang w:val="fr-CA"/>
        </w:rPr>
        <w:t>Loi de 1991 sur l’arbitrage</w:t>
      </w:r>
      <w:r w:rsidRPr="00120D77">
        <w:rPr>
          <w:rFonts w:cs="Times New Roman"/>
          <w:lang w:val="fr-CA"/>
        </w:rPr>
        <w:t xml:space="preserve">, L.O. 1991, c. 17, étaye l’existence d’un pouvoir discrétionnaire de refuser d’accorder un sursis lorsqu’il n’est pas raisonnable de dissocier </w:t>
      </w:r>
      <w:r w:rsidRPr="00120D77">
        <w:rPr>
          <w:rFonts w:cs="Times New Roman"/>
          <w:lang w:val="fr-FR"/>
        </w:rPr>
        <w:t>les questions traitées dans la convention des autres questions</w:t>
      </w:r>
      <w:r w:rsidRPr="00120D77">
        <w:rPr>
          <w:rFonts w:cs="Times New Roman"/>
          <w:lang w:val="fr-CA"/>
        </w:rPr>
        <w:t xml:space="preserve"> opposant les parties » (p. 783</w:t>
      </w:r>
      <w:r w:rsidRPr="00120D77">
        <w:rPr>
          <w:rFonts w:cs="Times New Roman"/>
          <w:lang w:val="fr-CA"/>
        </w:rPr>
        <w:noBreakHyphen/>
        <w:t>784).</w:t>
      </w:r>
    </w:p>
    <w:p w:rsidR="00B618DD" w:rsidRPr="00120D77" w:rsidRDefault="00B618DD" w:rsidP="00B618DD">
      <w:pPr>
        <w:pStyle w:val="ParaNoNdepar-AltN"/>
        <w:rPr>
          <w:rFonts w:cs="Times New Roman"/>
          <w:lang w:val="fr-CA"/>
        </w:rPr>
      </w:pPr>
      <w:r w:rsidRPr="00120D77">
        <w:rPr>
          <w:rFonts w:cs="Times New Roman"/>
          <w:lang w:val="fr-CA"/>
        </w:rPr>
        <w:t xml:space="preserve">La Cour d’appel de l’Ontario a adopté cette interprétation dans l’arrêt </w:t>
      </w:r>
      <w:r w:rsidRPr="00120D77">
        <w:rPr>
          <w:rFonts w:cs="Times New Roman"/>
          <w:i/>
          <w:lang w:val="fr-CA"/>
        </w:rPr>
        <w:t>Brown c. Murphy</w:t>
      </w:r>
      <w:r w:rsidRPr="00120D77">
        <w:rPr>
          <w:rFonts w:cs="Times New Roman"/>
          <w:lang w:val="fr-CA"/>
        </w:rPr>
        <w:t xml:space="preserve"> (2002), 59 O.R. (3d) 404 (C.A.), et y a souscrit dans le contexte des instances multipartites dans l’arrêt </w:t>
      </w:r>
      <w:bookmarkStart w:id="6" w:name="_Toc534871588"/>
      <w:proofErr w:type="spellStart"/>
      <w:r w:rsidRPr="00120D77">
        <w:rPr>
          <w:rFonts w:cs="Times New Roman"/>
          <w:i/>
          <w:lang w:val="fr-CA"/>
        </w:rPr>
        <w:t>Radewych</w:t>
      </w:r>
      <w:bookmarkEnd w:id="6"/>
      <w:proofErr w:type="spellEnd"/>
      <w:r w:rsidRPr="00120D77">
        <w:rPr>
          <w:rFonts w:cs="Times New Roman"/>
          <w:lang w:val="fr-CA"/>
        </w:rPr>
        <w:t>.</w:t>
      </w:r>
    </w:p>
    <w:p w:rsidR="00B618DD" w:rsidRPr="00120D77" w:rsidRDefault="00B618DD" w:rsidP="00B618DD">
      <w:pPr>
        <w:pStyle w:val="ParaNoNdepar-AltN"/>
        <w:rPr>
          <w:rFonts w:cs="Times New Roman"/>
          <w:lang w:val="fr-CA"/>
        </w:rPr>
      </w:pPr>
      <w:r w:rsidRPr="00120D77">
        <w:rPr>
          <w:rFonts w:cs="Times New Roman"/>
          <w:lang w:val="fr-CA"/>
        </w:rPr>
        <w:t xml:space="preserve">L’année suivante, dans l’arrêt </w:t>
      </w:r>
      <w:r w:rsidRPr="00120D77">
        <w:rPr>
          <w:rFonts w:cs="Times New Roman"/>
          <w:i/>
          <w:lang w:val="fr-CA"/>
        </w:rPr>
        <w:t>Penn</w:t>
      </w:r>
      <w:r w:rsidRPr="00120D77">
        <w:rPr>
          <w:rFonts w:cs="Times New Roman"/>
          <w:i/>
          <w:lang w:val="fr-CA"/>
        </w:rPr>
        <w:noBreakHyphen/>
        <w:t>Co Construction</w:t>
      </w:r>
      <w:r w:rsidRPr="00120D77">
        <w:rPr>
          <w:rFonts w:cs="Times New Roman"/>
          <w:lang w:val="fr-CA"/>
        </w:rPr>
        <w:t>, la Cour d’appel a souligné la nécessité pratique de permettre aux tribunaux d’instruire les réclamations générales, dont certaines seraient par ailleurs visées par des procédures d’arbitrage. Dans cette affaire, Penn</w:t>
      </w:r>
      <w:r w:rsidRPr="00120D77">
        <w:rPr>
          <w:rFonts w:cs="Times New Roman"/>
          <w:lang w:val="fr-CA"/>
        </w:rPr>
        <w:noBreakHyphen/>
        <w:t>Co avait présenté contre Constance Lake First Nation une réclamation allant au</w:t>
      </w:r>
      <w:r w:rsidRPr="00120D77">
        <w:rPr>
          <w:rFonts w:cs="Times New Roman"/>
          <w:lang w:val="fr-CA"/>
        </w:rPr>
        <w:noBreakHyphen/>
        <w:t>delà des questions indiquées dans la convention comme étant arbitrables. Elle avait également présenté une réclamation contre plusieurs autres parties qui n’étaient pas liées contractuellement par la clause d’arbitrage. Penn</w:t>
      </w:r>
      <w:r w:rsidRPr="00120D77">
        <w:rPr>
          <w:rFonts w:cs="Times New Roman"/>
          <w:lang w:val="fr-CA"/>
        </w:rPr>
        <w:noBreakHyphen/>
        <w:t>Co avait par la suite tenté de faire exécuter la convention d’arbitrage contre certaines parties. La Cour d’appel a confirmé la décision de la juge des requêtes selon laquelle le fait de permettre l’arbitrage de certaines réclamations et d’accorder un sursis à l’égard des autres entraînerait un dédoublement des efforts ainsi que des frais et inconvénients supplémentaires, et risquerait de donner lieu à des résultats incohérents (par. 5).</w:t>
      </w:r>
    </w:p>
    <w:p w:rsidR="00B618DD" w:rsidRPr="00120D77" w:rsidRDefault="00B618DD" w:rsidP="00B618DD">
      <w:pPr>
        <w:pStyle w:val="ParaNoNdepar-AltN"/>
        <w:rPr>
          <w:rFonts w:cs="Times New Roman"/>
          <w:lang w:val="fr-CA"/>
        </w:rPr>
      </w:pPr>
      <w:r w:rsidRPr="00120D77">
        <w:rPr>
          <w:rFonts w:cs="Times New Roman"/>
          <w:lang w:val="fr-CA"/>
        </w:rPr>
        <w:t xml:space="preserve">Cette décision a été suivie de l’arrêt </w:t>
      </w:r>
      <w:r w:rsidRPr="00120D77">
        <w:rPr>
          <w:rFonts w:cs="Times New Roman"/>
          <w:i/>
          <w:lang w:val="fr-CA"/>
        </w:rPr>
        <w:t>Griffin</w:t>
      </w:r>
      <w:r w:rsidRPr="00120D77">
        <w:rPr>
          <w:rFonts w:cs="Times New Roman"/>
          <w:lang w:val="fr-CA"/>
        </w:rPr>
        <w:t xml:space="preserve">, analysé précédemment dans les présents motifs, où la Cour d’appel a estimé que le dédoublement des efforts, l’inefficacité du processus judiciaire et les frais plus élevés en découlant — les problèmes mêmes que la </w:t>
      </w:r>
      <w:r w:rsidRPr="00120D77">
        <w:rPr>
          <w:rFonts w:cs="Times New Roman"/>
          <w:i/>
          <w:lang w:val="fr-CA"/>
        </w:rPr>
        <w:t xml:space="preserve">Loi de 1991 sur l’arbitrage </w:t>
      </w:r>
      <w:r w:rsidRPr="00120D77">
        <w:rPr>
          <w:rFonts w:cs="Times New Roman"/>
          <w:lang w:val="fr-CA"/>
        </w:rPr>
        <w:t>visait à régler</w:t>
      </w:r>
      <w:r w:rsidRPr="00120D77">
        <w:rPr>
          <w:rFonts w:cs="Times New Roman"/>
          <w:i/>
          <w:lang w:val="fr-CA"/>
        </w:rPr>
        <w:t xml:space="preserve"> </w:t>
      </w:r>
      <w:r w:rsidRPr="00120D77">
        <w:rPr>
          <w:rFonts w:cs="Times New Roman"/>
          <w:lang w:val="fr-CA"/>
        </w:rPr>
        <w:t>— étaient des éléments essentiels pour déterminer quand le pouvoir discrétionnaire s’appliquait. La cour a expliqué en quoi il serait encombrant et inefficace de dissocier les instances, soulignant qu’un recours collectif intenté par des consommateurs aurait lieu, que les réclamations des clients commerciaux y soient jointes ou non. Les questions relatives à la responsabilité et aux dommages</w:t>
      </w:r>
      <w:r w:rsidRPr="00120D77">
        <w:rPr>
          <w:rFonts w:cs="Times New Roman"/>
          <w:lang w:val="fr-CA"/>
        </w:rPr>
        <w:noBreakHyphen/>
        <w:t>intérêts seraient identiques. L’exclusion des réclamations des clients commerciaux entraînerait un dédoublement des efforts et des frais inutiles. De plus, l’arbitrage ind</w:t>
      </w:r>
      <w:r>
        <w:rPr>
          <w:rFonts w:cs="Times New Roman"/>
          <w:lang w:val="fr-CA"/>
        </w:rPr>
        <w:t>ividuel serait inefficace, car </w:t>
      </w:r>
    </w:p>
    <w:p w:rsidR="00B618DD" w:rsidRPr="00120D77" w:rsidRDefault="00B618DD" w:rsidP="00B618DD">
      <w:pPr>
        <w:pStyle w:val="Citation-AltC"/>
        <w:tabs>
          <w:tab w:val="left" w:pos="1710"/>
        </w:tabs>
        <w:ind w:firstLine="544"/>
        <w:contextualSpacing w:val="0"/>
        <w:rPr>
          <w:lang w:val="fr-CA"/>
        </w:rPr>
      </w:pPr>
      <w:r w:rsidRPr="00120D77">
        <w:rPr>
          <w:lang w:val="fr-CA"/>
        </w:rPr>
        <w:t>[</w:t>
      </w:r>
      <w:r w:rsidRPr="00120D77">
        <w:rPr>
          <w:smallCaps/>
          <w:lang w:val="fr-CA"/>
        </w:rPr>
        <w:t>traduction</w:t>
      </w:r>
      <w:r w:rsidRPr="00120D77">
        <w:rPr>
          <w:lang w:val="fr-CA"/>
        </w:rPr>
        <w:t xml:space="preserve">] </w:t>
      </w:r>
      <w:r>
        <w:rPr>
          <w:lang w:val="fr-CA"/>
        </w:rPr>
        <w:t>[</w:t>
      </w:r>
      <w:proofErr w:type="gramStart"/>
      <w:r w:rsidRPr="00120D77">
        <w:rPr>
          <w:lang w:val="fr-CA"/>
        </w:rPr>
        <w:t>un</w:t>
      </w:r>
      <w:proofErr w:type="gramEnd"/>
      <w:r>
        <w:rPr>
          <w:lang w:val="fr-CA"/>
        </w:rPr>
        <w:t>]</w:t>
      </w:r>
      <w:r w:rsidRPr="00120D77">
        <w:rPr>
          <w:lang w:val="fr-CA"/>
        </w:rPr>
        <w:t xml:space="preserve"> sursis partiel exigerait que l’on examine chaque réclamation et que l’on détermine s’il s’agit d’une réclamation présentée par un consommateur ou un non</w:t>
      </w:r>
      <w:r w:rsidRPr="00120D77">
        <w:rPr>
          <w:lang w:val="fr-CA"/>
        </w:rPr>
        <w:noBreakHyphen/>
        <w:t>consommateur, ce qui pourrait constituer un point litigieux pour de nombreux acheteurs, car les ordinateurs bloc</w:t>
      </w:r>
      <w:r>
        <w:rPr>
          <w:lang w:val="fr-CA"/>
        </w:rPr>
        <w:t>s</w:t>
      </w:r>
      <w:r w:rsidRPr="00120D77">
        <w:rPr>
          <w:lang w:val="fr-CA"/>
        </w:rPr>
        <w:noBreakHyphen/>
        <w:t>notes sont portatifs et fréquemment utilisés à des fins diverses. Le fait de dissocier les réclamations pouvant être portées devant le tribunal de celles devant être soumises à l’arbitrage coûterait cher et prendrait beaucoup de temps. [</w:t>
      </w:r>
      <w:proofErr w:type="gramStart"/>
      <w:r w:rsidRPr="00120D77">
        <w:rPr>
          <w:lang w:val="fr-CA"/>
        </w:rPr>
        <w:t>par</w:t>
      </w:r>
      <w:proofErr w:type="gramEnd"/>
      <w:r w:rsidRPr="00120D77">
        <w:rPr>
          <w:lang w:val="fr-CA"/>
        </w:rPr>
        <w:t>. 51]</w:t>
      </w:r>
    </w:p>
    <w:p w:rsidR="00B618DD" w:rsidRPr="00120D77" w:rsidRDefault="00B618DD" w:rsidP="00B618DD">
      <w:pPr>
        <w:pStyle w:val="ParaNoNdepar-AltN"/>
        <w:rPr>
          <w:rFonts w:cs="Times New Roman"/>
          <w:lang w:val="fr-CA"/>
        </w:rPr>
      </w:pPr>
      <w:r w:rsidRPr="00120D77">
        <w:rPr>
          <w:rFonts w:cs="Times New Roman"/>
          <w:lang w:val="fr-CA"/>
        </w:rPr>
        <w:t xml:space="preserve">Les tribunaux de l’Ontario appliquent cette interprétation du par. 7(5) depuis l’arrêt </w:t>
      </w:r>
      <w:r w:rsidRPr="00120D77">
        <w:rPr>
          <w:rFonts w:cs="Times New Roman"/>
          <w:i/>
          <w:lang w:val="fr-CA"/>
        </w:rPr>
        <w:t xml:space="preserve">Griffin </w:t>
      </w:r>
      <w:r w:rsidRPr="00120D77">
        <w:rPr>
          <w:rFonts w:cs="Times New Roman"/>
          <w:lang w:val="fr-CA"/>
        </w:rPr>
        <w:t>de la Cour d’appel rendu en 2010.</w:t>
      </w:r>
    </w:p>
    <w:p w:rsidR="00B618DD" w:rsidRPr="00120D77" w:rsidRDefault="00B618DD" w:rsidP="00B618DD">
      <w:pPr>
        <w:pStyle w:val="ParaNoNdepar-AltN"/>
        <w:rPr>
          <w:rFonts w:cs="Times New Roman"/>
          <w:lang w:val="fr-CA"/>
        </w:rPr>
      </w:pPr>
      <w:r w:rsidRPr="00120D77">
        <w:rPr>
          <w:rFonts w:eastAsia="Times New Roman" w:cs="Times New Roman"/>
          <w:lang w:val="fr-CA"/>
        </w:rPr>
        <w:t>Devant la Cour, M. </w:t>
      </w:r>
      <w:proofErr w:type="spellStart"/>
      <w:r w:rsidRPr="00120D77">
        <w:rPr>
          <w:rFonts w:eastAsia="Times New Roman" w:cs="Times New Roman"/>
          <w:lang w:val="fr-CA"/>
        </w:rPr>
        <w:t>Wellman</w:t>
      </w:r>
      <w:proofErr w:type="spellEnd"/>
      <w:r w:rsidRPr="00120D77">
        <w:rPr>
          <w:rFonts w:eastAsia="Times New Roman" w:cs="Times New Roman"/>
          <w:lang w:val="fr-CA"/>
        </w:rPr>
        <w:t xml:space="preserve"> soutient que les tribunaux de l’Ontario ont eu raison de conclure que le par. 7(5) s’applique chaque fois qu’une instance judiciaire touche des questions arbitrables et des questions non arbitrables </w:t>
      </w:r>
      <w:r w:rsidRPr="00120D77">
        <w:rPr>
          <w:rFonts w:cs="Times New Roman"/>
          <w:lang w:val="fr-CA"/>
        </w:rPr>
        <w:t>—</w:t>
      </w:r>
      <w:r w:rsidRPr="00120D77">
        <w:rPr>
          <w:rFonts w:eastAsia="Times New Roman" w:cs="Times New Roman"/>
          <w:lang w:val="fr-CA"/>
        </w:rPr>
        <w:t xml:space="preserve"> dans les cas où la convention d’arbitrage ne s’applique pas à toutes les questions soumises au tribunal, ou lorsque de multiples parties introduisent une instance et que certaines de ces parties sont liées par une convention d’arbitrage et d’autres non. M. </w:t>
      </w:r>
      <w:proofErr w:type="spellStart"/>
      <w:r w:rsidRPr="00120D77">
        <w:rPr>
          <w:rFonts w:eastAsia="Times New Roman" w:cs="Times New Roman"/>
          <w:lang w:val="fr-CA"/>
        </w:rPr>
        <w:t>Wellman</w:t>
      </w:r>
      <w:proofErr w:type="spellEnd"/>
      <w:r w:rsidRPr="00120D77">
        <w:rPr>
          <w:rFonts w:eastAsia="Times New Roman" w:cs="Times New Roman"/>
          <w:lang w:val="fr-CA"/>
        </w:rPr>
        <w:t xml:space="preserve"> affirme que, dans les deux cas, le tribunal </w:t>
      </w:r>
      <w:proofErr w:type="gramStart"/>
      <w:r w:rsidRPr="00120D77">
        <w:rPr>
          <w:rFonts w:eastAsia="Times New Roman" w:cs="Times New Roman"/>
          <w:lang w:val="fr-CA"/>
        </w:rPr>
        <w:t>a</w:t>
      </w:r>
      <w:proofErr w:type="gramEnd"/>
      <w:r w:rsidRPr="00120D77">
        <w:rPr>
          <w:rFonts w:eastAsia="Times New Roman" w:cs="Times New Roman"/>
          <w:lang w:val="fr-CA"/>
        </w:rPr>
        <w:t xml:space="preserve"> le pouvoir discrétionnaire de permettre que toutes les questions soient soumises au tribunal ou d’ordonner un sursis à l’égard des questions arbitrables afin qu’elles puissent être tranchées par l’arbitre. Pour décider s’il y a lieu d’accorder un sursis partiel à l’égard des questions arbitrables en vertu du par. 7(5), le juge doit établir s’il est raisonnable de dissocier les réclamations arbitrables des réclamations non arbitrables.</w:t>
      </w:r>
    </w:p>
    <w:p w:rsidR="00B618DD" w:rsidRPr="00120D77" w:rsidRDefault="00B618DD" w:rsidP="00B618DD">
      <w:pPr>
        <w:pStyle w:val="ParaNoNdepar-AltN"/>
        <w:rPr>
          <w:rFonts w:cs="Times New Roman"/>
          <w:lang w:val="fr-CA"/>
        </w:rPr>
      </w:pPr>
      <w:r w:rsidRPr="00120D77">
        <w:rPr>
          <w:rFonts w:cs="Times New Roman"/>
          <w:lang w:val="fr-CA"/>
        </w:rPr>
        <w:t xml:space="preserve">Par contre, TELUS cherche à faire infirmer l’arrêt </w:t>
      </w:r>
      <w:r w:rsidRPr="00120D77">
        <w:rPr>
          <w:rFonts w:cs="Times New Roman"/>
          <w:i/>
          <w:lang w:val="fr-CA"/>
        </w:rPr>
        <w:t>Griffin</w:t>
      </w:r>
      <w:r w:rsidRPr="00120D77">
        <w:rPr>
          <w:rFonts w:cs="Times New Roman"/>
          <w:lang w:val="fr-CA"/>
        </w:rPr>
        <w:t>, faisant valoir que le par. </w:t>
      </w:r>
      <w:r w:rsidRPr="00120D77">
        <w:rPr>
          <w:rFonts w:eastAsia="Times New Roman" w:cs="Times New Roman"/>
          <w:lang w:val="fr-CA"/>
        </w:rPr>
        <w:t xml:space="preserve">7(5) s’applique uniquement lorsque des parties qui sont liées par une convention d’arbitrage tentent d’engager une poursuite devant les tribunaux et que certaines questions ne sont pas mentionnées expressément dans la convention d’arbitrage. Le juge peut permettre que l’instance se poursuive en ce qui touche ces questions non arbitrables précises, ou encore ordonner un sursis à leur égard en attendant l’issue de l’arbitrage. </w:t>
      </w:r>
      <w:r w:rsidRPr="00120D77">
        <w:rPr>
          <w:rFonts w:cs="Times New Roman"/>
          <w:lang w:val="fr-CA"/>
        </w:rPr>
        <w:t xml:space="preserve">TELUS soutient que le par. 7(1) de la </w:t>
      </w:r>
      <w:r w:rsidRPr="00120D77">
        <w:rPr>
          <w:rFonts w:cs="Times New Roman"/>
          <w:i/>
          <w:lang w:val="fr-CA"/>
        </w:rPr>
        <w:t>Loi de 1991 sur l’arbitrage</w:t>
      </w:r>
      <w:r w:rsidRPr="00120D77">
        <w:rPr>
          <w:rFonts w:cs="Times New Roman"/>
          <w:lang w:val="fr-CA"/>
        </w:rPr>
        <w:t xml:space="preserve"> empêche absolument le tribunal d’instruire toute question visée par une convention d’arbitrage, et que le par. 7(5) ne confère au tribunal que le pouvoir discrétionnaire de décider quoi faire avec les questions non arbitrables : il peut y surseoir en attendant l’issue de l’arbitrage ou permettre qu’elles soient soumises au tribunal. Selon l’interprétation que donne TELUS à cette disposition, le par. 7(5) ne s’applique donc pas aux questions arbitrables, mais confère plutôt aux tribunaux uniquement le pouvoir discrétionnaire de décider de surseoir ou non aux questions non arbitrables.</w:t>
      </w:r>
    </w:p>
    <w:p w:rsidR="00B618DD" w:rsidRPr="00120D77" w:rsidRDefault="00B618DD" w:rsidP="00B618DD">
      <w:pPr>
        <w:pStyle w:val="ParaNoNdepar-AltN"/>
        <w:rPr>
          <w:rFonts w:cs="Times New Roman"/>
          <w:lang w:val="fr-CA"/>
        </w:rPr>
      </w:pPr>
      <w:r w:rsidRPr="00120D77">
        <w:rPr>
          <w:rFonts w:cs="Times New Roman"/>
          <w:lang w:val="fr-CA"/>
        </w:rPr>
        <w:t xml:space="preserve">Comme il a été mentionné précédemment, l’art. 7 de la </w:t>
      </w:r>
      <w:r w:rsidRPr="00120D77">
        <w:rPr>
          <w:rFonts w:cs="Times New Roman"/>
          <w:i/>
          <w:lang w:val="fr-CA"/>
        </w:rPr>
        <w:t>Loi de 1991 sur l’arbitrage</w:t>
      </w:r>
      <w:r w:rsidRPr="00120D77">
        <w:rPr>
          <w:rFonts w:cs="Times New Roman"/>
          <w:lang w:val="fr-CA"/>
        </w:rPr>
        <w:t xml:space="preserve"> énonce les règles en ce qui a trait au sursis. Suivant la règle applicable par défaut énoncée au </w:t>
      </w:r>
      <w:proofErr w:type="spellStart"/>
      <w:r w:rsidRPr="00120D77">
        <w:rPr>
          <w:rFonts w:cs="Times New Roman"/>
          <w:lang w:val="fr-CA"/>
        </w:rPr>
        <w:t>par</w:t>
      </w:r>
      <w:proofErr w:type="spellEnd"/>
      <w:r w:rsidRPr="00120D77">
        <w:rPr>
          <w:rFonts w:cs="Times New Roman"/>
          <w:lang w:val="fr-CA"/>
        </w:rPr>
        <w:t xml:space="preserve">. (1), sur demande d’une autre partie à la convention d’arbitrage, toute instance ayant trait à une question arbitrable doit faire l’objet d’un sursis. Cette règle est assortie des exceptions énoncées au </w:t>
      </w:r>
      <w:proofErr w:type="spellStart"/>
      <w:r w:rsidRPr="00120D77">
        <w:rPr>
          <w:rFonts w:cs="Times New Roman"/>
          <w:lang w:val="fr-CA"/>
        </w:rPr>
        <w:t>par</w:t>
      </w:r>
      <w:proofErr w:type="spellEnd"/>
      <w:r w:rsidRPr="00120D77">
        <w:rPr>
          <w:rFonts w:cs="Times New Roman"/>
          <w:lang w:val="fr-CA"/>
        </w:rPr>
        <w:t>. (2), qui comprennent les motifs liés au retard indu et à l’évaluation du bien</w:t>
      </w:r>
      <w:r w:rsidRPr="00120D77">
        <w:rPr>
          <w:rFonts w:cs="Times New Roman"/>
          <w:lang w:val="fr-CA"/>
        </w:rPr>
        <w:noBreakHyphen/>
        <w:t>fondé par le juge. Si le tribunal refuse de surseoir à l’instance, le par. (4) rend tout arbitrage sans effet.</w:t>
      </w:r>
    </w:p>
    <w:p w:rsidR="00B618DD" w:rsidRPr="00120D77" w:rsidRDefault="00B618DD" w:rsidP="00B618DD">
      <w:pPr>
        <w:pStyle w:val="ParaNoNdepar-AltN"/>
        <w:rPr>
          <w:rFonts w:cs="Times New Roman"/>
          <w:lang w:val="fr-CA"/>
        </w:rPr>
      </w:pPr>
      <w:r w:rsidRPr="00120D77">
        <w:rPr>
          <w:rFonts w:cs="Times New Roman"/>
          <w:lang w:val="fr-CA"/>
        </w:rPr>
        <w:t>Le paragraphe 7(5) traite des situations où l’instance touche à la fois des questions visées par une convention d’arbitrage et d’« autres questions » non arbitrables, qui ont été à juste titre soumises au tribunal. Dans de tels cas, le par. (5) permet au juge d’ordonner un sursis partiel à l’égard des questions arbitrables tout en permettant que l’instance se poursuive en ce qui touche les questions non arbitrables si le tribunal est convaincu a) que l’instance est « hybride »; et b) qu’il est raisonnable de dissocier les questions. La question de savoir s’il est raisonnable de dissocier les questions régit cet exercice du pouvoir discrétionnaire.</w:t>
      </w:r>
    </w:p>
    <w:p w:rsidR="00B618DD" w:rsidRPr="00120D77" w:rsidRDefault="00B618DD" w:rsidP="00B618DD">
      <w:pPr>
        <w:pStyle w:val="ParaNoNdepar-AltN"/>
        <w:rPr>
          <w:rFonts w:cs="Times New Roman"/>
          <w:lang w:val="fr-CA"/>
        </w:rPr>
      </w:pPr>
      <w:r w:rsidRPr="00120D77">
        <w:rPr>
          <w:rFonts w:cs="Times New Roman"/>
          <w:lang w:val="fr-CA"/>
        </w:rPr>
        <w:t>Rien dans le libellé de la disposition n’oblige le tribunal à interpréter le par. 7(5) (ou l’art. 7 dans son ensemble) sur la base partie</w:t>
      </w:r>
      <w:r w:rsidRPr="00120D77">
        <w:rPr>
          <w:rFonts w:cs="Times New Roman"/>
          <w:lang w:val="fr-CA"/>
        </w:rPr>
        <w:noBreakHyphen/>
        <w:t>partie, comme TELUS invite la Cour à le faire. Cette disposition est plutôt axée sur les « </w:t>
      </w:r>
      <w:r w:rsidRPr="00120D77">
        <w:rPr>
          <w:rFonts w:cs="Times New Roman"/>
          <w:lang w:val="fr-FR"/>
        </w:rPr>
        <w:t>questions à l’égard desquelles l’instance a été introduite »</w:t>
      </w:r>
      <w:r w:rsidRPr="00120D77">
        <w:rPr>
          <w:rFonts w:cs="Times New Roman"/>
          <w:lang w:val="fr-CA"/>
        </w:rPr>
        <w:t xml:space="preserve">. Le paragraphe (5) emploie les termes « instance » et « autres questions » d’une manière générale et sans réserve. Le juge des requêtes doit par conséquent considérer « l’instance » dans son ensemble. TELUS a raison de souligner que le terme « autres questions » employé au </w:t>
      </w:r>
      <w:proofErr w:type="spellStart"/>
      <w:r w:rsidRPr="00120D77">
        <w:rPr>
          <w:rFonts w:cs="Times New Roman"/>
          <w:lang w:val="fr-CA"/>
        </w:rPr>
        <w:t>par</w:t>
      </w:r>
      <w:proofErr w:type="spellEnd"/>
      <w:r w:rsidRPr="00120D77">
        <w:rPr>
          <w:rFonts w:cs="Times New Roman"/>
          <w:lang w:val="fr-CA"/>
        </w:rPr>
        <w:t>. 7(5) peut, dans certaines circonstances, désigner les différends entre les mêmes parties qui échappent à leur convention d’arbitrage. Mais il ne s’ensuit pas que ce terme doive recevoir une interprétation restrictive. Le terme « autres questions » s’entend simplement des différends non arbitrables, qu’ils concernent ou non les parties à la convention d’arbitrage en cause ou des personnes qui ne sont pas visées par la convention d’arbitrage.</w:t>
      </w:r>
    </w:p>
    <w:p w:rsidR="00B618DD" w:rsidRPr="00120D77" w:rsidRDefault="00B618DD" w:rsidP="00B618DD">
      <w:pPr>
        <w:pStyle w:val="ParaNoNdepar-AltN"/>
        <w:rPr>
          <w:rFonts w:cs="Times New Roman"/>
          <w:lang w:val="fr-CA"/>
        </w:rPr>
      </w:pPr>
      <w:r w:rsidRPr="00120D77">
        <w:rPr>
          <w:rFonts w:cs="Times New Roman"/>
          <w:lang w:val="fr-CA"/>
        </w:rPr>
        <w:t>Le régime de la loi de l’Ontario est très différent de celui de la loi de la Colombie</w:t>
      </w:r>
      <w:r w:rsidRPr="00120D77">
        <w:rPr>
          <w:rFonts w:cs="Times New Roman"/>
          <w:lang w:val="fr-CA"/>
        </w:rPr>
        <w:noBreakHyphen/>
        <w:t xml:space="preserve">Britannique qui était en cause dans l’affaire </w:t>
      </w:r>
      <w:r w:rsidRPr="00120D77">
        <w:rPr>
          <w:rFonts w:cs="Times New Roman"/>
          <w:i/>
          <w:lang w:val="fr-CA"/>
        </w:rPr>
        <w:t>Seidel c. TELUS Communications</w:t>
      </w:r>
      <w:r>
        <w:rPr>
          <w:rFonts w:cs="Times New Roman"/>
          <w:i/>
          <w:lang w:val="fr-CA"/>
        </w:rPr>
        <w:t xml:space="preserve"> Inc.</w:t>
      </w:r>
      <w:r w:rsidRPr="00120D77">
        <w:rPr>
          <w:rFonts w:cs="Times New Roman"/>
          <w:lang w:val="fr-CA"/>
        </w:rPr>
        <w:t>, [2011] 1 R.C.S. 531, décision que TELUS a invoquée. Dans cette affaire, Michelle Seidel cherchait à faire autoriser un recours collectif contre TELUS pour la surfacturation relativement à des contrats de services de téléphonie cellulaire. TELUS a demandé un sursis d’instance parce que le contrat type exigeait que les différends soient soumis à l’arbitrage individuel.</w:t>
      </w:r>
      <w:r w:rsidRPr="00120D77">
        <w:rPr>
          <w:rFonts w:cs="Times New Roman"/>
          <w:i/>
          <w:lang w:val="fr-CA"/>
        </w:rPr>
        <w:t xml:space="preserve"> </w:t>
      </w:r>
      <w:r w:rsidRPr="00120D77">
        <w:rPr>
          <w:rFonts w:cs="Times New Roman"/>
          <w:lang w:val="fr-CA"/>
        </w:rPr>
        <w:t xml:space="preserve">Dans </w:t>
      </w:r>
      <w:r w:rsidRPr="00120D77">
        <w:rPr>
          <w:rFonts w:cs="Times New Roman"/>
          <w:i/>
          <w:lang w:val="fr-CA"/>
        </w:rPr>
        <w:t>Seidel</w:t>
      </w:r>
      <w:r w:rsidRPr="00120D77">
        <w:rPr>
          <w:rFonts w:cs="Times New Roman"/>
          <w:lang w:val="fr-CA"/>
        </w:rPr>
        <w:t>, la Cour a affirmé que « [e]</w:t>
      </w:r>
      <w:r w:rsidRPr="00120D77">
        <w:rPr>
          <w:rFonts w:cs="Times New Roman"/>
          <w:lang w:val="fr-FR"/>
        </w:rPr>
        <w:t>n l’absence d’intervention de la législature, les tribunaux donnent généralement effet aux clauses d’un contrat commercial librement conclu dans lequel figure une clause d’arbitrage, et ce, même s’il s’agit d’un contrat d’adhésion »</w:t>
      </w:r>
      <w:r w:rsidRPr="00120D77">
        <w:rPr>
          <w:rFonts w:cs="Times New Roman"/>
          <w:lang w:val="fr-CA"/>
        </w:rPr>
        <w:t xml:space="preserve"> (par. 2). Par conséquent, pour que le tribunal puisse instruire des questions par ailleurs arbitrables, le législateur doit avoir exprimé une intention claire en ce sens.</w:t>
      </w:r>
    </w:p>
    <w:p w:rsidR="00B618DD" w:rsidRPr="00120D77" w:rsidRDefault="00B618DD" w:rsidP="00B618DD">
      <w:pPr>
        <w:pStyle w:val="ParaNoNdepar-AltN"/>
        <w:rPr>
          <w:rFonts w:cs="Times New Roman"/>
          <w:lang w:val="fr-CA"/>
        </w:rPr>
      </w:pPr>
      <w:r w:rsidRPr="00120D77">
        <w:rPr>
          <w:rFonts w:cs="Times New Roman"/>
          <w:lang w:val="fr-CA"/>
        </w:rPr>
        <w:t xml:space="preserve">Le fait que l’arrêt </w:t>
      </w:r>
      <w:r w:rsidRPr="00120D77">
        <w:rPr>
          <w:rFonts w:cs="Times New Roman"/>
          <w:i/>
          <w:lang w:val="fr-CA"/>
        </w:rPr>
        <w:t>Seidel</w:t>
      </w:r>
      <w:r w:rsidRPr="00120D77">
        <w:rPr>
          <w:rFonts w:cs="Times New Roman"/>
          <w:lang w:val="fr-CA"/>
        </w:rPr>
        <w:t xml:space="preserve"> portait sur un cadre législatif complètement différent empêche son application directe à l’espèce. Deux lois de la Colombie</w:t>
      </w:r>
      <w:r w:rsidRPr="00120D77">
        <w:rPr>
          <w:rFonts w:cs="Times New Roman"/>
          <w:lang w:val="fr-CA"/>
        </w:rPr>
        <w:noBreakHyphen/>
        <w:t xml:space="preserve">Britannique étaient en cause, la </w:t>
      </w:r>
      <w:r w:rsidRPr="00120D77">
        <w:rPr>
          <w:rFonts w:cs="Times New Roman"/>
          <w:i/>
          <w:lang w:val="fr-CA"/>
        </w:rPr>
        <w:t xml:space="preserve">Business Practices and Consumer Protection </w:t>
      </w:r>
      <w:proofErr w:type="spellStart"/>
      <w:r w:rsidRPr="00120D77">
        <w:rPr>
          <w:rFonts w:cs="Times New Roman"/>
          <w:i/>
          <w:lang w:val="fr-CA"/>
        </w:rPr>
        <w:t>Act</w:t>
      </w:r>
      <w:proofErr w:type="spellEnd"/>
      <w:r w:rsidRPr="00120D77">
        <w:rPr>
          <w:rFonts w:cs="Times New Roman"/>
          <w:lang w:val="fr-CA"/>
        </w:rPr>
        <w:t xml:space="preserve">, S.B.C. 2004, c. 2, et la </w:t>
      </w:r>
      <w:r w:rsidRPr="00120D77">
        <w:rPr>
          <w:rFonts w:cs="Times New Roman"/>
          <w:i/>
          <w:lang w:val="fr-CA"/>
        </w:rPr>
        <w:t>Commercial</w:t>
      </w:r>
      <w:r w:rsidRPr="00120D77">
        <w:rPr>
          <w:rFonts w:cs="Times New Roman"/>
          <w:lang w:val="fr-CA"/>
        </w:rPr>
        <w:t xml:space="preserve"> </w:t>
      </w:r>
      <w:r w:rsidRPr="00120D77">
        <w:rPr>
          <w:rFonts w:cs="Times New Roman"/>
          <w:i/>
          <w:lang w:val="fr-CA"/>
        </w:rPr>
        <w:t xml:space="preserve">Arbitration </w:t>
      </w:r>
      <w:proofErr w:type="spellStart"/>
      <w:r w:rsidRPr="00120D77">
        <w:rPr>
          <w:rFonts w:cs="Times New Roman"/>
          <w:i/>
          <w:lang w:val="fr-CA"/>
        </w:rPr>
        <w:t>Act</w:t>
      </w:r>
      <w:proofErr w:type="spellEnd"/>
      <w:r w:rsidRPr="00120D77">
        <w:rPr>
          <w:rFonts w:cs="Times New Roman"/>
          <w:lang w:val="fr-CA"/>
        </w:rPr>
        <w:t xml:space="preserve">, R.S.B.C. 1996, c. 55. La Cour a permis qu’une réclamation présentée par un consommateur soit portée devant le tribunal en vertu de l’art. 172 de la </w:t>
      </w:r>
      <w:r w:rsidRPr="00120D77">
        <w:rPr>
          <w:rFonts w:cs="Times New Roman"/>
          <w:i/>
          <w:lang w:val="fr-CA"/>
        </w:rPr>
        <w:t xml:space="preserve">Business Practices and Consumer Protection </w:t>
      </w:r>
      <w:proofErr w:type="spellStart"/>
      <w:r w:rsidRPr="00120D77">
        <w:rPr>
          <w:rFonts w:cs="Times New Roman"/>
          <w:i/>
          <w:lang w:val="fr-CA"/>
        </w:rPr>
        <w:t>Act</w:t>
      </w:r>
      <w:proofErr w:type="spellEnd"/>
      <w:r w:rsidRPr="00120D77">
        <w:rPr>
          <w:rFonts w:cs="Times New Roman"/>
          <w:lang w:val="fr-CA"/>
        </w:rPr>
        <w:t xml:space="preserve">, même si elle était visée par une convention d’arbitrage. Un sursis a été accordé à l’égard de toutes les autres réclamations arbitrables, compte tenu du libellé impératif de l’art. 15 de la </w:t>
      </w:r>
      <w:r w:rsidRPr="00120D77">
        <w:rPr>
          <w:rFonts w:cs="Times New Roman"/>
          <w:i/>
          <w:lang w:val="fr-CA"/>
        </w:rPr>
        <w:t>Commercial</w:t>
      </w:r>
      <w:r w:rsidRPr="00120D77">
        <w:rPr>
          <w:rFonts w:cs="Times New Roman"/>
          <w:lang w:val="fr-CA"/>
        </w:rPr>
        <w:t xml:space="preserve"> </w:t>
      </w:r>
      <w:r w:rsidRPr="00120D77">
        <w:rPr>
          <w:rFonts w:cs="Times New Roman"/>
          <w:i/>
          <w:lang w:val="fr-CA"/>
        </w:rPr>
        <w:t xml:space="preserve">Arbitration </w:t>
      </w:r>
      <w:proofErr w:type="spellStart"/>
      <w:r w:rsidRPr="00120D77">
        <w:rPr>
          <w:rFonts w:cs="Times New Roman"/>
          <w:i/>
          <w:lang w:val="fr-CA"/>
        </w:rPr>
        <w:t>Act</w:t>
      </w:r>
      <w:proofErr w:type="spellEnd"/>
      <w:r w:rsidRPr="00120D77">
        <w:rPr>
          <w:rFonts w:cs="Times New Roman"/>
          <w:lang w:val="fr-CA"/>
        </w:rPr>
        <w:t xml:space="preserve"> de la Colombie</w:t>
      </w:r>
      <w:r w:rsidRPr="00120D77">
        <w:rPr>
          <w:rFonts w:cs="Times New Roman"/>
          <w:lang w:val="fr-CA"/>
        </w:rPr>
        <w:noBreakHyphen/>
        <w:t>Britannique, qui prévoyait ceci :</w:t>
      </w:r>
    </w:p>
    <w:p w:rsidR="00B618DD" w:rsidRPr="00120D77" w:rsidRDefault="00B618DD" w:rsidP="00B618DD">
      <w:pPr>
        <w:pStyle w:val="Citation-AltC"/>
        <w:ind w:hanging="1166"/>
        <w:rPr>
          <w:lang w:val="fr-CA"/>
        </w:rPr>
      </w:pPr>
      <w:r w:rsidRPr="00120D77">
        <w:rPr>
          <w:lang w:val="fr-CA"/>
        </w:rPr>
        <w:tab/>
        <w:t>[</w:t>
      </w:r>
      <w:r w:rsidRPr="00120D77">
        <w:rPr>
          <w:smallCaps/>
          <w:lang w:val="fr-CA"/>
        </w:rPr>
        <w:t>traduction</w:t>
      </w:r>
      <w:r w:rsidRPr="00120D77">
        <w:rPr>
          <w:lang w:val="fr-CA"/>
        </w:rPr>
        <w:t>]</w:t>
      </w:r>
    </w:p>
    <w:p w:rsidR="00B618DD" w:rsidRPr="00120D77" w:rsidRDefault="00B618DD" w:rsidP="00B618DD">
      <w:pPr>
        <w:pStyle w:val="Citation-AltC"/>
        <w:ind w:left="1980" w:hanging="720"/>
        <w:contextualSpacing w:val="0"/>
        <w:rPr>
          <w:lang w:val="fr-CA"/>
        </w:rPr>
      </w:pPr>
      <w:r w:rsidRPr="00120D77">
        <w:rPr>
          <w:b/>
          <w:lang w:val="fr-CA"/>
        </w:rPr>
        <w:t>15</w:t>
      </w:r>
      <w:r w:rsidRPr="00120D77">
        <w:rPr>
          <w:lang w:val="fr-CA"/>
        </w:rPr>
        <w:t xml:space="preserve"> (2)</w:t>
      </w:r>
      <w:r>
        <w:rPr>
          <w:lang w:val="fr-CA"/>
        </w:rPr>
        <w:tab/>
      </w:r>
      <w:r w:rsidRPr="00120D77">
        <w:rPr>
          <w:lang w:val="fr-FR"/>
        </w:rPr>
        <w:t xml:space="preserve">Le tribunal saisi de la demande visée au paragraphe (1) </w:t>
      </w:r>
      <w:r w:rsidRPr="00120D77">
        <w:rPr>
          <w:i/>
          <w:lang w:val="fr-FR"/>
        </w:rPr>
        <w:t xml:space="preserve">sursoit </w:t>
      </w:r>
      <w:r w:rsidRPr="00120D77">
        <w:rPr>
          <w:lang w:val="fr-FR"/>
        </w:rPr>
        <w:t>à</w:t>
      </w:r>
      <w:r w:rsidRPr="00120D77">
        <w:rPr>
          <w:i/>
          <w:lang w:val="fr-FR"/>
        </w:rPr>
        <w:t xml:space="preserve"> </w:t>
      </w:r>
      <w:r w:rsidRPr="00120D77">
        <w:rPr>
          <w:lang w:val="fr-FR"/>
        </w:rPr>
        <w:t>l’instance à moins qu’il ne constate que la convention d’arbitrage est nulle, inopérante ou non susceptible d’être exécutée</w:t>
      </w:r>
      <w:r w:rsidRPr="00120D77">
        <w:rPr>
          <w:lang w:val="fr-CA"/>
        </w:rPr>
        <w:t>.</w:t>
      </w:r>
    </w:p>
    <w:p w:rsidR="00B618DD" w:rsidRPr="00120D77" w:rsidRDefault="00B618DD" w:rsidP="00B618DD">
      <w:pPr>
        <w:pStyle w:val="ParaNoNdepar-AltN"/>
        <w:rPr>
          <w:rFonts w:cs="Times New Roman"/>
          <w:lang w:val="fr-CA"/>
        </w:rPr>
      </w:pPr>
      <w:r w:rsidRPr="00120D77">
        <w:rPr>
          <w:rFonts w:cs="Times New Roman"/>
          <w:lang w:val="fr-CA"/>
        </w:rPr>
        <w:t xml:space="preserve">La question en litige dans l’affaire </w:t>
      </w:r>
      <w:r w:rsidRPr="00120D77">
        <w:rPr>
          <w:rFonts w:cs="Times New Roman"/>
          <w:i/>
          <w:lang w:val="fr-CA"/>
        </w:rPr>
        <w:t>Seidel</w:t>
      </w:r>
      <w:r w:rsidRPr="00120D77">
        <w:rPr>
          <w:rFonts w:cs="Times New Roman"/>
          <w:lang w:val="fr-CA"/>
        </w:rPr>
        <w:t xml:space="preserve"> était de savoir si l’art. 172 de la loi sur la protection du consommateur de la Colombie</w:t>
      </w:r>
      <w:r w:rsidRPr="00120D77">
        <w:rPr>
          <w:rFonts w:cs="Times New Roman"/>
          <w:lang w:val="fr-CA"/>
        </w:rPr>
        <w:noBreakHyphen/>
        <w:t>Britannique constituait une dérogation législative à la clause d’arbitrage en cause. La Cour a souligné que la loi provinciale applicable était déterminante quant à savoir si le tribunal doit accorder un sursis à l’égard des questions visées par une convention d’arbitrage.</w:t>
      </w:r>
    </w:p>
    <w:p w:rsidR="00B618DD" w:rsidRPr="00120D77" w:rsidRDefault="00B618DD" w:rsidP="00B618DD">
      <w:pPr>
        <w:pStyle w:val="ParaNoNdepar-AltN"/>
        <w:rPr>
          <w:rFonts w:cs="Times New Roman"/>
          <w:lang w:val="fr-CA"/>
        </w:rPr>
      </w:pPr>
      <w:r w:rsidRPr="00120D77">
        <w:rPr>
          <w:rFonts w:cs="Times New Roman"/>
          <w:lang w:val="fr-CA"/>
        </w:rPr>
        <w:t xml:space="preserve">Il convient de souligner que la loi en cause dans </w:t>
      </w:r>
      <w:r w:rsidRPr="00120D77">
        <w:rPr>
          <w:rFonts w:cs="Times New Roman"/>
          <w:i/>
          <w:lang w:val="fr-CA"/>
        </w:rPr>
        <w:t>Seidel</w:t>
      </w:r>
      <w:r w:rsidRPr="00120D77">
        <w:rPr>
          <w:rFonts w:cs="Times New Roman"/>
          <w:lang w:val="fr-CA"/>
        </w:rPr>
        <w:t xml:space="preserve"> ne contenait aucune disposition analogue au </w:t>
      </w:r>
      <w:proofErr w:type="spellStart"/>
      <w:r w:rsidRPr="00120D77">
        <w:rPr>
          <w:rFonts w:cs="Times New Roman"/>
          <w:lang w:val="fr-CA"/>
        </w:rPr>
        <w:t>par</w:t>
      </w:r>
      <w:proofErr w:type="spellEnd"/>
      <w:r w:rsidRPr="00120D77">
        <w:rPr>
          <w:rFonts w:cs="Times New Roman"/>
          <w:lang w:val="fr-CA"/>
        </w:rPr>
        <w:t xml:space="preserve">. 7(5) de la </w:t>
      </w:r>
      <w:r w:rsidRPr="00120D77">
        <w:rPr>
          <w:rFonts w:cs="Times New Roman"/>
          <w:i/>
          <w:lang w:val="fr-CA"/>
        </w:rPr>
        <w:t xml:space="preserve">Loi de 1991 sur l’arbitrage </w:t>
      </w:r>
      <w:r w:rsidRPr="00120D77">
        <w:rPr>
          <w:rFonts w:cs="Times New Roman"/>
          <w:lang w:val="fr-CA"/>
        </w:rPr>
        <w:t>de l’Ontario permettant l’exercice d’un pouvoir discrétionnaire. En fait, contrairement à la loi sur l’arbitrage de la Colombie</w:t>
      </w:r>
      <w:r w:rsidRPr="00120D77">
        <w:rPr>
          <w:rFonts w:cs="Times New Roman"/>
          <w:lang w:val="fr-CA"/>
        </w:rPr>
        <w:noBreakHyphen/>
        <w:t>Britannique, la loi ontarienne permet expressément la dérogation judiciaire discrétionnaire aux clauses d’arbitrage dans plusieurs cas. Le paragraphe 7(2) contient des exceptions semblables à celles de la loi de la Colombie</w:t>
      </w:r>
      <w:r w:rsidRPr="00120D77">
        <w:rPr>
          <w:rFonts w:cs="Times New Roman"/>
          <w:lang w:val="fr-CA"/>
        </w:rPr>
        <w:noBreakHyphen/>
        <w:t>Britannique, mais prévoit aussi des évaluations discrétionnaires visant à déterminer si la demande de sursis « </w:t>
      </w:r>
      <w:r w:rsidRPr="00120D77">
        <w:rPr>
          <w:rFonts w:cs="Times New Roman"/>
          <w:lang w:val="fr-FR"/>
        </w:rPr>
        <w:t>a été présentée avec un retard indu</w:t>
      </w:r>
      <w:r w:rsidRPr="00120D77">
        <w:rPr>
          <w:rFonts w:cs="Times New Roman"/>
          <w:lang w:val="fr-CA"/>
        </w:rPr>
        <w:t> » et si « [l]</w:t>
      </w:r>
      <w:r w:rsidRPr="00120D77">
        <w:rPr>
          <w:rFonts w:cs="Times New Roman"/>
          <w:lang w:val="fr-FR"/>
        </w:rPr>
        <w:t>a question est propre à un jugement par défaut ou à un jugement sommaire</w:t>
      </w:r>
      <w:r w:rsidRPr="00120D77">
        <w:rPr>
          <w:rFonts w:cs="Times New Roman"/>
          <w:lang w:val="fr-CA"/>
        </w:rPr>
        <w:t> ». En vertu de ces deux dernières exceptions, et contrairement à la loi de la</w:t>
      </w:r>
      <w:r w:rsidRPr="00120D77">
        <w:rPr>
          <w:rFonts w:eastAsia="Times New Roman" w:cs="Times New Roman"/>
          <w:szCs w:val="24"/>
          <w:lang w:val="fr-CA" w:eastAsia="en-CA"/>
        </w:rPr>
        <w:t xml:space="preserve"> </w:t>
      </w:r>
      <w:r w:rsidRPr="00120D77">
        <w:rPr>
          <w:rFonts w:cs="Times New Roman"/>
          <w:lang w:val="fr-CA"/>
        </w:rPr>
        <w:t>Colombie</w:t>
      </w:r>
      <w:r w:rsidRPr="00120D77">
        <w:rPr>
          <w:rFonts w:cs="Times New Roman"/>
          <w:lang w:val="fr-CA"/>
        </w:rPr>
        <w:noBreakHyphen/>
        <w:t>Britannique, le tribunal peut écarter une clause d’arbitrage pour des motifs n’ayant rien à voir avec la validité contractuelle de la clause.</w:t>
      </w:r>
    </w:p>
    <w:p w:rsidR="00B618DD" w:rsidRPr="00120D77" w:rsidRDefault="00B618DD" w:rsidP="00B618DD">
      <w:pPr>
        <w:pStyle w:val="ParaNoNdepar-AltN"/>
        <w:rPr>
          <w:rFonts w:cs="Times New Roman"/>
          <w:lang w:val="fr-CA"/>
        </w:rPr>
      </w:pPr>
      <w:r w:rsidRPr="00120D77">
        <w:rPr>
          <w:rFonts w:cs="Times New Roman"/>
          <w:lang w:val="fr-CA"/>
        </w:rPr>
        <w:t xml:space="preserve">De la même façon, le par. 7(5) de la loi ontarienne révèle l’intention explicite du législateur d’écarter la clause d’arbitrage par ailleurs applicable. La disposition prévoit que « [l]e </w:t>
      </w:r>
      <w:r w:rsidRPr="00120D77">
        <w:rPr>
          <w:rFonts w:cs="Times New Roman"/>
          <w:lang w:val="fr-FR"/>
        </w:rPr>
        <w:t xml:space="preserve">tribunal judiciaire </w:t>
      </w:r>
      <w:r w:rsidRPr="00120D77">
        <w:rPr>
          <w:rFonts w:cs="Times New Roman"/>
          <w:i/>
          <w:lang w:val="fr-FR"/>
        </w:rPr>
        <w:t>peut</w:t>
      </w:r>
      <w:r w:rsidRPr="00120D77">
        <w:rPr>
          <w:rFonts w:cs="Times New Roman"/>
          <w:lang w:val="fr-FR"/>
        </w:rPr>
        <w:t xml:space="preserve"> surseoir à l’instance en ce qui touche les questions traitées dans la convention d’arbitrage et permettre qu’elle se poursuive en ce qui touche les autres questions</w:t>
      </w:r>
      <w:r w:rsidRPr="00120D77">
        <w:rPr>
          <w:rFonts w:cs="Times New Roman"/>
          <w:lang w:val="fr-CA"/>
        </w:rPr>
        <w:t xml:space="preserve">. . . », ce qui signifie que le tribunal peut surseoir à l’instance en ce qui touche les questions arbitrables qui lui sont soumises </w:t>
      </w:r>
      <w:r w:rsidRPr="00120D77">
        <w:rPr>
          <w:rFonts w:cs="Times New Roman"/>
          <w:i/>
          <w:lang w:val="fr-CA"/>
        </w:rPr>
        <w:t xml:space="preserve">ou </w:t>
      </w:r>
      <w:r w:rsidRPr="00120D77">
        <w:rPr>
          <w:rFonts w:cs="Times New Roman"/>
          <w:lang w:val="fr-CA"/>
        </w:rPr>
        <w:t>permettre qu’elle se poursuive. Logiquement, le pouvoir discrétionnaire d’accorder un sursis partiel comprend également le pouvoir de refuser d’accorder un sursis partiel. Autrement dit, le terme « peut » signifie « peut ».</w:t>
      </w:r>
    </w:p>
    <w:p w:rsidR="00B618DD" w:rsidRPr="00120D77" w:rsidRDefault="00B618DD" w:rsidP="00B618DD">
      <w:pPr>
        <w:pStyle w:val="ParaNoNdepar-AltN"/>
        <w:rPr>
          <w:rFonts w:cs="Times New Roman"/>
          <w:b/>
          <w:lang w:val="fr-CA"/>
        </w:rPr>
      </w:pPr>
      <w:r w:rsidRPr="00120D77">
        <w:rPr>
          <w:rFonts w:cs="Times New Roman"/>
          <w:lang w:val="fr-CA"/>
        </w:rPr>
        <w:t xml:space="preserve">Les différends non arbitrables, par définition, ne relèvent pas de la compétence d’un arbitre. Sauf si les parties conviennent de recourir à l’arbitrage après que le différend est survenu, les réclamations non arbitrables ne peuvent faire l’objet d’un arbitrage. De plus, le tribunal n’a pas besoin d’un texte législatif pour continuer à instruire une question non arbitrable qui lui a été soumise à juste titre. Par conséquent, la seule interprétation qui donne véritablement effet au libellé discrétionnaire du par. 7(5) est celle qui confère aux juges le pouvoir de permettre que les différends arbitrables ainsi que les différends non arbitrables soient portés </w:t>
      </w:r>
      <w:r w:rsidRPr="00120D77">
        <w:rPr>
          <w:rFonts w:cs="Times New Roman"/>
          <w:i/>
          <w:lang w:val="fr-CA"/>
        </w:rPr>
        <w:t>devant le tribunal</w:t>
      </w:r>
      <w:r w:rsidRPr="00120D77">
        <w:rPr>
          <w:rFonts w:cs="Times New Roman"/>
          <w:lang w:val="fr-CA"/>
        </w:rPr>
        <w:t>.</w:t>
      </w:r>
    </w:p>
    <w:p w:rsidR="00B618DD" w:rsidRPr="00120D77" w:rsidRDefault="00B618DD" w:rsidP="00B618DD">
      <w:pPr>
        <w:pStyle w:val="ParaNoNdepar-AltN"/>
        <w:rPr>
          <w:rFonts w:cs="Times New Roman"/>
          <w:lang w:val="fr-CA"/>
        </w:rPr>
      </w:pPr>
      <w:r w:rsidRPr="00120D77">
        <w:rPr>
          <w:rFonts w:cs="Times New Roman"/>
          <w:lang w:val="fr-CA"/>
        </w:rPr>
        <w:t>L’affirmation de TELUS selon laquelle le tribunal ne peut</w:t>
      </w:r>
      <w:r w:rsidRPr="00120D77">
        <w:rPr>
          <w:rFonts w:cs="Times New Roman"/>
          <w:i/>
          <w:lang w:val="fr-CA"/>
        </w:rPr>
        <w:t xml:space="preserve"> jamais</w:t>
      </w:r>
      <w:r w:rsidRPr="00120D77">
        <w:rPr>
          <w:rFonts w:cs="Times New Roman"/>
          <w:lang w:val="fr-CA"/>
        </w:rPr>
        <w:t xml:space="preserve"> surseoir aux questions arbitrables en vertu du par. 7(5) rend superflue la première phrase de cette disposition — « </w:t>
      </w:r>
      <w:r w:rsidRPr="00120D77">
        <w:rPr>
          <w:rFonts w:cs="Times New Roman"/>
          <w:lang w:val="fr-FR"/>
        </w:rPr>
        <w:t>peut surseoir à l’instance en ce qui touche les questions traitées dans la convention d’arbitrage</w:t>
      </w:r>
      <w:r w:rsidRPr="00120D77">
        <w:rPr>
          <w:rFonts w:cs="Times New Roman"/>
          <w:lang w:val="fr-CA"/>
        </w:rPr>
        <w:t> ». Et si on l’interprète comme s’appliquant seulement aux questions non arbitrables, le par. 7(5) n’ajoute rien au pouvoir discrétionnaire existant du juge : le tribunal peut déjà « </w:t>
      </w:r>
      <w:r w:rsidRPr="00120D77">
        <w:rPr>
          <w:rFonts w:cs="Times New Roman"/>
          <w:lang w:val="fr-FR"/>
        </w:rPr>
        <w:t>de son propre chef ou sur motion présentée par une personne qui est partie ou non au litige, surseoir à une instance aux conditions qu’il estime justes</w:t>
      </w:r>
      <w:r w:rsidRPr="00120D77">
        <w:rPr>
          <w:rFonts w:cs="Times New Roman"/>
          <w:lang w:val="fr-CA"/>
        </w:rPr>
        <w:t> » (</w:t>
      </w:r>
      <w:r w:rsidRPr="00120D77">
        <w:rPr>
          <w:rFonts w:cs="Times New Roman"/>
          <w:i/>
          <w:lang w:val="fr-CA"/>
        </w:rPr>
        <w:t>Loi sur les tribunaux judiciaires</w:t>
      </w:r>
      <w:r w:rsidRPr="00120D77">
        <w:rPr>
          <w:rFonts w:cs="Times New Roman"/>
          <w:lang w:val="fr-CA"/>
        </w:rPr>
        <w:t>, L.R.O. 1990, c. C.43, art. 106).</w:t>
      </w:r>
    </w:p>
    <w:p w:rsidR="00B618DD" w:rsidRPr="00120D77" w:rsidRDefault="00B618DD" w:rsidP="00B618DD">
      <w:pPr>
        <w:pStyle w:val="ParaNoNdepar-AltN"/>
        <w:rPr>
          <w:rFonts w:cs="Times New Roman"/>
          <w:lang w:val="fr-CA"/>
        </w:rPr>
      </w:pPr>
      <w:r w:rsidRPr="00120D77">
        <w:rPr>
          <w:rFonts w:cs="Times New Roman"/>
          <w:iCs/>
          <w:lang w:val="fr-CA"/>
        </w:rPr>
        <w:t xml:space="preserve">En insérant l’exigence du caractère raisonnable dans l’al. 7(5)b), le législateur ontarien a manifestement prévu que, dans certains cas, il ne serait </w:t>
      </w:r>
      <w:r w:rsidRPr="00120D77">
        <w:rPr>
          <w:rFonts w:cs="Times New Roman"/>
          <w:i/>
          <w:iCs/>
          <w:lang w:val="fr-CA"/>
        </w:rPr>
        <w:t xml:space="preserve">pas raisonnable </w:t>
      </w:r>
      <w:r w:rsidRPr="00120D77">
        <w:rPr>
          <w:rFonts w:cs="Times New Roman"/>
          <w:iCs/>
          <w:lang w:val="fr-CA"/>
        </w:rPr>
        <w:t>« </w:t>
      </w:r>
      <w:r w:rsidRPr="00120D77">
        <w:rPr>
          <w:rFonts w:cs="Times New Roman"/>
          <w:iCs/>
          <w:lang w:val="fr-FR"/>
        </w:rPr>
        <w:t>de dissocier les questions traitées dans la convention [d’arbitrage] des autres questions</w:t>
      </w:r>
      <w:r w:rsidRPr="00120D77">
        <w:rPr>
          <w:rFonts w:cs="Times New Roman"/>
          <w:iCs/>
          <w:lang w:val="fr-CA"/>
        </w:rPr>
        <w:t> ». Or</w:t>
      </w:r>
      <w:r w:rsidRPr="00120D77">
        <w:rPr>
          <w:rFonts w:cs="Times New Roman"/>
          <w:lang w:val="fr-CA"/>
        </w:rPr>
        <w:t xml:space="preserve">, selon l’interprétation préconisée par TELUS, les questions arbitrables seraient </w:t>
      </w:r>
      <w:r w:rsidRPr="00120D77">
        <w:rPr>
          <w:rFonts w:cs="Times New Roman"/>
          <w:i/>
          <w:lang w:val="fr-CA"/>
        </w:rPr>
        <w:t xml:space="preserve">toujours </w:t>
      </w:r>
      <w:r w:rsidRPr="00120D77">
        <w:rPr>
          <w:rFonts w:cs="Times New Roman"/>
          <w:lang w:val="fr-CA"/>
        </w:rPr>
        <w:t>dissociées des questions non arbitrables, et elles ne pourraient jamais être instruites ensemble — ce qui ne constitue guère un résultat efficace ou qui favorise l’accès à la justice.</w:t>
      </w:r>
    </w:p>
    <w:p w:rsidR="00B618DD" w:rsidRPr="00120D77" w:rsidRDefault="00B618DD" w:rsidP="00B618DD">
      <w:pPr>
        <w:pStyle w:val="ParaNoNdepar-AltN"/>
        <w:rPr>
          <w:rFonts w:cs="Times New Roman"/>
          <w:lang w:val="fr-CA"/>
        </w:rPr>
      </w:pPr>
      <w:r w:rsidRPr="00120D77">
        <w:rPr>
          <w:rFonts w:cs="Times New Roman"/>
          <w:lang w:val="fr-CA"/>
        </w:rPr>
        <w:t xml:space="preserve">Enfin, l’interprétation préconisée par TELUS donnerait lieu à des examens des faits longs et coûteux quant à la façon dont les réclamations arbitrables seraient dissociées de celles qui ne le sont pas, même lorsque le fond des réclamations est identique, comme en l’espèce. Les deux parties ont reconnu les difficultés éventuelles que peut susciter le fait d’établir une distinction entre le « consommateur » au sens de la </w:t>
      </w:r>
      <w:r w:rsidRPr="00120D77">
        <w:rPr>
          <w:rFonts w:cs="Times New Roman"/>
          <w:i/>
          <w:lang w:val="fr-CA"/>
        </w:rPr>
        <w:t>Loi sur la protection du consommateur</w:t>
      </w:r>
      <w:r w:rsidRPr="00120D77">
        <w:rPr>
          <w:rFonts w:cs="Times New Roman"/>
          <w:lang w:val="fr-CA"/>
        </w:rPr>
        <w:t xml:space="preserve">, qui échappe à l’arbitrage, et le client commercial, qui n’y échappe pas. Cette distinction pourrait être particulièrement difficile à établir pour les personnes qui utilisent leur téléphone cellulaire tant à des fins personnelles que dans le cadre de leur entreprise. Établir si ces personnes tombent sous le coup de l’exception prévue dans la </w:t>
      </w:r>
      <w:r w:rsidRPr="00120D77">
        <w:rPr>
          <w:rFonts w:cs="Times New Roman"/>
          <w:i/>
          <w:lang w:val="fr-CA"/>
        </w:rPr>
        <w:t>Loi sur la protection du consommateur</w:t>
      </w:r>
      <w:r w:rsidRPr="00120D77">
        <w:rPr>
          <w:rFonts w:cs="Times New Roman"/>
          <w:lang w:val="fr-CA"/>
        </w:rPr>
        <w:t xml:space="preserve"> rendrait l’analyse inutilement plus complexe.</w:t>
      </w:r>
    </w:p>
    <w:p w:rsidR="00B618DD" w:rsidRPr="00120D77" w:rsidRDefault="00B618DD" w:rsidP="00B618DD">
      <w:pPr>
        <w:pStyle w:val="ParaNoNdepar-AltN"/>
        <w:rPr>
          <w:rFonts w:cs="Times New Roman"/>
          <w:lang w:val="fr-CA"/>
        </w:rPr>
      </w:pPr>
      <w:r w:rsidRPr="00120D77">
        <w:rPr>
          <w:rFonts w:cs="Times New Roman"/>
          <w:lang w:val="fr-CA"/>
        </w:rPr>
        <w:t xml:space="preserve">Dans les recours collectifs, la dissociation de toutes les questions visées par une clause d’arbitrage pourrait bien avoir pour effet concret de transformer l’étape de la certification en une recherche par le défendeur du statut précis de chaque membre du groupe, dans le but d’établir s’il s’agit en fait de clients commerciaux ou de clients consommateurs. Comme l’ont souligné dans leur mémoire les intervenants Centre pour la défense de l’intérêt public et </w:t>
      </w:r>
      <w:proofErr w:type="spellStart"/>
      <w:r w:rsidRPr="00120D77">
        <w:rPr>
          <w:rFonts w:cs="Times New Roman"/>
          <w:lang w:val="fr-CA"/>
        </w:rPr>
        <w:t>Consumers</w:t>
      </w:r>
      <w:proofErr w:type="spellEnd"/>
      <w:r w:rsidRPr="00120D77">
        <w:rPr>
          <w:rFonts w:cs="Times New Roman"/>
          <w:lang w:val="fr-CA"/>
        </w:rPr>
        <w:t xml:space="preserve"> Council of Canada, cette évaluation pourrait déclencher [</w:t>
      </w:r>
      <w:r w:rsidRPr="00120D77">
        <w:rPr>
          <w:rFonts w:cs="Times New Roman"/>
          <w:smallCaps/>
          <w:lang w:val="fr-CA"/>
        </w:rPr>
        <w:t>traduction</w:t>
      </w:r>
      <w:r w:rsidRPr="00120D77">
        <w:rPr>
          <w:rFonts w:cs="Times New Roman"/>
          <w:lang w:val="fr-CA"/>
        </w:rPr>
        <w:t xml:space="preserve">] « un processus individuel de constatation des faits », donnant lieu à une certaine « confusion [qui] minerait encore davantage le régime de recours collectifs de l’Ontario en tant que mécanisme procédural viable d’accès à la justice pour les consommateurs » (par. 25). En somme, l’interprétation que préconise TELUS vide non seulement le par. 7(5) de tout son sens, mais affaiblit aussi la </w:t>
      </w:r>
      <w:r w:rsidRPr="00120D77">
        <w:rPr>
          <w:rFonts w:cs="Times New Roman"/>
          <w:i/>
          <w:lang w:val="fr-CA"/>
        </w:rPr>
        <w:t>Loi de 1992 sur les recours collectifs</w:t>
      </w:r>
      <w:r w:rsidRPr="00120D77">
        <w:rPr>
          <w:rFonts w:cs="Times New Roman"/>
          <w:lang w:val="fr-CA"/>
        </w:rPr>
        <w:t xml:space="preserve"> en rendant trop encombrant le processus de certification des recours collectifs.</w:t>
      </w:r>
    </w:p>
    <w:p w:rsidR="00B618DD" w:rsidRPr="00120D77" w:rsidRDefault="00B618DD" w:rsidP="00B618DD">
      <w:pPr>
        <w:pStyle w:val="ParaNoNdepar-AltN"/>
        <w:rPr>
          <w:rFonts w:cs="Times New Roman"/>
          <w:b/>
          <w:lang w:val="fr-CA"/>
        </w:rPr>
      </w:pPr>
      <w:r w:rsidRPr="00120D77">
        <w:rPr>
          <w:rFonts w:cs="Times New Roman"/>
          <w:lang w:val="fr-CA"/>
        </w:rPr>
        <w:t xml:space="preserve">Par conséquent, lorsqu’on considère l’art. 7 dans son ensemble, il devient évident que les par. (1) et (5) sont complémentaires, et non incompatibles. Les deux dispositions sont conformes aux objets de la </w:t>
      </w:r>
      <w:r w:rsidRPr="00120D77">
        <w:rPr>
          <w:rFonts w:cs="Times New Roman"/>
          <w:i/>
          <w:lang w:val="fr-CA"/>
        </w:rPr>
        <w:t>Loi de 1991 sur l’arbitrage</w:t>
      </w:r>
      <w:r w:rsidRPr="00120D77">
        <w:rPr>
          <w:rFonts w:cs="Times New Roman"/>
          <w:lang w:val="fr-CA"/>
        </w:rPr>
        <w:t>. Elles empêchent toutes deux les tribunaux de miner les conventions d’arbitrage. Parallèlement, le législateur a jugé bon d’inclure plusieurs exceptions à l’art. 7, lesquelles permettent aux tribunaux d’écarter les clauses d’arbitrage dans les circonstances prescrites lorsqu’ils peuvent ainsi favoriser l’accès à la justice et le règlement efficace des différends.</w:t>
      </w:r>
    </w:p>
    <w:p w:rsidR="00B618DD" w:rsidRPr="00120D77" w:rsidRDefault="00B618DD" w:rsidP="00B618DD">
      <w:pPr>
        <w:pStyle w:val="ParaNoNdepar-AltN"/>
        <w:rPr>
          <w:rFonts w:cs="Times New Roman"/>
          <w:lang w:val="fr-CA"/>
        </w:rPr>
      </w:pPr>
      <w:r w:rsidRPr="00120D77">
        <w:rPr>
          <w:rFonts w:cs="Times New Roman"/>
          <w:lang w:val="fr-CA"/>
        </w:rPr>
        <w:t>TELUS fait valoir que s’il peut y avoir des conséquences négatives liées à l’arbitrage individuel obligatoire, ces conséquences sont les résultats prévisibles des accords que ses clients ont librement conclus. Elle soutient que la liberté contractuelle commande que les parties</w:t>
      </w:r>
      <w:r w:rsidRPr="00120D77">
        <w:rPr>
          <w:rFonts w:eastAsia="Times New Roman" w:cs="Times New Roman"/>
          <w:szCs w:val="24"/>
          <w:lang w:val="fr-CA" w:eastAsia="en-CA"/>
        </w:rPr>
        <w:t xml:space="preserve"> </w:t>
      </w:r>
      <w:r w:rsidRPr="00120D77">
        <w:rPr>
          <w:rFonts w:cs="Times New Roman"/>
          <w:lang w:val="fr-CA"/>
        </w:rPr>
        <w:t>respectent l’entente qu’elles ont conclue et que les tribunaux s’abstiennent de réécrire les accords. Cet argument se trouve toutefois amoindri par le fait que son contrat type ne représente guère un accord librement conclu — il s’agissait de clauses non négociables obligatoires constituant des conditions préalables à l’achat de produits TELUS.</w:t>
      </w:r>
    </w:p>
    <w:p w:rsidR="00B618DD" w:rsidRPr="00120D77" w:rsidRDefault="00B618DD" w:rsidP="00B618DD">
      <w:pPr>
        <w:pStyle w:val="ParaNoNdepar-AltN"/>
        <w:rPr>
          <w:rFonts w:cs="Times New Roman"/>
          <w:lang w:val="fr-CA"/>
        </w:rPr>
      </w:pPr>
      <w:r w:rsidRPr="00120D77">
        <w:rPr>
          <w:rFonts w:cs="Times New Roman"/>
          <w:lang w:val="fr-CA"/>
        </w:rPr>
        <w:t xml:space="preserve">L’arbitrage se voulait un moyen permettant à des parties relativement égales en situation de négociation de choisir de créer un mécanisme extrajudiciaire de règlement des différends. Le respect de l’autonomie des parties était un objectif essentiel de la </w:t>
      </w:r>
      <w:r w:rsidRPr="00120D77">
        <w:rPr>
          <w:rFonts w:cs="Times New Roman"/>
          <w:i/>
          <w:lang w:val="fr-CA"/>
        </w:rPr>
        <w:t>Loi de 1991 sur l’arbitrage</w:t>
      </w:r>
      <w:r w:rsidRPr="00120D77">
        <w:rPr>
          <w:rFonts w:cs="Times New Roman"/>
          <w:lang w:val="fr-CA"/>
        </w:rPr>
        <w:t>. Comme le souligne la professeure Shelley McGill :</w:t>
      </w:r>
    </w:p>
    <w:p w:rsidR="00B618DD" w:rsidRPr="00B618DD" w:rsidRDefault="00B618DD" w:rsidP="00B618DD">
      <w:pPr>
        <w:pStyle w:val="Citation-AltC"/>
        <w:tabs>
          <w:tab w:val="left" w:pos="1620"/>
        </w:tabs>
        <w:spacing w:after="360"/>
        <w:ind w:left="1168" w:hanging="1166"/>
        <w:contextualSpacing w:val="0"/>
        <w:rPr>
          <w:lang w:val="en-US"/>
        </w:rPr>
      </w:pPr>
      <w:r w:rsidRPr="00120D77">
        <w:rPr>
          <w:lang w:val="fr-CA"/>
        </w:rPr>
        <w:tab/>
      </w:r>
      <w:r w:rsidRPr="00120D77">
        <w:rPr>
          <w:lang w:val="fr-CA"/>
        </w:rPr>
        <w:tab/>
        <w:t>[</w:t>
      </w:r>
      <w:r w:rsidRPr="00120D77">
        <w:rPr>
          <w:smallCaps/>
          <w:lang w:val="fr-CA"/>
        </w:rPr>
        <w:t>traduction</w:t>
      </w:r>
      <w:r w:rsidRPr="00120D77">
        <w:rPr>
          <w:lang w:val="fr-CA"/>
        </w:rPr>
        <w:t xml:space="preserve">] La nouvelle politique sur l’arbitrage [. . .] était fondée sur l’hypothèse que des </w:t>
      </w:r>
      <w:r w:rsidRPr="00120D77">
        <w:rPr>
          <w:i/>
          <w:lang w:val="fr-CA"/>
        </w:rPr>
        <w:t xml:space="preserve">parties averties jouissant d’un pouvoir de négociation relativement égal collaboreraient </w:t>
      </w:r>
      <w:r w:rsidRPr="00120D77">
        <w:rPr>
          <w:lang w:val="fr-CA"/>
        </w:rPr>
        <w:t>en vue de créer leur propre processus de règlement. De pair avec cette politique allait l’objectif de donner des moyens d’agir aux parties et de leur permettre d’exercer un plus grand contrôle sur le règlement de leur différend tout en facilitant le commerce international.</w:t>
      </w:r>
      <w:r>
        <w:rPr>
          <w:lang w:val="fr-CA"/>
        </w:rPr>
        <w:t xml:space="preserve"> </w:t>
      </w:r>
      <w:r w:rsidRPr="00B618DD">
        <w:rPr>
          <w:lang w:val="en-US"/>
        </w:rPr>
        <w:t>[</w:t>
      </w:r>
      <w:proofErr w:type="spellStart"/>
      <w:r w:rsidRPr="00B618DD">
        <w:rPr>
          <w:lang w:val="en-US"/>
        </w:rPr>
        <w:t>Italiques</w:t>
      </w:r>
      <w:proofErr w:type="spellEnd"/>
      <w:r w:rsidRPr="00B618DD">
        <w:rPr>
          <w:lang w:val="en-US"/>
        </w:rPr>
        <w:t xml:space="preserve"> </w:t>
      </w:r>
      <w:proofErr w:type="spellStart"/>
      <w:r w:rsidRPr="00B618DD">
        <w:rPr>
          <w:lang w:val="en-US"/>
        </w:rPr>
        <w:t>ajoutés</w:t>
      </w:r>
      <w:proofErr w:type="spellEnd"/>
      <w:r w:rsidRPr="00B618DD">
        <w:rPr>
          <w:lang w:val="en-US"/>
        </w:rPr>
        <w:t>.]</w:t>
      </w:r>
    </w:p>
    <w:p w:rsidR="00B618DD" w:rsidRPr="00120D77" w:rsidRDefault="00B618DD" w:rsidP="00B618DD">
      <w:pPr>
        <w:pStyle w:val="Citation-AltC"/>
        <w:ind w:left="0"/>
        <w:contextualSpacing w:val="0"/>
        <w:rPr>
          <w:lang w:val="en-US"/>
        </w:rPr>
      </w:pPr>
      <w:r w:rsidRPr="00120D77">
        <w:rPr>
          <w:lang w:val="en-US"/>
        </w:rPr>
        <w:t>(Shelley McGill, « The Conflict Between Consumer Class Actions and Contractual Arbitration Clauses » (2006), 43 </w:t>
      </w:r>
      <w:r>
        <w:rPr>
          <w:i/>
          <w:lang w:val="en-US"/>
        </w:rPr>
        <w:t>Rev</w:t>
      </w:r>
      <w:r w:rsidRPr="00120D77">
        <w:rPr>
          <w:i/>
          <w:lang w:val="en-US"/>
        </w:rPr>
        <w:t>.</w:t>
      </w:r>
      <w:r>
        <w:rPr>
          <w:i/>
          <w:lang w:val="en-US"/>
        </w:rPr>
        <w:t xml:space="preserve"> can. dr. comm.</w:t>
      </w:r>
      <w:r>
        <w:rPr>
          <w:lang w:val="en-US"/>
        </w:rPr>
        <w:t xml:space="preserve"> 359, p. 365</w:t>
      </w:r>
      <w:r w:rsidRPr="00120D77">
        <w:rPr>
          <w:lang w:val="en-US"/>
        </w:rPr>
        <w:t>)</w:t>
      </w:r>
    </w:p>
    <w:p w:rsidR="00B618DD" w:rsidRPr="00120D77" w:rsidRDefault="00B618DD" w:rsidP="00B618DD">
      <w:pPr>
        <w:pStyle w:val="ParaNoNdepar-AltN"/>
        <w:rPr>
          <w:rFonts w:cs="Times New Roman"/>
          <w:lang w:val="fr-CA"/>
        </w:rPr>
      </w:pPr>
      <w:r w:rsidRPr="00120D77">
        <w:rPr>
          <w:rFonts w:cs="Times New Roman"/>
          <w:lang w:val="fr-CA"/>
        </w:rPr>
        <w:t xml:space="preserve">Les clauses types du contrat de TELUS ne permettaient pas l’arbitrage collectif, mais exigeaient l’arbitrage individuel pour chaque plainte. Dans l’arrêt </w:t>
      </w:r>
      <w:r w:rsidRPr="00120D77">
        <w:rPr>
          <w:rFonts w:cs="Times New Roman"/>
          <w:i/>
          <w:lang w:val="fr-CA"/>
        </w:rPr>
        <w:t>Griffin</w:t>
      </w:r>
      <w:r w:rsidRPr="00120D77">
        <w:rPr>
          <w:rFonts w:cs="Times New Roman"/>
          <w:lang w:val="fr-CA"/>
        </w:rPr>
        <w:t>, la Cour d’appel a analysé l’incidence du fait de ne pas permettre les procédures collectives :</w:t>
      </w:r>
    </w:p>
    <w:p w:rsidR="00B618DD" w:rsidRPr="00120D77" w:rsidRDefault="00B618DD" w:rsidP="00B618DD">
      <w:pPr>
        <w:pStyle w:val="Citation-AltC"/>
        <w:tabs>
          <w:tab w:val="left" w:pos="1710"/>
        </w:tabs>
        <w:ind w:hanging="1166"/>
        <w:contextualSpacing w:val="0"/>
        <w:rPr>
          <w:lang w:val="fr-CA"/>
        </w:rPr>
      </w:pPr>
      <w:r w:rsidRPr="00120D77">
        <w:rPr>
          <w:lang w:val="fr-CA"/>
        </w:rPr>
        <w:tab/>
      </w:r>
      <w:r w:rsidRPr="00120D77">
        <w:rPr>
          <w:lang w:val="fr-CA"/>
        </w:rPr>
        <w:tab/>
        <w:t>[</w:t>
      </w:r>
      <w:r w:rsidRPr="00120D77">
        <w:rPr>
          <w:smallCaps/>
          <w:lang w:val="fr-CA"/>
        </w:rPr>
        <w:t>traduction</w:t>
      </w:r>
      <w:r w:rsidRPr="00120D77">
        <w:rPr>
          <w:lang w:val="fr-CA"/>
        </w:rPr>
        <w:t>] Il importe de souligner [. . .] que la clause d’arbitrage de Dell exige non seulement que toutes les réclamations soient soumises à l’arbitrage, mais prévoit aussi que « [l’</w:t>
      </w:r>
      <w:proofErr w:type="gramStart"/>
      <w:r w:rsidRPr="00120D77">
        <w:rPr>
          <w:lang w:val="fr-CA"/>
        </w:rPr>
        <w:t>]arbitrage</w:t>
      </w:r>
      <w:proofErr w:type="gramEnd"/>
      <w:r w:rsidRPr="00120D77">
        <w:rPr>
          <w:lang w:val="fr-FR"/>
        </w:rPr>
        <w:t xml:space="preserve"> se limitera uniquement aux conflits ou aux désaccords entre le client et Dell</w:t>
      </w:r>
      <w:r w:rsidRPr="00120D77">
        <w:rPr>
          <w:lang w:val="fr-CA"/>
        </w:rPr>
        <w:t xml:space="preserve"> », écartant ainsi la possibilité qu’il y ait un arbitrage collectif. </w:t>
      </w:r>
      <w:r w:rsidRPr="00120D77">
        <w:rPr>
          <w:i/>
          <w:lang w:val="fr-CA"/>
        </w:rPr>
        <w:t>J’aurais trouvé la thèse de Dell beaucoup plus convaincante si elle avait été disposée à se soumettre à un arbitrage permettant que soient tranchées efficacement les réclamations sur une base collective</w:t>
      </w:r>
      <w:r w:rsidRPr="00120D77">
        <w:rPr>
          <w:lang w:val="fr-CA"/>
        </w:rPr>
        <w:t>. [. . .] À mon avis, cet élément constitue une preuve supplémentaire [. . .] que Dell ne cherche pas véritablement à faire trancher par voie d’arbitrage les réclamations présentées contre elle. Dell cherche simplement à tirer parti de l’inefficacité de l’arbitrage individuel des réclamations. [Italiques ajoutés; par. 60.]</w:t>
      </w:r>
    </w:p>
    <w:p w:rsidR="00B618DD" w:rsidRPr="00120D77" w:rsidRDefault="00B618DD" w:rsidP="00B618DD">
      <w:pPr>
        <w:pStyle w:val="ParaNoNdepar-AltN"/>
        <w:rPr>
          <w:rFonts w:cs="Times New Roman"/>
          <w:lang w:val="fr-CA"/>
        </w:rPr>
      </w:pPr>
      <w:r w:rsidRPr="00120D77">
        <w:rPr>
          <w:rFonts w:cs="Times New Roman"/>
          <w:lang w:val="fr-CA"/>
        </w:rPr>
        <w:t xml:space="preserve">La réalité empirique est que les clauses d’arbitrage obligatoire ont pour effet d’entraver l’accès à la justice dans le contexte des petites réclamations. Comme le souligne </w:t>
      </w:r>
      <w:r>
        <w:rPr>
          <w:rFonts w:cs="Times New Roman"/>
          <w:lang w:val="fr-CA"/>
        </w:rPr>
        <w:t>la professeure Cynthia </w:t>
      </w:r>
      <w:proofErr w:type="spellStart"/>
      <w:r>
        <w:rPr>
          <w:rFonts w:cs="Times New Roman"/>
          <w:lang w:val="fr-CA"/>
        </w:rPr>
        <w:t>Estlund</w:t>
      </w:r>
      <w:proofErr w:type="spellEnd"/>
      <w:r>
        <w:rPr>
          <w:rFonts w:cs="Times New Roman"/>
          <w:lang w:val="fr-CA"/>
        </w:rPr>
        <w:t>,</w:t>
      </w:r>
    </w:p>
    <w:p w:rsidR="00B618DD" w:rsidRPr="00120D77" w:rsidRDefault="00B618DD" w:rsidP="00B618DD">
      <w:pPr>
        <w:pStyle w:val="Citation-AltC"/>
        <w:tabs>
          <w:tab w:val="left" w:pos="1710"/>
        </w:tabs>
        <w:spacing w:after="480"/>
        <w:ind w:left="1168" w:hanging="1166"/>
        <w:contextualSpacing w:val="0"/>
        <w:rPr>
          <w:lang w:val="fr-CA"/>
        </w:rPr>
      </w:pPr>
      <w:r w:rsidRPr="00120D77">
        <w:rPr>
          <w:lang w:val="fr-CA"/>
        </w:rPr>
        <w:tab/>
        <w:t>[</w:t>
      </w:r>
      <w:r w:rsidRPr="00120D77">
        <w:rPr>
          <w:smallCaps/>
          <w:lang w:val="fr-CA"/>
        </w:rPr>
        <w:t>traduction</w:t>
      </w:r>
      <w:r w:rsidRPr="00120D77">
        <w:rPr>
          <w:lang w:val="fr-CA"/>
        </w:rPr>
        <w:t>]</w:t>
      </w:r>
      <w:r>
        <w:rPr>
          <w:lang w:val="fr-CA"/>
        </w:rPr>
        <w:t xml:space="preserve"> </w:t>
      </w:r>
      <w:r w:rsidRPr="00DB4925">
        <w:rPr>
          <w:lang w:val="fr-CA"/>
        </w:rPr>
        <w:t xml:space="preserve">. . . </w:t>
      </w:r>
      <w:r w:rsidRPr="00120D77">
        <w:rPr>
          <w:lang w:val="fr-CA"/>
        </w:rPr>
        <w:t>la plupart des différends qui sont visés par des conventions d’arbitrage obligatoire [. . .] disparaissent simplement avant même d’être déposés. C’est une chose de savoir que l’arbitrage obligatoire tire un épais voile de secret sur les affaires qui font l’objet de ce processus, c’en est une autre de constater qu’il n’y a presque rien derrière ce voile. L’arbitrage obligatoire n’est pas tant un mécanisme de « règlement extrajudiciaire des différends » qu’un tour de magie ou un mirage. Plusieurs métaphores me viennent à l’esprit, mais j’ai choisi celle du trou noir dans lequel s’engouffrent les affaires et d’où ne s’échappe aucune lumière.</w:t>
      </w:r>
    </w:p>
    <w:p w:rsidR="00B618DD" w:rsidRPr="00120D77" w:rsidRDefault="00B618DD" w:rsidP="00B618DD">
      <w:pPr>
        <w:pStyle w:val="Citation-AltC"/>
        <w:contextualSpacing w:val="0"/>
        <w:rPr>
          <w:lang w:val="en-US"/>
        </w:rPr>
      </w:pPr>
      <w:r w:rsidRPr="00120D77">
        <w:rPr>
          <w:lang w:val="en-US"/>
        </w:rPr>
        <w:t xml:space="preserve">(Cynthia </w:t>
      </w:r>
      <w:proofErr w:type="spellStart"/>
      <w:r w:rsidRPr="00120D77">
        <w:rPr>
          <w:lang w:val="en-US"/>
        </w:rPr>
        <w:t>Estlund</w:t>
      </w:r>
      <w:proofErr w:type="spellEnd"/>
      <w:r w:rsidRPr="00120D77">
        <w:rPr>
          <w:lang w:val="en-US"/>
        </w:rPr>
        <w:t>, « The Black Hole of Mandatory Arbitration » (2018), 96 </w:t>
      </w:r>
      <w:r w:rsidRPr="00120D77">
        <w:rPr>
          <w:i/>
          <w:lang w:val="en-US"/>
        </w:rPr>
        <w:t>N.C.</w:t>
      </w:r>
      <w:r w:rsidRPr="00120D77">
        <w:rPr>
          <w:lang w:val="en-US"/>
        </w:rPr>
        <w:t xml:space="preserve"> </w:t>
      </w:r>
      <w:r w:rsidRPr="00120D77">
        <w:rPr>
          <w:i/>
          <w:lang w:val="en-US"/>
        </w:rPr>
        <w:t>L. Rev.</w:t>
      </w:r>
      <w:r w:rsidRPr="00120D77">
        <w:rPr>
          <w:lang w:val="en-US"/>
        </w:rPr>
        <w:t> 679, p. 682)</w:t>
      </w:r>
    </w:p>
    <w:p w:rsidR="00B618DD" w:rsidRPr="00120D77" w:rsidRDefault="00B618DD" w:rsidP="00B618DD">
      <w:pPr>
        <w:pStyle w:val="ParaNoNdepar-AltN"/>
        <w:rPr>
          <w:rFonts w:cs="Times New Roman"/>
          <w:lang w:val="fr-CA"/>
        </w:rPr>
      </w:pPr>
      <w:r w:rsidRPr="00120D77">
        <w:rPr>
          <w:rFonts w:cs="Times New Roman"/>
          <w:lang w:val="fr-CA"/>
        </w:rPr>
        <w:t xml:space="preserve">Dans l’arrêt </w:t>
      </w:r>
      <w:r w:rsidRPr="00120D77">
        <w:rPr>
          <w:rFonts w:cs="Times New Roman"/>
          <w:i/>
          <w:lang w:val="fr-CA"/>
        </w:rPr>
        <w:t>Griffin</w:t>
      </w:r>
      <w:r w:rsidRPr="00120D77">
        <w:rPr>
          <w:rFonts w:cs="Times New Roman"/>
          <w:lang w:val="fr-CA"/>
        </w:rPr>
        <w:t>, la Cour d’appel a reconnu cette réalité lorsqu’elle a fait remarquer ce qui suit :</w:t>
      </w:r>
    </w:p>
    <w:p w:rsidR="00B618DD" w:rsidRPr="00120D77" w:rsidRDefault="00B618DD" w:rsidP="00B618DD">
      <w:pPr>
        <w:pStyle w:val="Citation-AltC"/>
        <w:ind w:hanging="1166"/>
        <w:contextualSpacing w:val="0"/>
        <w:rPr>
          <w:lang w:val="fr-CA"/>
        </w:rPr>
      </w:pPr>
      <w:r w:rsidRPr="00120D77">
        <w:rPr>
          <w:lang w:val="fr-CA"/>
        </w:rPr>
        <w:tab/>
        <w:t>[</w:t>
      </w:r>
      <w:r w:rsidRPr="00120D77">
        <w:rPr>
          <w:smallCaps/>
          <w:lang w:val="fr-CA"/>
        </w:rPr>
        <w:t>traduction</w:t>
      </w:r>
      <w:r w:rsidRPr="00120D77">
        <w:rPr>
          <w:lang w:val="fr-CA"/>
        </w:rPr>
        <w:t xml:space="preserve">] La préférence déclarée du vendeur pour l’arbitrage n’est souvent rien de plus qu’une façon d’éviter d’être tenu responsable de fautes multiples donnant lieu à de petites pertes pécuniaires, qui ne peuvent faire l’objet de poursuites individuelles, </w:t>
      </w:r>
      <w:r w:rsidRPr="00120D77">
        <w:rPr>
          <w:i/>
          <w:lang w:val="fr-CA"/>
        </w:rPr>
        <w:t>mais qui, ensemble, peuvent faire l’objet d’un recours collectif viable</w:t>
      </w:r>
      <w:r w:rsidRPr="00120D77">
        <w:rPr>
          <w:lang w:val="fr-CA"/>
        </w:rPr>
        <w:t> : voir Theodore </w:t>
      </w:r>
      <w:proofErr w:type="spellStart"/>
      <w:r w:rsidRPr="00120D77">
        <w:rPr>
          <w:lang w:val="fr-CA"/>
        </w:rPr>
        <w:t>Eisenberg</w:t>
      </w:r>
      <w:proofErr w:type="spellEnd"/>
      <w:r w:rsidRPr="00120D77">
        <w:rPr>
          <w:lang w:val="fr-CA"/>
        </w:rPr>
        <w:t>, Geoffrey P. Miller et Emily </w:t>
      </w:r>
      <w:proofErr w:type="spellStart"/>
      <w:r w:rsidRPr="00120D77">
        <w:rPr>
          <w:lang w:val="fr-CA"/>
        </w:rPr>
        <w:t>Sherwin</w:t>
      </w:r>
      <w:proofErr w:type="spellEnd"/>
      <w:r w:rsidRPr="00120D77">
        <w:rPr>
          <w:lang w:val="fr-CA"/>
        </w:rPr>
        <w:t>, « </w:t>
      </w:r>
      <w:proofErr w:type="spellStart"/>
      <w:r w:rsidRPr="00120D77">
        <w:rPr>
          <w:lang w:val="fr-CA"/>
        </w:rPr>
        <w:t>Mandatory</w:t>
      </w:r>
      <w:proofErr w:type="spellEnd"/>
      <w:r w:rsidRPr="00120D77">
        <w:rPr>
          <w:lang w:val="fr-CA"/>
        </w:rPr>
        <w:t xml:space="preserve"> Arbitration for </w:t>
      </w:r>
      <w:proofErr w:type="spellStart"/>
      <w:r w:rsidRPr="00120D77">
        <w:rPr>
          <w:lang w:val="fr-CA"/>
        </w:rPr>
        <w:t>Customers</w:t>
      </w:r>
      <w:proofErr w:type="spellEnd"/>
      <w:r w:rsidRPr="00120D77">
        <w:rPr>
          <w:lang w:val="fr-CA"/>
        </w:rPr>
        <w:t xml:space="preserve"> but not for </w:t>
      </w:r>
      <w:proofErr w:type="spellStart"/>
      <w:r w:rsidRPr="00120D77">
        <w:rPr>
          <w:lang w:val="fr-CA"/>
        </w:rPr>
        <w:t>Peers</w:t>
      </w:r>
      <w:proofErr w:type="spellEnd"/>
      <w:r w:rsidR="00D0460C">
        <w:rPr>
          <w:lang w:val="fr-CA"/>
        </w:rPr>
        <w:t> </w:t>
      </w:r>
      <w:r w:rsidRPr="00120D77">
        <w:rPr>
          <w:lang w:val="fr-CA"/>
        </w:rPr>
        <w:t xml:space="preserve">: A </w:t>
      </w:r>
      <w:proofErr w:type="spellStart"/>
      <w:r w:rsidRPr="00120D77">
        <w:rPr>
          <w:lang w:val="fr-CA"/>
        </w:rPr>
        <w:t>Study</w:t>
      </w:r>
      <w:proofErr w:type="spellEnd"/>
      <w:r w:rsidRPr="00120D77">
        <w:rPr>
          <w:lang w:val="fr-CA"/>
        </w:rPr>
        <w:t xml:space="preserve"> of Arbitration Clauses in Consumer and Non</w:t>
      </w:r>
      <w:r w:rsidRPr="00120D77">
        <w:rPr>
          <w:lang w:val="fr-CA"/>
        </w:rPr>
        <w:noBreakHyphen/>
        <w:t xml:space="preserve">Consumer </w:t>
      </w:r>
      <w:proofErr w:type="spellStart"/>
      <w:r w:rsidRPr="00120D77">
        <w:rPr>
          <w:lang w:val="fr-CA"/>
        </w:rPr>
        <w:t>Contracts</w:t>
      </w:r>
      <w:proofErr w:type="spellEnd"/>
      <w:r w:rsidRPr="00120D77">
        <w:rPr>
          <w:lang w:val="fr-CA"/>
        </w:rPr>
        <w:t> » (2008), 92 </w:t>
      </w:r>
      <w:r w:rsidRPr="00120D77">
        <w:rPr>
          <w:i/>
          <w:lang w:val="fr-CA"/>
        </w:rPr>
        <w:t>Judicature</w:t>
      </w:r>
      <w:r w:rsidRPr="00120D77">
        <w:rPr>
          <w:lang w:val="fr-CA"/>
        </w:rPr>
        <w:t> 118. [</w:t>
      </w:r>
      <w:r>
        <w:rPr>
          <w:lang w:val="fr-CA"/>
        </w:rPr>
        <w:t xml:space="preserve">Italiques ajoutés; </w:t>
      </w:r>
      <w:r w:rsidRPr="00120D77">
        <w:rPr>
          <w:lang w:val="fr-CA"/>
        </w:rPr>
        <w:t>par. 30</w:t>
      </w:r>
      <w:r>
        <w:rPr>
          <w:lang w:val="fr-CA"/>
        </w:rPr>
        <w:t>.</w:t>
      </w:r>
      <w:r w:rsidRPr="00120D77">
        <w:rPr>
          <w:lang w:val="fr-CA"/>
        </w:rPr>
        <w:t>]</w:t>
      </w:r>
    </w:p>
    <w:p w:rsidR="00B618DD" w:rsidRPr="00120D77" w:rsidRDefault="00B618DD" w:rsidP="00B618DD">
      <w:pPr>
        <w:pStyle w:val="ParaNoNdepar-AltN"/>
        <w:rPr>
          <w:rFonts w:cs="Times New Roman"/>
          <w:lang w:val="fr-CA"/>
        </w:rPr>
      </w:pPr>
      <w:r w:rsidRPr="00120D77">
        <w:rPr>
          <w:rFonts w:cs="Times New Roman"/>
          <w:lang w:val="fr-CA"/>
        </w:rPr>
        <w:t>Tous les clients de TELUS — tant les clients commerciaux que les clients consommateurs — ont signé le même contrat type non négociable. La clause d’arbitrage individuel de TELUS empêche en fait les clients commerciaux d’avoir accès à la justice lorsqu’une réclamation de faible valeur ne justifie pas la dépense. Son caractère obligatoire, en outre, indique que les principes sous</w:t>
      </w:r>
      <w:r w:rsidRPr="00120D77">
        <w:rPr>
          <w:rFonts w:cs="Times New Roman"/>
          <w:lang w:val="fr-CA"/>
        </w:rPr>
        <w:noBreakHyphen/>
        <w:t xml:space="preserve">jacents de l’autonomie des parties et de la liberté contractuelle brillent par leur absence. Comme l’a affirmé la cour dans l’arrêt </w:t>
      </w:r>
      <w:r w:rsidRPr="00120D77">
        <w:rPr>
          <w:rFonts w:cs="Times New Roman"/>
          <w:i/>
          <w:lang w:val="fr-CA"/>
        </w:rPr>
        <w:t>Griffin</w:t>
      </w:r>
      <w:r w:rsidRPr="00120D77">
        <w:rPr>
          <w:rFonts w:cs="Times New Roman"/>
          <w:lang w:val="fr-CA"/>
        </w:rPr>
        <w:t> :</w:t>
      </w:r>
    </w:p>
    <w:p w:rsidR="00B618DD" w:rsidRPr="00120D77" w:rsidRDefault="00B618DD" w:rsidP="00B618DD">
      <w:pPr>
        <w:pStyle w:val="Citation-AltC"/>
        <w:ind w:hanging="1166"/>
        <w:rPr>
          <w:lang w:val="fr-CA"/>
        </w:rPr>
      </w:pPr>
      <w:r w:rsidRPr="00120D77">
        <w:rPr>
          <w:lang w:val="fr-CA"/>
        </w:rPr>
        <w:tab/>
        <w:t>[</w:t>
      </w:r>
      <w:r w:rsidRPr="00120D77">
        <w:rPr>
          <w:smallCaps/>
          <w:lang w:val="fr-CA"/>
        </w:rPr>
        <w:t>traduction</w:t>
      </w:r>
      <w:r w:rsidRPr="00120D77">
        <w:rPr>
          <w:lang w:val="fr-CA"/>
        </w:rPr>
        <w:t>] La retenue à l’égard de l’arbitrage est fondée en grande partie sur la liberté contractuelle et la valeur de l’autonomie personnelle. Comment ces valeurs peuvent</w:t>
      </w:r>
      <w:r w:rsidRPr="00120D77">
        <w:rPr>
          <w:lang w:val="fr-CA"/>
        </w:rPr>
        <w:noBreakHyphen/>
        <w:t xml:space="preserve">elles entrer en jeu dans les contrats d’adhésion où l’autonomie n’est exercée que par l’une des parties? </w:t>
      </w:r>
      <w:r w:rsidRPr="00120D77">
        <w:rPr>
          <w:i/>
          <w:lang w:val="fr-CA"/>
        </w:rPr>
        <w:t>Il n’y a aucune raison de faire preuve de déférence envers des entreprises qui ne cherchent qu’à faire valoir leurs propres intérêts et à se soustraire aux lois qui ne leur plaisent pas</w:t>
      </w:r>
      <w:r w:rsidRPr="00120D77">
        <w:rPr>
          <w:lang w:val="fr-CA"/>
        </w:rPr>
        <w:t>.</w:t>
      </w:r>
      <w:r>
        <w:rPr>
          <w:lang w:val="fr-CA"/>
        </w:rPr>
        <w:t xml:space="preserve"> </w:t>
      </w:r>
      <w:r w:rsidR="001C1ADF">
        <w:rPr>
          <w:lang w:val="fr-CA"/>
        </w:rPr>
        <w:t>[</w:t>
      </w:r>
      <w:proofErr w:type="gramStart"/>
      <w:r w:rsidR="001C1ADF">
        <w:rPr>
          <w:lang w:val="fr-CA"/>
        </w:rPr>
        <w:t>par</w:t>
      </w:r>
      <w:proofErr w:type="gramEnd"/>
      <w:r w:rsidR="001C1ADF">
        <w:rPr>
          <w:lang w:val="fr-CA"/>
        </w:rPr>
        <w:t>. 30]</w:t>
      </w:r>
    </w:p>
    <w:p w:rsidR="00B618DD" w:rsidRPr="00120D77" w:rsidRDefault="00B618DD" w:rsidP="00B618DD">
      <w:pPr>
        <w:pStyle w:val="Citation-AltC"/>
        <w:ind w:hanging="1166"/>
        <w:rPr>
          <w:lang w:val="fr-CA"/>
        </w:rPr>
      </w:pPr>
    </w:p>
    <w:p w:rsidR="00B618DD" w:rsidRPr="00120D77" w:rsidRDefault="00F41256" w:rsidP="00B618DD">
      <w:pPr>
        <w:pStyle w:val="Citation-AltC"/>
        <w:ind w:left="0"/>
        <w:contextualSpacing w:val="0"/>
        <w:rPr>
          <w:lang w:val="fr-CA"/>
        </w:rPr>
      </w:pPr>
      <w:r>
        <w:rPr>
          <w:lang w:val="fr-CA"/>
        </w:rPr>
        <w:t>(</w:t>
      </w:r>
      <w:r w:rsidR="001C1ADF">
        <w:rPr>
          <w:lang w:val="fr-CA"/>
        </w:rPr>
        <w:t>C</w:t>
      </w:r>
      <w:r w:rsidR="00B618DD" w:rsidRPr="00120D77">
        <w:rPr>
          <w:lang w:val="fr-CA"/>
        </w:rPr>
        <w:t xml:space="preserve">itant </w:t>
      </w:r>
      <w:proofErr w:type="spellStart"/>
      <w:r w:rsidR="00B618DD" w:rsidRPr="00120D77">
        <w:rPr>
          <w:lang w:val="fr-CA"/>
        </w:rPr>
        <w:t>Jonnette</w:t>
      </w:r>
      <w:proofErr w:type="spellEnd"/>
      <w:r w:rsidR="00B618DD" w:rsidRPr="00120D77">
        <w:rPr>
          <w:lang w:val="fr-CA"/>
        </w:rPr>
        <w:t> Watson Hamilton, « </w:t>
      </w:r>
      <w:proofErr w:type="spellStart"/>
      <w:r w:rsidR="00B618DD" w:rsidRPr="00120D77">
        <w:rPr>
          <w:lang w:val="fr-CA"/>
        </w:rPr>
        <w:t>Pre</w:t>
      </w:r>
      <w:proofErr w:type="spellEnd"/>
      <w:r w:rsidR="00B618DD" w:rsidRPr="00120D77">
        <w:rPr>
          <w:lang w:val="fr-CA"/>
        </w:rPr>
        <w:noBreakHyphen/>
        <w:t>Dispute Consumer Arbitration Clauses</w:t>
      </w:r>
      <w:r w:rsidR="00B618DD">
        <w:rPr>
          <w:lang w:val="fr-CA"/>
        </w:rPr>
        <w:t xml:space="preserve"> </w:t>
      </w:r>
      <w:r w:rsidR="00B618DD" w:rsidRPr="00120D77">
        <w:rPr>
          <w:lang w:val="fr-CA"/>
        </w:rPr>
        <w:t xml:space="preserve">: </w:t>
      </w:r>
      <w:proofErr w:type="spellStart"/>
      <w:r w:rsidR="00B618DD" w:rsidRPr="00120D77">
        <w:rPr>
          <w:lang w:val="fr-CA"/>
        </w:rPr>
        <w:t>Denying</w:t>
      </w:r>
      <w:proofErr w:type="spellEnd"/>
      <w:r w:rsidR="00B618DD" w:rsidRPr="00120D77">
        <w:rPr>
          <w:lang w:val="fr-CA"/>
        </w:rPr>
        <w:t xml:space="preserve"> Access to Justice? » (2006), 51 </w:t>
      </w:r>
      <w:r w:rsidR="00B618DD" w:rsidRPr="00120D77">
        <w:rPr>
          <w:i/>
          <w:lang w:val="fr-CA"/>
        </w:rPr>
        <w:t>R.D. McGill</w:t>
      </w:r>
      <w:r w:rsidR="00B618DD" w:rsidRPr="00120D77">
        <w:rPr>
          <w:lang w:val="fr-CA"/>
        </w:rPr>
        <w:t> 693, p. 734.)</w:t>
      </w:r>
    </w:p>
    <w:p w:rsidR="00B618DD" w:rsidRPr="00120D77" w:rsidRDefault="00B618DD" w:rsidP="00B618DD">
      <w:pPr>
        <w:pStyle w:val="ParaNoNdepar-AltN"/>
        <w:rPr>
          <w:rFonts w:cs="Times New Roman"/>
          <w:lang w:val="fr-CA"/>
        </w:rPr>
      </w:pPr>
      <w:r w:rsidRPr="00120D77">
        <w:rPr>
          <w:rFonts w:cs="Times New Roman"/>
          <w:lang w:val="fr-CA"/>
        </w:rPr>
        <w:t>On ne peut pas parler de « pouvoir de négociation égal » et d’« autonomie des parties » si la nature même du contrat révèle qu’une partie possède le pouvoir exclusif de décider du contenu du contrat. On ne saurait donc raisonnablement affirmer que les parties aux conventions d’arbitrage individuel obligatoire ont [</w:t>
      </w:r>
      <w:r w:rsidRPr="00120D77">
        <w:rPr>
          <w:rFonts w:cs="Times New Roman"/>
          <w:smallCaps/>
          <w:lang w:val="fr-CA"/>
        </w:rPr>
        <w:t>traduction</w:t>
      </w:r>
      <w:r w:rsidRPr="00120D77">
        <w:rPr>
          <w:rFonts w:cs="Times New Roman"/>
          <w:lang w:val="fr-CA"/>
        </w:rPr>
        <w:t xml:space="preserve">] « pris place à la table » et négocié, car il n’y a pas de table de négociation. La signature de ces contrats par les particuliers et les sociétés est fonction non pas de choix négociés, mais d’une </w:t>
      </w:r>
      <w:r w:rsidRPr="00120D77">
        <w:rPr>
          <w:rFonts w:cs="Times New Roman"/>
          <w:i/>
          <w:lang w:val="fr-CA"/>
        </w:rPr>
        <w:t>absence</w:t>
      </w:r>
      <w:r w:rsidRPr="00120D77">
        <w:rPr>
          <w:rFonts w:cs="Times New Roman"/>
          <w:lang w:val="fr-CA"/>
        </w:rPr>
        <w:t xml:space="preserve"> de choix.</w:t>
      </w:r>
    </w:p>
    <w:p w:rsidR="00B618DD" w:rsidRPr="00120D77" w:rsidRDefault="00B618DD" w:rsidP="00B618DD">
      <w:pPr>
        <w:pStyle w:val="ParaNoNdepar-AltN"/>
        <w:rPr>
          <w:rFonts w:cs="Times New Roman"/>
          <w:lang w:val="fr-CA"/>
        </w:rPr>
      </w:pPr>
      <w:r w:rsidRPr="00120D77">
        <w:rPr>
          <w:rFonts w:cs="Times New Roman"/>
          <w:lang w:val="fr-CA"/>
        </w:rPr>
        <w:t xml:space="preserve">La contradiction sans doute la plus ironique qui découle du refus de reconnaître le pouvoir discrétionnaire que prévoit le par. 7(5) est son effet corrosif sur l’accès à la justice. L’objet de la </w:t>
      </w:r>
      <w:r w:rsidRPr="00120D77">
        <w:rPr>
          <w:rFonts w:cs="Times New Roman"/>
          <w:i/>
          <w:lang w:val="fr-CA"/>
        </w:rPr>
        <w:t>Loi de 1991 sur l’arbitrage</w:t>
      </w:r>
      <w:r w:rsidRPr="00120D77">
        <w:rPr>
          <w:rFonts w:cs="Times New Roman"/>
          <w:lang w:val="fr-CA"/>
        </w:rPr>
        <w:t xml:space="preserve"> était d’accroître la capacité des parties de négocier leur propre processus de règlement extrajudiciaire des différends, en partant du principe que l’accès à la justice avait autant à voir avec l’accès à un résultat qu’avec l’accès à un juge. Imposer l’arbitrage à des parties qui n’en veulent pas va à l’encontre de l’esprit de la </w:t>
      </w:r>
      <w:r w:rsidRPr="00120D77">
        <w:rPr>
          <w:rFonts w:cs="Times New Roman"/>
          <w:i/>
          <w:lang w:val="fr-CA"/>
        </w:rPr>
        <w:t xml:space="preserve">Loi de 1991 sur l’arbitrage </w:t>
      </w:r>
      <w:r w:rsidRPr="00120D77">
        <w:rPr>
          <w:rFonts w:cs="Times New Roman"/>
          <w:lang w:val="fr-CA"/>
        </w:rPr>
        <w:t>et du processus arbitral. Cela tient lieu de barrière invisible, mais énorme, à la réparation et fait en sorte que les auteurs d’actes répréhensibles sont présumés soustraits à leur responsabilité, contrairement à nos notions les plus fondamentales de justice civile.</w:t>
      </w:r>
    </w:p>
    <w:p w:rsidR="00B618DD" w:rsidRPr="00120D77" w:rsidRDefault="00B618DD" w:rsidP="00B618DD">
      <w:pPr>
        <w:pStyle w:val="ParaNoNdepar-AltN"/>
        <w:rPr>
          <w:rFonts w:cs="Times New Roman"/>
          <w:lang w:val="fr-CA"/>
        </w:rPr>
      </w:pPr>
      <w:r w:rsidRPr="00120D77">
        <w:rPr>
          <w:rFonts w:cs="Times New Roman"/>
          <w:lang w:val="fr-CA"/>
        </w:rPr>
        <w:t xml:space="preserve">La juge qui a rédigé des motifs concordants en Cour d’appel a dit craindre que le recours au </w:t>
      </w:r>
      <w:proofErr w:type="spellStart"/>
      <w:r w:rsidRPr="00120D77">
        <w:rPr>
          <w:rFonts w:cs="Times New Roman"/>
          <w:lang w:val="fr-CA"/>
        </w:rPr>
        <w:t>par</w:t>
      </w:r>
      <w:proofErr w:type="spellEnd"/>
      <w:r w:rsidRPr="00120D77">
        <w:rPr>
          <w:rFonts w:cs="Times New Roman"/>
          <w:lang w:val="fr-CA"/>
        </w:rPr>
        <w:t>. 7(5) pour écarter des clauses d’arbitrage par ailleurs valides fasse en sorte que des parties averties</w:t>
      </w:r>
      <w:r w:rsidRPr="00120D77">
        <w:rPr>
          <w:rFonts w:eastAsia="Times New Roman" w:cs="Times New Roman"/>
          <w:lang w:val="fr-CA"/>
        </w:rPr>
        <w:t xml:space="preserve"> puissent échapper aux conventions d’arbitrage en incluant</w:t>
      </w:r>
      <w:r w:rsidRPr="00120D77">
        <w:rPr>
          <w:rFonts w:eastAsia="Times New Roman" w:cs="Times New Roman"/>
          <w:szCs w:val="24"/>
          <w:lang w:val="fr-CA" w:eastAsia="en-CA"/>
        </w:rPr>
        <w:t xml:space="preserve"> </w:t>
      </w:r>
      <w:r w:rsidRPr="00120D77">
        <w:rPr>
          <w:rFonts w:eastAsia="Times New Roman" w:cs="Times New Roman"/>
          <w:lang w:val="fr-CA"/>
        </w:rPr>
        <w:t>quelques consommateurs parmi de nombreux clients commerciaux dans un recours collectif. Cependant, l’expérience nous enseigne qu’il s’agit d’une crainte sans fondement. Nul n’a jamais eu recours à pareil subterfuge devant les tribunaux canadiens, ce qui ne signifie pas que cela n’arrivera jamais, mais une hypothèse aussi diaphane ne saurait dicter l’interprétation des lois.</w:t>
      </w:r>
    </w:p>
    <w:p w:rsidR="00B618DD" w:rsidRPr="00120D77" w:rsidRDefault="00B618DD" w:rsidP="00B618DD">
      <w:pPr>
        <w:pStyle w:val="ParaNoNdepar-AltN"/>
        <w:rPr>
          <w:rFonts w:cs="Times New Roman"/>
          <w:lang w:val="fr-CA"/>
        </w:rPr>
      </w:pPr>
      <w:r w:rsidRPr="00120D77">
        <w:rPr>
          <w:rFonts w:eastAsia="Times New Roman" w:cs="Times New Roman"/>
          <w:lang w:val="fr-CA"/>
        </w:rPr>
        <w:t xml:space="preserve">Quoi qu’il en soit, de telles craintes sont atténuées par le fait que la possibilité d’avoir recours au pouvoir discrétionnaire prévu au </w:t>
      </w:r>
      <w:proofErr w:type="spellStart"/>
      <w:r w:rsidRPr="00120D77">
        <w:rPr>
          <w:rFonts w:eastAsia="Times New Roman" w:cs="Times New Roman"/>
          <w:lang w:val="fr-CA"/>
        </w:rPr>
        <w:t>par</w:t>
      </w:r>
      <w:proofErr w:type="spellEnd"/>
      <w:r w:rsidRPr="00120D77">
        <w:rPr>
          <w:rFonts w:eastAsia="Times New Roman" w:cs="Times New Roman"/>
          <w:lang w:val="fr-CA"/>
        </w:rPr>
        <w:t>. 7(5) n’a pas pour effet d’</w:t>
      </w:r>
      <w:r w:rsidRPr="00120D77">
        <w:rPr>
          <w:rFonts w:eastAsia="Times New Roman" w:cs="Times New Roman"/>
          <w:i/>
          <w:lang w:val="fr-CA"/>
        </w:rPr>
        <w:t>obliger</w:t>
      </w:r>
      <w:r w:rsidRPr="00120D77">
        <w:rPr>
          <w:rFonts w:eastAsia="Times New Roman" w:cs="Times New Roman"/>
          <w:lang w:val="fr-CA"/>
        </w:rPr>
        <w:t xml:space="preserve"> les juges à permettre que l’instance relative à un recours collectif comportant des réclamations arbitrables se poursuive : ils peuvent simplement décider quand il est raisonnable de le faire. L’élimination de ce pouvoir discrétionnaire, par contre, réduit à néant l’accès à la justice.</w:t>
      </w:r>
    </w:p>
    <w:p w:rsidR="00B618DD" w:rsidRPr="00120D77" w:rsidRDefault="00B618DD" w:rsidP="00B618DD">
      <w:pPr>
        <w:pStyle w:val="ParaNoNdepar-AltN"/>
        <w:rPr>
          <w:rFonts w:cs="Times New Roman"/>
          <w:lang w:val="fr-CA"/>
        </w:rPr>
      </w:pPr>
      <w:r w:rsidRPr="00120D77">
        <w:rPr>
          <w:rFonts w:cs="Times New Roman"/>
          <w:iCs/>
          <w:lang w:val="fr-CA"/>
        </w:rPr>
        <w:t xml:space="preserve">Dans ce contexte, le par. 7(5) doit être interprété de façon à conférer aux juges le pouvoir discrétionnaire de refuser de surseoir aux réclamations arbitrables s’il n’est pas raisonnable de les dissocier des réclamations non arbitrables. Cette interprétation s’applique tout autant lorsque l’instance oppose deux parties désignées ou plus que lorsqu’il s’agit d’un recours </w:t>
      </w:r>
      <w:r w:rsidRPr="00120D77">
        <w:rPr>
          <w:rFonts w:cs="Times New Roman"/>
          <w:lang w:val="fr-CA"/>
        </w:rPr>
        <w:t>collectif.</w:t>
      </w:r>
    </w:p>
    <w:p w:rsidR="00B618DD" w:rsidRPr="00120D77" w:rsidRDefault="00B618DD" w:rsidP="00B618DD">
      <w:pPr>
        <w:pStyle w:val="ParaNoNdepar-AltN"/>
        <w:rPr>
          <w:rFonts w:cs="Times New Roman"/>
          <w:lang w:val="fr-CA"/>
        </w:rPr>
      </w:pPr>
      <w:r w:rsidRPr="00120D77">
        <w:rPr>
          <w:rFonts w:cs="Times New Roman"/>
          <w:lang w:val="fr-CA"/>
        </w:rPr>
        <w:t>La convention d’arbitrage de TELUS « </w:t>
      </w:r>
      <w:r w:rsidRPr="00120D77">
        <w:rPr>
          <w:rFonts w:cs="Times New Roman"/>
          <w:lang w:val="fr-FR"/>
        </w:rPr>
        <w:t>ne traite que de certaines des questions à l’égard desquelles l’instance a été introduite »</w:t>
      </w:r>
      <w:r w:rsidRPr="00120D77">
        <w:rPr>
          <w:rFonts w:cs="Times New Roman"/>
          <w:lang w:val="fr-CA"/>
        </w:rPr>
        <w:t>, c’est</w:t>
      </w:r>
      <w:r w:rsidRPr="00120D77">
        <w:rPr>
          <w:rFonts w:cs="Times New Roman"/>
          <w:lang w:val="fr-CA"/>
        </w:rPr>
        <w:noBreakHyphen/>
        <w:t>à</w:t>
      </w:r>
      <w:r w:rsidRPr="00120D77">
        <w:rPr>
          <w:rFonts w:cs="Times New Roman"/>
          <w:lang w:val="fr-CA"/>
        </w:rPr>
        <w:noBreakHyphen/>
        <w:t>dire les réclamations des clients commerciaux. Les réclamations des consommateurs constituent d’« autres questions » qui ne sont pas visées par l’arbitrage. L’alinéa 7(5)b) conférait donc à la juge des requêtes le pouvoir discrétionnaire de décider s’il était « raisonnable de dissocier les questions traitées dans la convention [les réclamations des clients commerciaux] des autres questions [les réclamations des consommateurs] ».</w:t>
      </w:r>
    </w:p>
    <w:p w:rsidR="00B618DD" w:rsidRPr="00120D77" w:rsidRDefault="00B618DD" w:rsidP="00B618DD">
      <w:pPr>
        <w:pStyle w:val="ParaNoNdepar-AltN"/>
        <w:rPr>
          <w:rFonts w:cs="Times New Roman"/>
        </w:rPr>
      </w:pPr>
      <w:r w:rsidRPr="00120D77">
        <w:rPr>
          <w:rFonts w:cs="Times New Roman"/>
          <w:lang w:val="fr-CA"/>
        </w:rPr>
        <w:t>Nous estimons que le pouvoir discrétionnaire dans la présente affaire a été correctement exercé pour permettre la jonction des réclamations des clients commerciaux au recours collectif intenté par des consommateurs et traitant des mêmes questions. Nous sommes donc d’avis de rejeter le pourvoi.</w:t>
      </w:r>
    </w:p>
    <w:p w:rsidR="00B618DD" w:rsidRPr="00653C52" w:rsidRDefault="00B618DD" w:rsidP="00B618DD">
      <w:pPr>
        <w:pStyle w:val="SCCNormalDoubleSpacing"/>
        <w:tabs>
          <w:tab w:val="clear" w:pos="1168"/>
          <w:tab w:val="left" w:pos="1170"/>
        </w:tabs>
        <w:spacing w:after="480"/>
        <w:rPr>
          <w:lang w:val="fr-CA"/>
        </w:rPr>
      </w:pPr>
      <w:r w:rsidRPr="00653C52">
        <w:rPr>
          <w:lang w:val="fr-CA"/>
        </w:rPr>
        <w:tab/>
      </w:r>
      <w:r w:rsidRPr="00653C52">
        <w:rPr>
          <w:i/>
          <w:lang w:val="fr-CA"/>
        </w:rPr>
        <w:t xml:space="preserve">Pourvoi accueilli, le juge en chef </w:t>
      </w:r>
      <w:r w:rsidRPr="00653C52">
        <w:rPr>
          <w:smallCaps/>
          <w:lang w:val="fr-CA"/>
        </w:rPr>
        <w:t>Wagner</w:t>
      </w:r>
      <w:r w:rsidRPr="00653C52">
        <w:rPr>
          <w:i/>
          <w:lang w:val="fr-CA"/>
        </w:rPr>
        <w:t xml:space="preserve"> et les juges </w:t>
      </w:r>
      <w:r w:rsidRPr="00653C52">
        <w:rPr>
          <w:smallCaps/>
          <w:lang w:val="fr-CA"/>
        </w:rPr>
        <w:t>Abella</w:t>
      </w:r>
      <w:r w:rsidRPr="00653C52">
        <w:rPr>
          <w:i/>
          <w:lang w:val="fr-CA"/>
        </w:rPr>
        <w:t xml:space="preserve">, </w:t>
      </w:r>
      <w:proofErr w:type="spellStart"/>
      <w:r w:rsidRPr="00653C52">
        <w:rPr>
          <w:smallCaps/>
          <w:lang w:val="fr-CA"/>
        </w:rPr>
        <w:t>Karakatsanis</w:t>
      </w:r>
      <w:proofErr w:type="spellEnd"/>
      <w:r w:rsidRPr="00653C52">
        <w:rPr>
          <w:smallCaps/>
          <w:lang w:val="fr-CA"/>
        </w:rPr>
        <w:t xml:space="preserve"> </w:t>
      </w:r>
      <w:r w:rsidRPr="00653C52">
        <w:rPr>
          <w:i/>
          <w:lang w:val="fr-CA"/>
        </w:rPr>
        <w:t>et</w:t>
      </w:r>
      <w:r w:rsidRPr="00653C52">
        <w:rPr>
          <w:smallCaps/>
          <w:lang w:val="fr-CA"/>
        </w:rPr>
        <w:t xml:space="preserve"> Martin</w:t>
      </w:r>
      <w:r>
        <w:rPr>
          <w:smallCaps/>
          <w:lang w:val="fr-CA"/>
        </w:rPr>
        <w:t xml:space="preserve"> </w:t>
      </w:r>
      <w:r w:rsidRPr="00653C52">
        <w:rPr>
          <w:i/>
          <w:lang w:val="fr-CA"/>
        </w:rPr>
        <w:t>sont dissidents.</w:t>
      </w:r>
    </w:p>
    <w:p w:rsidR="00B618DD" w:rsidRPr="00653C52" w:rsidRDefault="00B618DD" w:rsidP="00B618DD">
      <w:pPr>
        <w:pStyle w:val="SCCLawFirm"/>
        <w:tabs>
          <w:tab w:val="clear" w:pos="1168"/>
          <w:tab w:val="left" w:pos="1170"/>
        </w:tabs>
        <w:spacing w:after="480"/>
        <w:rPr>
          <w:lang w:val="fr-CA"/>
        </w:rPr>
      </w:pPr>
      <w:r w:rsidRPr="00653C52">
        <w:rPr>
          <w:lang w:val="fr-CA"/>
        </w:rPr>
        <w:tab/>
        <w:t xml:space="preserve">Procureurs de l’appelante : </w:t>
      </w:r>
      <w:proofErr w:type="spellStart"/>
      <w:r w:rsidRPr="00653C52">
        <w:rPr>
          <w:lang w:val="fr-CA"/>
        </w:rPr>
        <w:t>Fasken</w:t>
      </w:r>
      <w:proofErr w:type="spellEnd"/>
      <w:r w:rsidRPr="00653C52">
        <w:rPr>
          <w:lang w:val="fr-CA"/>
        </w:rPr>
        <w:t xml:space="preserve"> Martineau </w:t>
      </w:r>
      <w:proofErr w:type="spellStart"/>
      <w:r w:rsidRPr="00653C52">
        <w:rPr>
          <w:lang w:val="fr-CA"/>
        </w:rPr>
        <w:t>DuMoulin</w:t>
      </w:r>
      <w:proofErr w:type="spellEnd"/>
      <w:r w:rsidRPr="00653C52">
        <w:rPr>
          <w:lang w:val="fr-CA"/>
        </w:rPr>
        <w:t>, Vancouver; TELUS Communications Inc., Vancouver.</w:t>
      </w:r>
    </w:p>
    <w:p w:rsidR="00B618DD" w:rsidRPr="00653C52" w:rsidRDefault="00B618DD" w:rsidP="00B618DD">
      <w:pPr>
        <w:pStyle w:val="SCCLawFirm"/>
        <w:tabs>
          <w:tab w:val="clear" w:pos="1168"/>
          <w:tab w:val="left" w:pos="1170"/>
        </w:tabs>
        <w:spacing w:after="480"/>
        <w:rPr>
          <w:lang w:val="fr-CA"/>
        </w:rPr>
      </w:pPr>
      <w:r w:rsidRPr="00653C52">
        <w:rPr>
          <w:lang w:val="fr-CA"/>
        </w:rPr>
        <w:tab/>
        <w:t xml:space="preserve">Procureurs de l’intimé : </w:t>
      </w:r>
      <w:proofErr w:type="spellStart"/>
      <w:r w:rsidRPr="00653C52">
        <w:rPr>
          <w:lang w:val="fr-CA"/>
        </w:rPr>
        <w:t>Rochon</w:t>
      </w:r>
      <w:proofErr w:type="spellEnd"/>
      <w:r w:rsidRPr="00653C52">
        <w:rPr>
          <w:lang w:val="fr-CA"/>
        </w:rPr>
        <w:t xml:space="preserve">, Genova, Toronto; </w:t>
      </w:r>
      <w:proofErr w:type="spellStart"/>
      <w:r w:rsidRPr="00653C52">
        <w:rPr>
          <w:lang w:val="fr-CA"/>
        </w:rPr>
        <w:t>Morganti</w:t>
      </w:r>
      <w:proofErr w:type="spellEnd"/>
      <w:r w:rsidRPr="00653C52">
        <w:rPr>
          <w:lang w:val="fr-CA"/>
        </w:rPr>
        <w:t xml:space="preserve"> &amp; Co., Toronto.</w:t>
      </w:r>
    </w:p>
    <w:p w:rsidR="00B618DD" w:rsidRPr="00653C52" w:rsidRDefault="00B618DD" w:rsidP="00B618DD">
      <w:pPr>
        <w:pStyle w:val="SCCLawFirm"/>
        <w:tabs>
          <w:tab w:val="clear" w:pos="1168"/>
          <w:tab w:val="left" w:pos="1170"/>
        </w:tabs>
        <w:spacing w:after="480"/>
        <w:rPr>
          <w:lang w:val="fr-CA"/>
        </w:rPr>
      </w:pPr>
      <w:r w:rsidRPr="00653C52">
        <w:rPr>
          <w:lang w:val="fr-CA"/>
        </w:rPr>
        <w:tab/>
      </w:r>
      <w:r>
        <w:rPr>
          <w:lang w:val="fr-CA"/>
        </w:rPr>
        <w:t>Procureur de l’intervenant le p</w:t>
      </w:r>
      <w:r w:rsidRPr="00653C52">
        <w:rPr>
          <w:lang w:val="fr-CA"/>
        </w:rPr>
        <w:t>rocureur général de la Colombie</w:t>
      </w:r>
      <w:r w:rsidRPr="00653C52">
        <w:rPr>
          <w:lang w:val="fr-CA"/>
        </w:rPr>
        <w:noBreakHyphen/>
        <w:t>Britannique : Procureur général de la Colombie</w:t>
      </w:r>
      <w:r w:rsidRPr="00653C52">
        <w:rPr>
          <w:lang w:val="fr-CA"/>
        </w:rPr>
        <w:noBreakHyphen/>
        <w:t>Britannique, Victoria.</w:t>
      </w:r>
    </w:p>
    <w:p w:rsidR="00B618DD" w:rsidRPr="00653C52" w:rsidRDefault="00B618DD" w:rsidP="00B618DD">
      <w:pPr>
        <w:pStyle w:val="SCCLawFirm"/>
        <w:tabs>
          <w:tab w:val="clear" w:pos="1168"/>
          <w:tab w:val="left" w:pos="1170"/>
        </w:tabs>
        <w:spacing w:after="480"/>
        <w:rPr>
          <w:lang w:val="fr-CA"/>
        </w:rPr>
      </w:pPr>
      <w:r>
        <w:rPr>
          <w:lang w:val="fr-CA"/>
        </w:rPr>
        <w:tab/>
      </w:r>
      <w:r w:rsidRPr="00653C52">
        <w:rPr>
          <w:lang w:val="fr-CA"/>
        </w:rPr>
        <w:t>Procureurs de l’intervenante ADR Chambers Inc. : Bennett Jones, Toronto.</w:t>
      </w:r>
    </w:p>
    <w:p w:rsidR="00B618DD" w:rsidRPr="00653C52" w:rsidRDefault="00B618DD" w:rsidP="00B618DD">
      <w:pPr>
        <w:pStyle w:val="SCCLawFirm"/>
        <w:tabs>
          <w:tab w:val="clear" w:pos="1168"/>
          <w:tab w:val="left" w:pos="1170"/>
        </w:tabs>
        <w:spacing w:after="480"/>
        <w:rPr>
          <w:lang w:val="fr-CA"/>
        </w:rPr>
      </w:pPr>
      <w:r w:rsidRPr="00653C52">
        <w:rPr>
          <w:lang w:val="fr-CA"/>
        </w:rPr>
        <w:tab/>
        <w:t xml:space="preserve">Procureurs de l’intervenante la Chambre de commerce du Canada : McCarthy </w:t>
      </w:r>
      <w:proofErr w:type="spellStart"/>
      <w:r w:rsidRPr="00653C52">
        <w:rPr>
          <w:lang w:val="fr-CA"/>
        </w:rPr>
        <w:t>Tétrault</w:t>
      </w:r>
      <w:proofErr w:type="spellEnd"/>
      <w:r w:rsidRPr="00653C52">
        <w:rPr>
          <w:lang w:val="fr-CA"/>
        </w:rPr>
        <w:t>, Toronto.</w:t>
      </w:r>
    </w:p>
    <w:p w:rsidR="00B618DD" w:rsidRPr="00653C52" w:rsidRDefault="00B618DD" w:rsidP="00B618DD">
      <w:pPr>
        <w:pStyle w:val="SCCLawFirm"/>
        <w:tabs>
          <w:tab w:val="clear" w:pos="1168"/>
          <w:tab w:val="left" w:pos="1170"/>
        </w:tabs>
        <w:spacing w:after="480"/>
        <w:rPr>
          <w:lang w:val="fr-CA"/>
        </w:rPr>
      </w:pPr>
      <w:r w:rsidRPr="00653C52">
        <w:rPr>
          <w:lang w:val="fr-CA"/>
        </w:rPr>
        <w:tab/>
        <w:t xml:space="preserve">Procureurs des intervenants le Centre pour la défense de l’intérêt public et </w:t>
      </w:r>
      <w:proofErr w:type="spellStart"/>
      <w:r w:rsidRPr="00653C52">
        <w:rPr>
          <w:lang w:val="fr-CA"/>
        </w:rPr>
        <w:t>Consumers</w:t>
      </w:r>
      <w:proofErr w:type="spellEnd"/>
      <w:r w:rsidRPr="00653C52">
        <w:rPr>
          <w:lang w:val="fr-CA"/>
        </w:rPr>
        <w:t xml:space="preserve"> Council of Canada : </w:t>
      </w:r>
      <w:proofErr w:type="spellStart"/>
      <w:r w:rsidRPr="00653C52">
        <w:rPr>
          <w:lang w:val="fr-CA"/>
        </w:rPr>
        <w:t>Sotos</w:t>
      </w:r>
      <w:proofErr w:type="spellEnd"/>
      <w:r w:rsidRPr="00653C52">
        <w:rPr>
          <w:lang w:val="fr-CA"/>
        </w:rPr>
        <w:t>, Toronto.</w:t>
      </w:r>
    </w:p>
    <w:p w:rsidR="00B618DD" w:rsidRPr="00653C52" w:rsidRDefault="00B618DD" w:rsidP="00B618DD">
      <w:pPr>
        <w:pStyle w:val="SCCLawFirm"/>
        <w:tabs>
          <w:tab w:val="clear" w:pos="1168"/>
          <w:tab w:val="left" w:pos="1170"/>
        </w:tabs>
        <w:spacing w:after="480"/>
        <w:rPr>
          <w:lang w:val="fr-CA"/>
        </w:rPr>
      </w:pPr>
      <w:r w:rsidRPr="00653C52">
        <w:rPr>
          <w:lang w:val="fr-CA"/>
        </w:rPr>
        <w:tab/>
        <w:t>Procureur de l’intervenante la Fédération canadienne de l’entreprise indépendante :</w:t>
      </w:r>
      <w:r w:rsidRPr="0062519E">
        <w:rPr>
          <w:lang w:val="fr-CA"/>
        </w:rPr>
        <w:t xml:space="preserve"> </w:t>
      </w:r>
      <w:r w:rsidRPr="00653C52">
        <w:rPr>
          <w:lang w:val="fr-CA"/>
        </w:rPr>
        <w:t>Fédération canadienne de l’entreprise indépendante, Ottawa.</w:t>
      </w:r>
    </w:p>
    <w:p w:rsidR="00B618DD" w:rsidRPr="00653C52" w:rsidRDefault="00B618DD" w:rsidP="00B618DD">
      <w:pPr>
        <w:pStyle w:val="SCCLawFirm"/>
        <w:tabs>
          <w:tab w:val="clear" w:pos="1168"/>
          <w:tab w:val="left" w:pos="1170"/>
        </w:tabs>
        <w:spacing w:after="480"/>
        <w:rPr>
          <w:lang w:val="fr-CA"/>
        </w:rPr>
      </w:pPr>
      <w:r w:rsidRPr="00653C52">
        <w:rPr>
          <w:lang w:val="fr-CA"/>
        </w:rPr>
        <w:tab/>
        <w:t>Procureur de l’intervenante la Clinique d’intérêt public et de politique d’internet du Canada Samuelson</w:t>
      </w:r>
      <w:r w:rsidRPr="00653C52">
        <w:rPr>
          <w:lang w:val="fr-CA"/>
        </w:rPr>
        <w:noBreakHyphen/>
      </w:r>
      <w:proofErr w:type="spellStart"/>
      <w:r w:rsidRPr="00653C52">
        <w:rPr>
          <w:lang w:val="fr-CA"/>
        </w:rPr>
        <w:t>Glushko</w:t>
      </w:r>
      <w:proofErr w:type="spellEnd"/>
      <w:r w:rsidRPr="00653C52">
        <w:rPr>
          <w:lang w:val="fr-CA"/>
        </w:rPr>
        <w:t> : Université d’Ottawa, Ottawa.</w:t>
      </w:r>
    </w:p>
    <w:p w:rsidR="00B618DD" w:rsidRPr="00653C52" w:rsidRDefault="00B618DD" w:rsidP="00B618DD">
      <w:pPr>
        <w:pStyle w:val="SCCLawFirm"/>
        <w:tabs>
          <w:tab w:val="clear" w:pos="1168"/>
          <w:tab w:val="left" w:pos="1170"/>
        </w:tabs>
        <w:spacing w:after="480"/>
        <w:rPr>
          <w:lang w:val="fr-CA"/>
        </w:rPr>
      </w:pPr>
      <w:r w:rsidRPr="00653C52">
        <w:rPr>
          <w:lang w:val="fr-CA"/>
        </w:rPr>
        <w:tab/>
        <w:t xml:space="preserve">Procureurs de l’intervenante l’Association des consommateurs du Canada : </w:t>
      </w:r>
      <w:proofErr w:type="spellStart"/>
      <w:r w:rsidRPr="00653C52">
        <w:rPr>
          <w:lang w:val="fr-CA"/>
        </w:rPr>
        <w:t>Siskinds</w:t>
      </w:r>
      <w:proofErr w:type="spellEnd"/>
      <w:r w:rsidRPr="00653C52">
        <w:rPr>
          <w:lang w:val="fr-CA"/>
        </w:rPr>
        <w:t xml:space="preserve">, Toronto; Michael </w:t>
      </w:r>
      <w:proofErr w:type="spellStart"/>
      <w:r w:rsidRPr="00653C52">
        <w:rPr>
          <w:lang w:val="fr-CA"/>
        </w:rPr>
        <w:t>Sobkin</w:t>
      </w:r>
      <w:proofErr w:type="spellEnd"/>
      <w:r w:rsidRPr="00653C52">
        <w:rPr>
          <w:lang w:val="fr-CA"/>
        </w:rPr>
        <w:t>, Ottawa.</w:t>
      </w:r>
    </w:p>
    <w:p w:rsidR="00803999" w:rsidRPr="00B618DD" w:rsidRDefault="00803999">
      <w:pPr>
        <w:rPr>
          <w:lang w:val="fr-CA"/>
        </w:rPr>
      </w:pPr>
    </w:p>
    <w:sectPr w:rsidR="00803999" w:rsidRPr="00B618DD"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F10" w:rsidRDefault="00021F10" w:rsidP="00B618DD">
      <w:r>
        <w:separator/>
      </w:r>
    </w:p>
  </w:endnote>
  <w:endnote w:type="continuationSeparator" w:id="0">
    <w:p w:rsidR="00021F10" w:rsidRDefault="00021F10" w:rsidP="00B6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F10" w:rsidRDefault="00021F10" w:rsidP="00B618DD">
      <w:r>
        <w:separator/>
      </w:r>
    </w:p>
  </w:footnote>
  <w:footnote w:type="continuationSeparator" w:id="0">
    <w:p w:rsidR="00021F10" w:rsidRDefault="00021F10" w:rsidP="00B618DD">
      <w:r>
        <w:continuationSeparator/>
      </w:r>
    </w:p>
  </w:footnote>
  <w:footnote w:id="1">
    <w:p w:rsidR="00B618DD" w:rsidRPr="00856F6B" w:rsidRDefault="00B618DD" w:rsidP="00B618DD">
      <w:pPr>
        <w:pStyle w:val="FootnoteText"/>
        <w:rPr>
          <w:lang w:val="fr-CA"/>
        </w:rPr>
      </w:pPr>
      <w:r w:rsidRPr="00856F6B">
        <w:rPr>
          <w:rStyle w:val="FootnoteReference"/>
          <w:lang w:val="fr-CA"/>
        </w:rPr>
        <w:footnoteRef/>
      </w:r>
      <w:r w:rsidRPr="00856F6B">
        <w:rPr>
          <w:lang w:val="fr-CA"/>
        </w:rPr>
        <w:t xml:space="preserve"> </w:t>
      </w:r>
      <w:r>
        <w:rPr>
          <w:lang w:val="fr-CA"/>
        </w:rPr>
        <w:tab/>
      </w:r>
      <w:r w:rsidRPr="008E5EE3">
        <w:rPr>
          <w:lang w:val="fr-CA"/>
        </w:rPr>
        <w:t xml:space="preserve">Sauf indication contraire, tous les renvois à des dispositions législatives se rapportent à la </w:t>
      </w:r>
      <w:r w:rsidRPr="008E5EE3">
        <w:rPr>
          <w:i/>
          <w:lang w:val="fr-CA"/>
        </w:rPr>
        <w:t>Loi sur l’arbitrage</w:t>
      </w:r>
      <w:r w:rsidRPr="008E5EE3">
        <w:rPr>
          <w:lang w:val="fr-CA"/>
        </w:rPr>
        <w:t>.</w:t>
      </w:r>
    </w:p>
  </w:footnote>
  <w:footnote w:id="2">
    <w:p w:rsidR="00B618DD" w:rsidRPr="00856F6B" w:rsidRDefault="00B618DD" w:rsidP="00B618DD">
      <w:pPr>
        <w:pStyle w:val="FootnoteText"/>
        <w:rPr>
          <w:lang w:val="fr-CA"/>
        </w:rPr>
      </w:pPr>
      <w:r w:rsidRPr="00856F6B">
        <w:rPr>
          <w:rStyle w:val="FootnoteReference"/>
          <w:lang w:val="fr-CA"/>
        </w:rPr>
        <w:footnoteRef/>
      </w:r>
      <w:r w:rsidRPr="00856F6B">
        <w:rPr>
          <w:lang w:val="fr-CA"/>
        </w:rPr>
        <w:t xml:space="preserve"> </w:t>
      </w:r>
      <w:r>
        <w:rPr>
          <w:lang w:val="fr-CA"/>
        </w:rPr>
        <w:tab/>
      </w:r>
      <w:r>
        <w:rPr>
          <w:lang w:val="fr-CA"/>
        </w:rPr>
        <w:tab/>
        <w:t xml:space="preserve">En fait, </w:t>
      </w:r>
      <w:r w:rsidRPr="00856F6B">
        <w:rPr>
          <w:lang w:val="fr-CA"/>
        </w:rPr>
        <w:t>M.</w:t>
      </w:r>
      <w:r>
        <w:rPr>
          <w:lang w:val="fr-CA"/>
        </w:rPr>
        <w:t> </w:t>
      </w:r>
      <w:proofErr w:type="spellStart"/>
      <w:r w:rsidRPr="00856F6B">
        <w:rPr>
          <w:lang w:val="fr-CA"/>
        </w:rPr>
        <w:t>Wellman</w:t>
      </w:r>
      <w:proofErr w:type="spellEnd"/>
      <w:r w:rsidRPr="00856F6B">
        <w:rPr>
          <w:lang w:val="fr-CA"/>
        </w:rPr>
        <w:t xml:space="preserve"> </w:t>
      </w:r>
      <w:r>
        <w:rPr>
          <w:lang w:val="fr-CA"/>
        </w:rPr>
        <w:t>a nommé trois défenderesses</w:t>
      </w:r>
      <w:r w:rsidRPr="00856F6B">
        <w:rPr>
          <w:lang w:val="fr-CA"/>
        </w:rPr>
        <w:t xml:space="preserve"> — TELUS, TELUS Communications </w:t>
      </w:r>
      <w:proofErr w:type="spellStart"/>
      <w:r w:rsidRPr="00856F6B">
        <w:rPr>
          <w:lang w:val="fr-CA"/>
        </w:rPr>
        <w:t>Company</w:t>
      </w:r>
      <w:proofErr w:type="spellEnd"/>
      <w:r>
        <w:rPr>
          <w:lang w:val="fr-CA"/>
        </w:rPr>
        <w:t xml:space="preserve"> et</w:t>
      </w:r>
      <w:r w:rsidRPr="00856F6B">
        <w:rPr>
          <w:lang w:val="fr-CA"/>
        </w:rPr>
        <w:t xml:space="preserve"> </w:t>
      </w:r>
      <w:proofErr w:type="spellStart"/>
      <w:r w:rsidRPr="00856F6B">
        <w:rPr>
          <w:lang w:val="fr-CA"/>
        </w:rPr>
        <w:t>Tele</w:t>
      </w:r>
      <w:proofErr w:type="spellEnd"/>
      <w:r w:rsidRPr="00856F6B">
        <w:rPr>
          <w:lang w:val="fr-CA"/>
        </w:rPr>
        <w:t xml:space="preserve">-Mobile </w:t>
      </w:r>
      <w:proofErr w:type="spellStart"/>
      <w:r w:rsidRPr="00856F6B">
        <w:rPr>
          <w:lang w:val="fr-CA"/>
        </w:rPr>
        <w:t>Company</w:t>
      </w:r>
      <w:proofErr w:type="spellEnd"/>
      <w:r w:rsidRPr="00856F6B">
        <w:rPr>
          <w:lang w:val="fr-CA"/>
        </w:rPr>
        <w:t xml:space="preserve"> — </w:t>
      </w:r>
      <w:r>
        <w:rPr>
          <w:lang w:val="fr-CA"/>
        </w:rPr>
        <w:t xml:space="preserve">mais </w:t>
      </w:r>
      <w:r w:rsidRPr="00856F6B">
        <w:rPr>
          <w:lang w:val="fr-CA"/>
        </w:rPr>
        <w:t xml:space="preserve">TELUS </w:t>
      </w:r>
      <w:r>
        <w:rPr>
          <w:lang w:val="fr-CA"/>
        </w:rPr>
        <w:t>est la seule demanderesse qui reste, car les deux autres ont cessé leurs activités; leurs actifs et leurs passifs ont été transférés à TELUS</w:t>
      </w:r>
      <w:r w:rsidRPr="00856F6B">
        <w:rPr>
          <w:lang w:val="fr-CA"/>
        </w:rPr>
        <w:t>.</w:t>
      </w:r>
    </w:p>
  </w:footnote>
  <w:footnote w:id="3">
    <w:p w:rsidR="00B618DD" w:rsidRPr="00856F6B" w:rsidRDefault="00B618DD" w:rsidP="00B618DD">
      <w:pPr>
        <w:pStyle w:val="FootnoteText"/>
        <w:rPr>
          <w:lang w:val="fr-CA"/>
        </w:rPr>
      </w:pPr>
      <w:r w:rsidRPr="00856F6B">
        <w:rPr>
          <w:rStyle w:val="FootnoteReference"/>
          <w:lang w:val="fr-CA"/>
        </w:rPr>
        <w:footnoteRef/>
      </w:r>
      <w:r w:rsidRPr="00856F6B">
        <w:rPr>
          <w:lang w:val="fr-CA"/>
        </w:rPr>
        <w:t xml:space="preserve"> </w:t>
      </w:r>
      <w:r>
        <w:rPr>
          <w:lang w:val="fr-CA"/>
        </w:rPr>
        <w:tab/>
        <w:t xml:space="preserve">Des allégations similaires ont été faites contre Bell Mobilité Inc. dans le cadre d’un autre recours collectif projeté, introduit par Jason </w:t>
      </w:r>
      <w:proofErr w:type="spellStart"/>
      <w:r w:rsidRPr="00856F6B">
        <w:rPr>
          <w:lang w:val="fr-CA"/>
        </w:rPr>
        <w:t>Corless</w:t>
      </w:r>
      <w:proofErr w:type="spellEnd"/>
      <w:r>
        <w:rPr>
          <w:lang w:val="fr-CA"/>
        </w:rPr>
        <w:t>. La demande de certification dans cette affaire a été entendue en même temps que la demande présentée dans l’affaire TELUS.</w:t>
      </w:r>
      <w:r w:rsidRPr="00856F6B">
        <w:rPr>
          <w:lang w:val="fr-CA"/>
        </w:rPr>
        <w:t xml:space="preserve"> </w:t>
      </w:r>
      <w:r>
        <w:rPr>
          <w:lang w:val="fr-CA"/>
        </w:rPr>
        <w:t xml:space="preserve">Le présent pourvoi ne concerne pas l’action contre Bell. </w:t>
      </w:r>
    </w:p>
  </w:footnote>
  <w:footnote w:id="4">
    <w:p w:rsidR="00B618DD" w:rsidRPr="00856F6B" w:rsidRDefault="00B618DD" w:rsidP="00B618DD">
      <w:pPr>
        <w:pStyle w:val="FootnoteText"/>
        <w:rPr>
          <w:bCs/>
          <w:lang w:val="fr-CA"/>
        </w:rPr>
      </w:pPr>
      <w:r w:rsidRPr="00856F6B">
        <w:rPr>
          <w:rStyle w:val="FootnoteReference"/>
          <w:lang w:val="fr-CA"/>
        </w:rPr>
        <w:footnoteRef/>
      </w:r>
      <w:r w:rsidRPr="00856F6B">
        <w:rPr>
          <w:lang w:val="fr-CA"/>
        </w:rPr>
        <w:t xml:space="preserve"> </w:t>
      </w:r>
      <w:r>
        <w:rPr>
          <w:lang w:val="fr-CA"/>
        </w:rPr>
        <w:tab/>
      </w:r>
      <w:r w:rsidRPr="00856F6B">
        <w:rPr>
          <w:bCs/>
          <w:lang w:val="fr-CA"/>
        </w:rPr>
        <w:t xml:space="preserve">TELUS </w:t>
      </w:r>
      <w:r>
        <w:rPr>
          <w:bCs/>
          <w:lang w:val="fr-CA"/>
        </w:rPr>
        <w:t>a aussi demandé l’autorisation d’interjeter appel de l’ordonnance de certification devant la Cour divisionnaire. Cette motion a été rejetée (voir</w:t>
      </w:r>
      <w:r w:rsidRPr="00856F6B">
        <w:rPr>
          <w:bCs/>
          <w:lang w:val="fr-CA"/>
        </w:rPr>
        <w:t xml:space="preserve"> </w:t>
      </w:r>
      <w:proofErr w:type="spellStart"/>
      <w:r w:rsidRPr="00856F6B">
        <w:rPr>
          <w:bCs/>
          <w:i/>
          <w:iCs/>
          <w:lang w:val="fr-CA"/>
        </w:rPr>
        <w:t>Corless</w:t>
      </w:r>
      <w:proofErr w:type="spellEnd"/>
      <w:r w:rsidRPr="00856F6B">
        <w:rPr>
          <w:bCs/>
          <w:i/>
          <w:iCs/>
          <w:lang w:val="fr-CA"/>
        </w:rPr>
        <w:t xml:space="preserve"> </w:t>
      </w:r>
      <w:r>
        <w:rPr>
          <w:bCs/>
          <w:i/>
          <w:iCs/>
          <w:lang w:val="fr-CA"/>
        </w:rPr>
        <w:t>c</w:t>
      </w:r>
      <w:r w:rsidRPr="00856F6B">
        <w:rPr>
          <w:bCs/>
          <w:i/>
          <w:iCs/>
          <w:lang w:val="fr-CA"/>
        </w:rPr>
        <w:t xml:space="preserve">. Bell </w:t>
      </w:r>
      <w:proofErr w:type="spellStart"/>
      <w:r w:rsidRPr="00856F6B">
        <w:rPr>
          <w:bCs/>
          <w:i/>
          <w:iCs/>
          <w:lang w:val="fr-CA"/>
        </w:rPr>
        <w:t>Mobility</w:t>
      </w:r>
      <w:proofErr w:type="spellEnd"/>
      <w:r w:rsidRPr="00856F6B">
        <w:rPr>
          <w:bCs/>
          <w:i/>
          <w:iCs/>
          <w:lang w:val="fr-CA"/>
        </w:rPr>
        <w:t xml:space="preserve"> Inc.</w:t>
      </w:r>
      <w:r>
        <w:rPr>
          <w:bCs/>
          <w:lang w:val="fr-CA"/>
        </w:rPr>
        <w:t>, 2015 ONSC 7682</w:t>
      </w:r>
      <w:r w:rsidRPr="00856F6B">
        <w:rPr>
          <w:bCs/>
          <w:lang w:val="fr-CA"/>
        </w:rPr>
        <w:t xml:space="preserve">). </w:t>
      </w:r>
      <w:r>
        <w:rPr>
          <w:bCs/>
          <w:lang w:val="fr-CA"/>
        </w:rPr>
        <w:t>La décision rendue par la Cour divisionnaire n’est pas contestée dans le cadre du présent pourvoi</w:t>
      </w:r>
      <w:r w:rsidRPr="00856F6B">
        <w:rPr>
          <w:bCs/>
          <w:lang w:val="fr-CA"/>
        </w:rPr>
        <w:t xml:space="preserve"> — </w:t>
      </w:r>
      <w:r>
        <w:rPr>
          <w:bCs/>
          <w:lang w:val="fr-CA"/>
        </w:rPr>
        <w:t>le bien-fondé des allégations de M. </w:t>
      </w:r>
      <w:proofErr w:type="spellStart"/>
      <w:r>
        <w:rPr>
          <w:bCs/>
          <w:lang w:val="fr-CA"/>
        </w:rPr>
        <w:t>Wellman</w:t>
      </w:r>
      <w:proofErr w:type="spellEnd"/>
      <w:r>
        <w:rPr>
          <w:bCs/>
          <w:lang w:val="fr-CA"/>
        </w:rPr>
        <w:t xml:space="preserve"> dans le recours collectif sous-jacent ne l’est pas non plus. </w:t>
      </w:r>
    </w:p>
  </w:footnote>
  <w:footnote w:id="5">
    <w:p w:rsidR="00B618DD" w:rsidRPr="00856F6B" w:rsidRDefault="00B618DD" w:rsidP="00B618DD">
      <w:pPr>
        <w:pStyle w:val="FootnoteText"/>
        <w:rPr>
          <w:lang w:val="fr-CA"/>
        </w:rPr>
      </w:pPr>
      <w:r w:rsidRPr="00856F6B">
        <w:rPr>
          <w:rStyle w:val="FootnoteReference"/>
          <w:lang w:val="fr-CA"/>
        </w:rPr>
        <w:footnoteRef/>
      </w:r>
      <w:r w:rsidRPr="00856F6B">
        <w:rPr>
          <w:lang w:val="fr-CA"/>
        </w:rPr>
        <w:t xml:space="preserve"> </w:t>
      </w:r>
      <w:r>
        <w:rPr>
          <w:lang w:val="fr-CA"/>
        </w:rPr>
        <w:t>Le représentant demandeur, qui était un « consommateur », avait été ajouté seulement après que l’instance a été certifiée</w:t>
      </w:r>
      <w:r w:rsidRPr="00856F6B">
        <w:rPr>
          <w:lang w:val="fr-CA"/>
        </w:rPr>
        <w:t xml:space="preserve"> (</w:t>
      </w:r>
      <w:r>
        <w:rPr>
          <w:lang w:val="fr-CA"/>
        </w:rPr>
        <w:t>voir</w:t>
      </w:r>
      <w:r w:rsidRPr="00856F6B">
        <w:rPr>
          <w:lang w:val="fr-CA"/>
        </w:rPr>
        <w:t xml:space="preserve"> </w:t>
      </w:r>
      <w:r w:rsidRPr="00856F6B">
        <w:rPr>
          <w:i/>
          <w:lang w:val="fr-CA"/>
        </w:rPr>
        <w:t>Griffin</w:t>
      </w:r>
      <w:r w:rsidRPr="00856F6B">
        <w:rPr>
          <w:lang w:val="fr-CA"/>
        </w:rPr>
        <w:t>, par. 2).</w:t>
      </w:r>
    </w:p>
  </w:footnote>
  <w:footnote w:id="6">
    <w:p w:rsidR="00B618DD" w:rsidRPr="00856F6B" w:rsidRDefault="00B618DD" w:rsidP="00B618DD">
      <w:pPr>
        <w:pStyle w:val="FootnoteText"/>
        <w:rPr>
          <w:lang w:val="fr-CA"/>
        </w:rPr>
      </w:pPr>
      <w:r w:rsidRPr="00856F6B">
        <w:rPr>
          <w:rStyle w:val="FootnoteReference"/>
          <w:lang w:val="fr-CA"/>
        </w:rPr>
        <w:footnoteRef/>
      </w:r>
      <w:r w:rsidRPr="00856F6B">
        <w:rPr>
          <w:lang w:val="fr-CA"/>
        </w:rPr>
        <w:t xml:space="preserve"> </w:t>
      </w:r>
      <w:r>
        <w:rPr>
          <w:lang w:val="fr-CA"/>
        </w:rPr>
        <w:tab/>
        <w:t>Comme l’</w:t>
      </w:r>
      <w:r w:rsidRPr="00856F6B">
        <w:rPr>
          <w:lang w:val="fr-CA"/>
        </w:rPr>
        <w:t xml:space="preserve">Alberta Law </w:t>
      </w:r>
      <w:proofErr w:type="spellStart"/>
      <w:r w:rsidRPr="00856F6B">
        <w:rPr>
          <w:lang w:val="fr-CA"/>
        </w:rPr>
        <w:t>Reform</w:t>
      </w:r>
      <w:proofErr w:type="spellEnd"/>
      <w:r w:rsidRPr="00856F6B">
        <w:rPr>
          <w:lang w:val="fr-CA"/>
        </w:rPr>
        <w:t xml:space="preserve"> Institute </w:t>
      </w:r>
      <w:r>
        <w:rPr>
          <w:lang w:val="fr-CA"/>
        </w:rPr>
        <w:t>l’a fait remarquer, [</w:t>
      </w:r>
      <w:r w:rsidRPr="00030E4A">
        <w:rPr>
          <w:smallCaps/>
          <w:lang w:val="fr-CA"/>
        </w:rPr>
        <w:t>traduction</w:t>
      </w:r>
      <w:r>
        <w:rPr>
          <w:lang w:val="fr-CA"/>
        </w:rPr>
        <w:t>] « les documents de la [Conférence pour l’harmonisation des lois au Canada] ne comportent aucune analyse de l’objet, du sens et de l’effet prévus du paragraphe 7(5); ils n’en font même pas mention » (p</w:t>
      </w:r>
      <w:r w:rsidRPr="00856F6B">
        <w:rPr>
          <w:lang w:val="fr-CA"/>
        </w:rPr>
        <w:t>ar</w:t>
      </w:r>
      <w:r>
        <w:rPr>
          <w:lang w:val="fr-CA"/>
        </w:rPr>
        <w:t>. </w:t>
      </w:r>
      <w:r w:rsidRPr="00856F6B">
        <w:rPr>
          <w:lang w:val="fr-CA"/>
        </w:rPr>
        <w:t xml:space="preserve">34, </w:t>
      </w:r>
      <w:r>
        <w:rPr>
          <w:lang w:val="fr-CA"/>
        </w:rPr>
        <w:t>citant la</w:t>
      </w:r>
      <w:r w:rsidRPr="00856F6B">
        <w:rPr>
          <w:lang w:val="fr-CA"/>
        </w:rPr>
        <w:t xml:space="preserve"> </w:t>
      </w:r>
      <w:r>
        <w:rPr>
          <w:lang w:val="fr-CA"/>
        </w:rPr>
        <w:t xml:space="preserve">Conférence pour l’harmonisation des lois au </w:t>
      </w:r>
      <w:r w:rsidRPr="006338B1">
        <w:rPr>
          <w:lang w:val="fr-CA"/>
        </w:rPr>
        <w:t xml:space="preserve">Canada, </w:t>
      </w:r>
      <w:proofErr w:type="spellStart"/>
      <w:r w:rsidRPr="006338B1">
        <w:rPr>
          <w:i/>
          <w:iCs/>
          <w:lang w:val="fr-CA"/>
        </w:rPr>
        <w:t>Proceedings</w:t>
      </w:r>
      <w:proofErr w:type="spellEnd"/>
      <w:r w:rsidRPr="006338B1">
        <w:rPr>
          <w:i/>
          <w:iCs/>
          <w:lang w:val="fr-CA"/>
        </w:rPr>
        <w:t xml:space="preserve"> of the </w:t>
      </w:r>
      <w:proofErr w:type="spellStart"/>
      <w:r w:rsidRPr="006338B1">
        <w:rPr>
          <w:i/>
          <w:iCs/>
          <w:lang w:val="fr-CA"/>
        </w:rPr>
        <w:t>Seventy</w:t>
      </w:r>
      <w:proofErr w:type="spellEnd"/>
      <w:r w:rsidRPr="006338B1">
        <w:rPr>
          <w:i/>
          <w:iCs/>
          <w:lang w:val="fr-CA"/>
        </w:rPr>
        <w:t>-</w:t>
      </w:r>
      <w:r>
        <w:rPr>
          <w:i/>
          <w:iCs/>
          <w:lang w:val="fr-CA"/>
        </w:rPr>
        <w:t>f</w:t>
      </w:r>
      <w:r w:rsidRPr="006338B1">
        <w:rPr>
          <w:i/>
          <w:iCs/>
          <w:lang w:val="fr-CA"/>
        </w:rPr>
        <w:t xml:space="preserve">irst </w:t>
      </w:r>
      <w:proofErr w:type="spellStart"/>
      <w:r w:rsidRPr="006338B1">
        <w:rPr>
          <w:i/>
          <w:iCs/>
          <w:lang w:val="fr-CA"/>
        </w:rPr>
        <w:t>Annual</w:t>
      </w:r>
      <w:proofErr w:type="spellEnd"/>
      <w:r w:rsidRPr="006338B1">
        <w:rPr>
          <w:i/>
          <w:iCs/>
          <w:lang w:val="fr-CA"/>
        </w:rPr>
        <w:t xml:space="preserve"> Meeting </w:t>
      </w:r>
      <w:r w:rsidRPr="006338B1">
        <w:rPr>
          <w:lang w:val="fr-CA"/>
        </w:rPr>
        <w:t>(août 1989), p.</w:t>
      </w:r>
      <w:r>
        <w:rPr>
          <w:lang w:val="fr-CA"/>
        </w:rPr>
        <w:t> 77-78 et</w:t>
      </w:r>
      <w:r w:rsidRPr="006338B1">
        <w:rPr>
          <w:lang w:val="fr-CA"/>
        </w:rPr>
        <w:t xml:space="preserve"> ann</w:t>
      </w:r>
      <w:r w:rsidR="000C07ED">
        <w:rPr>
          <w:lang w:val="fr-CA"/>
        </w:rPr>
        <w:t>exe</w:t>
      </w:r>
      <w:r w:rsidRPr="006338B1">
        <w:rPr>
          <w:lang w:val="fr-CA"/>
        </w:rPr>
        <w:t xml:space="preserve"> B; Conférence pour l’harmonisation des lois au Canada, </w:t>
      </w:r>
      <w:proofErr w:type="spellStart"/>
      <w:r w:rsidRPr="006338B1">
        <w:rPr>
          <w:i/>
          <w:iCs/>
          <w:lang w:val="fr-CA"/>
        </w:rPr>
        <w:t>Proceedings</w:t>
      </w:r>
      <w:proofErr w:type="spellEnd"/>
      <w:r w:rsidRPr="006338B1">
        <w:rPr>
          <w:i/>
          <w:iCs/>
          <w:lang w:val="fr-CA"/>
        </w:rPr>
        <w:t xml:space="preserve"> of the </w:t>
      </w:r>
      <w:proofErr w:type="spellStart"/>
      <w:r w:rsidRPr="006338B1">
        <w:rPr>
          <w:i/>
          <w:iCs/>
          <w:lang w:val="fr-CA"/>
        </w:rPr>
        <w:t>Seventy</w:t>
      </w:r>
      <w:proofErr w:type="spellEnd"/>
      <w:r w:rsidRPr="006338B1">
        <w:rPr>
          <w:i/>
          <w:iCs/>
          <w:lang w:val="fr-CA"/>
        </w:rPr>
        <w:t xml:space="preserve">-Second </w:t>
      </w:r>
      <w:proofErr w:type="spellStart"/>
      <w:r w:rsidRPr="006338B1">
        <w:rPr>
          <w:i/>
          <w:iCs/>
          <w:lang w:val="fr-CA"/>
        </w:rPr>
        <w:t>Annual</w:t>
      </w:r>
      <w:proofErr w:type="spellEnd"/>
      <w:r w:rsidRPr="006338B1">
        <w:rPr>
          <w:i/>
          <w:iCs/>
          <w:lang w:val="fr-CA"/>
        </w:rPr>
        <w:t xml:space="preserve"> Meeting </w:t>
      </w:r>
      <w:r w:rsidRPr="006338B1">
        <w:rPr>
          <w:lang w:val="fr-CA"/>
        </w:rPr>
        <w:t>(août 1990</w:t>
      </w:r>
      <w:r w:rsidRPr="00856F6B">
        <w:rPr>
          <w:lang w:val="fr-CA"/>
        </w:rPr>
        <w:t>), p.</w:t>
      </w:r>
      <w:r>
        <w:rPr>
          <w:lang w:val="fr-CA"/>
        </w:rPr>
        <w:t> 36 et</w:t>
      </w:r>
      <w:r w:rsidRPr="00856F6B">
        <w:rPr>
          <w:lang w:val="fr-CA"/>
        </w:rPr>
        <w:t xml:space="preserve"> </w:t>
      </w:r>
      <w:r w:rsidR="000C07ED">
        <w:rPr>
          <w:lang w:val="fr-CA"/>
        </w:rPr>
        <w:t>annexe</w:t>
      </w:r>
      <w:r>
        <w:rPr>
          <w:lang w:val="fr-CA"/>
        </w:rPr>
        <w:t> </w:t>
      </w:r>
      <w:r w:rsidR="009E4366">
        <w:rPr>
          <w:lang w:val="fr-CA"/>
        </w:rPr>
        <w:t xml:space="preserve">A). </w:t>
      </w:r>
    </w:p>
  </w:footnote>
  <w:footnote w:id="7">
    <w:p w:rsidR="00B618DD" w:rsidRPr="00856F6B" w:rsidRDefault="00B618DD" w:rsidP="00B618DD">
      <w:pPr>
        <w:pStyle w:val="FootnoteText"/>
        <w:rPr>
          <w:lang w:val="fr-CA"/>
        </w:rPr>
      </w:pPr>
      <w:r w:rsidRPr="00856F6B">
        <w:rPr>
          <w:rStyle w:val="FootnoteReference"/>
          <w:lang w:val="fr-CA"/>
        </w:rPr>
        <w:footnoteRef/>
      </w:r>
      <w:r w:rsidRPr="00856F6B">
        <w:rPr>
          <w:lang w:val="fr-CA"/>
        </w:rPr>
        <w:t xml:space="preserve"> </w:t>
      </w:r>
      <w:r>
        <w:rPr>
          <w:lang w:val="fr-CA"/>
        </w:rPr>
        <w:t>Selon l’art. 1, le terme « fournisseur » s’entend de « [q]</w:t>
      </w:r>
      <w:proofErr w:type="spellStart"/>
      <w:r>
        <w:rPr>
          <w:lang w:val="fr-CA"/>
        </w:rPr>
        <w:t>uiconque</w:t>
      </w:r>
      <w:proofErr w:type="spellEnd"/>
      <w:r>
        <w:rPr>
          <w:lang w:val="fr-CA"/>
        </w:rPr>
        <w:t xml:space="preserve"> exerce l’activité de fournir des marchandises ou des services, notamment en les vendant, en les louant ou en en faisant le commerce »</w:t>
      </w:r>
      <w:r w:rsidRPr="00856F6B">
        <w:rPr>
          <w:lang w:val="fr-CA" w:bidi="en-US"/>
        </w:rPr>
        <w:t>.</w:t>
      </w:r>
    </w:p>
  </w:footnote>
  <w:footnote w:id="8">
    <w:p w:rsidR="00B618DD" w:rsidRPr="00080924" w:rsidRDefault="00B618DD" w:rsidP="00B618DD">
      <w:pPr>
        <w:pStyle w:val="FootnoteText"/>
        <w:rPr>
          <w:lang w:val="fr-CA"/>
        </w:rPr>
      </w:pPr>
      <w:r>
        <w:rPr>
          <w:rStyle w:val="FootnoteReference"/>
        </w:rPr>
        <w:footnoteRef/>
      </w:r>
      <w:r w:rsidRPr="00400361">
        <w:rPr>
          <w:lang w:val="fr-CA"/>
        </w:rPr>
        <w:t xml:space="preserve"> </w:t>
      </w:r>
      <w:r>
        <w:rPr>
          <w:lang w:val="fr-CA"/>
        </w:rPr>
        <w:tab/>
      </w:r>
      <w:r w:rsidRPr="00080924">
        <w:rPr>
          <w:lang w:val="fr-CA"/>
        </w:rPr>
        <w:t xml:space="preserve">Elmer </w:t>
      </w:r>
      <w:proofErr w:type="spellStart"/>
      <w:r w:rsidRPr="00080924">
        <w:rPr>
          <w:lang w:val="fr-CA"/>
        </w:rPr>
        <w:t>Driedger</w:t>
      </w:r>
      <w:proofErr w:type="spellEnd"/>
      <w:r w:rsidRPr="00080924">
        <w:rPr>
          <w:lang w:val="fr-CA"/>
        </w:rPr>
        <w:t xml:space="preserve"> dans </w:t>
      </w:r>
      <w:r w:rsidRPr="00080924">
        <w:rPr>
          <w:i/>
          <w:lang w:val="fr-CA"/>
        </w:rPr>
        <w:t xml:space="preserve">Construction of </w:t>
      </w:r>
      <w:proofErr w:type="spellStart"/>
      <w:r w:rsidRPr="00080924">
        <w:rPr>
          <w:i/>
          <w:lang w:val="fr-CA"/>
        </w:rPr>
        <w:t>Statutes</w:t>
      </w:r>
      <w:proofErr w:type="spellEnd"/>
      <w:r w:rsidRPr="00080924">
        <w:rPr>
          <w:lang w:val="fr-CA"/>
        </w:rPr>
        <w:t xml:space="preserve"> (2</w:t>
      </w:r>
      <w:r w:rsidRPr="008B31FA">
        <w:rPr>
          <w:vertAlign w:val="superscript"/>
          <w:lang w:val="fr-CA"/>
        </w:rPr>
        <w:t>e</w:t>
      </w:r>
      <w:r w:rsidRPr="00080924">
        <w:rPr>
          <w:lang w:val="fr-CA"/>
        </w:rPr>
        <w:t xml:space="preserve"> éd. 1983), </w:t>
      </w:r>
      <w:r>
        <w:rPr>
          <w:lang w:val="fr-CA"/>
        </w:rPr>
        <w:t xml:space="preserve">p. 87, </w:t>
      </w:r>
      <w:r w:rsidRPr="00080924">
        <w:rPr>
          <w:lang w:val="fr-CA"/>
        </w:rPr>
        <w:t xml:space="preserve">cité dans </w:t>
      </w:r>
      <w:proofErr w:type="spellStart"/>
      <w:r w:rsidRPr="00080924">
        <w:rPr>
          <w:i/>
          <w:lang w:val="fr-CA"/>
        </w:rPr>
        <w:t>Rizzo</w:t>
      </w:r>
      <w:proofErr w:type="spellEnd"/>
      <w:r w:rsidRPr="00080924">
        <w:rPr>
          <w:i/>
          <w:lang w:val="fr-CA"/>
        </w:rPr>
        <w:t xml:space="preserve"> &amp; </w:t>
      </w:r>
      <w:proofErr w:type="spellStart"/>
      <w:r w:rsidRPr="00080924">
        <w:rPr>
          <w:i/>
          <w:lang w:val="fr-CA"/>
        </w:rPr>
        <w:t>Rizz</w:t>
      </w:r>
      <w:r>
        <w:rPr>
          <w:i/>
          <w:lang w:val="fr-CA"/>
        </w:rPr>
        <w:t>o</w:t>
      </w:r>
      <w:proofErr w:type="spellEnd"/>
      <w:r w:rsidRPr="00080924">
        <w:rPr>
          <w:i/>
          <w:lang w:val="fr-CA"/>
        </w:rPr>
        <w:t xml:space="preserve"> </w:t>
      </w:r>
      <w:proofErr w:type="spellStart"/>
      <w:r w:rsidRPr="00080924">
        <w:rPr>
          <w:i/>
          <w:lang w:val="fr-CA"/>
        </w:rPr>
        <w:t>Shoes</w:t>
      </w:r>
      <w:proofErr w:type="spellEnd"/>
      <w:r w:rsidRPr="00080924">
        <w:rPr>
          <w:i/>
          <w:lang w:val="fr-CA"/>
        </w:rPr>
        <w:t xml:space="preserve"> Ltd</w:t>
      </w:r>
      <w:r w:rsidRPr="00080924">
        <w:rPr>
          <w:lang w:val="fr-CA"/>
        </w:rPr>
        <w:t xml:space="preserve">. </w:t>
      </w:r>
      <w:r w:rsidRPr="00080924">
        <w:rPr>
          <w:i/>
          <w:lang w:val="fr-CA"/>
        </w:rPr>
        <w:t>(</w:t>
      </w:r>
      <w:proofErr w:type="spellStart"/>
      <w:r w:rsidRPr="00080924">
        <w:rPr>
          <w:i/>
          <w:lang w:val="fr-CA"/>
        </w:rPr>
        <w:t>Re</w:t>
      </w:r>
      <w:proofErr w:type="spellEnd"/>
      <w:r w:rsidRPr="00080924">
        <w:rPr>
          <w:i/>
          <w:lang w:val="fr-CA"/>
        </w:rPr>
        <w:t>)</w:t>
      </w:r>
      <w:r w:rsidRPr="00080924">
        <w:rPr>
          <w:lang w:val="fr-CA"/>
        </w:rPr>
        <w:t>, [1998] 1 R.C.S. 27, par.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7C57"/>
    <w:multiLevelType w:val="multilevel"/>
    <w:tmpl w:val="AE046A4C"/>
    <w:lvl w:ilvl="0">
      <w:start w:val="1"/>
      <w:numFmt w:val="decimal"/>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A02D64"/>
    <w:multiLevelType w:val="hybridMultilevel"/>
    <w:tmpl w:val="05A24F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1923B8D"/>
    <w:multiLevelType w:val="hybridMultilevel"/>
    <w:tmpl w:val="884A0C4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4283EE8"/>
    <w:multiLevelType w:val="multilevel"/>
    <w:tmpl w:val="59F44B24"/>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2"/>
    </w:lvlOverride>
  </w:num>
  <w:num w:numId="8">
    <w:abstractNumId w:val="4"/>
    <w:lvlOverride w:ilvl="0">
      <w:startOverride w:val="1"/>
    </w:lvlOverride>
    <w:lvlOverride w:ilvl="1">
      <w:startOverride w:val="3"/>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21F10"/>
    <w:rsid w:val="00053639"/>
    <w:rsid w:val="00081175"/>
    <w:rsid w:val="00097F4E"/>
    <w:rsid w:val="000C07ED"/>
    <w:rsid w:val="000E477F"/>
    <w:rsid w:val="001C1ADF"/>
    <w:rsid w:val="00273815"/>
    <w:rsid w:val="002B738D"/>
    <w:rsid w:val="00362666"/>
    <w:rsid w:val="00414D77"/>
    <w:rsid w:val="00501D7B"/>
    <w:rsid w:val="006E5019"/>
    <w:rsid w:val="0077673E"/>
    <w:rsid w:val="00803999"/>
    <w:rsid w:val="008905F4"/>
    <w:rsid w:val="008D20E6"/>
    <w:rsid w:val="009704CF"/>
    <w:rsid w:val="009769E3"/>
    <w:rsid w:val="009900A1"/>
    <w:rsid w:val="009B66D8"/>
    <w:rsid w:val="009E4366"/>
    <w:rsid w:val="00B618DD"/>
    <w:rsid w:val="00B64E22"/>
    <w:rsid w:val="00BC3E51"/>
    <w:rsid w:val="00BE06B0"/>
    <w:rsid w:val="00CD0B94"/>
    <w:rsid w:val="00D0460C"/>
    <w:rsid w:val="00DC6886"/>
    <w:rsid w:val="00E2010C"/>
    <w:rsid w:val="00F07BDE"/>
    <w:rsid w:val="00F214B9"/>
    <w:rsid w:val="00F41256"/>
    <w:rsid w:val="00F70E5C"/>
    <w:rsid w:val="00FA2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B618DD"/>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618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618DD"/>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B618DD"/>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B618DD"/>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618DD"/>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618D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618DD"/>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B618D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618DD"/>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618DD"/>
    <w:rPr>
      <w:rFonts w:ascii="Times New Roman" w:eastAsia="Times New Roman" w:hAnsi="Times New Roman" w:cs="Times New Roman"/>
      <w:sz w:val="24"/>
      <w:szCs w:val="20"/>
      <w:lang w:eastAsia="en-CA"/>
    </w:rPr>
  </w:style>
  <w:style w:type="paragraph" w:styleId="Header">
    <w:name w:val="header"/>
    <w:basedOn w:val="Normal"/>
    <w:link w:val="HeaderChar"/>
    <w:uiPriority w:val="99"/>
    <w:unhideWhenUsed/>
    <w:rsid w:val="00B618DD"/>
    <w:pPr>
      <w:tabs>
        <w:tab w:val="center" w:pos="4680"/>
        <w:tab w:val="right" w:pos="9360"/>
      </w:tabs>
    </w:pPr>
  </w:style>
  <w:style w:type="character" w:customStyle="1" w:styleId="HeaderChar">
    <w:name w:val="Header Char"/>
    <w:basedOn w:val="DefaultParagraphFont"/>
    <w:link w:val="Header"/>
    <w:uiPriority w:val="99"/>
    <w:rsid w:val="00B618DD"/>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B618DD"/>
    <w:pPr>
      <w:tabs>
        <w:tab w:val="center" w:pos="4680"/>
        <w:tab w:val="right" w:pos="9360"/>
      </w:tabs>
    </w:pPr>
  </w:style>
  <w:style w:type="character" w:customStyle="1" w:styleId="FooterChar">
    <w:name w:val="Footer Char"/>
    <w:basedOn w:val="DefaultParagraphFont"/>
    <w:link w:val="Footer"/>
    <w:uiPriority w:val="99"/>
    <w:rsid w:val="00B618DD"/>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B618DD"/>
    <w:pPr>
      <w:tabs>
        <w:tab w:val="right" w:pos="8222"/>
      </w:tabs>
      <w:jc w:val="both"/>
    </w:pPr>
    <w:rPr>
      <w:b/>
    </w:rPr>
  </w:style>
  <w:style w:type="character" w:customStyle="1" w:styleId="SCCLsocPartyChar">
    <w:name w:val="SCC.Lsoc.Party Char"/>
    <w:basedOn w:val="DefaultParagraphFont"/>
    <w:link w:val="SCCLsocParty"/>
    <w:rsid w:val="00B618DD"/>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B618DD"/>
    <w:pPr>
      <w:spacing w:after="720"/>
    </w:pPr>
    <w:rPr>
      <w:i/>
    </w:rPr>
  </w:style>
  <w:style w:type="character" w:customStyle="1" w:styleId="SCCLsocVersusChar">
    <w:name w:val="SCC.Lsoc.Versus Char"/>
    <w:basedOn w:val="DefaultParagraphFont"/>
    <w:link w:val="SCCLsocVersus"/>
    <w:rsid w:val="00B618DD"/>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B618DD"/>
    <w:rPr>
      <w:rFonts w:ascii="Times New Roman" w:eastAsia="Times New Roman" w:hAnsi="Times New Roman" w:cs="Times New Roman"/>
      <w:b/>
      <w:i/>
      <w:sz w:val="24"/>
      <w:szCs w:val="20"/>
      <w:lang w:eastAsia="en-CA"/>
    </w:rPr>
  </w:style>
  <w:style w:type="paragraph" w:customStyle="1" w:styleId="SCCLsocOtherPartySeparator">
    <w:name w:val="SCC.Lsoc.OtherPartySeparator"/>
    <w:basedOn w:val="Normal"/>
    <w:next w:val="Normal"/>
    <w:link w:val="SCCLsocOtherPartySeparatorChar"/>
    <w:rsid w:val="00B618DD"/>
    <w:pPr>
      <w:spacing w:after="720"/>
    </w:pPr>
  </w:style>
  <w:style w:type="character" w:customStyle="1" w:styleId="SCCLsocOtherPartySeparatorChar">
    <w:name w:val="SCC.Lsoc.OtherPartySeparator Char"/>
    <w:basedOn w:val="DefaultParagraphFont"/>
    <w:link w:val="SCCLsocOtherPartySeparator"/>
    <w:rsid w:val="00B618DD"/>
    <w:rPr>
      <w:rFonts w:ascii="Times New Roman" w:eastAsia="Times New Roman" w:hAnsi="Times New Roman" w:cs="Times New Roman"/>
      <w:sz w:val="24"/>
      <w:szCs w:val="20"/>
      <w:lang w:eastAsia="en-CA"/>
    </w:rPr>
  </w:style>
  <w:style w:type="paragraph" w:customStyle="1" w:styleId="SCCSystemYear">
    <w:name w:val="SCC.SystemYear"/>
    <w:basedOn w:val="Normal"/>
    <w:next w:val="Normal"/>
    <w:link w:val="SCCSystemYearChar"/>
    <w:rsid w:val="00B618DD"/>
    <w:rPr>
      <w:b/>
    </w:rPr>
  </w:style>
  <w:style w:type="character" w:customStyle="1" w:styleId="SCCSystemYearChar">
    <w:name w:val="SCC.SystemYear Char"/>
    <w:basedOn w:val="DefaultParagraphFont"/>
    <w:link w:val="SCCSystemYear"/>
    <w:rsid w:val="00B618DD"/>
    <w:rPr>
      <w:rFonts w:ascii="Times New Roman" w:eastAsia="Times New Roman" w:hAnsi="Times New Roman" w:cs="Times New Roman"/>
      <w:b/>
      <w:sz w:val="24"/>
      <w:szCs w:val="20"/>
      <w:lang w:eastAsia="en-CA"/>
    </w:rPr>
  </w:style>
  <w:style w:type="paragraph" w:customStyle="1" w:styleId="SCCLawFirm">
    <w:name w:val="SCC.LawFirm"/>
    <w:basedOn w:val="SCCNormalDoubleSpacing"/>
    <w:next w:val="SCCNormalDoubleSpacing"/>
    <w:link w:val="SCCLawFirmChar"/>
    <w:rsid w:val="00B618DD"/>
    <w:rPr>
      <w:i/>
    </w:rPr>
  </w:style>
  <w:style w:type="character" w:customStyle="1" w:styleId="SCCLawFirmChar">
    <w:name w:val="SCC.LawFirm Char"/>
    <w:basedOn w:val="SCCNormalDoubleSpacingChar"/>
    <w:link w:val="SCCLawFirm"/>
    <w:rsid w:val="00B618DD"/>
    <w:rPr>
      <w:rFonts w:ascii="Times New Roman" w:eastAsia="Times New Roman" w:hAnsi="Times New Roman" w:cs="Times New Roman"/>
      <w:i/>
      <w:sz w:val="24"/>
      <w:szCs w:val="20"/>
      <w:lang w:eastAsia="en-CA"/>
    </w:rPr>
  </w:style>
  <w:style w:type="paragraph" w:customStyle="1" w:styleId="SCCLsocLastPartyInRole">
    <w:name w:val="SCC.Lsoc.LastPartyInRole"/>
    <w:basedOn w:val="Normal"/>
    <w:next w:val="Normal"/>
    <w:link w:val="SCCLsocLastPartyInRoleChar"/>
    <w:qFormat/>
    <w:rsid w:val="00B618DD"/>
    <w:pPr>
      <w:tabs>
        <w:tab w:val="right" w:pos="8222"/>
      </w:tabs>
      <w:spacing w:after="720"/>
    </w:pPr>
    <w:rPr>
      <w:b/>
    </w:rPr>
  </w:style>
  <w:style w:type="character" w:customStyle="1" w:styleId="SCCLsocLastPartyInRoleChar">
    <w:name w:val="SCC.Lsoc.LastPartyInRole Char"/>
    <w:basedOn w:val="SCCLsocPartyChar"/>
    <w:link w:val="SCCLsocLastPartyInRole"/>
    <w:rsid w:val="00B618DD"/>
    <w:rPr>
      <w:rFonts w:ascii="Times New Roman" w:eastAsia="Times New Roman" w:hAnsi="Times New Roman" w:cs="Times New Roman"/>
      <w:b/>
      <w:sz w:val="24"/>
      <w:szCs w:val="20"/>
      <w:lang w:eastAsia="en-CA"/>
    </w:rPr>
  </w:style>
  <w:style w:type="character" w:customStyle="1" w:styleId="solexhl">
    <w:name w:val="solexhl"/>
    <w:basedOn w:val="DefaultParagraphFont"/>
    <w:rsid w:val="00B618DD"/>
  </w:style>
  <w:style w:type="character" w:styleId="Hyperlink">
    <w:name w:val="Hyperlink"/>
    <w:basedOn w:val="DefaultParagraphFont"/>
    <w:uiPriority w:val="99"/>
    <w:unhideWhenUsed/>
    <w:rsid w:val="00B618DD"/>
    <w:rPr>
      <w:color w:val="0000FF"/>
      <w:u w:val="single"/>
    </w:rPr>
  </w:style>
  <w:style w:type="table" w:styleId="TableGrid">
    <w:name w:val="Table Grid"/>
    <w:basedOn w:val="TableNormal"/>
    <w:uiPriority w:val="59"/>
    <w:rsid w:val="00B618DD"/>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618DD"/>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JudgeJuge">
    <w:name w:val="Judge / Juge"/>
    <w:link w:val="JudgeJugeChar"/>
    <w:uiPriority w:val="3"/>
    <w:rsid w:val="00B618DD"/>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ParaNoNdepar-AltN">
    <w:name w:val="Para. No. / Nº de par. - Alt N"/>
    <w:link w:val="ParaNoNdepar-AltNChar"/>
    <w:qFormat/>
    <w:rsid w:val="00B618DD"/>
    <w:pPr>
      <w:numPr>
        <w:numId w:val="1"/>
      </w:numPr>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B618DD"/>
    <w:pPr>
      <w:numPr>
        <w:numId w:val="2"/>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B618D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618DD"/>
    <w:pPr>
      <w:numPr>
        <w:ilvl w:val="2"/>
      </w:numPr>
      <w:outlineLvl w:val="2"/>
    </w:pPr>
  </w:style>
  <w:style w:type="paragraph" w:customStyle="1" w:styleId="Title4LevelTitre4Niveau">
    <w:name w:val="Title 4 Level / Titre 4 Niveau"/>
    <w:basedOn w:val="Title3LevelTitre3Niveau"/>
    <w:next w:val="ParaNoNdepar-AltN"/>
    <w:uiPriority w:val="4"/>
    <w:qFormat/>
    <w:rsid w:val="00B618DD"/>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B618DD"/>
    <w:pPr>
      <w:numPr>
        <w:ilvl w:val="4"/>
      </w:numPr>
      <w:tabs>
        <w:tab w:val="clear" w:pos="1728"/>
        <w:tab w:val="num" w:pos="1440"/>
      </w:tabs>
      <w:outlineLvl w:val="4"/>
    </w:pPr>
  </w:style>
  <w:style w:type="paragraph" w:customStyle="1" w:styleId="TitleTitre-AltT">
    <w:name w:val="Title / Titre - Alt T"/>
    <w:next w:val="ParaNoNdepar-AltN"/>
    <w:uiPriority w:val="3"/>
    <w:qFormat/>
    <w:rsid w:val="00B618DD"/>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B618DD"/>
    <w:pPr>
      <w:numPr>
        <w:ilvl w:val="5"/>
      </w:numPr>
      <w:jc w:val="both"/>
      <w:outlineLvl w:val="5"/>
    </w:pPr>
    <w:rPr>
      <w:i/>
      <w:u w:val="none"/>
    </w:rPr>
  </w:style>
  <w:style w:type="character" w:customStyle="1" w:styleId="ParaNoNdepar-AltNChar">
    <w:name w:val="Para. No. / Nº de par. - Alt N Char"/>
    <w:basedOn w:val="DefaultParagraphFont"/>
    <w:link w:val="ParaNoNdepar-AltN"/>
    <w:rsid w:val="00B618DD"/>
    <w:rPr>
      <w:rFonts w:ascii="Times New Roman" w:eastAsiaTheme="minorEastAsia" w:hAnsi="Times New Roman"/>
      <w:sz w:val="24"/>
    </w:rPr>
  </w:style>
  <w:style w:type="character" w:customStyle="1" w:styleId="st">
    <w:name w:val="st"/>
    <w:basedOn w:val="DefaultParagraphFont"/>
    <w:rsid w:val="00B618DD"/>
  </w:style>
  <w:style w:type="character" w:styleId="Emphasis">
    <w:name w:val="Emphasis"/>
    <w:basedOn w:val="DefaultParagraphFont"/>
    <w:uiPriority w:val="20"/>
    <w:rsid w:val="00B618DD"/>
    <w:rPr>
      <w:i/>
      <w:iCs/>
    </w:rPr>
  </w:style>
  <w:style w:type="character" w:customStyle="1" w:styleId="sccappellantforindexchar">
    <w:name w:val="sccappellantforindexchar"/>
    <w:basedOn w:val="DefaultParagraphFont"/>
    <w:rsid w:val="00B618DD"/>
  </w:style>
  <w:style w:type="character" w:customStyle="1" w:styleId="nowrap">
    <w:name w:val="nowrap"/>
    <w:basedOn w:val="DefaultParagraphFont"/>
    <w:rsid w:val="00B618DD"/>
  </w:style>
  <w:style w:type="character" w:customStyle="1" w:styleId="hidden-xs">
    <w:name w:val="hidden-xs"/>
    <w:basedOn w:val="DefaultParagraphFont"/>
    <w:rsid w:val="00B618DD"/>
  </w:style>
  <w:style w:type="character" w:customStyle="1" w:styleId="JudgeJugeChar">
    <w:name w:val="Judge / Juge Char"/>
    <w:basedOn w:val="DefaultParagraphFont"/>
    <w:link w:val="JudgeJuge"/>
    <w:uiPriority w:val="3"/>
    <w:rsid w:val="00B618DD"/>
    <w:rPr>
      <w:rFonts w:ascii="Times New Roman" w:eastAsia="Times New Roman" w:hAnsi="Times New Roman" w:cs="Times New Roman"/>
      <w:smallCaps/>
      <w:sz w:val="24"/>
      <w:szCs w:val="20"/>
      <w:lang w:eastAsia="en-CA"/>
    </w:rPr>
  </w:style>
  <w:style w:type="character" w:customStyle="1" w:styleId="Heading1Char">
    <w:name w:val="Heading 1 Char"/>
    <w:basedOn w:val="DefaultParagraphFont"/>
    <w:link w:val="Heading1"/>
    <w:uiPriority w:val="9"/>
    <w:rsid w:val="00B618DD"/>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B618DD"/>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B618DD"/>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B618DD"/>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B618DD"/>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B618DD"/>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B618DD"/>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B618DD"/>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B618DD"/>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B618DD"/>
    <w:pPr>
      <w:widowControl w:val="0"/>
    </w:pPr>
  </w:style>
  <w:style w:type="character" w:styleId="Strong">
    <w:name w:val="Strong"/>
    <w:basedOn w:val="DefaultParagraphFont"/>
    <w:uiPriority w:val="22"/>
    <w:qFormat/>
    <w:rsid w:val="00B618DD"/>
    <w:rPr>
      <w:b/>
      <w:bCs/>
    </w:rPr>
  </w:style>
  <w:style w:type="character" w:styleId="PlaceholderText">
    <w:name w:val="Placeholder Text"/>
    <w:basedOn w:val="DefaultParagraphFont"/>
    <w:uiPriority w:val="99"/>
    <w:semiHidden/>
    <w:rsid w:val="00B618DD"/>
    <w:rPr>
      <w:color w:val="808080"/>
    </w:rPr>
  </w:style>
  <w:style w:type="paragraph" w:styleId="BalloonText">
    <w:name w:val="Balloon Text"/>
    <w:basedOn w:val="Normal"/>
    <w:link w:val="BalloonTextChar"/>
    <w:uiPriority w:val="99"/>
    <w:semiHidden/>
    <w:unhideWhenUsed/>
    <w:rsid w:val="00B618DD"/>
    <w:rPr>
      <w:rFonts w:ascii="Tahoma" w:hAnsi="Tahoma" w:cs="Tahoma"/>
      <w:sz w:val="16"/>
      <w:szCs w:val="16"/>
    </w:rPr>
  </w:style>
  <w:style w:type="character" w:customStyle="1" w:styleId="BalloonTextChar">
    <w:name w:val="Balloon Text Char"/>
    <w:basedOn w:val="DefaultParagraphFont"/>
    <w:link w:val="BalloonText"/>
    <w:uiPriority w:val="99"/>
    <w:semiHidden/>
    <w:rsid w:val="00B618DD"/>
    <w:rPr>
      <w:rFonts w:ascii="Tahoma" w:eastAsia="Times New Roman" w:hAnsi="Tahoma" w:cs="Tahoma"/>
      <w:sz w:val="16"/>
      <w:szCs w:val="16"/>
      <w:lang w:eastAsia="en-CA"/>
    </w:rPr>
  </w:style>
  <w:style w:type="paragraph" w:customStyle="1" w:styleId="SCCLsocSubfileSeparator">
    <w:name w:val="SCC.Lsoc.SubfileSeparator"/>
    <w:basedOn w:val="Normal"/>
    <w:next w:val="Normal"/>
    <w:link w:val="SCCLsocSubfileSeparatorChar"/>
    <w:rsid w:val="00B618DD"/>
    <w:pPr>
      <w:spacing w:after="720"/>
    </w:pPr>
  </w:style>
  <w:style w:type="character" w:customStyle="1" w:styleId="SCCLsocSubfileSeparatorChar">
    <w:name w:val="SCC.Lsoc.SubfileSeparator Char"/>
    <w:basedOn w:val="DefaultParagraphFont"/>
    <w:link w:val="SCCLsocSubfileSeparator"/>
    <w:rsid w:val="00B618DD"/>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B618DD"/>
    <w:pPr>
      <w:jc w:val="right"/>
    </w:pPr>
    <w:rPr>
      <w:b/>
    </w:rPr>
  </w:style>
  <w:style w:type="paragraph" w:customStyle="1" w:styleId="SCCLowerCourtNameLowercase">
    <w:name w:val="SCC.LowerCourtNameLowercase"/>
    <w:basedOn w:val="SCCNormalDoubleSpacing"/>
    <w:next w:val="SCCNormalDoubleSpacing"/>
    <w:rsid w:val="00B618DD"/>
    <w:rPr>
      <w:smallCaps/>
    </w:rPr>
  </w:style>
  <w:style w:type="paragraph" w:customStyle="1" w:styleId="SCCItalic">
    <w:name w:val="SCC.Italic"/>
    <w:basedOn w:val="SCCNormalDoubleSpacing"/>
    <w:next w:val="SCCNormalDoubleSpacing"/>
    <w:rsid w:val="00B618DD"/>
    <w:rPr>
      <w:i/>
    </w:rPr>
  </w:style>
  <w:style w:type="paragraph" w:customStyle="1" w:styleId="SCCPartyRole">
    <w:name w:val="SCC.PartyRole"/>
    <w:basedOn w:val="SCCNormalDoubleSpacing"/>
    <w:next w:val="SCCNormalDoubleSpacing"/>
    <w:link w:val="SCCPartyRoleChar"/>
    <w:rsid w:val="00B618DD"/>
  </w:style>
  <w:style w:type="character" w:customStyle="1" w:styleId="SCCPartyRoleChar">
    <w:name w:val="SCC.PartyRole Char"/>
    <w:basedOn w:val="SCCNormalDoubleSpacingChar"/>
    <w:link w:val="SCCPartyRole"/>
    <w:rsid w:val="00B618DD"/>
    <w:rPr>
      <w:rFonts w:ascii="Times New Roman" w:eastAsia="Times New Roman" w:hAnsi="Times New Roman" w:cs="Times New Roman"/>
      <w:sz w:val="24"/>
      <w:szCs w:val="20"/>
      <w:lang w:eastAsia="en-CA"/>
    </w:rPr>
  </w:style>
  <w:style w:type="character" w:customStyle="1" w:styleId="reflex3-alt">
    <w:name w:val="reflex3-alt"/>
    <w:basedOn w:val="DefaultParagraphFont"/>
    <w:rsid w:val="00B618DD"/>
  </w:style>
  <w:style w:type="character" w:customStyle="1" w:styleId="reflex3-block">
    <w:name w:val="reflex3-block"/>
    <w:basedOn w:val="DefaultParagraphFont"/>
    <w:rsid w:val="00B618DD"/>
  </w:style>
  <w:style w:type="paragraph" w:customStyle="1" w:styleId="Headnote">
    <w:name w:val="Headnote"/>
    <w:basedOn w:val="Normal"/>
    <w:link w:val="HeadnoteChar"/>
    <w:qFormat/>
    <w:rsid w:val="00B618DD"/>
    <w:pPr>
      <w:spacing w:after="160" w:line="480" w:lineRule="auto"/>
      <w:jc w:val="both"/>
    </w:pPr>
    <w:rPr>
      <w:rFonts w:eastAsiaTheme="minorHAnsi"/>
      <w:szCs w:val="24"/>
      <w:lang w:val="en-US" w:eastAsia="en-US"/>
    </w:rPr>
  </w:style>
  <w:style w:type="character" w:customStyle="1" w:styleId="HeadnoteChar">
    <w:name w:val="Headnote Char"/>
    <w:basedOn w:val="DefaultParagraphFont"/>
    <w:link w:val="Headnote"/>
    <w:rsid w:val="00B618DD"/>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618DD"/>
    <w:rPr>
      <w:sz w:val="16"/>
      <w:szCs w:val="16"/>
    </w:rPr>
  </w:style>
  <w:style w:type="paragraph" w:styleId="CommentText">
    <w:name w:val="annotation text"/>
    <w:basedOn w:val="Normal"/>
    <w:link w:val="CommentTextChar"/>
    <w:uiPriority w:val="99"/>
    <w:unhideWhenUsed/>
    <w:rsid w:val="00B618DD"/>
    <w:rPr>
      <w:sz w:val="20"/>
    </w:rPr>
  </w:style>
  <w:style w:type="character" w:customStyle="1" w:styleId="CommentTextChar">
    <w:name w:val="Comment Text Char"/>
    <w:basedOn w:val="DefaultParagraphFont"/>
    <w:link w:val="CommentText"/>
    <w:uiPriority w:val="99"/>
    <w:rsid w:val="00B618DD"/>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B618DD"/>
    <w:rPr>
      <w:b/>
      <w:bCs/>
    </w:rPr>
  </w:style>
  <w:style w:type="character" w:customStyle="1" w:styleId="CommentSubjectChar">
    <w:name w:val="Comment Subject Char"/>
    <w:basedOn w:val="CommentTextChar"/>
    <w:link w:val="CommentSubject"/>
    <w:uiPriority w:val="99"/>
    <w:semiHidden/>
    <w:rsid w:val="00B618DD"/>
    <w:rPr>
      <w:rFonts w:ascii="Times New Roman" w:eastAsia="Times New Roman" w:hAnsi="Times New Roman" w:cs="Times New Roman"/>
      <w:b/>
      <w:bCs/>
      <w:sz w:val="20"/>
      <w:szCs w:val="20"/>
      <w:lang w:eastAsia="en-CA"/>
    </w:rPr>
  </w:style>
  <w:style w:type="paragraph" w:customStyle="1" w:styleId="SCCLsocOtherPartyRoleSeparator">
    <w:name w:val="SCC.Lsoc.OtherPartyRoleSeparator"/>
    <w:basedOn w:val="Normal"/>
    <w:next w:val="Normal"/>
    <w:link w:val="SCCLsocOtherPartyRoleSeparatorChar"/>
    <w:rsid w:val="00B618DD"/>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B618DD"/>
    <w:rPr>
      <w:rFonts w:ascii="Times New Roman" w:hAnsi="Times New Roman"/>
      <w:sz w:val="24"/>
      <w:lang w:val="en-US" w:bidi="en-US"/>
    </w:rPr>
  </w:style>
  <w:style w:type="character" w:customStyle="1" w:styleId="SCCBanSummaryChar">
    <w:name w:val="SCC.BanSummary Char"/>
    <w:basedOn w:val="DefaultParagraphFont"/>
    <w:link w:val="SCCBanSummary"/>
    <w:rsid w:val="00B618DD"/>
    <w:rPr>
      <w:rFonts w:ascii="Times New Roman" w:eastAsia="Times New Roman" w:hAnsi="Times New Roman" w:cs="Times New Roman"/>
      <w:b/>
      <w:sz w:val="24"/>
      <w:szCs w:val="20"/>
      <w:lang w:eastAsia="en-CA"/>
    </w:rPr>
  </w:style>
  <w:style w:type="paragraph" w:customStyle="1" w:styleId="ContinueParaSuitedupar-AltP">
    <w:name w:val="Continue Para. / Suite du par. - Alt P"/>
    <w:next w:val="ParaNoNdepar-AltN"/>
    <w:uiPriority w:val="1"/>
    <w:qFormat/>
    <w:rsid w:val="00B618DD"/>
    <w:pPr>
      <w:spacing w:before="480" w:after="480" w:line="480" w:lineRule="auto"/>
      <w:jc w:val="both"/>
    </w:pPr>
    <w:rPr>
      <w:rFonts w:ascii="Times New Roman" w:hAnsi="Times New Roman"/>
      <w:sz w:val="24"/>
    </w:rPr>
  </w:style>
  <w:style w:type="paragraph" w:styleId="TOC1">
    <w:name w:val="toc 1"/>
    <w:basedOn w:val="Normal"/>
    <w:next w:val="Normal"/>
    <w:autoRedefine/>
    <w:uiPriority w:val="39"/>
    <w:unhideWhenUsed/>
    <w:rsid w:val="00B618DD"/>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B618DD"/>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B618DD"/>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B618DD"/>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B618DD"/>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B618DD"/>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B618DD"/>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B618D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618DD"/>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B618DD"/>
    <w:rPr>
      <w:vertAlign w:val="superscript"/>
    </w:rPr>
  </w:style>
  <w:style w:type="character" w:styleId="SubtleEmphasis">
    <w:name w:val="Subtle Emphasis"/>
    <w:basedOn w:val="DefaultParagraphFont"/>
    <w:uiPriority w:val="19"/>
    <w:rsid w:val="00B618DD"/>
    <w:rPr>
      <w:i/>
      <w:iCs/>
      <w:color w:val="808080" w:themeColor="text1" w:themeTint="7F"/>
    </w:rPr>
  </w:style>
  <w:style w:type="paragraph" w:customStyle="1" w:styleId="CITATION">
    <w:name w:val="CITATION"/>
    <w:basedOn w:val="Normal"/>
    <w:next w:val="Normal"/>
    <w:qFormat/>
    <w:rsid w:val="00B618DD"/>
    <w:pPr>
      <w:ind w:left="720" w:right="720"/>
      <w:jc w:val="both"/>
    </w:pPr>
    <w:rPr>
      <w:rFonts w:eastAsiaTheme="minorHAnsi" w:cstheme="minorBidi"/>
      <w:lang w:val="en-US" w:eastAsia="en-US" w:bidi="en-US"/>
    </w:rPr>
  </w:style>
  <w:style w:type="paragraph" w:styleId="ListParagraph">
    <w:name w:val="List Paragraph"/>
    <w:basedOn w:val="Normal"/>
    <w:uiPriority w:val="34"/>
    <w:rsid w:val="00B618DD"/>
    <w:pPr>
      <w:ind w:left="720"/>
      <w:contextualSpacing/>
    </w:pPr>
    <w:rPr>
      <w:rFonts w:eastAsiaTheme="minorHAnsi" w:cstheme="minorBidi"/>
      <w:szCs w:val="22"/>
      <w:lang w:val="en-US" w:eastAsia="en-US" w:bidi="en-US"/>
    </w:rPr>
  </w:style>
  <w:style w:type="paragraph" w:customStyle="1" w:styleId="headnote0">
    <w:name w:val="headnote"/>
    <w:basedOn w:val="Normal"/>
    <w:rsid w:val="00B618DD"/>
    <w:pPr>
      <w:spacing w:before="100" w:beforeAutospacing="1" w:after="100" w:afterAutospacing="1"/>
    </w:pPr>
    <w:rPr>
      <w:rFonts w:eastAsiaTheme="minorHAnsi" w:cstheme="minorBidi"/>
      <w:szCs w:val="22"/>
      <w:lang w:val="en-US" w:eastAsia="en-US" w:bidi="en-US"/>
    </w:rPr>
  </w:style>
  <w:style w:type="paragraph" w:customStyle="1" w:styleId="section">
    <w:name w:val="section"/>
    <w:basedOn w:val="Normal"/>
    <w:rsid w:val="00B618DD"/>
    <w:pPr>
      <w:spacing w:before="100" w:beforeAutospacing="1" w:after="100" w:afterAutospacing="1"/>
    </w:pPr>
    <w:rPr>
      <w:rFonts w:eastAsiaTheme="minorHAnsi" w:cstheme="minorBidi"/>
      <w:szCs w:val="22"/>
      <w:lang w:val="en-US" w:eastAsia="en-US" w:bidi="en-US"/>
    </w:rPr>
  </w:style>
  <w:style w:type="character" w:customStyle="1" w:styleId="canliisection">
    <w:name w:val="canlii_section"/>
    <w:basedOn w:val="DefaultParagraphFont"/>
    <w:rsid w:val="00B618DD"/>
  </w:style>
  <w:style w:type="paragraph" w:customStyle="1" w:styleId="judgmentbody">
    <w:name w:val="judgmentbody"/>
    <w:basedOn w:val="Normal"/>
    <w:rsid w:val="00B618DD"/>
    <w:pPr>
      <w:spacing w:before="100" w:beforeAutospacing="1" w:after="100" w:afterAutospacing="1"/>
    </w:pPr>
    <w:rPr>
      <w:rFonts w:eastAsiaTheme="minorHAnsi" w:cstheme="minorBidi"/>
      <w:szCs w:val="22"/>
      <w:lang w:val="en-US" w:eastAsia="en-US" w:bidi="en-US"/>
    </w:rPr>
  </w:style>
  <w:style w:type="paragraph" w:customStyle="1" w:styleId="citation0">
    <w:name w:val="citation"/>
    <w:basedOn w:val="Normal"/>
    <w:rsid w:val="00B618DD"/>
    <w:pPr>
      <w:spacing w:before="100" w:beforeAutospacing="1" w:after="100" w:afterAutospacing="1"/>
    </w:pPr>
    <w:rPr>
      <w:rFonts w:eastAsiaTheme="minorHAnsi" w:cstheme="minorBidi"/>
      <w:szCs w:val="22"/>
      <w:lang w:val="en-US" w:eastAsia="en-US" w:bidi="en-US"/>
    </w:rPr>
  </w:style>
  <w:style w:type="paragraph" w:customStyle="1" w:styleId="Default">
    <w:name w:val="Default"/>
    <w:rsid w:val="00B618DD"/>
    <w:pPr>
      <w:autoSpaceDE w:val="0"/>
      <w:autoSpaceDN w:val="0"/>
      <w:adjustRightInd w:val="0"/>
      <w:spacing w:after="0" w:line="240" w:lineRule="auto"/>
    </w:pPr>
    <w:rPr>
      <w:rFonts w:ascii="Book Antiqua" w:eastAsia="Times New Roman" w:hAnsi="Book Antiqua" w:cs="Book Antiqua"/>
      <w:color w:val="000000"/>
      <w:sz w:val="24"/>
      <w:szCs w:val="24"/>
      <w:lang w:eastAsia="en-CA"/>
    </w:rPr>
  </w:style>
  <w:style w:type="paragraph" w:styleId="Revision">
    <w:name w:val="Revision"/>
    <w:hidden/>
    <w:uiPriority w:val="99"/>
    <w:semiHidden/>
    <w:rsid w:val="00B618DD"/>
    <w:pPr>
      <w:spacing w:after="0" w:line="240" w:lineRule="auto"/>
    </w:pPr>
    <w:rPr>
      <w:rFonts w:ascii="Times New Roman" w:hAnsi="Times New Roman"/>
      <w:sz w:val="24"/>
      <w:lang w:val="en-US" w:bidi="en-US"/>
    </w:rPr>
  </w:style>
  <w:style w:type="paragraph" w:styleId="NoSpacing">
    <w:name w:val="No Spacing"/>
    <w:uiPriority w:val="1"/>
    <w:rsid w:val="00B618DD"/>
    <w:pPr>
      <w:spacing w:after="0" w:line="240" w:lineRule="auto"/>
    </w:pPr>
    <w:rPr>
      <w:rFonts w:ascii="Times New Roman" w:hAnsi="Times New Roman"/>
      <w:sz w:val="24"/>
      <w:lang w:val="en-US" w:bidi="en-US"/>
    </w:rPr>
  </w:style>
  <w:style w:type="paragraph" w:styleId="TOCHeading">
    <w:name w:val="TOC Heading"/>
    <w:basedOn w:val="Heading1"/>
    <w:next w:val="Normal"/>
    <w:uiPriority w:val="39"/>
    <w:semiHidden/>
    <w:unhideWhenUsed/>
    <w:qFormat/>
    <w:rsid w:val="00B618D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618DD"/>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B618D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618DD"/>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B618DD"/>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B618DD"/>
    <w:rPr>
      <w:rFonts w:asciiTheme="majorHAnsi" w:eastAsiaTheme="majorEastAsia" w:hAnsiTheme="majorHAnsi" w:cstheme="majorBidi"/>
      <w:i/>
      <w:iCs/>
      <w:color w:val="5B9BD5" w:themeColor="accent1"/>
      <w:spacing w:val="15"/>
      <w:sz w:val="24"/>
      <w:szCs w:val="24"/>
      <w:lang w:val="en-US" w:bidi="en-US"/>
    </w:rPr>
  </w:style>
  <w:style w:type="paragraph" w:styleId="IntenseQuote">
    <w:name w:val="Intense Quote"/>
    <w:basedOn w:val="Normal"/>
    <w:next w:val="Normal"/>
    <w:link w:val="IntenseQuoteChar"/>
    <w:uiPriority w:val="30"/>
    <w:rsid w:val="00B618DD"/>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B618DD"/>
    <w:rPr>
      <w:rFonts w:ascii="Times New Roman" w:hAnsi="Times New Roman"/>
      <w:b/>
      <w:bCs/>
      <w:i/>
      <w:iCs/>
      <w:color w:val="5B9BD5" w:themeColor="accent1"/>
      <w:sz w:val="24"/>
      <w:lang w:val="en-US" w:bidi="en-US"/>
    </w:rPr>
  </w:style>
  <w:style w:type="character" w:styleId="IntenseEmphasis">
    <w:name w:val="Intense Emphasis"/>
    <w:basedOn w:val="DefaultParagraphFont"/>
    <w:uiPriority w:val="21"/>
    <w:rsid w:val="00B618DD"/>
    <w:rPr>
      <w:b/>
      <w:bCs/>
      <w:i/>
      <w:iCs/>
      <w:color w:val="5B9BD5" w:themeColor="accent1"/>
    </w:rPr>
  </w:style>
  <w:style w:type="character" w:styleId="SubtleReference">
    <w:name w:val="Subtle Reference"/>
    <w:basedOn w:val="DefaultParagraphFont"/>
    <w:uiPriority w:val="31"/>
    <w:rsid w:val="00B618DD"/>
    <w:rPr>
      <w:smallCaps/>
      <w:color w:val="ED7D31" w:themeColor="accent2"/>
      <w:u w:val="single"/>
    </w:rPr>
  </w:style>
  <w:style w:type="character" w:styleId="IntenseReference">
    <w:name w:val="Intense Reference"/>
    <w:basedOn w:val="DefaultParagraphFont"/>
    <w:uiPriority w:val="32"/>
    <w:rsid w:val="00B618DD"/>
    <w:rPr>
      <w:b/>
      <w:bCs/>
      <w:smallCaps/>
      <w:color w:val="ED7D31" w:themeColor="accent2"/>
      <w:spacing w:val="5"/>
      <w:u w:val="single"/>
    </w:rPr>
  </w:style>
  <w:style w:type="character" w:styleId="BookTitle">
    <w:name w:val="Book Title"/>
    <w:basedOn w:val="DefaultParagraphFont"/>
    <w:uiPriority w:val="33"/>
    <w:rsid w:val="00B618DD"/>
    <w:rPr>
      <w:b/>
      <w:bCs/>
      <w:smallCaps/>
      <w:spacing w:val="5"/>
    </w:rPr>
  </w:style>
  <w:style w:type="table" w:customStyle="1" w:styleId="TableGrid2">
    <w:name w:val="Table Grid2"/>
    <w:basedOn w:val="TableNormal"/>
    <w:next w:val="TableGrid"/>
    <w:uiPriority w:val="59"/>
    <w:rsid w:val="00B618DD"/>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E477F"/>
    <w:rPr>
      <w:lang w:val="fr-CA"/>
    </w:rPr>
  </w:style>
  <w:style w:type="paragraph" w:customStyle="1" w:styleId="SCCLsocPrefix">
    <w:name w:val="SCC.Lsoc.Prefix"/>
    <w:basedOn w:val="Normal"/>
    <w:next w:val="Normal"/>
    <w:link w:val="SCCLsocPrefixChar"/>
    <w:rsid w:val="000E477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E477F"/>
    <w:rPr>
      <w:rFonts w:ascii="Times New Roman" w:hAnsi="Times New Roman"/>
      <w:b/>
      <w:smallCaps/>
      <w:sz w:val="24"/>
      <w:szCs w:val="24"/>
      <w:lang w:val="fr-CA"/>
    </w:rPr>
  </w:style>
  <w:style w:type="paragraph" w:customStyle="1" w:styleId="SCCAppellantForIndex">
    <w:name w:val="SCC.AppellantForIndex"/>
    <w:basedOn w:val="Normal"/>
    <w:next w:val="Normal"/>
    <w:link w:val="SCCAppellantForIndexChar0"/>
    <w:rsid w:val="000E477F"/>
    <w:rPr>
      <w:b/>
    </w:rPr>
  </w:style>
  <w:style w:type="character" w:customStyle="1" w:styleId="SCCAppellantForIndexChar0">
    <w:name w:val="SCC.AppellantForIndex Char"/>
    <w:basedOn w:val="DefaultParagraphFont"/>
    <w:link w:val="SCCAppellantForIndex"/>
    <w:rsid w:val="000E477F"/>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0E477F"/>
    <w:rPr>
      <w:b/>
    </w:rPr>
  </w:style>
  <w:style w:type="character" w:customStyle="1" w:styleId="SCCRespondentForIndexChar">
    <w:name w:val="SCC.RespondentForIndex Char"/>
    <w:basedOn w:val="DefaultParagraphFont"/>
    <w:link w:val="SCCRespondentForIndex"/>
    <w:rsid w:val="000E477F"/>
    <w:rPr>
      <w:rFonts w:ascii="Times New Roman" w:eastAsia="Times New Roman" w:hAnsi="Times New Roman" w:cs="Times New Roman"/>
      <w:b/>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25903</Words>
  <Characters>147652</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28</cp:revision>
  <dcterms:created xsi:type="dcterms:W3CDTF">2013-09-17T14:14:00Z</dcterms:created>
  <dcterms:modified xsi:type="dcterms:W3CDTF">2021-03-09T22:32:00Z</dcterms:modified>
</cp:coreProperties>
</file>