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B5" w:rsidRPr="002457B5" w:rsidRDefault="002457B5" w:rsidP="00AF2320">
      <w:pPr>
        <w:tabs>
          <w:tab w:val="center" w:pos="4680"/>
          <w:tab w:val="right" w:pos="9360"/>
        </w:tabs>
        <w:jc w:val="center"/>
        <w:rPr>
          <w:rFonts w:eastAsia="Calibri"/>
          <w:szCs w:val="24"/>
          <w:lang w:val="fr-CA" w:eastAsia="en-US"/>
        </w:rPr>
      </w:pPr>
      <w:r w:rsidRPr="002457B5">
        <w:rPr>
          <w:rFonts w:eastAsia="Calibri"/>
          <w:szCs w:val="24"/>
          <w:lang w:val="fr-CA" w:eastAsia="en-US"/>
        </w:rPr>
        <w:ptab w:relativeTo="margin" w:alignment="center" w:leader="none"/>
      </w:r>
      <w:r w:rsidRPr="002457B5">
        <w:rPr>
          <w:rFonts w:eastAsia="Calibri"/>
          <w:szCs w:val="24"/>
          <w:lang w:val="fr-CA" w:eastAsia="en-US"/>
        </w:rPr>
        <w:t xml:space="preserve"> </w:t>
      </w:r>
      <w:bookmarkStart w:id="0" w:name="_GoBack"/>
      <w:r w:rsidRPr="002457B5">
        <w:rPr>
          <w:rFonts w:eastAsia="Calibri"/>
          <w:szCs w:val="24"/>
          <w:lang w:val="fr-CA"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64.65pt" o:ole="">
            <v:imagedata r:id="rId7" o:title=""/>
          </v:shape>
          <o:OLEObject Type="Embed" ProgID="Presentations.Drawing.13" ShapeID="_x0000_i1025" DrawAspect="Content" ObjectID="_1676110407" r:id="rId8"/>
        </w:object>
      </w:r>
      <w:bookmarkEnd w:id="0"/>
      <w:r w:rsidRPr="002457B5">
        <w:rPr>
          <w:rFonts w:eastAsia="Calibri"/>
          <w:szCs w:val="24"/>
          <w:lang w:val="fr-CA" w:eastAsia="en-US"/>
        </w:rPr>
        <w:t xml:space="preserve"> </w:t>
      </w:r>
      <w:r w:rsidRPr="002457B5">
        <w:rPr>
          <w:rFonts w:eastAsia="Calibri"/>
          <w:szCs w:val="24"/>
          <w:lang w:val="fr-CA" w:eastAsia="en-US"/>
        </w:rPr>
        <w:ptab w:relativeTo="margin" w:alignment="right" w:leader="none"/>
      </w:r>
    </w:p>
    <w:p w:rsidR="002457B5" w:rsidRPr="002457B5" w:rsidRDefault="002457B5" w:rsidP="002457B5">
      <w:pPr>
        <w:tabs>
          <w:tab w:val="center" w:pos="4680"/>
          <w:tab w:val="right" w:pos="9360"/>
        </w:tabs>
        <w:rPr>
          <w:rFonts w:eastAsia="Calibri"/>
          <w:szCs w:val="24"/>
          <w:lang w:val="fr-CA" w:eastAsia="en-US"/>
        </w:rPr>
      </w:pPr>
    </w:p>
    <w:p w:rsidR="002457B5" w:rsidRPr="002457B5" w:rsidRDefault="002457B5" w:rsidP="002457B5">
      <w:pPr>
        <w:jc w:val="center"/>
        <w:rPr>
          <w:rFonts w:eastAsia="Calibri"/>
          <w:b/>
          <w:szCs w:val="24"/>
          <w:lang w:val="fr-CA" w:eastAsia="en-US"/>
        </w:rPr>
      </w:pPr>
      <w:r w:rsidRPr="002457B5">
        <w:rPr>
          <w:rFonts w:eastAsia="Calibri"/>
          <w:b/>
          <w:szCs w:val="24"/>
          <w:lang w:val="fr-CA" w:eastAsia="en-US"/>
        </w:rPr>
        <w:t>COUR SUPRÊME DU CANADA</w:t>
      </w:r>
    </w:p>
    <w:p w:rsidR="002457B5" w:rsidRPr="002457B5" w:rsidRDefault="002457B5" w:rsidP="002457B5">
      <w:pPr>
        <w:rPr>
          <w:rFonts w:eastAsia="Calibri"/>
          <w:szCs w:val="24"/>
          <w:lang w:val="fr-CA" w:eastAsia="en-US"/>
        </w:rPr>
      </w:pPr>
    </w:p>
    <w:tbl>
      <w:tblPr>
        <w:tblStyle w:val="TableGrid11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2"/>
        <w:gridCol w:w="1756"/>
        <w:gridCol w:w="3000"/>
      </w:tblGrid>
      <w:tr w:rsidR="002457B5" w:rsidRPr="002457B5" w:rsidTr="00695EFF">
        <w:tc>
          <w:tcPr>
            <w:tcW w:w="2208" w:type="pct"/>
            <w:tcMar>
              <w:top w:w="284" w:type="dxa"/>
            </w:tcMar>
          </w:tcPr>
          <w:p w:rsidR="002457B5" w:rsidRPr="002457B5" w:rsidRDefault="002457B5" w:rsidP="002457B5">
            <w:pPr>
              <w:spacing w:before="100" w:beforeAutospacing="1"/>
              <w:rPr>
                <w:rFonts w:eastAsia="Calibri"/>
                <w:szCs w:val="24"/>
                <w:lang w:val="fr-CA"/>
              </w:rPr>
            </w:pPr>
            <w:r w:rsidRPr="002457B5">
              <w:rPr>
                <w:b/>
                <w:smallCaps/>
                <w:szCs w:val="24"/>
                <w:lang w:val="fr-CA"/>
              </w:rPr>
              <w:t>Référence :</w:t>
            </w:r>
            <w:r w:rsidRPr="002457B5">
              <w:rPr>
                <w:szCs w:val="24"/>
                <w:lang w:val="fr-CA"/>
              </w:rPr>
              <w:t xml:space="preserve"> </w:t>
            </w:r>
            <w:r w:rsidRPr="002457B5">
              <w:rPr>
                <w:rFonts w:eastAsia="Calibri"/>
                <w:lang w:val="fr-CA"/>
              </w:rPr>
              <w:t xml:space="preserve">R. </w:t>
            </w:r>
            <w:r w:rsidRPr="002457B5">
              <w:rPr>
                <w:rFonts w:eastAsia="Calibri"/>
                <w:i/>
                <w:lang w:val="fr-CA"/>
              </w:rPr>
              <w:t>c.</w:t>
            </w:r>
            <w:r w:rsidRPr="002457B5">
              <w:rPr>
                <w:rFonts w:eastAsia="Calibri"/>
                <w:lang w:val="fr-CA"/>
              </w:rPr>
              <w:t xml:space="preserve"> J.M.,</w:t>
            </w:r>
            <w:r w:rsidRPr="002457B5">
              <w:rPr>
                <w:rFonts w:eastAsia="Calibri"/>
                <w:smallCaps/>
                <w:lang w:val="fr-CA"/>
              </w:rPr>
              <w:t xml:space="preserve"> </w:t>
            </w:r>
            <w:r w:rsidRPr="002457B5">
              <w:rPr>
                <w:smallCaps/>
                <w:szCs w:val="24"/>
                <w:lang w:val="fr-CA"/>
              </w:rPr>
              <w:t>2019 CSC 24, [2019] 2 R.C.S. 396</w:t>
            </w:r>
          </w:p>
        </w:tc>
        <w:tc>
          <w:tcPr>
            <w:tcW w:w="1031" w:type="pct"/>
          </w:tcPr>
          <w:p w:rsidR="002457B5" w:rsidRPr="002457B5" w:rsidRDefault="002457B5" w:rsidP="002457B5">
            <w:pPr>
              <w:rPr>
                <w:b/>
                <w:smallCaps/>
                <w:szCs w:val="24"/>
                <w:lang w:val="fr-CA"/>
              </w:rPr>
            </w:pPr>
          </w:p>
        </w:tc>
        <w:tc>
          <w:tcPr>
            <w:tcW w:w="1761" w:type="pct"/>
            <w:tcMar>
              <w:top w:w="284" w:type="dxa"/>
            </w:tcMar>
          </w:tcPr>
          <w:p w:rsidR="002457B5" w:rsidRPr="002457B5" w:rsidRDefault="002457B5" w:rsidP="002457B5">
            <w:pPr>
              <w:rPr>
                <w:szCs w:val="24"/>
                <w:lang w:val="fr-CA"/>
              </w:rPr>
            </w:pPr>
            <w:r w:rsidRPr="002457B5">
              <w:rPr>
                <w:b/>
                <w:smallCaps/>
                <w:szCs w:val="24"/>
                <w:lang w:val="fr-CA"/>
              </w:rPr>
              <w:t>Appel entendu :</w:t>
            </w:r>
            <w:r w:rsidRPr="002457B5">
              <w:rPr>
                <w:szCs w:val="24"/>
                <w:lang w:val="fr-CA"/>
              </w:rPr>
              <w:t xml:space="preserve"> 18 avril 2019</w:t>
            </w:r>
          </w:p>
          <w:p w:rsidR="002457B5" w:rsidRPr="002457B5" w:rsidRDefault="002457B5" w:rsidP="002457B5">
            <w:pPr>
              <w:rPr>
                <w:b/>
                <w:smallCaps/>
                <w:szCs w:val="24"/>
                <w:lang w:val="fr-CA"/>
              </w:rPr>
            </w:pPr>
            <w:r w:rsidRPr="002457B5">
              <w:rPr>
                <w:b/>
                <w:smallCaps/>
                <w:szCs w:val="24"/>
                <w:lang w:val="fr-CA"/>
              </w:rPr>
              <w:t xml:space="preserve">Jugement rendu : </w:t>
            </w:r>
            <w:r w:rsidRPr="002457B5">
              <w:rPr>
                <w:szCs w:val="24"/>
                <w:lang w:val="fr-CA"/>
              </w:rPr>
              <w:t>18 avril 2019</w:t>
            </w:r>
          </w:p>
          <w:p w:rsidR="002457B5" w:rsidRPr="002457B5" w:rsidRDefault="002457B5" w:rsidP="002457B5">
            <w:pPr>
              <w:rPr>
                <w:rFonts w:eastAsia="Calibri"/>
                <w:szCs w:val="24"/>
                <w:lang w:val="fr-CA"/>
              </w:rPr>
            </w:pPr>
            <w:r w:rsidRPr="002457B5">
              <w:rPr>
                <w:b/>
                <w:smallCaps/>
                <w:szCs w:val="24"/>
                <w:lang w:val="fr-CA"/>
              </w:rPr>
              <w:t>Dossier :</w:t>
            </w:r>
            <w:r w:rsidRPr="002457B5">
              <w:rPr>
                <w:szCs w:val="24"/>
                <w:lang w:val="fr-CA"/>
              </w:rPr>
              <w:t xml:space="preserve"> 38483</w:t>
            </w:r>
          </w:p>
        </w:tc>
      </w:tr>
    </w:tbl>
    <w:p w:rsidR="002457B5" w:rsidRPr="002457B5" w:rsidRDefault="002457B5" w:rsidP="002457B5">
      <w:pPr>
        <w:rPr>
          <w:rFonts w:eastAsia="Calibri"/>
          <w:b/>
          <w:smallCaps/>
          <w:szCs w:val="24"/>
          <w:lang w:val="fr-CA" w:eastAsia="en-US"/>
        </w:rPr>
      </w:pPr>
    </w:p>
    <w:p w:rsidR="002457B5" w:rsidRPr="002457B5" w:rsidRDefault="002457B5" w:rsidP="002457B5">
      <w:pPr>
        <w:rPr>
          <w:rFonts w:eastAsia="Calibri"/>
          <w:b/>
          <w:smallCaps/>
          <w:szCs w:val="24"/>
          <w:lang w:val="fr-CA" w:eastAsia="en-US"/>
        </w:rPr>
      </w:pPr>
    </w:p>
    <w:p w:rsidR="002457B5" w:rsidRPr="002457B5" w:rsidRDefault="002457B5" w:rsidP="002457B5">
      <w:pPr>
        <w:rPr>
          <w:rFonts w:eastAsia="Calibri"/>
          <w:b/>
          <w:smallCaps/>
          <w:szCs w:val="24"/>
          <w:lang w:val="fr-CA" w:eastAsia="en-US"/>
        </w:rPr>
      </w:pPr>
      <w:r w:rsidRPr="002457B5">
        <w:rPr>
          <w:rFonts w:eastAsia="Calibri"/>
          <w:b/>
          <w:smallCaps/>
          <w:szCs w:val="24"/>
          <w:lang w:val="fr-CA" w:eastAsia="en-US"/>
        </w:rPr>
        <w:t>Entre :</w:t>
      </w:r>
    </w:p>
    <w:p w:rsidR="002457B5" w:rsidRPr="002457B5" w:rsidRDefault="002457B5" w:rsidP="002457B5">
      <w:pPr>
        <w:jc w:val="center"/>
        <w:rPr>
          <w:rFonts w:eastAsia="Calibri"/>
          <w:b/>
          <w:szCs w:val="24"/>
          <w:lang w:val="fr-CA" w:eastAsia="en-US"/>
        </w:rPr>
      </w:pPr>
      <w:r w:rsidRPr="002457B5">
        <w:rPr>
          <w:rFonts w:eastAsia="Calibri"/>
          <w:b/>
          <w:szCs w:val="24"/>
          <w:lang w:val="fr-CA" w:eastAsia="en-US"/>
        </w:rPr>
        <w:t>Sa Majesté la Reine</w:t>
      </w:r>
    </w:p>
    <w:p w:rsidR="002457B5" w:rsidRPr="002457B5" w:rsidRDefault="002457B5" w:rsidP="002457B5">
      <w:pPr>
        <w:jc w:val="center"/>
        <w:rPr>
          <w:rFonts w:eastAsia="Calibri"/>
          <w:szCs w:val="24"/>
          <w:lang w:val="fr-CA" w:eastAsia="en-US"/>
        </w:rPr>
      </w:pPr>
      <w:r w:rsidRPr="002457B5">
        <w:rPr>
          <w:rFonts w:eastAsia="Calibri"/>
          <w:szCs w:val="24"/>
          <w:lang w:val="fr-CA" w:eastAsia="en-US"/>
        </w:rPr>
        <w:t>Appelante</w:t>
      </w:r>
    </w:p>
    <w:p w:rsidR="002457B5" w:rsidRPr="002457B5" w:rsidRDefault="002457B5" w:rsidP="002457B5">
      <w:pPr>
        <w:rPr>
          <w:rFonts w:eastAsia="Calibri"/>
          <w:szCs w:val="24"/>
          <w:lang w:val="fr-CA" w:eastAsia="en-US"/>
        </w:rPr>
      </w:pPr>
    </w:p>
    <w:p w:rsidR="002457B5" w:rsidRPr="002457B5" w:rsidRDefault="002457B5" w:rsidP="002457B5">
      <w:pPr>
        <w:jc w:val="center"/>
        <w:rPr>
          <w:rFonts w:eastAsia="Calibri"/>
          <w:szCs w:val="24"/>
          <w:lang w:val="fr-CA" w:eastAsia="en-US"/>
        </w:rPr>
      </w:pPr>
      <w:proofErr w:type="gramStart"/>
      <w:r w:rsidRPr="002457B5">
        <w:rPr>
          <w:rFonts w:eastAsia="Calibri"/>
          <w:szCs w:val="24"/>
          <w:lang w:val="fr-CA" w:eastAsia="en-US"/>
        </w:rPr>
        <w:t>et</w:t>
      </w:r>
      <w:proofErr w:type="gramEnd"/>
    </w:p>
    <w:p w:rsidR="002457B5" w:rsidRPr="002457B5" w:rsidRDefault="002457B5" w:rsidP="002457B5">
      <w:pPr>
        <w:rPr>
          <w:rFonts w:eastAsia="Calibri"/>
          <w:szCs w:val="24"/>
          <w:lang w:val="fr-CA" w:eastAsia="en-US"/>
        </w:rPr>
      </w:pPr>
    </w:p>
    <w:p w:rsidR="002457B5" w:rsidRPr="002457B5" w:rsidRDefault="002457B5" w:rsidP="002457B5">
      <w:pPr>
        <w:jc w:val="center"/>
        <w:rPr>
          <w:rFonts w:eastAsia="Calibri"/>
          <w:b/>
          <w:szCs w:val="24"/>
          <w:lang w:val="fr-CA" w:eastAsia="en-US"/>
        </w:rPr>
      </w:pPr>
      <w:r w:rsidRPr="002457B5">
        <w:rPr>
          <w:rFonts w:eastAsia="Calibri"/>
          <w:b/>
          <w:szCs w:val="24"/>
          <w:lang w:val="fr-CA" w:eastAsia="en-US"/>
        </w:rPr>
        <w:t xml:space="preserve">J.M. </w:t>
      </w:r>
    </w:p>
    <w:p w:rsidR="002457B5" w:rsidRPr="002457B5" w:rsidRDefault="002457B5" w:rsidP="002457B5">
      <w:pPr>
        <w:jc w:val="center"/>
        <w:rPr>
          <w:rFonts w:eastAsia="Calibri"/>
          <w:szCs w:val="24"/>
          <w:lang w:val="fr-CA" w:eastAsia="en-US"/>
        </w:rPr>
      </w:pPr>
      <w:r w:rsidRPr="002457B5">
        <w:rPr>
          <w:rFonts w:eastAsia="Calibri"/>
          <w:szCs w:val="24"/>
          <w:lang w:val="fr-CA" w:eastAsia="en-US"/>
        </w:rPr>
        <w:t>Intimé</w:t>
      </w:r>
    </w:p>
    <w:p w:rsidR="002457B5" w:rsidRPr="002457B5" w:rsidRDefault="002457B5" w:rsidP="002457B5">
      <w:pPr>
        <w:rPr>
          <w:rFonts w:eastAsia="Calibri"/>
          <w:szCs w:val="24"/>
          <w:lang w:val="fr-CA" w:eastAsia="en-US"/>
        </w:rPr>
      </w:pPr>
    </w:p>
    <w:p w:rsidR="002457B5" w:rsidRPr="002457B5" w:rsidRDefault="002457B5" w:rsidP="002457B5">
      <w:pPr>
        <w:jc w:val="center"/>
        <w:rPr>
          <w:rFonts w:eastAsia="Calibri"/>
          <w:szCs w:val="24"/>
          <w:lang w:val="fr-CA" w:eastAsia="en-US"/>
        </w:rPr>
      </w:pPr>
      <w:r w:rsidRPr="002457B5">
        <w:rPr>
          <w:rFonts w:eastAsia="Calibri"/>
          <w:szCs w:val="24"/>
          <w:lang w:val="fr-CA" w:eastAsia="en-US"/>
        </w:rPr>
        <w:t>- et -</w:t>
      </w:r>
    </w:p>
    <w:p w:rsidR="002457B5" w:rsidRPr="002457B5" w:rsidRDefault="002457B5" w:rsidP="002457B5">
      <w:pPr>
        <w:rPr>
          <w:rFonts w:eastAsia="Calibri"/>
          <w:szCs w:val="24"/>
          <w:lang w:val="fr-CA" w:eastAsia="en-US"/>
        </w:rPr>
      </w:pPr>
    </w:p>
    <w:p w:rsidR="002457B5" w:rsidRPr="002457B5" w:rsidRDefault="002457B5" w:rsidP="002457B5">
      <w:pPr>
        <w:jc w:val="center"/>
        <w:rPr>
          <w:rFonts w:eastAsia="Calibri"/>
          <w:b/>
          <w:szCs w:val="24"/>
          <w:lang w:val="fr-CA" w:eastAsia="en-US"/>
        </w:rPr>
      </w:pPr>
      <w:r w:rsidRPr="002457B5">
        <w:rPr>
          <w:rFonts w:eastAsia="Calibri"/>
          <w:b/>
          <w:szCs w:val="24"/>
          <w:lang w:val="fr-CA" w:eastAsia="en-US"/>
        </w:rPr>
        <w:t>Criminal Lawyers’ Association (Ontario)</w:t>
      </w:r>
    </w:p>
    <w:p w:rsidR="002457B5" w:rsidRPr="002457B5" w:rsidRDefault="002457B5" w:rsidP="002457B5">
      <w:pPr>
        <w:jc w:val="center"/>
        <w:rPr>
          <w:rFonts w:eastAsia="Calibri"/>
          <w:szCs w:val="24"/>
          <w:lang w:val="fr-CA" w:eastAsia="en-US"/>
        </w:rPr>
      </w:pPr>
      <w:r w:rsidRPr="002457B5">
        <w:rPr>
          <w:rFonts w:eastAsia="Calibri"/>
          <w:szCs w:val="24"/>
          <w:lang w:val="fr-CA" w:eastAsia="en-US"/>
        </w:rPr>
        <w:t>Intervenante</w:t>
      </w:r>
    </w:p>
    <w:p w:rsidR="002457B5" w:rsidRPr="002457B5" w:rsidRDefault="002457B5" w:rsidP="002457B5">
      <w:pPr>
        <w:rPr>
          <w:rFonts w:eastAsia="Calibri"/>
          <w:szCs w:val="24"/>
          <w:lang w:val="fr-CA" w:eastAsia="en-US"/>
        </w:rPr>
      </w:pPr>
    </w:p>
    <w:p w:rsidR="002457B5" w:rsidRPr="002457B5" w:rsidRDefault="002457B5" w:rsidP="002457B5">
      <w:pPr>
        <w:rPr>
          <w:rFonts w:eastAsia="Calibri"/>
          <w:szCs w:val="24"/>
          <w:lang w:val="fr-CA" w:eastAsia="en-US"/>
        </w:rPr>
      </w:pPr>
    </w:p>
    <w:p w:rsidR="002457B5" w:rsidRPr="002457B5" w:rsidRDefault="002457B5" w:rsidP="002457B5">
      <w:pPr>
        <w:jc w:val="center"/>
        <w:rPr>
          <w:rFonts w:eastAsia="Calibri"/>
          <w:b/>
          <w:smallCaps/>
          <w:szCs w:val="24"/>
          <w:lang w:val="fr-CA" w:eastAsia="en-US"/>
        </w:rPr>
      </w:pPr>
      <w:r w:rsidRPr="002457B5">
        <w:rPr>
          <w:rFonts w:eastAsia="Calibri"/>
          <w:b/>
          <w:smallCaps/>
          <w:szCs w:val="24"/>
          <w:lang w:val="fr-CA" w:eastAsia="en-US"/>
        </w:rPr>
        <w:t>Traduction française officielle</w:t>
      </w:r>
    </w:p>
    <w:p w:rsidR="002457B5" w:rsidRPr="002457B5" w:rsidRDefault="002457B5" w:rsidP="002457B5">
      <w:pPr>
        <w:rPr>
          <w:rFonts w:eastAsia="Calibri"/>
          <w:szCs w:val="24"/>
          <w:lang w:val="fr-CA" w:eastAsia="en-US"/>
        </w:rPr>
      </w:pPr>
    </w:p>
    <w:p w:rsidR="002457B5" w:rsidRPr="002457B5" w:rsidRDefault="002457B5" w:rsidP="002457B5">
      <w:pPr>
        <w:rPr>
          <w:rFonts w:eastAsia="Calibri"/>
          <w:szCs w:val="24"/>
          <w:lang w:val="fr-CA" w:eastAsia="en-US"/>
        </w:rPr>
      </w:pPr>
      <w:r w:rsidRPr="002457B5">
        <w:rPr>
          <w:rFonts w:eastAsia="Calibri"/>
          <w:b/>
          <w:smallCaps/>
          <w:szCs w:val="24"/>
          <w:lang w:val="fr-CA" w:eastAsia="en-US"/>
        </w:rPr>
        <w:t>Coram :</w:t>
      </w:r>
      <w:r w:rsidRPr="002457B5">
        <w:rPr>
          <w:rFonts w:eastAsia="Calibri"/>
          <w:szCs w:val="24"/>
          <w:lang w:val="fr-CA" w:eastAsia="en-US"/>
        </w:rPr>
        <w:t xml:space="preserve"> Les juges Abella, Karakatsanis, Côté, Rowe et Martin</w:t>
      </w:r>
    </w:p>
    <w:p w:rsidR="002457B5" w:rsidRPr="002457B5" w:rsidRDefault="002457B5" w:rsidP="002457B5">
      <w:pPr>
        <w:rPr>
          <w:rFonts w:eastAsia="Calibri"/>
          <w:szCs w:val="24"/>
          <w:lang w:val="fr-CA"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2457B5" w:rsidRPr="00AF2320" w:rsidTr="00695EFF">
        <w:trPr>
          <w:cantSplit/>
        </w:trPr>
        <w:tc>
          <w:tcPr>
            <w:tcW w:w="3618" w:type="dxa"/>
          </w:tcPr>
          <w:p w:rsidR="002457B5" w:rsidRPr="002457B5" w:rsidRDefault="002457B5" w:rsidP="002457B5">
            <w:pPr>
              <w:rPr>
                <w:b/>
                <w:smallCaps/>
                <w:lang w:val="fr-CA"/>
              </w:rPr>
            </w:pPr>
            <w:r w:rsidRPr="002457B5">
              <w:rPr>
                <w:b/>
                <w:smallCaps/>
                <w:lang w:val="fr-CA"/>
              </w:rPr>
              <w:t>Motifs de jugement :</w:t>
            </w:r>
          </w:p>
          <w:p w:rsidR="002457B5" w:rsidRPr="002457B5" w:rsidRDefault="002457B5" w:rsidP="002457B5">
            <w:pPr>
              <w:rPr>
                <w:lang w:val="fr-CA"/>
              </w:rPr>
            </w:pPr>
            <w:r w:rsidRPr="002457B5">
              <w:rPr>
                <w:lang w:val="fr-CA"/>
              </w:rPr>
              <w:t>(par. 1 à 3)</w:t>
            </w:r>
          </w:p>
        </w:tc>
        <w:tc>
          <w:tcPr>
            <w:tcW w:w="5958" w:type="dxa"/>
          </w:tcPr>
          <w:p w:rsidR="002457B5" w:rsidRPr="002457B5" w:rsidRDefault="002457B5" w:rsidP="002457B5">
            <w:pPr>
              <w:rPr>
                <w:lang w:val="fr-CA"/>
              </w:rPr>
            </w:pPr>
            <w:r w:rsidRPr="002457B5">
              <w:rPr>
                <w:lang w:val="fr-CA"/>
              </w:rPr>
              <w:t>La juge Abella (avec l’accord des juges Karakatsanis, Côté, Rowe et Martin)</w:t>
            </w:r>
          </w:p>
        </w:tc>
      </w:tr>
    </w:tbl>
    <w:p w:rsidR="002457B5" w:rsidRPr="002457B5" w:rsidRDefault="002457B5" w:rsidP="002457B5">
      <w:pPr>
        <w:rPr>
          <w:rFonts w:eastAsia="Calibri"/>
          <w:szCs w:val="24"/>
          <w:lang w:val="fr-CA" w:eastAsia="en-US"/>
        </w:rPr>
      </w:pPr>
    </w:p>
    <w:p w:rsidR="002457B5" w:rsidRPr="002457B5" w:rsidRDefault="002457B5" w:rsidP="002457B5">
      <w:pPr>
        <w:rPr>
          <w:rFonts w:eastAsia="Calibri"/>
          <w:szCs w:val="24"/>
          <w:lang w:val="fr-CA" w:eastAsia="en-US"/>
        </w:rPr>
      </w:pPr>
      <w:r w:rsidRPr="002457B5">
        <w:rPr>
          <w:rFonts w:eastAsia="Calibr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295FD" wp14:editId="6BE0CE0B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5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2457B5" w:rsidRDefault="002457B5" w:rsidP="002457B5">
      <w:pPr>
        <w:rPr>
          <w:rFonts w:eastAsia="Calibri"/>
          <w:szCs w:val="24"/>
          <w:lang w:val="fr-CA" w:eastAsia="en-US"/>
        </w:rPr>
      </w:pPr>
    </w:p>
    <w:p w:rsidR="002457B5" w:rsidRPr="002457B5" w:rsidRDefault="002457B5" w:rsidP="002457B5">
      <w:pPr>
        <w:rPr>
          <w:rFonts w:eastAsia="Calibri"/>
          <w:szCs w:val="24"/>
          <w:lang w:val="fr-CA" w:eastAsia="en-US"/>
        </w:rPr>
      </w:pPr>
    </w:p>
    <w:p w:rsidR="004D7D95" w:rsidRPr="00682035" w:rsidRDefault="004D43C7" w:rsidP="002C2043">
      <w:pPr>
        <w:spacing w:line="480" w:lineRule="auto"/>
        <w:jc w:val="both"/>
        <w:rPr>
          <w:lang w:val="fr-CA"/>
        </w:rPr>
      </w:pPr>
      <w:r>
        <w:rPr>
          <w:rStyle w:val="SCCAppellantForRunningHeadChar"/>
          <w:smallCaps w:val="0"/>
          <w:lang w:val="fr-CA"/>
        </w:rPr>
        <w:t>R</w:t>
      </w:r>
      <w:r w:rsidR="004D7D95" w:rsidRPr="004D43C7">
        <w:rPr>
          <w:rStyle w:val="SCCAppellantForRunningHeadChar"/>
          <w:smallCaps w:val="0"/>
          <w:lang w:val="fr-CA"/>
        </w:rPr>
        <w:t>.</w:t>
      </w:r>
      <w:r w:rsidR="004D7D95" w:rsidRPr="00682035">
        <w:rPr>
          <w:lang w:val="fr-CA"/>
        </w:rPr>
        <w:t xml:space="preserve"> </w:t>
      </w:r>
      <w:r w:rsidR="004D7D95" w:rsidRPr="00682035">
        <w:rPr>
          <w:i/>
          <w:lang w:val="fr-CA"/>
        </w:rPr>
        <w:t>c.</w:t>
      </w:r>
      <w:r w:rsidR="004D7D95" w:rsidRPr="00682035">
        <w:rPr>
          <w:lang w:val="fr-CA"/>
        </w:rPr>
        <w:t xml:space="preserve"> </w:t>
      </w:r>
      <w:r>
        <w:rPr>
          <w:rStyle w:val="SCCRespondentForRunningHeadChar"/>
          <w:lang w:val="fr-CA"/>
        </w:rPr>
        <w:t>J.M., 2019 CSC 24, [2019] 2 R.C.S. 396</w:t>
      </w:r>
    </w:p>
    <w:p w:rsidR="004D7D95" w:rsidRPr="00682035" w:rsidRDefault="004D7D95" w:rsidP="004D7D95">
      <w:pPr>
        <w:jc w:val="both"/>
        <w:rPr>
          <w:lang w:val="fr-CA"/>
        </w:rPr>
      </w:pPr>
    </w:p>
    <w:p w:rsidR="004D7D95" w:rsidRDefault="004D7D95" w:rsidP="004D7D95">
      <w:pPr>
        <w:jc w:val="both"/>
        <w:rPr>
          <w:lang w:val="fr-CA"/>
        </w:rPr>
      </w:pPr>
    </w:p>
    <w:p w:rsidR="008F293C" w:rsidRPr="00682035" w:rsidRDefault="008F293C" w:rsidP="004D7D95">
      <w:pPr>
        <w:jc w:val="both"/>
        <w:rPr>
          <w:lang w:val="fr-CA"/>
        </w:rPr>
      </w:pPr>
    </w:p>
    <w:p w:rsidR="00EF7F9C" w:rsidRPr="00825781" w:rsidRDefault="00825781">
      <w:pPr>
        <w:pStyle w:val="SCCLsocLastPartyInRole"/>
        <w:rPr>
          <w:lang w:val="fr-CA"/>
        </w:rPr>
      </w:pPr>
      <w:r w:rsidRPr="00825781">
        <w:rPr>
          <w:lang w:val="fr-CA"/>
        </w:rPr>
        <w:lastRenderedPageBreak/>
        <w:t>Sa Majesté la Reine</w:t>
      </w:r>
      <w:r w:rsidR="00682035">
        <w:rPr>
          <w:rStyle w:val="SCCLsocPartyRole"/>
          <w:lang w:val="fr-CA"/>
        </w:rPr>
        <w:tab/>
        <w:t>Appelante</w:t>
      </w:r>
    </w:p>
    <w:p w:rsidR="00EF7F9C" w:rsidRPr="00682035" w:rsidRDefault="00825781">
      <w:pPr>
        <w:pStyle w:val="SCCLsocVersus"/>
        <w:rPr>
          <w:lang w:val="fr-CA"/>
        </w:rPr>
      </w:pPr>
      <w:proofErr w:type="gramStart"/>
      <w:r w:rsidRPr="00682035">
        <w:rPr>
          <w:lang w:val="fr-CA"/>
        </w:rPr>
        <w:t>c</w:t>
      </w:r>
      <w:proofErr w:type="gramEnd"/>
      <w:r w:rsidRPr="00682035">
        <w:rPr>
          <w:lang w:val="fr-CA"/>
        </w:rPr>
        <w:t>.</w:t>
      </w:r>
    </w:p>
    <w:p w:rsidR="00EF7F9C" w:rsidRPr="00682035" w:rsidRDefault="00825781">
      <w:pPr>
        <w:pStyle w:val="SCCLsocLastPartyInRole"/>
        <w:rPr>
          <w:lang w:val="fr-CA"/>
        </w:rPr>
      </w:pPr>
      <w:r w:rsidRPr="00682035">
        <w:rPr>
          <w:lang w:val="fr-CA"/>
        </w:rPr>
        <w:t>J.M.</w:t>
      </w:r>
      <w:r w:rsidR="00682035">
        <w:rPr>
          <w:rStyle w:val="SCCLsocPartyRole"/>
          <w:lang w:val="fr-CA"/>
        </w:rPr>
        <w:tab/>
        <w:t>Intimé</w:t>
      </w:r>
    </w:p>
    <w:p w:rsidR="00EF7F9C" w:rsidRPr="00825781" w:rsidRDefault="00825781">
      <w:pPr>
        <w:pStyle w:val="SCCLsocOtherPartySeparator"/>
        <w:rPr>
          <w:lang w:val="fr-CA"/>
        </w:rPr>
      </w:pPr>
      <w:proofErr w:type="gramStart"/>
      <w:r w:rsidRPr="00825781">
        <w:rPr>
          <w:lang w:val="fr-CA"/>
        </w:rPr>
        <w:t>et</w:t>
      </w:r>
      <w:proofErr w:type="gramEnd"/>
    </w:p>
    <w:p w:rsidR="00EF7F9C" w:rsidRPr="00825781" w:rsidRDefault="00825781">
      <w:pPr>
        <w:pStyle w:val="SCCLsocLastPartyInRole"/>
        <w:rPr>
          <w:lang w:val="fr-CA"/>
        </w:rPr>
      </w:pPr>
      <w:r w:rsidRPr="00825781">
        <w:rPr>
          <w:lang w:val="fr-CA"/>
        </w:rPr>
        <w:t>Criminal Lawyers</w:t>
      </w:r>
      <w:r w:rsidR="00682035">
        <w:rPr>
          <w:lang w:val="fr-CA"/>
        </w:rPr>
        <w:t>’</w:t>
      </w:r>
      <w:r w:rsidRPr="00825781">
        <w:rPr>
          <w:lang w:val="fr-CA"/>
        </w:rPr>
        <w:t xml:space="preserve"> Association (Ontario)</w:t>
      </w:r>
      <w:r w:rsidR="00682035">
        <w:rPr>
          <w:rStyle w:val="SCCLsocPartyRole"/>
          <w:lang w:val="fr-CA"/>
        </w:rPr>
        <w:tab/>
        <w:t>Intervenante</w:t>
      </w:r>
    </w:p>
    <w:p w:rsidR="004D7D95" w:rsidRPr="00825781" w:rsidRDefault="004D7D95" w:rsidP="004D7D95">
      <w:pPr>
        <w:jc w:val="both"/>
        <w:rPr>
          <w:lang w:val="fr-CA"/>
        </w:rPr>
      </w:pPr>
    </w:p>
    <w:p w:rsidR="004D7D95" w:rsidRPr="00825781" w:rsidRDefault="004D7D95" w:rsidP="004D7D95">
      <w:pPr>
        <w:jc w:val="both"/>
        <w:rPr>
          <w:lang w:val="fr-CA"/>
        </w:rPr>
      </w:pPr>
    </w:p>
    <w:p w:rsidR="004D7D95" w:rsidRPr="00825781" w:rsidRDefault="004D7D95" w:rsidP="004D7D95">
      <w:pPr>
        <w:jc w:val="both"/>
        <w:rPr>
          <w:lang w:val="fr-CA"/>
        </w:rPr>
      </w:pPr>
    </w:p>
    <w:p w:rsidR="004D7D95" w:rsidRPr="00825781" w:rsidRDefault="002C2043" w:rsidP="004D7D95">
      <w:pPr>
        <w:jc w:val="both"/>
        <w:rPr>
          <w:b/>
          <w:lang w:val="fr-CA"/>
        </w:rPr>
      </w:pPr>
      <w:r>
        <w:rPr>
          <w:b/>
          <w:lang w:val="fr-CA"/>
        </w:rPr>
        <w:t>Répertorié : </w:t>
      </w:r>
      <w:r w:rsidR="004D7D95" w:rsidRPr="00825781">
        <w:rPr>
          <w:rStyle w:val="SCCAppellantForIndexChar"/>
          <w:lang w:val="fr-CA"/>
        </w:rPr>
        <w:t>R.</w:t>
      </w:r>
      <w:r w:rsidR="004D7D95" w:rsidRPr="00BB4C92">
        <w:rPr>
          <w:b/>
          <w:lang w:val="fr-CA"/>
        </w:rPr>
        <w:t xml:space="preserve"> </w:t>
      </w:r>
      <w:r w:rsidR="004D7D95" w:rsidRPr="00BB4C92">
        <w:rPr>
          <w:b/>
          <w:i/>
          <w:lang w:val="fr-CA"/>
        </w:rPr>
        <w:t>c.</w:t>
      </w:r>
      <w:r w:rsidR="004D7D95" w:rsidRPr="00BB4C92">
        <w:rPr>
          <w:b/>
          <w:lang w:val="fr-CA"/>
        </w:rPr>
        <w:t xml:space="preserve"> </w:t>
      </w:r>
      <w:r>
        <w:rPr>
          <w:rStyle w:val="SCCRespondentForIndexChar"/>
          <w:lang w:val="fr-CA"/>
        </w:rPr>
        <w:t>J.M.</w:t>
      </w:r>
    </w:p>
    <w:p w:rsidR="004D7D95" w:rsidRPr="00825781" w:rsidRDefault="004D7D95" w:rsidP="004D7D95">
      <w:pPr>
        <w:jc w:val="both"/>
        <w:rPr>
          <w:lang w:val="fr-CA"/>
        </w:rPr>
      </w:pPr>
    </w:p>
    <w:p w:rsidR="004D7D95" w:rsidRPr="00825781" w:rsidRDefault="004D7D95" w:rsidP="004D7D95">
      <w:pPr>
        <w:jc w:val="both"/>
        <w:rPr>
          <w:lang w:val="fr-CA"/>
        </w:rPr>
      </w:pPr>
    </w:p>
    <w:p w:rsidR="004D7D95" w:rsidRPr="00825781" w:rsidRDefault="004D7D95" w:rsidP="004D7D95">
      <w:pPr>
        <w:jc w:val="both"/>
        <w:rPr>
          <w:lang w:val="fr-CA"/>
        </w:rPr>
      </w:pPr>
    </w:p>
    <w:p w:rsidR="004D7D95" w:rsidRPr="00825781" w:rsidRDefault="00D17B0E" w:rsidP="004D7D95">
      <w:pPr>
        <w:pStyle w:val="SCCSystemYear"/>
        <w:jc w:val="both"/>
        <w:rPr>
          <w:lang w:val="fr-CA"/>
        </w:rPr>
      </w:pPr>
      <w:r w:rsidRPr="00825781">
        <w:rPr>
          <w:lang w:val="fr-CA"/>
        </w:rPr>
        <w:t>2019</w:t>
      </w:r>
      <w:r w:rsidR="004D7D95" w:rsidRPr="00825781">
        <w:rPr>
          <w:lang w:val="fr-CA"/>
        </w:rPr>
        <w:t xml:space="preserve"> CSC </w:t>
      </w:r>
      <w:r w:rsidR="002C2043">
        <w:rPr>
          <w:lang w:val="fr-CA"/>
        </w:rPr>
        <w:t>24</w:t>
      </w:r>
    </w:p>
    <w:p w:rsidR="004D7D95" w:rsidRPr="00825781" w:rsidRDefault="004D7D95" w:rsidP="004D7D95">
      <w:pPr>
        <w:jc w:val="both"/>
        <w:rPr>
          <w:lang w:val="fr-CA"/>
        </w:rPr>
      </w:pPr>
    </w:p>
    <w:p w:rsidR="004D7D95" w:rsidRPr="00825781" w:rsidRDefault="004D7D95" w:rsidP="004D7D95">
      <w:pPr>
        <w:jc w:val="both"/>
        <w:rPr>
          <w:lang w:val="fr-CA"/>
        </w:rPr>
      </w:pPr>
    </w:p>
    <w:p w:rsidR="004D7D95" w:rsidRPr="00825781" w:rsidRDefault="004D7D95" w:rsidP="004D7D95">
      <w:pPr>
        <w:jc w:val="both"/>
        <w:rPr>
          <w:lang w:val="fr-CA"/>
        </w:rPr>
      </w:pPr>
    </w:p>
    <w:p w:rsidR="004D7D95" w:rsidRPr="00825781" w:rsidRDefault="004D7D95" w:rsidP="004D7D95">
      <w:pPr>
        <w:jc w:val="both"/>
        <w:rPr>
          <w:lang w:val="fr-CA"/>
        </w:rPr>
      </w:pPr>
      <w:r w:rsidRPr="00825781">
        <w:rPr>
          <w:lang w:val="fr-CA"/>
        </w:rPr>
        <w:t>N</w:t>
      </w:r>
      <w:r w:rsidRPr="00825781">
        <w:rPr>
          <w:vertAlign w:val="superscript"/>
          <w:lang w:val="fr-CA"/>
        </w:rPr>
        <w:t>o</w:t>
      </w:r>
      <w:r w:rsidRPr="00825781">
        <w:rPr>
          <w:lang w:val="fr-CA"/>
        </w:rPr>
        <w:t xml:space="preserve"> du greffe : 38483.</w:t>
      </w:r>
    </w:p>
    <w:p w:rsidR="004D7D95" w:rsidRPr="00825781" w:rsidRDefault="004D7D95" w:rsidP="004D7D95">
      <w:pPr>
        <w:jc w:val="both"/>
        <w:rPr>
          <w:lang w:val="fr-CA"/>
        </w:rPr>
      </w:pPr>
    </w:p>
    <w:p w:rsidR="004D7D95" w:rsidRPr="00825781" w:rsidRDefault="004D7D95" w:rsidP="004D7D95">
      <w:pPr>
        <w:jc w:val="both"/>
        <w:rPr>
          <w:lang w:val="fr-CA"/>
        </w:rPr>
      </w:pPr>
    </w:p>
    <w:p w:rsidR="004D7D95" w:rsidRPr="00825781" w:rsidRDefault="004D7D95" w:rsidP="004D7D95">
      <w:pPr>
        <w:jc w:val="both"/>
        <w:rPr>
          <w:lang w:val="fr-CA"/>
        </w:rPr>
      </w:pPr>
    </w:p>
    <w:p w:rsidR="004D7D95" w:rsidRPr="00825781" w:rsidRDefault="00D17B0E" w:rsidP="004D7D95">
      <w:pPr>
        <w:jc w:val="both"/>
        <w:rPr>
          <w:lang w:val="fr-CA"/>
        </w:rPr>
      </w:pPr>
      <w:r w:rsidRPr="00E30E63">
        <w:rPr>
          <w:lang w:val="fr-CA"/>
        </w:rPr>
        <w:t>2019 : 18 avril</w:t>
      </w:r>
      <w:r w:rsidR="00682035" w:rsidRPr="00E30E63">
        <w:rPr>
          <w:lang w:val="fr-CA"/>
        </w:rPr>
        <w:t>.</w:t>
      </w:r>
    </w:p>
    <w:p w:rsidR="004D7D95" w:rsidRPr="00825781" w:rsidRDefault="004D7D95" w:rsidP="004D7D95">
      <w:pPr>
        <w:jc w:val="both"/>
        <w:rPr>
          <w:lang w:val="fr-CA"/>
        </w:rPr>
      </w:pPr>
    </w:p>
    <w:p w:rsidR="004D7D95" w:rsidRPr="00825781" w:rsidRDefault="004D7D95" w:rsidP="004D7D95">
      <w:pPr>
        <w:jc w:val="both"/>
        <w:rPr>
          <w:lang w:val="fr-CA"/>
        </w:rPr>
      </w:pPr>
    </w:p>
    <w:p w:rsidR="004D7D95" w:rsidRPr="00825781" w:rsidRDefault="004D7D95" w:rsidP="004D7D95">
      <w:pPr>
        <w:jc w:val="both"/>
        <w:rPr>
          <w:lang w:val="fr-CA"/>
        </w:rPr>
      </w:pPr>
    </w:p>
    <w:p w:rsidR="004D7D95" w:rsidRPr="00825781" w:rsidRDefault="004D7D95" w:rsidP="004D7D95">
      <w:pPr>
        <w:jc w:val="both"/>
        <w:rPr>
          <w:lang w:val="fr-CA"/>
        </w:rPr>
      </w:pPr>
      <w:r w:rsidRPr="00825781">
        <w:rPr>
          <w:lang w:val="fr-CA"/>
        </w:rPr>
        <w:t>Présents : Les juges Abella, Karakatsanis, Côté, Rowe et Martin.</w:t>
      </w:r>
    </w:p>
    <w:p w:rsidR="004D7D95" w:rsidRPr="00825781" w:rsidRDefault="004D7D95" w:rsidP="004D7D95">
      <w:pPr>
        <w:jc w:val="both"/>
        <w:rPr>
          <w:lang w:val="fr-CA"/>
        </w:rPr>
      </w:pPr>
    </w:p>
    <w:p w:rsidR="00EE0830" w:rsidRPr="00825781" w:rsidRDefault="00EE0830" w:rsidP="004D7D95">
      <w:pPr>
        <w:jc w:val="both"/>
        <w:rPr>
          <w:lang w:val="fr-CA"/>
        </w:rPr>
      </w:pPr>
    </w:p>
    <w:p w:rsidR="00EF7F9C" w:rsidRPr="00825781" w:rsidRDefault="00EF7F9C">
      <w:pPr>
        <w:rPr>
          <w:lang w:val="fr-CA"/>
        </w:rPr>
      </w:pPr>
    </w:p>
    <w:p w:rsidR="004D7D95" w:rsidRPr="00682035" w:rsidRDefault="004D7D95" w:rsidP="000F7993">
      <w:pPr>
        <w:jc w:val="both"/>
        <w:rPr>
          <w:smallCaps/>
          <w:lang w:val="fr-CA"/>
        </w:rPr>
      </w:pPr>
      <w:r w:rsidRPr="00682035">
        <w:rPr>
          <w:smallCaps/>
          <w:lang w:val="fr-CA"/>
        </w:rPr>
        <w:t>en appel de la cour d</w:t>
      </w:r>
      <w:r w:rsidR="00682035" w:rsidRPr="00682035">
        <w:rPr>
          <w:smallCaps/>
          <w:lang w:val="fr-CA"/>
        </w:rPr>
        <w:t>’</w:t>
      </w:r>
      <w:r w:rsidRPr="00682035">
        <w:rPr>
          <w:smallCaps/>
          <w:lang w:val="fr-CA"/>
        </w:rPr>
        <w:t xml:space="preserve">appel de </w:t>
      </w:r>
      <w:proofErr w:type="spellStart"/>
      <w:r w:rsidRPr="00682035">
        <w:rPr>
          <w:smallCaps/>
          <w:lang w:val="fr-CA"/>
        </w:rPr>
        <w:t>l</w:t>
      </w:r>
      <w:r w:rsidR="00682035" w:rsidRPr="00682035">
        <w:rPr>
          <w:smallCaps/>
          <w:lang w:val="fr-CA"/>
        </w:rPr>
        <w:t>’</w:t>
      </w:r>
      <w:r w:rsidRPr="00682035">
        <w:rPr>
          <w:smallCaps/>
          <w:lang w:val="fr-CA"/>
        </w:rPr>
        <w:t>ontario</w:t>
      </w:r>
      <w:proofErr w:type="spellEnd"/>
    </w:p>
    <w:p w:rsidR="004D7D95" w:rsidRPr="00BB4C92" w:rsidRDefault="004D7D95" w:rsidP="004D7D95">
      <w:pPr>
        <w:pStyle w:val="SCCNormalDoubleSpacing"/>
        <w:rPr>
          <w:lang w:val="fr-CA"/>
        </w:rPr>
      </w:pPr>
    </w:p>
    <w:p w:rsidR="004D7D95" w:rsidRPr="001E1BB1" w:rsidRDefault="004D7D95" w:rsidP="004D7D95">
      <w:pPr>
        <w:pStyle w:val="SCCNormalDoubleSpacing"/>
        <w:rPr>
          <w:lang w:val="fr-CA"/>
        </w:rPr>
      </w:pPr>
      <w:r w:rsidRPr="00BB4C92">
        <w:rPr>
          <w:lang w:val="fr-CA"/>
        </w:rPr>
        <w:tab/>
      </w:r>
      <w:r w:rsidR="00101029" w:rsidRPr="001E1BB1">
        <w:rPr>
          <w:i/>
          <w:lang w:val="fr-CA"/>
        </w:rPr>
        <w:t>Droit criminel — Preuve — Admissibilit</w:t>
      </w:r>
      <w:r w:rsidR="007808CF" w:rsidRPr="001E1BB1">
        <w:rPr>
          <w:i/>
          <w:lang w:val="fr-CA"/>
        </w:rPr>
        <w:t>é</w:t>
      </w:r>
      <w:r w:rsidR="00101029" w:rsidRPr="001E1BB1">
        <w:rPr>
          <w:i/>
          <w:lang w:val="fr-CA"/>
        </w:rPr>
        <w:t xml:space="preserve"> — </w:t>
      </w:r>
      <w:r w:rsidR="007808CF" w:rsidRPr="001E1BB1">
        <w:rPr>
          <w:i/>
          <w:lang w:val="fr-CA"/>
        </w:rPr>
        <w:t xml:space="preserve">Exposé au </w:t>
      </w:r>
      <w:r w:rsidR="00101029" w:rsidRPr="001E1BB1">
        <w:rPr>
          <w:i/>
          <w:lang w:val="fr-CA"/>
        </w:rPr>
        <w:t xml:space="preserve">jury — </w:t>
      </w:r>
      <w:r w:rsidR="007808CF" w:rsidRPr="001E1BB1">
        <w:rPr>
          <w:i/>
          <w:lang w:val="fr-CA"/>
        </w:rPr>
        <w:t>Comportement postérieur à l’infraction</w:t>
      </w:r>
      <w:r w:rsidR="00101029" w:rsidRPr="001E1BB1">
        <w:rPr>
          <w:i/>
          <w:lang w:val="fr-CA"/>
        </w:rPr>
        <w:t xml:space="preserve"> — </w:t>
      </w:r>
      <w:r w:rsidR="007808CF" w:rsidRPr="001E1BB1">
        <w:rPr>
          <w:i/>
          <w:lang w:val="fr-CA"/>
        </w:rPr>
        <w:t>Défaut de comparaître au procès</w:t>
      </w:r>
      <w:r w:rsidR="00101029" w:rsidRPr="001E1BB1">
        <w:rPr>
          <w:i/>
          <w:lang w:val="fr-CA"/>
        </w:rPr>
        <w:t xml:space="preserve"> — </w:t>
      </w:r>
      <w:r w:rsidR="00BE394A">
        <w:rPr>
          <w:i/>
          <w:lang w:val="fr-CA"/>
        </w:rPr>
        <w:lastRenderedPageBreak/>
        <w:t xml:space="preserve">Couronne </w:t>
      </w:r>
      <w:r w:rsidR="007808CF" w:rsidRPr="001E1BB1">
        <w:rPr>
          <w:i/>
          <w:lang w:val="fr-CA"/>
        </w:rPr>
        <w:t>autorisé</w:t>
      </w:r>
      <w:r w:rsidR="00BE394A">
        <w:rPr>
          <w:i/>
          <w:lang w:val="fr-CA"/>
        </w:rPr>
        <w:t>e</w:t>
      </w:r>
      <w:r w:rsidR="007808CF" w:rsidRPr="001E1BB1">
        <w:rPr>
          <w:i/>
          <w:lang w:val="fr-CA"/>
        </w:rPr>
        <w:t xml:space="preserve"> par le juge du procès à</w:t>
      </w:r>
      <w:r w:rsidR="001E1BB1" w:rsidRPr="001E1BB1">
        <w:rPr>
          <w:i/>
          <w:lang w:val="fr-CA"/>
        </w:rPr>
        <w:t xml:space="preserve"> </w:t>
      </w:r>
      <w:r w:rsidR="00BE394A">
        <w:rPr>
          <w:i/>
          <w:lang w:val="fr-CA"/>
        </w:rPr>
        <w:t>présenter</w:t>
      </w:r>
      <w:r w:rsidR="00C562EA">
        <w:rPr>
          <w:i/>
          <w:lang w:val="fr-CA"/>
        </w:rPr>
        <w:t xml:space="preserve"> en preuve</w:t>
      </w:r>
      <w:r w:rsidR="00BE394A">
        <w:rPr>
          <w:i/>
          <w:lang w:val="fr-CA"/>
        </w:rPr>
        <w:t xml:space="preserve"> </w:t>
      </w:r>
      <w:r w:rsidR="00307BF2">
        <w:rPr>
          <w:i/>
          <w:lang w:val="fr-CA"/>
        </w:rPr>
        <w:t xml:space="preserve">lors du procès </w:t>
      </w:r>
      <w:r w:rsidR="00C562EA">
        <w:rPr>
          <w:i/>
          <w:lang w:val="fr-CA"/>
        </w:rPr>
        <w:t>le fait que</w:t>
      </w:r>
      <w:r w:rsidR="00BE394A" w:rsidRPr="001E1BB1">
        <w:rPr>
          <w:i/>
          <w:lang w:val="fr-CA"/>
        </w:rPr>
        <w:t xml:space="preserve"> l’accusé </w:t>
      </w:r>
      <w:r w:rsidR="00C562EA">
        <w:rPr>
          <w:i/>
          <w:lang w:val="fr-CA"/>
        </w:rPr>
        <w:t>n’a pas comparu</w:t>
      </w:r>
      <w:r w:rsidR="00BE394A">
        <w:rPr>
          <w:i/>
          <w:lang w:val="fr-CA"/>
        </w:rPr>
        <w:t xml:space="preserve"> </w:t>
      </w:r>
      <w:r w:rsidR="00307BF2">
        <w:rPr>
          <w:i/>
          <w:lang w:val="fr-CA"/>
        </w:rPr>
        <w:t xml:space="preserve">à </w:t>
      </w:r>
      <w:r w:rsidR="00BE394A">
        <w:rPr>
          <w:i/>
          <w:lang w:val="fr-CA"/>
        </w:rPr>
        <w:t xml:space="preserve">la date initialement fixée pour la tenue de son </w:t>
      </w:r>
      <w:r w:rsidR="001E1BB1" w:rsidRPr="001E1BB1">
        <w:rPr>
          <w:i/>
          <w:lang w:val="fr-CA"/>
        </w:rPr>
        <w:t>procès</w:t>
      </w:r>
      <w:r w:rsidR="00101029" w:rsidRPr="001E1BB1">
        <w:rPr>
          <w:i/>
          <w:lang w:val="fr-CA"/>
        </w:rPr>
        <w:t xml:space="preserve"> — </w:t>
      </w:r>
      <w:r w:rsidR="001E1BB1" w:rsidRPr="001E1BB1">
        <w:rPr>
          <w:i/>
          <w:lang w:val="fr-CA"/>
        </w:rPr>
        <w:t>Directive</w:t>
      </w:r>
      <w:r w:rsidR="00BE394A">
        <w:rPr>
          <w:i/>
          <w:lang w:val="fr-CA"/>
        </w:rPr>
        <w:t>s</w:t>
      </w:r>
      <w:r w:rsidR="001E1BB1" w:rsidRPr="001E1BB1">
        <w:rPr>
          <w:i/>
          <w:lang w:val="fr-CA"/>
        </w:rPr>
        <w:t xml:space="preserve"> </w:t>
      </w:r>
      <w:r w:rsidR="00BE394A">
        <w:rPr>
          <w:i/>
          <w:lang w:val="fr-CA"/>
        </w:rPr>
        <w:t>données au</w:t>
      </w:r>
      <w:r w:rsidR="00307BF2">
        <w:rPr>
          <w:i/>
          <w:lang w:val="fr-CA"/>
        </w:rPr>
        <w:t xml:space="preserve">x jurés </w:t>
      </w:r>
      <w:r w:rsidR="00BE394A">
        <w:rPr>
          <w:i/>
          <w:lang w:val="fr-CA"/>
        </w:rPr>
        <w:t xml:space="preserve">par le </w:t>
      </w:r>
      <w:r w:rsidR="001E1BB1" w:rsidRPr="001E1BB1">
        <w:rPr>
          <w:i/>
          <w:lang w:val="fr-CA"/>
        </w:rPr>
        <w:t xml:space="preserve">juge du procès </w:t>
      </w:r>
      <w:r w:rsidR="00BE394A">
        <w:rPr>
          <w:i/>
          <w:lang w:val="fr-CA"/>
        </w:rPr>
        <w:t xml:space="preserve">quant à </w:t>
      </w:r>
      <w:r w:rsidR="001E1BB1" w:rsidRPr="001E1BB1">
        <w:rPr>
          <w:i/>
          <w:lang w:val="fr-CA"/>
        </w:rPr>
        <w:t>l’utilisation qu</w:t>
      </w:r>
      <w:r w:rsidR="00307BF2">
        <w:rPr>
          <w:i/>
          <w:lang w:val="fr-CA"/>
        </w:rPr>
        <w:t xml:space="preserve">e ces derniers </w:t>
      </w:r>
      <w:r w:rsidR="001E1BB1" w:rsidRPr="001E1BB1">
        <w:rPr>
          <w:i/>
          <w:lang w:val="fr-CA"/>
        </w:rPr>
        <w:t>p</w:t>
      </w:r>
      <w:r w:rsidR="00BE394A">
        <w:rPr>
          <w:i/>
          <w:lang w:val="fr-CA"/>
        </w:rPr>
        <w:t>ouvai</w:t>
      </w:r>
      <w:r w:rsidR="00307BF2">
        <w:rPr>
          <w:i/>
          <w:lang w:val="fr-CA"/>
        </w:rPr>
        <w:t>en</w:t>
      </w:r>
      <w:r w:rsidR="00BE394A">
        <w:rPr>
          <w:i/>
          <w:lang w:val="fr-CA"/>
        </w:rPr>
        <w:t xml:space="preserve">t </w:t>
      </w:r>
      <w:r w:rsidR="001E1BB1" w:rsidRPr="001E1BB1">
        <w:rPr>
          <w:i/>
          <w:lang w:val="fr-CA"/>
        </w:rPr>
        <w:t>faire de</w:t>
      </w:r>
      <w:r w:rsidR="00BE394A">
        <w:rPr>
          <w:i/>
          <w:lang w:val="fr-CA"/>
        </w:rPr>
        <w:t xml:space="preserve"> </w:t>
      </w:r>
      <w:r w:rsidR="00C562EA">
        <w:rPr>
          <w:i/>
          <w:lang w:val="fr-CA"/>
        </w:rPr>
        <w:t>cet</w:t>
      </w:r>
      <w:r w:rsidR="00BE394A">
        <w:rPr>
          <w:i/>
          <w:lang w:val="fr-CA"/>
        </w:rPr>
        <w:t xml:space="preserve"> élément de </w:t>
      </w:r>
      <w:r w:rsidR="001E1BB1" w:rsidRPr="001E1BB1">
        <w:rPr>
          <w:i/>
          <w:lang w:val="fr-CA"/>
        </w:rPr>
        <w:t>pre</w:t>
      </w:r>
      <w:r w:rsidR="001E1BB1">
        <w:rPr>
          <w:i/>
          <w:lang w:val="fr-CA"/>
        </w:rPr>
        <w:t xml:space="preserve">uve </w:t>
      </w:r>
      <w:r w:rsidR="00101029" w:rsidRPr="001E1BB1">
        <w:rPr>
          <w:i/>
          <w:lang w:val="fr-CA"/>
        </w:rPr>
        <w:t>— Accus</w:t>
      </w:r>
      <w:r w:rsidR="007808CF" w:rsidRPr="001E1BB1">
        <w:rPr>
          <w:i/>
          <w:lang w:val="fr-CA"/>
        </w:rPr>
        <w:t>é déclaré coupable d’agression sexuelle</w:t>
      </w:r>
      <w:r w:rsidR="00101029" w:rsidRPr="001E1BB1">
        <w:rPr>
          <w:i/>
          <w:lang w:val="fr-CA"/>
        </w:rPr>
        <w:t xml:space="preserve"> — </w:t>
      </w:r>
      <w:r w:rsidR="00BE394A">
        <w:rPr>
          <w:i/>
          <w:lang w:val="fr-CA"/>
        </w:rPr>
        <w:t>D</w:t>
      </w:r>
      <w:r w:rsidR="001E1BB1">
        <w:rPr>
          <w:i/>
          <w:lang w:val="fr-CA"/>
        </w:rPr>
        <w:t xml:space="preserve">éclarations de culpabilité </w:t>
      </w:r>
      <w:r w:rsidR="00BE394A">
        <w:rPr>
          <w:i/>
          <w:lang w:val="fr-CA"/>
        </w:rPr>
        <w:t xml:space="preserve">annulées et </w:t>
      </w:r>
      <w:r w:rsidR="001E1BB1">
        <w:rPr>
          <w:i/>
          <w:lang w:val="fr-CA"/>
        </w:rPr>
        <w:t xml:space="preserve"> nouveau procès</w:t>
      </w:r>
      <w:r w:rsidR="00BE394A">
        <w:rPr>
          <w:i/>
          <w:lang w:val="fr-CA"/>
        </w:rPr>
        <w:t xml:space="preserve"> ordonné</w:t>
      </w:r>
      <w:r w:rsidR="005C3932" w:rsidRPr="005C3932">
        <w:rPr>
          <w:i/>
          <w:lang w:val="fr-CA"/>
        </w:rPr>
        <w:t xml:space="preserve"> </w:t>
      </w:r>
      <w:r w:rsidR="005C3932">
        <w:rPr>
          <w:i/>
          <w:lang w:val="fr-CA"/>
        </w:rPr>
        <w:t>par la Cour d’appel</w:t>
      </w:r>
      <w:r w:rsidR="001E1BB1">
        <w:rPr>
          <w:i/>
          <w:lang w:val="fr-CA"/>
        </w:rPr>
        <w:t xml:space="preserve"> </w:t>
      </w:r>
      <w:r w:rsidR="00101029" w:rsidRPr="001E1BB1">
        <w:rPr>
          <w:i/>
          <w:lang w:val="fr-CA"/>
        </w:rPr>
        <w:t xml:space="preserve">— </w:t>
      </w:r>
      <w:r w:rsidR="001E1BB1">
        <w:rPr>
          <w:i/>
          <w:lang w:val="fr-CA"/>
        </w:rPr>
        <w:t xml:space="preserve">Conclusion des juges majoritaires </w:t>
      </w:r>
      <w:r w:rsidR="00BE394A">
        <w:rPr>
          <w:i/>
          <w:lang w:val="fr-CA"/>
        </w:rPr>
        <w:t xml:space="preserve">portant que </w:t>
      </w:r>
      <w:r w:rsidR="001E1BB1">
        <w:rPr>
          <w:i/>
          <w:lang w:val="fr-CA"/>
        </w:rPr>
        <w:t>le juge du procès a</w:t>
      </w:r>
      <w:r w:rsidR="00BE394A">
        <w:rPr>
          <w:i/>
          <w:lang w:val="fr-CA"/>
        </w:rPr>
        <w:t xml:space="preserve">vait commis des erreurs, d’une part par son omission  de procéder </w:t>
      </w:r>
      <w:r w:rsidR="001E1BB1">
        <w:rPr>
          <w:i/>
          <w:lang w:val="fr-CA"/>
        </w:rPr>
        <w:t>à la deuxième étape de l’examen de l’admissibilité</w:t>
      </w:r>
      <w:r w:rsidR="00BE394A">
        <w:rPr>
          <w:i/>
          <w:lang w:val="fr-CA"/>
        </w:rPr>
        <w:t>, d’</w:t>
      </w:r>
      <w:r w:rsidR="008A5636">
        <w:rPr>
          <w:i/>
          <w:lang w:val="fr-CA"/>
        </w:rPr>
        <w:t>autre</w:t>
      </w:r>
      <w:r w:rsidR="00BE394A">
        <w:rPr>
          <w:i/>
          <w:lang w:val="fr-CA"/>
        </w:rPr>
        <w:t xml:space="preserve"> part dans la formulation de </w:t>
      </w:r>
      <w:r w:rsidR="001E1BB1">
        <w:rPr>
          <w:i/>
          <w:lang w:val="fr-CA"/>
        </w:rPr>
        <w:t>ses directives au</w:t>
      </w:r>
      <w:r w:rsidR="00307BF2">
        <w:rPr>
          <w:i/>
          <w:lang w:val="fr-CA"/>
        </w:rPr>
        <w:t>x</w:t>
      </w:r>
      <w:r w:rsidR="001E1BB1">
        <w:rPr>
          <w:i/>
          <w:lang w:val="fr-CA"/>
        </w:rPr>
        <w:t xml:space="preserve"> jur</w:t>
      </w:r>
      <w:r w:rsidR="00307BF2">
        <w:rPr>
          <w:i/>
          <w:lang w:val="fr-CA"/>
        </w:rPr>
        <w:t xml:space="preserve">és </w:t>
      </w:r>
      <w:r w:rsidR="00BE394A">
        <w:rPr>
          <w:i/>
          <w:lang w:val="fr-CA"/>
        </w:rPr>
        <w:t xml:space="preserve">concernant </w:t>
      </w:r>
      <w:r w:rsidR="001E1BB1">
        <w:rPr>
          <w:i/>
          <w:lang w:val="fr-CA"/>
        </w:rPr>
        <w:t>le comportement postérieur à l’infraction</w:t>
      </w:r>
      <w:r w:rsidR="00101029" w:rsidRPr="001E1BB1">
        <w:rPr>
          <w:i/>
          <w:lang w:val="fr-CA"/>
        </w:rPr>
        <w:t xml:space="preserve"> — </w:t>
      </w:r>
      <w:r w:rsidR="001E1BB1">
        <w:rPr>
          <w:i/>
          <w:lang w:val="fr-CA"/>
        </w:rPr>
        <w:t xml:space="preserve">Conclusion du juge dissident </w:t>
      </w:r>
      <w:r w:rsidR="00307BF2">
        <w:rPr>
          <w:i/>
          <w:lang w:val="fr-CA"/>
        </w:rPr>
        <w:t xml:space="preserve">portant que </w:t>
      </w:r>
      <w:r w:rsidR="009346AD">
        <w:rPr>
          <w:i/>
          <w:lang w:val="fr-CA"/>
        </w:rPr>
        <w:t xml:space="preserve">la décision du juge du procès d’admettre </w:t>
      </w:r>
      <w:r w:rsidR="00C562EA">
        <w:rPr>
          <w:i/>
          <w:lang w:val="fr-CA"/>
        </w:rPr>
        <w:t>l’</w:t>
      </w:r>
      <w:r w:rsidR="00307BF2">
        <w:rPr>
          <w:i/>
          <w:lang w:val="fr-CA"/>
        </w:rPr>
        <w:t xml:space="preserve">élément de </w:t>
      </w:r>
      <w:r w:rsidR="009346AD">
        <w:rPr>
          <w:i/>
          <w:lang w:val="fr-CA"/>
        </w:rPr>
        <w:t>preuve command</w:t>
      </w:r>
      <w:r w:rsidR="00307BF2">
        <w:rPr>
          <w:i/>
          <w:lang w:val="fr-CA"/>
        </w:rPr>
        <w:t xml:space="preserve">ait la déférence </w:t>
      </w:r>
      <w:r w:rsidR="009346AD">
        <w:rPr>
          <w:i/>
          <w:lang w:val="fr-CA"/>
        </w:rPr>
        <w:t xml:space="preserve">et </w:t>
      </w:r>
      <w:r w:rsidR="00307BF2">
        <w:rPr>
          <w:i/>
          <w:lang w:val="fr-CA"/>
        </w:rPr>
        <w:t xml:space="preserve">que </w:t>
      </w:r>
      <w:r w:rsidR="009346AD">
        <w:rPr>
          <w:i/>
          <w:lang w:val="fr-CA"/>
        </w:rPr>
        <w:t>son exposé au</w:t>
      </w:r>
      <w:r w:rsidR="008A5636">
        <w:rPr>
          <w:i/>
          <w:lang w:val="fr-CA"/>
        </w:rPr>
        <w:t xml:space="preserve"> jury</w:t>
      </w:r>
      <w:r w:rsidR="009346AD">
        <w:rPr>
          <w:i/>
          <w:lang w:val="fr-CA"/>
        </w:rPr>
        <w:t xml:space="preserve"> était adéquat</w:t>
      </w:r>
      <w:r w:rsidR="00101029" w:rsidRPr="001E1BB1">
        <w:rPr>
          <w:i/>
          <w:lang w:val="fr-CA"/>
        </w:rPr>
        <w:t xml:space="preserve"> — </w:t>
      </w:r>
      <w:r w:rsidR="009346AD">
        <w:rPr>
          <w:i/>
          <w:lang w:val="fr-CA"/>
        </w:rPr>
        <w:t xml:space="preserve">Le défaut de comparaître au procès n’est pas présumé constituer un comportement postérieur à l’infraction et son admissibilité doit être évaluée au </w:t>
      </w:r>
      <w:r w:rsidR="00F21B23">
        <w:rPr>
          <w:i/>
          <w:lang w:val="fr-CA"/>
        </w:rPr>
        <w:t xml:space="preserve">cas </w:t>
      </w:r>
      <w:r w:rsidR="009346AD">
        <w:rPr>
          <w:i/>
          <w:lang w:val="fr-CA"/>
        </w:rPr>
        <w:t>par</w:t>
      </w:r>
      <w:r w:rsidR="00F21B23">
        <w:rPr>
          <w:i/>
          <w:lang w:val="fr-CA"/>
        </w:rPr>
        <w:t xml:space="preserve"> </w:t>
      </w:r>
      <w:r w:rsidR="00101029" w:rsidRPr="001E1BB1">
        <w:rPr>
          <w:i/>
          <w:lang w:val="fr-CA"/>
        </w:rPr>
        <w:t xml:space="preserve">cas — </w:t>
      </w:r>
      <w:r w:rsidR="009346AD">
        <w:rPr>
          <w:i/>
          <w:lang w:val="fr-CA"/>
        </w:rPr>
        <w:t>Déclarations de culpabilité rétablies</w:t>
      </w:r>
      <w:r w:rsidR="00101029" w:rsidRPr="001E1BB1">
        <w:rPr>
          <w:i/>
          <w:lang w:val="fr-CA"/>
        </w:rPr>
        <w:t xml:space="preserve">. </w:t>
      </w:r>
    </w:p>
    <w:p w:rsidR="004D7D95" w:rsidRPr="001E1BB1" w:rsidRDefault="004D7D95" w:rsidP="00682035">
      <w:pPr>
        <w:pStyle w:val="SCCNormalDoubleSpacing"/>
        <w:spacing w:line="240" w:lineRule="auto"/>
        <w:rPr>
          <w:lang w:val="fr-CA"/>
        </w:rPr>
      </w:pPr>
    </w:p>
    <w:p w:rsidR="004D7D95" w:rsidRPr="001E1BB1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1E1BB1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682035" w:rsidRPr="00BC6C4E" w:rsidRDefault="004D7D95" w:rsidP="00682035">
      <w:pPr>
        <w:pStyle w:val="SCCNormalDoubleSpacing"/>
        <w:rPr>
          <w:lang w:val="fr-CA"/>
        </w:rPr>
      </w:pPr>
      <w:r w:rsidRPr="001E1BB1">
        <w:rPr>
          <w:lang w:val="fr-CA"/>
        </w:rPr>
        <w:tab/>
      </w:r>
      <w:r w:rsidRPr="00682035">
        <w:rPr>
          <w:lang w:val="fr-CA"/>
        </w:rPr>
        <w:t>POURVOI contre un arrêt de la Cour d</w:t>
      </w:r>
      <w:r w:rsidR="00682035" w:rsidRPr="00682035">
        <w:rPr>
          <w:lang w:val="fr-CA"/>
        </w:rPr>
        <w:t>’</w:t>
      </w:r>
      <w:r w:rsidRPr="00682035">
        <w:rPr>
          <w:lang w:val="fr-CA"/>
        </w:rPr>
        <w:t>appel de l</w:t>
      </w:r>
      <w:r w:rsidR="00682035" w:rsidRPr="00682035">
        <w:rPr>
          <w:lang w:val="fr-CA"/>
        </w:rPr>
        <w:t>’</w:t>
      </w:r>
      <w:r w:rsidRPr="00682035">
        <w:rPr>
          <w:lang w:val="fr-CA"/>
        </w:rPr>
        <w:t>Ontario</w:t>
      </w:r>
      <w:r w:rsidR="00682035" w:rsidRPr="00682035">
        <w:rPr>
          <w:lang w:val="fr-CA"/>
        </w:rPr>
        <w:t xml:space="preserve"> (les juges MacPherson, Huscroft et Nordheimer), 2018 ONCA 1054, 144 O.R. (3d) 125, </w:t>
      </w:r>
      <w:r w:rsidR="00671E8B" w:rsidRPr="00671E8B">
        <w:rPr>
          <w:lang w:val="fr-CA"/>
        </w:rPr>
        <w:t xml:space="preserve">370 C.C.C. (3d) 458, </w:t>
      </w:r>
      <w:r w:rsidR="00682035" w:rsidRPr="00682035">
        <w:rPr>
          <w:lang w:val="fr-CA"/>
        </w:rPr>
        <w:t xml:space="preserve">[2018] O.J. No. 6741 (QL), 2018 </w:t>
      </w:r>
      <w:proofErr w:type="spellStart"/>
      <w:r w:rsidR="00682035" w:rsidRPr="00682035">
        <w:rPr>
          <w:lang w:val="fr-CA"/>
        </w:rPr>
        <w:t>CarswellOnt</w:t>
      </w:r>
      <w:proofErr w:type="spellEnd"/>
      <w:r w:rsidR="00682035" w:rsidRPr="00682035">
        <w:rPr>
          <w:lang w:val="fr-CA"/>
        </w:rPr>
        <w:t xml:space="preserve"> 21543 (WL Can.), qui a annul</w:t>
      </w:r>
      <w:r w:rsidR="00682035">
        <w:rPr>
          <w:lang w:val="fr-CA"/>
        </w:rPr>
        <w:t xml:space="preserve">é les déclarations de </w:t>
      </w:r>
      <w:r w:rsidR="00682035" w:rsidRPr="00D51648">
        <w:rPr>
          <w:lang w:val="fr-CA"/>
        </w:rPr>
        <w:t xml:space="preserve">culpabilité pour agression sexuelle </w:t>
      </w:r>
      <w:r w:rsidR="00D51648" w:rsidRPr="00D51648">
        <w:rPr>
          <w:lang w:val="fr-CA"/>
        </w:rPr>
        <w:t>prononcées</w:t>
      </w:r>
      <w:r w:rsidR="00D51648">
        <w:rPr>
          <w:lang w:val="fr-CA"/>
        </w:rPr>
        <w:t xml:space="preserve"> contre l’accusé et </w:t>
      </w:r>
      <w:r w:rsidR="00682035">
        <w:rPr>
          <w:lang w:val="fr-CA"/>
        </w:rPr>
        <w:t xml:space="preserve">ordonné </w:t>
      </w:r>
      <w:r w:rsidR="00307BF2">
        <w:rPr>
          <w:lang w:val="fr-CA"/>
        </w:rPr>
        <w:t>la tenue d’</w:t>
      </w:r>
      <w:r w:rsidR="00682035">
        <w:rPr>
          <w:lang w:val="fr-CA"/>
        </w:rPr>
        <w:t xml:space="preserve">un nouveau procès. Pourvoi </w:t>
      </w:r>
      <w:r w:rsidR="00682035" w:rsidRPr="00DF5A23">
        <w:rPr>
          <w:lang w:val="fr-CA"/>
        </w:rPr>
        <w:t>accueilli, les juges Abella et Karak</w:t>
      </w:r>
      <w:r w:rsidR="00DF5A23" w:rsidRPr="00DF5A23">
        <w:rPr>
          <w:lang w:val="fr-CA"/>
        </w:rPr>
        <w:t>a</w:t>
      </w:r>
      <w:r w:rsidR="00682035" w:rsidRPr="00DF5A23">
        <w:rPr>
          <w:lang w:val="fr-CA"/>
        </w:rPr>
        <w:t>tsanis sont</w:t>
      </w:r>
      <w:r w:rsidR="00682035" w:rsidRPr="00BC6C4E">
        <w:rPr>
          <w:lang w:val="fr-CA"/>
        </w:rPr>
        <w:t xml:space="preserve"> dissidentes.</w:t>
      </w:r>
    </w:p>
    <w:p w:rsidR="004D7D95" w:rsidRPr="00BC6C4E" w:rsidRDefault="004D7D95" w:rsidP="004D7D95">
      <w:pPr>
        <w:pStyle w:val="SCCNormalDoubleSpacing"/>
        <w:rPr>
          <w:lang w:val="fr-CA"/>
        </w:rPr>
      </w:pPr>
    </w:p>
    <w:p w:rsidR="00EF7F9C" w:rsidRPr="00682035" w:rsidRDefault="00825781">
      <w:pPr>
        <w:pStyle w:val="SCCNormalDoubleSpacing"/>
        <w:rPr>
          <w:lang w:val="fr-CA"/>
        </w:rPr>
      </w:pPr>
      <w:r w:rsidRPr="00BC6C4E">
        <w:rPr>
          <w:rStyle w:val="SCCCounselNameChar"/>
          <w:lang w:val="fr-CA"/>
        </w:rPr>
        <w:tab/>
      </w:r>
      <w:r w:rsidRPr="00682035">
        <w:rPr>
          <w:rStyle w:val="SCCCounselNameChar"/>
          <w:lang w:val="fr-CA"/>
        </w:rPr>
        <w:t xml:space="preserve">Luke </w:t>
      </w:r>
      <w:proofErr w:type="spellStart"/>
      <w:r w:rsidRPr="00682035">
        <w:rPr>
          <w:rStyle w:val="SCCCounselNameChar"/>
          <w:lang w:val="fr-CA"/>
        </w:rPr>
        <w:t>Schwalm</w:t>
      </w:r>
      <w:proofErr w:type="spellEnd"/>
      <w:r w:rsidR="00682035" w:rsidRPr="00682035">
        <w:rPr>
          <w:rStyle w:val="SCCCounselNameChar"/>
          <w:lang w:val="fr-CA"/>
        </w:rPr>
        <w:t xml:space="preserve"> </w:t>
      </w:r>
      <w:r w:rsidR="00682035" w:rsidRPr="00682035">
        <w:rPr>
          <w:rStyle w:val="SCCCounselNameChar"/>
          <w:i w:val="0"/>
          <w:lang w:val="fr-CA"/>
        </w:rPr>
        <w:t xml:space="preserve">et </w:t>
      </w:r>
      <w:r w:rsidR="00682035" w:rsidRPr="00682035">
        <w:rPr>
          <w:rStyle w:val="SCCCounselNameChar"/>
          <w:lang w:val="fr-CA"/>
        </w:rPr>
        <w:t>Alexander Alvaro</w:t>
      </w:r>
      <w:r w:rsidRPr="00682035">
        <w:rPr>
          <w:rStyle w:val="SCCCounselPartyRoleChar"/>
          <w:lang w:val="fr-CA"/>
        </w:rPr>
        <w:t>, pour l</w:t>
      </w:r>
      <w:r w:rsidR="00682035" w:rsidRPr="00682035">
        <w:rPr>
          <w:rStyle w:val="SCCCounselPartyRoleChar"/>
          <w:lang w:val="fr-CA"/>
        </w:rPr>
        <w:t>’</w:t>
      </w:r>
      <w:r w:rsidR="00682035">
        <w:rPr>
          <w:rStyle w:val="SCCCounselPartyRoleChar"/>
          <w:lang w:val="fr-CA"/>
        </w:rPr>
        <w:t>appelante</w:t>
      </w:r>
      <w:r w:rsidRPr="00682035">
        <w:rPr>
          <w:rStyle w:val="SCCCounselPartyRoleChar"/>
          <w:lang w:val="fr-CA"/>
        </w:rPr>
        <w:t>.</w:t>
      </w:r>
    </w:p>
    <w:p w:rsidR="00EF7F9C" w:rsidRPr="00682035" w:rsidRDefault="00EF7F9C">
      <w:pPr>
        <w:pStyle w:val="SCCNormalDoubleSpacing"/>
        <w:rPr>
          <w:lang w:val="fr-CA"/>
        </w:rPr>
      </w:pPr>
    </w:p>
    <w:p w:rsidR="00EF7F9C" w:rsidRPr="00682035" w:rsidRDefault="00825781">
      <w:pPr>
        <w:pStyle w:val="SCCNormalDoubleSpacing"/>
        <w:rPr>
          <w:lang w:val="fr-CA"/>
        </w:rPr>
      </w:pPr>
      <w:r w:rsidRPr="00682035">
        <w:rPr>
          <w:rStyle w:val="SCCCounselNameChar"/>
          <w:lang w:val="fr-CA"/>
        </w:rPr>
        <w:tab/>
        <w:t>Michael A. Johnston</w:t>
      </w:r>
      <w:r w:rsidR="00682035" w:rsidRPr="00682035">
        <w:rPr>
          <w:rStyle w:val="SCCCounselNameChar"/>
          <w:lang w:val="fr-CA"/>
        </w:rPr>
        <w:t xml:space="preserve"> </w:t>
      </w:r>
      <w:r w:rsidR="00682035" w:rsidRPr="00682035">
        <w:rPr>
          <w:rStyle w:val="SCCCounselNameChar"/>
          <w:i w:val="0"/>
          <w:lang w:val="fr-CA"/>
        </w:rPr>
        <w:t xml:space="preserve">et </w:t>
      </w:r>
      <w:r w:rsidR="00682035" w:rsidRPr="00682035">
        <w:rPr>
          <w:rStyle w:val="SCCCounselNameChar"/>
          <w:lang w:val="fr-CA"/>
        </w:rPr>
        <w:t>Matthew B. Day</w:t>
      </w:r>
      <w:r w:rsidRPr="00682035">
        <w:rPr>
          <w:rStyle w:val="SCCCounselPartyRoleChar"/>
          <w:lang w:val="fr-CA"/>
        </w:rPr>
        <w:t>, pour l</w:t>
      </w:r>
      <w:r w:rsidR="00682035" w:rsidRPr="00682035">
        <w:rPr>
          <w:rStyle w:val="SCCCounselPartyRoleChar"/>
          <w:lang w:val="fr-CA"/>
        </w:rPr>
        <w:t>’intimé</w:t>
      </w:r>
      <w:r w:rsidRPr="00682035">
        <w:rPr>
          <w:rStyle w:val="SCCCounselPartyRoleChar"/>
          <w:lang w:val="fr-CA"/>
        </w:rPr>
        <w:t>.</w:t>
      </w:r>
    </w:p>
    <w:p w:rsidR="00EF7F9C" w:rsidRPr="00682035" w:rsidRDefault="00EF7F9C">
      <w:pPr>
        <w:pStyle w:val="SCCNormalDoubleSpacing"/>
        <w:rPr>
          <w:lang w:val="fr-CA"/>
        </w:rPr>
      </w:pPr>
    </w:p>
    <w:p w:rsidR="00EF7F9C" w:rsidRPr="00682035" w:rsidRDefault="00825781">
      <w:pPr>
        <w:pStyle w:val="SCCNormalDoubleSpacing"/>
        <w:rPr>
          <w:lang w:val="fr-CA"/>
        </w:rPr>
      </w:pPr>
      <w:r w:rsidRPr="00682035">
        <w:rPr>
          <w:rStyle w:val="SCCCounselNameChar"/>
          <w:lang w:val="fr-CA"/>
        </w:rPr>
        <w:tab/>
        <w:t>Solomon Friedman</w:t>
      </w:r>
      <w:r w:rsidRPr="00682035">
        <w:rPr>
          <w:rStyle w:val="SCCCounselSeparatorChar"/>
          <w:lang w:val="fr-CA"/>
        </w:rPr>
        <w:t xml:space="preserve"> et </w:t>
      </w:r>
      <w:proofErr w:type="spellStart"/>
      <w:r w:rsidRPr="00682035">
        <w:rPr>
          <w:rStyle w:val="SCCCounselNameChar"/>
          <w:lang w:val="fr-CA"/>
        </w:rPr>
        <w:t>Meaghan</w:t>
      </w:r>
      <w:proofErr w:type="spellEnd"/>
      <w:r w:rsidRPr="00682035">
        <w:rPr>
          <w:rStyle w:val="SCCCounselNameChar"/>
          <w:lang w:val="fr-CA"/>
        </w:rPr>
        <w:t xml:space="preserve"> McMahon</w:t>
      </w:r>
      <w:r w:rsidRPr="00682035">
        <w:rPr>
          <w:rStyle w:val="SCCCounselPartyRoleChar"/>
          <w:lang w:val="fr-CA"/>
        </w:rPr>
        <w:t>, pour l</w:t>
      </w:r>
      <w:r w:rsidR="00682035" w:rsidRPr="00682035">
        <w:rPr>
          <w:rStyle w:val="SCCCounselPartyRoleChar"/>
          <w:lang w:val="fr-CA"/>
        </w:rPr>
        <w:t>’</w:t>
      </w:r>
      <w:r w:rsidR="00682035">
        <w:rPr>
          <w:rStyle w:val="SCCCounselPartyRoleChar"/>
          <w:lang w:val="fr-CA"/>
        </w:rPr>
        <w:t>intervenant</w:t>
      </w:r>
      <w:r w:rsidR="00682035" w:rsidRPr="00682035">
        <w:rPr>
          <w:rStyle w:val="SCCCounselPartyRoleChar"/>
          <w:lang w:val="fr-CA"/>
        </w:rPr>
        <w:t>e</w:t>
      </w:r>
      <w:r w:rsidRPr="00682035">
        <w:rPr>
          <w:rStyle w:val="SCCCounselPartyRoleChar"/>
          <w:lang w:val="fr-CA"/>
        </w:rPr>
        <w:t>.</w:t>
      </w:r>
    </w:p>
    <w:p w:rsidR="00EF7F9C" w:rsidRDefault="00EF7F9C">
      <w:pPr>
        <w:pStyle w:val="SCCNormalDoubleSpacing"/>
        <w:rPr>
          <w:lang w:val="fr-CA"/>
        </w:rPr>
      </w:pPr>
    </w:p>
    <w:p w:rsidR="008B0CCB" w:rsidRDefault="008B0CCB" w:rsidP="008B0CCB">
      <w:pPr>
        <w:pStyle w:val="SCCNormalDoubleSpacing"/>
        <w:rPr>
          <w:lang w:val="fr-CA"/>
        </w:rPr>
      </w:pPr>
      <w:r>
        <w:rPr>
          <w:lang w:val="fr-CA"/>
        </w:rPr>
        <w:tab/>
        <w:t xml:space="preserve">Version française du jugement </w:t>
      </w:r>
      <w:r w:rsidR="00B43C72">
        <w:rPr>
          <w:lang w:val="fr-CA"/>
        </w:rPr>
        <w:t xml:space="preserve">de la Cour </w:t>
      </w:r>
      <w:r>
        <w:rPr>
          <w:lang w:val="fr-CA"/>
        </w:rPr>
        <w:t>rendu oralement par</w:t>
      </w:r>
    </w:p>
    <w:p w:rsidR="008B0CCB" w:rsidRPr="004D7D95" w:rsidRDefault="008B0CCB" w:rsidP="008B0CCB">
      <w:pPr>
        <w:pStyle w:val="SCCNormalDoubleSpacing"/>
        <w:rPr>
          <w:lang w:val="fr-CA"/>
        </w:rPr>
      </w:pPr>
    </w:p>
    <w:p w:rsidR="008B0CCB" w:rsidRPr="008E06B1" w:rsidRDefault="008B0CCB" w:rsidP="008E06B1">
      <w:pPr>
        <w:pStyle w:val="SCCLawFirm"/>
        <w:numPr>
          <w:ilvl w:val="0"/>
          <w:numId w:val="1"/>
        </w:numPr>
        <w:ind w:left="0" w:firstLine="0"/>
        <w:rPr>
          <w:i w:val="0"/>
          <w:lang w:val="fr-CA"/>
        </w:rPr>
      </w:pPr>
      <w:r w:rsidRPr="008E06B1">
        <w:rPr>
          <w:i w:val="0"/>
          <w:smallCaps/>
          <w:lang w:val="fr-CA"/>
        </w:rPr>
        <w:t>La juge Abella</w:t>
      </w:r>
      <w:r w:rsidRPr="008E06B1">
        <w:rPr>
          <w:i w:val="0"/>
          <w:lang w:val="fr-CA"/>
        </w:rPr>
        <w:t xml:space="preserve"> —</w:t>
      </w:r>
      <w:r w:rsidR="008E06B1">
        <w:rPr>
          <w:i w:val="0"/>
          <w:lang w:val="fr-CA"/>
        </w:rPr>
        <w:t xml:space="preserve"> </w:t>
      </w:r>
      <w:r w:rsidRPr="008E06B1">
        <w:rPr>
          <w:i w:val="0"/>
          <w:lang w:val="fr-CA"/>
        </w:rPr>
        <w:t xml:space="preserve">Nous sommes tous d’avis que le défaut d’une personne de comparaître à son procès n’est pas présumé constituer un comportement après le fait. L’admissibilité d’un tel élément de </w:t>
      </w:r>
      <w:r w:rsidR="00F21B23">
        <w:rPr>
          <w:i w:val="0"/>
          <w:lang w:val="fr-CA"/>
        </w:rPr>
        <w:t xml:space="preserve">preuve doit être évaluée au cas par </w:t>
      </w:r>
      <w:r w:rsidRPr="008E06B1">
        <w:rPr>
          <w:i w:val="0"/>
          <w:lang w:val="fr-CA"/>
        </w:rPr>
        <w:t>cas.</w:t>
      </w:r>
    </w:p>
    <w:p w:rsidR="008B0CCB" w:rsidRPr="00044728" w:rsidRDefault="008B0CCB" w:rsidP="008B0CCB">
      <w:pPr>
        <w:spacing w:line="480" w:lineRule="auto"/>
        <w:jc w:val="both"/>
        <w:rPr>
          <w:lang w:val="fr-CA"/>
        </w:rPr>
      </w:pPr>
    </w:p>
    <w:p w:rsidR="008B0CCB" w:rsidRPr="007B1120" w:rsidRDefault="008B0CCB" w:rsidP="007B1120">
      <w:pPr>
        <w:pStyle w:val="SCCLawFirm"/>
        <w:numPr>
          <w:ilvl w:val="0"/>
          <w:numId w:val="1"/>
        </w:numPr>
        <w:ind w:left="0" w:firstLine="0"/>
        <w:rPr>
          <w:i w:val="0"/>
          <w:lang w:val="fr-CA"/>
        </w:rPr>
      </w:pPr>
      <w:r w:rsidRPr="007B1120">
        <w:rPr>
          <w:i w:val="0"/>
          <w:lang w:val="fr-CA"/>
        </w:rPr>
        <w:t>Toutefois, la majorité estime que l’appel devrait être accueilli, essentiellement pour les motifs du juge Huscroft. La juge Karakatsanis et moi rejetterions l’appel pour les motifs exposés par le juge Nordheimer</w:t>
      </w:r>
      <w:r w:rsidR="007B1120" w:rsidRPr="007B1120">
        <w:rPr>
          <w:i w:val="0"/>
          <w:lang w:val="fr-CA"/>
        </w:rPr>
        <w:t>.</w:t>
      </w:r>
    </w:p>
    <w:p w:rsidR="008B0CCB" w:rsidRPr="00044728" w:rsidRDefault="008B0CCB" w:rsidP="008B0CCB">
      <w:pPr>
        <w:spacing w:line="480" w:lineRule="auto"/>
        <w:jc w:val="both"/>
        <w:rPr>
          <w:lang w:val="fr-CA"/>
        </w:rPr>
      </w:pPr>
    </w:p>
    <w:p w:rsidR="008B0CCB" w:rsidRDefault="008B0CCB" w:rsidP="008B0CCB">
      <w:pPr>
        <w:pStyle w:val="SCCNormalDoubleSpacing"/>
        <w:numPr>
          <w:ilvl w:val="0"/>
          <w:numId w:val="1"/>
        </w:numPr>
        <w:ind w:left="0" w:firstLine="0"/>
        <w:rPr>
          <w:smallCaps/>
          <w:lang w:val="fr-CA"/>
        </w:rPr>
      </w:pPr>
      <w:r w:rsidRPr="002F56CA">
        <w:rPr>
          <w:lang w:val="fr-CA"/>
        </w:rPr>
        <w:t xml:space="preserve">L’appel est par conséquent accueilli </w:t>
      </w:r>
      <w:r w:rsidRPr="002F56CA">
        <w:rPr>
          <w:szCs w:val="24"/>
          <w:lang w:val="fr-CA"/>
        </w:rPr>
        <w:t>et les déclarations de culpabilité sont rétablies.</w:t>
      </w:r>
    </w:p>
    <w:p w:rsidR="008B0CCB" w:rsidRDefault="008B0CCB" w:rsidP="008B0CCB">
      <w:pPr>
        <w:pStyle w:val="SCCNormalDoubleSpacing"/>
        <w:rPr>
          <w:smallCaps/>
          <w:lang w:val="fr-CA"/>
        </w:rPr>
      </w:pPr>
    </w:p>
    <w:p w:rsidR="004D7D95" w:rsidRDefault="004D7D95" w:rsidP="004D7D95">
      <w:pPr>
        <w:pStyle w:val="SCCNormalDoubleSpacing"/>
        <w:rPr>
          <w:smallCaps/>
          <w:lang w:val="fr-CA"/>
        </w:rPr>
      </w:pPr>
      <w:r w:rsidRPr="00BC6C4E">
        <w:rPr>
          <w:lang w:val="fr-CA"/>
        </w:rPr>
        <w:tab/>
      </w:r>
      <w:r w:rsidR="00D642F1">
        <w:rPr>
          <w:i/>
          <w:lang w:val="fr-CA"/>
        </w:rPr>
        <w:t>Jugement en conséquence.</w:t>
      </w:r>
      <w:r w:rsidR="008B0CCB">
        <w:rPr>
          <w:i/>
          <w:lang w:val="fr-CA"/>
        </w:rPr>
        <w:t xml:space="preserve"> </w:t>
      </w:r>
    </w:p>
    <w:p w:rsidR="00D642F1" w:rsidRPr="00825781" w:rsidRDefault="00D642F1" w:rsidP="004D7D95">
      <w:pPr>
        <w:pStyle w:val="SCCNormalDoubleSpacing"/>
        <w:rPr>
          <w:lang w:val="fr-CA"/>
        </w:rPr>
      </w:pPr>
    </w:p>
    <w:p w:rsidR="00EF7F9C" w:rsidRPr="008B0CCB" w:rsidRDefault="00825781">
      <w:pPr>
        <w:pStyle w:val="SCCLawFirm"/>
        <w:rPr>
          <w:lang w:val="fr-CA"/>
        </w:rPr>
      </w:pPr>
      <w:r w:rsidRPr="00825781">
        <w:rPr>
          <w:lang w:val="fr-CA"/>
        </w:rPr>
        <w:tab/>
      </w:r>
      <w:r w:rsidR="008B0CCB" w:rsidRPr="008B0CCB">
        <w:rPr>
          <w:lang w:val="fr-CA"/>
        </w:rPr>
        <w:t>Procureur</w:t>
      </w:r>
      <w:r w:rsidRPr="008B0CCB">
        <w:rPr>
          <w:lang w:val="fr-CA"/>
        </w:rPr>
        <w:t xml:space="preserve"> de l</w:t>
      </w:r>
      <w:r w:rsidR="00682035" w:rsidRPr="008B0CCB">
        <w:rPr>
          <w:lang w:val="fr-CA"/>
        </w:rPr>
        <w:t>’</w:t>
      </w:r>
      <w:r w:rsidR="008B0CCB" w:rsidRPr="008B0CCB">
        <w:rPr>
          <w:lang w:val="fr-CA"/>
        </w:rPr>
        <w:t>appelante</w:t>
      </w:r>
      <w:r w:rsidRPr="008B0CCB">
        <w:rPr>
          <w:lang w:val="fr-CA"/>
        </w:rPr>
        <w:t xml:space="preserve"> : </w:t>
      </w:r>
      <w:r w:rsidR="008B0CCB" w:rsidRPr="008B0CCB">
        <w:rPr>
          <w:lang w:val="fr-CA"/>
        </w:rPr>
        <w:t>Procureure générale de l’Ontario</w:t>
      </w:r>
      <w:r w:rsidRPr="008B0CCB">
        <w:rPr>
          <w:lang w:val="fr-CA"/>
        </w:rPr>
        <w:t>, Toronto.</w:t>
      </w:r>
    </w:p>
    <w:p w:rsidR="00EF7F9C" w:rsidRPr="008B0CCB" w:rsidRDefault="00EF7F9C">
      <w:pPr>
        <w:pStyle w:val="SCCLawFirm"/>
        <w:rPr>
          <w:lang w:val="fr-CA"/>
        </w:rPr>
      </w:pPr>
    </w:p>
    <w:p w:rsidR="00EF7F9C" w:rsidRPr="008B0CCB" w:rsidRDefault="00825781">
      <w:pPr>
        <w:pStyle w:val="SCCLawFirm"/>
        <w:rPr>
          <w:lang w:val="fr-CA"/>
        </w:rPr>
      </w:pPr>
      <w:r w:rsidRPr="008B0CCB">
        <w:rPr>
          <w:lang w:val="fr-CA"/>
        </w:rPr>
        <w:tab/>
      </w:r>
      <w:r w:rsidR="008B0CCB" w:rsidRPr="008B0CCB">
        <w:rPr>
          <w:lang w:val="fr-CA"/>
        </w:rPr>
        <w:t>Procureurs</w:t>
      </w:r>
      <w:r w:rsidRPr="008B0CCB">
        <w:rPr>
          <w:lang w:val="fr-CA"/>
        </w:rPr>
        <w:t xml:space="preserve"> de l</w:t>
      </w:r>
      <w:r w:rsidR="00682035" w:rsidRPr="008B0CCB">
        <w:rPr>
          <w:lang w:val="fr-CA"/>
        </w:rPr>
        <w:t>’</w:t>
      </w:r>
      <w:r w:rsidRPr="008B0CCB">
        <w:rPr>
          <w:lang w:val="fr-CA"/>
        </w:rPr>
        <w:t xml:space="preserve">intimé : </w:t>
      </w:r>
      <w:r w:rsidR="008B0CCB" w:rsidRPr="008B0CCB">
        <w:rPr>
          <w:lang w:val="fr-CA"/>
        </w:rPr>
        <w:t xml:space="preserve">Shore Johnston </w:t>
      </w:r>
      <w:proofErr w:type="spellStart"/>
      <w:r w:rsidR="008B0CCB" w:rsidRPr="008B0CCB">
        <w:rPr>
          <w:lang w:val="fr-CA"/>
        </w:rPr>
        <w:t>Hyslop</w:t>
      </w:r>
      <w:proofErr w:type="spellEnd"/>
      <w:r w:rsidR="008B0CCB" w:rsidRPr="008B0CCB">
        <w:rPr>
          <w:lang w:val="fr-CA"/>
        </w:rPr>
        <w:t xml:space="preserve"> Day</w:t>
      </w:r>
      <w:r w:rsidRPr="008B0CCB">
        <w:rPr>
          <w:lang w:val="fr-CA"/>
        </w:rPr>
        <w:t>, Ottawa.</w:t>
      </w:r>
    </w:p>
    <w:p w:rsidR="00EF7F9C" w:rsidRPr="008B0CCB" w:rsidRDefault="00EF7F9C">
      <w:pPr>
        <w:pStyle w:val="SCCLawFirm"/>
        <w:rPr>
          <w:lang w:val="fr-CA"/>
        </w:rPr>
      </w:pPr>
    </w:p>
    <w:p w:rsidR="00EF7F9C" w:rsidRPr="008B0CCB" w:rsidRDefault="00825781">
      <w:pPr>
        <w:pStyle w:val="SCCLawFirm"/>
        <w:rPr>
          <w:lang w:val="fr-CA"/>
        </w:rPr>
      </w:pPr>
      <w:r w:rsidRPr="008B0CCB">
        <w:rPr>
          <w:lang w:val="fr-CA"/>
        </w:rPr>
        <w:tab/>
      </w:r>
      <w:r w:rsidR="008B0CCB" w:rsidRPr="008B0CCB">
        <w:rPr>
          <w:lang w:val="fr-CA"/>
        </w:rPr>
        <w:t>Proc</w:t>
      </w:r>
      <w:r w:rsidR="008B0CCB">
        <w:rPr>
          <w:lang w:val="fr-CA"/>
        </w:rPr>
        <w:t>ureur</w:t>
      </w:r>
      <w:r w:rsidR="008B0CCB" w:rsidRPr="008B0CCB">
        <w:rPr>
          <w:lang w:val="fr-CA"/>
        </w:rPr>
        <w:t>s</w:t>
      </w:r>
      <w:r w:rsidRPr="008B0CCB">
        <w:rPr>
          <w:lang w:val="fr-CA"/>
        </w:rPr>
        <w:t xml:space="preserve"> de l</w:t>
      </w:r>
      <w:r w:rsidR="00682035" w:rsidRPr="008B0CCB">
        <w:rPr>
          <w:lang w:val="fr-CA"/>
        </w:rPr>
        <w:t>’</w:t>
      </w:r>
      <w:r w:rsidR="008B0CCB">
        <w:rPr>
          <w:lang w:val="fr-CA"/>
        </w:rPr>
        <w:t>intervenante</w:t>
      </w:r>
      <w:r w:rsidR="00E30E63">
        <w:rPr>
          <w:lang w:val="fr-CA"/>
        </w:rPr>
        <w:t> </w:t>
      </w:r>
      <w:r w:rsidR="008B0CCB">
        <w:rPr>
          <w:lang w:val="fr-CA"/>
        </w:rPr>
        <w:t xml:space="preserve">: </w:t>
      </w:r>
      <w:proofErr w:type="spellStart"/>
      <w:r w:rsidR="008B0CCB">
        <w:rPr>
          <w:lang w:val="fr-CA"/>
        </w:rPr>
        <w:t>Edelson</w:t>
      </w:r>
      <w:proofErr w:type="spellEnd"/>
      <w:r w:rsidR="008B0CCB">
        <w:rPr>
          <w:lang w:val="fr-CA"/>
        </w:rPr>
        <w:t xml:space="preserve"> &amp; Friedman</w:t>
      </w:r>
      <w:r w:rsidRPr="008B0CCB">
        <w:rPr>
          <w:lang w:val="fr-CA"/>
        </w:rPr>
        <w:t>, Ottawa.</w:t>
      </w:r>
    </w:p>
    <w:sectPr w:rsidR="00EF7F9C" w:rsidRPr="008B0CCB" w:rsidSect="000648CC">
      <w:headerReference w:type="default" r:id="rId9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AD" w:rsidRDefault="00AC1CAD">
      <w:r>
        <w:separator/>
      </w:r>
    </w:p>
  </w:endnote>
  <w:endnote w:type="continuationSeparator" w:id="0">
    <w:p w:rsidR="00AC1CAD" w:rsidRDefault="00AC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AD" w:rsidRDefault="00AC1CAD">
      <w:r>
        <w:separator/>
      </w:r>
    </w:p>
  </w:footnote>
  <w:footnote w:type="continuationSeparator" w:id="0">
    <w:p w:rsidR="00AC1CAD" w:rsidRDefault="00AC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ADE"/>
    <w:multiLevelType w:val="hybridMultilevel"/>
    <w:tmpl w:val="C0D0A732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578A3"/>
    <w:rsid w:val="000648CC"/>
    <w:rsid w:val="000C59B8"/>
    <w:rsid w:val="000C6AF0"/>
    <w:rsid w:val="000D0A77"/>
    <w:rsid w:val="000F7993"/>
    <w:rsid w:val="00101029"/>
    <w:rsid w:val="00104F33"/>
    <w:rsid w:val="00111DE2"/>
    <w:rsid w:val="00116B38"/>
    <w:rsid w:val="00123BCE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846B8"/>
    <w:rsid w:val="00195D83"/>
    <w:rsid w:val="001A00C1"/>
    <w:rsid w:val="001B33E0"/>
    <w:rsid w:val="001B4573"/>
    <w:rsid w:val="001C779F"/>
    <w:rsid w:val="001D2AC1"/>
    <w:rsid w:val="001D4E88"/>
    <w:rsid w:val="001E1BB1"/>
    <w:rsid w:val="00220FC2"/>
    <w:rsid w:val="002222F4"/>
    <w:rsid w:val="00224FC0"/>
    <w:rsid w:val="00225EA4"/>
    <w:rsid w:val="00226EAF"/>
    <w:rsid w:val="00231F3A"/>
    <w:rsid w:val="002406EE"/>
    <w:rsid w:val="00243EC8"/>
    <w:rsid w:val="002457B5"/>
    <w:rsid w:val="00270D93"/>
    <w:rsid w:val="002745CC"/>
    <w:rsid w:val="002B6FBE"/>
    <w:rsid w:val="002B7924"/>
    <w:rsid w:val="002C10A6"/>
    <w:rsid w:val="002C2043"/>
    <w:rsid w:val="002D28C3"/>
    <w:rsid w:val="002D39A4"/>
    <w:rsid w:val="002E6705"/>
    <w:rsid w:val="0030329A"/>
    <w:rsid w:val="00307BF2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43C7"/>
    <w:rsid w:val="004D7D95"/>
    <w:rsid w:val="004E2C26"/>
    <w:rsid w:val="005125A8"/>
    <w:rsid w:val="00517549"/>
    <w:rsid w:val="00520ABC"/>
    <w:rsid w:val="00521AE8"/>
    <w:rsid w:val="00527180"/>
    <w:rsid w:val="00555291"/>
    <w:rsid w:val="00566AD1"/>
    <w:rsid w:val="00583EDE"/>
    <w:rsid w:val="005A6079"/>
    <w:rsid w:val="005C3932"/>
    <w:rsid w:val="005E4698"/>
    <w:rsid w:val="00603924"/>
    <w:rsid w:val="00610539"/>
    <w:rsid w:val="00613969"/>
    <w:rsid w:val="00625C35"/>
    <w:rsid w:val="00647E49"/>
    <w:rsid w:val="00656313"/>
    <w:rsid w:val="006565F4"/>
    <w:rsid w:val="00671E8B"/>
    <w:rsid w:val="00682035"/>
    <w:rsid w:val="00684EEA"/>
    <w:rsid w:val="0069689B"/>
    <w:rsid w:val="006B5FF5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808CF"/>
    <w:rsid w:val="00791272"/>
    <w:rsid w:val="007A05F6"/>
    <w:rsid w:val="007A5FC1"/>
    <w:rsid w:val="007B1120"/>
    <w:rsid w:val="007B6F4A"/>
    <w:rsid w:val="007E1C47"/>
    <w:rsid w:val="007E337A"/>
    <w:rsid w:val="007E5C70"/>
    <w:rsid w:val="007F2FF5"/>
    <w:rsid w:val="007F3F08"/>
    <w:rsid w:val="00804CC6"/>
    <w:rsid w:val="00817190"/>
    <w:rsid w:val="00825781"/>
    <w:rsid w:val="008260E2"/>
    <w:rsid w:val="008322BD"/>
    <w:rsid w:val="00834F73"/>
    <w:rsid w:val="00864C8A"/>
    <w:rsid w:val="00864CF8"/>
    <w:rsid w:val="00874914"/>
    <w:rsid w:val="00891422"/>
    <w:rsid w:val="00892E1A"/>
    <w:rsid w:val="008A5636"/>
    <w:rsid w:val="008B0CCB"/>
    <w:rsid w:val="008B660A"/>
    <w:rsid w:val="008C01DA"/>
    <w:rsid w:val="008E06B1"/>
    <w:rsid w:val="008F2674"/>
    <w:rsid w:val="008F293C"/>
    <w:rsid w:val="008F78E9"/>
    <w:rsid w:val="009179F9"/>
    <w:rsid w:val="00917C7A"/>
    <w:rsid w:val="00933E5E"/>
    <w:rsid w:val="009346AD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30051"/>
    <w:rsid w:val="00A41805"/>
    <w:rsid w:val="00A51882"/>
    <w:rsid w:val="00A52AFB"/>
    <w:rsid w:val="00A548CB"/>
    <w:rsid w:val="00A5521C"/>
    <w:rsid w:val="00A643E7"/>
    <w:rsid w:val="00A73C38"/>
    <w:rsid w:val="00A921A7"/>
    <w:rsid w:val="00AB670D"/>
    <w:rsid w:val="00AC1CAD"/>
    <w:rsid w:val="00AF03C5"/>
    <w:rsid w:val="00AF2320"/>
    <w:rsid w:val="00B000D8"/>
    <w:rsid w:val="00B00F75"/>
    <w:rsid w:val="00B145B6"/>
    <w:rsid w:val="00B279EB"/>
    <w:rsid w:val="00B43C72"/>
    <w:rsid w:val="00B50C81"/>
    <w:rsid w:val="00B557F8"/>
    <w:rsid w:val="00B815FC"/>
    <w:rsid w:val="00B93FBC"/>
    <w:rsid w:val="00BA7DA0"/>
    <w:rsid w:val="00BB2EE4"/>
    <w:rsid w:val="00BB4C92"/>
    <w:rsid w:val="00BC2108"/>
    <w:rsid w:val="00BC6C4E"/>
    <w:rsid w:val="00BD0E9E"/>
    <w:rsid w:val="00BD1BEC"/>
    <w:rsid w:val="00BD32FF"/>
    <w:rsid w:val="00BE394A"/>
    <w:rsid w:val="00BF6FE9"/>
    <w:rsid w:val="00C02092"/>
    <w:rsid w:val="00C24D91"/>
    <w:rsid w:val="00C26DB2"/>
    <w:rsid w:val="00C53F14"/>
    <w:rsid w:val="00C562EA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51648"/>
    <w:rsid w:val="00D63A1C"/>
    <w:rsid w:val="00D642F1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DF5A23"/>
    <w:rsid w:val="00E07EE2"/>
    <w:rsid w:val="00E07FD1"/>
    <w:rsid w:val="00E24573"/>
    <w:rsid w:val="00E25E1E"/>
    <w:rsid w:val="00E27EE7"/>
    <w:rsid w:val="00E30E63"/>
    <w:rsid w:val="00E35404"/>
    <w:rsid w:val="00E40ED8"/>
    <w:rsid w:val="00E45109"/>
    <w:rsid w:val="00E47B7A"/>
    <w:rsid w:val="00E56A44"/>
    <w:rsid w:val="00E60269"/>
    <w:rsid w:val="00E837D1"/>
    <w:rsid w:val="00E97830"/>
    <w:rsid w:val="00EE0830"/>
    <w:rsid w:val="00EE6CB8"/>
    <w:rsid w:val="00EF0683"/>
    <w:rsid w:val="00EF7F9C"/>
    <w:rsid w:val="00F0070C"/>
    <w:rsid w:val="00F00EB7"/>
    <w:rsid w:val="00F21B23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styleId="ListParagraph">
    <w:name w:val="List Paragraph"/>
    <w:basedOn w:val="Normal"/>
    <w:uiPriority w:val="34"/>
    <w:qFormat/>
    <w:rsid w:val="008B0C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457B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457B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4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2021-02-27T23:02:00Z</dcterms:created>
  <dcterms:modified xsi:type="dcterms:W3CDTF">2021-03-01T18:26:00Z</dcterms:modified>
</cp:coreProperties>
</file>