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8C8" w:rsidRPr="001228C8" w:rsidRDefault="001228C8" w:rsidP="00083B69">
      <w:pPr>
        <w:tabs>
          <w:tab w:val="center" w:pos="4680"/>
          <w:tab w:val="right" w:pos="9360"/>
        </w:tabs>
        <w:jc w:val="center"/>
        <w:rPr>
          <w:rFonts w:eastAsia="Calibri"/>
          <w:szCs w:val="24"/>
          <w:lang w:val="fr-CA" w:eastAsia="en-US"/>
        </w:rPr>
      </w:pPr>
      <w:r w:rsidRPr="001228C8">
        <w:rPr>
          <w:rFonts w:eastAsia="Calibri"/>
          <w:szCs w:val="24"/>
          <w:lang w:val="fr-CA" w:eastAsia="en-US"/>
        </w:rPr>
        <w:ptab w:relativeTo="margin" w:alignment="center" w:leader="none"/>
      </w:r>
      <w:r w:rsidRPr="001228C8">
        <w:rPr>
          <w:rFonts w:eastAsia="Calibri"/>
          <w:szCs w:val="24"/>
          <w:lang w:val="fr-CA" w:eastAsia="en-US"/>
        </w:rPr>
        <w:t xml:space="preserve"> </w:t>
      </w:r>
      <w:r w:rsidRPr="001228C8">
        <w:rPr>
          <w:rFonts w:eastAsia="Calibri"/>
          <w:szCs w:val="24"/>
          <w:lang w:val="fr-CA" w:eastAsia="en-US"/>
        </w:rP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64.5pt" o:ole="">
            <v:imagedata r:id="rId7" o:title=""/>
          </v:shape>
          <o:OLEObject Type="Embed" ProgID="Presentations.Drawing.13" ShapeID="_x0000_i1025" DrawAspect="Content" ObjectID="_1676110642" r:id="rId8"/>
        </w:object>
      </w:r>
      <w:r w:rsidRPr="001228C8">
        <w:rPr>
          <w:rFonts w:eastAsia="Calibri"/>
          <w:szCs w:val="24"/>
          <w:lang w:val="fr-CA" w:eastAsia="en-US"/>
        </w:rPr>
        <w:t xml:space="preserve"> </w:t>
      </w:r>
      <w:r w:rsidRPr="001228C8">
        <w:rPr>
          <w:rFonts w:eastAsia="Calibri"/>
          <w:szCs w:val="24"/>
          <w:lang w:val="fr-CA" w:eastAsia="en-US"/>
        </w:rPr>
        <w:ptab w:relativeTo="margin" w:alignment="right" w:leader="none"/>
      </w:r>
    </w:p>
    <w:p w:rsidR="001228C8" w:rsidRPr="001228C8" w:rsidRDefault="001228C8" w:rsidP="001228C8">
      <w:pPr>
        <w:tabs>
          <w:tab w:val="center" w:pos="4680"/>
          <w:tab w:val="right" w:pos="9360"/>
        </w:tabs>
        <w:rPr>
          <w:rFonts w:eastAsia="Calibri"/>
          <w:szCs w:val="24"/>
          <w:lang w:val="fr-CA" w:eastAsia="en-US"/>
        </w:rPr>
      </w:pPr>
    </w:p>
    <w:p w:rsidR="001228C8" w:rsidRPr="001228C8" w:rsidRDefault="001228C8" w:rsidP="001228C8">
      <w:pPr>
        <w:jc w:val="center"/>
        <w:rPr>
          <w:rFonts w:eastAsia="Calibri"/>
          <w:b/>
          <w:szCs w:val="24"/>
          <w:lang w:val="fr-CA" w:eastAsia="en-US"/>
        </w:rPr>
      </w:pPr>
      <w:r w:rsidRPr="001228C8">
        <w:rPr>
          <w:rFonts w:eastAsia="Calibri"/>
          <w:b/>
          <w:szCs w:val="24"/>
          <w:lang w:val="fr-CA" w:eastAsia="en-US"/>
        </w:rPr>
        <w:t>COUR SUPRÊME DU CANADA</w:t>
      </w:r>
    </w:p>
    <w:p w:rsidR="001228C8" w:rsidRPr="001228C8" w:rsidRDefault="001228C8" w:rsidP="001228C8">
      <w:pPr>
        <w:rPr>
          <w:rFonts w:eastAsia="Calibri"/>
          <w:szCs w:val="24"/>
          <w:lang w:val="fr-CA" w:eastAsia="en-US"/>
        </w:rPr>
      </w:pPr>
    </w:p>
    <w:tbl>
      <w:tblPr>
        <w:tblStyle w:val="TableGrid11"/>
        <w:tblW w:w="533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763"/>
        <w:gridCol w:w="1757"/>
        <w:gridCol w:w="3318"/>
      </w:tblGrid>
      <w:tr w:rsidR="001228C8" w:rsidRPr="001228C8" w:rsidTr="00695EFF">
        <w:tc>
          <w:tcPr>
            <w:tcW w:w="2129" w:type="pct"/>
            <w:tcMar>
              <w:top w:w="284" w:type="dxa"/>
            </w:tcMar>
          </w:tcPr>
          <w:p w:rsidR="001228C8" w:rsidRPr="001228C8" w:rsidRDefault="001228C8" w:rsidP="001228C8">
            <w:pPr>
              <w:spacing w:before="100" w:beforeAutospacing="1"/>
              <w:rPr>
                <w:rFonts w:eastAsia="Calibri"/>
                <w:szCs w:val="24"/>
                <w:lang w:val="fr-CA"/>
              </w:rPr>
            </w:pPr>
            <w:r w:rsidRPr="001228C8">
              <w:rPr>
                <w:b/>
                <w:smallCaps/>
                <w:szCs w:val="24"/>
                <w:lang w:val="fr-CA"/>
              </w:rPr>
              <w:t>Référence :</w:t>
            </w:r>
            <w:r w:rsidRPr="001228C8">
              <w:rPr>
                <w:szCs w:val="24"/>
                <w:lang w:val="fr-CA"/>
              </w:rPr>
              <w:t xml:space="preserve"> </w:t>
            </w:r>
            <w:r w:rsidRPr="001228C8">
              <w:rPr>
                <w:rFonts w:eastAsia="Calibri"/>
                <w:lang w:val="fr-CA"/>
              </w:rPr>
              <w:t xml:space="preserve">R. </w:t>
            </w:r>
            <w:r w:rsidRPr="001228C8">
              <w:rPr>
                <w:rFonts w:eastAsia="Calibri"/>
                <w:i/>
                <w:lang w:val="fr-CA"/>
              </w:rPr>
              <w:t>c</w:t>
            </w:r>
            <w:r w:rsidRPr="001228C8">
              <w:rPr>
                <w:rFonts w:eastAsia="Calibri"/>
                <w:lang w:val="fr-CA"/>
              </w:rPr>
              <w:t>. Larue,</w:t>
            </w:r>
            <w:r w:rsidRPr="001228C8">
              <w:rPr>
                <w:rFonts w:eastAsia="Calibri"/>
                <w:smallCaps/>
                <w:lang w:val="fr-CA"/>
              </w:rPr>
              <w:t xml:space="preserve"> </w:t>
            </w:r>
            <w:r w:rsidRPr="001228C8">
              <w:rPr>
                <w:smallCaps/>
                <w:szCs w:val="24"/>
                <w:lang w:val="fr-CA"/>
              </w:rPr>
              <w:t>2019 CSC 25, [2019] 2 R.C.S. 398</w:t>
            </w:r>
            <w:bookmarkStart w:id="0" w:name="_GoBack"/>
            <w:bookmarkEnd w:id="0"/>
          </w:p>
        </w:tc>
        <w:tc>
          <w:tcPr>
            <w:tcW w:w="994" w:type="pct"/>
          </w:tcPr>
          <w:p w:rsidR="001228C8" w:rsidRPr="001228C8" w:rsidRDefault="001228C8" w:rsidP="001228C8">
            <w:pPr>
              <w:rPr>
                <w:b/>
                <w:smallCaps/>
                <w:szCs w:val="24"/>
                <w:lang w:val="fr-CA"/>
              </w:rPr>
            </w:pPr>
          </w:p>
        </w:tc>
        <w:tc>
          <w:tcPr>
            <w:tcW w:w="1877" w:type="pct"/>
            <w:tcMar>
              <w:top w:w="284" w:type="dxa"/>
            </w:tcMar>
          </w:tcPr>
          <w:p w:rsidR="001228C8" w:rsidRPr="001228C8" w:rsidRDefault="001228C8" w:rsidP="001228C8">
            <w:pPr>
              <w:rPr>
                <w:szCs w:val="24"/>
                <w:lang w:val="fr-CA"/>
              </w:rPr>
            </w:pPr>
            <w:r w:rsidRPr="001228C8">
              <w:rPr>
                <w:b/>
                <w:smallCaps/>
                <w:szCs w:val="24"/>
                <w:lang w:val="fr-CA"/>
              </w:rPr>
              <w:t>Appel entendu :</w:t>
            </w:r>
            <w:r w:rsidRPr="001228C8">
              <w:rPr>
                <w:szCs w:val="24"/>
                <w:lang w:val="fr-CA"/>
              </w:rPr>
              <w:t xml:space="preserve"> 23 avril 2019</w:t>
            </w:r>
          </w:p>
          <w:p w:rsidR="001228C8" w:rsidRPr="001228C8" w:rsidRDefault="001228C8" w:rsidP="001228C8">
            <w:pPr>
              <w:rPr>
                <w:b/>
                <w:smallCaps/>
                <w:szCs w:val="24"/>
                <w:lang w:val="fr-CA"/>
              </w:rPr>
            </w:pPr>
            <w:r w:rsidRPr="001228C8">
              <w:rPr>
                <w:b/>
                <w:smallCaps/>
                <w:szCs w:val="24"/>
                <w:lang w:val="fr-CA"/>
              </w:rPr>
              <w:t xml:space="preserve">Jugement rendu : </w:t>
            </w:r>
            <w:r w:rsidRPr="001228C8">
              <w:rPr>
                <w:szCs w:val="24"/>
                <w:lang w:val="fr-CA"/>
              </w:rPr>
              <w:t>23 avril 2019</w:t>
            </w:r>
          </w:p>
          <w:p w:rsidR="001228C8" w:rsidRPr="001228C8" w:rsidRDefault="001228C8" w:rsidP="001228C8">
            <w:pPr>
              <w:rPr>
                <w:rFonts w:eastAsia="Calibri"/>
                <w:szCs w:val="24"/>
                <w:lang w:val="fr-CA"/>
              </w:rPr>
            </w:pPr>
            <w:r w:rsidRPr="001228C8">
              <w:rPr>
                <w:b/>
                <w:smallCaps/>
                <w:szCs w:val="24"/>
                <w:lang w:val="fr-CA"/>
              </w:rPr>
              <w:t>Dossier :</w:t>
            </w:r>
            <w:r w:rsidRPr="001228C8">
              <w:rPr>
                <w:szCs w:val="24"/>
                <w:lang w:val="fr-CA"/>
              </w:rPr>
              <w:t xml:space="preserve"> 38224</w:t>
            </w:r>
          </w:p>
        </w:tc>
      </w:tr>
    </w:tbl>
    <w:p w:rsidR="001228C8" w:rsidRPr="001228C8" w:rsidRDefault="001228C8" w:rsidP="001228C8">
      <w:pPr>
        <w:rPr>
          <w:rFonts w:eastAsia="Calibri"/>
          <w:b/>
          <w:smallCaps/>
          <w:szCs w:val="24"/>
          <w:lang w:val="fr-CA" w:eastAsia="en-US"/>
        </w:rPr>
      </w:pPr>
    </w:p>
    <w:p w:rsidR="001228C8" w:rsidRPr="001228C8" w:rsidRDefault="001228C8" w:rsidP="001228C8">
      <w:pPr>
        <w:rPr>
          <w:rFonts w:eastAsia="Calibri"/>
          <w:b/>
          <w:smallCaps/>
          <w:szCs w:val="24"/>
          <w:lang w:val="fr-CA" w:eastAsia="en-US"/>
        </w:rPr>
      </w:pPr>
    </w:p>
    <w:p w:rsidR="001228C8" w:rsidRPr="001228C8" w:rsidRDefault="001228C8" w:rsidP="001228C8">
      <w:pPr>
        <w:rPr>
          <w:rFonts w:eastAsia="Calibri"/>
          <w:b/>
          <w:smallCaps/>
          <w:szCs w:val="24"/>
          <w:lang w:val="fr-CA" w:eastAsia="en-US"/>
        </w:rPr>
      </w:pPr>
      <w:r w:rsidRPr="001228C8">
        <w:rPr>
          <w:rFonts w:eastAsia="Calibri"/>
          <w:b/>
          <w:smallCaps/>
          <w:szCs w:val="24"/>
          <w:lang w:val="fr-CA" w:eastAsia="en-US"/>
        </w:rPr>
        <w:t>Entre :</w:t>
      </w:r>
    </w:p>
    <w:p w:rsidR="001228C8" w:rsidRPr="001228C8" w:rsidRDefault="001228C8" w:rsidP="001228C8">
      <w:pPr>
        <w:jc w:val="center"/>
        <w:rPr>
          <w:rFonts w:eastAsia="Calibri"/>
          <w:b/>
          <w:szCs w:val="24"/>
          <w:lang w:val="fr-CA" w:eastAsia="en-US"/>
        </w:rPr>
      </w:pPr>
      <w:r w:rsidRPr="001228C8">
        <w:rPr>
          <w:rFonts w:eastAsia="Calibri"/>
          <w:b/>
          <w:szCs w:val="24"/>
          <w:lang w:val="fr-CA" w:eastAsia="en-US"/>
        </w:rPr>
        <w:t>Norman Eli Larue</w:t>
      </w:r>
    </w:p>
    <w:p w:rsidR="001228C8" w:rsidRPr="001228C8" w:rsidRDefault="001228C8" w:rsidP="001228C8">
      <w:pPr>
        <w:jc w:val="center"/>
        <w:rPr>
          <w:rFonts w:eastAsia="Calibri"/>
          <w:szCs w:val="24"/>
          <w:lang w:val="fr-CA" w:eastAsia="en-US"/>
        </w:rPr>
      </w:pPr>
      <w:r w:rsidRPr="001228C8">
        <w:rPr>
          <w:rFonts w:eastAsia="Calibri"/>
          <w:szCs w:val="24"/>
          <w:lang w:val="fr-CA" w:eastAsia="en-US"/>
        </w:rPr>
        <w:t>Appelant</w:t>
      </w:r>
    </w:p>
    <w:p w:rsidR="001228C8" w:rsidRPr="001228C8" w:rsidRDefault="001228C8" w:rsidP="001228C8">
      <w:pPr>
        <w:rPr>
          <w:rFonts w:eastAsia="Calibri"/>
          <w:szCs w:val="24"/>
          <w:lang w:val="fr-CA" w:eastAsia="en-US"/>
        </w:rPr>
      </w:pPr>
    </w:p>
    <w:p w:rsidR="001228C8" w:rsidRPr="001228C8" w:rsidRDefault="001228C8" w:rsidP="001228C8">
      <w:pPr>
        <w:jc w:val="center"/>
        <w:rPr>
          <w:rFonts w:eastAsia="Calibri"/>
          <w:szCs w:val="24"/>
          <w:lang w:val="fr-CA" w:eastAsia="en-US"/>
        </w:rPr>
      </w:pPr>
      <w:r w:rsidRPr="001228C8">
        <w:rPr>
          <w:rFonts w:eastAsia="Calibri"/>
          <w:szCs w:val="24"/>
          <w:lang w:val="fr-CA" w:eastAsia="en-US"/>
        </w:rPr>
        <w:t>et</w:t>
      </w:r>
    </w:p>
    <w:p w:rsidR="001228C8" w:rsidRPr="001228C8" w:rsidRDefault="001228C8" w:rsidP="001228C8">
      <w:pPr>
        <w:rPr>
          <w:rFonts w:eastAsia="Calibri"/>
          <w:szCs w:val="24"/>
          <w:lang w:val="fr-CA" w:eastAsia="en-US"/>
        </w:rPr>
      </w:pPr>
    </w:p>
    <w:p w:rsidR="001228C8" w:rsidRPr="001228C8" w:rsidRDefault="001228C8" w:rsidP="001228C8">
      <w:pPr>
        <w:jc w:val="center"/>
        <w:rPr>
          <w:rFonts w:eastAsia="Calibri"/>
          <w:b/>
          <w:szCs w:val="24"/>
          <w:lang w:val="fr-CA" w:eastAsia="en-US"/>
        </w:rPr>
      </w:pPr>
      <w:r w:rsidRPr="001228C8">
        <w:rPr>
          <w:rFonts w:eastAsia="Calibri"/>
          <w:b/>
          <w:szCs w:val="24"/>
          <w:lang w:val="fr-CA" w:eastAsia="en-US"/>
        </w:rPr>
        <w:t xml:space="preserve">Sa Majesté la Reine </w:t>
      </w:r>
    </w:p>
    <w:p w:rsidR="001228C8" w:rsidRPr="001228C8" w:rsidRDefault="001228C8" w:rsidP="001228C8">
      <w:pPr>
        <w:jc w:val="center"/>
        <w:rPr>
          <w:rFonts w:eastAsia="Calibri"/>
          <w:szCs w:val="24"/>
          <w:lang w:val="fr-CA" w:eastAsia="en-US"/>
        </w:rPr>
      </w:pPr>
      <w:r w:rsidRPr="001228C8">
        <w:rPr>
          <w:rFonts w:eastAsia="Calibri"/>
          <w:szCs w:val="24"/>
          <w:lang w:val="fr-CA" w:eastAsia="en-US"/>
        </w:rPr>
        <w:t>Intimée</w:t>
      </w:r>
    </w:p>
    <w:p w:rsidR="001228C8" w:rsidRPr="001228C8" w:rsidRDefault="001228C8" w:rsidP="001228C8">
      <w:pPr>
        <w:jc w:val="center"/>
        <w:rPr>
          <w:rFonts w:eastAsia="Calibri"/>
          <w:szCs w:val="24"/>
          <w:lang w:val="fr-CA" w:eastAsia="en-US"/>
        </w:rPr>
      </w:pPr>
    </w:p>
    <w:p w:rsidR="001228C8" w:rsidRPr="001228C8" w:rsidRDefault="001228C8" w:rsidP="001228C8">
      <w:pPr>
        <w:rPr>
          <w:rFonts w:eastAsia="Calibri"/>
          <w:szCs w:val="24"/>
          <w:lang w:val="fr-CA" w:eastAsia="en-US"/>
        </w:rPr>
      </w:pPr>
    </w:p>
    <w:p w:rsidR="001228C8" w:rsidRPr="001228C8" w:rsidRDefault="001228C8" w:rsidP="001228C8">
      <w:pPr>
        <w:rPr>
          <w:rFonts w:eastAsia="Calibri"/>
          <w:szCs w:val="24"/>
          <w:lang w:val="fr-CA" w:eastAsia="en-US"/>
        </w:rPr>
      </w:pPr>
    </w:p>
    <w:p w:rsidR="001228C8" w:rsidRPr="001228C8" w:rsidRDefault="001228C8" w:rsidP="001228C8">
      <w:pPr>
        <w:jc w:val="center"/>
        <w:rPr>
          <w:rFonts w:eastAsia="Calibri"/>
          <w:b/>
          <w:smallCaps/>
          <w:szCs w:val="24"/>
          <w:lang w:val="fr-CA" w:eastAsia="en-US"/>
        </w:rPr>
      </w:pPr>
      <w:r w:rsidRPr="001228C8">
        <w:rPr>
          <w:rFonts w:eastAsia="Calibri"/>
          <w:b/>
          <w:smallCaps/>
          <w:szCs w:val="24"/>
          <w:lang w:val="fr-CA" w:eastAsia="en-US"/>
        </w:rPr>
        <w:t>Traduction française officielle</w:t>
      </w:r>
    </w:p>
    <w:p w:rsidR="001228C8" w:rsidRPr="001228C8" w:rsidRDefault="001228C8" w:rsidP="001228C8">
      <w:pPr>
        <w:rPr>
          <w:rFonts w:eastAsia="Calibri"/>
          <w:szCs w:val="24"/>
          <w:lang w:val="fr-CA" w:eastAsia="en-US"/>
        </w:rPr>
      </w:pPr>
    </w:p>
    <w:p w:rsidR="001228C8" w:rsidRPr="001228C8" w:rsidRDefault="001228C8" w:rsidP="001228C8">
      <w:pPr>
        <w:rPr>
          <w:rFonts w:eastAsia="Calibri"/>
          <w:szCs w:val="24"/>
          <w:lang w:val="fr-CA" w:eastAsia="en-US"/>
        </w:rPr>
      </w:pPr>
      <w:r w:rsidRPr="001228C8">
        <w:rPr>
          <w:rFonts w:eastAsia="Calibri"/>
          <w:b/>
          <w:smallCaps/>
          <w:szCs w:val="24"/>
          <w:lang w:val="fr-CA" w:eastAsia="en-US"/>
        </w:rPr>
        <w:t>Coram :</w:t>
      </w:r>
      <w:r w:rsidRPr="001228C8">
        <w:rPr>
          <w:rFonts w:eastAsia="Calibri"/>
          <w:szCs w:val="24"/>
          <w:lang w:val="fr-CA" w:eastAsia="en-US"/>
        </w:rPr>
        <w:t xml:space="preserve"> Les juges Abella, Moldaver, Karakatsanis, Côté et Rowe</w:t>
      </w:r>
    </w:p>
    <w:p w:rsidR="001228C8" w:rsidRPr="001228C8" w:rsidRDefault="001228C8" w:rsidP="001228C8">
      <w:pPr>
        <w:rPr>
          <w:rFonts w:eastAsia="Calibri"/>
          <w:szCs w:val="24"/>
          <w:lang w:val="fr-CA" w:eastAsia="en-US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1228C8" w:rsidRPr="00083B69" w:rsidTr="00695EFF">
        <w:trPr>
          <w:cantSplit/>
        </w:trPr>
        <w:tc>
          <w:tcPr>
            <w:tcW w:w="3618" w:type="dxa"/>
          </w:tcPr>
          <w:p w:rsidR="001228C8" w:rsidRPr="001228C8" w:rsidRDefault="001228C8" w:rsidP="001228C8">
            <w:pPr>
              <w:rPr>
                <w:b/>
                <w:smallCaps/>
                <w:lang w:val="fr-CA"/>
              </w:rPr>
            </w:pPr>
            <w:r w:rsidRPr="001228C8">
              <w:rPr>
                <w:b/>
                <w:smallCaps/>
                <w:lang w:val="fr-CA"/>
              </w:rPr>
              <w:t>Motifs de jugement :</w:t>
            </w:r>
          </w:p>
          <w:p w:rsidR="001228C8" w:rsidRPr="001228C8" w:rsidRDefault="001228C8" w:rsidP="001228C8">
            <w:pPr>
              <w:rPr>
                <w:lang w:val="fr-CA"/>
              </w:rPr>
            </w:pPr>
            <w:r w:rsidRPr="001228C8">
              <w:rPr>
                <w:lang w:val="fr-CA"/>
              </w:rPr>
              <w:t>(par. 1 à 2)</w:t>
            </w:r>
          </w:p>
        </w:tc>
        <w:tc>
          <w:tcPr>
            <w:tcW w:w="5958" w:type="dxa"/>
          </w:tcPr>
          <w:p w:rsidR="001228C8" w:rsidRPr="001228C8" w:rsidRDefault="001228C8" w:rsidP="001228C8">
            <w:pPr>
              <w:rPr>
                <w:lang w:val="fr-CA"/>
              </w:rPr>
            </w:pPr>
            <w:r w:rsidRPr="001228C8">
              <w:rPr>
                <w:lang w:val="fr-CA"/>
              </w:rPr>
              <w:t>Le juge Moldaver (avec l’accord des juges Abella, Karakatsanis, Côté et Rowe)</w:t>
            </w:r>
          </w:p>
        </w:tc>
      </w:tr>
    </w:tbl>
    <w:p w:rsidR="001228C8" w:rsidRPr="001228C8" w:rsidRDefault="001228C8" w:rsidP="001228C8">
      <w:pPr>
        <w:rPr>
          <w:rFonts w:eastAsia="Calibri"/>
          <w:szCs w:val="24"/>
          <w:lang w:val="fr-CA" w:eastAsia="en-US"/>
        </w:rPr>
      </w:pPr>
    </w:p>
    <w:p w:rsidR="001228C8" w:rsidRPr="001228C8" w:rsidRDefault="001228C8" w:rsidP="001228C8">
      <w:pPr>
        <w:rPr>
          <w:rFonts w:eastAsia="Calibri"/>
          <w:szCs w:val="24"/>
          <w:lang w:val="fr-CA" w:eastAsia="en-US"/>
        </w:rPr>
      </w:pPr>
      <w:r w:rsidRPr="001228C8">
        <w:rPr>
          <w:rFonts w:eastAsia="Calibri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C5C6C" wp14:editId="77C27CF0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D5D2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6+Hg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"/>
            </w:pict>
          </mc:Fallback>
        </mc:AlternateContent>
      </w:r>
    </w:p>
    <w:p w:rsidR="001228C8" w:rsidRPr="001228C8" w:rsidRDefault="001228C8" w:rsidP="001228C8">
      <w:pPr>
        <w:rPr>
          <w:rFonts w:eastAsia="Calibri"/>
          <w:szCs w:val="24"/>
          <w:lang w:val="fr-CA" w:eastAsia="en-US"/>
        </w:rPr>
      </w:pPr>
    </w:p>
    <w:p w:rsidR="001228C8" w:rsidRPr="001228C8" w:rsidRDefault="001228C8" w:rsidP="001228C8">
      <w:pPr>
        <w:rPr>
          <w:rFonts w:eastAsia="Calibri"/>
          <w:szCs w:val="24"/>
          <w:lang w:val="fr-CA" w:eastAsia="en-US"/>
        </w:rPr>
      </w:pPr>
    </w:p>
    <w:p w:rsidR="004D7D95" w:rsidRPr="00E552DB" w:rsidRDefault="002B6D25" w:rsidP="008274D7">
      <w:pPr>
        <w:spacing w:after="720"/>
        <w:jc w:val="both"/>
        <w:rPr>
          <w:lang w:val="fr-CA"/>
        </w:rPr>
      </w:pPr>
      <w:r>
        <w:rPr>
          <w:rStyle w:val="SCCAppellantForRunningHeadChar"/>
          <w:smallCaps w:val="0"/>
          <w:lang w:val="fr-CA"/>
        </w:rPr>
        <w:t>R</w:t>
      </w:r>
      <w:r w:rsidR="00E552DB" w:rsidRPr="002B6D25">
        <w:rPr>
          <w:smallCaps/>
          <w:lang w:val="fr-CA"/>
        </w:rPr>
        <w:t>.</w:t>
      </w:r>
      <w:r w:rsidR="00E552DB" w:rsidRPr="002B6D25">
        <w:rPr>
          <w:lang w:val="fr-CA"/>
        </w:rPr>
        <w:t xml:space="preserve"> </w:t>
      </w:r>
      <w:r w:rsidR="00E552DB" w:rsidRPr="00E552DB">
        <w:rPr>
          <w:i/>
          <w:lang w:val="fr-CA"/>
        </w:rPr>
        <w:t>c</w:t>
      </w:r>
      <w:r w:rsidR="00E552DB">
        <w:rPr>
          <w:lang w:val="fr-CA"/>
        </w:rPr>
        <w:t xml:space="preserve">. </w:t>
      </w:r>
      <w:r>
        <w:rPr>
          <w:rStyle w:val="SCCAppellantForRunningHeadChar"/>
          <w:smallCaps w:val="0"/>
          <w:lang w:val="fr-CA"/>
        </w:rPr>
        <w:t>L</w:t>
      </w:r>
      <w:r w:rsidR="004D7D95" w:rsidRPr="002B6D25">
        <w:rPr>
          <w:rStyle w:val="SCCAppellantForRunningHeadChar"/>
          <w:smallCaps w:val="0"/>
          <w:lang w:val="fr-CA"/>
        </w:rPr>
        <w:t>arue</w:t>
      </w:r>
      <w:r>
        <w:rPr>
          <w:rStyle w:val="SCCAppellantForRunningHeadChar"/>
          <w:smallCaps w:val="0"/>
          <w:lang w:val="fr-CA"/>
        </w:rPr>
        <w:t>, 2019 CSC 25, [2019] 2 R.C.S. 398</w:t>
      </w:r>
      <w:r w:rsidR="004D7D95" w:rsidRPr="00E552DB">
        <w:rPr>
          <w:lang w:val="fr-CA"/>
        </w:rPr>
        <w:t xml:space="preserve"> </w:t>
      </w:r>
    </w:p>
    <w:p w:rsidR="00B9260A" w:rsidRPr="00E552DB" w:rsidRDefault="00E552DB">
      <w:pPr>
        <w:pStyle w:val="SCCLsocLastPartyInRole"/>
        <w:rPr>
          <w:lang w:val="fr-CA"/>
        </w:rPr>
      </w:pPr>
      <w:r w:rsidRPr="00E552DB">
        <w:rPr>
          <w:lang w:val="fr-CA"/>
        </w:rPr>
        <w:t>Norman Eli Larue</w:t>
      </w:r>
      <w:r w:rsidRPr="00E552DB">
        <w:rPr>
          <w:rStyle w:val="SCCLsocPartyRole"/>
          <w:lang w:val="fr-CA"/>
        </w:rPr>
        <w:tab/>
        <w:t>Appelant</w:t>
      </w:r>
    </w:p>
    <w:p w:rsidR="00B9260A" w:rsidRPr="00E552DB" w:rsidRDefault="00E552DB">
      <w:pPr>
        <w:pStyle w:val="SCCLsocVersus"/>
        <w:rPr>
          <w:lang w:val="fr-CA"/>
        </w:rPr>
      </w:pPr>
      <w:r w:rsidRPr="00E552DB">
        <w:rPr>
          <w:lang w:val="fr-CA"/>
        </w:rPr>
        <w:t>c.</w:t>
      </w:r>
    </w:p>
    <w:p w:rsidR="00B9260A" w:rsidRPr="00E552DB" w:rsidRDefault="00E552DB">
      <w:pPr>
        <w:pStyle w:val="SCCLsocLastPartyInRole"/>
        <w:rPr>
          <w:lang w:val="fr-CA"/>
        </w:rPr>
      </w:pPr>
      <w:r w:rsidRPr="00E552DB">
        <w:rPr>
          <w:lang w:val="fr-CA"/>
        </w:rPr>
        <w:t>Sa Majesté la Reine</w:t>
      </w:r>
      <w:r w:rsidR="00E75838">
        <w:rPr>
          <w:rStyle w:val="SCCLsocPartyRole"/>
          <w:lang w:val="fr-CA"/>
        </w:rPr>
        <w:tab/>
        <w:t>Intimée</w:t>
      </w:r>
    </w:p>
    <w:p w:rsidR="004D7D95" w:rsidRPr="00E552DB" w:rsidRDefault="00E552DB" w:rsidP="008274D7">
      <w:pPr>
        <w:spacing w:after="720"/>
        <w:jc w:val="both"/>
        <w:rPr>
          <w:lang w:val="fr-CA"/>
        </w:rPr>
      </w:pPr>
      <w:r>
        <w:rPr>
          <w:b/>
          <w:lang w:val="fr-CA"/>
        </w:rPr>
        <w:lastRenderedPageBreak/>
        <w:t xml:space="preserve">Répertorié : R. </w:t>
      </w:r>
      <w:r w:rsidRPr="00E552DB">
        <w:rPr>
          <w:b/>
          <w:i/>
          <w:lang w:val="fr-CA"/>
        </w:rPr>
        <w:t>c</w:t>
      </w:r>
      <w:r>
        <w:rPr>
          <w:b/>
          <w:lang w:val="fr-CA"/>
        </w:rPr>
        <w:t xml:space="preserve">. </w:t>
      </w:r>
      <w:r w:rsidR="004D7D95" w:rsidRPr="00E552DB">
        <w:rPr>
          <w:rStyle w:val="SCCAppellantForIndexChar"/>
          <w:lang w:val="fr-CA"/>
        </w:rPr>
        <w:t>Larue</w:t>
      </w:r>
    </w:p>
    <w:p w:rsidR="004D7D95" w:rsidRPr="00E552DB" w:rsidRDefault="00D17B0E" w:rsidP="008274D7">
      <w:pPr>
        <w:pStyle w:val="SCCSystemYear"/>
        <w:spacing w:after="720"/>
        <w:jc w:val="both"/>
        <w:rPr>
          <w:lang w:val="fr-CA"/>
        </w:rPr>
      </w:pPr>
      <w:r w:rsidRPr="00E552DB">
        <w:rPr>
          <w:lang w:val="fr-CA"/>
        </w:rPr>
        <w:t>2019</w:t>
      </w:r>
      <w:r w:rsidR="00E552DB">
        <w:rPr>
          <w:lang w:val="fr-CA"/>
        </w:rPr>
        <w:t xml:space="preserve"> CSC 25</w:t>
      </w:r>
    </w:p>
    <w:p w:rsidR="004D7D95" w:rsidRPr="00E552DB" w:rsidRDefault="004D7D95" w:rsidP="008274D7">
      <w:pPr>
        <w:spacing w:after="720"/>
        <w:jc w:val="both"/>
        <w:rPr>
          <w:lang w:val="fr-CA"/>
        </w:rPr>
      </w:pPr>
      <w:r w:rsidRPr="00E552DB">
        <w:rPr>
          <w:lang w:val="fr-CA"/>
        </w:rPr>
        <w:t>N</w:t>
      </w:r>
      <w:r w:rsidRPr="00E552DB">
        <w:rPr>
          <w:vertAlign w:val="superscript"/>
          <w:lang w:val="fr-CA"/>
        </w:rPr>
        <w:t>o</w:t>
      </w:r>
      <w:r w:rsidRPr="00E552DB">
        <w:rPr>
          <w:lang w:val="fr-CA"/>
        </w:rPr>
        <w:t xml:space="preserve"> du greffe : 38224.</w:t>
      </w:r>
    </w:p>
    <w:p w:rsidR="004D7D95" w:rsidRPr="00E552DB" w:rsidRDefault="00D17B0E" w:rsidP="008274D7">
      <w:pPr>
        <w:spacing w:after="720"/>
        <w:jc w:val="both"/>
        <w:rPr>
          <w:lang w:val="fr-CA"/>
        </w:rPr>
      </w:pPr>
      <w:r w:rsidRPr="008650D4">
        <w:rPr>
          <w:lang w:val="fr-CA"/>
        </w:rPr>
        <w:t>2019 : 23 avri</w:t>
      </w:r>
      <w:r w:rsidR="00E75838" w:rsidRPr="008650D4">
        <w:rPr>
          <w:lang w:val="fr-CA"/>
        </w:rPr>
        <w:t>l.</w:t>
      </w:r>
    </w:p>
    <w:p w:rsidR="00B9260A" w:rsidRPr="00E552DB" w:rsidRDefault="004D7D95" w:rsidP="008274D7">
      <w:pPr>
        <w:spacing w:after="720"/>
        <w:jc w:val="both"/>
        <w:rPr>
          <w:lang w:val="fr-CA"/>
        </w:rPr>
      </w:pPr>
      <w:r w:rsidRPr="00E552DB">
        <w:rPr>
          <w:lang w:val="fr-CA"/>
        </w:rPr>
        <w:t>Présents : Les juges Abella, Moldaver, Karakatsanis, Côté et Brown.</w:t>
      </w:r>
    </w:p>
    <w:p w:rsidR="004D7D95" w:rsidRPr="00BB4C92" w:rsidRDefault="004D7D95" w:rsidP="008274D7">
      <w:pPr>
        <w:pStyle w:val="SCCLowerCourtNameLowercase"/>
        <w:spacing w:after="720" w:line="240" w:lineRule="auto"/>
        <w:rPr>
          <w:lang w:val="fr-CA"/>
        </w:rPr>
      </w:pPr>
      <w:r w:rsidRPr="00E75838">
        <w:rPr>
          <w:lang w:val="fr-CA"/>
        </w:rPr>
        <w:t>en appel de la cour d</w:t>
      </w:r>
      <w:r w:rsidR="00E75838">
        <w:rPr>
          <w:lang w:val="fr-CA"/>
        </w:rPr>
        <w:t>’</w:t>
      </w:r>
      <w:r w:rsidRPr="00E75838">
        <w:rPr>
          <w:lang w:val="fr-CA"/>
        </w:rPr>
        <w:t>appel du yukon</w:t>
      </w:r>
    </w:p>
    <w:p w:rsidR="00240BF6" w:rsidRPr="00EB1E0E" w:rsidRDefault="004D7D95" w:rsidP="00240BF6">
      <w:pPr>
        <w:pStyle w:val="SCCNormalDoubleSpacing"/>
        <w:spacing w:after="480"/>
        <w:rPr>
          <w:i/>
          <w:lang w:val="fr-CA"/>
        </w:rPr>
      </w:pPr>
      <w:r w:rsidRPr="002B6D7F">
        <w:rPr>
          <w:lang w:val="fr-CA"/>
        </w:rPr>
        <w:tab/>
      </w:r>
      <w:r w:rsidR="00240BF6" w:rsidRPr="002B6D7F">
        <w:rPr>
          <w:lang w:val="fr-CA"/>
        </w:rPr>
        <w:tab/>
      </w:r>
      <w:r w:rsidR="00240BF6" w:rsidRPr="002B6D7F">
        <w:rPr>
          <w:i/>
          <w:lang w:val="fr-CA"/>
        </w:rPr>
        <w:t>Droit criminel — Preuve — Admissibilit</w:t>
      </w:r>
      <w:r w:rsidR="004151D7" w:rsidRPr="002B6D7F">
        <w:rPr>
          <w:i/>
          <w:lang w:val="fr-CA"/>
        </w:rPr>
        <w:t>é</w:t>
      </w:r>
      <w:r w:rsidR="00240BF6" w:rsidRPr="002B6D7F">
        <w:rPr>
          <w:i/>
          <w:lang w:val="fr-CA"/>
        </w:rPr>
        <w:t xml:space="preserve"> — </w:t>
      </w:r>
      <w:r w:rsidR="004151D7" w:rsidRPr="002B6D7F">
        <w:rPr>
          <w:i/>
          <w:lang w:val="fr-CA"/>
        </w:rPr>
        <w:t>Ouï-dire</w:t>
      </w:r>
      <w:r w:rsidR="00240BF6" w:rsidRPr="002B6D7F">
        <w:rPr>
          <w:i/>
          <w:lang w:val="fr-CA"/>
        </w:rPr>
        <w:t xml:space="preserve"> —</w:t>
      </w:r>
      <w:r w:rsidR="004151D7" w:rsidRPr="002B6D7F">
        <w:rPr>
          <w:i/>
          <w:lang w:val="fr-CA"/>
        </w:rPr>
        <w:t xml:space="preserve"> </w:t>
      </w:r>
      <w:r w:rsidR="00ED76E0">
        <w:rPr>
          <w:i/>
          <w:lang w:val="fr-CA"/>
        </w:rPr>
        <w:t>Refus d’un té</w:t>
      </w:r>
      <w:r w:rsidR="004151D7" w:rsidRPr="002B6D7F">
        <w:rPr>
          <w:i/>
          <w:lang w:val="fr-CA"/>
        </w:rPr>
        <w:t>moin clé</w:t>
      </w:r>
      <w:r w:rsidR="0024451F">
        <w:rPr>
          <w:i/>
          <w:lang w:val="fr-CA"/>
        </w:rPr>
        <w:t xml:space="preserve"> </w:t>
      </w:r>
      <w:r w:rsidR="004151D7" w:rsidRPr="002B6D7F">
        <w:rPr>
          <w:i/>
          <w:lang w:val="fr-CA"/>
        </w:rPr>
        <w:t xml:space="preserve">de témoigner au procès </w:t>
      </w:r>
      <w:r w:rsidR="0024451F" w:rsidRPr="002B6D7F">
        <w:rPr>
          <w:i/>
          <w:lang w:val="fr-CA"/>
        </w:rPr>
        <w:t xml:space="preserve">de l’accusé </w:t>
      </w:r>
      <w:r w:rsidR="004151D7" w:rsidRPr="002B6D7F">
        <w:rPr>
          <w:i/>
          <w:lang w:val="fr-CA"/>
        </w:rPr>
        <w:t>pour meurtre au premier degré</w:t>
      </w:r>
      <w:r w:rsidR="00193C47">
        <w:rPr>
          <w:i/>
          <w:lang w:val="fr-CA"/>
        </w:rPr>
        <w:t xml:space="preserve"> </w:t>
      </w:r>
      <w:r w:rsidR="004151D7" w:rsidRPr="002B6D7F">
        <w:rPr>
          <w:i/>
          <w:lang w:val="fr-CA"/>
        </w:rPr>
        <w:t>— Déclarations relatées d</w:t>
      </w:r>
      <w:r w:rsidR="00ED76E0">
        <w:rPr>
          <w:i/>
          <w:lang w:val="fr-CA"/>
        </w:rPr>
        <w:t xml:space="preserve">u </w:t>
      </w:r>
      <w:r w:rsidR="004151D7" w:rsidRPr="002B6D7F">
        <w:rPr>
          <w:i/>
          <w:lang w:val="fr-CA"/>
        </w:rPr>
        <w:t>témoin admises en preuve par le juge du procès s</w:t>
      </w:r>
      <w:r w:rsidR="00ED76E0">
        <w:rPr>
          <w:i/>
          <w:lang w:val="fr-CA"/>
        </w:rPr>
        <w:t xml:space="preserve">uivant </w:t>
      </w:r>
      <w:r w:rsidR="004151D7" w:rsidRPr="002B6D7F">
        <w:rPr>
          <w:i/>
          <w:lang w:val="fr-CA"/>
        </w:rPr>
        <w:t>l’approche raisonnée en matière de ouï-dire — Accusé déclaré coupable — Appel rejeté par la Cour d’appel — A</w:t>
      </w:r>
      <w:r w:rsidR="00ED76E0">
        <w:rPr>
          <w:i/>
          <w:lang w:val="fr-CA"/>
        </w:rPr>
        <w:t>bsence d’</w:t>
      </w:r>
      <w:r w:rsidR="004151D7" w:rsidRPr="002B6D7F">
        <w:rPr>
          <w:i/>
          <w:lang w:val="fr-CA"/>
        </w:rPr>
        <w:t xml:space="preserve">erreur </w:t>
      </w:r>
      <w:r w:rsidR="00ED76E0">
        <w:rPr>
          <w:i/>
          <w:lang w:val="fr-CA"/>
        </w:rPr>
        <w:t xml:space="preserve">entachant </w:t>
      </w:r>
      <w:r w:rsidR="004151D7" w:rsidRPr="002B6D7F">
        <w:rPr>
          <w:i/>
          <w:lang w:val="fr-CA"/>
        </w:rPr>
        <w:t xml:space="preserve">la décision </w:t>
      </w:r>
      <w:r w:rsidR="00ED76E0">
        <w:rPr>
          <w:i/>
          <w:lang w:val="fr-CA"/>
        </w:rPr>
        <w:t xml:space="preserve">du juge du procès portant </w:t>
      </w:r>
      <w:r w:rsidR="004151D7" w:rsidRPr="002B6D7F">
        <w:rPr>
          <w:i/>
          <w:lang w:val="fr-CA"/>
        </w:rPr>
        <w:t xml:space="preserve">que le seuil de fiabilité </w:t>
      </w:r>
      <w:r w:rsidR="002B6D7F" w:rsidRPr="002B6D7F">
        <w:rPr>
          <w:i/>
          <w:lang w:val="fr-CA"/>
        </w:rPr>
        <w:t>des déclarations relatées du témoin a</w:t>
      </w:r>
      <w:r w:rsidR="0024451F">
        <w:rPr>
          <w:i/>
          <w:lang w:val="fr-CA"/>
        </w:rPr>
        <w:t>vait</w:t>
      </w:r>
      <w:r w:rsidR="002B6D7F" w:rsidRPr="002B6D7F">
        <w:rPr>
          <w:i/>
          <w:lang w:val="fr-CA"/>
        </w:rPr>
        <w:t xml:space="preserve"> été établi — Déclaration de culpabilité confirmée.</w:t>
      </w:r>
      <w:r w:rsidR="00240BF6" w:rsidRPr="00ED76E0">
        <w:rPr>
          <w:i/>
          <w:lang w:val="fr-CA"/>
        </w:rPr>
        <w:t xml:space="preserve"> </w:t>
      </w:r>
    </w:p>
    <w:p w:rsidR="004D7D95" w:rsidRPr="004D7D95" w:rsidRDefault="004D7D95" w:rsidP="008274D7">
      <w:pPr>
        <w:pStyle w:val="SCCNormalDoubleSpacing"/>
        <w:spacing w:after="720" w:line="240" w:lineRule="auto"/>
        <w:rPr>
          <w:b/>
          <w:lang w:val="fr-CA"/>
        </w:rPr>
      </w:pPr>
      <w:r w:rsidRPr="004D7D95">
        <w:rPr>
          <w:b/>
          <w:lang w:val="fr-CA"/>
        </w:rPr>
        <w:t>Jurisprudence</w:t>
      </w:r>
    </w:p>
    <w:p w:rsidR="004D7D95" w:rsidRPr="004D7D95" w:rsidRDefault="004D7D95" w:rsidP="008274D7">
      <w:pPr>
        <w:tabs>
          <w:tab w:val="left" w:pos="1170"/>
        </w:tabs>
        <w:spacing w:after="480" w:line="480" w:lineRule="auto"/>
        <w:jc w:val="both"/>
        <w:rPr>
          <w:lang w:val="fr-CA"/>
        </w:rPr>
      </w:pPr>
      <w:r w:rsidRPr="004D7D95">
        <w:rPr>
          <w:lang w:val="fr-CA"/>
        </w:rPr>
        <w:tab/>
      </w:r>
      <w:r w:rsidRPr="003A3303">
        <w:rPr>
          <w:b/>
          <w:lang w:val="fr-CA"/>
        </w:rPr>
        <w:t>Arrêt</w:t>
      </w:r>
      <w:r w:rsidR="00E75838" w:rsidRPr="003A3303">
        <w:rPr>
          <w:b/>
          <w:lang w:val="fr-CA"/>
        </w:rPr>
        <w:t xml:space="preserve"> appliqué</w:t>
      </w:r>
      <w:r w:rsidRPr="003A3303">
        <w:rPr>
          <w:b/>
          <w:lang w:val="fr-CA"/>
        </w:rPr>
        <w:t>:</w:t>
      </w:r>
      <w:r w:rsidRPr="003A3303">
        <w:rPr>
          <w:lang w:val="fr-CA"/>
        </w:rPr>
        <w:t xml:space="preserve"> </w:t>
      </w:r>
      <w:r w:rsidR="00E75838" w:rsidRPr="003A3303">
        <w:rPr>
          <w:i/>
          <w:lang w:val="fr-CA"/>
        </w:rPr>
        <w:t>R.</w:t>
      </w:r>
      <w:r w:rsidR="00E75838" w:rsidRPr="00FA67CD">
        <w:rPr>
          <w:i/>
          <w:lang w:val="fr-CA"/>
        </w:rPr>
        <w:t xml:space="preserve"> c. Bradshaw</w:t>
      </w:r>
      <w:r w:rsidR="00E75838" w:rsidRPr="00FA67CD">
        <w:rPr>
          <w:lang w:val="fr-CA"/>
        </w:rPr>
        <w:t>, 2017 CSC 35, [2017] 1 R.C.S. 865</w:t>
      </w:r>
      <w:r w:rsidR="00E75838">
        <w:rPr>
          <w:lang w:val="fr-CA"/>
        </w:rPr>
        <w:t>.</w:t>
      </w:r>
    </w:p>
    <w:p w:rsidR="004D7D95" w:rsidRPr="004D7D95" w:rsidRDefault="00E75838" w:rsidP="008274D7">
      <w:pPr>
        <w:pStyle w:val="SCCNormalDoubleSpacing"/>
        <w:spacing w:after="480"/>
        <w:rPr>
          <w:lang w:val="fr-CA"/>
        </w:rPr>
      </w:pPr>
      <w:r>
        <w:rPr>
          <w:lang w:val="fr-CA"/>
        </w:rPr>
        <w:tab/>
      </w:r>
      <w:r w:rsidR="004D7D95" w:rsidRPr="004D7D95">
        <w:rPr>
          <w:lang w:val="fr-CA"/>
        </w:rPr>
        <w:t xml:space="preserve">POURVOI contre un arrêt de la </w:t>
      </w:r>
      <w:r w:rsidR="004D7D95" w:rsidRPr="00E552DB">
        <w:rPr>
          <w:lang w:val="fr-CA"/>
        </w:rPr>
        <w:t>Cour d</w:t>
      </w:r>
      <w:r>
        <w:rPr>
          <w:lang w:val="fr-CA"/>
        </w:rPr>
        <w:t>’</w:t>
      </w:r>
      <w:r w:rsidR="004D7D95" w:rsidRPr="00E552DB">
        <w:rPr>
          <w:lang w:val="fr-CA"/>
        </w:rPr>
        <w:t>appel du Yukon</w:t>
      </w:r>
      <w:r>
        <w:rPr>
          <w:lang w:val="fr-CA"/>
        </w:rPr>
        <w:t xml:space="preserve"> </w:t>
      </w:r>
      <w:r w:rsidRPr="00E75838">
        <w:rPr>
          <w:lang w:val="fr-CA"/>
        </w:rPr>
        <w:t>(</w:t>
      </w:r>
      <w:r>
        <w:rPr>
          <w:lang w:val="fr-CA"/>
        </w:rPr>
        <w:t>les juges Bennet</w:t>
      </w:r>
      <w:r w:rsidR="00D504E3">
        <w:rPr>
          <w:lang w:val="fr-CA"/>
        </w:rPr>
        <w:t>t</w:t>
      </w:r>
      <w:r>
        <w:rPr>
          <w:lang w:val="fr-CA"/>
        </w:rPr>
        <w:t>, Dickson et Charbonneau</w:t>
      </w:r>
      <w:r w:rsidRPr="00E75838">
        <w:rPr>
          <w:lang w:val="fr-CA"/>
        </w:rPr>
        <w:t xml:space="preserve">), 2018 YKCA 9, 47 C.R. (7th) 133, [2018] Y.J. No. 45 (QL), 2018 CarswellYukon 50 (WL Can.), </w:t>
      </w:r>
      <w:r w:rsidRPr="003A3303">
        <w:rPr>
          <w:lang w:val="fr-CA"/>
        </w:rPr>
        <w:t xml:space="preserve">qui a confirmé </w:t>
      </w:r>
      <w:r w:rsidRPr="003A3303">
        <w:rPr>
          <w:lang w:val="fr-FR"/>
        </w:rPr>
        <w:t xml:space="preserve">la déclaration de culpabilité pour </w:t>
      </w:r>
      <w:r w:rsidRPr="003A3303">
        <w:rPr>
          <w:lang w:val="fr-FR"/>
        </w:rPr>
        <w:lastRenderedPageBreak/>
        <w:t>meurtre au premier</w:t>
      </w:r>
      <w:r w:rsidR="003A3303" w:rsidRPr="003A3303">
        <w:rPr>
          <w:lang w:val="fr-FR"/>
        </w:rPr>
        <w:t xml:space="preserve"> </w:t>
      </w:r>
      <w:r w:rsidR="003A3303">
        <w:rPr>
          <w:lang w:val="fr-FR"/>
        </w:rPr>
        <w:t xml:space="preserve">degré </w:t>
      </w:r>
      <w:r w:rsidR="003A3303" w:rsidRPr="003A3303">
        <w:rPr>
          <w:lang w:val="fr-FR"/>
        </w:rPr>
        <w:t>prononcée contre l’accusé</w:t>
      </w:r>
      <w:r w:rsidRPr="003A3303">
        <w:rPr>
          <w:lang w:val="fr-CA"/>
        </w:rPr>
        <w:t>.</w:t>
      </w:r>
      <w:r w:rsidRPr="00E75838">
        <w:rPr>
          <w:lang w:val="fr-CA"/>
        </w:rPr>
        <w:t xml:space="preserve"> </w:t>
      </w:r>
      <w:r>
        <w:rPr>
          <w:lang w:val="fr-CA"/>
        </w:rPr>
        <w:t xml:space="preserve">Pourvoi rejeté, les juges </w:t>
      </w:r>
      <w:r w:rsidRPr="00E75838">
        <w:rPr>
          <w:lang w:val="fr-CA"/>
        </w:rPr>
        <w:t xml:space="preserve">Karakatsanis </w:t>
      </w:r>
      <w:r>
        <w:rPr>
          <w:lang w:val="fr-CA"/>
        </w:rPr>
        <w:t>et</w:t>
      </w:r>
      <w:r w:rsidRPr="00E75838">
        <w:rPr>
          <w:lang w:val="fr-CA"/>
        </w:rPr>
        <w:t xml:space="preserve"> Brown </w:t>
      </w:r>
      <w:r w:rsidRPr="003A3303">
        <w:rPr>
          <w:lang w:val="fr-CA"/>
        </w:rPr>
        <w:t>sont dissidents.</w:t>
      </w:r>
    </w:p>
    <w:p w:rsidR="00B9260A" w:rsidRPr="00E552DB" w:rsidRDefault="00E552DB" w:rsidP="008274D7">
      <w:pPr>
        <w:pStyle w:val="SCCNormalDoubleSpacing"/>
        <w:spacing w:after="480"/>
        <w:rPr>
          <w:lang w:val="fr-CA"/>
        </w:rPr>
      </w:pPr>
      <w:r w:rsidRPr="00E552DB">
        <w:rPr>
          <w:rStyle w:val="SCCCounselNameChar"/>
          <w:lang w:val="fr-CA"/>
        </w:rPr>
        <w:tab/>
        <w:t>Vincent Larochelle</w:t>
      </w:r>
      <w:r w:rsidR="00E75838">
        <w:rPr>
          <w:rStyle w:val="SCCCounselPartyRoleChar"/>
          <w:lang w:val="fr-CA"/>
        </w:rPr>
        <w:t>, pour l’appelant</w:t>
      </w:r>
      <w:r w:rsidRPr="00E552DB">
        <w:rPr>
          <w:rStyle w:val="SCCCounselPartyRoleChar"/>
          <w:lang w:val="fr-CA"/>
        </w:rPr>
        <w:t>.</w:t>
      </w:r>
    </w:p>
    <w:p w:rsidR="00E75838" w:rsidRDefault="00E552DB" w:rsidP="008274D7">
      <w:pPr>
        <w:pStyle w:val="SCCNormalDoubleSpacing"/>
        <w:spacing w:after="480"/>
        <w:rPr>
          <w:rStyle w:val="SCCCounselPartyRoleChar"/>
          <w:lang w:val="fr-CA"/>
        </w:rPr>
      </w:pPr>
      <w:r w:rsidRPr="00E552DB">
        <w:rPr>
          <w:rStyle w:val="SCCCounselNameChar"/>
          <w:lang w:val="fr-CA"/>
        </w:rPr>
        <w:tab/>
        <w:t>James C. Martin</w:t>
      </w:r>
      <w:r w:rsidR="00E75838">
        <w:rPr>
          <w:rStyle w:val="SCCCounselPartyRoleChar"/>
          <w:lang w:val="fr-CA"/>
        </w:rPr>
        <w:t xml:space="preserve"> et </w:t>
      </w:r>
      <w:r w:rsidR="00E75838" w:rsidRPr="00E552DB">
        <w:rPr>
          <w:rStyle w:val="SCCCounselNameChar"/>
          <w:lang w:val="fr-CA"/>
        </w:rPr>
        <w:t>Noel Sinclair</w:t>
      </w:r>
      <w:r w:rsidR="00E75838">
        <w:rPr>
          <w:rStyle w:val="SCCCounselPartyRoleChar"/>
          <w:lang w:val="fr-CA"/>
        </w:rPr>
        <w:t>, pour l’intimée</w:t>
      </w:r>
      <w:r w:rsidRPr="00E552DB">
        <w:rPr>
          <w:rStyle w:val="SCCCounselPartyRoleChar"/>
          <w:lang w:val="fr-CA"/>
        </w:rPr>
        <w:t>.</w:t>
      </w:r>
    </w:p>
    <w:p w:rsidR="00E75838" w:rsidRPr="004D7D95" w:rsidRDefault="00E75838" w:rsidP="008274D7">
      <w:pPr>
        <w:pStyle w:val="SCCNormalDoubleSpacing"/>
        <w:widowControl w:val="0"/>
        <w:spacing w:before="480" w:after="480"/>
        <w:rPr>
          <w:lang w:val="fr-CA"/>
        </w:rPr>
      </w:pPr>
      <w:r>
        <w:rPr>
          <w:lang w:val="fr-CA"/>
        </w:rPr>
        <w:tab/>
        <w:t xml:space="preserve">Version française du jugement </w:t>
      </w:r>
      <w:r w:rsidR="00FC4A10">
        <w:rPr>
          <w:lang w:val="fr-CA"/>
        </w:rPr>
        <w:t xml:space="preserve">de la Cour </w:t>
      </w:r>
      <w:r>
        <w:rPr>
          <w:lang w:val="fr-CA"/>
        </w:rPr>
        <w:t>rendu oralement par</w:t>
      </w:r>
    </w:p>
    <w:p w:rsidR="00E75838" w:rsidRPr="008274D7" w:rsidRDefault="00E75838" w:rsidP="00E75838">
      <w:pPr>
        <w:pStyle w:val="ParaNoNdepar-AltN"/>
        <w:numPr>
          <w:ilvl w:val="0"/>
          <w:numId w:val="1"/>
        </w:numPr>
        <w:ind w:left="0" w:firstLine="0"/>
        <w:rPr>
          <w:lang w:val="fr-CA"/>
        </w:rPr>
      </w:pPr>
      <w:r w:rsidRPr="008274D7">
        <w:rPr>
          <w:smallCaps/>
          <w:lang w:val="fr-CA"/>
        </w:rPr>
        <w:t>La juge Abella</w:t>
      </w:r>
      <w:r w:rsidRPr="008274D7">
        <w:rPr>
          <w:lang w:val="fr-CA"/>
        </w:rPr>
        <w:t xml:space="preserve"> — Appliquant l’arrêt </w:t>
      </w:r>
      <w:r w:rsidRPr="008274D7">
        <w:rPr>
          <w:i/>
          <w:lang w:val="fr-CA"/>
        </w:rPr>
        <w:t>R. c. Bradshaw</w:t>
      </w:r>
      <w:r w:rsidRPr="008274D7">
        <w:rPr>
          <w:lang w:val="fr-CA"/>
        </w:rPr>
        <w:t>, 2017 CSC 35, [2017] 1 R.C.S. 865, les juges majoritaires de la formation sont d’avis de rejeter le pourvoi,  principalement pour les motifs exposés par la juge d’appel Dickson, alors que les juges Karakatsanis et Brown y feraient droit, essentiellement pour les motifs de la juge d’appel Bennett.</w:t>
      </w:r>
    </w:p>
    <w:p w:rsidR="00E75838" w:rsidRPr="008274D7" w:rsidRDefault="00E75838" w:rsidP="004D7D95">
      <w:pPr>
        <w:pStyle w:val="ParaNoNdepar-AltN"/>
        <w:numPr>
          <w:ilvl w:val="0"/>
          <w:numId w:val="1"/>
        </w:numPr>
        <w:ind w:left="0" w:firstLine="0"/>
        <w:rPr>
          <w:lang w:val="fr-CA"/>
        </w:rPr>
      </w:pPr>
      <w:r w:rsidRPr="008274D7">
        <w:rPr>
          <w:lang w:val="fr-CA"/>
        </w:rPr>
        <w:t>Le pourvoi est en conséquence rejeté.</w:t>
      </w:r>
    </w:p>
    <w:p w:rsidR="004D7D95" w:rsidRPr="00E552DB" w:rsidRDefault="004D7D95" w:rsidP="008274D7">
      <w:pPr>
        <w:pStyle w:val="SCCNormalDoubleSpacing"/>
        <w:spacing w:after="480"/>
        <w:rPr>
          <w:lang w:val="fr-CA"/>
        </w:rPr>
      </w:pPr>
      <w:r w:rsidRPr="00E552DB">
        <w:rPr>
          <w:lang w:val="fr-CA"/>
        </w:rPr>
        <w:tab/>
      </w:r>
      <w:r w:rsidR="000D2211">
        <w:rPr>
          <w:i/>
          <w:lang w:val="fr-CA"/>
        </w:rPr>
        <w:t>Jugement en conséquence</w:t>
      </w:r>
      <w:r w:rsidR="00E75838">
        <w:rPr>
          <w:i/>
          <w:lang w:val="fr-CA"/>
        </w:rPr>
        <w:t>.</w:t>
      </w:r>
    </w:p>
    <w:p w:rsidR="00B9260A" w:rsidRPr="00E552DB" w:rsidRDefault="00FC4A10" w:rsidP="008274D7">
      <w:pPr>
        <w:pStyle w:val="SCCLawFirm"/>
        <w:spacing w:after="480"/>
        <w:rPr>
          <w:lang w:val="fr-CA"/>
        </w:rPr>
      </w:pPr>
      <w:r>
        <w:rPr>
          <w:lang w:val="fr-CA"/>
        </w:rPr>
        <w:tab/>
        <w:t>Procureur</w:t>
      </w:r>
      <w:r w:rsidR="00E552DB" w:rsidRPr="00E552DB">
        <w:rPr>
          <w:lang w:val="fr-CA"/>
        </w:rPr>
        <w:t xml:space="preserve"> de l</w:t>
      </w:r>
      <w:r w:rsidR="00E75838">
        <w:rPr>
          <w:lang w:val="fr-CA"/>
        </w:rPr>
        <w:t>’</w:t>
      </w:r>
      <w:r w:rsidR="00E552DB" w:rsidRPr="00E552DB">
        <w:rPr>
          <w:lang w:val="fr-CA"/>
        </w:rPr>
        <w:t>appelant : Tutshi Law Centre, Whitehorse.</w:t>
      </w:r>
    </w:p>
    <w:p w:rsidR="00B9260A" w:rsidRPr="00E75838" w:rsidRDefault="00E552DB" w:rsidP="008274D7">
      <w:pPr>
        <w:pStyle w:val="SCCLawFirm"/>
        <w:spacing w:after="480"/>
        <w:rPr>
          <w:lang w:val="fr-CA"/>
        </w:rPr>
      </w:pPr>
      <w:r w:rsidRPr="00E552DB">
        <w:rPr>
          <w:lang w:val="fr-CA"/>
        </w:rPr>
        <w:tab/>
      </w:r>
      <w:r w:rsidR="00E75838" w:rsidRPr="00E75838">
        <w:rPr>
          <w:lang w:val="fr-CA"/>
        </w:rPr>
        <w:t>Procureur</w:t>
      </w:r>
      <w:r w:rsidRPr="00E75838">
        <w:rPr>
          <w:lang w:val="fr-CA"/>
        </w:rPr>
        <w:t xml:space="preserve"> de l</w:t>
      </w:r>
      <w:r w:rsidR="00E75838" w:rsidRPr="00E75838">
        <w:rPr>
          <w:lang w:val="fr-CA"/>
        </w:rPr>
        <w:t>’intimée</w:t>
      </w:r>
      <w:r w:rsidRPr="00E75838">
        <w:rPr>
          <w:lang w:val="fr-CA"/>
        </w:rPr>
        <w:t xml:space="preserve"> : </w:t>
      </w:r>
      <w:r w:rsidR="00E75838">
        <w:rPr>
          <w:lang w:val="fr-CA"/>
        </w:rPr>
        <w:t>Service des poursuites pénales du</w:t>
      </w:r>
      <w:r w:rsidRPr="00E75838">
        <w:rPr>
          <w:lang w:val="fr-CA"/>
        </w:rPr>
        <w:t xml:space="preserve"> Canada, </w:t>
      </w:r>
      <w:r w:rsidR="007E458C">
        <w:rPr>
          <w:lang w:val="fr-CA"/>
        </w:rPr>
        <w:t>Halifax, Whitehorse</w:t>
      </w:r>
      <w:r w:rsidRPr="007E458C">
        <w:rPr>
          <w:lang w:val="fr-CA"/>
        </w:rPr>
        <w:t>.</w:t>
      </w:r>
    </w:p>
    <w:sectPr w:rsidR="00B9260A" w:rsidRPr="00E75838" w:rsidSect="000648CC"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DD4" w:rsidRDefault="00EA6DD4">
      <w:r>
        <w:separator/>
      </w:r>
    </w:p>
  </w:endnote>
  <w:endnote w:type="continuationSeparator" w:id="0">
    <w:p w:rsidR="00EA6DD4" w:rsidRDefault="00EA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DD4" w:rsidRDefault="00EA6DD4">
      <w:r>
        <w:separator/>
      </w:r>
    </w:p>
  </w:footnote>
  <w:footnote w:type="continuationSeparator" w:id="0">
    <w:p w:rsidR="00EA6DD4" w:rsidRDefault="00EA6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4ADE"/>
    <w:multiLevelType w:val="hybridMultilevel"/>
    <w:tmpl w:val="C0D0A732"/>
    <w:lvl w:ilvl="0" w:tplc="BD56451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removePersonalInformation/>
  <w:removeDateAndTime/>
  <w:bordersDoNotSurroundHeader/>
  <w:bordersDoNotSurroundFooter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17397"/>
    <w:rsid w:val="00023FC7"/>
    <w:rsid w:val="00025198"/>
    <w:rsid w:val="000578A3"/>
    <w:rsid w:val="000648CC"/>
    <w:rsid w:val="00083B69"/>
    <w:rsid w:val="000C59B8"/>
    <w:rsid w:val="000C6AF0"/>
    <w:rsid w:val="000D0A77"/>
    <w:rsid w:val="000D2211"/>
    <w:rsid w:val="000F7993"/>
    <w:rsid w:val="00104F33"/>
    <w:rsid w:val="00111DE2"/>
    <w:rsid w:val="0011253B"/>
    <w:rsid w:val="00116B38"/>
    <w:rsid w:val="001228C8"/>
    <w:rsid w:val="00135406"/>
    <w:rsid w:val="00135972"/>
    <w:rsid w:val="001426A9"/>
    <w:rsid w:val="00154D7C"/>
    <w:rsid w:val="001570B0"/>
    <w:rsid w:val="0015752C"/>
    <w:rsid w:val="00157737"/>
    <w:rsid w:val="00165277"/>
    <w:rsid w:val="00170592"/>
    <w:rsid w:val="001720F7"/>
    <w:rsid w:val="00193C47"/>
    <w:rsid w:val="00195D83"/>
    <w:rsid w:val="001A00C1"/>
    <w:rsid w:val="001B33E0"/>
    <w:rsid w:val="001B4573"/>
    <w:rsid w:val="001C779F"/>
    <w:rsid w:val="001D2AC1"/>
    <w:rsid w:val="001D4E88"/>
    <w:rsid w:val="00220FC2"/>
    <w:rsid w:val="002222F4"/>
    <w:rsid w:val="00224FC0"/>
    <w:rsid w:val="00225EA4"/>
    <w:rsid w:val="00226EAF"/>
    <w:rsid w:val="00231F3A"/>
    <w:rsid w:val="002406EE"/>
    <w:rsid w:val="00240BF6"/>
    <w:rsid w:val="00243EC8"/>
    <w:rsid w:val="0024451F"/>
    <w:rsid w:val="00270D93"/>
    <w:rsid w:val="002745CC"/>
    <w:rsid w:val="002B6D25"/>
    <w:rsid w:val="002B6D7F"/>
    <w:rsid w:val="002B6FBE"/>
    <w:rsid w:val="002B7924"/>
    <w:rsid w:val="002C10A6"/>
    <w:rsid w:val="002D28C3"/>
    <w:rsid w:val="002D39A4"/>
    <w:rsid w:val="002E6705"/>
    <w:rsid w:val="0030329A"/>
    <w:rsid w:val="0031086F"/>
    <w:rsid w:val="0031414C"/>
    <w:rsid w:val="00314E01"/>
    <w:rsid w:val="0032089D"/>
    <w:rsid w:val="003310DE"/>
    <w:rsid w:val="003323B0"/>
    <w:rsid w:val="00340A49"/>
    <w:rsid w:val="0035169A"/>
    <w:rsid w:val="0035259D"/>
    <w:rsid w:val="00364B18"/>
    <w:rsid w:val="003A125D"/>
    <w:rsid w:val="003A3303"/>
    <w:rsid w:val="003A4C70"/>
    <w:rsid w:val="003B215F"/>
    <w:rsid w:val="003C799C"/>
    <w:rsid w:val="003D0399"/>
    <w:rsid w:val="003E1C71"/>
    <w:rsid w:val="003F327B"/>
    <w:rsid w:val="00406166"/>
    <w:rsid w:val="0040704B"/>
    <w:rsid w:val="00410A55"/>
    <w:rsid w:val="00411300"/>
    <w:rsid w:val="00413F17"/>
    <w:rsid w:val="004151D7"/>
    <w:rsid w:val="00415417"/>
    <w:rsid w:val="00426659"/>
    <w:rsid w:val="00450352"/>
    <w:rsid w:val="00454BDB"/>
    <w:rsid w:val="00465132"/>
    <w:rsid w:val="00480C90"/>
    <w:rsid w:val="0048396F"/>
    <w:rsid w:val="00493C18"/>
    <w:rsid w:val="004A600C"/>
    <w:rsid w:val="004A6118"/>
    <w:rsid w:val="004C478D"/>
    <w:rsid w:val="004D7D95"/>
    <w:rsid w:val="004E2C26"/>
    <w:rsid w:val="004F54CE"/>
    <w:rsid w:val="005125A8"/>
    <w:rsid w:val="00517549"/>
    <w:rsid w:val="00520ABC"/>
    <w:rsid w:val="00521AE8"/>
    <w:rsid w:val="00527180"/>
    <w:rsid w:val="00555291"/>
    <w:rsid w:val="00563E50"/>
    <w:rsid w:val="00566AD1"/>
    <w:rsid w:val="00583EDE"/>
    <w:rsid w:val="005955B4"/>
    <w:rsid w:val="005A6079"/>
    <w:rsid w:val="005E4698"/>
    <w:rsid w:val="005F10C5"/>
    <w:rsid w:val="00603924"/>
    <w:rsid w:val="00610539"/>
    <w:rsid w:val="00613969"/>
    <w:rsid w:val="00625C35"/>
    <w:rsid w:val="00647E49"/>
    <w:rsid w:val="00656313"/>
    <w:rsid w:val="006565F4"/>
    <w:rsid w:val="00676B2B"/>
    <w:rsid w:val="00684EEA"/>
    <w:rsid w:val="0069689B"/>
    <w:rsid w:val="006B5FF5"/>
    <w:rsid w:val="006C07E7"/>
    <w:rsid w:val="006F30AF"/>
    <w:rsid w:val="00701759"/>
    <w:rsid w:val="00705C15"/>
    <w:rsid w:val="007110F6"/>
    <w:rsid w:val="007208D1"/>
    <w:rsid w:val="00744518"/>
    <w:rsid w:val="00747288"/>
    <w:rsid w:val="00747DD3"/>
    <w:rsid w:val="007549C8"/>
    <w:rsid w:val="00766D14"/>
    <w:rsid w:val="00767A0F"/>
    <w:rsid w:val="00791272"/>
    <w:rsid w:val="007A05F6"/>
    <w:rsid w:val="007B6F4A"/>
    <w:rsid w:val="007E1C47"/>
    <w:rsid w:val="007E337A"/>
    <w:rsid w:val="007E458C"/>
    <w:rsid w:val="007E5C70"/>
    <w:rsid w:val="007F2FF5"/>
    <w:rsid w:val="007F3F08"/>
    <w:rsid w:val="00804CC6"/>
    <w:rsid w:val="00817190"/>
    <w:rsid w:val="008260E2"/>
    <w:rsid w:val="008274D7"/>
    <w:rsid w:val="008322BD"/>
    <w:rsid w:val="00834F73"/>
    <w:rsid w:val="00864C8A"/>
    <w:rsid w:val="00864CF8"/>
    <w:rsid w:val="008650D4"/>
    <w:rsid w:val="00874914"/>
    <w:rsid w:val="00891422"/>
    <w:rsid w:val="00892E1A"/>
    <w:rsid w:val="008B660A"/>
    <w:rsid w:val="008C01DA"/>
    <w:rsid w:val="008F2674"/>
    <w:rsid w:val="008F78E9"/>
    <w:rsid w:val="009179F9"/>
    <w:rsid w:val="00917C7A"/>
    <w:rsid w:val="00933E5E"/>
    <w:rsid w:val="00935218"/>
    <w:rsid w:val="00937C52"/>
    <w:rsid w:val="009403F3"/>
    <w:rsid w:val="009555B7"/>
    <w:rsid w:val="009567AA"/>
    <w:rsid w:val="009602C9"/>
    <w:rsid w:val="00967374"/>
    <w:rsid w:val="009A343A"/>
    <w:rsid w:val="009B2F23"/>
    <w:rsid w:val="009B57B3"/>
    <w:rsid w:val="009D2920"/>
    <w:rsid w:val="009D5AEB"/>
    <w:rsid w:val="009F0E33"/>
    <w:rsid w:val="00A149DF"/>
    <w:rsid w:val="00A1755C"/>
    <w:rsid w:val="00A21B90"/>
    <w:rsid w:val="00A22AAC"/>
    <w:rsid w:val="00A41805"/>
    <w:rsid w:val="00A51882"/>
    <w:rsid w:val="00A52AFB"/>
    <w:rsid w:val="00A548CB"/>
    <w:rsid w:val="00A5521C"/>
    <w:rsid w:val="00A643E7"/>
    <w:rsid w:val="00A73C38"/>
    <w:rsid w:val="00A921A7"/>
    <w:rsid w:val="00AB670D"/>
    <w:rsid w:val="00AF03C5"/>
    <w:rsid w:val="00B000D8"/>
    <w:rsid w:val="00B00F75"/>
    <w:rsid w:val="00B145B6"/>
    <w:rsid w:val="00B279EB"/>
    <w:rsid w:val="00B50C81"/>
    <w:rsid w:val="00B557F8"/>
    <w:rsid w:val="00B815FC"/>
    <w:rsid w:val="00B9260A"/>
    <w:rsid w:val="00B93FBC"/>
    <w:rsid w:val="00BA7DA0"/>
    <w:rsid w:val="00BB2EE4"/>
    <w:rsid w:val="00BB4C92"/>
    <w:rsid w:val="00BC2108"/>
    <w:rsid w:val="00BD0E9E"/>
    <w:rsid w:val="00BD1BEC"/>
    <w:rsid w:val="00BD32FF"/>
    <w:rsid w:val="00BF6FE9"/>
    <w:rsid w:val="00C02092"/>
    <w:rsid w:val="00C24D91"/>
    <w:rsid w:val="00C26DB2"/>
    <w:rsid w:val="00C53F14"/>
    <w:rsid w:val="00C600CF"/>
    <w:rsid w:val="00C6084F"/>
    <w:rsid w:val="00C62A66"/>
    <w:rsid w:val="00C66359"/>
    <w:rsid w:val="00C71458"/>
    <w:rsid w:val="00C77613"/>
    <w:rsid w:val="00C828E7"/>
    <w:rsid w:val="00C86719"/>
    <w:rsid w:val="00C921DD"/>
    <w:rsid w:val="00CA6391"/>
    <w:rsid w:val="00CE036E"/>
    <w:rsid w:val="00CE3171"/>
    <w:rsid w:val="00CF1601"/>
    <w:rsid w:val="00D0172F"/>
    <w:rsid w:val="00D01E33"/>
    <w:rsid w:val="00D068A7"/>
    <w:rsid w:val="00D17476"/>
    <w:rsid w:val="00D17B0E"/>
    <w:rsid w:val="00D32086"/>
    <w:rsid w:val="00D37A3F"/>
    <w:rsid w:val="00D4431D"/>
    <w:rsid w:val="00D4667A"/>
    <w:rsid w:val="00D504E3"/>
    <w:rsid w:val="00D63A1C"/>
    <w:rsid w:val="00D7516F"/>
    <w:rsid w:val="00D95F8E"/>
    <w:rsid w:val="00DA0590"/>
    <w:rsid w:val="00DC1739"/>
    <w:rsid w:val="00DC1788"/>
    <w:rsid w:val="00DE319C"/>
    <w:rsid w:val="00DF0CA8"/>
    <w:rsid w:val="00DF2B48"/>
    <w:rsid w:val="00DF49A7"/>
    <w:rsid w:val="00E07EE2"/>
    <w:rsid w:val="00E07FD1"/>
    <w:rsid w:val="00E24573"/>
    <w:rsid w:val="00E25E1E"/>
    <w:rsid w:val="00E27EE7"/>
    <w:rsid w:val="00E35404"/>
    <w:rsid w:val="00E45109"/>
    <w:rsid w:val="00E47B7A"/>
    <w:rsid w:val="00E552DB"/>
    <w:rsid w:val="00E56A44"/>
    <w:rsid w:val="00E60269"/>
    <w:rsid w:val="00E75838"/>
    <w:rsid w:val="00E97830"/>
    <w:rsid w:val="00EA6DD4"/>
    <w:rsid w:val="00EB1E0E"/>
    <w:rsid w:val="00ED76E0"/>
    <w:rsid w:val="00EE0830"/>
    <w:rsid w:val="00EE6CB8"/>
    <w:rsid w:val="00EF0683"/>
    <w:rsid w:val="00F0070C"/>
    <w:rsid w:val="00F00EB7"/>
    <w:rsid w:val="00F36AB6"/>
    <w:rsid w:val="00F37A09"/>
    <w:rsid w:val="00F409CE"/>
    <w:rsid w:val="00F4379D"/>
    <w:rsid w:val="00F50D2D"/>
    <w:rsid w:val="00F56C8B"/>
    <w:rsid w:val="00F62639"/>
    <w:rsid w:val="00F66810"/>
    <w:rsid w:val="00F84DF4"/>
    <w:rsid w:val="00F85C97"/>
    <w:rsid w:val="00FB37D2"/>
    <w:rsid w:val="00FC4A10"/>
    <w:rsid w:val="00FC4EFB"/>
    <w:rsid w:val="00FD068D"/>
    <w:rsid w:val="00FD4F28"/>
    <w:rsid w:val="00FE6784"/>
    <w:rsid w:val="00F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FE7A8B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FE7A8B"/>
    <w:rPr>
      <w:b/>
      <w:sz w:val="24"/>
    </w:rPr>
  </w:style>
  <w:style w:type="paragraph" w:styleId="ListParagraph">
    <w:name w:val="List Paragraph"/>
    <w:basedOn w:val="Normal"/>
    <w:uiPriority w:val="34"/>
    <w:qFormat/>
    <w:rsid w:val="00E75838"/>
    <w:pPr>
      <w:ind w:left="720"/>
      <w:contextualSpacing/>
    </w:pPr>
  </w:style>
  <w:style w:type="paragraph" w:customStyle="1" w:styleId="ParaNoNdepar-AltN">
    <w:name w:val="Para. No. / Nº de par. - Alt N"/>
    <w:qFormat/>
    <w:rsid w:val="008274D7"/>
    <w:pPr>
      <w:tabs>
        <w:tab w:val="left" w:pos="1166"/>
      </w:tabs>
      <w:spacing w:before="480" w:after="480" w:line="480" w:lineRule="auto"/>
      <w:jc w:val="both"/>
    </w:pPr>
    <w:rPr>
      <w:rFonts w:eastAsiaTheme="minorEastAsia" w:cstheme="minorBidi"/>
      <w:sz w:val="24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1228C8"/>
    <w:rPr>
      <w:rFonts w:eastAsia="Calibri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59"/>
    <w:rsid w:val="001228C8"/>
    <w:rPr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122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2021-02-27T23:17:00Z</dcterms:created>
  <dcterms:modified xsi:type="dcterms:W3CDTF">2021-03-01T18:30:00Z</dcterms:modified>
</cp:coreProperties>
</file>