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260"/>
        <w:gridCol w:w="4029"/>
        <w:gridCol w:w="22"/>
      </w:tblGrid>
      <w:tr w:rsidR="00760A0D" w:rsidTr="00760A0D">
        <w:trPr>
          <w:trHeight w:val="1786"/>
        </w:trPr>
        <w:tc>
          <w:tcPr>
            <w:tcW w:w="5000" w:type="pct"/>
            <w:gridSpan w:val="4"/>
          </w:tcPr>
          <w:p w:rsidR="00760A0D" w:rsidRDefault="00760A0D" w:rsidP="00374332">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64.8pt" o:ole="">
                  <v:imagedata r:id="rId8" o:title=""/>
                </v:shape>
                <o:OLEObject Type="Embed" ProgID="Presentations.Drawing.15" ShapeID="_x0000_i1028" DrawAspect="Content" ObjectID="_1705922492" r:id="rId9"/>
              </w:object>
            </w:r>
          </w:p>
          <w:p w:rsidR="00760A0D" w:rsidRDefault="00760A0D" w:rsidP="00374332">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760A0D" w:rsidRPr="005539EF" w:rsidTr="00760A0D">
        <w:trPr>
          <w:gridAfter w:val="1"/>
          <w:wAfter w:w="11" w:type="pct"/>
        </w:trPr>
        <w:tc>
          <w:tcPr>
            <w:tcW w:w="2163" w:type="pct"/>
            <w:tcMar>
              <w:top w:w="284" w:type="dxa"/>
            </w:tcMar>
          </w:tcPr>
          <w:p w:rsidR="00760A0D" w:rsidRPr="000248BB" w:rsidRDefault="00760A0D" w:rsidP="00374332">
            <w:pPr>
              <w:spacing w:before="100" w:beforeAutospacing="1"/>
              <w:rPr>
                <w:rFonts w:eastAsia="Calibri"/>
                <w:lang w:val="fr-CA"/>
              </w:rPr>
            </w:pPr>
            <w:r w:rsidRPr="00CB5B04">
              <w:rPr>
                <w:b/>
                <w:smallCaps/>
                <w:lang w:val="fr-CA"/>
              </w:rPr>
              <w:t>Référence :</w:t>
            </w:r>
            <w:r w:rsidRPr="00CB5B04">
              <w:rPr>
                <w:lang w:val="fr-CA"/>
              </w:rPr>
              <w:t xml:space="preserve"> </w:t>
            </w:r>
            <w:r w:rsidRPr="00760A0D">
              <w:rPr>
                <w:rStyle w:val="SCCAppellantForRunningHeadChar"/>
                <w:smallCaps w:val="0"/>
                <w:lang w:val="fr-CA"/>
              </w:rPr>
              <w:t>R.</w:t>
            </w:r>
            <w:r w:rsidRPr="00B35658">
              <w:rPr>
                <w:lang w:val="fr-CA"/>
              </w:rPr>
              <w:t xml:space="preserve"> </w:t>
            </w:r>
            <w:r w:rsidRPr="00B35658">
              <w:rPr>
                <w:i/>
                <w:lang w:val="fr-CA"/>
              </w:rPr>
              <w:t>c.</w:t>
            </w:r>
            <w:r w:rsidRPr="00B35658">
              <w:rPr>
                <w:lang w:val="fr-CA"/>
              </w:rPr>
              <w:t xml:space="preserve"> </w:t>
            </w:r>
            <w:r w:rsidRPr="00760A0D">
              <w:rPr>
                <w:rStyle w:val="SCCRespondentForRunningHeadChar"/>
                <w:smallCaps w:val="0"/>
                <w:lang w:val="fr-CA"/>
              </w:rPr>
              <w:t>Poulin</w:t>
            </w:r>
            <w:r>
              <w:rPr>
                <w:rStyle w:val="SCCRespondentForRunningHeadChar"/>
                <w:smallCaps w:val="0"/>
                <w:lang w:val="fr-CA"/>
              </w:rPr>
              <w:t xml:space="preserve">, </w:t>
            </w:r>
            <w:r w:rsidRPr="00B35658">
              <w:rPr>
                <w:lang w:val="fr-CA"/>
              </w:rPr>
              <w:t>2019 CSC 47</w:t>
            </w:r>
            <w:r>
              <w:rPr>
                <w:lang w:val="fr-CA"/>
              </w:rPr>
              <w:t xml:space="preserve">, </w:t>
            </w:r>
            <w:r w:rsidRPr="00FD2B17">
              <w:rPr>
                <w:lang w:val="fr-CA"/>
              </w:rPr>
              <w:t xml:space="preserve">[2019] 3 </w:t>
            </w:r>
            <w:r>
              <w:rPr>
                <w:lang w:val="fr-CA"/>
              </w:rPr>
              <w:t>R.C.S. 566</w:t>
            </w:r>
          </w:p>
        </w:tc>
        <w:tc>
          <w:tcPr>
            <w:tcW w:w="673" w:type="pct"/>
          </w:tcPr>
          <w:p w:rsidR="00760A0D" w:rsidRPr="00CB5B04" w:rsidRDefault="00760A0D" w:rsidP="00374332">
            <w:pPr>
              <w:rPr>
                <w:b/>
                <w:smallCaps/>
                <w:lang w:val="fr-CA"/>
              </w:rPr>
            </w:pPr>
          </w:p>
        </w:tc>
        <w:tc>
          <w:tcPr>
            <w:tcW w:w="2152" w:type="pct"/>
            <w:tcMar>
              <w:top w:w="284" w:type="dxa"/>
            </w:tcMar>
          </w:tcPr>
          <w:p w:rsidR="00760A0D" w:rsidRPr="00760A0D" w:rsidRDefault="00760A0D" w:rsidP="00374332">
            <w:pPr>
              <w:ind w:left="-58"/>
              <w:rPr>
                <w:rFonts w:eastAsiaTheme="minorHAnsi" w:cstheme="minorBidi"/>
                <w:szCs w:val="24"/>
                <w:lang w:val="fr-CA" w:eastAsia="en-US"/>
              </w:rPr>
            </w:pPr>
            <w:r w:rsidRPr="00760A0D">
              <w:rPr>
                <w:rFonts w:eastAsiaTheme="minorHAnsi" w:cstheme="minorBidi"/>
                <w:b/>
                <w:smallCaps/>
                <w:szCs w:val="24"/>
                <w:lang w:val="fr-CA" w:eastAsia="en-US"/>
              </w:rPr>
              <w:t>Appel entendu :</w:t>
            </w:r>
            <w:r w:rsidRPr="00760A0D">
              <w:rPr>
                <w:rFonts w:eastAsiaTheme="minorHAnsi" w:cstheme="minorBidi"/>
                <w:szCs w:val="24"/>
                <w:lang w:val="fr-CA" w:eastAsia="en-US"/>
              </w:rPr>
              <w:t xml:space="preserve"> 25 mars 2019</w:t>
            </w:r>
          </w:p>
          <w:p w:rsidR="00760A0D" w:rsidRPr="00760A0D" w:rsidRDefault="00760A0D" w:rsidP="00374332">
            <w:pPr>
              <w:ind w:left="-58" w:right="-58"/>
              <w:rPr>
                <w:rFonts w:eastAsiaTheme="minorHAnsi" w:cstheme="minorBidi"/>
                <w:szCs w:val="24"/>
                <w:lang w:val="fr-CA" w:eastAsia="en-US"/>
              </w:rPr>
            </w:pPr>
            <w:r w:rsidRPr="00760A0D">
              <w:rPr>
                <w:rFonts w:eastAsiaTheme="minorHAnsi" w:cstheme="minorBidi"/>
                <w:b/>
                <w:smallCaps/>
                <w:szCs w:val="24"/>
                <w:lang w:val="fr-CA" w:eastAsia="en-US"/>
              </w:rPr>
              <w:t xml:space="preserve">Jugement rendu : </w:t>
            </w:r>
            <w:r w:rsidRPr="00760A0D">
              <w:rPr>
                <w:rFonts w:eastAsiaTheme="minorHAnsi" w:cstheme="minorBidi"/>
                <w:smallCaps/>
                <w:szCs w:val="24"/>
                <w:lang w:val="fr-CA" w:eastAsia="en-US"/>
              </w:rPr>
              <w:t>11</w:t>
            </w:r>
            <w:r w:rsidRPr="00760A0D">
              <w:rPr>
                <w:rFonts w:eastAsiaTheme="minorHAnsi" w:cstheme="minorBidi"/>
                <w:szCs w:val="24"/>
                <w:lang w:val="fr-CA" w:eastAsia="en-US"/>
              </w:rPr>
              <w:t xml:space="preserve"> octobre 2019</w:t>
            </w:r>
          </w:p>
          <w:p w:rsidR="00760A0D" w:rsidRPr="00A9085B" w:rsidRDefault="00760A0D" w:rsidP="00374332">
            <w:pPr>
              <w:ind w:hanging="66"/>
              <w:rPr>
                <w:rFonts w:eastAsia="Calibri"/>
                <w:lang w:val="fr-CA"/>
              </w:rPr>
            </w:pPr>
            <w:r w:rsidRPr="00760A0D">
              <w:rPr>
                <w:rFonts w:eastAsiaTheme="minorHAnsi" w:cstheme="minorBidi"/>
                <w:b/>
                <w:smallCaps/>
                <w:szCs w:val="24"/>
                <w:lang w:val="fr-CA" w:eastAsia="en-US"/>
              </w:rPr>
              <w:t>Dossier :</w:t>
            </w:r>
            <w:r w:rsidRPr="00760A0D">
              <w:rPr>
                <w:rFonts w:eastAsiaTheme="minorHAnsi" w:cstheme="minorBidi"/>
                <w:szCs w:val="24"/>
                <w:lang w:val="fr-CA" w:eastAsia="en-US"/>
              </w:rPr>
              <w:t xml:space="preserve"> 37994</w:t>
            </w:r>
          </w:p>
        </w:tc>
      </w:tr>
      <w:tr w:rsidR="00760A0D" w:rsidRPr="00311D74" w:rsidTr="00760A0D">
        <w:tc>
          <w:tcPr>
            <w:tcW w:w="5000" w:type="pct"/>
            <w:gridSpan w:val="4"/>
          </w:tcPr>
          <w:p w:rsidR="00760A0D" w:rsidRPr="00760A0D" w:rsidRDefault="00760A0D" w:rsidP="00374332">
            <w:pPr>
              <w:rPr>
                <w:rFonts w:eastAsiaTheme="minorHAnsi" w:cstheme="minorBidi"/>
                <w:szCs w:val="24"/>
                <w:lang w:val="fr-CA" w:eastAsia="en-US"/>
              </w:rPr>
            </w:pPr>
          </w:p>
          <w:p w:rsidR="00760A0D" w:rsidRDefault="00760A0D" w:rsidP="00374332">
            <w:pPr>
              <w:rPr>
                <w:rFonts w:eastAsiaTheme="minorHAnsi" w:cstheme="minorBidi"/>
                <w:b/>
                <w:smallCaps/>
                <w:szCs w:val="24"/>
                <w:lang w:val="fr-CA" w:eastAsia="en-US"/>
              </w:rPr>
            </w:pPr>
            <w:r w:rsidRPr="00760A0D">
              <w:rPr>
                <w:rFonts w:eastAsiaTheme="minorHAnsi" w:cstheme="minorBidi"/>
                <w:b/>
                <w:smallCaps/>
                <w:szCs w:val="24"/>
                <w:lang w:val="fr-CA" w:eastAsia="en-US"/>
              </w:rPr>
              <w:t>Entre</w:t>
            </w:r>
            <w:r>
              <w:rPr>
                <w:rFonts w:eastAsiaTheme="minorHAnsi" w:cstheme="minorBidi"/>
                <w:b/>
                <w:smallCaps/>
                <w:szCs w:val="24"/>
                <w:lang w:val="fr-CA" w:eastAsia="en-US"/>
              </w:rPr>
              <w:t> </w:t>
            </w:r>
            <w:r w:rsidRPr="00760A0D">
              <w:rPr>
                <w:rFonts w:eastAsiaTheme="minorHAnsi" w:cstheme="minorBidi"/>
                <w:b/>
                <w:smallCaps/>
                <w:szCs w:val="24"/>
                <w:lang w:val="fr-CA" w:eastAsia="en-US"/>
              </w:rPr>
              <w:t>:</w:t>
            </w:r>
          </w:p>
          <w:p w:rsidR="00760A0D" w:rsidRPr="00760A0D" w:rsidRDefault="00760A0D" w:rsidP="00374332">
            <w:pPr>
              <w:rPr>
                <w:rFonts w:eastAsiaTheme="minorHAnsi" w:cstheme="minorBidi"/>
                <w:b/>
                <w:smallCaps/>
                <w:szCs w:val="24"/>
                <w:lang w:val="fr-CA" w:eastAsia="en-US"/>
              </w:rPr>
            </w:pPr>
          </w:p>
          <w:p w:rsidR="00760A0D" w:rsidRPr="00760A0D" w:rsidRDefault="00760A0D" w:rsidP="00374332">
            <w:pPr>
              <w:jc w:val="center"/>
              <w:rPr>
                <w:rFonts w:eastAsiaTheme="minorHAnsi" w:cstheme="minorBidi"/>
                <w:b/>
                <w:szCs w:val="24"/>
                <w:lang w:val="fr-CA" w:eastAsia="en-US"/>
              </w:rPr>
            </w:pPr>
            <w:r w:rsidRPr="00760A0D">
              <w:rPr>
                <w:rFonts w:eastAsiaTheme="minorHAnsi" w:cstheme="minorBidi"/>
                <w:b/>
                <w:szCs w:val="24"/>
                <w:lang w:val="fr-CA" w:eastAsia="en-US"/>
              </w:rPr>
              <w:t>Sa Majesté la Reine</w:t>
            </w:r>
          </w:p>
          <w:p w:rsidR="00760A0D" w:rsidRPr="00760A0D" w:rsidRDefault="00760A0D" w:rsidP="00374332">
            <w:pPr>
              <w:jc w:val="center"/>
              <w:rPr>
                <w:rFonts w:eastAsiaTheme="minorHAnsi" w:cstheme="minorBidi"/>
                <w:szCs w:val="24"/>
                <w:lang w:val="fr-CA" w:eastAsia="en-US"/>
              </w:rPr>
            </w:pPr>
            <w:r w:rsidRPr="00760A0D">
              <w:rPr>
                <w:rFonts w:eastAsiaTheme="minorHAnsi" w:cstheme="minorBidi"/>
                <w:szCs w:val="24"/>
                <w:lang w:val="fr-CA" w:eastAsia="en-US"/>
              </w:rPr>
              <w:t>Appelante</w:t>
            </w:r>
          </w:p>
          <w:p w:rsidR="00760A0D" w:rsidRPr="00760A0D" w:rsidRDefault="00760A0D" w:rsidP="00374332">
            <w:pPr>
              <w:rPr>
                <w:rFonts w:eastAsiaTheme="minorHAnsi" w:cstheme="minorBidi"/>
                <w:szCs w:val="24"/>
                <w:lang w:val="fr-CA" w:eastAsia="en-US"/>
              </w:rPr>
            </w:pPr>
          </w:p>
          <w:p w:rsidR="00760A0D" w:rsidRPr="00760A0D" w:rsidRDefault="00760A0D" w:rsidP="00374332">
            <w:pPr>
              <w:jc w:val="center"/>
              <w:rPr>
                <w:rFonts w:eastAsiaTheme="minorHAnsi" w:cstheme="minorBidi"/>
                <w:szCs w:val="24"/>
                <w:lang w:val="fr-CA" w:eastAsia="en-US"/>
              </w:rPr>
            </w:pPr>
            <w:r w:rsidRPr="00760A0D">
              <w:rPr>
                <w:rFonts w:eastAsiaTheme="minorHAnsi" w:cstheme="minorBidi"/>
                <w:szCs w:val="24"/>
                <w:lang w:val="fr-CA" w:eastAsia="en-US"/>
              </w:rPr>
              <w:t>et</w:t>
            </w:r>
          </w:p>
          <w:p w:rsidR="00760A0D" w:rsidRPr="00760A0D" w:rsidRDefault="00760A0D" w:rsidP="00374332">
            <w:pPr>
              <w:rPr>
                <w:rFonts w:eastAsiaTheme="minorHAnsi" w:cstheme="minorBidi"/>
                <w:szCs w:val="24"/>
                <w:lang w:val="fr-CA" w:eastAsia="en-US"/>
              </w:rPr>
            </w:pPr>
          </w:p>
          <w:p w:rsidR="00760A0D" w:rsidRPr="00760A0D" w:rsidRDefault="00760A0D" w:rsidP="00374332">
            <w:pPr>
              <w:jc w:val="center"/>
              <w:rPr>
                <w:rFonts w:eastAsiaTheme="minorHAnsi" w:cstheme="minorBidi"/>
                <w:b/>
                <w:szCs w:val="24"/>
                <w:lang w:val="fr-CA" w:eastAsia="en-US"/>
              </w:rPr>
            </w:pPr>
            <w:r w:rsidRPr="00760A0D">
              <w:rPr>
                <w:rFonts w:eastAsiaTheme="minorHAnsi" w:cstheme="minorBidi"/>
                <w:b/>
                <w:szCs w:val="24"/>
                <w:lang w:val="fr-CA" w:eastAsia="en-US"/>
              </w:rPr>
              <w:t>Rosaire Poulin</w:t>
            </w:r>
          </w:p>
          <w:p w:rsidR="00760A0D" w:rsidRPr="00760A0D" w:rsidRDefault="00760A0D" w:rsidP="00374332">
            <w:pPr>
              <w:jc w:val="center"/>
              <w:rPr>
                <w:rFonts w:eastAsiaTheme="minorHAnsi" w:cstheme="minorBidi"/>
                <w:szCs w:val="24"/>
                <w:lang w:val="fr-CA" w:eastAsia="en-US"/>
              </w:rPr>
            </w:pPr>
            <w:r w:rsidRPr="00760A0D">
              <w:rPr>
                <w:rFonts w:eastAsiaTheme="minorHAnsi" w:cstheme="minorBidi"/>
                <w:szCs w:val="24"/>
                <w:lang w:val="fr-CA" w:eastAsia="en-US"/>
              </w:rPr>
              <w:t>Intimé</w:t>
            </w:r>
          </w:p>
          <w:p w:rsidR="00760A0D" w:rsidRPr="00760A0D" w:rsidRDefault="00760A0D" w:rsidP="00374332">
            <w:pPr>
              <w:rPr>
                <w:rFonts w:eastAsiaTheme="minorHAnsi" w:cstheme="minorBidi"/>
                <w:szCs w:val="24"/>
                <w:lang w:val="fr-CA" w:eastAsia="en-US"/>
              </w:rPr>
            </w:pPr>
          </w:p>
          <w:p w:rsidR="00760A0D" w:rsidRPr="00760A0D" w:rsidRDefault="00760A0D" w:rsidP="00374332">
            <w:pPr>
              <w:jc w:val="center"/>
              <w:rPr>
                <w:rFonts w:eastAsiaTheme="minorHAnsi" w:cstheme="minorBidi"/>
                <w:szCs w:val="24"/>
                <w:lang w:val="fr-CA" w:eastAsia="en-US"/>
              </w:rPr>
            </w:pPr>
            <w:r w:rsidRPr="00760A0D">
              <w:rPr>
                <w:rFonts w:eastAsiaTheme="minorHAnsi" w:cstheme="minorBidi"/>
                <w:szCs w:val="24"/>
                <w:lang w:val="fr-CA" w:eastAsia="en-US"/>
              </w:rPr>
              <w:t>- et -</w:t>
            </w:r>
          </w:p>
          <w:p w:rsidR="00760A0D" w:rsidRPr="00760A0D" w:rsidRDefault="00760A0D" w:rsidP="00374332">
            <w:pPr>
              <w:rPr>
                <w:rFonts w:eastAsiaTheme="minorHAnsi" w:cstheme="minorBidi"/>
                <w:szCs w:val="24"/>
                <w:lang w:val="fr-CA" w:eastAsia="en-US"/>
              </w:rPr>
            </w:pPr>
          </w:p>
          <w:p w:rsidR="00760A0D" w:rsidRPr="00760A0D" w:rsidRDefault="00760A0D" w:rsidP="00374332">
            <w:pPr>
              <w:jc w:val="center"/>
              <w:rPr>
                <w:rFonts w:eastAsiaTheme="minorHAnsi" w:cstheme="minorBidi"/>
                <w:b/>
                <w:szCs w:val="24"/>
                <w:lang w:val="fr-CA" w:eastAsia="en-US"/>
              </w:rPr>
            </w:pPr>
            <w:r w:rsidRPr="00760A0D">
              <w:rPr>
                <w:rFonts w:eastAsiaTheme="minorHAnsi" w:cstheme="minorBidi"/>
                <w:b/>
                <w:szCs w:val="24"/>
                <w:lang w:val="fr-CA" w:eastAsia="en-US"/>
              </w:rPr>
              <w:t xml:space="preserve">Procureur général de l’Ontario, </w:t>
            </w:r>
          </w:p>
          <w:p w:rsidR="00760A0D" w:rsidRPr="00760A0D" w:rsidRDefault="00760A0D" w:rsidP="00374332">
            <w:pPr>
              <w:jc w:val="center"/>
              <w:rPr>
                <w:rFonts w:eastAsiaTheme="minorHAnsi" w:cstheme="minorBidi"/>
                <w:b/>
                <w:szCs w:val="24"/>
                <w:lang w:val="fr-CA" w:eastAsia="en-US"/>
              </w:rPr>
            </w:pPr>
            <w:r w:rsidRPr="00760A0D">
              <w:rPr>
                <w:rFonts w:eastAsiaTheme="minorHAnsi" w:cstheme="minorBidi"/>
                <w:b/>
                <w:szCs w:val="24"/>
                <w:lang w:val="fr-CA" w:eastAsia="en-US"/>
              </w:rPr>
              <w:t xml:space="preserve">Association québécoise des avocats et avocates de la défense et </w:t>
            </w:r>
          </w:p>
          <w:p w:rsidR="00760A0D" w:rsidRPr="00760A0D" w:rsidRDefault="00760A0D" w:rsidP="00374332">
            <w:pPr>
              <w:jc w:val="center"/>
              <w:rPr>
                <w:rFonts w:eastAsiaTheme="minorHAnsi" w:cstheme="minorBidi"/>
                <w:b/>
                <w:szCs w:val="24"/>
                <w:lang w:val="fr-CA" w:eastAsia="en-US"/>
              </w:rPr>
            </w:pPr>
            <w:proofErr w:type="spellStart"/>
            <w:r w:rsidRPr="00760A0D">
              <w:rPr>
                <w:rFonts w:eastAsiaTheme="minorHAnsi" w:cstheme="minorBidi"/>
                <w:b/>
                <w:szCs w:val="24"/>
                <w:lang w:val="fr-CA" w:eastAsia="en-US"/>
              </w:rPr>
              <w:t>Criminal</w:t>
            </w:r>
            <w:proofErr w:type="spellEnd"/>
            <w:r w:rsidRPr="00760A0D">
              <w:rPr>
                <w:rFonts w:eastAsiaTheme="minorHAnsi" w:cstheme="minorBidi"/>
                <w:b/>
                <w:szCs w:val="24"/>
                <w:lang w:val="fr-CA" w:eastAsia="en-US"/>
              </w:rPr>
              <w:t xml:space="preserve"> </w:t>
            </w:r>
            <w:proofErr w:type="spellStart"/>
            <w:r w:rsidRPr="00760A0D">
              <w:rPr>
                <w:rFonts w:eastAsiaTheme="minorHAnsi" w:cstheme="minorBidi"/>
                <w:b/>
                <w:szCs w:val="24"/>
                <w:lang w:val="fr-CA" w:eastAsia="en-US"/>
              </w:rPr>
              <w:t>Lawyers</w:t>
            </w:r>
            <w:proofErr w:type="spellEnd"/>
            <w:r w:rsidRPr="00760A0D">
              <w:rPr>
                <w:rFonts w:eastAsiaTheme="minorHAnsi" w:cstheme="minorBidi"/>
                <w:b/>
                <w:szCs w:val="24"/>
                <w:lang w:val="fr-CA" w:eastAsia="en-US"/>
              </w:rPr>
              <w:t>’ Association</w:t>
            </w:r>
          </w:p>
          <w:p w:rsidR="00760A0D" w:rsidRPr="00760A0D" w:rsidRDefault="00760A0D" w:rsidP="00374332">
            <w:pPr>
              <w:jc w:val="center"/>
              <w:rPr>
                <w:rFonts w:eastAsiaTheme="minorHAnsi" w:cstheme="minorBidi"/>
                <w:szCs w:val="24"/>
                <w:lang w:val="fr-CA" w:eastAsia="en-US"/>
              </w:rPr>
            </w:pPr>
            <w:r w:rsidRPr="00760A0D">
              <w:rPr>
                <w:rFonts w:eastAsiaTheme="minorHAnsi" w:cstheme="minorBidi"/>
                <w:szCs w:val="24"/>
                <w:lang w:val="fr-CA" w:eastAsia="en-US"/>
              </w:rPr>
              <w:t>Intervenants</w:t>
            </w:r>
          </w:p>
          <w:p w:rsidR="00760A0D" w:rsidRPr="00760A0D" w:rsidRDefault="00760A0D" w:rsidP="00374332">
            <w:pPr>
              <w:rPr>
                <w:rFonts w:eastAsiaTheme="minorHAnsi" w:cstheme="minorBidi"/>
                <w:szCs w:val="24"/>
                <w:lang w:val="fr-CA" w:eastAsia="en-US"/>
              </w:rPr>
            </w:pPr>
          </w:p>
          <w:p w:rsidR="00760A0D" w:rsidRPr="00760A0D" w:rsidRDefault="00760A0D" w:rsidP="00374332">
            <w:pPr>
              <w:rPr>
                <w:rFonts w:eastAsiaTheme="minorHAnsi" w:cstheme="minorBidi"/>
                <w:szCs w:val="24"/>
                <w:lang w:val="fr-CA" w:eastAsia="en-US"/>
              </w:rPr>
            </w:pPr>
          </w:p>
          <w:p w:rsidR="00760A0D" w:rsidRPr="00760A0D" w:rsidRDefault="00760A0D" w:rsidP="00374332">
            <w:pPr>
              <w:jc w:val="center"/>
              <w:rPr>
                <w:rFonts w:eastAsiaTheme="minorHAnsi" w:cstheme="minorBidi"/>
                <w:b/>
                <w:smallCaps/>
                <w:szCs w:val="24"/>
                <w:lang w:val="fr-CA" w:eastAsia="en-US"/>
              </w:rPr>
            </w:pPr>
            <w:r w:rsidRPr="00760A0D">
              <w:rPr>
                <w:rFonts w:eastAsiaTheme="minorHAnsi" w:cstheme="minorBidi"/>
                <w:b/>
                <w:smallCaps/>
                <w:szCs w:val="24"/>
                <w:lang w:val="fr-CA" w:eastAsia="en-US"/>
              </w:rPr>
              <w:t xml:space="preserve">Traduction française officielle : </w:t>
            </w:r>
            <w:r w:rsidRPr="00760A0D">
              <w:rPr>
                <w:rFonts w:eastAsiaTheme="minorHAnsi" w:cstheme="minorBidi"/>
                <w:szCs w:val="24"/>
                <w:lang w:val="fr-CA" w:eastAsia="en-US"/>
              </w:rPr>
              <w:t>Motifs de la juge Martin</w:t>
            </w:r>
          </w:p>
          <w:p w:rsidR="00760A0D" w:rsidRPr="00760A0D" w:rsidRDefault="00760A0D" w:rsidP="00374332">
            <w:pPr>
              <w:rPr>
                <w:rFonts w:eastAsiaTheme="minorHAnsi" w:cstheme="minorBidi"/>
                <w:szCs w:val="24"/>
                <w:lang w:val="fr-CA" w:eastAsia="en-US"/>
              </w:rPr>
            </w:pPr>
          </w:p>
          <w:p w:rsidR="00760A0D" w:rsidRPr="00760A0D" w:rsidRDefault="00760A0D" w:rsidP="00374332">
            <w:pPr>
              <w:rPr>
                <w:rFonts w:eastAsiaTheme="minorHAnsi" w:cstheme="minorBidi"/>
                <w:szCs w:val="24"/>
                <w:lang w:val="fr-CA" w:eastAsia="en-US"/>
              </w:rPr>
            </w:pPr>
            <w:r w:rsidRPr="00760A0D">
              <w:rPr>
                <w:rFonts w:eastAsiaTheme="minorHAnsi" w:cstheme="minorBidi"/>
                <w:b/>
                <w:smallCaps/>
                <w:szCs w:val="24"/>
                <w:lang w:val="fr-CA" w:eastAsia="en-US"/>
              </w:rPr>
              <w:t>Coram :</w:t>
            </w:r>
            <w:r w:rsidRPr="00760A0D">
              <w:rPr>
                <w:rFonts w:eastAsiaTheme="minorHAnsi" w:cstheme="minorBidi"/>
                <w:szCs w:val="24"/>
                <w:lang w:val="fr-CA" w:eastAsia="en-US"/>
              </w:rPr>
              <w:t xml:space="preserve"> Le juge en chef Wagner et les juges Abella, </w:t>
            </w:r>
            <w:proofErr w:type="spellStart"/>
            <w:r w:rsidRPr="00760A0D">
              <w:rPr>
                <w:rFonts w:eastAsiaTheme="minorHAnsi" w:cstheme="minorBidi"/>
                <w:szCs w:val="24"/>
                <w:lang w:val="fr-CA" w:eastAsia="en-US"/>
              </w:rPr>
              <w:t>Moldaver</w:t>
            </w:r>
            <w:proofErr w:type="spellEnd"/>
            <w:r w:rsidRPr="00760A0D">
              <w:rPr>
                <w:rFonts w:eastAsiaTheme="minorHAnsi" w:cstheme="minorBidi"/>
                <w:szCs w:val="24"/>
                <w:lang w:val="fr-CA" w:eastAsia="en-US"/>
              </w:rPr>
              <w:t xml:space="preserve">, </w:t>
            </w:r>
            <w:proofErr w:type="spellStart"/>
            <w:r w:rsidRPr="00760A0D">
              <w:rPr>
                <w:rFonts w:eastAsiaTheme="minorHAnsi" w:cstheme="minorBidi"/>
                <w:szCs w:val="24"/>
                <w:lang w:val="fr-CA" w:eastAsia="en-US"/>
              </w:rPr>
              <w:t>Karakatsanis</w:t>
            </w:r>
            <w:proofErr w:type="spellEnd"/>
            <w:r w:rsidRPr="00760A0D">
              <w:rPr>
                <w:rFonts w:eastAsiaTheme="minorHAnsi" w:cstheme="minorBidi"/>
                <w:szCs w:val="24"/>
                <w:lang w:val="fr-CA" w:eastAsia="en-US"/>
              </w:rPr>
              <w:t>, Côté, Brown et Martin</w:t>
            </w:r>
          </w:p>
          <w:p w:rsidR="00760A0D" w:rsidRPr="004A4030" w:rsidRDefault="00760A0D" w:rsidP="00374332">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760A0D" w:rsidRPr="00760A0D" w:rsidTr="00760A0D">
        <w:trPr>
          <w:cantSplit/>
          <w:trHeight w:val="732"/>
        </w:trPr>
        <w:tc>
          <w:tcPr>
            <w:tcW w:w="3618" w:type="dxa"/>
          </w:tcPr>
          <w:p w:rsidR="00760A0D" w:rsidRPr="00760A0D" w:rsidRDefault="00760A0D" w:rsidP="00760A0D">
            <w:pPr>
              <w:rPr>
                <w:b/>
                <w:smallCaps/>
                <w:lang w:val="fr-CA"/>
              </w:rPr>
            </w:pPr>
            <w:r w:rsidRPr="00760A0D">
              <w:rPr>
                <w:b/>
                <w:smallCaps/>
                <w:lang w:val="fr-CA"/>
              </w:rPr>
              <w:t>Motifs de jugement :</w:t>
            </w:r>
          </w:p>
          <w:p w:rsidR="00760A0D" w:rsidRPr="00760A0D" w:rsidRDefault="00760A0D" w:rsidP="00760A0D">
            <w:pPr>
              <w:rPr>
                <w:lang w:val="fr-CA"/>
              </w:rPr>
            </w:pPr>
            <w:r w:rsidRPr="00760A0D">
              <w:rPr>
                <w:lang w:val="fr-CA"/>
              </w:rPr>
              <w:t>(par. 1 à 121)</w:t>
            </w:r>
          </w:p>
        </w:tc>
        <w:tc>
          <w:tcPr>
            <w:tcW w:w="5742" w:type="dxa"/>
          </w:tcPr>
          <w:p w:rsidR="00760A0D" w:rsidRPr="00760A0D" w:rsidRDefault="00760A0D" w:rsidP="00760A0D">
            <w:pPr>
              <w:rPr>
                <w:lang w:val="fr-CA"/>
              </w:rPr>
            </w:pPr>
            <w:r w:rsidRPr="00760A0D">
              <w:rPr>
                <w:lang w:val="fr-CA"/>
              </w:rPr>
              <w:t xml:space="preserve">La juge Martin (avec l’accord du juge en chef Wagner et des juges </w:t>
            </w:r>
            <w:proofErr w:type="spellStart"/>
            <w:r w:rsidRPr="00760A0D">
              <w:rPr>
                <w:lang w:val="fr-CA"/>
              </w:rPr>
              <w:t>Moldaver</w:t>
            </w:r>
            <w:proofErr w:type="spellEnd"/>
            <w:r w:rsidRPr="00760A0D">
              <w:rPr>
                <w:lang w:val="fr-CA"/>
              </w:rPr>
              <w:t xml:space="preserve"> et Côté)</w:t>
            </w:r>
          </w:p>
        </w:tc>
      </w:tr>
      <w:tr w:rsidR="00760A0D" w:rsidRPr="00760A0D" w:rsidTr="00760A0D">
        <w:trPr>
          <w:cantSplit/>
          <w:trHeight w:val="648"/>
        </w:trPr>
        <w:tc>
          <w:tcPr>
            <w:tcW w:w="3618" w:type="dxa"/>
          </w:tcPr>
          <w:p w:rsidR="00760A0D" w:rsidRPr="00760A0D" w:rsidRDefault="00760A0D" w:rsidP="00760A0D">
            <w:pPr>
              <w:rPr>
                <w:b/>
                <w:smallCaps/>
                <w:lang w:val="fr-CA"/>
              </w:rPr>
            </w:pPr>
            <w:r w:rsidRPr="00760A0D">
              <w:rPr>
                <w:b/>
                <w:smallCaps/>
                <w:lang w:val="fr-CA"/>
              </w:rPr>
              <w:t>Motifs dissidents :</w:t>
            </w:r>
          </w:p>
          <w:p w:rsidR="00760A0D" w:rsidRPr="00760A0D" w:rsidRDefault="00760A0D" w:rsidP="00760A0D">
            <w:pPr>
              <w:rPr>
                <w:b/>
                <w:smallCaps/>
                <w:lang w:val="fr-CA"/>
              </w:rPr>
            </w:pPr>
            <w:r w:rsidRPr="00760A0D">
              <w:rPr>
                <w:smallCaps/>
                <w:lang w:val="fr-CA"/>
              </w:rPr>
              <w:t>(</w:t>
            </w:r>
            <w:r w:rsidRPr="00760A0D">
              <w:rPr>
                <w:lang w:val="fr-CA"/>
              </w:rPr>
              <w:t>par. 122 à 156)</w:t>
            </w:r>
          </w:p>
        </w:tc>
        <w:tc>
          <w:tcPr>
            <w:tcW w:w="5742" w:type="dxa"/>
          </w:tcPr>
          <w:p w:rsidR="00760A0D" w:rsidRPr="00760A0D" w:rsidRDefault="00760A0D" w:rsidP="00760A0D">
            <w:pPr>
              <w:rPr>
                <w:lang w:val="fr-CA"/>
              </w:rPr>
            </w:pPr>
            <w:r w:rsidRPr="00760A0D">
              <w:rPr>
                <w:lang w:val="fr-CA"/>
              </w:rPr>
              <w:t xml:space="preserve">La juge </w:t>
            </w:r>
            <w:proofErr w:type="spellStart"/>
            <w:r w:rsidRPr="00760A0D">
              <w:rPr>
                <w:lang w:val="fr-CA"/>
              </w:rPr>
              <w:t>Karakatsanis</w:t>
            </w:r>
            <w:proofErr w:type="spellEnd"/>
            <w:r w:rsidRPr="00760A0D">
              <w:rPr>
                <w:lang w:val="fr-CA"/>
              </w:rPr>
              <w:t xml:space="preserve"> (avec l’accord des juges Abella et Brown)</w:t>
            </w:r>
          </w:p>
        </w:tc>
      </w:tr>
    </w:tbl>
    <w:p w:rsidR="00760A0D" w:rsidRPr="00760A0D" w:rsidRDefault="00760A0D" w:rsidP="00760A0D">
      <w:pPr>
        <w:rPr>
          <w:rFonts w:eastAsiaTheme="minorHAnsi" w:cstheme="minorBidi"/>
          <w:szCs w:val="24"/>
          <w:lang w:val="fr-CA" w:eastAsia="en-US"/>
        </w:rPr>
      </w:pPr>
    </w:p>
    <w:p w:rsidR="00760A0D" w:rsidRPr="00760A0D" w:rsidRDefault="00760A0D" w:rsidP="00760A0D">
      <w:pPr>
        <w:rPr>
          <w:rFonts w:eastAsiaTheme="minorHAnsi" w:cstheme="minorBid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700"/>
      </w:tblGrid>
      <w:tr w:rsidR="00760A0D" w:rsidRPr="001A07BA" w:rsidTr="00760A0D">
        <w:tc>
          <w:tcPr>
            <w:tcW w:w="1442" w:type="pct"/>
            <w:tcMar>
              <w:top w:w="284" w:type="dxa"/>
            </w:tcMar>
          </w:tcPr>
          <w:p w:rsidR="00760A0D" w:rsidRPr="00A9085B" w:rsidRDefault="00760A0D" w:rsidP="00374332">
            <w:pPr>
              <w:rPr>
                <w:rFonts w:eastAsia="Calibri"/>
                <w:lang w:val="fr-CA" w:eastAsia="en-US"/>
              </w:rPr>
            </w:pPr>
          </w:p>
        </w:tc>
        <w:tc>
          <w:tcPr>
            <w:tcW w:w="2115" w:type="pct"/>
            <w:tcBorders>
              <w:bottom w:val="single" w:sz="4" w:space="0" w:color="auto"/>
            </w:tcBorders>
            <w:tcMar>
              <w:top w:w="284" w:type="dxa"/>
            </w:tcMar>
          </w:tcPr>
          <w:p w:rsidR="00760A0D" w:rsidRPr="00A9085B" w:rsidRDefault="00760A0D" w:rsidP="00374332">
            <w:pPr>
              <w:rPr>
                <w:rFonts w:eastAsia="Calibri"/>
                <w:lang w:val="fr-CA" w:eastAsia="en-US"/>
              </w:rPr>
            </w:pPr>
          </w:p>
        </w:tc>
        <w:tc>
          <w:tcPr>
            <w:tcW w:w="1442" w:type="pct"/>
            <w:tcMar>
              <w:top w:w="284" w:type="dxa"/>
            </w:tcMar>
          </w:tcPr>
          <w:p w:rsidR="00760A0D" w:rsidRPr="00A9085B" w:rsidRDefault="00760A0D" w:rsidP="00374332">
            <w:pPr>
              <w:rPr>
                <w:rFonts w:eastAsia="Calibri"/>
                <w:lang w:val="fr-CA" w:eastAsia="en-US"/>
              </w:rPr>
            </w:pPr>
          </w:p>
        </w:tc>
      </w:tr>
    </w:tbl>
    <w:p w:rsidR="00760A0D" w:rsidRDefault="00760A0D" w:rsidP="00295AF0">
      <w:pPr>
        <w:spacing w:after="720"/>
        <w:jc w:val="both"/>
        <w:rPr>
          <w:rStyle w:val="SCCAppellantForRunningHeadChar"/>
          <w:smallCaps w:val="0"/>
          <w:lang w:val="fr-CA"/>
        </w:rPr>
      </w:pPr>
      <w:bookmarkStart w:id="0" w:name="_GoBack"/>
      <w:bookmarkEnd w:id="0"/>
    </w:p>
    <w:p w:rsidR="004D7D95" w:rsidRPr="00B35658" w:rsidRDefault="00760A0D" w:rsidP="00295AF0">
      <w:pPr>
        <w:spacing w:after="720"/>
        <w:jc w:val="both"/>
        <w:rPr>
          <w:lang w:val="fr-CA"/>
        </w:rPr>
      </w:pPr>
      <w:r w:rsidRPr="00760A0D">
        <w:rPr>
          <w:rStyle w:val="SCCAppellantForRunningHeadChar"/>
          <w:smallCaps w:val="0"/>
          <w:lang w:val="fr-CA"/>
        </w:rPr>
        <w:t>R.</w:t>
      </w:r>
      <w:r w:rsidR="004D7D95" w:rsidRPr="00B35658">
        <w:rPr>
          <w:lang w:val="fr-CA"/>
        </w:rPr>
        <w:t xml:space="preserve"> </w:t>
      </w:r>
      <w:r w:rsidR="004D7D95" w:rsidRPr="00B35658">
        <w:rPr>
          <w:i/>
          <w:lang w:val="fr-CA"/>
        </w:rPr>
        <w:t>c.</w:t>
      </w:r>
      <w:r w:rsidR="004D7D95" w:rsidRPr="00B35658">
        <w:rPr>
          <w:lang w:val="fr-CA"/>
        </w:rPr>
        <w:t xml:space="preserve"> </w:t>
      </w:r>
      <w:r w:rsidRPr="00760A0D">
        <w:rPr>
          <w:rStyle w:val="SCCRespondentForRunningHeadChar"/>
          <w:smallCaps w:val="0"/>
          <w:lang w:val="fr-CA"/>
        </w:rPr>
        <w:t>P</w:t>
      </w:r>
      <w:r w:rsidR="004D7D95" w:rsidRPr="00760A0D">
        <w:rPr>
          <w:rStyle w:val="SCCRespondentForRunningHeadChar"/>
          <w:smallCaps w:val="0"/>
          <w:lang w:val="fr-CA"/>
        </w:rPr>
        <w:t>oulin</w:t>
      </w:r>
      <w:r>
        <w:rPr>
          <w:rStyle w:val="SCCRespondentForRunningHeadChar"/>
          <w:smallCaps w:val="0"/>
          <w:lang w:val="fr-CA"/>
        </w:rPr>
        <w:t xml:space="preserve">, </w:t>
      </w:r>
      <w:r w:rsidRPr="00B35658">
        <w:rPr>
          <w:lang w:val="fr-CA"/>
        </w:rPr>
        <w:t>2019 CSC 47</w:t>
      </w:r>
      <w:r>
        <w:rPr>
          <w:lang w:val="fr-CA"/>
        </w:rPr>
        <w:t xml:space="preserve">, </w:t>
      </w:r>
      <w:r w:rsidRPr="00FD2B17">
        <w:rPr>
          <w:lang w:val="fr-CA"/>
        </w:rPr>
        <w:t xml:space="preserve">[2019] 3 </w:t>
      </w:r>
      <w:r>
        <w:rPr>
          <w:lang w:val="fr-CA"/>
        </w:rPr>
        <w:t>R.C.S.</w:t>
      </w:r>
      <w:r>
        <w:rPr>
          <w:lang w:val="fr-CA"/>
        </w:rPr>
        <w:t xml:space="preserve"> 566</w:t>
      </w:r>
    </w:p>
    <w:p w:rsidR="000F4163" w:rsidRPr="00B35658" w:rsidRDefault="004D6A1C" w:rsidP="00295AF0">
      <w:pPr>
        <w:pStyle w:val="SCCLsocLastPartyInRole"/>
        <w:rPr>
          <w:lang w:val="fr-CA"/>
        </w:rPr>
      </w:pPr>
      <w:r w:rsidRPr="00B35658">
        <w:rPr>
          <w:lang w:val="fr-CA"/>
        </w:rPr>
        <w:t>Sa Majesté la Reine</w:t>
      </w:r>
      <w:r w:rsidR="009B2B4F" w:rsidRPr="00B35658">
        <w:rPr>
          <w:rStyle w:val="SCCLsocPartyRole"/>
          <w:lang w:val="fr-CA"/>
        </w:rPr>
        <w:tab/>
        <w:t>Appelante</w:t>
      </w:r>
    </w:p>
    <w:p w:rsidR="000F4163" w:rsidRPr="00B35658" w:rsidRDefault="004D6A1C" w:rsidP="00295AF0">
      <w:pPr>
        <w:pStyle w:val="SCCLsocVersus"/>
        <w:rPr>
          <w:lang w:val="fr-CA"/>
        </w:rPr>
      </w:pPr>
      <w:proofErr w:type="gramStart"/>
      <w:r w:rsidRPr="00B35658">
        <w:rPr>
          <w:lang w:val="fr-CA"/>
        </w:rPr>
        <w:t>c</w:t>
      </w:r>
      <w:proofErr w:type="gramEnd"/>
      <w:r w:rsidRPr="00B35658">
        <w:rPr>
          <w:lang w:val="fr-CA"/>
        </w:rPr>
        <w:t>.</w:t>
      </w:r>
    </w:p>
    <w:p w:rsidR="000F4163" w:rsidRPr="00B35658" w:rsidRDefault="004D6A1C" w:rsidP="00295AF0">
      <w:pPr>
        <w:pStyle w:val="SCCLsocLastPartyInRole"/>
        <w:rPr>
          <w:lang w:val="fr-CA"/>
        </w:rPr>
      </w:pPr>
      <w:r w:rsidRPr="00B35658">
        <w:rPr>
          <w:lang w:val="fr-CA"/>
        </w:rPr>
        <w:t>Rosaire Poulin</w:t>
      </w:r>
      <w:r w:rsidR="009B2B4F" w:rsidRPr="00B35658">
        <w:rPr>
          <w:rStyle w:val="SCCLsocPartyRole"/>
          <w:lang w:val="fr-CA"/>
        </w:rPr>
        <w:tab/>
        <w:t>Intimé</w:t>
      </w:r>
    </w:p>
    <w:p w:rsidR="000F4163" w:rsidRPr="00B35658" w:rsidRDefault="004D6A1C" w:rsidP="00295AF0">
      <w:pPr>
        <w:pStyle w:val="SCCLsocOtherPartySeparator"/>
        <w:rPr>
          <w:lang w:val="fr-CA"/>
        </w:rPr>
      </w:pPr>
      <w:proofErr w:type="gramStart"/>
      <w:r w:rsidRPr="00B35658">
        <w:rPr>
          <w:lang w:val="fr-CA"/>
        </w:rPr>
        <w:t>et</w:t>
      </w:r>
      <w:proofErr w:type="gramEnd"/>
    </w:p>
    <w:p w:rsidR="000F4163" w:rsidRPr="00B35658" w:rsidRDefault="004D6A1C">
      <w:pPr>
        <w:pStyle w:val="SCCLsocParty"/>
        <w:rPr>
          <w:lang w:val="fr-CA"/>
        </w:rPr>
      </w:pPr>
      <w:r w:rsidRPr="00B35658">
        <w:rPr>
          <w:lang w:val="fr-CA"/>
        </w:rPr>
        <w:t>Procureur</w:t>
      </w:r>
      <w:r w:rsidR="00C744E3" w:rsidRPr="00B35658">
        <w:rPr>
          <w:lang w:val="fr-CA"/>
        </w:rPr>
        <w:t xml:space="preserve"> général </w:t>
      </w:r>
      <w:r w:rsidRPr="00B35658">
        <w:rPr>
          <w:lang w:val="fr-CA"/>
        </w:rPr>
        <w:t>de l</w:t>
      </w:r>
      <w:r w:rsidR="00926DDA" w:rsidRPr="00B35658">
        <w:rPr>
          <w:lang w:val="fr-CA"/>
        </w:rPr>
        <w:t>’</w:t>
      </w:r>
      <w:r w:rsidRPr="00B35658">
        <w:rPr>
          <w:lang w:val="fr-CA"/>
        </w:rPr>
        <w:t>Ontario,</w:t>
      </w:r>
    </w:p>
    <w:p w:rsidR="000F4163" w:rsidRPr="00B35658" w:rsidRDefault="004D6A1C">
      <w:pPr>
        <w:pStyle w:val="SCCLsocParty"/>
        <w:rPr>
          <w:lang w:val="fr-CA"/>
        </w:rPr>
      </w:pPr>
      <w:r w:rsidRPr="00B35658">
        <w:rPr>
          <w:lang w:val="fr-CA"/>
        </w:rPr>
        <w:t>Association québécoise des av</w:t>
      </w:r>
      <w:r w:rsidR="005C58E2" w:rsidRPr="00B35658">
        <w:rPr>
          <w:lang w:val="fr-CA"/>
        </w:rPr>
        <w:t>ocats et avocates de la défense et</w:t>
      </w:r>
    </w:p>
    <w:p w:rsidR="000F4163" w:rsidRPr="00B35658" w:rsidRDefault="004D6A1C" w:rsidP="00295AF0">
      <w:pPr>
        <w:pStyle w:val="SCCLsocLastPartyInRole"/>
        <w:rPr>
          <w:lang w:val="fr-CA"/>
        </w:rPr>
      </w:pPr>
      <w:proofErr w:type="spellStart"/>
      <w:r w:rsidRPr="00B35658">
        <w:rPr>
          <w:lang w:val="fr-CA"/>
        </w:rPr>
        <w:t>Criminal</w:t>
      </w:r>
      <w:proofErr w:type="spellEnd"/>
      <w:r w:rsidRPr="00B35658">
        <w:rPr>
          <w:lang w:val="fr-CA"/>
        </w:rPr>
        <w:t xml:space="preserve"> </w:t>
      </w:r>
      <w:proofErr w:type="spellStart"/>
      <w:r w:rsidRPr="00B35658">
        <w:rPr>
          <w:lang w:val="fr-CA"/>
        </w:rPr>
        <w:t>Lawyers</w:t>
      </w:r>
      <w:proofErr w:type="spellEnd"/>
      <w:r w:rsidR="00926DDA" w:rsidRPr="00B35658">
        <w:rPr>
          <w:lang w:val="fr-CA"/>
        </w:rPr>
        <w:t>’</w:t>
      </w:r>
      <w:r w:rsidRPr="00B35658">
        <w:rPr>
          <w:lang w:val="fr-CA"/>
        </w:rPr>
        <w:t xml:space="preserve"> Association</w:t>
      </w:r>
      <w:r w:rsidR="0071216E" w:rsidRPr="00B35658">
        <w:rPr>
          <w:rStyle w:val="SCCLsocPartyRole"/>
          <w:lang w:val="fr-CA"/>
        </w:rPr>
        <w:tab/>
        <w:t>Intervenant</w:t>
      </w:r>
      <w:r w:rsidRPr="00B35658">
        <w:rPr>
          <w:rStyle w:val="SCCLsocPartyRole"/>
          <w:lang w:val="fr-CA"/>
        </w:rPr>
        <w:t>s</w:t>
      </w:r>
    </w:p>
    <w:p w:rsidR="004D7D95" w:rsidRPr="00B35658" w:rsidRDefault="004D7D95" w:rsidP="00295AF0">
      <w:pPr>
        <w:spacing w:after="720"/>
        <w:jc w:val="both"/>
        <w:rPr>
          <w:b/>
          <w:lang w:val="fr-CA"/>
        </w:rPr>
      </w:pPr>
      <w:r w:rsidRPr="00B35658">
        <w:rPr>
          <w:b/>
          <w:lang w:val="fr-CA"/>
        </w:rPr>
        <w:t>Répertorié</w:t>
      </w:r>
      <w:r w:rsidR="00295AF0" w:rsidRPr="00B35658">
        <w:rPr>
          <w:b/>
          <w:lang w:val="fr-CA"/>
        </w:rPr>
        <w:t> :</w:t>
      </w:r>
      <w:r w:rsidRPr="00B35658">
        <w:rPr>
          <w:b/>
          <w:lang w:val="fr-CA"/>
        </w:rPr>
        <w:t> </w:t>
      </w:r>
      <w:r w:rsidRPr="00B35658">
        <w:rPr>
          <w:rStyle w:val="SCCAppellantForIndexChar"/>
          <w:lang w:val="fr-CA"/>
        </w:rPr>
        <w:t>R.</w:t>
      </w:r>
      <w:r w:rsidRPr="00B35658">
        <w:rPr>
          <w:b/>
          <w:lang w:val="fr-CA"/>
        </w:rPr>
        <w:t xml:space="preserve"> </w:t>
      </w:r>
      <w:r w:rsidRPr="00B35658">
        <w:rPr>
          <w:b/>
          <w:i/>
          <w:lang w:val="fr-CA"/>
        </w:rPr>
        <w:t>c.</w:t>
      </w:r>
      <w:r w:rsidRPr="00B35658">
        <w:rPr>
          <w:b/>
          <w:lang w:val="fr-CA"/>
        </w:rPr>
        <w:t xml:space="preserve"> </w:t>
      </w:r>
      <w:r w:rsidRPr="00B35658">
        <w:rPr>
          <w:rStyle w:val="SCCRespondentForIndexChar"/>
          <w:lang w:val="fr-CA"/>
        </w:rPr>
        <w:t>Poulin</w:t>
      </w:r>
    </w:p>
    <w:p w:rsidR="004D7D95" w:rsidRPr="00B35658" w:rsidRDefault="00D17B0E" w:rsidP="00295AF0">
      <w:pPr>
        <w:pStyle w:val="SCCSystemYear"/>
        <w:spacing w:after="720"/>
        <w:jc w:val="both"/>
        <w:rPr>
          <w:lang w:val="fr-CA"/>
        </w:rPr>
      </w:pPr>
      <w:r w:rsidRPr="00B35658">
        <w:rPr>
          <w:lang w:val="fr-CA"/>
        </w:rPr>
        <w:t>2019</w:t>
      </w:r>
      <w:r w:rsidR="0037732F" w:rsidRPr="00B35658">
        <w:rPr>
          <w:lang w:val="fr-CA"/>
        </w:rPr>
        <w:t xml:space="preserve"> CSC </w:t>
      </w:r>
      <w:r w:rsidR="00725950" w:rsidRPr="00B35658">
        <w:rPr>
          <w:lang w:val="fr-CA"/>
        </w:rPr>
        <w:t>47</w:t>
      </w:r>
    </w:p>
    <w:p w:rsidR="004D7D95" w:rsidRPr="00B35658" w:rsidRDefault="004D7D95" w:rsidP="00295AF0">
      <w:pPr>
        <w:spacing w:after="720"/>
        <w:jc w:val="both"/>
        <w:rPr>
          <w:lang w:val="fr-CA"/>
        </w:rPr>
      </w:pPr>
      <w:r w:rsidRPr="00B35658">
        <w:rPr>
          <w:lang w:val="fr-CA"/>
        </w:rPr>
        <w:t>N</w:t>
      </w:r>
      <w:r w:rsidRPr="00B35658">
        <w:rPr>
          <w:vertAlign w:val="superscript"/>
          <w:lang w:val="fr-CA"/>
        </w:rPr>
        <w:t>o</w:t>
      </w:r>
      <w:r w:rsidRPr="00B35658">
        <w:rPr>
          <w:lang w:val="fr-CA"/>
        </w:rPr>
        <w:t xml:space="preserve"> du greffe</w:t>
      </w:r>
      <w:r w:rsidR="00295AF0" w:rsidRPr="00B35658">
        <w:rPr>
          <w:lang w:val="fr-CA"/>
        </w:rPr>
        <w:t> :</w:t>
      </w:r>
      <w:r w:rsidRPr="00B35658">
        <w:rPr>
          <w:lang w:val="fr-CA"/>
        </w:rPr>
        <w:t> 37994.</w:t>
      </w:r>
    </w:p>
    <w:p w:rsidR="004D7D95" w:rsidRPr="00B35658" w:rsidRDefault="00D17B0E" w:rsidP="00295AF0">
      <w:pPr>
        <w:spacing w:after="720"/>
        <w:jc w:val="both"/>
        <w:rPr>
          <w:lang w:val="fr-CA"/>
        </w:rPr>
      </w:pPr>
      <w:r w:rsidRPr="00B35658">
        <w:rPr>
          <w:lang w:val="fr-CA"/>
        </w:rPr>
        <w:t>2019</w:t>
      </w:r>
      <w:r w:rsidR="0037732F" w:rsidRPr="00B35658">
        <w:rPr>
          <w:lang w:val="fr-CA"/>
        </w:rPr>
        <w:t xml:space="preserve"> : </w:t>
      </w:r>
      <w:r w:rsidR="00295AF0" w:rsidRPr="00B35658">
        <w:rPr>
          <w:lang w:val="fr-CA"/>
        </w:rPr>
        <w:t>25 </w:t>
      </w:r>
      <w:r w:rsidRPr="00B35658">
        <w:rPr>
          <w:lang w:val="fr-CA"/>
        </w:rPr>
        <w:t>mars</w:t>
      </w:r>
      <w:r w:rsidR="004D7D95" w:rsidRPr="00B35658">
        <w:rPr>
          <w:lang w:val="fr-CA"/>
        </w:rPr>
        <w:t xml:space="preserve">; </w:t>
      </w:r>
      <w:r w:rsidR="00936EAB" w:rsidRPr="00B35658">
        <w:rPr>
          <w:lang w:val="fr-CA"/>
        </w:rPr>
        <w:t>2019 : 11 </w:t>
      </w:r>
      <w:r w:rsidR="0071216E" w:rsidRPr="00B35658">
        <w:rPr>
          <w:lang w:val="fr-CA"/>
        </w:rPr>
        <w:t>octobre</w:t>
      </w:r>
      <w:r w:rsidR="004D7D95" w:rsidRPr="00B35658">
        <w:rPr>
          <w:lang w:val="fr-CA"/>
        </w:rPr>
        <w:t>.</w:t>
      </w:r>
    </w:p>
    <w:p w:rsidR="004D7D95" w:rsidRPr="00B35658" w:rsidRDefault="004D7D95" w:rsidP="00295AF0">
      <w:pPr>
        <w:spacing w:after="720"/>
        <w:jc w:val="both"/>
        <w:rPr>
          <w:lang w:val="fr-CA"/>
        </w:rPr>
      </w:pPr>
      <w:r w:rsidRPr="00B35658">
        <w:rPr>
          <w:lang w:val="fr-CA"/>
        </w:rPr>
        <w:t>Présents</w:t>
      </w:r>
      <w:r w:rsidR="00295AF0" w:rsidRPr="00B35658">
        <w:rPr>
          <w:lang w:val="fr-CA"/>
        </w:rPr>
        <w:t> :</w:t>
      </w:r>
      <w:r w:rsidRPr="00B35658">
        <w:rPr>
          <w:lang w:val="fr-CA"/>
        </w:rPr>
        <w:t xml:space="preserve"> Le juge en chef Wagner et les juges Abella, </w:t>
      </w:r>
      <w:proofErr w:type="spellStart"/>
      <w:r w:rsidRPr="00B35658">
        <w:rPr>
          <w:lang w:val="fr-CA"/>
        </w:rPr>
        <w:t>Moldaver</w:t>
      </w:r>
      <w:proofErr w:type="spellEnd"/>
      <w:r w:rsidRPr="00B35658">
        <w:rPr>
          <w:lang w:val="fr-CA"/>
        </w:rPr>
        <w:t xml:space="preserve">, </w:t>
      </w:r>
      <w:proofErr w:type="spellStart"/>
      <w:r w:rsidRPr="00B35658">
        <w:rPr>
          <w:lang w:val="fr-CA"/>
        </w:rPr>
        <w:t>Karakatsanis</w:t>
      </w:r>
      <w:proofErr w:type="spellEnd"/>
      <w:r w:rsidRPr="00B35658">
        <w:rPr>
          <w:lang w:val="fr-CA"/>
        </w:rPr>
        <w:t>, Côté, Brown et Martin.</w:t>
      </w:r>
    </w:p>
    <w:p w:rsidR="004D7D95" w:rsidRPr="00B35658" w:rsidRDefault="004D7D95" w:rsidP="00295AF0">
      <w:pPr>
        <w:spacing w:after="720"/>
        <w:jc w:val="both"/>
        <w:rPr>
          <w:smallCaps/>
          <w:lang w:val="fr-CA"/>
        </w:rPr>
      </w:pPr>
      <w:r w:rsidRPr="00B35658">
        <w:rPr>
          <w:smallCaps/>
          <w:lang w:val="fr-CA"/>
        </w:rPr>
        <w:lastRenderedPageBreak/>
        <w:t>en appel de la cour d</w:t>
      </w:r>
      <w:r w:rsidR="00926DDA" w:rsidRPr="00B35658">
        <w:rPr>
          <w:smallCaps/>
          <w:lang w:val="fr-CA"/>
        </w:rPr>
        <w:t>’</w:t>
      </w:r>
      <w:r w:rsidR="00936EAB" w:rsidRPr="00B35658">
        <w:rPr>
          <w:smallCaps/>
          <w:lang w:val="fr-CA"/>
        </w:rPr>
        <w:t xml:space="preserve">appel du </w:t>
      </w:r>
      <w:proofErr w:type="spellStart"/>
      <w:r w:rsidR="00936EAB" w:rsidRPr="00B35658">
        <w:rPr>
          <w:smallCaps/>
          <w:lang w:val="fr-CA"/>
        </w:rPr>
        <w:t>québec</w:t>
      </w:r>
      <w:proofErr w:type="spellEnd"/>
    </w:p>
    <w:p w:rsidR="00C744E3" w:rsidRPr="00B35658" w:rsidRDefault="004D7D95" w:rsidP="00EB1B06">
      <w:pPr>
        <w:pStyle w:val="SCCNormalDoubleSpacing"/>
        <w:spacing w:after="480"/>
        <w:rPr>
          <w:i/>
          <w:lang w:val="fr-CA"/>
        </w:rPr>
      </w:pPr>
      <w:r w:rsidRPr="00B35658">
        <w:rPr>
          <w:lang w:val="fr-CA"/>
        </w:rPr>
        <w:tab/>
      </w:r>
      <w:r w:rsidR="00922CE6" w:rsidRPr="00B35658">
        <w:rPr>
          <w:i/>
          <w:lang w:val="fr-CA"/>
        </w:rPr>
        <w:t>Droit constitutionnel</w:t>
      </w:r>
      <w:r w:rsidR="00C744E3" w:rsidRPr="00B35658">
        <w:rPr>
          <w:i/>
          <w:lang w:val="fr-CA"/>
        </w:rPr>
        <w:t xml:space="preserve"> </w:t>
      </w:r>
      <w:r w:rsidR="00922CE6" w:rsidRPr="00B35658">
        <w:rPr>
          <w:i/>
          <w:lang w:val="fr-CA"/>
        </w:rPr>
        <w:t>—</w:t>
      </w:r>
      <w:r w:rsidR="00C744E3" w:rsidRPr="00B35658">
        <w:rPr>
          <w:i/>
          <w:lang w:val="fr-CA"/>
        </w:rPr>
        <w:t xml:space="preserve"> Charte</w:t>
      </w:r>
      <w:r w:rsidR="00922CE6" w:rsidRPr="00B35658">
        <w:rPr>
          <w:i/>
          <w:lang w:val="fr-CA"/>
        </w:rPr>
        <w:t xml:space="preserve"> des droits —</w:t>
      </w:r>
      <w:r w:rsidR="00C744E3" w:rsidRPr="00B35658">
        <w:rPr>
          <w:i/>
          <w:lang w:val="fr-CA"/>
        </w:rPr>
        <w:t xml:space="preserve"> </w:t>
      </w:r>
      <w:r w:rsidR="00922CE6" w:rsidRPr="00B35658">
        <w:rPr>
          <w:i/>
          <w:lang w:val="fr-CA"/>
        </w:rPr>
        <w:t>Bénéfice de la peine la moins sévère</w:t>
      </w:r>
      <w:r w:rsidR="00C744E3" w:rsidRPr="00B35658">
        <w:rPr>
          <w:i/>
          <w:lang w:val="fr-CA"/>
        </w:rPr>
        <w:t xml:space="preserve"> </w:t>
      </w:r>
      <w:r w:rsidR="00922CE6" w:rsidRPr="00B35658">
        <w:rPr>
          <w:i/>
          <w:lang w:val="fr-CA"/>
        </w:rPr>
        <w:t>—</w:t>
      </w:r>
      <w:r w:rsidR="00C744E3" w:rsidRPr="00B35658">
        <w:rPr>
          <w:i/>
          <w:lang w:val="fr-CA"/>
        </w:rPr>
        <w:t xml:space="preserve"> </w:t>
      </w:r>
      <w:r w:rsidR="00922CE6" w:rsidRPr="00B35658">
        <w:rPr>
          <w:i/>
          <w:lang w:val="fr-CA"/>
        </w:rPr>
        <w:t xml:space="preserve">Contrevenant déclaré coupable d’infractions d’ordre sexuel </w:t>
      </w:r>
      <w:r w:rsidR="00CD1728" w:rsidRPr="00B35658">
        <w:rPr>
          <w:i/>
          <w:lang w:val="fr-CA"/>
        </w:rPr>
        <w:t>historiques</w:t>
      </w:r>
      <w:r w:rsidR="00C744E3" w:rsidRPr="00B35658">
        <w:rPr>
          <w:i/>
          <w:lang w:val="fr-CA"/>
        </w:rPr>
        <w:t xml:space="preserve"> </w:t>
      </w:r>
      <w:r w:rsidR="00922CE6" w:rsidRPr="00B35658">
        <w:rPr>
          <w:i/>
          <w:lang w:val="fr-CA"/>
        </w:rPr>
        <w:t>—</w:t>
      </w:r>
      <w:r w:rsidR="00C744E3" w:rsidRPr="00B35658">
        <w:rPr>
          <w:i/>
          <w:lang w:val="fr-CA"/>
        </w:rPr>
        <w:t xml:space="preserve"> </w:t>
      </w:r>
      <w:r w:rsidR="00922CE6" w:rsidRPr="00B35658">
        <w:rPr>
          <w:i/>
          <w:lang w:val="fr-CA"/>
        </w:rPr>
        <w:t xml:space="preserve">Revendication par le contrevenant du droit constitutionnel de se voir infliger une peine qui n’était prévue au </w:t>
      </w:r>
      <w:r w:rsidR="00C744E3" w:rsidRPr="00B35658">
        <w:rPr>
          <w:i/>
          <w:lang w:val="fr-CA"/>
        </w:rPr>
        <w:t>Code</w:t>
      </w:r>
      <w:r w:rsidR="00922CE6" w:rsidRPr="00B35658">
        <w:rPr>
          <w:i/>
          <w:lang w:val="fr-CA"/>
        </w:rPr>
        <w:t xml:space="preserve"> criminel</w:t>
      </w:r>
      <w:r w:rsidR="00C744E3" w:rsidRPr="00B35658">
        <w:rPr>
          <w:i/>
          <w:lang w:val="fr-CA"/>
        </w:rPr>
        <w:t xml:space="preserve"> </w:t>
      </w:r>
      <w:r w:rsidR="00922CE6" w:rsidRPr="00B35658">
        <w:rPr>
          <w:i/>
          <w:lang w:val="fr-CA"/>
        </w:rPr>
        <w:t xml:space="preserve">ni au moment de la </w:t>
      </w:r>
      <w:r w:rsidR="00A15CEC" w:rsidRPr="00B35658">
        <w:rPr>
          <w:i/>
          <w:lang w:val="fr-CA"/>
        </w:rPr>
        <w:t>perpétration</w:t>
      </w:r>
      <w:r w:rsidR="00922CE6" w:rsidRPr="00B35658">
        <w:rPr>
          <w:i/>
          <w:lang w:val="fr-CA"/>
        </w:rPr>
        <w:t xml:space="preserve"> des infractions ni à celui de la sentence, mais seulement au cours d’une période précise entre ces deux moments —</w:t>
      </w:r>
      <w:r w:rsidR="00C744E3" w:rsidRPr="00B35658">
        <w:rPr>
          <w:i/>
          <w:lang w:val="fr-CA"/>
        </w:rPr>
        <w:t xml:space="preserve"> </w:t>
      </w:r>
      <w:r w:rsidR="0041178D" w:rsidRPr="00B35658">
        <w:rPr>
          <w:i/>
          <w:lang w:val="fr-CA"/>
        </w:rPr>
        <w:t xml:space="preserve">Le contrevenant </w:t>
      </w:r>
      <w:proofErr w:type="spellStart"/>
      <w:r w:rsidR="0041178D" w:rsidRPr="00B35658">
        <w:rPr>
          <w:i/>
          <w:lang w:val="fr-CA"/>
        </w:rPr>
        <w:t>a</w:t>
      </w:r>
      <w:r w:rsidR="0041178D" w:rsidRPr="00B35658">
        <w:rPr>
          <w:i/>
          <w:lang w:val="fr-CA"/>
        </w:rPr>
        <w:noBreakHyphen/>
        <w:t>t</w:t>
      </w:r>
      <w:r w:rsidR="0041178D" w:rsidRPr="00B35658">
        <w:rPr>
          <w:i/>
          <w:lang w:val="fr-CA"/>
        </w:rPr>
        <w:noBreakHyphen/>
      </w:r>
      <w:r w:rsidR="00922CE6" w:rsidRPr="00B35658">
        <w:rPr>
          <w:i/>
          <w:lang w:val="fr-CA"/>
        </w:rPr>
        <w:t>il</w:t>
      </w:r>
      <w:proofErr w:type="spellEnd"/>
      <w:r w:rsidR="00922CE6" w:rsidRPr="00B35658">
        <w:rPr>
          <w:i/>
          <w:lang w:val="fr-CA"/>
        </w:rPr>
        <w:t xml:space="preserve"> le droit de bénéficier uniquement de la peine applicable au moment de l’infraction et à celui de la sentence ou le droit de bénéficier de toute peine applicable durant l’intervalle entre ce</w:t>
      </w:r>
      <w:r w:rsidR="00E177AB" w:rsidRPr="00B35658">
        <w:rPr>
          <w:i/>
          <w:lang w:val="fr-CA"/>
        </w:rPr>
        <w:t>s</w:t>
      </w:r>
      <w:r w:rsidR="00922CE6" w:rsidRPr="00B35658">
        <w:rPr>
          <w:i/>
          <w:lang w:val="fr-CA"/>
        </w:rPr>
        <w:t xml:space="preserve"> deux moments? —</w:t>
      </w:r>
      <w:r w:rsidR="00C744E3" w:rsidRPr="00B35658">
        <w:rPr>
          <w:lang w:val="fr-CA"/>
        </w:rPr>
        <w:t xml:space="preserve"> </w:t>
      </w:r>
      <w:r w:rsidR="00C744E3" w:rsidRPr="00B35658">
        <w:rPr>
          <w:i/>
          <w:lang w:val="fr-CA"/>
        </w:rPr>
        <w:t>C</w:t>
      </w:r>
      <w:r w:rsidR="00922CE6" w:rsidRPr="00B35658">
        <w:rPr>
          <w:i/>
          <w:lang w:val="fr-CA"/>
        </w:rPr>
        <w:t>harte canadien</w:t>
      </w:r>
      <w:r w:rsidR="00EB1B06" w:rsidRPr="00B35658">
        <w:rPr>
          <w:i/>
          <w:lang w:val="fr-CA"/>
        </w:rPr>
        <w:t>ne des droits et libertés, art. </w:t>
      </w:r>
      <w:r w:rsidR="00C744E3" w:rsidRPr="00B35658">
        <w:rPr>
          <w:i/>
          <w:lang w:val="fr-CA"/>
        </w:rPr>
        <w:t>11i).</w:t>
      </w:r>
    </w:p>
    <w:p w:rsidR="00C744E3" w:rsidRPr="00B35658" w:rsidRDefault="00C744E3" w:rsidP="00EB1B06">
      <w:pPr>
        <w:pStyle w:val="SCCNormalDoubleSpacing"/>
        <w:spacing w:after="480"/>
        <w:rPr>
          <w:i/>
          <w:lang w:val="fr-CA"/>
        </w:rPr>
      </w:pPr>
      <w:r w:rsidRPr="00B35658">
        <w:rPr>
          <w:i/>
          <w:lang w:val="fr-CA"/>
        </w:rPr>
        <w:tab/>
      </w:r>
      <w:r w:rsidR="00922CE6" w:rsidRPr="00B35658">
        <w:rPr>
          <w:i/>
          <w:lang w:val="fr-CA"/>
        </w:rPr>
        <w:t>Droit c</w:t>
      </w:r>
      <w:r w:rsidRPr="00B35658">
        <w:rPr>
          <w:i/>
          <w:lang w:val="fr-CA"/>
        </w:rPr>
        <w:t>rimin</w:t>
      </w:r>
      <w:r w:rsidR="00922CE6" w:rsidRPr="00B35658">
        <w:rPr>
          <w:i/>
          <w:lang w:val="fr-CA"/>
        </w:rPr>
        <w:t>e</w:t>
      </w:r>
      <w:r w:rsidRPr="00B35658">
        <w:rPr>
          <w:i/>
          <w:lang w:val="fr-CA"/>
        </w:rPr>
        <w:t xml:space="preserve">l </w:t>
      </w:r>
      <w:r w:rsidR="00922CE6" w:rsidRPr="00B35658">
        <w:rPr>
          <w:i/>
          <w:lang w:val="fr-CA"/>
        </w:rPr>
        <w:t>—</w:t>
      </w:r>
      <w:r w:rsidRPr="00B35658">
        <w:rPr>
          <w:i/>
          <w:lang w:val="fr-CA"/>
        </w:rPr>
        <w:t xml:space="preserve"> Appels </w:t>
      </w:r>
      <w:r w:rsidR="00922CE6" w:rsidRPr="00B35658">
        <w:rPr>
          <w:i/>
          <w:lang w:val="fr-CA"/>
        </w:rPr>
        <w:t>—</w:t>
      </w:r>
      <w:r w:rsidRPr="00B35658">
        <w:rPr>
          <w:i/>
          <w:lang w:val="fr-CA"/>
        </w:rPr>
        <w:t xml:space="preserve"> </w:t>
      </w:r>
      <w:r w:rsidR="00922CE6" w:rsidRPr="00B35658">
        <w:rPr>
          <w:i/>
          <w:lang w:val="fr-CA"/>
        </w:rPr>
        <w:t>Caractère théorique</w:t>
      </w:r>
      <w:r w:rsidRPr="00B35658">
        <w:rPr>
          <w:i/>
          <w:lang w:val="fr-CA"/>
        </w:rPr>
        <w:t xml:space="preserve"> </w:t>
      </w:r>
      <w:r w:rsidR="00922CE6" w:rsidRPr="00B35658">
        <w:rPr>
          <w:i/>
          <w:lang w:val="fr-CA"/>
        </w:rPr>
        <w:t>—</w:t>
      </w:r>
      <w:r w:rsidRPr="00B35658">
        <w:rPr>
          <w:i/>
          <w:lang w:val="fr-CA"/>
        </w:rPr>
        <w:t xml:space="preserve"> </w:t>
      </w:r>
      <w:r w:rsidR="00922CE6" w:rsidRPr="00B35658">
        <w:rPr>
          <w:i/>
          <w:lang w:val="fr-CA"/>
        </w:rPr>
        <w:t>Décès de l’intimé — Décès de l’intimé après l’octroi de l’autorisation d’appel mais avant l’audition du pourvoi —</w:t>
      </w:r>
      <w:r w:rsidRPr="00B35658">
        <w:rPr>
          <w:i/>
          <w:lang w:val="fr-CA"/>
        </w:rPr>
        <w:t xml:space="preserve"> </w:t>
      </w:r>
      <w:r w:rsidR="0041178D" w:rsidRPr="00B35658">
        <w:rPr>
          <w:i/>
          <w:lang w:val="fr-CA"/>
        </w:rPr>
        <w:t>La Cour devrait</w:t>
      </w:r>
      <w:r w:rsidR="0041178D" w:rsidRPr="00B35658">
        <w:rPr>
          <w:i/>
          <w:lang w:val="fr-CA"/>
        </w:rPr>
        <w:noBreakHyphen/>
      </w:r>
      <w:r w:rsidR="00922CE6" w:rsidRPr="00B35658">
        <w:rPr>
          <w:i/>
          <w:lang w:val="fr-CA"/>
        </w:rPr>
        <w:t>elle exercer son pouvoir discrétion</w:t>
      </w:r>
      <w:r w:rsidR="00EB1B06" w:rsidRPr="00B35658">
        <w:rPr>
          <w:i/>
          <w:lang w:val="fr-CA"/>
        </w:rPr>
        <w:t>naire pour entendre le pourvoi?</w:t>
      </w:r>
    </w:p>
    <w:p w:rsidR="00C744E3" w:rsidRPr="00B35658" w:rsidRDefault="00C744E3" w:rsidP="00EB1B06">
      <w:pPr>
        <w:pStyle w:val="SCCNormalDoubleSpacing"/>
        <w:spacing w:after="480"/>
        <w:rPr>
          <w:lang w:val="fr-CA"/>
        </w:rPr>
      </w:pPr>
      <w:r w:rsidRPr="00B35658">
        <w:rPr>
          <w:lang w:val="fr-CA"/>
        </w:rPr>
        <w:tab/>
      </w:r>
      <w:r w:rsidR="00922CE6" w:rsidRPr="00B35658">
        <w:rPr>
          <w:lang w:val="fr-CA"/>
        </w:rPr>
        <w:t xml:space="preserve">En 2016, </w:t>
      </w:r>
      <w:r w:rsidRPr="00B35658">
        <w:rPr>
          <w:lang w:val="fr-CA"/>
        </w:rPr>
        <w:t xml:space="preserve">P </w:t>
      </w:r>
      <w:r w:rsidR="00922CE6" w:rsidRPr="00B35658">
        <w:rPr>
          <w:lang w:val="fr-CA"/>
        </w:rPr>
        <w:t xml:space="preserve">a été reconnu coupable </w:t>
      </w:r>
      <w:r w:rsidR="00C85C79" w:rsidRPr="00B35658">
        <w:rPr>
          <w:lang w:val="fr-CA"/>
        </w:rPr>
        <w:t>d</w:t>
      </w:r>
      <w:r w:rsidR="00916062" w:rsidRPr="00B35658">
        <w:rPr>
          <w:lang w:val="fr-CA"/>
        </w:rPr>
        <w:t>’</w:t>
      </w:r>
      <w:r w:rsidR="00C85C79" w:rsidRPr="00B35658">
        <w:rPr>
          <w:lang w:val="fr-CA"/>
        </w:rPr>
        <w:t>i</w:t>
      </w:r>
      <w:r w:rsidR="00922CE6" w:rsidRPr="00B35658">
        <w:rPr>
          <w:lang w:val="fr-CA"/>
        </w:rPr>
        <w:t xml:space="preserve">nfractions d’ordre sexuel </w:t>
      </w:r>
      <w:r w:rsidR="00916062" w:rsidRPr="00B35658">
        <w:rPr>
          <w:lang w:val="fr-CA"/>
        </w:rPr>
        <w:t xml:space="preserve">historiques commises </w:t>
      </w:r>
      <w:r w:rsidR="00C85C79" w:rsidRPr="00B35658">
        <w:rPr>
          <w:lang w:val="fr-CA"/>
        </w:rPr>
        <w:t>entre 1979 et</w:t>
      </w:r>
      <w:r w:rsidRPr="00B35658">
        <w:rPr>
          <w:lang w:val="fr-CA"/>
        </w:rPr>
        <w:t xml:space="preserve"> 1987 </w:t>
      </w:r>
      <w:r w:rsidR="00C85C79" w:rsidRPr="00B35658">
        <w:rPr>
          <w:lang w:val="fr-CA"/>
        </w:rPr>
        <w:t>à l’époque où le plaignant était âgé entre 7 et 15 ans et qu’il avait lui</w:t>
      </w:r>
      <w:r w:rsidR="00C85C79" w:rsidRPr="00B35658">
        <w:rPr>
          <w:lang w:val="fr-CA"/>
        </w:rPr>
        <w:noBreakHyphen/>
        <w:t xml:space="preserve">même </w:t>
      </w:r>
      <w:r w:rsidR="00EB1B06" w:rsidRPr="00B35658">
        <w:rPr>
          <w:lang w:val="fr-CA"/>
        </w:rPr>
        <w:t xml:space="preserve">entre 44 et 51 </w:t>
      </w:r>
      <w:r w:rsidR="00C85C79" w:rsidRPr="00B35658">
        <w:rPr>
          <w:lang w:val="fr-CA"/>
        </w:rPr>
        <w:t>ans</w:t>
      </w:r>
      <w:r w:rsidRPr="00B35658">
        <w:rPr>
          <w:lang w:val="fr-CA"/>
        </w:rPr>
        <w:t xml:space="preserve">. </w:t>
      </w:r>
      <w:r w:rsidR="00C85C79" w:rsidRPr="00B35658">
        <w:rPr>
          <w:lang w:val="fr-CA"/>
        </w:rPr>
        <w:t>Le juge chargé de la détermination de la peine a condamné P à une peine d’emprisonnement a</w:t>
      </w:r>
      <w:r w:rsidR="00EB1B06" w:rsidRPr="00B35658">
        <w:rPr>
          <w:lang w:val="fr-CA"/>
        </w:rPr>
        <w:t xml:space="preserve">vec sursis de deux </w:t>
      </w:r>
      <w:r w:rsidR="00C85C79" w:rsidRPr="00B35658">
        <w:rPr>
          <w:lang w:val="fr-CA"/>
        </w:rPr>
        <w:t xml:space="preserve">ans moins un jour </w:t>
      </w:r>
      <w:r w:rsidR="00E349D9" w:rsidRPr="00B35658">
        <w:rPr>
          <w:lang w:val="fr-CA"/>
        </w:rPr>
        <w:t>pour deux chefs de grossière indécence</w:t>
      </w:r>
      <w:r w:rsidRPr="00B35658">
        <w:rPr>
          <w:lang w:val="fr-CA"/>
        </w:rPr>
        <w:t xml:space="preserve">. </w:t>
      </w:r>
      <w:r w:rsidR="004A5C25" w:rsidRPr="00B35658">
        <w:rPr>
          <w:lang w:val="fr-CA"/>
        </w:rPr>
        <w:t xml:space="preserve">Une </w:t>
      </w:r>
      <w:r w:rsidR="00E349D9" w:rsidRPr="00B35658">
        <w:rPr>
          <w:lang w:val="fr-CA"/>
        </w:rPr>
        <w:t xml:space="preserve">peine d’emprisonnement avec sursis ne pouvait être </w:t>
      </w:r>
      <w:r w:rsidR="00A15CEC" w:rsidRPr="00B35658">
        <w:rPr>
          <w:lang w:val="fr-CA"/>
        </w:rPr>
        <w:t>infligée</w:t>
      </w:r>
      <w:r w:rsidR="00E349D9" w:rsidRPr="00B35658">
        <w:rPr>
          <w:lang w:val="fr-CA"/>
        </w:rPr>
        <w:t xml:space="preserve"> quand P a commis ses actes de grossière indécence; l’emprisonnement avec sursis n’est devenu une peine applicable qu’en </w:t>
      </w:r>
      <w:r w:rsidRPr="00B35658">
        <w:rPr>
          <w:lang w:val="fr-CA"/>
        </w:rPr>
        <w:t xml:space="preserve">1996. </w:t>
      </w:r>
      <w:r w:rsidR="00E349D9" w:rsidRPr="00B35658">
        <w:rPr>
          <w:lang w:val="fr-CA"/>
        </w:rPr>
        <w:t xml:space="preserve">En outre, </w:t>
      </w:r>
      <w:r w:rsidR="00E349D9" w:rsidRPr="00B35658">
        <w:rPr>
          <w:lang w:val="fr-CA"/>
        </w:rPr>
        <w:lastRenderedPageBreak/>
        <w:t>les parties ont convenu que</w:t>
      </w:r>
      <w:r w:rsidR="004A5C25" w:rsidRPr="00B35658">
        <w:rPr>
          <w:lang w:val="fr-CA"/>
        </w:rPr>
        <w:t xml:space="preserve"> ce type de peine ne s’appliquait plus à l’infraction de grossière indécence, d’après les dispositions en vigueur, lorsque P a été accusé, déclaré coupable et condamné. </w:t>
      </w:r>
      <w:proofErr w:type="gramStart"/>
      <w:r w:rsidR="0007349C" w:rsidRPr="00B35658">
        <w:rPr>
          <w:lang w:val="fr-CA"/>
        </w:rPr>
        <w:t>En</w:t>
      </w:r>
      <w:proofErr w:type="gramEnd"/>
      <w:r w:rsidR="0007349C" w:rsidRPr="00B35658">
        <w:rPr>
          <w:lang w:val="fr-CA"/>
        </w:rPr>
        <w:t xml:space="preserve"> infligeant une peine d’emprisonnement avec sursis à </w:t>
      </w:r>
      <w:r w:rsidRPr="00B35658">
        <w:rPr>
          <w:lang w:val="fr-CA"/>
        </w:rPr>
        <w:t>P,</w:t>
      </w:r>
      <w:r w:rsidR="0007349C" w:rsidRPr="00B35658">
        <w:rPr>
          <w:lang w:val="fr-CA"/>
        </w:rPr>
        <w:t xml:space="preserve"> le juge a </w:t>
      </w:r>
      <w:r w:rsidR="0038459F" w:rsidRPr="00B35658">
        <w:rPr>
          <w:lang w:val="fr-CA"/>
        </w:rPr>
        <w:t xml:space="preserve">considéré </w:t>
      </w:r>
      <w:r w:rsidR="0007349C" w:rsidRPr="00B35658">
        <w:rPr>
          <w:lang w:val="fr-CA"/>
        </w:rPr>
        <w:t>que l’al. 11</w:t>
      </w:r>
      <w:r w:rsidR="0007349C" w:rsidRPr="00B35658">
        <w:rPr>
          <w:i/>
          <w:lang w:val="fr-CA"/>
        </w:rPr>
        <w:t>i</w:t>
      </w:r>
      <w:r w:rsidR="0007349C" w:rsidRPr="00B35658">
        <w:rPr>
          <w:lang w:val="fr-CA"/>
        </w:rPr>
        <w:t xml:space="preserve">) de la </w:t>
      </w:r>
      <w:r w:rsidR="0007349C" w:rsidRPr="00B35658">
        <w:rPr>
          <w:i/>
          <w:lang w:val="fr-CA"/>
        </w:rPr>
        <w:t>Charte</w:t>
      </w:r>
      <w:r w:rsidR="0007349C" w:rsidRPr="00B35658">
        <w:rPr>
          <w:lang w:val="fr-CA"/>
        </w:rPr>
        <w:t xml:space="preserve"> </w:t>
      </w:r>
      <w:r w:rsidR="0038459F" w:rsidRPr="00B35658">
        <w:rPr>
          <w:lang w:val="fr-CA"/>
        </w:rPr>
        <w:t xml:space="preserve">accordait </w:t>
      </w:r>
      <w:r w:rsidR="0007349C" w:rsidRPr="00B35658">
        <w:rPr>
          <w:lang w:val="fr-CA"/>
        </w:rPr>
        <w:t>à P le droit de bénéficier de la peine la moins sévère qui pouvait être infligée pour sanctionner ses infractions dans l’intervalle entre le moment où celles</w:t>
      </w:r>
      <w:r w:rsidR="0007349C" w:rsidRPr="00B35658">
        <w:rPr>
          <w:lang w:val="fr-CA"/>
        </w:rPr>
        <w:noBreakHyphen/>
        <w:t>ci ont été perpétrées et celui de sa sentence.</w:t>
      </w:r>
      <w:r w:rsidRPr="00B35658">
        <w:rPr>
          <w:lang w:val="fr-CA"/>
        </w:rPr>
        <w:t xml:space="preserve"> </w:t>
      </w:r>
      <w:r w:rsidR="0007349C" w:rsidRPr="00B35658">
        <w:rPr>
          <w:lang w:val="fr-CA"/>
        </w:rPr>
        <w:t>La Cour d’appel a rejeté l’appel du ministère public et</w:t>
      </w:r>
      <w:r w:rsidR="00EB1B06" w:rsidRPr="00B35658">
        <w:rPr>
          <w:lang w:val="fr-CA"/>
        </w:rPr>
        <w:t xml:space="preserve"> conclu que l’al. </w:t>
      </w:r>
      <w:r w:rsidRPr="00B35658">
        <w:rPr>
          <w:lang w:val="fr-CA"/>
        </w:rPr>
        <w:t>11</w:t>
      </w:r>
      <w:r w:rsidRPr="00B35658">
        <w:rPr>
          <w:i/>
          <w:lang w:val="fr-CA"/>
        </w:rPr>
        <w:t>i</w:t>
      </w:r>
      <w:r w:rsidRPr="00B35658">
        <w:rPr>
          <w:lang w:val="fr-CA"/>
        </w:rPr>
        <w:t xml:space="preserve">) </w:t>
      </w:r>
      <w:r w:rsidR="0007349C" w:rsidRPr="00B35658">
        <w:rPr>
          <w:lang w:val="fr-CA"/>
        </w:rPr>
        <w:t>conférait à P le droit à une peine d’emprisonnement avec sursis. P est décédé peu avant que la Cour entende le pourvoi du ministère public. Le pourvoi a néanmoins été instruit et le ministère public a présenté une requête visant à ce que la Cour tranche le pourvoi même s’il est désormais théorique sur le plan factuel</w:t>
      </w:r>
      <w:r w:rsidR="00EB1B06" w:rsidRPr="00B35658">
        <w:rPr>
          <w:lang w:val="fr-CA"/>
        </w:rPr>
        <w:t>.</w:t>
      </w:r>
    </w:p>
    <w:p w:rsidR="00C744E3" w:rsidRPr="00B35658" w:rsidRDefault="00C744E3" w:rsidP="00EB1B06">
      <w:pPr>
        <w:pStyle w:val="SCCNormalDoubleSpacing"/>
        <w:spacing w:after="480"/>
        <w:rPr>
          <w:lang w:val="fr-CA"/>
        </w:rPr>
      </w:pPr>
      <w:r w:rsidRPr="00B35658">
        <w:rPr>
          <w:lang w:val="fr-CA"/>
        </w:rPr>
        <w:tab/>
      </w:r>
      <w:r w:rsidR="00922CE6" w:rsidRPr="00B35658">
        <w:rPr>
          <w:i/>
          <w:lang w:val="fr-CA"/>
        </w:rPr>
        <w:t>Arrêt</w:t>
      </w:r>
      <w:r w:rsidRPr="00B35658">
        <w:rPr>
          <w:rStyle w:val="QuoteChar"/>
          <w:color w:val="auto"/>
          <w:lang w:val="fr-CA"/>
        </w:rPr>
        <w:t xml:space="preserve"> </w:t>
      </w:r>
      <w:r w:rsidRPr="00B35658">
        <w:rPr>
          <w:rStyle w:val="QuoteChar"/>
          <w:i w:val="0"/>
          <w:color w:val="auto"/>
          <w:lang w:val="fr-CA"/>
        </w:rPr>
        <w:t>(</w:t>
      </w:r>
      <w:r w:rsidR="00922CE6" w:rsidRPr="00B35658">
        <w:rPr>
          <w:rStyle w:val="QuoteChar"/>
          <w:i w:val="0"/>
          <w:color w:val="auto"/>
          <w:lang w:val="fr-CA"/>
        </w:rPr>
        <w:t xml:space="preserve">les juges </w:t>
      </w:r>
      <w:r w:rsidRPr="00B35658">
        <w:rPr>
          <w:rStyle w:val="QuoteChar"/>
          <w:i w:val="0"/>
          <w:color w:val="auto"/>
          <w:lang w:val="fr-CA"/>
        </w:rPr>
        <w:t xml:space="preserve">Abella, </w:t>
      </w:r>
      <w:proofErr w:type="spellStart"/>
      <w:r w:rsidRPr="00B35658">
        <w:rPr>
          <w:rStyle w:val="QuoteChar"/>
          <w:i w:val="0"/>
          <w:color w:val="auto"/>
          <w:lang w:val="fr-CA"/>
        </w:rPr>
        <w:t>Karakatsanis</w:t>
      </w:r>
      <w:proofErr w:type="spellEnd"/>
      <w:r w:rsidRPr="00B35658">
        <w:rPr>
          <w:rStyle w:val="QuoteChar"/>
          <w:i w:val="0"/>
          <w:color w:val="auto"/>
          <w:lang w:val="fr-CA"/>
        </w:rPr>
        <w:t xml:space="preserve"> </w:t>
      </w:r>
      <w:r w:rsidR="00A57199" w:rsidRPr="00B35658">
        <w:rPr>
          <w:rStyle w:val="QuoteChar"/>
          <w:i w:val="0"/>
          <w:color w:val="auto"/>
          <w:lang w:val="fr-CA"/>
        </w:rPr>
        <w:t>et</w:t>
      </w:r>
      <w:r w:rsidRPr="00B35658">
        <w:rPr>
          <w:rStyle w:val="QuoteChar"/>
          <w:i w:val="0"/>
          <w:color w:val="auto"/>
          <w:lang w:val="fr-CA"/>
        </w:rPr>
        <w:t xml:space="preserve"> Brown </w:t>
      </w:r>
      <w:r w:rsidR="00A57199" w:rsidRPr="00B35658">
        <w:rPr>
          <w:rStyle w:val="QuoteChar"/>
          <w:i w:val="0"/>
          <w:color w:val="auto"/>
          <w:lang w:val="fr-CA"/>
        </w:rPr>
        <w:t>sont dissidents</w:t>
      </w:r>
      <w:r w:rsidRPr="00B35658">
        <w:rPr>
          <w:rStyle w:val="QuoteChar"/>
          <w:i w:val="0"/>
          <w:color w:val="auto"/>
          <w:lang w:val="fr-CA"/>
        </w:rPr>
        <w:t>)</w:t>
      </w:r>
      <w:r w:rsidR="00381C28" w:rsidRPr="00B35658">
        <w:rPr>
          <w:rStyle w:val="QuoteChar"/>
          <w:i w:val="0"/>
          <w:color w:val="auto"/>
          <w:lang w:val="fr-CA"/>
        </w:rPr>
        <w:t> </w:t>
      </w:r>
      <w:r w:rsidRPr="00B35658">
        <w:rPr>
          <w:rStyle w:val="QuoteChar"/>
          <w:i w:val="0"/>
          <w:color w:val="auto"/>
          <w:lang w:val="fr-CA"/>
        </w:rPr>
        <w:t>:</w:t>
      </w:r>
      <w:r w:rsidRPr="00B35658">
        <w:rPr>
          <w:lang w:val="fr-CA"/>
        </w:rPr>
        <w:t xml:space="preserve"> </w:t>
      </w:r>
      <w:r w:rsidR="000C46A7" w:rsidRPr="00B35658">
        <w:rPr>
          <w:lang w:val="fr-CA"/>
        </w:rPr>
        <w:t>L</w:t>
      </w:r>
      <w:r w:rsidR="00A57199" w:rsidRPr="00B35658">
        <w:rPr>
          <w:lang w:val="fr-CA"/>
        </w:rPr>
        <w:t>a requête en vue de la poursuite de l’instance et le pourvoi</w:t>
      </w:r>
      <w:r w:rsidR="0070119B" w:rsidRPr="00B35658">
        <w:rPr>
          <w:lang w:val="fr-CA"/>
        </w:rPr>
        <w:t xml:space="preserve"> sont accueillis</w:t>
      </w:r>
      <w:r w:rsidRPr="00B35658">
        <w:rPr>
          <w:lang w:val="fr-CA"/>
        </w:rPr>
        <w:t>.</w:t>
      </w:r>
    </w:p>
    <w:p w:rsidR="00C744E3" w:rsidRPr="00B35658" w:rsidRDefault="00C744E3" w:rsidP="00EB1B06">
      <w:pPr>
        <w:pStyle w:val="SCCNormalDoubleSpacing"/>
        <w:spacing w:after="480"/>
        <w:rPr>
          <w:lang w:val="fr-CA"/>
        </w:rPr>
      </w:pPr>
      <w:r w:rsidRPr="00B35658">
        <w:rPr>
          <w:lang w:val="fr-CA"/>
        </w:rPr>
        <w:tab/>
      </w:r>
      <w:r w:rsidR="00A57199" w:rsidRPr="00B35658">
        <w:rPr>
          <w:i/>
          <w:lang w:val="fr-CA"/>
        </w:rPr>
        <w:t>Le</w:t>
      </w:r>
      <w:r w:rsidRPr="00B35658">
        <w:rPr>
          <w:lang w:val="fr-CA"/>
        </w:rPr>
        <w:t xml:space="preserve"> </w:t>
      </w:r>
      <w:r w:rsidR="00A57199" w:rsidRPr="00B35658">
        <w:rPr>
          <w:lang w:val="fr-CA"/>
        </w:rPr>
        <w:t xml:space="preserve">juge en chef </w:t>
      </w:r>
      <w:r w:rsidRPr="00B35658">
        <w:rPr>
          <w:lang w:val="fr-CA"/>
        </w:rPr>
        <w:t xml:space="preserve">Wagner </w:t>
      </w:r>
      <w:r w:rsidR="00A57199" w:rsidRPr="00B35658">
        <w:rPr>
          <w:lang w:val="fr-CA"/>
        </w:rPr>
        <w:t xml:space="preserve">et les juges </w:t>
      </w:r>
      <w:proofErr w:type="spellStart"/>
      <w:r w:rsidRPr="00B35658">
        <w:rPr>
          <w:lang w:val="fr-CA"/>
        </w:rPr>
        <w:t>Moldaver</w:t>
      </w:r>
      <w:proofErr w:type="spellEnd"/>
      <w:r w:rsidRPr="00B35658">
        <w:rPr>
          <w:lang w:val="fr-CA"/>
        </w:rPr>
        <w:t xml:space="preserve">, Côté </w:t>
      </w:r>
      <w:r w:rsidR="00A57199" w:rsidRPr="00B35658">
        <w:rPr>
          <w:lang w:val="fr-CA"/>
        </w:rPr>
        <w:t xml:space="preserve">et </w:t>
      </w:r>
      <w:r w:rsidRPr="00B35658">
        <w:rPr>
          <w:lang w:val="fr-CA"/>
        </w:rPr>
        <w:t>Martin</w:t>
      </w:r>
      <w:r w:rsidR="00381C28" w:rsidRPr="00B35658">
        <w:rPr>
          <w:lang w:val="fr-CA"/>
        </w:rPr>
        <w:t> </w:t>
      </w:r>
      <w:r w:rsidRPr="00B35658">
        <w:rPr>
          <w:lang w:val="fr-CA"/>
        </w:rPr>
        <w:t xml:space="preserve">: </w:t>
      </w:r>
      <w:r w:rsidR="00FB572D" w:rsidRPr="00B35658">
        <w:rPr>
          <w:lang w:val="fr-CA"/>
        </w:rPr>
        <w:t>Le présent pourvoi constitue l’un de ces cas où la Cour doit exercer son pouvoir discrétionnaire pour trancher un pourvoi en matière criminelle devenu théorique, ce qu’elle fait rarement et à titre exceptionnel. Premièrement, la Cour a eu l’avantage d’entendre des observations contradictoires en l’espèce</w:t>
      </w:r>
      <w:r w:rsidRPr="00B35658">
        <w:rPr>
          <w:lang w:val="fr-CA"/>
        </w:rPr>
        <w:t xml:space="preserve">. </w:t>
      </w:r>
      <w:r w:rsidR="00FB572D" w:rsidRPr="00B35658">
        <w:rPr>
          <w:lang w:val="fr-CA"/>
        </w:rPr>
        <w:t xml:space="preserve">Deuxièmement, </w:t>
      </w:r>
      <w:r w:rsidR="00E177AB" w:rsidRPr="00B35658">
        <w:rPr>
          <w:lang w:val="fr-CA"/>
        </w:rPr>
        <w:t>l</w:t>
      </w:r>
      <w:r w:rsidR="00FB572D" w:rsidRPr="00B35658">
        <w:rPr>
          <w:lang w:val="fr-CA"/>
        </w:rPr>
        <w:t>e pourvoi du ministère public soulève une question constitutionnelle importante qui n’a pas encore été traitée à fond dans la jurisprudence. Troisièmement, l’interprétation juste de l’al. 11</w:t>
      </w:r>
      <w:r w:rsidR="00FB572D" w:rsidRPr="00B35658">
        <w:rPr>
          <w:i/>
          <w:lang w:val="fr-CA"/>
        </w:rPr>
        <w:t>i</w:t>
      </w:r>
      <w:r w:rsidR="00FB572D" w:rsidRPr="00B35658">
        <w:rPr>
          <w:lang w:val="fr-CA"/>
        </w:rPr>
        <w:t xml:space="preserve">) </w:t>
      </w:r>
      <w:r w:rsidR="00E177AB" w:rsidRPr="00B35658">
        <w:rPr>
          <w:lang w:val="fr-CA"/>
        </w:rPr>
        <w:t xml:space="preserve">de la </w:t>
      </w:r>
      <w:r w:rsidR="00E177AB" w:rsidRPr="00B35658">
        <w:rPr>
          <w:i/>
          <w:lang w:val="fr-CA"/>
        </w:rPr>
        <w:t xml:space="preserve">Charte </w:t>
      </w:r>
      <w:r w:rsidR="00FB572D" w:rsidRPr="00B35658">
        <w:rPr>
          <w:lang w:val="fr-CA"/>
        </w:rPr>
        <w:t>est une ques</w:t>
      </w:r>
      <w:r w:rsidR="00EB1B06" w:rsidRPr="00B35658">
        <w:rPr>
          <w:lang w:val="fr-CA"/>
        </w:rPr>
        <w:t xml:space="preserve">tion de droit d’intérêt général </w:t>
      </w:r>
      <w:r w:rsidR="00FB572D" w:rsidRPr="00B35658">
        <w:rPr>
          <w:lang w:val="fr-CA"/>
        </w:rPr>
        <w:t>qui transcende</w:t>
      </w:r>
      <w:r w:rsidR="00EB1B06" w:rsidRPr="00B35658">
        <w:rPr>
          <w:lang w:val="fr-CA"/>
        </w:rPr>
        <w:t xml:space="preserve"> le décès </w:t>
      </w:r>
      <w:r w:rsidR="00FB572D" w:rsidRPr="00B35658">
        <w:rPr>
          <w:lang w:val="fr-CA"/>
        </w:rPr>
        <w:t xml:space="preserve">de P. </w:t>
      </w:r>
      <w:r w:rsidR="00FB572D" w:rsidRPr="00B35658">
        <w:rPr>
          <w:lang w:val="fr-CA"/>
        </w:rPr>
        <w:lastRenderedPageBreak/>
        <w:t xml:space="preserve">Quatrièmement, </w:t>
      </w:r>
      <w:r w:rsidR="00640D8D" w:rsidRPr="00B35658">
        <w:rPr>
          <w:lang w:val="fr-CA"/>
        </w:rPr>
        <w:t>la valeur de la décision de la Cour sur l’interprétation appropriée de l’al. 11</w:t>
      </w:r>
      <w:r w:rsidR="00640D8D" w:rsidRPr="00B35658">
        <w:rPr>
          <w:i/>
          <w:lang w:val="fr-CA"/>
        </w:rPr>
        <w:t>i</w:t>
      </w:r>
      <w:r w:rsidR="00640D8D" w:rsidRPr="00B35658">
        <w:rPr>
          <w:lang w:val="fr-CA"/>
        </w:rPr>
        <w:t xml:space="preserve">) l’emporte sans conteste sur toute préoccupation quant aux ressources judiciaires limitées. </w:t>
      </w:r>
      <w:r w:rsidR="00514BAF" w:rsidRPr="00B35658">
        <w:rPr>
          <w:lang w:val="fr-CA"/>
        </w:rPr>
        <w:t xml:space="preserve">Il est beaucoup plus efficace et juste que la Cour tranche aujourd’hui cette question </w:t>
      </w:r>
      <w:r w:rsidR="00D65DEE" w:rsidRPr="00B35658">
        <w:rPr>
          <w:lang w:val="fr-CA"/>
        </w:rPr>
        <w:t>d’</w:t>
      </w:r>
      <w:r w:rsidR="00514BAF" w:rsidRPr="00B35658">
        <w:rPr>
          <w:lang w:val="fr-CA"/>
        </w:rPr>
        <w:t>importance nationale que d’obliger les futurs plaideurs et les tribunaux d’instance inférieure à consacrer des ressources supplémentaires au débat de cette question jusqu’à ce que celle</w:t>
      </w:r>
      <w:r w:rsidR="00514BAF" w:rsidRPr="00B35658">
        <w:rPr>
          <w:lang w:val="fr-CA"/>
        </w:rPr>
        <w:noBreakHyphen/>
        <w:t xml:space="preserve">ci soit inévitablement soumise à la Cour de nouveau. Enfin, il incombe aux tribunaux, et non au législateur, de définir la portée des droits garantis par la </w:t>
      </w:r>
      <w:r w:rsidR="00514BAF" w:rsidRPr="00B35658">
        <w:rPr>
          <w:i/>
          <w:lang w:val="fr-CA"/>
        </w:rPr>
        <w:t>Charte</w:t>
      </w:r>
      <w:r w:rsidRPr="00B35658">
        <w:rPr>
          <w:lang w:val="fr-CA"/>
        </w:rPr>
        <w:t xml:space="preserve">. </w:t>
      </w:r>
      <w:r w:rsidR="00514BAF" w:rsidRPr="00B35658">
        <w:rPr>
          <w:lang w:val="fr-CA"/>
        </w:rPr>
        <w:t>La Cour n’empiéterait donc pas sur le rôle du législateur en tranchant la question dont elle est saisie</w:t>
      </w:r>
      <w:r w:rsidR="00EB1B06" w:rsidRPr="00B35658">
        <w:rPr>
          <w:lang w:val="fr-CA"/>
        </w:rPr>
        <w:t>.</w:t>
      </w:r>
    </w:p>
    <w:p w:rsidR="00C744E3" w:rsidRPr="00B35658" w:rsidRDefault="00C744E3" w:rsidP="00EB1B06">
      <w:pPr>
        <w:pStyle w:val="SCCNormalDoubleSpacing"/>
        <w:spacing w:after="480"/>
        <w:rPr>
          <w:lang w:val="fr-CA"/>
        </w:rPr>
      </w:pPr>
      <w:r w:rsidRPr="00B35658">
        <w:rPr>
          <w:lang w:val="fr-CA"/>
        </w:rPr>
        <w:tab/>
      </w:r>
      <w:r w:rsidR="00514BAF" w:rsidRPr="00B35658">
        <w:rPr>
          <w:lang w:val="fr-CA"/>
        </w:rPr>
        <w:t>Une analyse téléologique de l’al. 11</w:t>
      </w:r>
      <w:r w:rsidR="00514BAF" w:rsidRPr="00B35658">
        <w:rPr>
          <w:i/>
          <w:lang w:val="fr-CA"/>
        </w:rPr>
        <w:t>i</w:t>
      </w:r>
      <w:r w:rsidR="00514BAF" w:rsidRPr="00B35658">
        <w:rPr>
          <w:lang w:val="fr-CA"/>
        </w:rPr>
        <w:t xml:space="preserve">) </w:t>
      </w:r>
      <w:r w:rsidR="001309B3" w:rsidRPr="00B35658">
        <w:rPr>
          <w:lang w:val="fr-CA"/>
        </w:rPr>
        <w:t xml:space="preserve">de la </w:t>
      </w:r>
      <w:r w:rsidR="001309B3" w:rsidRPr="00B35658">
        <w:rPr>
          <w:i/>
          <w:lang w:val="fr-CA"/>
        </w:rPr>
        <w:t>Charte</w:t>
      </w:r>
      <w:r w:rsidR="001309B3" w:rsidRPr="00B35658">
        <w:rPr>
          <w:lang w:val="fr-CA"/>
        </w:rPr>
        <w:t xml:space="preserve"> </w:t>
      </w:r>
      <w:r w:rsidR="00514BAF" w:rsidRPr="00B35658">
        <w:rPr>
          <w:lang w:val="fr-CA"/>
        </w:rPr>
        <w:t xml:space="preserve">mène </w:t>
      </w:r>
      <w:r w:rsidR="005D3AC3" w:rsidRPr="00B35658">
        <w:rPr>
          <w:lang w:val="fr-CA"/>
        </w:rPr>
        <w:t>à la conclusion qu’un</w:t>
      </w:r>
      <w:r w:rsidR="00514BAF" w:rsidRPr="00B35658">
        <w:rPr>
          <w:lang w:val="fr-CA"/>
        </w:rPr>
        <w:t xml:space="preserve"> </w:t>
      </w:r>
      <w:r w:rsidR="005D3AC3" w:rsidRPr="00B35658">
        <w:rPr>
          <w:lang w:val="fr-CA"/>
        </w:rPr>
        <w:t xml:space="preserve">contrevenant n’a pas droit au bénéfice d’un adoucissement temporaire de la peine survenu dans l’intervalle entre </w:t>
      </w:r>
      <w:r w:rsidR="00C44F04" w:rsidRPr="00B35658">
        <w:rPr>
          <w:lang w:val="fr-CA"/>
        </w:rPr>
        <w:t>le moment de la perpétration de l’infraction et celui de la sentence</w:t>
      </w:r>
      <w:r w:rsidR="005D3AC3" w:rsidRPr="00B35658">
        <w:rPr>
          <w:lang w:val="fr-CA"/>
        </w:rPr>
        <w:t xml:space="preserve">. </w:t>
      </w:r>
      <w:r w:rsidR="0030725F" w:rsidRPr="00B35658">
        <w:rPr>
          <w:lang w:val="fr-CA"/>
        </w:rPr>
        <w:t>L’</w:t>
      </w:r>
      <w:r w:rsidR="005C505E" w:rsidRPr="00B35658">
        <w:rPr>
          <w:lang w:val="fr-CA"/>
        </w:rPr>
        <w:t>alinéa </w:t>
      </w:r>
      <w:r w:rsidRPr="00B35658">
        <w:rPr>
          <w:lang w:val="fr-CA"/>
        </w:rPr>
        <w:t>11</w:t>
      </w:r>
      <w:r w:rsidRPr="00B35658">
        <w:rPr>
          <w:i/>
          <w:lang w:val="fr-CA"/>
        </w:rPr>
        <w:t>i</w:t>
      </w:r>
      <w:r w:rsidRPr="00B35658">
        <w:rPr>
          <w:lang w:val="fr-CA"/>
        </w:rPr>
        <w:t xml:space="preserve">) </w:t>
      </w:r>
      <w:r w:rsidR="0030725F" w:rsidRPr="00B35658">
        <w:rPr>
          <w:lang w:val="fr-CA"/>
        </w:rPr>
        <w:t>confère un droit binaire et non un droit global</w:t>
      </w:r>
      <w:r w:rsidRPr="00B35658">
        <w:rPr>
          <w:lang w:val="fr-CA"/>
        </w:rPr>
        <w:t xml:space="preserve">. </w:t>
      </w:r>
      <w:r w:rsidR="007E25F8" w:rsidRPr="00B35658">
        <w:rPr>
          <w:lang w:val="fr-CA"/>
        </w:rPr>
        <w:t xml:space="preserve">Un droit binaire repose sur une comparaison des peines </w:t>
      </w:r>
      <w:r w:rsidR="00B00BC5" w:rsidRPr="00B35658">
        <w:rPr>
          <w:lang w:val="fr-CA"/>
        </w:rPr>
        <w:t xml:space="preserve">prévues par les lois </w:t>
      </w:r>
      <w:r w:rsidR="007E25F8" w:rsidRPr="00B35658">
        <w:rPr>
          <w:lang w:val="fr-CA"/>
        </w:rPr>
        <w:t>en vigueur</w:t>
      </w:r>
      <w:r w:rsidR="00B00BC5" w:rsidRPr="00B35658">
        <w:rPr>
          <w:lang w:val="fr-CA"/>
        </w:rPr>
        <w:t xml:space="preserve"> à </w:t>
      </w:r>
      <w:r w:rsidR="007E25F8" w:rsidRPr="00B35658">
        <w:rPr>
          <w:lang w:val="fr-CA"/>
        </w:rPr>
        <w:t xml:space="preserve">deux moments précis (soit entre le moment de la perpétration de l’infraction et celui de la sentence) et le droit de bénéficier de la moins sévère de ces peines. À l’inverse, </w:t>
      </w:r>
      <w:r w:rsidR="00E421B2" w:rsidRPr="00B35658">
        <w:rPr>
          <w:lang w:val="fr-CA"/>
        </w:rPr>
        <w:t>un droit global repose sur un examen de toutes</w:t>
      </w:r>
      <w:r w:rsidR="00E421B2" w:rsidRPr="00B35658">
        <w:rPr>
          <w:i/>
          <w:lang w:val="fr-CA"/>
        </w:rPr>
        <w:t xml:space="preserve"> </w:t>
      </w:r>
      <w:r w:rsidR="00E421B2" w:rsidRPr="00B35658">
        <w:rPr>
          <w:lang w:val="fr-CA"/>
        </w:rPr>
        <w:t>les peines prévues pour sanctionner l’infraction entre le moment de sa perpétration et celui de la sentence et le droit de bénéficier de la peine la moins sévère qui soit</w:t>
      </w:r>
      <w:r w:rsidR="00E421B2" w:rsidRPr="00B35658">
        <w:rPr>
          <w:i/>
          <w:lang w:val="fr-CA"/>
        </w:rPr>
        <w:t xml:space="preserve"> </w:t>
      </w:r>
      <w:r w:rsidR="00E421B2" w:rsidRPr="00B35658">
        <w:rPr>
          <w:lang w:val="fr-CA"/>
        </w:rPr>
        <w:t xml:space="preserve">durant l’ensemble de la période visée. </w:t>
      </w:r>
      <w:r w:rsidR="0087503E" w:rsidRPr="00B35658">
        <w:rPr>
          <w:lang w:val="fr-CA"/>
        </w:rPr>
        <w:t>Tant le libellé que les origines de l’al. 11</w:t>
      </w:r>
      <w:r w:rsidR="0087503E" w:rsidRPr="00B35658">
        <w:rPr>
          <w:i/>
          <w:lang w:val="fr-CA"/>
        </w:rPr>
        <w:t>i</w:t>
      </w:r>
      <w:r w:rsidR="0087503E" w:rsidRPr="00B35658">
        <w:rPr>
          <w:lang w:val="fr-CA"/>
        </w:rPr>
        <w:t>) confirment les objectifs</w:t>
      </w:r>
      <w:r w:rsidR="00EB1B06" w:rsidRPr="00B35658">
        <w:rPr>
          <w:lang w:val="fr-CA"/>
        </w:rPr>
        <w:t xml:space="preserve"> qui le sous</w:t>
      </w:r>
      <w:r w:rsidR="00EB1B06" w:rsidRPr="00B35658">
        <w:rPr>
          <w:lang w:val="fr-CA"/>
        </w:rPr>
        <w:noBreakHyphen/>
      </w:r>
      <w:r w:rsidR="0087503E" w:rsidRPr="00B35658">
        <w:rPr>
          <w:lang w:val="fr-CA"/>
        </w:rPr>
        <w:t>tendent — soit l</w:t>
      </w:r>
      <w:r w:rsidR="00586C25" w:rsidRPr="00B35658">
        <w:rPr>
          <w:lang w:val="fr-CA"/>
        </w:rPr>
        <w:t xml:space="preserve">a primauté du droit et l’équité </w:t>
      </w:r>
      <w:r w:rsidR="0087503E" w:rsidRPr="00B35658">
        <w:rPr>
          <w:lang w:val="fr-CA"/>
        </w:rPr>
        <w:t>— et indiquent que l’al. 11</w:t>
      </w:r>
      <w:r w:rsidR="0087503E" w:rsidRPr="00B35658">
        <w:rPr>
          <w:i/>
          <w:lang w:val="fr-CA"/>
        </w:rPr>
        <w:t>i</w:t>
      </w:r>
      <w:r w:rsidR="0087503E" w:rsidRPr="00B35658">
        <w:rPr>
          <w:lang w:val="fr-CA"/>
        </w:rPr>
        <w:t>) vi</w:t>
      </w:r>
      <w:r w:rsidR="00EB1B06" w:rsidRPr="00B35658">
        <w:rPr>
          <w:lang w:val="fr-CA"/>
        </w:rPr>
        <w:t>se à conférer un droit binaire.</w:t>
      </w:r>
    </w:p>
    <w:p w:rsidR="00C744E3" w:rsidRPr="00B35658" w:rsidRDefault="00C744E3" w:rsidP="00EB1B06">
      <w:pPr>
        <w:pStyle w:val="SCCNormalDoubleSpacing"/>
        <w:spacing w:after="480"/>
        <w:rPr>
          <w:lang w:val="fr-CA"/>
        </w:rPr>
      </w:pPr>
      <w:r w:rsidRPr="00B35658">
        <w:rPr>
          <w:lang w:val="fr-CA"/>
        </w:rPr>
        <w:lastRenderedPageBreak/>
        <w:tab/>
      </w:r>
      <w:r w:rsidR="007E73D5" w:rsidRPr="00B35658">
        <w:rPr>
          <w:lang w:val="fr-CA"/>
        </w:rPr>
        <w:t xml:space="preserve">Un droit garanti par la </w:t>
      </w:r>
      <w:r w:rsidR="007E73D5" w:rsidRPr="00B35658">
        <w:rPr>
          <w:i/>
          <w:lang w:val="fr-CA"/>
        </w:rPr>
        <w:t xml:space="preserve">Charte </w:t>
      </w:r>
      <w:r w:rsidR="007E73D5" w:rsidRPr="00B35658">
        <w:rPr>
          <w:lang w:val="fr-CA"/>
        </w:rPr>
        <w:t>doit être interprété téléologiquement, c’est</w:t>
      </w:r>
      <w:r w:rsidR="007E73D5" w:rsidRPr="00B35658">
        <w:rPr>
          <w:lang w:val="fr-CA"/>
        </w:rPr>
        <w:noBreakHyphen/>
        <w:t>à</w:t>
      </w:r>
      <w:r w:rsidR="007E73D5" w:rsidRPr="00B35658">
        <w:rPr>
          <w:lang w:val="fr-CA"/>
        </w:rPr>
        <w:noBreakHyphen/>
        <w:t>dire d’une façon qui est justifiée par ses objets</w:t>
      </w:r>
      <w:r w:rsidRPr="00B35658">
        <w:rPr>
          <w:lang w:val="fr-CA"/>
        </w:rPr>
        <w:t xml:space="preserve">. </w:t>
      </w:r>
      <w:r w:rsidR="00C473EC" w:rsidRPr="00B35658">
        <w:rPr>
          <w:lang w:val="fr-CA"/>
        </w:rPr>
        <w:t>L’interprétation téléologique et l</w:t>
      </w:r>
      <w:r w:rsidR="00EB1B06" w:rsidRPr="00B35658">
        <w:rPr>
          <w:lang w:val="fr-CA"/>
        </w:rPr>
        <w:t xml:space="preserve">’interprétation libérale </w:t>
      </w:r>
      <w:r w:rsidR="00C473EC" w:rsidRPr="00B35658">
        <w:rPr>
          <w:lang w:val="fr-CA"/>
        </w:rPr>
        <w:t xml:space="preserve">peuvent être confondues à tort. </w:t>
      </w:r>
      <w:r w:rsidR="00A21F09" w:rsidRPr="00B35658">
        <w:rPr>
          <w:lang w:val="fr-CA"/>
        </w:rPr>
        <w:t xml:space="preserve">Bien que les droits garantis par la </w:t>
      </w:r>
      <w:r w:rsidR="00A21F09" w:rsidRPr="00B35658">
        <w:rPr>
          <w:i/>
          <w:lang w:val="fr-CA"/>
        </w:rPr>
        <w:t xml:space="preserve">Charte </w:t>
      </w:r>
      <w:r w:rsidR="00A21F09" w:rsidRPr="00B35658">
        <w:rPr>
          <w:lang w:val="fr-CA"/>
        </w:rPr>
        <w:t xml:space="preserve">doivent être interprétés de façon large et libérale, ils sont, au bout du compte, subordonnés à leurs objets. </w:t>
      </w:r>
      <w:r w:rsidR="00266324" w:rsidRPr="00B35658">
        <w:rPr>
          <w:lang w:val="fr-CA"/>
        </w:rPr>
        <w:t>Les tribunaux qui ont donné à l’al. 11</w:t>
      </w:r>
      <w:r w:rsidR="00266324" w:rsidRPr="00B35658">
        <w:rPr>
          <w:i/>
          <w:lang w:val="fr-CA"/>
        </w:rPr>
        <w:t>i</w:t>
      </w:r>
      <w:r w:rsidR="00266324" w:rsidRPr="00B35658">
        <w:rPr>
          <w:lang w:val="fr-CA"/>
        </w:rPr>
        <w:t>) une interprétation globale ont fait l’erreur d’accorder la priorité à la libéralité de l’interprétation plutôt qu’à l’objet. Au lieu de relever les principes ou les objets qui sous</w:t>
      </w:r>
      <w:r w:rsidR="00266324" w:rsidRPr="00B35658">
        <w:rPr>
          <w:lang w:val="fr-CA"/>
        </w:rPr>
        <w:noBreakHyphen/>
        <w:t>tendent l’al. 11</w:t>
      </w:r>
      <w:r w:rsidR="00266324" w:rsidRPr="00B35658">
        <w:rPr>
          <w:i/>
          <w:lang w:val="fr-CA"/>
        </w:rPr>
        <w:t>i</w:t>
      </w:r>
      <w:r w:rsidR="00266324" w:rsidRPr="00B35658">
        <w:rPr>
          <w:lang w:val="fr-CA"/>
        </w:rPr>
        <w:t>), ils ont tout simplement conclu qu’il fallait donner à l’al. 11</w:t>
      </w:r>
      <w:r w:rsidR="00266324" w:rsidRPr="00B35658">
        <w:rPr>
          <w:i/>
          <w:lang w:val="fr-CA"/>
        </w:rPr>
        <w:t>i</w:t>
      </w:r>
      <w:r w:rsidR="00266324" w:rsidRPr="00B35658">
        <w:rPr>
          <w:lang w:val="fr-CA"/>
        </w:rPr>
        <w:t xml:space="preserve">) l’interprétation la plus favorable à l’accusé. </w:t>
      </w:r>
      <w:r w:rsidR="00544DE4" w:rsidRPr="00B35658">
        <w:rPr>
          <w:lang w:val="fr-CA"/>
        </w:rPr>
        <w:t xml:space="preserve">Toutefois, le principe selon lequel une disposition ayant plus d’une signification plausible doit être interprétée d’une manière </w:t>
      </w:r>
      <w:r w:rsidR="006D7AA8" w:rsidRPr="00B35658">
        <w:rPr>
          <w:lang w:val="fr-CA"/>
        </w:rPr>
        <w:t xml:space="preserve">favorable à </w:t>
      </w:r>
      <w:r w:rsidR="00544DE4" w:rsidRPr="00B35658">
        <w:rPr>
          <w:lang w:val="fr-CA"/>
        </w:rPr>
        <w:t xml:space="preserve">l’accusé ne constitue pas un principe d’interprétation de la </w:t>
      </w:r>
      <w:r w:rsidR="00544DE4" w:rsidRPr="00B35658">
        <w:rPr>
          <w:i/>
          <w:lang w:val="fr-CA"/>
        </w:rPr>
        <w:t>Charte</w:t>
      </w:r>
      <w:r w:rsidR="00544DE4" w:rsidRPr="00B35658">
        <w:rPr>
          <w:lang w:val="fr-CA"/>
        </w:rPr>
        <w:t>.</w:t>
      </w:r>
      <w:r w:rsidR="00544DE4" w:rsidRPr="00B35658">
        <w:rPr>
          <w:i/>
          <w:lang w:val="fr-CA"/>
        </w:rPr>
        <w:t xml:space="preserve"> </w:t>
      </w:r>
      <w:r w:rsidR="001E71C1" w:rsidRPr="00B35658">
        <w:rPr>
          <w:lang w:val="fr-CA"/>
        </w:rPr>
        <w:t>Il s’agit plutôt d’un principe d’interprétation législative pénale</w:t>
      </w:r>
      <w:r w:rsidRPr="00B35658">
        <w:rPr>
          <w:lang w:val="fr-CA"/>
        </w:rPr>
        <w:t xml:space="preserve">. </w:t>
      </w:r>
      <w:r w:rsidR="00E06AC0" w:rsidRPr="00B35658">
        <w:rPr>
          <w:lang w:val="fr-CA"/>
        </w:rPr>
        <w:t xml:space="preserve">Une interprétation </w:t>
      </w:r>
      <w:r w:rsidR="00EB1B06" w:rsidRPr="00B35658">
        <w:rPr>
          <w:lang w:val="fr-CA"/>
        </w:rPr>
        <w:t>de l’al. </w:t>
      </w:r>
      <w:r w:rsidR="00E06AC0" w:rsidRPr="00B35658">
        <w:rPr>
          <w:lang w:val="fr-CA"/>
        </w:rPr>
        <w:t>11</w:t>
      </w:r>
      <w:r w:rsidR="00E06AC0" w:rsidRPr="00B35658">
        <w:rPr>
          <w:i/>
          <w:lang w:val="fr-CA"/>
        </w:rPr>
        <w:t>i</w:t>
      </w:r>
      <w:r w:rsidR="00E06AC0" w:rsidRPr="00B35658">
        <w:rPr>
          <w:lang w:val="fr-CA"/>
        </w:rPr>
        <w:t xml:space="preserve">) qui obligerait le tribunal à infliger la peine la plus favorable parmi celles qui se sont appliquées dans l’intervalle entre le moment de la perpétration de l’infraction et le moment de la sentence ne correspond pas au type d’interprétation libérale qui devrait être faite des droits garantis par la </w:t>
      </w:r>
      <w:r w:rsidR="00E06AC0" w:rsidRPr="00B35658">
        <w:rPr>
          <w:i/>
          <w:lang w:val="fr-CA"/>
        </w:rPr>
        <w:t>Charte</w:t>
      </w:r>
      <w:r w:rsidR="00E06AC0" w:rsidRPr="00B35658">
        <w:rPr>
          <w:lang w:val="fr-CA"/>
        </w:rPr>
        <w:t>. Il s’agit plutôt d’une interprétation excessivement libérale, sans rapport avec les objets du droit</w:t>
      </w:r>
      <w:r w:rsidR="00EB1B06" w:rsidRPr="00B35658">
        <w:rPr>
          <w:lang w:val="fr-CA"/>
        </w:rPr>
        <w:t>.</w:t>
      </w:r>
    </w:p>
    <w:p w:rsidR="00C744E3" w:rsidRPr="00B35658" w:rsidRDefault="00C744E3" w:rsidP="00EB1B06">
      <w:pPr>
        <w:pStyle w:val="SCCNormalDoubleSpacing"/>
        <w:spacing w:after="480"/>
        <w:rPr>
          <w:lang w:val="fr-CA"/>
        </w:rPr>
      </w:pPr>
      <w:r w:rsidRPr="00B35658">
        <w:rPr>
          <w:lang w:val="fr-CA"/>
        </w:rPr>
        <w:tab/>
      </w:r>
      <w:r w:rsidR="00E06AC0" w:rsidRPr="00B35658">
        <w:rPr>
          <w:lang w:val="fr-CA"/>
        </w:rPr>
        <w:t xml:space="preserve">Lorsque l’on procède à une analyse téléologique d’un droit garanti par la </w:t>
      </w:r>
      <w:r w:rsidR="00E06AC0" w:rsidRPr="00B35658">
        <w:rPr>
          <w:i/>
          <w:lang w:val="fr-CA"/>
        </w:rPr>
        <w:t>Charte</w:t>
      </w:r>
      <w:r w:rsidR="00E06AC0" w:rsidRPr="00B35658">
        <w:rPr>
          <w:lang w:val="fr-CA"/>
        </w:rPr>
        <w:t xml:space="preserve">, il faut tout d’abord se pencher sur </w:t>
      </w:r>
      <w:r w:rsidR="002E54F1" w:rsidRPr="00B35658">
        <w:rPr>
          <w:lang w:val="fr-CA"/>
        </w:rPr>
        <w:t xml:space="preserve">le </w:t>
      </w:r>
      <w:r w:rsidR="00E06AC0" w:rsidRPr="00B35658">
        <w:rPr>
          <w:lang w:val="fr-CA"/>
        </w:rPr>
        <w:t>libellé</w:t>
      </w:r>
      <w:r w:rsidR="002E54F1" w:rsidRPr="00B35658">
        <w:rPr>
          <w:lang w:val="fr-CA"/>
        </w:rPr>
        <w:t xml:space="preserve"> de la disposition en cause</w:t>
      </w:r>
      <w:r w:rsidR="00E06AC0" w:rsidRPr="00B35658">
        <w:rPr>
          <w:lang w:val="fr-CA"/>
        </w:rPr>
        <w:t xml:space="preserve">. </w:t>
      </w:r>
      <w:r w:rsidR="002E54F1" w:rsidRPr="00B35658">
        <w:rPr>
          <w:lang w:val="fr-CA"/>
        </w:rPr>
        <w:t>L’alinéa </w:t>
      </w:r>
      <w:r w:rsidRPr="00B35658">
        <w:rPr>
          <w:lang w:val="fr-CA"/>
        </w:rPr>
        <w:t>11</w:t>
      </w:r>
      <w:r w:rsidRPr="00B35658">
        <w:rPr>
          <w:i/>
          <w:lang w:val="fr-CA"/>
        </w:rPr>
        <w:t>i</w:t>
      </w:r>
      <w:r w:rsidRPr="00B35658">
        <w:rPr>
          <w:lang w:val="fr-CA"/>
        </w:rPr>
        <w:t xml:space="preserve">) </w:t>
      </w:r>
      <w:r w:rsidR="00E06AC0" w:rsidRPr="00B35658">
        <w:rPr>
          <w:lang w:val="fr-CA"/>
        </w:rPr>
        <w:t>a été rédigé de façon à conférer un droit binaire, une conclusion que corroborent les origines de l’al. </w:t>
      </w:r>
      <w:r w:rsidRPr="00B35658">
        <w:rPr>
          <w:lang w:val="fr-CA"/>
        </w:rPr>
        <w:t>11</w:t>
      </w:r>
      <w:r w:rsidRPr="00B35658">
        <w:rPr>
          <w:i/>
          <w:lang w:val="fr-CA"/>
        </w:rPr>
        <w:t>i</w:t>
      </w:r>
      <w:r w:rsidRPr="00B35658">
        <w:rPr>
          <w:lang w:val="fr-CA"/>
        </w:rPr>
        <w:t xml:space="preserve">). </w:t>
      </w:r>
      <w:r w:rsidR="00E06AC0" w:rsidRPr="00B35658">
        <w:rPr>
          <w:lang w:val="fr-CA"/>
        </w:rPr>
        <w:t xml:space="preserve">Bien que ces origines ne déterminent pas la portée exacte du droit conféré, elles offrent un point de départ instructif. Une étude du contexte </w:t>
      </w:r>
      <w:r w:rsidR="00E06AC0" w:rsidRPr="00B35658">
        <w:rPr>
          <w:lang w:val="fr-CA"/>
        </w:rPr>
        <w:lastRenderedPageBreak/>
        <w:t>historique de l’al.</w:t>
      </w:r>
      <w:r w:rsidR="005C505E" w:rsidRPr="00B35658">
        <w:rPr>
          <w:lang w:val="fr-CA"/>
        </w:rPr>
        <w:t> </w:t>
      </w:r>
      <w:r w:rsidR="00E06AC0" w:rsidRPr="00B35658">
        <w:rPr>
          <w:lang w:val="fr-CA"/>
        </w:rPr>
        <w:t>11</w:t>
      </w:r>
      <w:r w:rsidRPr="00B35658">
        <w:rPr>
          <w:i/>
          <w:lang w:val="fr-CA"/>
        </w:rPr>
        <w:t>i</w:t>
      </w:r>
      <w:r w:rsidRPr="00B35658">
        <w:rPr>
          <w:lang w:val="fr-CA"/>
        </w:rPr>
        <w:t xml:space="preserve">) </w:t>
      </w:r>
      <w:r w:rsidR="00E06AC0" w:rsidRPr="00B35658">
        <w:rPr>
          <w:lang w:val="fr-CA"/>
        </w:rPr>
        <w:t>révèle que rien ne pointait vers une interprétation globale du droit garanti à cet alinéa au moment de sa rédaction et de son adoption</w:t>
      </w:r>
      <w:r w:rsidRPr="00B35658">
        <w:rPr>
          <w:lang w:val="fr-CA"/>
        </w:rPr>
        <w:t xml:space="preserve">. </w:t>
      </w:r>
      <w:r w:rsidR="00E06AC0" w:rsidRPr="00B35658">
        <w:rPr>
          <w:lang w:val="fr-CA"/>
        </w:rPr>
        <w:t xml:space="preserve">Une interprétation globale de ce droit ne faisait pas partie du paysage juridique; la </w:t>
      </w:r>
      <w:proofErr w:type="spellStart"/>
      <w:r w:rsidR="00E06AC0" w:rsidRPr="00B35658">
        <w:rPr>
          <w:lang w:val="fr-CA"/>
        </w:rPr>
        <w:t>common</w:t>
      </w:r>
      <w:proofErr w:type="spellEnd"/>
      <w:r w:rsidR="00E06AC0" w:rsidRPr="00B35658">
        <w:rPr>
          <w:lang w:val="fr-CA"/>
        </w:rPr>
        <w:t xml:space="preserve"> </w:t>
      </w:r>
      <w:proofErr w:type="spellStart"/>
      <w:r w:rsidR="00E06AC0" w:rsidRPr="00B35658">
        <w:rPr>
          <w:lang w:val="fr-CA"/>
        </w:rPr>
        <w:t>law</w:t>
      </w:r>
      <w:proofErr w:type="spellEnd"/>
      <w:r w:rsidR="00E06AC0" w:rsidRPr="00B35658">
        <w:rPr>
          <w:lang w:val="fr-CA"/>
        </w:rPr>
        <w:t xml:space="preserve"> ne reconnaissait aucune interprétation globale et aucune des dispositions à l’origine de l’al. 11</w:t>
      </w:r>
      <w:r w:rsidR="00E06AC0" w:rsidRPr="00B35658">
        <w:rPr>
          <w:i/>
          <w:lang w:val="fr-CA"/>
        </w:rPr>
        <w:t>i</w:t>
      </w:r>
      <w:r w:rsidR="00E06AC0" w:rsidRPr="00B35658">
        <w:rPr>
          <w:lang w:val="fr-CA"/>
        </w:rPr>
        <w:t>) n’appuyait une telle interprétation</w:t>
      </w:r>
      <w:r w:rsidR="00EB1B06" w:rsidRPr="00B35658">
        <w:rPr>
          <w:lang w:val="fr-CA"/>
        </w:rPr>
        <w:t>.</w:t>
      </w:r>
    </w:p>
    <w:p w:rsidR="00C744E3" w:rsidRPr="00B35658" w:rsidRDefault="00C744E3" w:rsidP="002231F2">
      <w:pPr>
        <w:pStyle w:val="SCCNormalDoubleSpacing"/>
        <w:spacing w:after="480"/>
        <w:rPr>
          <w:lang w:val="fr-CA"/>
        </w:rPr>
      </w:pPr>
      <w:r w:rsidRPr="00B35658">
        <w:rPr>
          <w:lang w:val="fr-CA"/>
        </w:rPr>
        <w:tab/>
      </w:r>
      <w:r w:rsidR="009B46DB" w:rsidRPr="00B35658">
        <w:rPr>
          <w:lang w:val="fr-CA"/>
        </w:rPr>
        <w:t>L’alinéa</w:t>
      </w:r>
      <w:r w:rsidR="003774AA" w:rsidRPr="00B35658">
        <w:rPr>
          <w:lang w:val="fr-CA"/>
        </w:rPr>
        <w:t> </w:t>
      </w:r>
      <w:r w:rsidR="009B46DB" w:rsidRPr="00B35658">
        <w:rPr>
          <w:lang w:val="fr-CA"/>
        </w:rPr>
        <w:t>11</w:t>
      </w:r>
      <w:r w:rsidR="009B46DB" w:rsidRPr="00B35658">
        <w:rPr>
          <w:i/>
          <w:lang w:val="fr-CA"/>
        </w:rPr>
        <w:t>i</w:t>
      </w:r>
      <w:r w:rsidR="009B46DB" w:rsidRPr="00B35658">
        <w:rPr>
          <w:lang w:val="fr-CA"/>
        </w:rPr>
        <w:t xml:space="preserve">) concilie, d’une part, le principe de la primauté du droit et, d’autre part, le principe de l’équité. </w:t>
      </w:r>
      <w:r w:rsidR="008C1BC4" w:rsidRPr="00B35658">
        <w:rPr>
          <w:lang w:val="fr-CA"/>
        </w:rPr>
        <w:t xml:space="preserve">Il consacre la règle de </w:t>
      </w:r>
      <w:proofErr w:type="spellStart"/>
      <w:r w:rsidR="008C1BC4" w:rsidRPr="00B35658">
        <w:rPr>
          <w:lang w:val="fr-CA"/>
        </w:rPr>
        <w:t>common</w:t>
      </w:r>
      <w:proofErr w:type="spellEnd"/>
      <w:r w:rsidR="008C1BC4" w:rsidRPr="00B35658">
        <w:rPr>
          <w:lang w:val="fr-CA"/>
        </w:rPr>
        <w:t xml:space="preserve"> </w:t>
      </w:r>
      <w:proofErr w:type="spellStart"/>
      <w:r w:rsidR="008C1BC4" w:rsidRPr="00B35658">
        <w:rPr>
          <w:lang w:val="fr-CA"/>
        </w:rPr>
        <w:t>law</w:t>
      </w:r>
      <w:proofErr w:type="spellEnd"/>
      <w:r w:rsidR="008C1BC4" w:rsidRPr="00B35658">
        <w:rPr>
          <w:lang w:val="fr-CA"/>
        </w:rPr>
        <w:t xml:space="preserve"> selon laquelle un contrevenant ne doit pas être soumis rétrospectivement à une peine plus sévère que celle qui s’appliquait au moment où il a commis son infraction. Cette règle est fondée sur la primauté du droit et, plus précisément, sur le principe de la légalité, lequel veut que les personnes qui ajustent leur comportement en fonction de l’état du droit, ou qui prennent le risque d’assumer les conséquences liées à la violation d’une règle de droit donnée, ne devraient pas ensuite être jugées en vertu d’autres règles de droit, en particulier de règles de droit plus rigoureuses. </w:t>
      </w:r>
      <w:r w:rsidR="00B13D7C" w:rsidRPr="00B35658">
        <w:rPr>
          <w:lang w:val="fr-CA"/>
        </w:rPr>
        <w:t>Cependant, l’al. 11</w:t>
      </w:r>
      <w:r w:rsidR="00B13D7C" w:rsidRPr="00B35658">
        <w:rPr>
          <w:i/>
          <w:lang w:val="fr-CA"/>
        </w:rPr>
        <w:t>i</w:t>
      </w:r>
      <w:r w:rsidR="00B13D7C" w:rsidRPr="00B35658">
        <w:rPr>
          <w:lang w:val="fr-CA"/>
        </w:rPr>
        <w:t>) constitutionnalise une mesure de protection</w:t>
      </w:r>
      <w:r w:rsidR="00094274" w:rsidRPr="00B35658">
        <w:rPr>
          <w:lang w:val="fr-CA"/>
        </w:rPr>
        <w:t xml:space="preserve"> additionnelle</w:t>
      </w:r>
      <w:r w:rsidRPr="00B35658">
        <w:rPr>
          <w:lang w:val="fr-CA"/>
        </w:rPr>
        <w:t xml:space="preserve">. </w:t>
      </w:r>
      <w:r w:rsidR="00FD2B77" w:rsidRPr="00B35658">
        <w:rPr>
          <w:lang w:val="fr-CA"/>
        </w:rPr>
        <w:t>Il dispose que, lorsque l</w:t>
      </w:r>
      <w:r w:rsidR="001A5693" w:rsidRPr="00B35658">
        <w:rPr>
          <w:lang w:val="fr-CA"/>
        </w:rPr>
        <w:t>a loi</w:t>
      </w:r>
      <w:r w:rsidR="00FD2B77" w:rsidRPr="00B35658">
        <w:rPr>
          <w:lang w:val="fr-CA"/>
        </w:rPr>
        <w:t xml:space="preserve"> prévoit l’infliction d’une peine plus favorable au moment de la sentence du contrevenant que celle qui s’appliquait au moment de la perpétration de l’infraction, le contrevenant a le droit de bénéficier de la peine actuelle, qui lui est plus favorable. L’équité en est la raison</w:t>
      </w:r>
      <w:r w:rsidRPr="00B35658">
        <w:rPr>
          <w:lang w:val="fr-CA"/>
        </w:rPr>
        <w:t xml:space="preserve">. </w:t>
      </w:r>
      <w:r w:rsidR="008330F4" w:rsidRPr="00B35658">
        <w:rPr>
          <w:lang w:val="fr-CA"/>
        </w:rPr>
        <w:t>Il ne serait pas équitable d’infliger à un contrevenant une peine qui, lorsque le législateur a choisi de l’adoucir, a expressément été reconnue par ce dernier comme n’étant plus juste. De plus, une peine criminelle est l’expression de l</w:t>
      </w:r>
      <w:r w:rsidR="008C0EB2" w:rsidRPr="00B35658">
        <w:rPr>
          <w:lang w:val="fr-CA"/>
        </w:rPr>
        <w:t>a voix</w:t>
      </w:r>
      <w:r w:rsidR="008330F4" w:rsidRPr="00B35658">
        <w:rPr>
          <w:lang w:val="fr-CA"/>
        </w:rPr>
        <w:t xml:space="preserve"> collective de la société; elle doit donc tenir compte des valeurs contemporaines</w:t>
      </w:r>
      <w:r w:rsidR="002231F2" w:rsidRPr="00B35658">
        <w:rPr>
          <w:lang w:val="fr-CA"/>
        </w:rPr>
        <w:t>.</w:t>
      </w:r>
    </w:p>
    <w:p w:rsidR="004D7D95" w:rsidRPr="00B35658" w:rsidRDefault="00C744E3" w:rsidP="002231F2">
      <w:pPr>
        <w:pStyle w:val="SCCNormalDoubleSpacing"/>
        <w:spacing w:after="480"/>
        <w:rPr>
          <w:lang w:val="fr-CA"/>
        </w:rPr>
      </w:pPr>
      <w:r w:rsidRPr="00B35658">
        <w:rPr>
          <w:lang w:val="fr-CA"/>
        </w:rPr>
        <w:lastRenderedPageBreak/>
        <w:tab/>
      </w:r>
      <w:r w:rsidR="008330F4" w:rsidRPr="00B35658">
        <w:rPr>
          <w:lang w:val="fr-CA"/>
        </w:rPr>
        <w:t xml:space="preserve">Une </w:t>
      </w:r>
      <w:r w:rsidR="002231F2" w:rsidRPr="00B35658">
        <w:rPr>
          <w:lang w:val="fr-CA"/>
        </w:rPr>
        <w:t>interprétation binaire de l’al. </w:t>
      </w:r>
      <w:r w:rsidR="008330F4" w:rsidRPr="00B35658">
        <w:rPr>
          <w:lang w:val="fr-CA"/>
        </w:rPr>
        <w:t>11</w:t>
      </w:r>
      <w:r w:rsidR="008330F4" w:rsidRPr="00B35658">
        <w:rPr>
          <w:i/>
          <w:lang w:val="fr-CA"/>
        </w:rPr>
        <w:t>i</w:t>
      </w:r>
      <w:r w:rsidR="008330F4" w:rsidRPr="00B35658">
        <w:rPr>
          <w:lang w:val="fr-CA"/>
        </w:rPr>
        <w:t xml:space="preserve">) n’est ni injuste ni arbitraire pour un contrevenant qui est puni conformément à la loi en vigueur au moment de la perpétration de l’infraction ou, le cas échéant, à une loi plus favorable en vigueur au moment de sa condamnation. </w:t>
      </w:r>
      <w:r w:rsidR="00FC358C" w:rsidRPr="00B35658">
        <w:rPr>
          <w:lang w:val="fr-CA"/>
        </w:rPr>
        <w:t xml:space="preserve">Au contraire, ces deux lois sont liées au contrevenant et à la poursuite engagée contre lui : la première loi établit la peine qu’il risquait de se voir infliger au moment où il a commis l’infraction et l’autre établit de la même manière les contours d’une peine qui tient compte de la perception de la société quant à la gravité de l’infraction et à la responsabilité du contrevenant au moment précis où la peine lui est infligée. </w:t>
      </w:r>
      <w:r w:rsidR="00705911" w:rsidRPr="00B35658">
        <w:rPr>
          <w:lang w:val="fr-CA"/>
        </w:rPr>
        <w:t>Il est, par conséquent, juste et rationnel que le contrevenant puisse bénéficier de l’une de ces peines</w:t>
      </w:r>
      <w:r w:rsidRPr="00B35658">
        <w:rPr>
          <w:lang w:val="fr-CA"/>
        </w:rPr>
        <w:t xml:space="preserve">. </w:t>
      </w:r>
      <w:r w:rsidR="009D240F" w:rsidRPr="00B35658">
        <w:rPr>
          <w:lang w:val="fr-CA"/>
        </w:rPr>
        <w:t xml:space="preserve">À l’inverse, </w:t>
      </w:r>
      <w:r w:rsidR="00781F6E" w:rsidRPr="00B35658">
        <w:rPr>
          <w:lang w:val="fr-CA"/>
        </w:rPr>
        <w:t>il n’existe aucune raison de principe d’accorder à un contrevenant le bénéfice d’</w:t>
      </w:r>
      <w:r w:rsidR="009D240F" w:rsidRPr="00B35658">
        <w:rPr>
          <w:lang w:val="fr-CA"/>
        </w:rPr>
        <w:t>une peine n’ayant aucun lien avec sa conduite fautive ou avec la perception de la société à l’égard de sa conduite au moment où le tribunal est appelé à déterminer la peine. De plus, il existe des considérations en matière d’équité qui militent contre une interprétation globale de l’al. 11</w:t>
      </w:r>
      <w:r w:rsidR="009D240F" w:rsidRPr="00B35658">
        <w:rPr>
          <w:i/>
          <w:lang w:val="fr-CA"/>
        </w:rPr>
        <w:t>i</w:t>
      </w:r>
      <w:r w:rsidR="009D240F" w:rsidRPr="00B35658">
        <w:rPr>
          <w:lang w:val="fr-CA"/>
        </w:rPr>
        <w:t xml:space="preserve">). </w:t>
      </w:r>
      <w:r w:rsidR="00567CC8" w:rsidRPr="00B35658">
        <w:rPr>
          <w:lang w:val="fr-CA"/>
        </w:rPr>
        <w:t>Une interprétation globale de l’al. 11</w:t>
      </w:r>
      <w:r w:rsidR="00567CC8" w:rsidRPr="00B35658">
        <w:rPr>
          <w:i/>
          <w:lang w:val="fr-CA"/>
        </w:rPr>
        <w:t>i</w:t>
      </w:r>
      <w:r w:rsidR="00567CC8" w:rsidRPr="00B35658">
        <w:rPr>
          <w:lang w:val="fr-CA"/>
        </w:rPr>
        <w:t xml:space="preserve">) avantagerait démesurément les contrevenants condamnés des années, voire des décennies, après avoir commis leurs infractions. </w:t>
      </w:r>
      <w:r w:rsidR="00535802" w:rsidRPr="00B35658">
        <w:rPr>
          <w:lang w:val="fr-CA"/>
        </w:rPr>
        <w:t>Les infractions d’ordre sexuel comme celles de P demeurent souvent cachées durant de longues périodes</w:t>
      </w:r>
      <w:r w:rsidRPr="00B35658">
        <w:rPr>
          <w:lang w:val="fr-CA"/>
        </w:rPr>
        <w:t xml:space="preserve">. </w:t>
      </w:r>
      <w:r w:rsidR="00535802" w:rsidRPr="00B35658">
        <w:rPr>
          <w:lang w:val="fr-CA"/>
        </w:rPr>
        <w:t>Il arrive fréquemment que des survivants de traumatismes sexuels tardent à révéler les agressions pour diverses raisons comme la gêne, la crainte, le sentiment de culpabilité ainsi que le manque de compréhension et de connaissance</w:t>
      </w:r>
      <w:r w:rsidRPr="00B35658">
        <w:rPr>
          <w:lang w:val="fr-CA"/>
        </w:rPr>
        <w:t xml:space="preserve">. </w:t>
      </w:r>
      <w:r w:rsidR="00BA3D8B" w:rsidRPr="00B35658">
        <w:rPr>
          <w:lang w:val="fr-CA"/>
        </w:rPr>
        <w:t>Un contrevenant ne devrait pas pouvoir bénéficier d’un avantage supplémentaire au titre de l’al. 11</w:t>
      </w:r>
      <w:r w:rsidR="00BA3D8B" w:rsidRPr="00B35658">
        <w:rPr>
          <w:i/>
          <w:lang w:val="fr-CA"/>
        </w:rPr>
        <w:t>i</w:t>
      </w:r>
      <w:r w:rsidR="00BA3D8B" w:rsidRPr="00B35658">
        <w:rPr>
          <w:lang w:val="fr-CA"/>
        </w:rPr>
        <w:t>) lorsqu’une victime est traumatisée au point d’avoir besoin d’un délai considérable pour surmonter sa réticence à dénoncer l’infraction</w:t>
      </w:r>
      <w:r w:rsidR="002231F2" w:rsidRPr="00B35658">
        <w:rPr>
          <w:lang w:val="fr-CA"/>
        </w:rPr>
        <w:t>.</w:t>
      </w:r>
    </w:p>
    <w:p w:rsidR="00AC013C" w:rsidRPr="00B35658" w:rsidRDefault="00AC013C" w:rsidP="002231F2">
      <w:pPr>
        <w:pStyle w:val="SCCNormalDoubleSpacing"/>
        <w:spacing w:after="480"/>
        <w:rPr>
          <w:lang w:val="fr-CA"/>
        </w:rPr>
      </w:pPr>
      <w:r w:rsidRPr="00B35658">
        <w:rPr>
          <w:lang w:val="fr-CA"/>
        </w:rPr>
        <w:lastRenderedPageBreak/>
        <w:tab/>
      </w:r>
      <w:r w:rsidRPr="00B35658">
        <w:rPr>
          <w:i/>
          <w:lang w:val="fr-CA"/>
        </w:rPr>
        <w:t>Les</w:t>
      </w:r>
      <w:r w:rsidRPr="00B35658">
        <w:rPr>
          <w:lang w:val="fr-CA"/>
        </w:rPr>
        <w:t xml:space="preserve"> juges</w:t>
      </w:r>
      <w:r w:rsidRPr="00B35658">
        <w:rPr>
          <w:i/>
          <w:lang w:val="fr-CA"/>
        </w:rPr>
        <w:t xml:space="preserve"> </w:t>
      </w:r>
      <w:r w:rsidRPr="00B35658">
        <w:rPr>
          <w:lang w:val="fr-CA"/>
        </w:rPr>
        <w:t xml:space="preserve">Abella, </w:t>
      </w:r>
      <w:proofErr w:type="spellStart"/>
      <w:r w:rsidRPr="00B35658">
        <w:rPr>
          <w:lang w:val="fr-CA"/>
        </w:rPr>
        <w:t>Karakatsanis</w:t>
      </w:r>
      <w:proofErr w:type="spellEnd"/>
      <w:r w:rsidRPr="00B35658">
        <w:rPr>
          <w:lang w:val="fr-CA"/>
        </w:rPr>
        <w:t xml:space="preserve"> et Brown (dissidents)</w:t>
      </w:r>
      <w:r w:rsidR="00A72017" w:rsidRPr="00B35658">
        <w:rPr>
          <w:lang w:val="fr-CA"/>
        </w:rPr>
        <w:t> </w:t>
      </w:r>
      <w:r w:rsidRPr="00B35658">
        <w:rPr>
          <w:lang w:val="fr-CA"/>
        </w:rPr>
        <w:t>: La requ</w:t>
      </w:r>
      <w:r w:rsidR="00FF6ECE" w:rsidRPr="00B35658">
        <w:rPr>
          <w:lang w:val="fr-CA"/>
        </w:rPr>
        <w:t xml:space="preserve">ête en poursuite de l’instance </w:t>
      </w:r>
      <w:r w:rsidRPr="00B35658">
        <w:rPr>
          <w:lang w:val="fr-CA"/>
        </w:rPr>
        <w:t xml:space="preserve">devrait être rejetée. La présente affaire fait partie de la très grande majorité des cas dans lesquels la poursuite de l’instance ne serait pas dans l’intérêt de la justice. Premièrement, il est difficile de conclure à l’existence d’un véritable débat contradictoire. Deuxièmement, bien qu’une question portant sur l’interprétation d’une disposition de la </w:t>
      </w:r>
      <w:r w:rsidRPr="00B35658">
        <w:rPr>
          <w:i/>
          <w:lang w:val="fr-CA"/>
        </w:rPr>
        <w:t xml:space="preserve">Charte </w:t>
      </w:r>
      <w:r w:rsidRPr="00B35658">
        <w:rPr>
          <w:lang w:val="fr-CA"/>
        </w:rPr>
        <w:t>soit toujours d’une grande importance, il n’existe pas en l’espèce de circonstances spéciales qui transcendent le décès de P. Face à 30 ans de jurisprudence consta</w:t>
      </w:r>
      <w:r w:rsidR="00FF6ECE" w:rsidRPr="00B35658">
        <w:rPr>
          <w:lang w:val="fr-CA"/>
        </w:rPr>
        <w:t xml:space="preserve">nte sur la question en litige, </w:t>
      </w:r>
      <w:r w:rsidRPr="00B35658">
        <w:rPr>
          <w:lang w:val="fr-CA"/>
        </w:rPr>
        <w:t>l’on ne peut pas dire que l’on soit en présence d’une controverse jurisprudentielle ou d’une question qui échappe ordinairement à l’examen des</w:t>
      </w:r>
      <w:r w:rsidR="00B35658" w:rsidRPr="00B35658">
        <w:rPr>
          <w:lang w:val="fr-CA"/>
        </w:rPr>
        <w:t xml:space="preserve"> tribunaux d’appel. Enfin, l’ini</w:t>
      </w:r>
      <w:r w:rsidRPr="00B35658">
        <w:rPr>
          <w:lang w:val="fr-CA"/>
        </w:rPr>
        <w:t>quité du fait de poursuivre une instance contre un délinquant décédé, malgré l’opposition</w:t>
      </w:r>
      <w:r w:rsidR="00FF6ECE" w:rsidRPr="00B35658">
        <w:rPr>
          <w:lang w:val="fr-CA"/>
        </w:rPr>
        <w:t xml:space="preserve"> de sa famille, </w:t>
      </w:r>
      <w:r w:rsidR="002231F2" w:rsidRPr="00B35658">
        <w:rPr>
          <w:lang w:val="fr-CA"/>
        </w:rPr>
        <w:t>est évidente.</w:t>
      </w:r>
    </w:p>
    <w:p w:rsidR="00AC013C" w:rsidRPr="00B35658" w:rsidRDefault="00AC013C" w:rsidP="002231F2">
      <w:pPr>
        <w:pStyle w:val="SCCNormalDoubleSpacing"/>
        <w:spacing w:after="480"/>
        <w:rPr>
          <w:lang w:val="fr-CA"/>
        </w:rPr>
      </w:pPr>
      <w:r w:rsidRPr="00B35658">
        <w:rPr>
          <w:lang w:val="fr-CA"/>
        </w:rPr>
        <w:tab/>
      </w:r>
      <w:r w:rsidR="00FF6ECE" w:rsidRPr="00B35658">
        <w:rPr>
          <w:lang w:val="fr-CA"/>
        </w:rPr>
        <w:t xml:space="preserve">Par ailleurs, l’appel </w:t>
      </w:r>
      <w:r w:rsidRPr="00B35658">
        <w:rPr>
          <w:lang w:val="fr-CA"/>
        </w:rPr>
        <w:t>devrait être rejeté sur le fond. Pendant 30 ans, les tribunaux</w:t>
      </w:r>
      <w:r w:rsidR="002231F2" w:rsidRPr="00B35658">
        <w:rPr>
          <w:lang w:val="fr-CA"/>
        </w:rPr>
        <w:t xml:space="preserve"> canadiens ont interprété l’al. </w:t>
      </w:r>
      <w:r w:rsidRPr="00B35658">
        <w:rPr>
          <w:lang w:val="fr-CA"/>
        </w:rPr>
        <w:t>11</w:t>
      </w:r>
      <w:r w:rsidRPr="00B35658">
        <w:rPr>
          <w:i/>
          <w:lang w:val="fr-CA"/>
        </w:rPr>
        <w:t>i</w:t>
      </w:r>
      <w:r w:rsidRPr="00B35658">
        <w:rPr>
          <w:lang w:val="fr-CA"/>
        </w:rPr>
        <w:t xml:space="preserve">) de la </w:t>
      </w:r>
      <w:r w:rsidRPr="00B35658">
        <w:rPr>
          <w:i/>
          <w:lang w:val="fr-CA"/>
        </w:rPr>
        <w:t>Charte</w:t>
      </w:r>
      <w:r w:rsidRPr="00B35658">
        <w:rPr>
          <w:lang w:val="fr-CA"/>
        </w:rPr>
        <w:t xml:space="preserve"> de façon constante, concluant que cette disposition garantit à tout contrevenant le bénéfice de la peine la moins sévère qui ait été </w:t>
      </w:r>
      <w:r w:rsidR="00E31539" w:rsidRPr="00B35658">
        <w:rPr>
          <w:lang w:val="fr-CA"/>
        </w:rPr>
        <w:t>applicable</w:t>
      </w:r>
      <w:r w:rsidRPr="00B35658">
        <w:rPr>
          <w:lang w:val="fr-CA"/>
        </w:rPr>
        <w:t xml:space="preserve"> entre le moment de la perpétration de l’infraction et celui de la sentence. Cette approche est amplemen</w:t>
      </w:r>
      <w:r w:rsidR="002231F2" w:rsidRPr="00B35658">
        <w:rPr>
          <w:lang w:val="fr-CA"/>
        </w:rPr>
        <w:t>t appuyée par le texte de l’al. </w:t>
      </w:r>
      <w:r w:rsidRPr="00B35658">
        <w:rPr>
          <w:lang w:val="fr-CA"/>
        </w:rPr>
        <w:t>11</w:t>
      </w:r>
      <w:r w:rsidRPr="00B35658">
        <w:rPr>
          <w:i/>
          <w:lang w:val="fr-CA"/>
        </w:rPr>
        <w:t>i</w:t>
      </w:r>
      <w:r w:rsidRPr="00B35658">
        <w:rPr>
          <w:lang w:val="fr-CA"/>
        </w:rPr>
        <w:t>), dont la formulation suggère un continuum entre le moment de la perpétration de l’infraction et celui de la sentence. L’application d’une interprétation formaliste</w:t>
      </w:r>
      <w:r w:rsidR="00FF6ECE" w:rsidRPr="00B35658">
        <w:rPr>
          <w:lang w:val="fr-CA"/>
        </w:rPr>
        <w:t xml:space="preserve"> comme celle avancée par </w:t>
      </w:r>
      <w:r w:rsidRPr="00B35658">
        <w:rPr>
          <w:lang w:val="fr-CA"/>
        </w:rPr>
        <w:t>la Couronne va à l</w:t>
      </w:r>
      <w:r w:rsidR="00FF6ECE" w:rsidRPr="00B35658">
        <w:rPr>
          <w:lang w:val="fr-CA"/>
        </w:rPr>
        <w:t xml:space="preserve">’encontre des enseignements de </w:t>
      </w:r>
      <w:r w:rsidRPr="00B35658">
        <w:rPr>
          <w:lang w:val="fr-CA"/>
        </w:rPr>
        <w:t xml:space="preserve">la Cour voulant que les droits garantis par la </w:t>
      </w:r>
      <w:r w:rsidRPr="00B35658">
        <w:rPr>
          <w:i/>
          <w:lang w:val="fr-CA"/>
        </w:rPr>
        <w:t xml:space="preserve">Charte </w:t>
      </w:r>
      <w:r w:rsidRPr="00B35658">
        <w:rPr>
          <w:lang w:val="fr-CA"/>
        </w:rPr>
        <w:t>doivent être interprétés de façon libérale et en fonction de l’objet visé. L’interprétation adoptée par les autres cours canadienn</w:t>
      </w:r>
      <w:r w:rsidR="002231F2" w:rsidRPr="00B35658">
        <w:rPr>
          <w:lang w:val="fr-CA"/>
        </w:rPr>
        <w:t xml:space="preserve">es reflète deux objets de </w:t>
      </w:r>
      <w:r w:rsidR="002231F2" w:rsidRPr="00B35658">
        <w:rPr>
          <w:lang w:val="fr-CA"/>
        </w:rPr>
        <w:lastRenderedPageBreak/>
        <w:t>l’al. </w:t>
      </w:r>
      <w:r w:rsidRPr="00B35658">
        <w:rPr>
          <w:lang w:val="fr-CA"/>
        </w:rPr>
        <w:t>11</w:t>
      </w:r>
      <w:r w:rsidRPr="00B35658">
        <w:rPr>
          <w:i/>
          <w:lang w:val="fr-CA"/>
        </w:rPr>
        <w:t>i</w:t>
      </w:r>
      <w:r w:rsidRPr="00B35658">
        <w:rPr>
          <w:lang w:val="fr-CA"/>
        </w:rPr>
        <w:t xml:space="preserve">) dégagés par la Cour : la primauté du droit et la garantie de l’équité des procédures criminelles. Il y a, au cours des enquêtes et poursuites pénales </w:t>
      </w:r>
      <w:r w:rsidR="00694088" w:rsidRPr="00B35658">
        <w:rPr>
          <w:lang w:val="fr-CA"/>
        </w:rPr>
        <w:t>—</w:t>
      </w:r>
      <w:r w:rsidRPr="00B35658">
        <w:rPr>
          <w:lang w:val="fr-CA"/>
        </w:rPr>
        <w:t xml:space="preserve"> a</w:t>
      </w:r>
      <w:r w:rsidR="00FF6ECE" w:rsidRPr="00B35658">
        <w:rPr>
          <w:lang w:val="fr-CA"/>
        </w:rPr>
        <w:t xml:space="preserve">vant l’infliction de la peine </w:t>
      </w:r>
      <w:r w:rsidR="00694088" w:rsidRPr="00B35658">
        <w:rPr>
          <w:lang w:val="fr-CA"/>
        </w:rPr>
        <w:t>—</w:t>
      </w:r>
      <w:r w:rsidRPr="00B35658">
        <w:rPr>
          <w:lang w:val="fr-CA"/>
        </w:rPr>
        <w:t xml:space="preserve">, plusieurs moments où un individu peut être appelé à faire des choix sur la foi des peines alors </w:t>
      </w:r>
      <w:r w:rsidR="00D35F21" w:rsidRPr="00B35658">
        <w:rPr>
          <w:lang w:val="fr-CA"/>
        </w:rPr>
        <w:t>applicables</w:t>
      </w:r>
      <w:r w:rsidRPr="00B35658">
        <w:rPr>
          <w:lang w:val="fr-CA"/>
        </w:rPr>
        <w:t xml:space="preserve">. </w:t>
      </w:r>
      <w:r w:rsidR="00FF6ECE" w:rsidRPr="00B35658">
        <w:rPr>
          <w:lang w:val="fr-CA"/>
        </w:rPr>
        <w:t xml:space="preserve">C’est précisément </w:t>
      </w:r>
      <w:r w:rsidRPr="00B35658">
        <w:rPr>
          <w:lang w:val="fr-CA"/>
        </w:rPr>
        <w:t>cette possibilité qui est à la</w:t>
      </w:r>
      <w:r w:rsidR="002231F2" w:rsidRPr="00B35658">
        <w:rPr>
          <w:lang w:val="fr-CA"/>
        </w:rPr>
        <w:t xml:space="preserve"> base de la protection de l’al. </w:t>
      </w:r>
      <w:r w:rsidRPr="00B35658">
        <w:rPr>
          <w:lang w:val="fr-CA"/>
        </w:rPr>
        <w:t>11</w:t>
      </w:r>
      <w:r w:rsidRPr="00B35658">
        <w:rPr>
          <w:i/>
          <w:lang w:val="fr-CA"/>
        </w:rPr>
        <w:t>i</w:t>
      </w:r>
      <w:r w:rsidR="00FF6ECE" w:rsidRPr="00B35658">
        <w:rPr>
          <w:lang w:val="fr-CA"/>
        </w:rPr>
        <w:t>)</w:t>
      </w:r>
      <w:r w:rsidRPr="00B35658">
        <w:rPr>
          <w:lang w:val="fr-CA"/>
        </w:rPr>
        <w:t>, laquelle ne saurait êt</w:t>
      </w:r>
      <w:r w:rsidR="00FF6ECE" w:rsidRPr="00B35658">
        <w:rPr>
          <w:lang w:val="fr-CA"/>
        </w:rPr>
        <w:t xml:space="preserve">re conditionnelle à une preuve </w:t>
      </w:r>
      <w:r w:rsidRPr="00B35658">
        <w:rPr>
          <w:lang w:val="fr-CA"/>
        </w:rPr>
        <w:t xml:space="preserve">que l’inculpé s’est </w:t>
      </w:r>
      <w:proofErr w:type="spellStart"/>
      <w:r w:rsidRPr="00B35658">
        <w:rPr>
          <w:lang w:val="fr-CA"/>
        </w:rPr>
        <w:t>fié</w:t>
      </w:r>
      <w:proofErr w:type="spellEnd"/>
      <w:r w:rsidRPr="00B35658">
        <w:rPr>
          <w:lang w:val="fr-CA"/>
        </w:rPr>
        <w:t xml:space="preserve"> au droit en vigueur. Ici, la possibilité</w:t>
      </w:r>
      <w:r w:rsidR="002231F2" w:rsidRPr="00B35658">
        <w:rPr>
          <w:lang w:val="fr-CA"/>
        </w:rPr>
        <w:t xml:space="preserve"> que l’interprétation de l’al. </w:t>
      </w:r>
      <w:r w:rsidRPr="00B35658">
        <w:rPr>
          <w:lang w:val="fr-CA"/>
        </w:rPr>
        <w:t>11</w:t>
      </w:r>
      <w:r w:rsidRPr="00B35658">
        <w:rPr>
          <w:i/>
          <w:lang w:val="fr-CA"/>
        </w:rPr>
        <w:t>i</w:t>
      </w:r>
      <w:r w:rsidRPr="00B35658">
        <w:rPr>
          <w:lang w:val="fr-CA"/>
        </w:rPr>
        <w:t>) retenue par la jurisprudence alourdisse l’analyse des peines applicables ne de</w:t>
      </w:r>
      <w:r w:rsidR="00FF6ECE" w:rsidRPr="00B35658">
        <w:rPr>
          <w:lang w:val="fr-CA"/>
        </w:rPr>
        <w:t>vrait pas</w:t>
      </w:r>
      <w:r w:rsidR="002231F2" w:rsidRPr="00B35658">
        <w:rPr>
          <w:lang w:val="fr-CA"/>
        </w:rPr>
        <w:t xml:space="preserve"> militer contre celle</w:t>
      </w:r>
      <w:r w:rsidR="002231F2" w:rsidRPr="00B35658">
        <w:rPr>
          <w:lang w:val="fr-CA"/>
        </w:rPr>
        <w:noBreakHyphen/>
      </w:r>
      <w:r w:rsidRPr="00B35658">
        <w:rPr>
          <w:lang w:val="fr-CA"/>
        </w:rPr>
        <w:t xml:space="preserve">ci. Il semble téméraire d’écarter une interprétation qui offre une protection plus importante aux contrevenants en l’absence </w:t>
      </w:r>
      <w:r w:rsidR="00FF6ECE" w:rsidRPr="00B35658">
        <w:rPr>
          <w:lang w:val="fr-CA"/>
        </w:rPr>
        <w:t xml:space="preserve">de toute preuve de l’existence </w:t>
      </w:r>
      <w:r w:rsidRPr="00B35658">
        <w:rPr>
          <w:lang w:val="fr-CA"/>
        </w:rPr>
        <w:t>de difficultés, surtout à la lumière du libellé exprès de la disposition. E</w:t>
      </w:r>
      <w:r w:rsidR="00FF6ECE" w:rsidRPr="00B35658">
        <w:rPr>
          <w:lang w:val="fr-CA"/>
        </w:rPr>
        <w:t>nfin, la proposition</w:t>
      </w:r>
      <w:r w:rsidR="002231F2" w:rsidRPr="00B35658">
        <w:rPr>
          <w:lang w:val="fr-CA"/>
        </w:rPr>
        <w:t xml:space="preserve"> que l’al. </w:t>
      </w:r>
      <w:r w:rsidRPr="00B35658">
        <w:rPr>
          <w:lang w:val="fr-CA"/>
        </w:rPr>
        <w:t>11</w:t>
      </w:r>
      <w:r w:rsidRPr="00B35658">
        <w:rPr>
          <w:i/>
          <w:lang w:val="fr-CA"/>
        </w:rPr>
        <w:t>i</w:t>
      </w:r>
      <w:r w:rsidRPr="00B35658">
        <w:rPr>
          <w:lang w:val="fr-CA"/>
        </w:rPr>
        <w:t>) a un troisième objet, de garantir que la peine infligée corresponde au degré de réprobation sociale associé à l’infraction au moment où la peine est infligée, semble confondre la question de la disponibilité d’une peine et la natu</w:t>
      </w:r>
      <w:r w:rsidR="002231F2" w:rsidRPr="00B35658">
        <w:rPr>
          <w:lang w:val="fr-CA"/>
        </w:rPr>
        <w:t>re juste et appropriée de celle</w:t>
      </w:r>
      <w:r w:rsidR="002231F2" w:rsidRPr="00B35658">
        <w:rPr>
          <w:lang w:val="fr-CA"/>
        </w:rPr>
        <w:noBreakHyphen/>
      </w:r>
      <w:r w:rsidRPr="00B35658">
        <w:rPr>
          <w:lang w:val="fr-CA"/>
        </w:rPr>
        <w:t>ci. Dans une affaire concernant de multiples abus sexuels sérieux contre un jeune parent, il se peut que l’emprisonnement avec sursis ne soit pas une peine juste et appropriée. Or, ceci n’est pas la question dont la Cour est</w:t>
      </w:r>
      <w:r w:rsidR="00FF6ECE" w:rsidRPr="00B35658">
        <w:rPr>
          <w:lang w:val="fr-CA"/>
        </w:rPr>
        <w:t xml:space="preserve"> saisi</w:t>
      </w:r>
      <w:r w:rsidRPr="00B35658">
        <w:rPr>
          <w:lang w:val="fr-CA"/>
        </w:rPr>
        <w:t>e.</w:t>
      </w:r>
    </w:p>
    <w:p w:rsidR="004D7D95" w:rsidRPr="00B35658" w:rsidRDefault="004D7D95" w:rsidP="002231F2">
      <w:pPr>
        <w:pStyle w:val="SCCNormalDoubleSpacing"/>
        <w:spacing w:after="720" w:line="240" w:lineRule="auto"/>
        <w:rPr>
          <w:b/>
          <w:lang w:val="fr-CA"/>
        </w:rPr>
      </w:pPr>
      <w:r w:rsidRPr="00B35658">
        <w:rPr>
          <w:b/>
          <w:lang w:val="fr-CA"/>
        </w:rPr>
        <w:t>Jurisprudence</w:t>
      </w:r>
    </w:p>
    <w:p w:rsidR="004D7D95" w:rsidRPr="00B35658" w:rsidRDefault="00F85C9A" w:rsidP="00295AF0">
      <w:pPr>
        <w:pStyle w:val="SCCNormalDoubleSpacing"/>
        <w:spacing w:after="720" w:line="240" w:lineRule="auto"/>
        <w:rPr>
          <w:lang w:val="fr-CA"/>
        </w:rPr>
      </w:pPr>
      <w:r w:rsidRPr="00B35658">
        <w:rPr>
          <w:lang w:val="fr-CA"/>
        </w:rPr>
        <w:t>Citée par la juge Martin</w:t>
      </w:r>
    </w:p>
    <w:p w:rsidR="00F85C9A" w:rsidRPr="00B35658" w:rsidRDefault="004D7D95" w:rsidP="00295AF0">
      <w:pPr>
        <w:pStyle w:val="SCCNormalDoubleSpacing"/>
        <w:spacing w:after="480"/>
        <w:rPr>
          <w:lang w:val="fr-CA"/>
        </w:rPr>
      </w:pPr>
      <w:r w:rsidRPr="00B35658">
        <w:rPr>
          <w:lang w:val="fr-CA"/>
        </w:rPr>
        <w:tab/>
      </w:r>
      <w:r w:rsidR="004675C6" w:rsidRPr="00B35658">
        <w:rPr>
          <w:b/>
          <w:bCs/>
          <w:lang w:val="fr-CA"/>
        </w:rPr>
        <w:t>Arrêt appliqué :</w:t>
      </w:r>
      <w:r w:rsidR="004675C6" w:rsidRPr="00B35658">
        <w:rPr>
          <w:lang w:val="fr-CA"/>
        </w:rPr>
        <w:t xml:space="preserve"> </w:t>
      </w:r>
      <w:r w:rsidR="004675C6" w:rsidRPr="00B35658">
        <w:rPr>
          <w:i/>
          <w:lang w:val="fr-CA"/>
        </w:rPr>
        <w:t>R. c. Smith</w:t>
      </w:r>
      <w:r w:rsidR="004675C6" w:rsidRPr="00B35658">
        <w:rPr>
          <w:lang w:val="fr-CA"/>
        </w:rPr>
        <w:t xml:space="preserve">, 2004 CSC 14, [2004] 1 R.C.S. 385; </w:t>
      </w:r>
      <w:r w:rsidR="0085092E" w:rsidRPr="00B35658">
        <w:rPr>
          <w:b/>
          <w:lang w:val="fr-CA"/>
        </w:rPr>
        <w:t>a</w:t>
      </w:r>
      <w:r w:rsidRPr="00B35658">
        <w:rPr>
          <w:b/>
          <w:lang w:val="fr-CA"/>
        </w:rPr>
        <w:t>rrêts mentionnés</w:t>
      </w:r>
      <w:r w:rsidR="00295AF0" w:rsidRPr="00B35658">
        <w:rPr>
          <w:b/>
          <w:lang w:val="fr-CA"/>
        </w:rPr>
        <w:t> :</w:t>
      </w:r>
      <w:r w:rsidRPr="00B35658">
        <w:rPr>
          <w:lang w:val="fr-CA"/>
        </w:rPr>
        <w:t xml:space="preserve"> </w:t>
      </w:r>
      <w:r w:rsidR="00F85C9A" w:rsidRPr="00B35658">
        <w:rPr>
          <w:i/>
          <w:lang w:val="fr-CA"/>
        </w:rPr>
        <w:t xml:space="preserve">R. c. </w:t>
      </w:r>
      <w:proofErr w:type="spellStart"/>
      <w:r w:rsidR="00F85C9A" w:rsidRPr="00B35658">
        <w:rPr>
          <w:i/>
          <w:lang w:val="fr-CA"/>
        </w:rPr>
        <w:t>Belzil</w:t>
      </w:r>
      <w:proofErr w:type="spellEnd"/>
      <w:r w:rsidR="00F85C9A" w:rsidRPr="00B35658">
        <w:rPr>
          <w:lang w:val="fr-CA"/>
        </w:rPr>
        <w:t xml:space="preserve">, [1989] R.J.Q. 1117; </w:t>
      </w:r>
      <w:r w:rsidR="00F85C9A" w:rsidRPr="00B35658">
        <w:rPr>
          <w:i/>
          <w:lang w:val="fr-CA"/>
        </w:rPr>
        <w:t xml:space="preserve">R. c. </w:t>
      </w:r>
      <w:proofErr w:type="spellStart"/>
      <w:r w:rsidR="00F85C9A" w:rsidRPr="00B35658">
        <w:rPr>
          <w:i/>
          <w:lang w:val="fr-CA"/>
        </w:rPr>
        <w:t>M</w:t>
      </w:r>
      <w:r w:rsidR="004E2ABA">
        <w:rPr>
          <w:i/>
          <w:lang w:val="fr-CA"/>
        </w:rPr>
        <w:t>a</w:t>
      </w:r>
      <w:r w:rsidR="00F85C9A" w:rsidRPr="00B35658">
        <w:rPr>
          <w:i/>
          <w:lang w:val="fr-CA"/>
        </w:rPr>
        <w:t>cLellan</w:t>
      </w:r>
      <w:proofErr w:type="spellEnd"/>
      <w:r w:rsidR="00F85C9A" w:rsidRPr="00B35658">
        <w:rPr>
          <w:lang w:val="fr-CA"/>
        </w:rPr>
        <w:t>, 2019 NSCA 2</w:t>
      </w:r>
      <w:r w:rsidR="00D04B26">
        <w:rPr>
          <w:lang w:val="fr-CA"/>
        </w:rPr>
        <w:t xml:space="preserve">, 369 </w:t>
      </w:r>
      <w:r w:rsidR="00D04B26">
        <w:rPr>
          <w:lang w:val="fr-CA"/>
        </w:rPr>
        <w:lastRenderedPageBreak/>
        <w:t>C.C.C. (3d) 482</w:t>
      </w:r>
      <w:r w:rsidR="00F85C9A" w:rsidRPr="00B35658">
        <w:rPr>
          <w:lang w:val="fr-CA"/>
        </w:rPr>
        <w:t xml:space="preserve">; </w:t>
      </w:r>
      <w:r w:rsidR="00F85C9A" w:rsidRPr="00B35658">
        <w:rPr>
          <w:i/>
          <w:lang w:val="fr-CA"/>
        </w:rPr>
        <w:t>Forget c. Québec (Procureur général)</w:t>
      </w:r>
      <w:r w:rsidR="00F85C9A" w:rsidRPr="00B35658">
        <w:rPr>
          <w:lang w:val="fr-CA"/>
        </w:rPr>
        <w:t xml:space="preserve">, [1988] 2 R.C.S. 90; </w:t>
      </w:r>
      <w:proofErr w:type="spellStart"/>
      <w:r w:rsidR="00F85C9A" w:rsidRPr="00B35658">
        <w:rPr>
          <w:i/>
          <w:lang w:val="fr-CA"/>
        </w:rPr>
        <w:t>Borowski</w:t>
      </w:r>
      <w:proofErr w:type="spellEnd"/>
      <w:r w:rsidR="00F85C9A" w:rsidRPr="00B35658">
        <w:rPr>
          <w:lang w:val="fr-CA"/>
        </w:rPr>
        <w:t xml:space="preserve"> </w:t>
      </w:r>
      <w:r w:rsidR="00F85C9A" w:rsidRPr="00B35658">
        <w:rPr>
          <w:i/>
          <w:lang w:val="fr-CA"/>
        </w:rPr>
        <w:t>c. Canada (Procureur général)</w:t>
      </w:r>
      <w:r w:rsidR="00F85C9A" w:rsidRPr="00B35658">
        <w:rPr>
          <w:lang w:val="fr-CA"/>
        </w:rPr>
        <w:t xml:space="preserve">, [1989] 1 R.C.S. 342; </w:t>
      </w:r>
      <w:r w:rsidR="00F85C9A" w:rsidRPr="00B35658">
        <w:rPr>
          <w:i/>
          <w:lang w:val="fr-CA"/>
        </w:rPr>
        <w:t>R. c. Beaton</w:t>
      </w:r>
      <w:r w:rsidR="00F85C9A" w:rsidRPr="00B35658">
        <w:rPr>
          <w:lang w:val="fr-CA"/>
        </w:rPr>
        <w:t xml:space="preserve">, 2018 ONCA 924; </w:t>
      </w:r>
      <w:r w:rsidR="00F85C9A" w:rsidRPr="00B35658">
        <w:rPr>
          <w:i/>
          <w:lang w:val="fr-CA"/>
        </w:rPr>
        <w:t xml:space="preserve">R. c. </w:t>
      </w:r>
      <w:proofErr w:type="spellStart"/>
      <w:r w:rsidR="00F85C9A" w:rsidRPr="00B35658">
        <w:rPr>
          <w:i/>
          <w:lang w:val="fr-CA"/>
        </w:rPr>
        <w:t>Wigglesworth</w:t>
      </w:r>
      <w:proofErr w:type="spellEnd"/>
      <w:r w:rsidR="00F85C9A" w:rsidRPr="00B35658">
        <w:rPr>
          <w:lang w:val="fr-CA"/>
        </w:rPr>
        <w:t xml:space="preserve">, [1987] 2 R.C.S. 541; </w:t>
      </w:r>
      <w:r w:rsidR="00F85C9A" w:rsidRPr="00B35658">
        <w:rPr>
          <w:i/>
          <w:lang w:val="fr-CA"/>
        </w:rPr>
        <w:t xml:space="preserve">R. c. </w:t>
      </w:r>
      <w:proofErr w:type="spellStart"/>
      <w:r w:rsidR="00F85C9A" w:rsidRPr="00B35658">
        <w:rPr>
          <w:i/>
          <w:lang w:val="fr-CA"/>
        </w:rPr>
        <w:t>Cadman</w:t>
      </w:r>
      <w:proofErr w:type="spellEnd"/>
      <w:r w:rsidR="00F85C9A" w:rsidRPr="00B35658">
        <w:rPr>
          <w:lang w:val="fr-CA"/>
        </w:rPr>
        <w:t>,</w:t>
      </w:r>
      <w:r w:rsidR="00F85C9A" w:rsidRPr="00B35658">
        <w:rPr>
          <w:i/>
          <w:lang w:val="fr-CA"/>
        </w:rPr>
        <w:t xml:space="preserve"> </w:t>
      </w:r>
      <w:r w:rsidR="00F85C9A" w:rsidRPr="00B35658">
        <w:rPr>
          <w:lang w:val="fr-CA"/>
        </w:rPr>
        <w:t xml:space="preserve">2018 BCCA 100, 359 C.C.C. (3d) 427; </w:t>
      </w:r>
      <w:r w:rsidR="00F85C9A" w:rsidRPr="00B35658">
        <w:rPr>
          <w:i/>
          <w:lang w:val="fr-CA"/>
        </w:rPr>
        <w:t xml:space="preserve">R. c. </w:t>
      </w:r>
      <w:proofErr w:type="spellStart"/>
      <w:r w:rsidR="00F85C9A" w:rsidRPr="00B35658">
        <w:rPr>
          <w:i/>
          <w:lang w:val="fr-CA"/>
        </w:rPr>
        <w:t>Bent</w:t>
      </w:r>
      <w:proofErr w:type="spellEnd"/>
      <w:r w:rsidR="00F85C9A" w:rsidRPr="00B35658">
        <w:rPr>
          <w:lang w:val="fr-CA"/>
        </w:rPr>
        <w:t>,</w:t>
      </w:r>
      <w:r w:rsidR="00F85C9A" w:rsidRPr="00B35658">
        <w:rPr>
          <w:i/>
          <w:lang w:val="fr-CA"/>
        </w:rPr>
        <w:t xml:space="preserve"> </w:t>
      </w:r>
      <w:r w:rsidR="00F85C9A" w:rsidRPr="00B35658">
        <w:rPr>
          <w:lang w:val="fr-CA"/>
        </w:rPr>
        <w:t xml:space="preserve">2017 ONSC 3189, 383 C.R.R. (2d) 161; </w:t>
      </w:r>
      <w:r w:rsidR="00F85C9A" w:rsidRPr="00B35658">
        <w:rPr>
          <w:i/>
          <w:lang w:val="fr-CA"/>
        </w:rPr>
        <w:t>R. c. Yusuf</w:t>
      </w:r>
      <w:r w:rsidR="00F85C9A" w:rsidRPr="00B35658">
        <w:rPr>
          <w:lang w:val="fr-CA"/>
        </w:rPr>
        <w:t>,</w:t>
      </w:r>
      <w:r w:rsidR="00F85C9A" w:rsidRPr="00B35658">
        <w:rPr>
          <w:i/>
          <w:lang w:val="fr-CA"/>
        </w:rPr>
        <w:t xml:space="preserve"> </w:t>
      </w:r>
      <w:r w:rsidR="00F85C9A" w:rsidRPr="00B35658">
        <w:rPr>
          <w:lang w:val="fr-CA"/>
        </w:rPr>
        <w:t xml:space="preserve">2011 BCSC 626; </w:t>
      </w:r>
      <w:r w:rsidR="00F85C9A" w:rsidRPr="00B35658">
        <w:rPr>
          <w:i/>
          <w:lang w:val="fr-CA"/>
        </w:rPr>
        <w:t xml:space="preserve">R. c. </w:t>
      </w:r>
      <w:proofErr w:type="spellStart"/>
      <w:r w:rsidR="00F85C9A" w:rsidRPr="00B35658">
        <w:rPr>
          <w:i/>
          <w:lang w:val="fr-CA"/>
        </w:rPr>
        <w:t>Mehanmal</w:t>
      </w:r>
      <w:proofErr w:type="spellEnd"/>
      <w:r w:rsidR="00F85C9A" w:rsidRPr="00B35658">
        <w:rPr>
          <w:lang w:val="fr-CA"/>
        </w:rPr>
        <w:t>,</w:t>
      </w:r>
      <w:r w:rsidR="00F85C9A" w:rsidRPr="00B35658">
        <w:rPr>
          <w:i/>
          <w:lang w:val="fr-CA"/>
        </w:rPr>
        <w:t xml:space="preserve"> </w:t>
      </w:r>
      <w:r w:rsidR="00F85C9A" w:rsidRPr="00B35658">
        <w:rPr>
          <w:lang w:val="fr-CA"/>
        </w:rPr>
        <w:t xml:space="preserve">2012 ONCJ 681, 270 C.R.R. (2d) 271; </w:t>
      </w:r>
      <w:r w:rsidR="00F85C9A" w:rsidRPr="00B35658">
        <w:rPr>
          <w:i/>
          <w:lang w:val="fr-CA"/>
        </w:rPr>
        <w:t xml:space="preserve">R. c. </w:t>
      </w:r>
      <w:proofErr w:type="spellStart"/>
      <w:r w:rsidR="00F85C9A" w:rsidRPr="00B35658">
        <w:rPr>
          <w:i/>
          <w:lang w:val="fr-CA"/>
        </w:rPr>
        <w:t>Big</w:t>
      </w:r>
      <w:proofErr w:type="spellEnd"/>
      <w:r w:rsidR="00F85C9A" w:rsidRPr="00B35658">
        <w:rPr>
          <w:i/>
          <w:lang w:val="fr-CA"/>
        </w:rPr>
        <w:t xml:space="preserve"> M Drug </w:t>
      </w:r>
      <w:proofErr w:type="spellStart"/>
      <w:r w:rsidR="00F85C9A" w:rsidRPr="00B35658">
        <w:rPr>
          <w:i/>
          <w:lang w:val="fr-CA"/>
        </w:rPr>
        <w:t>Mart</w:t>
      </w:r>
      <w:proofErr w:type="spellEnd"/>
      <w:r w:rsidR="00F85C9A" w:rsidRPr="00B35658">
        <w:rPr>
          <w:i/>
          <w:lang w:val="fr-CA"/>
        </w:rPr>
        <w:t xml:space="preserve"> Ltd.</w:t>
      </w:r>
      <w:r w:rsidR="00F85C9A" w:rsidRPr="00B35658">
        <w:rPr>
          <w:lang w:val="fr-CA"/>
        </w:rPr>
        <w:t>,</w:t>
      </w:r>
      <w:r w:rsidR="00F85C9A" w:rsidRPr="00B35658">
        <w:rPr>
          <w:i/>
          <w:lang w:val="fr-CA"/>
        </w:rPr>
        <w:t xml:space="preserve"> </w:t>
      </w:r>
      <w:r w:rsidR="00F85C9A" w:rsidRPr="00B35658">
        <w:rPr>
          <w:lang w:val="fr-CA"/>
        </w:rPr>
        <w:t xml:space="preserve">[1985] 1 R.C.S. 295; </w:t>
      </w:r>
      <w:r w:rsidR="00F85C9A" w:rsidRPr="00B35658">
        <w:rPr>
          <w:i/>
          <w:lang w:val="fr-CA"/>
        </w:rPr>
        <w:t>R. c. K.R.J.</w:t>
      </w:r>
      <w:r w:rsidR="00F85C9A" w:rsidRPr="00B35658">
        <w:rPr>
          <w:lang w:val="fr-CA"/>
        </w:rPr>
        <w:t>,</w:t>
      </w:r>
      <w:r w:rsidR="00F85C9A" w:rsidRPr="00B35658">
        <w:rPr>
          <w:i/>
          <w:lang w:val="fr-CA"/>
        </w:rPr>
        <w:t xml:space="preserve"> </w:t>
      </w:r>
      <w:r w:rsidR="00F85C9A" w:rsidRPr="00B35658">
        <w:rPr>
          <w:lang w:val="fr-CA"/>
        </w:rPr>
        <w:t xml:space="preserve">2016 CSC 31, [2016] 1 R.C.S. 906; </w:t>
      </w:r>
      <w:r w:rsidR="00F85C9A" w:rsidRPr="00B35658">
        <w:rPr>
          <w:i/>
          <w:lang w:val="fr-CA"/>
        </w:rPr>
        <w:t>Liang c. Canada (Attorney General)</w:t>
      </w:r>
      <w:r w:rsidR="00F85C9A" w:rsidRPr="00B35658">
        <w:rPr>
          <w:lang w:val="fr-CA"/>
        </w:rPr>
        <w:t xml:space="preserve">, 2014 BCCA 190, 355 B.C.A.C. 238; </w:t>
      </w:r>
      <w:r w:rsidR="00F85C9A" w:rsidRPr="00B35658">
        <w:rPr>
          <w:i/>
          <w:lang w:val="fr-CA"/>
        </w:rPr>
        <w:t>R. c. S. (R.)</w:t>
      </w:r>
      <w:r w:rsidR="00F85C9A" w:rsidRPr="00B35658">
        <w:rPr>
          <w:lang w:val="fr-CA"/>
        </w:rPr>
        <w:t xml:space="preserve">, 2015 ONCA 291, 333 C.R.R. (2d) 160; </w:t>
      </w:r>
      <w:r w:rsidR="00F85C9A" w:rsidRPr="00B35658">
        <w:rPr>
          <w:i/>
          <w:lang w:val="fr-CA"/>
        </w:rPr>
        <w:t xml:space="preserve">R. c. </w:t>
      </w:r>
      <w:proofErr w:type="spellStart"/>
      <w:r w:rsidR="00F85C9A" w:rsidRPr="00B35658">
        <w:rPr>
          <w:i/>
          <w:lang w:val="fr-CA"/>
        </w:rPr>
        <w:t>Simmonds</w:t>
      </w:r>
      <w:proofErr w:type="spellEnd"/>
      <w:r w:rsidR="00F85C9A" w:rsidRPr="00B35658">
        <w:rPr>
          <w:lang w:val="fr-CA"/>
        </w:rPr>
        <w:t xml:space="preserve">, 2018 BCCA 205, 362 C.C.C. (3d) 215; </w:t>
      </w:r>
      <w:r w:rsidR="00F85C9A" w:rsidRPr="00B35658">
        <w:rPr>
          <w:i/>
          <w:lang w:val="fr-CA"/>
        </w:rPr>
        <w:t>R. c. Wilson</w:t>
      </w:r>
      <w:r w:rsidR="00F85C9A" w:rsidRPr="00B35658">
        <w:rPr>
          <w:lang w:val="fr-CA"/>
        </w:rPr>
        <w:t xml:space="preserve">, 2011 ONSC 89, 225 C.R.R. (2d) 234; </w:t>
      </w:r>
      <w:r w:rsidR="00F85C9A" w:rsidRPr="00B35658">
        <w:rPr>
          <w:i/>
          <w:lang w:val="fr-CA"/>
        </w:rPr>
        <w:t>R. c. Wiles</w:t>
      </w:r>
      <w:r w:rsidR="00F85C9A" w:rsidRPr="00B35658">
        <w:rPr>
          <w:lang w:val="fr-CA"/>
        </w:rPr>
        <w:t>,</w:t>
      </w:r>
      <w:r w:rsidR="00F85C9A" w:rsidRPr="00B35658">
        <w:rPr>
          <w:i/>
          <w:lang w:val="fr-CA"/>
        </w:rPr>
        <w:t xml:space="preserve"> </w:t>
      </w:r>
      <w:r w:rsidR="00F85C9A" w:rsidRPr="00B35658">
        <w:rPr>
          <w:lang w:val="fr-CA"/>
        </w:rPr>
        <w:t xml:space="preserve">2005 CSC 84, [2005] 3 R.C.S. 895; </w:t>
      </w:r>
      <w:r w:rsidR="00F85C9A" w:rsidRPr="00B35658">
        <w:rPr>
          <w:i/>
          <w:lang w:val="fr-CA"/>
        </w:rPr>
        <w:t>R. c. Rodgers</w:t>
      </w:r>
      <w:r w:rsidR="00F85C9A" w:rsidRPr="00B35658">
        <w:rPr>
          <w:lang w:val="fr-CA"/>
        </w:rPr>
        <w:t>,</w:t>
      </w:r>
      <w:r w:rsidR="00F85C9A" w:rsidRPr="00B35658">
        <w:rPr>
          <w:i/>
          <w:lang w:val="fr-CA"/>
        </w:rPr>
        <w:t xml:space="preserve"> </w:t>
      </w:r>
      <w:r w:rsidR="00F85C9A" w:rsidRPr="00B35658">
        <w:rPr>
          <w:lang w:val="fr-CA"/>
        </w:rPr>
        <w:t xml:space="preserve">2006 CSC 15, [2006] 1 R.C.S. 554; </w:t>
      </w:r>
      <w:r w:rsidR="00F85C9A" w:rsidRPr="00B35658">
        <w:rPr>
          <w:i/>
          <w:lang w:val="fr-CA"/>
        </w:rPr>
        <w:t>R. c. Cross</w:t>
      </w:r>
      <w:r w:rsidR="00F85C9A" w:rsidRPr="00B35658">
        <w:rPr>
          <w:lang w:val="fr-CA"/>
        </w:rPr>
        <w:t>,</w:t>
      </w:r>
      <w:r w:rsidR="00F85C9A" w:rsidRPr="00B35658">
        <w:rPr>
          <w:i/>
          <w:lang w:val="fr-CA"/>
        </w:rPr>
        <w:t xml:space="preserve"> </w:t>
      </w:r>
      <w:r w:rsidR="00F85C9A" w:rsidRPr="00B35658">
        <w:rPr>
          <w:lang w:val="fr-CA"/>
        </w:rPr>
        <w:t>20</w:t>
      </w:r>
      <w:r w:rsidR="007E4D1F" w:rsidRPr="00B35658">
        <w:rPr>
          <w:lang w:val="fr-CA"/>
        </w:rPr>
        <w:t>06 NSCA 30, 241 N.S.R. (2d) 349</w:t>
      </w:r>
      <w:r w:rsidR="00F85C9A" w:rsidRPr="00B35658">
        <w:rPr>
          <w:lang w:val="fr-CA"/>
        </w:rPr>
        <w:t xml:space="preserve">; </w:t>
      </w:r>
      <w:r w:rsidR="00F85C9A" w:rsidRPr="00B35658">
        <w:rPr>
          <w:i/>
          <w:lang w:val="fr-CA"/>
        </w:rPr>
        <w:t xml:space="preserve">R. c. </w:t>
      </w:r>
      <w:proofErr w:type="spellStart"/>
      <w:r w:rsidR="00F85C9A" w:rsidRPr="00B35658">
        <w:rPr>
          <w:i/>
          <w:lang w:val="fr-CA"/>
        </w:rPr>
        <w:t>Boudreault</w:t>
      </w:r>
      <w:proofErr w:type="spellEnd"/>
      <w:r w:rsidR="00F85C9A" w:rsidRPr="00B35658">
        <w:rPr>
          <w:lang w:val="fr-CA"/>
        </w:rPr>
        <w:t>,</w:t>
      </w:r>
      <w:r w:rsidR="00F85C9A" w:rsidRPr="00B35658">
        <w:rPr>
          <w:i/>
          <w:lang w:val="fr-CA"/>
        </w:rPr>
        <w:t xml:space="preserve"> </w:t>
      </w:r>
      <w:r w:rsidR="00F85C9A" w:rsidRPr="00B35658">
        <w:rPr>
          <w:lang w:val="fr-CA"/>
        </w:rPr>
        <w:t>2018 CSC 58</w:t>
      </w:r>
      <w:r w:rsidR="00CD71A5">
        <w:rPr>
          <w:lang w:val="fr-CA"/>
        </w:rPr>
        <w:t xml:space="preserve">, [2018] </w:t>
      </w:r>
      <w:r w:rsidR="002E7589">
        <w:rPr>
          <w:lang w:val="fr-CA"/>
        </w:rPr>
        <w:t>3</w:t>
      </w:r>
      <w:r w:rsidR="00CD71A5">
        <w:rPr>
          <w:lang w:val="fr-CA"/>
        </w:rPr>
        <w:t xml:space="preserve"> R.C.S. </w:t>
      </w:r>
      <w:r w:rsidR="002E7589">
        <w:rPr>
          <w:lang w:val="fr-CA"/>
        </w:rPr>
        <w:t>599</w:t>
      </w:r>
      <w:r w:rsidR="00F85C9A" w:rsidRPr="00B35658">
        <w:rPr>
          <w:lang w:val="fr-CA"/>
        </w:rPr>
        <w:t xml:space="preserve">; </w:t>
      </w:r>
      <w:r w:rsidR="00F85C9A" w:rsidRPr="00B35658">
        <w:rPr>
          <w:i/>
          <w:lang w:val="fr-CA"/>
        </w:rPr>
        <w:t>R. c. Johnson</w:t>
      </w:r>
      <w:r w:rsidR="00F85C9A" w:rsidRPr="00B35658">
        <w:rPr>
          <w:lang w:val="fr-CA"/>
        </w:rPr>
        <w:t>,</w:t>
      </w:r>
      <w:r w:rsidR="00F85C9A" w:rsidRPr="00B35658">
        <w:rPr>
          <w:i/>
          <w:lang w:val="fr-CA"/>
        </w:rPr>
        <w:t xml:space="preserve"> </w:t>
      </w:r>
      <w:r w:rsidR="00F85C9A" w:rsidRPr="00B35658">
        <w:rPr>
          <w:lang w:val="fr-CA"/>
        </w:rPr>
        <w:t xml:space="preserve">2003 CSC 46, [2003] 2 R.C.S. 357; </w:t>
      </w:r>
      <w:proofErr w:type="spellStart"/>
      <w:r w:rsidR="00F85C9A" w:rsidRPr="00B35658">
        <w:rPr>
          <w:i/>
          <w:lang w:val="fr-CA"/>
        </w:rPr>
        <w:t>Tran</w:t>
      </w:r>
      <w:proofErr w:type="spellEnd"/>
      <w:r w:rsidR="00F85C9A" w:rsidRPr="00B35658">
        <w:rPr>
          <w:i/>
          <w:lang w:val="fr-CA"/>
        </w:rPr>
        <w:t xml:space="preserve"> c. Canada (Sécurité publique et Protection civile)</w:t>
      </w:r>
      <w:r w:rsidR="00F85C9A" w:rsidRPr="00B35658">
        <w:rPr>
          <w:lang w:val="fr-CA"/>
        </w:rPr>
        <w:t xml:space="preserve">, 2017 CSC 50, [2017] </w:t>
      </w:r>
      <w:r w:rsidR="00D331C2">
        <w:rPr>
          <w:lang w:val="fr-CA"/>
        </w:rPr>
        <w:t>2</w:t>
      </w:r>
      <w:r w:rsidR="00F85C9A" w:rsidRPr="00B35658">
        <w:rPr>
          <w:lang w:val="fr-CA"/>
        </w:rPr>
        <w:t xml:space="preserve"> R.C.S. 289; </w:t>
      </w:r>
      <w:r w:rsidR="000023C8" w:rsidRPr="00B35658">
        <w:rPr>
          <w:i/>
          <w:lang w:val="fr-CA"/>
        </w:rPr>
        <w:t>R. c. R.A.R.</w:t>
      </w:r>
      <w:r w:rsidR="000023C8" w:rsidRPr="00B35658">
        <w:rPr>
          <w:lang w:val="fr-CA"/>
        </w:rPr>
        <w:t>,</w:t>
      </w:r>
      <w:r w:rsidR="000023C8" w:rsidRPr="00B35658">
        <w:rPr>
          <w:i/>
          <w:lang w:val="fr-CA"/>
        </w:rPr>
        <w:t xml:space="preserve"> </w:t>
      </w:r>
      <w:r w:rsidR="000023C8" w:rsidRPr="00B35658">
        <w:rPr>
          <w:lang w:val="fr-CA"/>
        </w:rPr>
        <w:t xml:space="preserve">2000 CSC 8, [2000] 1 R.C.S. 163; </w:t>
      </w:r>
      <w:r w:rsidR="00F85C9A" w:rsidRPr="00B35658">
        <w:rPr>
          <w:i/>
          <w:lang w:val="fr-CA"/>
        </w:rPr>
        <w:t>Canada</w:t>
      </w:r>
      <w:r w:rsidR="00F85C9A" w:rsidRPr="00B35658">
        <w:rPr>
          <w:lang w:val="fr-CA"/>
        </w:rPr>
        <w:t xml:space="preserve"> </w:t>
      </w:r>
      <w:r w:rsidR="00F85C9A" w:rsidRPr="00B35658">
        <w:rPr>
          <w:i/>
          <w:lang w:val="fr-CA"/>
        </w:rPr>
        <w:t>(Attorney General) c. Lewis</w:t>
      </w:r>
      <w:r w:rsidR="00F85C9A" w:rsidRPr="00B35658">
        <w:rPr>
          <w:lang w:val="fr-CA"/>
        </w:rPr>
        <w:t>,</w:t>
      </w:r>
      <w:r w:rsidR="00F85C9A" w:rsidRPr="00B35658">
        <w:rPr>
          <w:i/>
          <w:lang w:val="fr-CA"/>
        </w:rPr>
        <w:t xml:space="preserve"> </w:t>
      </w:r>
      <w:r w:rsidR="00F85C9A" w:rsidRPr="00B35658">
        <w:rPr>
          <w:lang w:val="fr-CA"/>
        </w:rPr>
        <w:t xml:space="preserve">2015 ONCA 379, 126 O.R. (3d) 289; </w:t>
      </w:r>
      <w:proofErr w:type="spellStart"/>
      <w:r w:rsidR="00F85C9A" w:rsidRPr="00B35658">
        <w:rPr>
          <w:i/>
          <w:lang w:val="fr-CA"/>
        </w:rPr>
        <w:t>Nucci</w:t>
      </w:r>
      <w:proofErr w:type="spellEnd"/>
      <w:r w:rsidR="00F85C9A" w:rsidRPr="00B35658">
        <w:rPr>
          <w:i/>
          <w:lang w:val="fr-CA"/>
        </w:rPr>
        <w:t xml:space="preserve"> c. Canada (Attorney General)</w:t>
      </w:r>
      <w:r w:rsidR="00F85C9A" w:rsidRPr="00B35658">
        <w:rPr>
          <w:lang w:val="fr-CA"/>
        </w:rPr>
        <w:t>,</w:t>
      </w:r>
      <w:r w:rsidR="00F85C9A" w:rsidRPr="00B35658">
        <w:rPr>
          <w:i/>
          <w:lang w:val="fr-CA"/>
        </w:rPr>
        <w:t xml:space="preserve"> </w:t>
      </w:r>
      <w:r w:rsidR="00F85C9A" w:rsidRPr="00B35658">
        <w:rPr>
          <w:lang w:val="fr-CA"/>
        </w:rPr>
        <w:t>20</w:t>
      </w:r>
      <w:r w:rsidR="00391295">
        <w:rPr>
          <w:lang w:val="fr-CA"/>
        </w:rPr>
        <w:t>15 MBCA 122, 333 C.C.C. (3d) 221</w:t>
      </w:r>
      <w:r w:rsidR="00F85C9A" w:rsidRPr="00B35658">
        <w:rPr>
          <w:lang w:val="fr-CA"/>
        </w:rPr>
        <w:t xml:space="preserve">; </w:t>
      </w:r>
      <w:r w:rsidR="00FD350B" w:rsidRPr="00B35658">
        <w:rPr>
          <w:i/>
          <w:lang w:val="fr-CA"/>
        </w:rPr>
        <w:t>R. c. Grant</w:t>
      </w:r>
      <w:r w:rsidR="00FD350B" w:rsidRPr="00B35658">
        <w:rPr>
          <w:lang w:val="fr-CA"/>
        </w:rPr>
        <w:t xml:space="preserve">, 2009 CSC 32, [2009] 2 </w:t>
      </w:r>
      <w:r w:rsidR="00CC7881" w:rsidRPr="00B35658">
        <w:rPr>
          <w:lang w:val="fr-CA"/>
        </w:rPr>
        <w:t>R.C.S.</w:t>
      </w:r>
      <w:r w:rsidR="00FD350B" w:rsidRPr="00B35658">
        <w:rPr>
          <w:lang w:val="fr-CA"/>
        </w:rPr>
        <w:t xml:space="preserve"> 353; </w:t>
      </w:r>
      <w:r w:rsidR="00875EB2" w:rsidRPr="00B35658">
        <w:rPr>
          <w:i/>
          <w:lang w:val="fr-CA"/>
        </w:rPr>
        <w:t>R. c. Sinclair</w:t>
      </w:r>
      <w:r w:rsidR="00875EB2" w:rsidRPr="00B35658">
        <w:rPr>
          <w:lang w:val="fr-CA"/>
        </w:rPr>
        <w:t xml:space="preserve">, 2010 CSC 35, [2010] 2 R.C.S. 310; </w:t>
      </w:r>
      <w:r w:rsidR="00FD350B" w:rsidRPr="00B35658">
        <w:rPr>
          <w:i/>
          <w:lang w:val="fr-CA"/>
        </w:rPr>
        <w:t xml:space="preserve">R. c. </w:t>
      </w:r>
      <w:r w:rsidR="001E258E">
        <w:rPr>
          <w:i/>
          <w:lang w:val="fr-CA"/>
        </w:rPr>
        <w:t>D.H.</w:t>
      </w:r>
      <w:r w:rsidR="001E258E" w:rsidRPr="001E258E">
        <w:rPr>
          <w:lang w:val="fr-CA"/>
        </w:rPr>
        <w:t>,</w:t>
      </w:r>
      <w:r w:rsidR="00FD350B" w:rsidRPr="001E258E">
        <w:rPr>
          <w:lang w:val="fr-CA"/>
        </w:rPr>
        <w:t xml:space="preserve"> </w:t>
      </w:r>
      <w:r w:rsidR="00FD350B" w:rsidRPr="00B35658">
        <w:rPr>
          <w:lang w:val="fr-CA"/>
        </w:rPr>
        <w:t xml:space="preserve">2017 ONCJ 51; </w:t>
      </w:r>
      <w:r w:rsidR="00FD350B" w:rsidRPr="00B35658">
        <w:rPr>
          <w:i/>
          <w:lang w:val="fr-CA"/>
        </w:rPr>
        <w:t>R. c. McIntosh</w:t>
      </w:r>
      <w:r w:rsidR="00FD350B" w:rsidRPr="00B35658">
        <w:rPr>
          <w:lang w:val="fr-CA"/>
        </w:rPr>
        <w:t xml:space="preserve">, [1995] 1 R.C.S. 686; </w:t>
      </w:r>
      <w:r w:rsidR="00454DBE" w:rsidRPr="00B35658">
        <w:rPr>
          <w:i/>
          <w:lang w:val="fr-CA"/>
        </w:rPr>
        <w:t>R. c. Dunn</w:t>
      </w:r>
      <w:r w:rsidR="00454DBE" w:rsidRPr="00B35658">
        <w:rPr>
          <w:lang w:val="fr-CA"/>
        </w:rPr>
        <w:t xml:space="preserve">, [1995] 1 R.C.S. 226; </w:t>
      </w:r>
      <w:r w:rsidR="00FD350B" w:rsidRPr="00B35658">
        <w:rPr>
          <w:i/>
          <w:lang w:val="fr-CA"/>
        </w:rPr>
        <w:t>Carter c. La Reine</w:t>
      </w:r>
      <w:r w:rsidR="00FD350B" w:rsidRPr="00B35658">
        <w:rPr>
          <w:lang w:val="fr-CA"/>
        </w:rPr>
        <w:t xml:space="preserve">, [1986] 1 R.C.S. 981; </w:t>
      </w:r>
      <w:r w:rsidR="00FD350B" w:rsidRPr="00B35658">
        <w:rPr>
          <w:i/>
          <w:lang w:val="fr-CA"/>
        </w:rPr>
        <w:t xml:space="preserve">R. c. </w:t>
      </w:r>
      <w:proofErr w:type="spellStart"/>
      <w:r w:rsidR="00FD350B" w:rsidRPr="00B35658">
        <w:rPr>
          <w:i/>
          <w:lang w:val="fr-CA"/>
        </w:rPr>
        <w:t>Kalanj</w:t>
      </w:r>
      <w:proofErr w:type="spellEnd"/>
      <w:r w:rsidR="00FD350B" w:rsidRPr="00B35658">
        <w:rPr>
          <w:lang w:val="fr-CA"/>
        </w:rPr>
        <w:t xml:space="preserve">, [1989] 1 R.C.S. 1594; </w:t>
      </w:r>
      <w:r w:rsidR="00FD350B" w:rsidRPr="00B35658">
        <w:rPr>
          <w:i/>
          <w:lang w:val="fr-CA"/>
        </w:rPr>
        <w:t>R. c. Potvin</w:t>
      </w:r>
      <w:r w:rsidR="00FD350B" w:rsidRPr="00B35658">
        <w:rPr>
          <w:lang w:val="fr-CA"/>
        </w:rPr>
        <w:t xml:space="preserve">, [1993] 2 R.C.S. 880; </w:t>
      </w:r>
      <w:r w:rsidR="00454DBE" w:rsidRPr="00B35658">
        <w:rPr>
          <w:i/>
          <w:lang w:val="fr-CA"/>
        </w:rPr>
        <w:t>R. c. Kelly</w:t>
      </w:r>
      <w:r w:rsidR="00454DBE" w:rsidRPr="00B35658">
        <w:rPr>
          <w:lang w:val="fr-CA"/>
        </w:rPr>
        <w:t>, [1992] 2</w:t>
      </w:r>
      <w:r w:rsidR="000B58AB">
        <w:rPr>
          <w:lang w:val="fr-CA"/>
        </w:rPr>
        <w:t xml:space="preserve"> </w:t>
      </w:r>
      <w:r w:rsidR="00454DBE" w:rsidRPr="00B35658">
        <w:rPr>
          <w:lang w:val="fr-CA"/>
        </w:rPr>
        <w:t>R.C.S.</w:t>
      </w:r>
      <w:r w:rsidR="000B58AB">
        <w:rPr>
          <w:lang w:val="fr-CA"/>
        </w:rPr>
        <w:t xml:space="preserve"> </w:t>
      </w:r>
      <w:r w:rsidR="00454DBE" w:rsidRPr="00B35658">
        <w:rPr>
          <w:lang w:val="fr-CA"/>
        </w:rPr>
        <w:t xml:space="preserve">170; </w:t>
      </w:r>
      <w:r w:rsidR="00F85C9A" w:rsidRPr="00B35658">
        <w:rPr>
          <w:i/>
          <w:lang w:val="fr-CA"/>
        </w:rPr>
        <w:t xml:space="preserve">R. c. </w:t>
      </w:r>
      <w:proofErr w:type="spellStart"/>
      <w:r w:rsidR="00F85C9A" w:rsidRPr="00B35658">
        <w:rPr>
          <w:i/>
          <w:lang w:val="fr-CA"/>
        </w:rPr>
        <w:t>Hooyer</w:t>
      </w:r>
      <w:proofErr w:type="spellEnd"/>
      <w:r w:rsidR="00F85C9A" w:rsidRPr="00B35658">
        <w:rPr>
          <w:lang w:val="fr-CA"/>
        </w:rPr>
        <w:t>,</w:t>
      </w:r>
      <w:r w:rsidR="00F85C9A" w:rsidRPr="00B35658">
        <w:rPr>
          <w:i/>
          <w:lang w:val="fr-CA"/>
        </w:rPr>
        <w:t xml:space="preserve"> </w:t>
      </w:r>
      <w:r w:rsidR="00F85C9A" w:rsidRPr="00B35658">
        <w:rPr>
          <w:lang w:val="fr-CA"/>
        </w:rPr>
        <w:t xml:space="preserve">2016 ONCA 44, 129 O.R. (3d) 81; </w:t>
      </w:r>
      <w:r w:rsidR="00454DBE" w:rsidRPr="00B35658">
        <w:rPr>
          <w:i/>
          <w:lang w:val="fr-CA"/>
        </w:rPr>
        <w:t>R. c</w:t>
      </w:r>
      <w:r w:rsidR="00FD350B" w:rsidRPr="00B35658">
        <w:rPr>
          <w:i/>
          <w:lang w:val="fr-CA"/>
        </w:rPr>
        <w:t xml:space="preserve">. </w:t>
      </w:r>
      <w:proofErr w:type="spellStart"/>
      <w:r w:rsidR="00FD350B" w:rsidRPr="00B35658">
        <w:rPr>
          <w:i/>
          <w:lang w:val="fr-CA"/>
        </w:rPr>
        <w:t>Dineley</w:t>
      </w:r>
      <w:proofErr w:type="spellEnd"/>
      <w:r w:rsidR="00FD350B" w:rsidRPr="00B35658">
        <w:rPr>
          <w:lang w:val="fr-CA"/>
        </w:rPr>
        <w:t xml:space="preserve">, 2012 </w:t>
      </w:r>
      <w:r w:rsidR="00454DBE" w:rsidRPr="00B35658">
        <w:rPr>
          <w:lang w:val="fr-CA"/>
        </w:rPr>
        <w:t>CSC</w:t>
      </w:r>
      <w:r w:rsidR="00FD350B" w:rsidRPr="00B35658">
        <w:rPr>
          <w:lang w:val="fr-CA"/>
        </w:rPr>
        <w:t xml:space="preserve"> 58, [2012] 3 </w:t>
      </w:r>
      <w:r w:rsidR="00454DBE" w:rsidRPr="00B35658">
        <w:rPr>
          <w:lang w:val="fr-CA"/>
        </w:rPr>
        <w:t>R.C.S.</w:t>
      </w:r>
      <w:r w:rsidR="00FD350B" w:rsidRPr="00B35658">
        <w:rPr>
          <w:lang w:val="fr-CA"/>
        </w:rPr>
        <w:t xml:space="preserve"> 272; </w:t>
      </w:r>
      <w:proofErr w:type="spellStart"/>
      <w:r w:rsidR="00454DBE" w:rsidRPr="00B35658">
        <w:rPr>
          <w:i/>
          <w:lang w:val="fr-CA"/>
        </w:rPr>
        <w:t>Brosseau</w:t>
      </w:r>
      <w:proofErr w:type="spellEnd"/>
      <w:r w:rsidR="00454DBE" w:rsidRPr="00B35658">
        <w:rPr>
          <w:i/>
          <w:lang w:val="fr-CA"/>
        </w:rPr>
        <w:t xml:space="preserve"> c</w:t>
      </w:r>
      <w:r w:rsidR="00FD350B" w:rsidRPr="00B35658">
        <w:rPr>
          <w:i/>
          <w:lang w:val="fr-CA"/>
        </w:rPr>
        <w:t>. Alberta Securities Commission</w:t>
      </w:r>
      <w:r w:rsidR="00FD350B" w:rsidRPr="00B35658">
        <w:rPr>
          <w:lang w:val="fr-CA"/>
        </w:rPr>
        <w:t xml:space="preserve">, [1989] 1 </w:t>
      </w:r>
      <w:r w:rsidR="00454DBE" w:rsidRPr="00B35658">
        <w:rPr>
          <w:lang w:val="fr-CA"/>
        </w:rPr>
        <w:t>R.C.S.</w:t>
      </w:r>
      <w:r w:rsidR="00FD350B" w:rsidRPr="00B35658">
        <w:rPr>
          <w:lang w:val="fr-CA"/>
        </w:rPr>
        <w:t xml:space="preserve"> 301; </w:t>
      </w:r>
      <w:r w:rsidR="00454DBE" w:rsidRPr="00B35658">
        <w:rPr>
          <w:i/>
          <w:lang w:val="fr-CA"/>
        </w:rPr>
        <w:t>R. c</w:t>
      </w:r>
      <w:r w:rsidR="00FD350B" w:rsidRPr="00B35658">
        <w:rPr>
          <w:i/>
          <w:lang w:val="fr-CA"/>
        </w:rPr>
        <w:t xml:space="preserve">. </w:t>
      </w:r>
      <w:proofErr w:type="spellStart"/>
      <w:r w:rsidR="00FD350B" w:rsidRPr="00B35658">
        <w:rPr>
          <w:i/>
          <w:lang w:val="fr-CA"/>
        </w:rPr>
        <w:t>Bengy</w:t>
      </w:r>
      <w:proofErr w:type="spellEnd"/>
      <w:r w:rsidR="00FD350B" w:rsidRPr="00B35658">
        <w:rPr>
          <w:lang w:val="fr-CA"/>
        </w:rPr>
        <w:t>,</w:t>
      </w:r>
      <w:r w:rsidR="00FD350B" w:rsidRPr="00B35658">
        <w:rPr>
          <w:i/>
          <w:lang w:val="fr-CA"/>
        </w:rPr>
        <w:t xml:space="preserve"> </w:t>
      </w:r>
      <w:r w:rsidR="00FD350B" w:rsidRPr="00B35658">
        <w:rPr>
          <w:lang w:val="fr-CA"/>
        </w:rPr>
        <w:t xml:space="preserve">2015 ONCA 397, 325 C.C.C. (3d) 22; </w:t>
      </w:r>
      <w:r w:rsidR="00B66B24" w:rsidRPr="00B35658">
        <w:rPr>
          <w:bCs/>
          <w:i/>
          <w:lang w:val="fr-CA"/>
        </w:rPr>
        <w:t>Renvoi relatif à l’</w:t>
      </w:r>
      <w:r w:rsidR="00295AF0" w:rsidRPr="00B35658">
        <w:rPr>
          <w:bCs/>
          <w:i/>
          <w:lang w:val="fr-CA"/>
        </w:rPr>
        <w:t>art. </w:t>
      </w:r>
      <w:r w:rsidR="00B66B24" w:rsidRPr="00B35658">
        <w:rPr>
          <w:bCs/>
          <w:i/>
          <w:lang w:val="fr-CA"/>
        </w:rPr>
        <w:t>193 et à l’</w:t>
      </w:r>
      <w:r w:rsidR="00295AF0" w:rsidRPr="00B35658">
        <w:rPr>
          <w:bCs/>
          <w:i/>
          <w:lang w:val="fr-CA"/>
        </w:rPr>
        <w:t>al. </w:t>
      </w:r>
      <w:r w:rsidR="009126B2" w:rsidRPr="00B35658">
        <w:rPr>
          <w:bCs/>
          <w:i/>
          <w:lang w:val="fr-CA"/>
        </w:rPr>
        <w:t>195.1(1)c) du C</w:t>
      </w:r>
      <w:r w:rsidR="00F85C9A" w:rsidRPr="00B35658">
        <w:rPr>
          <w:bCs/>
          <w:i/>
          <w:lang w:val="fr-CA"/>
        </w:rPr>
        <w:t>ode criminel (Man.)</w:t>
      </w:r>
      <w:r w:rsidR="00F85C9A" w:rsidRPr="00B35658">
        <w:rPr>
          <w:lang w:val="fr-CA"/>
        </w:rPr>
        <w:t xml:space="preserve">, [1990] 1 R.C.S. 1123; </w:t>
      </w:r>
      <w:r w:rsidR="00FD350B" w:rsidRPr="00B35658">
        <w:rPr>
          <w:i/>
          <w:lang w:val="fr-CA"/>
        </w:rPr>
        <w:t xml:space="preserve">Canada (Procureur </w:t>
      </w:r>
      <w:r w:rsidR="00FD350B" w:rsidRPr="00B35658">
        <w:rPr>
          <w:i/>
          <w:lang w:val="fr-CA"/>
        </w:rPr>
        <w:lastRenderedPageBreak/>
        <w:t>général</w:t>
      </w:r>
      <w:r w:rsidR="00B66B24" w:rsidRPr="00B35658">
        <w:rPr>
          <w:i/>
          <w:lang w:val="fr-CA"/>
        </w:rPr>
        <w:t>) c</w:t>
      </w:r>
      <w:r w:rsidR="00FD350B" w:rsidRPr="00B35658">
        <w:rPr>
          <w:i/>
          <w:lang w:val="fr-CA"/>
        </w:rPr>
        <w:t xml:space="preserve">. </w:t>
      </w:r>
      <w:proofErr w:type="spellStart"/>
      <w:r w:rsidR="00FD350B" w:rsidRPr="00B35658">
        <w:rPr>
          <w:i/>
          <w:lang w:val="fr-CA"/>
        </w:rPr>
        <w:t>Whaling</w:t>
      </w:r>
      <w:proofErr w:type="spellEnd"/>
      <w:r w:rsidR="00FD350B" w:rsidRPr="00B35658">
        <w:rPr>
          <w:lang w:val="fr-CA"/>
        </w:rPr>
        <w:t>,</w:t>
      </w:r>
      <w:r w:rsidR="00FD350B" w:rsidRPr="00B35658">
        <w:rPr>
          <w:i/>
          <w:lang w:val="fr-CA"/>
        </w:rPr>
        <w:t xml:space="preserve"> </w:t>
      </w:r>
      <w:r w:rsidR="00FD350B" w:rsidRPr="00B35658">
        <w:rPr>
          <w:lang w:val="fr-CA"/>
        </w:rPr>
        <w:t xml:space="preserve">2014 CSC 20, [2014] 1 R.C.S. 392; </w:t>
      </w:r>
      <w:r w:rsidR="00F85C9A" w:rsidRPr="00B35658">
        <w:rPr>
          <w:i/>
          <w:lang w:val="fr-CA"/>
        </w:rPr>
        <w:t>R. c. Daoust</w:t>
      </w:r>
      <w:r w:rsidR="00F85C9A" w:rsidRPr="00B35658">
        <w:rPr>
          <w:lang w:val="fr-CA"/>
        </w:rPr>
        <w:t>,</w:t>
      </w:r>
      <w:r w:rsidR="00F85C9A" w:rsidRPr="00B35658">
        <w:rPr>
          <w:i/>
          <w:lang w:val="fr-CA"/>
        </w:rPr>
        <w:t xml:space="preserve"> </w:t>
      </w:r>
      <w:r w:rsidR="00F85C9A" w:rsidRPr="00B35658">
        <w:rPr>
          <w:lang w:val="fr-CA"/>
        </w:rPr>
        <w:t>2004 CSC 6, [2004] 1 R.C.S. 217;</w:t>
      </w:r>
      <w:r w:rsidR="00D831AA" w:rsidRPr="00B35658">
        <w:rPr>
          <w:lang w:val="fr-CA"/>
        </w:rPr>
        <w:t xml:space="preserve"> </w:t>
      </w:r>
      <w:r w:rsidR="00D831AA" w:rsidRPr="00B35658">
        <w:rPr>
          <w:i/>
          <w:lang w:val="fr-CA"/>
        </w:rPr>
        <w:t>Montréal (Ville</w:t>
      </w:r>
      <w:r w:rsidR="00BF118F" w:rsidRPr="00B35658">
        <w:rPr>
          <w:i/>
          <w:lang w:val="fr-CA"/>
        </w:rPr>
        <w:t>) c</w:t>
      </w:r>
      <w:r w:rsidR="00D831AA" w:rsidRPr="00B35658">
        <w:rPr>
          <w:i/>
          <w:lang w:val="fr-CA"/>
        </w:rPr>
        <w:t>. Québec (Commission des droits de la personne et des droits de la jeunesse)</w:t>
      </w:r>
      <w:r w:rsidR="00D831AA" w:rsidRPr="00B35658">
        <w:rPr>
          <w:lang w:val="fr-CA"/>
        </w:rPr>
        <w:t>, 2008 CSC 48, [2008] 2 R.C.S. 698;</w:t>
      </w:r>
      <w:r w:rsidR="00F85C9A" w:rsidRPr="00B35658">
        <w:rPr>
          <w:lang w:val="fr-CA"/>
        </w:rPr>
        <w:t xml:space="preserve"> </w:t>
      </w:r>
      <w:r w:rsidR="00B66B24" w:rsidRPr="00B35658">
        <w:rPr>
          <w:i/>
          <w:lang w:val="fr-CA"/>
        </w:rPr>
        <w:t xml:space="preserve">R. c. </w:t>
      </w:r>
      <w:proofErr w:type="spellStart"/>
      <w:r w:rsidR="00B66B24" w:rsidRPr="00B35658">
        <w:rPr>
          <w:i/>
          <w:lang w:val="fr-CA"/>
        </w:rPr>
        <w:t>Stillman</w:t>
      </w:r>
      <w:proofErr w:type="spellEnd"/>
      <w:r w:rsidR="00B66B24" w:rsidRPr="00B35658">
        <w:rPr>
          <w:lang w:val="fr-CA"/>
        </w:rPr>
        <w:t>, 2019 CSC 40</w:t>
      </w:r>
      <w:r w:rsidR="00772A00">
        <w:rPr>
          <w:lang w:val="fr-CA"/>
        </w:rPr>
        <w:t>, [2019] 3</w:t>
      </w:r>
      <w:r w:rsidR="000072BE">
        <w:rPr>
          <w:lang w:val="fr-CA"/>
        </w:rPr>
        <w:t xml:space="preserve"> R.C.S. </w:t>
      </w:r>
      <w:r w:rsidR="00DD3E54">
        <w:rPr>
          <w:lang w:val="fr-CA"/>
        </w:rPr>
        <w:t>144</w:t>
      </w:r>
      <w:r w:rsidR="00B66B24" w:rsidRPr="00B35658">
        <w:rPr>
          <w:lang w:val="fr-CA"/>
        </w:rPr>
        <w:t xml:space="preserve">; </w:t>
      </w:r>
      <w:r w:rsidR="00B66B24" w:rsidRPr="00B35658">
        <w:rPr>
          <w:i/>
          <w:lang w:val="fr-CA"/>
        </w:rPr>
        <w:t>R. c. Kapp</w:t>
      </w:r>
      <w:r w:rsidR="00B66B24" w:rsidRPr="00B35658">
        <w:rPr>
          <w:lang w:val="fr-CA"/>
        </w:rPr>
        <w:t xml:space="preserve">, 2008 CSC 41, [2008] 2 R.C.S. 483; </w:t>
      </w:r>
      <w:r w:rsidR="00F85C9A" w:rsidRPr="00B35658">
        <w:rPr>
          <w:i/>
          <w:lang w:val="fr-CA"/>
        </w:rPr>
        <w:t>R. c. S.A.C.</w:t>
      </w:r>
      <w:r w:rsidR="00F85C9A" w:rsidRPr="00B35658">
        <w:rPr>
          <w:lang w:val="fr-CA"/>
        </w:rPr>
        <w:t>,</w:t>
      </w:r>
      <w:r w:rsidR="00F85C9A" w:rsidRPr="00B35658">
        <w:rPr>
          <w:i/>
          <w:lang w:val="fr-CA"/>
        </w:rPr>
        <w:t xml:space="preserve"> </w:t>
      </w:r>
      <w:r w:rsidR="00F85C9A" w:rsidRPr="00B35658">
        <w:rPr>
          <w:lang w:val="fr-CA"/>
        </w:rPr>
        <w:t>2008 CSC 47, [2008] 2 R.C.S.</w:t>
      </w:r>
      <w:r w:rsidR="00B66B24" w:rsidRPr="00B35658">
        <w:rPr>
          <w:lang w:val="fr-CA"/>
        </w:rPr>
        <w:t xml:space="preserve"> 675</w:t>
      </w:r>
      <w:r w:rsidR="00F85C9A" w:rsidRPr="00B35658">
        <w:rPr>
          <w:lang w:val="fr-CA"/>
        </w:rPr>
        <w:t xml:space="preserve">; </w:t>
      </w:r>
      <w:r w:rsidR="00F85C9A" w:rsidRPr="00B35658">
        <w:rPr>
          <w:i/>
          <w:lang w:val="fr-CA"/>
        </w:rPr>
        <w:t xml:space="preserve">R. c. </w:t>
      </w:r>
      <w:proofErr w:type="spellStart"/>
      <w:r w:rsidR="00F85C9A" w:rsidRPr="00B35658">
        <w:rPr>
          <w:i/>
          <w:lang w:val="fr-CA"/>
        </w:rPr>
        <w:t>Docherty</w:t>
      </w:r>
      <w:proofErr w:type="spellEnd"/>
      <w:r w:rsidR="00F85C9A" w:rsidRPr="00B35658">
        <w:rPr>
          <w:lang w:val="fr-CA"/>
        </w:rPr>
        <w:t>, [2016] UKSC 62, [2017] 4 All E</w:t>
      </w:r>
      <w:r w:rsidR="00B66B24" w:rsidRPr="00B35658">
        <w:rPr>
          <w:lang w:val="fr-CA"/>
        </w:rPr>
        <w:t>.</w:t>
      </w:r>
      <w:r w:rsidR="00F85C9A" w:rsidRPr="00B35658">
        <w:rPr>
          <w:lang w:val="fr-CA"/>
        </w:rPr>
        <w:t>R</w:t>
      </w:r>
      <w:r w:rsidR="00B66B24" w:rsidRPr="00B35658">
        <w:rPr>
          <w:lang w:val="fr-CA"/>
        </w:rPr>
        <w:t>.</w:t>
      </w:r>
      <w:r w:rsidR="00F85C9A" w:rsidRPr="00B35658">
        <w:rPr>
          <w:lang w:val="fr-CA"/>
        </w:rPr>
        <w:t xml:space="preserve"> 263; </w:t>
      </w:r>
      <w:r w:rsidR="007F0EF9" w:rsidRPr="00B35658">
        <w:rPr>
          <w:i/>
          <w:lang w:val="fr-CA"/>
        </w:rPr>
        <w:t>X</w:t>
      </w:r>
      <w:r w:rsidR="005D6DA1">
        <w:rPr>
          <w:i/>
          <w:lang w:val="fr-CA"/>
        </w:rPr>
        <w:t>.</w:t>
      </w:r>
      <w:r w:rsidR="007F0EF9" w:rsidRPr="00B35658">
        <w:rPr>
          <w:i/>
          <w:lang w:val="fr-CA"/>
        </w:rPr>
        <w:t xml:space="preserve"> c. République fédérale d’Allemagne</w:t>
      </w:r>
      <w:r w:rsidR="007F0EF9" w:rsidRPr="00B35658">
        <w:rPr>
          <w:lang w:val="fr-CA"/>
        </w:rPr>
        <w:t xml:space="preserve">, requête </w:t>
      </w:r>
      <w:r w:rsidR="007F0EF9" w:rsidRPr="00B35658">
        <w:rPr>
          <w:szCs w:val="24"/>
          <w:lang w:val="fr-CA"/>
        </w:rPr>
        <w:t>n</w:t>
      </w:r>
      <w:r w:rsidR="007F0EF9" w:rsidRPr="00B35658">
        <w:rPr>
          <w:szCs w:val="24"/>
          <w:vertAlign w:val="superscript"/>
          <w:lang w:val="fr-CA"/>
        </w:rPr>
        <w:t>o</w:t>
      </w:r>
      <w:r w:rsidR="00C91D1A">
        <w:rPr>
          <w:lang w:val="fr-CA"/>
        </w:rPr>
        <w:t> </w:t>
      </w:r>
      <w:r w:rsidR="007F0EF9" w:rsidRPr="00B35658">
        <w:rPr>
          <w:lang w:val="fr-CA"/>
        </w:rPr>
        <w:t>7900/77, 6 mars</w:t>
      </w:r>
      <w:r w:rsidR="002231F2" w:rsidRPr="00B35658">
        <w:rPr>
          <w:lang w:val="fr-CA"/>
        </w:rPr>
        <w:t xml:space="preserve"> 1978, D.R. 13, p. </w:t>
      </w:r>
      <w:r w:rsidR="007F0EF9" w:rsidRPr="00B35658">
        <w:rPr>
          <w:lang w:val="fr-CA"/>
        </w:rPr>
        <w:t>70</w:t>
      </w:r>
      <w:r w:rsidR="00B66B24" w:rsidRPr="00B35658">
        <w:rPr>
          <w:lang w:val="fr-CA"/>
        </w:rPr>
        <w:t xml:space="preserve">; </w:t>
      </w:r>
      <w:proofErr w:type="spellStart"/>
      <w:r w:rsidR="00A679AC" w:rsidRPr="00B35658">
        <w:rPr>
          <w:i/>
          <w:lang w:val="fr-CA"/>
        </w:rPr>
        <w:t>Scoppola</w:t>
      </w:r>
      <w:proofErr w:type="spellEnd"/>
      <w:r w:rsidR="00A679AC" w:rsidRPr="00B35658">
        <w:rPr>
          <w:i/>
          <w:lang w:val="fr-CA"/>
        </w:rPr>
        <w:t xml:space="preserve"> c. Italie (</w:t>
      </w:r>
      <w:r w:rsidR="00A679AC" w:rsidRPr="00B35658">
        <w:rPr>
          <w:i/>
          <w:szCs w:val="24"/>
          <w:lang w:val="fr-CA"/>
        </w:rPr>
        <w:t>n</w:t>
      </w:r>
      <w:r w:rsidR="00A679AC" w:rsidRPr="00B35658">
        <w:rPr>
          <w:i/>
          <w:szCs w:val="24"/>
          <w:vertAlign w:val="superscript"/>
          <w:lang w:val="fr-CA"/>
        </w:rPr>
        <w:t>o</w:t>
      </w:r>
      <w:r w:rsidR="00B66B24" w:rsidRPr="00B35658">
        <w:rPr>
          <w:i/>
          <w:lang w:val="fr-CA"/>
        </w:rPr>
        <w:t> 2)</w:t>
      </w:r>
      <w:r w:rsidR="009257E8">
        <w:rPr>
          <w:lang w:val="fr-CA"/>
        </w:rPr>
        <w:t xml:space="preserve"> (2010)</w:t>
      </w:r>
      <w:r w:rsidR="00A679AC" w:rsidRPr="00B35658">
        <w:rPr>
          <w:lang w:val="fr-CA"/>
        </w:rPr>
        <w:t xml:space="preserve">, </w:t>
      </w:r>
      <w:r w:rsidR="00B66B24" w:rsidRPr="00B35658">
        <w:rPr>
          <w:lang w:val="fr-CA"/>
        </w:rPr>
        <w:t>51 E.H.R.R. 12;</w:t>
      </w:r>
      <w:r w:rsidR="00B66B24" w:rsidRPr="00B35658">
        <w:rPr>
          <w:i/>
          <w:lang w:val="fr-CA"/>
        </w:rPr>
        <w:t xml:space="preserve"> </w:t>
      </w:r>
      <w:r w:rsidR="008D5267" w:rsidRPr="00B35658">
        <w:rPr>
          <w:i/>
          <w:lang w:val="fr-CA"/>
        </w:rPr>
        <w:t xml:space="preserve">Renvoi sur la </w:t>
      </w:r>
      <w:proofErr w:type="spellStart"/>
      <w:r w:rsidR="008D5267" w:rsidRPr="00B35658">
        <w:rPr>
          <w:i/>
          <w:lang w:val="fr-CA"/>
        </w:rPr>
        <w:t>Motor</w:t>
      </w:r>
      <w:proofErr w:type="spellEnd"/>
      <w:r w:rsidR="008D5267" w:rsidRPr="00B35658">
        <w:rPr>
          <w:i/>
          <w:lang w:val="fr-CA"/>
        </w:rPr>
        <w:t xml:space="preserve"> </w:t>
      </w:r>
      <w:proofErr w:type="spellStart"/>
      <w:r w:rsidR="008D5267" w:rsidRPr="00B35658">
        <w:rPr>
          <w:i/>
          <w:lang w:val="fr-CA"/>
        </w:rPr>
        <w:t>Vehicle</w:t>
      </w:r>
      <w:proofErr w:type="spellEnd"/>
      <w:r w:rsidR="008D5267" w:rsidRPr="00B35658">
        <w:rPr>
          <w:i/>
          <w:lang w:val="fr-CA"/>
        </w:rPr>
        <w:t xml:space="preserve"> </w:t>
      </w:r>
      <w:proofErr w:type="spellStart"/>
      <w:r w:rsidR="008D5267" w:rsidRPr="00B35658">
        <w:rPr>
          <w:i/>
          <w:lang w:val="fr-CA"/>
        </w:rPr>
        <w:t>Act</w:t>
      </w:r>
      <w:proofErr w:type="spellEnd"/>
      <w:r w:rsidR="008D5267" w:rsidRPr="00B35658">
        <w:rPr>
          <w:i/>
          <w:lang w:val="fr-CA"/>
        </w:rPr>
        <w:t xml:space="preserve"> (C.</w:t>
      </w:r>
      <w:r w:rsidR="00295AF0" w:rsidRPr="00B35658">
        <w:rPr>
          <w:i/>
          <w:lang w:val="fr-CA"/>
        </w:rPr>
        <w:noBreakHyphen/>
      </w:r>
      <w:r w:rsidR="008D5267" w:rsidRPr="00B35658">
        <w:rPr>
          <w:i/>
          <w:lang w:val="fr-CA"/>
        </w:rPr>
        <w:t>B.)</w:t>
      </w:r>
      <w:r w:rsidR="004F3243" w:rsidRPr="00B35658">
        <w:rPr>
          <w:lang w:val="fr-CA"/>
        </w:rPr>
        <w:t>,</w:t>
      </w:r>
      <w:r w:rsidR="004F3243" w:rsidRPr="00B35658">
        <w:rPr>
          <w:i/>
          <w:lang w:val="fr-CA"/>
        </w:rPr>
        <w:t xml:space="preserve"> </w:t>
      </w:r>
      <w:r w:rsidR="004F3243" w:rsidRPr="00B35658">
        <w:rPr>
          <w:lang w:val="fr-CA"/>
        </w:rPr>
        <w:t>[1985] 2 R.C.S. 486;</w:t>
      </w:r>
      <w:r w:rsidR="004F3243" w:rsidRPr="00B35658">
        <w:rPr>
          <w:i/>
          <w:lang w:val="fr-CA"/>
        </w:rPr>
        <w:t xml:space="preserve"> R. </w:t>
      </w:r>
      <w:r w:rsidR="00CD16FA" w:rsidRPr="00B35658">
        <w:rPr>
          <w:i/>
          <w:lang w:val="fr-CA"/>
        </w:rPr>
        <w:t>c</w:t>
      </w:r>
      <w:r w:rsidR="004F3243" w:rsidRPr="00B35658">
        <w:rPr>
          <w:i/>
          <w:lang w:val="fr-CA"/>
        </w:rPr>
        <w:t>. M. (C.A.)</w:t>
      </w:r>
      <w:r w:rsidR="004F3243" w:rsidRPr="00B35658">
        <w:rPr>
          <w:lang w:val="fr-CA"/>
        </w:rPr>
        <w:t xml:space="preserve">, [1996] 1 R.C.S. 500; </w:t>
      </w:r>
      <w:r w:rsidR="004F3243" w:rsidRPr="00B35658">
        <w:rPr>
          <w:i/>
          <w:lang w:val="fr-CA"/>
        </w:rPr>
        <w:t xml:space="preserve">R. </w:t>
      </w:r>
      <w:r w:rsidR="00CD16FA" w:rsidRPr="00B35658">
        <w:rPr>
          <w:i/>
          <w:lang w:val="fr-CA"/>
        </w:rPr>
        <w:t>c</w:t>
      </w:r>
      <w:r w:rsidR="004F3243" w:rsidRPr="00B35658">
        <w:rPr>
          <w:i/>
          <w:lang w:val="fr-CA"/>
        </w:rPr>
        <w:t>. L.M.</w:t>
      </w:r>
      <w:r w:rsidR="004F3243" w:rsidRPr="00B35658">
        <w:rPr>
          <w:lang w:val="fr-CA"/>
        </w:rPr>
        <w:t>, 2008 CSC 31</w:t>
      </w:r>
      <w:r w:rsidR="006073D1">
        <w:rPr>
          <w:lang w:val="fr-CA"/>
        </w:rPr>
        <w:t>,</w:t>
      </w:r>
      <w:r w:rsidR="004F3243" w:rsidRPr="00B35658">
        <w:rPr>
          <w:lang w:val="fr-CA"/>
        </w:rPr>
        <w:t xml:space="preserve"> [2008] 2 R.C.S. 163; </w:t>
      </w:r>
      <w:r w:rsidR="004F3243" w:rsidRPr="00B35658">
        <w:rPr>
          <w:i/>
          <w:lang w:val="fr-CA"/>
        </w:rPr>
        <w:t xml:space="preserve">R. </w:t>
      </w:r>
      <w:r w:rsidR="00CD16FA" w:rsidRPr="00B35658">
        <w:rPr>
          <w:i/>
          <w:lang w:val="fr-CA"/>
        </w:rPr>
        <w:t>c</w:t>
      </w:r>
      <w:r w:rsidR="004F3243" w:rsidRPr="00B35658">
        <w:rPr>
          <w:i/>
          <w:lang w:val="fr-CA"/>
        </w:rPr>
        <w:t xml:space="preserve">. </w:t>
      </w:r>
      <w:proofErr w:type="spellStart"/>
      <w:r w:rsidR="004F3243" w:rsidRPr="00B35658">
        <w:rPr>
          <w:i/>
          <w:lang w:val="fr-CA"/>
        </w:rPr>
        <w:t>Klemenz</w:t>
      </w:r>
      <w:proofErr w:type="spellEnd"/>
      <w:r w:rsidR="004F3243" w:rsidRPr="00B35658">
        <w:rPr>
          <w:lang w:val="fr-CA"/>
        </w:rPr>
        <w:t>,</w:t>
      </w:r>
      <w:r w:rsidR="00B66B24" w:rsidRPr="00B35658">
        <w:rPr>
          <w:lang w:val="fr-CA"/>
        </w:rPr>
        <w:t xml:space="preserve"> 2015 SKCA 89, 465 </w:t>
      </w:r>
      <w:proofErr w:type="spellStart"/>
      <w:r w:rsidR="00B66B24" w:rsidRPr="00B35658">
        <w:rPr>
          <w:lang w:val="fr-CA"/>
        </w:rPr>
        <w:t>Sask</w:t>
      </w:r>
      <w:proofErr w:type="spellEnd"/>
      <w:r w:rsidR="00B66B24" w:rsidRPr="00B35658">
        <w:rPr>
          <w:lang w:val="fr-CA"/>
        </w:rPr>
        <w:t>. R. 134</w:t>
      </w:r>
      <w:r w:rsidR="00FD350B" w:rsidRPr="00B35658">
        <w:rPr>
          <w:lang w:val="fr-CA"/>
        </w:rPr>
        <w:t xml:space="preserve">; </w:t>
      </w:r>
      <w:r w:rsidR="00300783" w:rsidRPr="00B35658">
        <w:rPr>
          <w:i/>
          <w:lang w:val="fr-CA"/>
        </w:rPr>
        <w:t>R. c. D.D.</w:t>
      </w:r>
      <w:r w:rsidR="00300783" w:rsidRPr="00B35658">
        <w:rPr>
          <w:lang w:val="fr-CA"/>
        </w:rPr>
        <w:t xml:space="preserve">, 2000 CSC 43, [2000] 2 R.C.S. 275; </w:t>
      </w:r>
      <w:r w:rsidR="00F85C9A" w:rsidRPr="00B35658">
        <w:rPr>
          <w:i/>
          <w:lang w:val="fr-CA"/>
        </w:rPr>
        <w:t>R. c. Dubois</w:t>
      </w:r>
      <w:r w:rsidR="00F85C9A" w:rsidRPr="00B35658">
        <w:rPr>
          <w:lang w:val="fr-CA"/>
        </w:rPr>
        <w:t xml:space="preserve">, C.S. </w:t>
      </w:r>
      <w:proofErr w:type="spellStart"/>
      <w:r w:rsidR="00F85C9A" w:rsidRPr="00B35658">
        <w:rPr>
          <w:lang w:val="fr-CA"/>
        </w:rPr>
        <w:t>Qc</w:t>
      </w:r>
      <w:proofErr w:type="spellEnd"/>
      <w:r w:rsidR="00F85C9A" w:rsidRPr="00B35658">
        <w:rPr>
          <w:lang w:val="fr-CA"/>
        </w:rPr>
        <w:t xml:space="preserve">, </w:t>
      </w:r>
      <w:r w:rsidR="008616D9">
        <w:rPr>
          <w:lang w:val="fr-CA"/>
        </w:rPr>
        <w:t>8 </w:t>
      </w:r>
      <w:r w:rsidR="00F85C9A" w:rsidRPr="00B35658">
        <w:rPr>
          <w:lang w:val="fr-CA"/>
        </w:rPr>
        <w:t>décembre</w:t>
      </w:r>
      <w:r w:rsidR="004F3243" w:rsidRPr="00B35658">
        <w:rPr>
          <w:lang w:val="fr-CA"/>
        </w:rPr>
        <w:t xml:space="preserve"> </w:t>
      </w:r>
      <w:r w:rsidR="00F85C9A" w:rsidRPr="00B35658">
        <w:rPr>
          <w:lang w:val="fr-CA"/>
        </w:rPr>
        <w:t xml:space="preserve">1982; </w:t>
      </w:r>
      <w:r w:rsidR="00F85C9A" w:rsidRPr="00B35658">
        <w:rPr>
          <w:i/>
          <w:lang w:val="fr-CA"/>
        </w:rPr>
        <w:t>R. c. R.N.S.</w:t>
      </w:r>
      <w:r w:rsidR="00F85C9A" w:rsidRPr="00B35658">
        <w:rPr>
          <w:lang w:val="fr-CA"/>
        </w:rPr>
        <w:t>, 2000 CSC 7, [2000] 1 R.C.S. 149.</w:t>
      </w:r>
    </w:p>
    <w:p w:rsidR="004D7D95" w:rsidRPr="00B35658" w:rsidRDefault="001B446B" w:rsidP="00295AF0">
      <w:pPr>
        <w:pStyle w:val="SCCNormalDoubleSpacing"/>
        <w:spacing w:after="720" w:line="240" w:lineRule="auto"/>
        <w:rPr>
          <w:lang w:val="fr-CA"/>
        </w:rPr>
      </w:pPr>
      <w:r w:rsidRPr="00B35658">
        <w:rPr>
          <w:lang w:val="fr-CA"/>
        </w:rPr>
        <w:t xml:space="preserve">Citée par la juge </w:t>
      </w:r>
      <w:proofErr w:type="spellStart"/>
      <w:r w:rsidRPr="00B35658">
        <w:rPr>
          <w:lang w:val="fr-CA"/>
        </w:rPr>
        <w:t>Karakatsanis</w:t>
      </w:r>
      <w:proofErr w:type="spellEnd"/>
      <w:r w:rsidR="00435127" w:rsidRPr="00B35658">
        <w:rPr>
          <w:lang w:val="fr-CA"/>
        </w:rPr>
        <w:t xml:space="preserve"> (dissidente)</w:t>
      </w:r>
    </w:p>
    <w:p w:rsidR="00F75E2E" w:rsidRPr="00B35658" w:rsidRDefault="00F75E2E" w:rsidP="00295AF0">
      <w:pPr>
        <w:pStyle w:val="SCCNormalDoubleSpacing"/>
        <w:spacing w:after="480"/>
        <w:rPr>
          <w:b/>
          <w:lang w:val="fr-CA"/>
        </w:rPr>
      </w:pPr>
      <w:r w:rsidRPr="00B35658">
        <w:rPr>
          <w:lang w:val="fr-CA"/>
        </w:rPr>
        <w:tab/>
      </w:r>
      <w:r w:rsidR="000409F2" w:rsidRPr="00B35658">
        <w:rPr>
          <w:i/>
          <w:lang w:val="fr-CA"/>
        </w:rPr>
        <w:t>R. c. L. (J.</w:t>
      </w:r>
      <w:r w:rsidR="00295AF0" w:rsidRPr="00B35658">
        <w:rPr>
          <w:i/>
          <w:lang w:val="fr-CA"/>
        </w:rPr>
        <w:noBreakHyphen/>
      </w:r>
      <w:r w:rsidR="000409F2" w:rsidRPr="00B35658">
        <w:rPr>
          <w:i/>
          <w:lang w:val="fr-CA"/>
        </w:rPr>
        <w:t>J.)</w:t>
      </w:r>
      <w:r w:rsidR="000409F2" w:rsidRPr="00B35658">
        <w:rPr>
          <w:lang w:val="fr-CA"/>
        </w:rPr>
        <w:t>, [1998] R.J.Q.</w:t>
      </w:r>
      <w:r w:rsidR="00AA27A3">
        <w:rPr>
          <w:lang w:val="fr-CA"/>
        </w:rPr>
        <w:t xml:space="preserve"> </w:t>
      </w:r>
      <w:r w:rsidR="000409F2" w:rsidRPr="00B35658">
        <w:rPr>
          <w:lang w:val="fr-CA"/>
        </w:rPr>
        <w:t xml:space="preserve">971; </w:t>
      </w:r>
      <w:r w:rsidR="001D469D" w:rsidRPr="00B35658">
        <w:rPr>
          <w:i/>
          <w:lang w:val="fr-CA"/>
        </w:rPr>
        <w:t xml:space="preserve">R. c. </w:t>
      </w:r>
      <w:proofErr w:type="spellStart"/>
      <w:r w:rsidR="001D469D" w:rsidRPr="00B35658">
        <w:rPr>
          <w:i/>
          <w:lang w:val="fr-CA"/>
        </w:rPr>
        <w:t>Belzil</w:t>
      </w:r>
      <w:proofErr w:type="spellEnd"/>
      <w:r w:rsidR="001D469D" w:rsidRPr="00B35658">
        <w:rPr>
          <w:lang w:val="fr-CA"/>
        </w:rPr>
        <w:t xml:space="preserve">, [1989] R.J.Q. 1117; </w:t>
      </w:r>
      <w:r w:rsidR="001D469D" w:rsidRPr="00B35658">
        <w:rPr>
          <w:i/>
          <w:lang w:val="fr-CA"/>
        </w:rPr>
        <w:t>R. c. Smith</w:t>
      </w:r>
      <w:r w:rsidR="001D469D" w:rsidRPr="00B35658">
        <w:rPr>
          <w:lang w:val="fr-CA"/>
        </w:rPr>
        <w:t>, 2004</w:t>
      </w:r>
      <w:r w:rsidR="00AA27A3">
        <w:rPr>
          <w:lang w:val="fr-CA"/>
        </w:rPr>
        <w:t xml:space="preserve"> CSC </w:t>
      </w:r>
      <w:r w:rsidR="001D469D" w:rsidRPr="00B35658">
        <w:rPr>
          <w:lang w:val="fr-CA"/>
        </w:rPr>
        <w:t>14, [2004] 1</w:t>
      </w:r>
      <w:r w:rsidR="00AA27A3">
        <w:rPr>
          <w:lang w:val="fr-CA"/>
        </w:rPr>
        <w:t xml:space="preserve"> </w:t>
      </w:r>
      <w:r w:rsidR="001D469D" w:rsidRPr="00B35658">
        <w:rPr>
          <w:lang w:val="fr-CA"/>
        </w:rPr>
        <w:t>R.C.S.</w:t>
      </w:r>
      <w:r w:rsidR="00AA27A3">
        <w:rPr>
          <w:lang w:val="fr-CA"/>
        </w:rPr>
        <w:t xml:space="preserve"> </w:t>
      </w:r>
      <w:r w:rsidR="001D469D" w:rsidRPr="00B35658">
        <w:rPr>
          <w:lang w:val="fr-CA"/>
        </w:rPr>
        <w:t>385;</w:t>
      </w:r>
      <w:r w:rsidR="00DC48FE" w:rsidRPr="00B35658">
        <w:rPr>
          <w:lang w:val="fr-CA"/>
        </w:rPr>
        <w:t xml:space="preserve"> </w:t>
      </w:r>
      <w:proofErr w:type="spellStart"/>
      <w:r w:rsidR="00DC48FE" w:rsidRPr="00B35658">
        <w:rPr>
          <w:i/>
          <w:lang w:val="fr-CA"/>
        </w:rPr>
        <w:t>Borowski</w:t>
      </w:r>
      <w:proofErr w:type="spellEnd"/>
      <w:r w:rsidR="00DC48FE" w:rsidRPr="00B35658">
        <w:rPr>
          <w:lang w:val="fr-CA"/>
        </w:rPr>
        <w:t xml:space="preserve"> </w:t>
      </w:r>
      <w:r w:rsidR="00DC48FE" w:rsidRPr="00B35658">
        <w:rPr>
          <w:i/>
          <w:lang w:val="fr-CA"/>
        </w:rPr>
        <w:t>c. Canada (Procureur général)</w:t>
      </w:r>
      <w:r w:rsidR="00DC48FE" w:rsidRPr="00B35658">
        <w:rPr>
          <w:lang w:val="fr-CA"/>
        </w:rPr>
        <w:t xml:space="preserve">, [1989] 1 R.C.S. 342; </w:t>
      </w:r>
      <w:r w:rsidR="00DC48FE" w:rsidRPr="00B35658">
        <w:rPr>
          <w:i/>
          <w:lang w:val="fr-CA"/>
        </w:rPr>
        <w:t xml:space="preserve">R. c. </w:t>
      </w:r>
      <w:proofErr w:type="spellStart"/>
      <w:r w:rsidR="00DC48FE" w:rsidRPr="00B35658">
        <w:rPr>
          <w:i/>
          <w:lang w:val="fr-CA"/>
        </w:rPr>
        <w:t>Cadman</w:t>
      </w:r>
      <w:proofErr w:type="spellEnd"/>
      <w:r w:rsidR="00DC48FE" w:rsidRPr="00B35658">
        <w:rPr>
          <w:lang w:val="fr-CA"/>
        </w:rPr>
        <w:t>, 2018</w:t>
      </w:r>
      <w:r w:rsidR="00AA27A3">
        <w:rPr>
          <w:lang w:val="fr-CA"/>
        </w:rPr>
        <w:t xml:space="preserve"> BCCA </w:t>
      </w:r>
      <w:r w:rsidR="00DC48FE" w:rsidRPr="00B35658">
        <w:rPr>
          <w:lang w:val="fr-CA"/>
        </w:rPr>
        <w:t xml:space="preserve">100, 359 C.C.C. (3d) 427; </w:t>
      </w:r>
      <w:r w:rsidR="00DC48FE" w:rsidRPr="00B35658">
        <w:rPr>
          <w:i/>
          <w:lang w:val="fr-CA"/>
        </w:rPr>
        <w:t>R. c. A.E.S.</w:t>
      </w:r>
      <w:r w:rsidR="00D41952" w:rsidRPr="00B35658">
        <w:rPr>
          <w:lang w:val="fr-CA"/>
        </w:rPr>
        <w:t>, 2018 BCCA 478, 369 C.C.C. (3d) 92</w:t>
      </w:r>
      <w:r w:rsidR="009646BA" w:rsidRPr="00B35658">
        <w:rPr>
          <w:lang w:val="fr-CA"/>
        </w:rPr>
        <w:t xml:space="preserve">; </w:t>
      </w:r>
      <w:r w:rsidR="009646BA" w:rsidRPr="00B35658">
        <w:rPr>
          <w:i/>
          <w:lang w:val="fr-CA"/>
        </w:rPr>
        <w:t>R. c. Yusuf</w:t>
      </w:r>
      <w:r w:rsidR="009646BA" w:rsidRPr="00B35658">
        <w:rPr>
          <w:lang w:val="fr-CA"/>
        </w:rPr>
        <w:t>, 2011</w:t>
      </w:r>
      <w:r w:rsidR="00AA27A3">
        <w:rPr>
          <w:lang w:val="fr-CA"/>
        </w:rPr>
        <w:t xml:space="preserve"> BCSC </w:t>
      </w:r>
      <w:r w:rsidR="009646BA" w:rsidRPr="00B35658">
        <w:rPr>
          <w:lang w:val="fr-CA"/>
        </w:rPr>
        <w:t xml:space="preserve">626; </w:t>
      </w:r>
      <w:r w:rsidR="009646BA" w:rsidRPr="00B35658">
        <w:rPr>
          <w:i/>
          <w:lang w:val="fr-CA"/>
        </w:rPr>
        <w:t xml:space="preserve">R. c. </w:t>
      </w:r>
      <w:r w:rsidR="00860FC9" w:rsidRPr="00B35658">
        <w:rPr>
          <w:i/>
          <w:lang w:val="fr-CA"/>
        </w:rPr>
        <w:t>G.C</w:t>
      </w:r>
      <w:r w:rsidR="009646BA" w:rsidRPr="00B35658">
        <w:rPr>
          <w:i/>
          <w:lang w:val="fr-CA"/>
        </w:rPr>
        <w:t>.D.</w:t>
      </w:r>
      <w:r w:rsidR="00AA27A3">
        <w:rPr>
          <w:lang w:val="fr-CA"/>
        </w:rPr>
        <w:t xml:space="preserve">, 2011 MBQB </w:t>
      </w:r>
      <w:r w:rsidR="009646BA" w:rsidRPr="00B35658">
        <w:rPr>
          <w:lang w:val="fr-CA"/>
        </w:rPr>
        <w:t xml:space="preserve">235, 271 Man. R. (2d) 41; </w:t>
      </w:r>
      <w:r w:rsidR="009646BA" w:rsidRPr="00B35658">
        <w:rPr>
          <w:i/>
          <w:lang w:val="fr-CA"/>
        </w:rPr>
        <w:t xml:space="preserve">R. c. </w:t>
      </w:r>
      <w:proofErr w:type="spellStart"/>
      <w:r w:rsidR="009646BA" w:rsidRPr="00B35658">
        <w:rPr>
          <w:i/>
          <w:lang w:val="fr-CA"/>
        </w:rPr>
        <w:t>Mehanmal</w:t>
      </w:r>
      <w:proofErr w:type="spellEnd"/>
      <w:r w:rsidR="009646BA" w:rsidRPr="00B35658">
        <w:rPr>
          <w:lang w:val="fr-CA"/>
        </w:rPr>
        <w:t>,</w:t>
      </w:r>
      <w:r w:rsidR="009646BA" w:rsidRPr="00B35658">
        <w:rPr>
          <w:i/>
          <w:lang w:val="fr-CA"/>
        </w:rPr>
        <w:t xml:space="preserve"> </w:t>
      </w:r>
      <w:r w:rsidR="009646BA" w:rsidRPr="00B35658">
        <w:rPr>
          <w:lang w:val="fr-CA"/>
        </w:rPr>
        <w:t xml:space="preserve">2012 ONCJ 681, 270 C.R.R. (2d) 271; </w:t>
      </w:r>
      <w:r w:rsidR="00860FC9" w:rsidRPr="00B35658">
        <w:rPr>
          <w:i/>
          <w:lang w:val="fr-CA"/>
        </w:rPr>
        <w:t>R. c. Leroux</w:t>
      </w:r>
      <w:r w:rsidR="00AA27A3">
        <w:rPr>
          <w:lang w:val="fr-CA"/>
        </w:rPr>
        <w:t xml:space="preserve">, 2015 SKCA </w:t>
      </w:r>
      <w:r w:rsidR="00860FC9" w:rsidRPr="00B35658">
        <w:rPr>
          <w:lang w:val="fr-CA"/>
        </w:rPr>
        <w:t xml:space="preserve">48, 460 </w:t>
      </w:r>
      <w:proofErr w:type="spellStart"/>
      <w:r w:rsidR="00860FC9" w:rsidRPr="00B35658">
        <w:rPr>
          <w:lang w:val="fr-CA"/>
        </w:rPr>
        <w:t>Sask</w:t>
      </w:r>
      <w:proofErr w:type="spellEnd"/>
      <w:r w:rsidR="00860FC9" w:rsidRPr="00B35658">
        <w:rPr>
          <w:lang w:val="fr-CA"/>
        </w:rPr>
        <w:t xml:space="preserve">. R. 1; </w:t>
      </w:r>
      <w:r w:rsidR="00860FC9" w:rsidRPr="00B35658">
        <w:rPr>
          <w:i/>
          <w:lang w:val="fr-CA"/>
        </w:rPr>
        <w:t>R. c. E.H.</w:t>
      </w:r>
      <w:r w:rsidR="00860FC9" w:rsidRPr="00B35658">
        <w:rPr>
          <w:lang w:val="fr-CA"/>
        </w:rPr>
        <w:t>, 2009</w:t>
      </w:r>
      <w:r w:rsidR="00AA27A3">
        <w:rPr>
          <w:lang w:val="fr-CA"/>
        </w:rPr>
        <w:t xml:space="preserve"> NLTD </w:t>
      </w:r>
      <w:r w:rsidR="00860FC9" w:rsidRPr="00B35658">
        <w:rPr>
          <w:lang w:val="fr-CA"/>
        </w:rPr>
        <w:t xml:space="preserve">62, 285 </w:t>
      </w:r>
      <w:proofErr w:type="spellStart"/>
      <w:r w:rsidR="00860FC9" w:rsidRPr="00B35658">
        <w:rPr>
          <w:lang w:val="fr-CA"/>
        </w:rPr>
        <w:t>Nfld</w:t>
      </w:r>
      <w:proofErr w:type="spellEnd"/>
      <w:r w:rsidR="00860FC9" w:rsidRPr="00B35658">
        <w:rPr>
          <w:lang w:val="fr-CA"/>
        </w:rPr>
        <w:t>. &amp; P.E.I.R. 78</w:t>
      </w:r>
      <w:r w:rsidR="006A089E" w:rsidRPr="00B35658">
        <w:rPr>
          <w:lang w:val="fr-CA"/>
        </w:rPr>
        <w:t xml:space="preserve">; </w:t>
      </w:r>
      <w:r w:rsidR="006A089E" w:rsidRPr="00B35658">
        <w:rPr>
          <w:i/>
          <w:lang w:val="fr-CA"/>
        </w:rPr>
        <w:t xml:space="preserve">R. c. </w:t>
      </w:r>
      <w:proofErr w:type="spellStart"/>
      <w:r w:rsidR="006A089E" w:rsidRPr="00B35658">
        <w:rPr>
          <w:i/>
          <w:lang w:val="fr-CA"/>
        </w:rPr>
        <w:t>Palacios</w:t>
      </w:r>
      <w:proofErr w:type="spellEnd"/>
      <w:r w:rsidR="004A0B5E" w:rsidRPr="00B35658">
        <w:rPr>
          <w:lang w:val="fr-CA"/>
        </w:rPr>
        <w:t>, 2012</w:t>
      </w:r>
      <w:r w:rsidR="00AA27A3">
        <w:rPr>
          <w:lang w:val="fr-CA"/>
        </w:rPr>
        <w:t xml:space="preserve"> ONCJ </w:t>
      </w:r>
      <w:r w:rsidR="004A0B5E" w:rsidRPr="00B35658">
        <w:rPr>
          <w:lang w:val="fr-CA"/>
        </w:rPr>
        <w:t>195</w:t>
      </w:r>
      <w:r w:rsidR="006A089E" w:rsidRPr="00B35658">
        <w:rPr>
          <w:lang w:val="fr-CA"/>
        </w:rPr>
        <w:t>;</w:t>
      </w:r>
      <w:r w:rsidR="002F3844" w:rsidRPr="00B35658">
        <w:rPr>
          <w:lang w:val="fr-CA"/>
        </w:rPr>
        <w:t xml:space="preserve"> </w:t>
      </w:r>
      <w:r w:rsidR="002F3844" w:rsidRPr="00B35658">
        <w:rPr>
          <w:i/>
          <w:lang w:val="fr-CA"/>
        </w:rPr>
        <w:t xml:space="preserve">R. c. </w:t>
      </w:r>
      <w:proofErr w:type="spellStart"/>
      <w:r w:rsidR="002F3844" w:rsidRPr="00B35658">
        <w:rPr>
          <w:i/>
          <w:lang w:val="fr-CA"/>
        </w:rPr>
        <w:t>Simmonds</w:t>
      </w:r>
      <w:proofErr w:type="spellEnd"/>
      <w:r w:rsidR="002F3844" w:rsidRPr="00B35658">
        <w:rPr>
          <w:lang w:val="fr-CA"/>
        </w:rPr>
        <w:t>, 2018 BCCA</w:t>
      </w:r>
      <w:r w:rsidR="00AA27A3">
        <w:rPr>
          <w:lang w:val="fr-CA"/>
        </w:rPr>
        <w:t xml:space="preserve"> </w:t>
      </w:r>
      <w:r w:rsidR="002F3844" w:rsidRPr="00B35658">
        <w:rPr>
          <w:lang w:val="fr-CA"/>
        </w:rPr>
        <w:t xml:space="preserve">205, 415 C.R.R. (2d) 88; </w:t>
      </w:r>
      <w:r w:rsidR="002F3844" w:rsidRPr="00B35658">
        <w:rPr>
          <w:i/>
          <w:lang w:val="fr-CA"/>
        </w:rPr>
        <w:t>R. c. F.C.</w:t>
      </w:r>
      <w:r w:rsidR="00AA27A3">
        <w:rPr>
          <w:lang w:val="fr-CA"/>
        </w:rPr>
        <w:t xml:space="preserve">, 2018 ONSC </w:t>
      </w:r>
      <w:r w:rsidR="002F3844" w:rsidRPr="00B35658">
        <w:rPr>
          <w:lang w:val="fr-CA"/>
        </w:rPr>
        <w:t xml:space="preserve">561; </w:t>
      </w:r>
      <w:r w:rsidR="002F3844" w:rsidRPr="00B35658">
        <w:rPr>
          <w:i/>
          <w:lang w:val="fr-CA"/>
        </w:rPr>
        <w:t>R. c. Boudreau</w:t>
      </w:r>
      <w:r w:rsidR="002F3844" w:rsidRPr="00B35658">
        <w:rPr>
          <w:lang w:val="fr-CA"/>
        </w:rPr>
        <w:t>, 2012</w:t>
      </w:r>
      <w:r w:rsidR="00AA27A3">
        <w:rPr>
          <w:lang w:val="fr-CA"/>
        </w:rPr>
        <w:t xml:space="preserve"> ONCJ </w:t>
      </w:r>
      <w:r w:rsidR="002F3844" w:rsidRPr="00B35658">
        <w:rPr>
          <w:lang w:val="fr-CA"/>
        </w:rPr>
        <w:t xml:space="preserve">322; </w:t>
      </w:r>
      <w:r w:rsidR="006E79ED" w:rsidRPr="00B35658">
        <w:rPr>
          <w:i/>
          <w:lang w:val="fr-CA"/>
        </w:rPr>
        <w:t>R. c. D.P.</w:t>
      </w:r>
      <w:r w:rsidR="006E79ED" w:rsidRPr="00B35658">
        <w:rPr>
          <w:lang w:val="fr-CA"/>
        </w:rPr>
        <w:t xml:space="preserve">, 2014 ONSC 386; </w:t>
      </w:r>
      <w:r w:rsidR="002F3844" w:rsidRPr="00B35658">
        <w:rPr>
          <w:i/>
          <w:lang w:val="fr-CA"/>
        </w:rPr>
        <w:t xml:space="preserve">R. c. </w:t>
      </w:r>
      <w:proofErr w:type="spellStart"/>
      <w:r w:rsidR="002F3844" w:rsidRPr="00B35658">
        <w:rPr>
          <w:i/>
          <w:lang w:val="fr-CA"/>
        </w:rPr>
        <w:t>Bent</w:t>
      </w:r>
      <w:proofErr w:type="spellEnd"/>
      <w:r w:rsidR="002F3844" w:rsidRPr="00B35658">
        <w:rPr>
          <w:lang w:val="fr-CA"/>
        </w:rPr>
        <w:t>,</w:t>
      </w:r>
      <w:r w:rsidR="002F3844" w:rsidRPr="00B35658">
        <w:rPr>
          <w:i/>
          <w:lang w:val="fr-CA"/>
        </w:rPr>
        <w:t xml:space="preserve"> </w:t>
      </w:r>
      <w:r w:rsidR="002F3844" w:rsidRPr="00B35658">
        <w:rPr>
          <w:lang w:val="fr-CA"/>
        </w:rPr>
        <w:t>2017</w:t>
      </w:r>
      <w:r w:rsidR="00AA27A3">
        <w:rPr>
          <w:lang w:val="fr-CA"/>
        </w:rPr>
        <w:t xml:space="preserve"> ONSC </w:t>
      </w:r>
      <w:r w:rsidR="002F3844" w:rsidRPr="00B35658">
        <w:rPr>
          <w:lang w:val="fr-CA"/>
        </w:rPr>
        <w:t xml:space="preserve">3189, 383 C.R.R. (2d) 161; </w:t>
      </w:r>
      <w:r w:rsidR="002F3844" w:rsidRPr="00B35658">
        <w:rPr>
          <w:i/>
          <w:lang w:val="fr-CA"/>
        </w:rPr>
        <w:t xml:space="preserve">R. c. </w:t>
      </w:r>
      <w:proofErr w:type="spellStart"/>
      <w:r w:rsidR="002F3844" w:rsidRPr="00B35658">
        <w:rPr>
          <w:i/>
          <w:lang w:val="fr-CA"/>
        </w:rPr>
        <w:lastRenderedPageBreak/>
        <w:t>Docherty</w:t>
      </w:r>
      <w:proofErr w:type="spellEnd"/>
      <w:r w:rsidR="002F3844" w:rsidRPr="00B35658">
        <w:rPr>
          <w:lang w:val="fr-CA"/>
        </w:rPr>
        <w:t>, [2016] UKSC 62, [2017] 4 All E</w:t>
      </w:r>
      <w:r w:rsidR="006E79ED" w:rsidRPr="00B35658">
        <w:rPr>
          <w:lang w:val="fr-CA"/>
        </w:rPr>
        <w:t>.</w:t>
      </w:r>
      <w:r w:rsidR="002F3844" w:rsidRPr="00B35658">
        <w:rPr>
          <w:lang w:val="fr-CA"/>
        </w:rPr>
        <w:t>R</w:t>
      </w:r>
      <w:r w:rsidR="006E79ED" w:rsidRPr="00B35658">
        <w:rPr>
          <w:lang w:val="fr-CA"/>
        </w:rPr>
        <w:t>.</w:t>
      </w:r>
      <w:r w:rsidR="002F3844" w:rsidRPr="00B35658">
        <w:rPr>
          <w:lang w:val="fr-CA"/>
        </w:rPr>
        <w:t xml:space="preserve"> 263; </w:t>
      </w:r>
      <w:r w:rsidR="002F3844" w:rsidRPr="00B35658">
        <w:rPr>
          <w:i/>
          <w:lang w:val="fr-CA"/>
        </w:rPr>
        <w:t xml:space="preserve">Hunter </w:t>
      </w:r>
      <w:r w:rsidR="00F26CF8" w:rsidRPr="00B35658">
        <w:rPr>
          <w:i/>
          <w:lang w:val="fr-CA"/>
        </w:rPr>
        <w:t>c</w:t>
      </w:r>
      <w:r w:rsidR="002F3844" w:rsidRPr="00B35658">
        <w:rPr>
          <w:i/>
          <w:lang w:val="fr-CA"/>
        </w:rPr>
        <w:t xml:space="preserve">. </w:t>
      </w:r>
      <w:proofErr w:type="spellStart"/>
      <w:r w:rsidR="002F3844" w:rsidRPr="00B35658">
        <w:rPr>
          <w:i/>
          <w:lang w:val="fr-CA"/>
        </w:rPr>
        <w:t>Southam</w:t>
      </w:r>
      <w:proofErr w:type="spellEnd"/>
      <w:r w:rsidR="002F3844" w:rsidRPr="00B35658">
        <w:rPr>
          <w:i/>
          <w:lang w:val="fr-CA"/>
        </w:rPr>
        <w:t xml:space="preserve"> Inc.</w:t>
      </w:r>
      <w:r w:rsidR="00AA27A3">
        <w:rPr>
          <w:lang w:val="fr-CA"/>
        </w:rPr>
        <w:t xml:space="preserve">, [1984] 2 </w:t>
      </w:r>
      <w:r w:rsidR="002F3844" w:rsidRPr="00B35658">
        <w:rPr>
          <w:lang w:val="fr-CA"/>
        </w:rPr>
        <w:t>R.C.S.</w:t>
      </w:r>
      <w:r w:rsidR="00AA27A3">
        <w:rPr>
          <w:lang w:val="fr-CA"/>
        </w:rPr>
        <w:t xml:space="preserve"> </w:t>
      </w:r>
      <w:r w:rsidR="002F3844" w:rsidRPr="00B35658">
        <w:rPr>
          <w:lang w:val="fr-CA"/>
        </w:rPr>
        <w:t xml:space="preserve">145; </w:t>
      </w:r>
      <w:r w:rsidR="002F3844" w:rsidRPr="00B35658">
        <w:rPr>
          <w:i/>
          <w:lang w:val="fr-CA"/>
        </w:rPr>
        <w:t xml:space="preserve">R. c. </w:t>
      </w:r>
      <w:proofErr w:type="spellStart"/>
      <w:r w:rsidR="002F3844" w:rsidRPr="00B35658">
        <w:rPr>
          <w:i/>
          <w:lang w:val="fr-CA"/>
        </w:rPr>
        <w:t>Big</w:t>
      </w:r>
      <w:proofErr w:type="spellEnd"/>
      <w:r w:rsidR="002F3844" w:rsidRPr="00B35658">
        <w:rPr>
          <w:i/>
          <w:lang w:val="fr-CA"/>
        </w:rPr>
        <w:t xml:space="preserve"> M Drug </w:t>
      </w:r>
      <w:proofErr w:type="spellStart"/>
      <w:r w:rsidR="002F3844" w:rsidRPr="00B35658">
        <w:rPr>
          <w:i/>
          <w:lang w:val="fr-CA"/>
        </w:rPr>
        <w:t>Mart</w:t>
      </w:r>
      <w:proofErr w:type="spellEnd"/>
      <w:r w:rsidR="002F3844" w:rsidRPr="00B35658">
        <w:rPr>
          <w:i/>
          <w:lang w:val="fr-CA"/>
        </w:rPr>
        <w:t xml:space="preserve"> Ltd.</w:t>
      </w:r>
      <w:r w:rsidR="002F3844" w:rsidRPr="00B35658">
        <w:rPr>
          <w:lang w:val="fr-CA"/>
        </w:rPr>
        <w:t>,</w:t>
      </w:r>
      <w:r w:rsidR="002F3844" w:rsidRPr="00B35658">
        <w:rPr>
          <w:i/>
          <w:lang w:val="fr-CA"/>
        </w:rPr>
        <w:t xml:space="preserve"> </w:t>
      </w:r>
      <w:r w:rsidR="002F3844" w:rsidRPr="00B35658">
        <w:rPr>
          <w:lang w:val="fr-CA"/>
        </w:rPr>
        <w:t xml:space="preserve">[1985] 1 R.C.S. 295; </w:t>
      </w:r>
      <w:r w:rsidR="002F3844" w:rsidRPr="00B35658">
        <w:rPr>
          <w:i/>
          <w:lang w:val="fr-CA"/>
        </w:rPr>
        <w:t>R. c. Grant</w:t>
      </w:r>
      <w:r w:rsidR="002F3844" w:rsidRPr="00B35658">
        <w:rPr>
          <w:lang w:val="fr-CA"/>
        </w:rPr>
        <w:t>, 2009</w:t>
      </w:r>
      <w:r w:rsidR="00AA27A3">
        <w:rPr>
          <w:lang w:val="fr-CA"/>
        </w:rPr>
        <w:t xml:space="preserve"> CSC </w:t>
      </w:r>
      <w:r w:rsidR="002F3844" w:rsidRPr="00B35658">
        <w:rPr>
          <w:lang w:val="fr-CA"/>
        </w:rPr>
        <w:t>32, [2009] 2</w:t>
      </w:r>
      <w:r w:rsidR="00AA27A3">
        <w:rPr>
          <w:lang w:val="fr-CA"/>
        </w:rPr>
        <w:t xml:space="preserve"> </w:t>
      </w:r>
      <w:r w:rsidR="002F3844" w:rsidRPr="00B35658">
        <w:rPr>
          <w:lang w:val="fr-CA"/>
        </w:rPr>
        <w:t>R.C.S.</w:t>
      </w:r>
      <w:r w:rsidR="00AA27A3">
        <w:rPr>
          <w:lang w:val="fr-CA"/>
        </w:rPr>
        <w:t xml:space="preserve"> </w:t>
      </w:r>
      <w:r w:rsidR="002F3844" w:rsidRPr="00B35658">
        <w:rPr>
          <w:lang w:val="fr-CA"/>
        </w:rPr>
        <w:t>353;</w:t>
      </w:r>
      <w:r w:rsidR="00975112" w:rsidRPr="00B35658">
        <w:rPr>
          <w:lang w:val="fr-CA"/>
        </w:rPr>
        <w:t xml:space="preserve"> </w:t>
      </w:r>
      <w:r w:rsidR="00975112" w:rsidRPr="00B35658">
        <w:rPr>
          <w:i/>
          <w:lang w:val="fr-CA"/>
        </w:rPr>
        <w:t xml:space="preserve">Renvoi relatif à la Public Service </w:t>
      </w:r>
      <w:proofErr w:type="spellStart"/>
      <w:r w:rsidR="00975112" w:rsidRPr="00B35658">
        <w:rPr>
          <w:i/>
          <w:lang w:val="fr-CA"/>
        </w:rPr>
        <w:t>Employee</w:t>
      </w:r>
      <w:proofErr w:type="spellEnd"/>
      <w:r w:rsidR="00975112" w:rsidRPr="00B35658">
        <w:rPr>
          <w:i/>
          <w:lang w:val="fr-CA"/>
        </w:rPr>
        <w:t xml:space="preserve"> Relations </w:t>
      </w:r>
      <w:proofErr w:type="spellStart"/>
      <w:r w:rsidR="00975112" w:rsidRPr="00B35658">
        <w:rPr>
          <w:i/>
          <w:lang w:val="fr-CA"/>
        </w:rPr>
        <w:t>Act</w:t>
      </w:r>
      <w:proofErr w:type="spellEnd"/>
      <w:r w:rsidR="00975112" w:rsidRPr="00B35658">
        <w:rPr>
          <w:i/>
          <w:lang w:val="fr-CA"/>
        </w:rPr>
        <w:t xml:space="preserve"> (</w:t>
      </w:r>
      <w:proofErr w:type="spellStart"/>
      <w:r w:rsidR="00975112" w:rsidRPr="00B35658">
        <w:rPr>
          <w:i/>
          <w:lang w:val="fr-CA"/>
        </w:rPr>
        <w:t>Alb</w:t>
      </w:r>
      <w:proofErr w:type="spellEnd"/>
      <w:r w:rsidR="00975112" w:rsidRPr="00B35658">
        <w:rPr>
          <w:i/>
          <w:lang w:val="fr-CA"/>
        </w:rPr>
        <w:t>.)</w:t>
      </w:r>
      <w:r w:rsidR="00975112" w:rsidRPr="00B35658">
        <w:rPr>
          <w:lang w:val="fr-CA"/>
        </w:rPr>
        <w:t>, [1987] 1 R.C.S.</w:t>
      </w:r>
      <w:r w:rsidR="00AA27A3">
        <w:rPr>
          <w:lang w:val="fr-CA"/>
        </w:rPr>
        <w:t xml:space="preserve"> </w:t>
      </w:r>
      <w:r w:rsidR="00975112" w:rsidRPr="00B35658">
        <w:rPr>
          <w:lang w:val="fr-CA"/>
        </w:rPr>
        <w:t xml:space="preserve">313; </w:t>
      </w:r>
      <w:r w:rsidR="00975112" w:rsidRPr="00B35658">
        <w:rPr>
          <w:i/>
          <w:lang w:val="fr-CA"/>
        </w:rPr>
        <w:t xml:space="preserve">Manitoba (Procureur général) c. </w:t>
      </w:r>
      <w:proofErr w:type="spellStart"/>
      <w:r w:rsidR="00975112" w:rsidRPr="00B35658">
        <w:rPr>
          <w:i/>
          <w:lang w:val="fr-CA"/>
        </w:rPr>
        <w:t>Metropolitan</w:t>
      </w:r>
      <w:proofErr w:type="spellEnd"/>
      <w:r w:rsidR="00975112" w:rsidRPr="00B35658">
        <w:rPr>
          <w:i/>
          <w:lang w:val="fr-CA"/>
        </w:rPr>
        <w:t xml:space="preserve"> Stores Ltd.</w:t>
      </w:r>
      <w:r w:rsidR="00AA27A3">
        <w:rPr>
          <w:lang w:val="fr-CA"/>
        </w:rPr>
        <w:t xml:space="preserve">, [1987] 1 R.C.S. </w:t>
      </w:r>
      <w:r w:rsidR="00975112" w:rsidRPr="00B35658">
        <w:rPr>
          <w:lang w:val="fr-CA"/>
        </w:rPr>
        <w:t xml:space="preserve">110; </w:t>
      </w:r>
      <w:r w:rsidR="00975112" w:rsidRPr="00B35658">
        <w:rPr>
          <w:i/>
          <w:lang w:val="fr-CA"/>
        </w:rPr>
        <w:t>R. c. K.R.J.</w:t>
      </w:r>
      <w:r w:rsidR="00AA27A3">
        <w:rPr>
          <w:lang w:val="fr-CA"/>
        </w:rPr>
        <w:t xml:space="preserve">, 2016 </w:t>
      </w:r>
      <w:r w:rsidR="00975112" w:rsidRPr="00B35658">
        <w:rPr>
          <w:lang w:val="fr-CA"/>
        </w:rPr>
        <w:t xml:space="preserve">CSC 31, </w:t>
      </w:r>
      <w:r w:rsidR="00AA27A3">
        <w:rPr>
          <w:lang w:val="fr-CA"/>
        </w:rPr>
        <w:t xml:space="preserve">[2016] 1 </w:t>
      </w:r>
      <w:r w:rsidR="004A0B5E" w:rsidRPr="00B35658">
        <w:rPr>
          <w:lang w:val="fr-CA"/>
        </w:rPr>
        <w:t>R.C.S.</w:t>
      </w:r>
      <w:r w:rsidR="00AA27A3">
        <w:rPr>
          <w:lang w:val="fr-CA"/>
        </w:rPr>
        <w:t xml:space="preserve"> </w:t>
      </w:r>
      <w:r w:rsidR="004A0B5E" w:rsidRPr="00B35658">
        <w:rPr>
          <w:lang w:val="fr-CA"/>
        </w:rPr>
        <w:t>906</w:t>
      </w:r>
      <w:r w:rsidR="00F26CF8" w:rsidRPr="00B35658">
        <w:rPr>
          <w:lang w:val="fr-CA"/>
        </w:rPr>
        <w:t xml:space="preserve">; </w:t>
      </w:r>
      <w:r w:rsidR="006E79ED" w:rsidRPr="00B35658">
        <w:rPr>
          <w:i/>
          <w:lang w:val="fr-CA"/>
        </w:rPr>
        <w:t>Black</w:t>
      </w:r>
      <w:r w:rsidR="00AA27A3" w:rsidRPr="00B35658">
        <w:rPr>
          <w:lang w:val="fr-CA"/>
        </w:rPr>
        <w:noBreakHyphen/>
      </w:r>
      <w:proofErr w:type="spellStart"/>
      <w:r w:rsidR="006E79ED" w:rsidRPr="00B35658">
        <w:rPr>
          <w:i/>
          <w:lang w:val="fr-CA"/>
        </w:rPr>
        <w:t>Clawson</w:t>
      </w:r>
      <w:proofErr w:type="spellEnd"/>
      <w:r w:rsidR="006E79ED" w:rsidRPr="00B35658">
        <w:rPr>
          <w:i/>
          <w:lang w:val="fr-CA"/>
        </w:rPr>
        <w:t xml:space="preserve"> International Ltd. c. </w:t>
      </w:r>
      <w:proofErr w:type="spellStart"/>
      <w:r w:rsidR="006E79ED" w:rsidRPr="00B35658">
        <w:rPr>
          <w:i/>
          <w:lang w:val="fr-CA"/>
        </w:rPr>
        <w:t>Papierwerke</w:t>
      </w:r>
      <w:proofErr w:type="spellEnd"/>
      <w:r w:rsidR="006E79ED" w:rsidRPr="00B35658">
        <w:rPr>
          <w:i/>
          <w:lang w:val="fr-CA"/>
        </w:rPr>
        <w:t xml:space="preserve"> </w:t>
      </w:r>
      <w:proofErr w:type="spellStart"/>
      <w:r w:rsidR="006E79ED" w:rsidRPr="00B35658">
        <w:rPr>
          <w:i/>
          <w:lang w:val="fr-CA"/>
        </w:rPr>
        <w:t>Waldhof</w:t>
      </w:r>
      <w:proofErr w:type="spellEnd"/>
      <w:r w:rsidR="00AA27A3" w:rsidRPr="00B35658">
        <w:rPr>
          <w:lang w:val="fr-CA"/>
        </w:rPr>
        <w:noBreakHyphen/>
      </w:r>
      <w:r w:rsidR="006E79ED" w:rsidRPr="00B35658">
        <w:rPr>
          <w:i/>
          <w:lang w:val="fr-CA"/>
        </w:rPr>
        <w:t>Aschaffenburg A.G.</w:t>
      </w:r>
      <w:r w:rsidR="006E79ED" w:rsidRPr="00B35658">
        <w:rPr>
          <w:lang w:val="fr-CA"/>
        </w:rPr>
        <w:t xml:space="preserve">, [1975] A.C. 591; </w:t>
      </w:r>
      <w:r w:rsidR="00F26CF8" w:rsidRPr="00B35658">
        <w:rPr>
          <w:i/>
          <w:lang w:val="fr-CA"/>
        </w:rPr>
        <w:t xml:space="preserve">R. c. </w:t>
      </w:r>
      <w:proofErr w:type="spellStart"/>
      <w:r w:rsidR="00F26CF8" w:rsidRPr="00B35658">
        <w:rPr>
          <w:i/>
          <w:lang w:val="fr-CA"/>
        </w:rPr>
        <w:t>Lacasse</w:t>
      </w:r>
      <w:proofErr w:type="spellEnd"/>
      <w:r w:rsidR="00AA27A3">
        <w:rPr>
          <w:lang w:val="fr-CA"/>
        </w:rPr>
        <w:t xml:space="preserve">, 2015 CSC 64, [2015] 3 </w:t>
      </w:r>
      <w:r w:rsidR="00F26CF8" w:rsidRPr="00B35658">
        <w:rPr>
          <w:lang w:val="fr-CA"/>
        </w:rPr>
        <w:t>R.C.S.</w:t>
      </w:r>
      <w:r w:rsidR="00AA27A3">
        <w:rPr>
          <w:lang w:val="fr-CA"/>
        </w:rPr>
        <w:t xml:space="preserve"> </w:t>
      </w:r>
      <w:r w:rsidR="002231F2" w:rsidRPr="00B35658">
        <w:rPr>
          <w:lang w:val="fr-CA"/>
        </w:rPr>
        <w:t>1089.</w:t>
      </w:r>
    </w:p>
    <w:p w:rsidR="004D7D95" w:rsidRPr="00B35658" w:rsidRDefault="004D7D95" w:rsidP="00295AF0">
      <w:pPr>
        <w:pStyle w:val="SCCNormalDoubleSpacing"/>
        <w:spacing w:after="720" w:line="240" w:lineRule="auto"/>
        <w:rPr>
          <w:b/>
          <w:lang w:val="fr-CA"/>
        </w:rPr>
      </w:pPr>
      <w:r w:rsidRPr="00B35658">
        <w:rPr>
          <w:b/>
          <w:lang w:val="fr-CA"/>
        </w:rPr>
        <w:t>Lois et règlements cités</w:t>
      </w:r>
    </w:p>
    <w:p w:rsidR="008720E1" w:rsidRPr="00B35658" w:rsidRDefault="001714B4" w:rsidP="002231F2">
      <w:pPr>
        <w:pStyle w:val="SCCNormalDoubleSpacing"/>
        <w:spacing w:after="240" w:line="240" w:lineRule="auto"/>
        <w:ind w:left="533" w:hanging="533"/>
        <w:rPr>
          <w:lang w:val="fr-CA"/>
        </w:rPr>
      </w:pPr>
      <w:r w:rsidRPr="00B35658">
        <w:rPr>
          <w:i/>
          <w:lang w:val="fr-CA"/>
        </w:rPr>
        <w:t>Charte canadienne des droits et libertés</w:t>
      </w:r>
      <w:r w:rsidR="008720E1" w:rsidRPr="00B35658">
        <w:rPr>
          <w:lang w:val="fr-CA"/>
        </w:rPr>
        <w:t xml:space="preserve">, </w:t>
      </w:r>
      <w:r w:rsidR="00295AF0" w:rsidRPr="00B35658">
        <w:rPr>
          <w:lang w:val="fr-CA"/>
        </w:rPr>
        <w:t>art. </w:t>
      </w:r>
      <w:r w:rsidR="008720E1" w:rsidRPr="00B35658">
        <w:rPr>
          <w:lang w:val="fr-CA"/>
        </w:rPr>
        <w:t xml:space="preserve">7, </w:t>
      </w:r>
      <w:r w:rsidR="00CB79B5" w:rsidRPr="00B35658">
        <w:rPr>
          <w:lang w:val="fr-CA"/>
        </w:rPr>
        <w:t xml:space="preserve">8, </w:t>
      </w:r>
      <w:r w:rsidR="00D94A1A" w:rsidRPr="00B35658">
        <w:rPr>
          <w:lang w:val="fr-CA"/>
        </w:rPr>
        <w:t>10</w:t>
      </w:r>
      <w:r w:rsidR="00D94A1A" w:rsidRPr="00B35658">
        <w:rPr>
          <w:i/>
          <w:lang w:val="fr-CA"/>
        </w:rPr>
        <w:t>b</w:t>
      </w:r>
      <w:r w:rsidR="00D94A1A" w:rsidRPr="00B35658">
        <w:rPr>
          <w:lang w:val="fr-CA"/>
        </w:rPr>
        <w:t xml:space="preserve">), </w:t>
      </w:r>
      <w:r w:rsidR="008720E1" w:rsidRPr="00B35658">
        <w:rPr>
          <w:lang w:val="fr-CA"/>
        </w:rPr>
        <w:t>11</w:t>
      </w:r>
      <w:r w:rsidR="00CB79B5" w:rsidRPr="00B35658">
        <w:rPr>
          <w:lang w:val="fr-CA"/>
        </w:rPr>
        <w:t>, 12</w:t>
      </w:r>
      <w:r w:rsidR="008720E1" w:rsidRPr="00B35658">
        <w:rPr>
          <w:lang w:val="fr-CA"/>
        </w:rPr>
        <w:t>.</w:t>
      </w:r>
    </w:p>
    <w:p w:rsidR="008720E1" w:rsidRPr="00B35658" w:rsidRDefault="008720E1" w:rsidP="002231F2">
      <w:pPr>
        <w:pStyle w:val="SCCNormalDoubleSpacing"/>
        <w:spacing w:after="240" w:line="240" w:lineRule="auto"/>
        <w:ind w:left="533" w:hanging="533"/>
        <w:rPr>
          <w:lang w:val="fr-CA"/>
        </w:rPr>
      </w:pPr>
      <w:r w:rsidRPr="00B35658">
        <w:rPr>
          <w:i/>
          <w:lang w:val="fr-CA"/>
        </w:rPr>
        <w:t>Code criminel</w:t>
      </w:r>
      <w:r w:rsidRPr="00B35658">
        <w:rPr>
          <w:lang w:val="fr-CA"/>
        </w:rPr>
        <w:t xml:space="preserve">, </w:t>
      </w:r>
      <w:r w:rsidR="00155177">
        <w:rPr>
          <w:lang w:val="fr-CA"/>
        </w:rPr>
        <w:t>S</w:t>
      </w:r>
      <w:r w:rsidR="009D0E40" w:rsidRPr="00B35658">
        <w:rPr>
          <w:lang w:val="fr-CA"/>
        </w:rPr>
        <w:t>.R.C. 1970, c. </w:t>
      </w:r>
      <w:r w:rsidRPr="00B35658">
        <w:rPr>
          <w:lang w:val="fr-CA"/>
        </w:rPr>
        <w:t>C</w:t>
      </w:r>
      <w:r w:rsidR="00295AF0" w:rsidRPr="00B35658">
        <w:rPr>
          <w:lang w:val="fr-CA"/>
        </w:rPr>
        <w:noBreakHyphen/>
      </w:r>
      <w:r w:rsidRPr="00B35658">
        <w:rPr>
          <w:lang w:val="fr-CA"/>
        </w:rPr>
        <w:t xml:space="preserve">34, </w:t>
      </w:r>
      <w:r w:rsidR="00295AF0" w:rsidRPr="00B35658">
        <w:rPr>
          <w:lang w:val="fr-CA"/>
        </w:rPr>
        <w:t>art. </w:t>
      </w:r>
      <w:r w:rsidRPr="00B35658">
        <w:rPr>
          <w:lang w:val="fr-CA"/>
        </w:rPr>
        <w:t>157</w:t>
      </w:r>
      <w:r w:rsidR="00C01475" w:rsidRPr="00B35658">
        <w:rPr>
          <w:lang w:val="fr-CA"/>
        </w:rPr>
        <w:t xml:space="preserve"> [</w:t>
      </w:r>
      <w:proofErr w:type="spellStart"/>
      <w:r w:rsidR="00C01475" w:rsidRPr="00B35658">
        <w:rPr>
          <w:lang w:val="fr-CA"/>
        </w:rPr>
        <w:t>abr</w:t>
      </w:r>
      <w:proofErr w:type="spellEnd"/>
      <w:r w:rsidR="00C01475" w:rsidRPr="00B35658">
        <w:rPr>
          <w:lang w:val="fr-CA"/>
        </w:rPr>
        <w:t xml:space="preserve">. </w:t>
      </w:r>
      <w:r w:rsidR="004013C2" w:rsidRPr="00B35658">
        <w:rPr>
          <w:lang w:val="fr-CA"/>
        </w:rPr>
        <w:t xml:space="preserve">&amp; </w:t>
      </w:r>
      <w:proofErr w:type="spellStart"/>
      <w:r w:rsidR="004013C2" w:rsidRPr="00B35658">
        <w:rPr>
          <w:lang w:val="fr-CA"/>
        </w:rPr>
        <w:t>rempl</w:t>
      </w:r>
      <w:proofErr w:type="spellEnd"/>
      <w:r w:rsidR="004013C2" w:rsidRPr="00B35658">
        <w:rPr>
          <w:lang w:val="fr-CA"/>
        </w:rPr>
        <w:t xml:space="preserve">. </w:t>
      </w:r>
      <w:r w:rsidR="000501E5" w:rsidRPr="00B35658">
        <w:rPr>
          <w:lang w:val="fr-CA"/>
        </w:rPr>
        <w:t>c. </w:t>
      </w:r>
      <w:r w:rsidR="00C01475" w:rsidRPr="00B35658">
        <w:rPr>
          <w:lang w:val="fr-CA"/>
        </w:rPr>
        <w:t>19 (3</w:t>
      </w:r>
      <w:r w:rsidR="00C01475" w:rsidRPr="00B35658">
        <w:rPr>
          <w:vertAlign w:val="superscript"/>
          <w:lang w:val="fr-CA"/>
        </w:rPr>
        <w:t>e</w:t>
      </w:r>
      <w:r w:rsidR="00372C04">
        <w:rPr>
          <w:lang w:val="fr-CA"/>
        </w:rPr>
        <w:t> </w:t>
      </w:r>
      <w:r w:rsidR="00C01475" w:rsidRPr="00B35658">
        <w:rPr>
          <w:lang w:val="fr-CA"/>
        </w:rPr>
        <w:t xml:space="preserve">suppl.), </w:t>
      </w:r>
      <w:r w:rsidR="00295AF0" w:rsidRPr="00B35658">
        <w:rPr>
          <w:lang w:val="fr-CA"/>
        </w:rPr>
        <w:t>art. </w:t>
      </w:r>
      <w:r w:rsidR="00C01475" w:rsidRPr="00B35658">
        <w:rPr>
          <w:lang w:val="fr-CA"/>
        </w:rPr>
        <w:t>4]</w:t>
      </w:r>
      <w:r w:rsidR="00D94A1A" w:rsidRPr="00B35658">
        <w:rPr>
          <w:lang w:val="fr-CA"/>
        </w:rPr>
        <w:t>, 246.1(1)</w:t>
      </w:r>
      <w:r w:rsidR="00D94A1A" w:rsidRPr="00155177">
        <w:rPr>
          <w:i/>
          <w:lang w:val="fr-CA"/>
        </w:rPr>
        <w:t>a</w:t>
      </w:r>
      <w:r w:rsidR="00D94A1A" w:rsidRPr="00B35658">
        <w:rPr>
          <w:lang w:val="fr-CA"/>
        </w:rPr>
        <w:t>).</w:t>
      </w:r>
    </w:p>
    <w:p w:rsidR="008720E1" w:rsidRPr="00B35658" w:rsidRDefault="008720E1" w:rsidP="002231F2">
      <w:pPr>
        <w:pStyle w:val="SCCNormalDoubleSpacing"/>
        <w:spacing w:after="240" w:line="240" w:lineRule="auto"/>
        <w:ind w:left="533" w:hanging="533"/>
        <w:rPr>
          <w:lang w:val="fr-CA"/>
        </w:rPr>
      </w:pPr>
      <w:r w:rsidRPr="00B35658">
        <w:rPr>
          <w:i/>
          <w:lang w:val="fr-CA"/>
        </w:rPr>
        <w:t>Code criminel</w:t>
      </w:r>
      <w:r w:rsidR="000501E5" w:rsidRPr="00B35658">
        <w:rPr>
          <w:lang w:val="fr-CA"/>
        </w:rPr>
        <w:t>, L.R.C. 1985, c. </w:t>
      </w:r>
      <w:r w:rsidRPr="00B35658">
        <w:rPr>
          <w:lang w:val="fr-CA"/>
        </w:rPr>
        <w:t>C</w:t>
      </w:r>
      <w:r w:rsidR="00295AF0" w:rsidRPr="00B35658">
        <w:rPr>
          <w:lang w:val="fr-CA"/>
        </w:rPr>
        <w:noBreakHyphen/>
      </w:r>
      <w:r w:rsidRPr="00B35658">
        <w:rPr>
          <w:lang w:val="fr-CA"/>
        </w:rPr>
        <w:t xml:space="preserve">46, </w:t>
      </w:r>
      <w:r w:rsidR="00295AF0" w:rsidRPr="00B35658">
        <w:rPr>
          <w:lang w:val="fr-CA"/>
        </w:rPr>
        <w:t>art. </w:t>
      </w:r>
      <w:r w:rsidRPr="00B35658">
        <w:rPr>
          <w:lang w:val="fr-CA"/>
        </w:rPr>
        <w:t xml:space="preserve">151, </w:t>
      </w:r>
      <w:r w:rsidR="008E081F" w:rsidRPr="00B35658">
        <w:rPr>
          <w:lang w:val="fr-CA"/>
        </w:rPr>
        <w:t>161(1)</w:t>
      </w:r>
      <w:proofErr w:type="gramStart"/>
      <w:r w:rsidR="008E081F" w:rsidRPr="00B35658">
        <w:rPr>
          <w:lang w:val="fr-CA"/>
        </w:rPr>
        <w:t>c</w:t>
      </w:r>
      <w:proofErr w:type="gramEnd"/>
      <w:r w:rsidR="008E081F" w:rsidRPr="00B35658">
        <w:rPr>
          <w:lang w:val="fr-CA"/>
        </w:rPr>
        <w:t xml:space="preserve">), </w:t>
      </w:r>
      <w:r w:rsidRPr="00B35658">
        <w:rPr>
          <w:lang w:val="fr-CA"/>
        </w:rPr>
        <w:t xml:space="preserve">271, 718.1, </w:t>
      </w:r>
      <w:r w:rsidR="00D94A1A" w:rsidRPr="00B35658">
        <w:rPr>
          <w:lang w:val="fr-CA"/>
        </w:rPr>
        <w:t xml:space="preserve">718.2b), </w:t>
      </w:r>
      <w:r w:rsidR="0032032F" w:rsidRPr="00B35658">
        <w:rPr>
          <w:lang w:val="fr-CA"/>
        </w:rPr>
        <w:t xml:space="preserve">d), e), </w:t>
      </w:r>
      <w:r w:rsidRPr="00B35658">
        <w:rPr>
          <w:lang w:val="fr-CA"/>
        </w:rPr>
        <w:t>742.1</w:t>
      </w:r>
      <w:r w:rsidR="005F3834" w:rsidRPr="00B35658">
        <w:rPr>
          <w:lang w:val="fr-CA"/>
        </w:rPr>
        <w:t xml:space="preserve"> [</w:t>
      </w:r>
      <w:proofErr w:type="spellStart"/>
      <w:r w:rsidR="005F3834" w:rsidRPr="00B35658">
        <w:rPr>
          <w:lang w:val="fr-CA"/>
        </w:rPr>
        <w:t>aj</w:t>
      </w:r>
      <w:proofErr w:type="spellEnd"/>
      <w:r w:rsidR="005F3834" w:rsidRPr="00B35658">
        <w:rPr>
          <w:lang w:val="fr-CA"/>
        </w:rPr>
        <w:t xml:space="preserve">. L.C. </w:t>
      </w:r>
      <w:r w:rsidR="00CB0140" w:rsidRPr="00B35658">
        <w:rPr>
          <w:lang w:val="fr-CA"/>
        </w:rPr>
        <w:t>1995</w:t>
      </w:r>
      <w:r w:rsidR="005F3834" w:rsidRPr="00B35658">
        <w:rPr>
          <w:lang w:val="fr-CA"/>
        </w:rPr>
        <w:t>, c. </w:t>
      </w:r>
      <w:r w:rsidR="00CB0140" w:rsidRPr="00B35658">
        <w:rPr>
          <w:lang w:val="fr-CA"/>
        </w:rPr>
        <w:t xml:space="preserve">22, </w:t>
      </w:r>
      <w:r w:rsidR="00295AF0" w:rsidRPr="00B35658">
        <w:rPr>
          <w:lang w:val="fr-CA"/>
        </w:rPr>
        <w:t>art. </w:t>
      </w:r>
      <w:r w:rsidR="00CB0140" w:rsidRPr="00B35658">
        <w:rPr>
          <w:lang w:val="fr-CA"/>
        </w:rPr>
        <w:t>6</w:t>
      </w:r>
      <w:r w:rsidR="005F3834" w:rsidRPr="00B35658">
        <w:rPr>
          <w:lang w:val="fr-CA"/>
        </w:rPr>
        <w:t xml:space="preserve">; </w:t>
      </w:r>
      <w:proofErr w:type="spellStart"/>
      <w:r w:rsidR="005F3834" w:rsidRPr="00B35658">
        <w:rPr>
          <w:lang w:val="fr-CA"/>
        </w:rPr>
        <w:t>rempl</w:t>
      </w:r>
      <w:proofErr w:type="spellEnd"/>
      <w:r w:rsidR="000501E5" w:rsidRPr="00B35658">
        <w:rPr>
          <w:lang w:val="fr-CA"/>
        </w:rPr>
        <w:t>. L.C. 2012, c. </w:t>
      </w:r>
      <w:r w:rsidR="005F3834" w:rsidRPr="00B35658">
        <w:rPr>
          <w:lang w:val="fr-CA"/>
        </w:rPr>
        <w:t xml:space="preserve">1, </w:t>
      </w:r>
      <w:r w:rsidR="00295AF0" w:rsidRPr="00B35658">
        <w:rPr>
          <w:lang w:val="fr-CA"/>
        </w:rPr>
        <w:t>art. </w:t>
      </w:r>
      <w:r w:rsidR="005F3834" w:rsidRPr="00B35658">
        <w:rPr>
          <w:lang w:val="fr-CA"/>
        </w:rPr>
        <w:t>34].</w:t>
      </w:r>
    </w:p>
    <w:p w:rsidR="001714B4" w:rsidRPr="00B35658" w:rsidRDefault="001714B4" w:rsidP="002231F2">
      <w:pPr>
        <w:pStyle w:val="SCCNormalDoubleSpacing"/>
        <w:spacing w:after="240" w:line="240" w:lineRule="auto"/>
        <w:ind w:left="533" w:hanging="533"/>
        <w:rPr>
          <w:lang w:val="fr-CA"/>
        </w:rPr>
      </w:pPr>
      <w:r w:rsidRPr="00B35658">
        <w:rPr>
          <w:i/>
          <w:lang w:val="fr-CA"/>
        </w:rPr>
        <w:t>Déclaration canadienne des droits</w:t>
      </w:r>
      <w:r w:rsidRPr="00B35658">
        <w:rPr>
          <w:lang w:val="fr-CA"/>
        </w:rPr>
        <w:t xml:space="preserve">, </w:t>
      </w:r>
      <w:r w:rsidR="003E5134">
        <w:rPr>
          <w:lang w:val="fr-CA"/>
        </w:rPr>
        <w:t>S</w:t>
      </w:r>
      <w:r w:rsidR="00B20B99" w:rsidRPr="00B35658">
        <w:rPr>
          <w:lang w:val="fr-CA"/>
        </w:rPr>
        <w:t>.C. 1960, c. </w:t>
      </w:r>
      <w:r w:rsidRPr="00B35658">
        <w:rPr>
          <w:lang w:val="fr-CA"/>
        </w:rPr>
        <w:t>44.</w:t>
      </w:r>
    </w:p>
    <w:p w:rsidR="008720E1" w:rsidRPr="00B35658" w:rsidRDefault="001714B4" w:rsidP="002231F2">
      <w:pPr>
        <w:pStyle w:val="SCCNormalDoubleSpacing"/>
        <w:spacing w:after="240" w:line="240" w:lineRule="auto"/>
        <w:ind w:left="533" w:hanging="533"/>
        <w:rPr>
          <w:lang w:val="fr-CA"/>
        </w:rPr>
      </w:pPr>
      <w:r w:rsidRPr="00B35658">
        <w:rPr>
          <w:i/>
          <w:lang w:val="fr-CA"/>
        </w:rPr>
        <w:t>Loi d’interprétation</w:t>
      </w:r>
      <w:r w:rsidR="008720E1" w:rsidRPr="00B35658">
        <w:rPr>
          <w:lang w:val="fr-CA"/>
        </w:rPr>
        <w:t>,</w:t>
      </w:r>
      <w:r w:rsidR="008720E1" w:rsidRPr="00B35658">
        <w:rPr>
          <w:i/>
          <w:lang w:val="fr-CA"/>
        </w:rPr>
        <w:t xml:space="preserve"> </w:t>
      </w:r>
      <w:r w:rsidR="008720E1" w:rsidRPr="00B35658">
        <w:rPr>
          <w:lang w:val="fr-CA"/>
        </w:rPr>
        <w:t>L.R.C. 1985, c.</w:t>
      </w:r>
      <w:r w:rsidR="000501E5" w:rsidRPr="00B35658">
        <w:rPr>
          <w:lang w:val="fr-CA"/>
        </w:rPr>
        <w:t> </w:t>
      </w:r>
      <w:r w:rsidR="008720E1" w:rsidRPr="00B35658">
        <w:rPr>
          <w:lang w:val="fr-CA"/>
        </w:rPr>
        <w:t>I</w:t>
      </w:r>
      <w:r w:rsidR="00295AF0" w:rsidRPr="00B35658">
        <w:rPr>
          <w:lang w:val="fr-CA"/>
        </w:rPr>
        <w:noBreakHyphen/>
      </w:r>
      <w:r w:rsidR="008720E1" w:rsidRPr="00B35658">
        <w:rPr>
          <w:lang w:val="fr-CA"/>
        </w:rPr>
        <w:t xml:space="preserve">21, </w:t>
      </w:r>
      <w:r w:rsidR="00295AF0" w:rsidRPr="00B35658">
        <w:rPr>
          <w:lang w:val="fr-CA"/>
        </w:rPr>
        <w:t>art. </w:t>
      </w:r>
      <w:r w:rsidR="00CB79B5" w:rsidRPr="00B35658">
        <w:rPr>
          <w:lang w:val="fr-CA"/>
        </w:rPr>
        <w:t xml:space="preserve">43, </w:t>
      </w:r>
      <w:r w:rsidR="007B6161" w:rsidRPr="00B35658">
        <w:rPr>
          <w:lang w:val="fr-CA"/>
        </w:rPr>
        <w:t>44</w:t>
      </w:r>
      <w:r w:rsidR="008720E1" w:rsidRPr="00B35658">
        <w:rPr>
          <w:lang w:val="fr-CA"/>
        </w:rPr>
        <w:t>e) [</w:t>
      </w:r>
      <w:r w:rsidRPr="00B35658">
        <w:rPr>
          <w:lang w:val="fr-CA"/>
        </w:rPr>
        <w:t>auparavant</w:t>
      </w:r>
      <w:r w:rsidR="008720E1" w:rsidRPr="00B35658">
        <w:rPr>
          <w:i/>
          <w:lang w:val="fr-CA"/>
        </w:rPr>
        <w:t xml:space="preserve"> </w:t>
      </w:r>
      <w:r w:rsidR="008720E1" w:rsidRPr="00B35658">
        <w:rPr>
          <w:lang w:val="fr-CA"/>
        </w:rPr>
        <w:t>S.C. 1967</w:t>
      </w:r>
      <w:r w:rsidR="00295AF0" w:rsidRPr="00B35658">
        <w:rPr>
          <w:lang w:val="fr-CA"/>
        </w:rPr>
        <w:noBreakHyphen/>
      </w:r>
      <w:r w:rsidR="008720E1" w:rsidRPr="00B35658">
        <w:rPr>
          <w:lang w:val="fr-CA"/>
        </w:rPr>
        <w:t>1968, c.</w:t>
      </w:r>
      <w:r w:rsidR="000501E5" w:rsidRPr="00B35658">
        <w:rPr>
          <w:lang w:val="fr-CA"/>
        </w:rPr>
        <w:t> </w:t>
      </w:r>
      <w:r w:rsidR="008720E1" w:rsidRPr="00B35658">
        <w:rPr>
          <w:lang w:val="fr-CA"/>
        </w:rPr>
        <w:t xml:space="preserve">7, </w:t>
      </w:r>
      <w:r w:rsidR="00295AF0" w:rsidRPr="00B35658">
        <w:rPr>
          <w:lang w:val="fr-CA"/>
        </w:rPr>
        <w:t>art. </w:t>
      </w:r>
      <w:r w:rsidR="007B6161" w:rsidRPr="00B35658">
        <w:rPr>
          <w:lang w:val="fr-CA"/>
        </w:rPr>
        <w:t>37</w:t>
      </w:r>
      <w:r w:rsidR="002231F2" w:rsidRPr="00574CA2">
        <w:rPr>
          <w:i/>
          <w:lang w:val="fr-CA"/>
        </w:rPr>
        <w:t>e</w:t>
      </w:r>
      <w:r w:rsidR="002231F2" w:rsidRPr="00B35658">
        <w:rPr>
          <w:lang w:val="fr-CA"/>
        </w:rPr>
        <w:t>)].</w:t>
      </w:r>
    </w:p>
    <w:p w:rsidR="005F3834" w:rsidRPr="00B35658" w:rsidRDefault="005F3834" w:rsidP="002231F2">
      <w:pPr>
        <w:pStyle w:val="SCCNormalDoubleSpacing"/>
        <w:spacing w:after="240" w:line="240" w:lineRule="auto"/>
        <w:ind w:left="533" w:hanging="533"/>
        <w:rPr>
          <w:lang w:val="fr-CA"/>
        </w:rPr>
      </w:pPr>
      <w:r w:rsidRPr="00B35658">
        <w:rPr>
          <w:i/>
          <w:lang w:val="fr-CA"/>
        </w:rPr>
        <w:t>Loi modifiant le Code criminel (protection des enfants et d’autres personnes vulnérables) et la Loi sur la preuve au Canada</w:t>
      </w:r>
      <w:r w:rsidRPr="00B35658">
        <w:rPr>
          <w:lang w:val="fr-CA"/>
        </w:rPr>
        <w:t xml:space="preserve">, L.C. 2005, c. 32, </w:t>
      </w:r>
      <w:r w:rsidR="00295AF0" w:rsidRPr="00B35658">
        <w:rPr>
          <w:lang w:val="fr-CA"/>
        </w:rPr>
        <w:t>art. </w:t>
      </w:r>
      <w:r w:rsidRPr="00B35658">
        <w:rPr>
          <w:lang w:val="fr-CA"/>
        </w:rPr>
        <w:t>3.</w:t>
      </w:r>
    </w:p>
    <w:p w:rsidR="008720E1" w:rsidRPr="00B35658" w:rsidRDefault="001714B4" w:rsidP="002231F2">
      <w:pPr>
        <w:pStyle w:val="SCCNormalDoubleSpacing"/>
        <w:spacing w:after="720" w:line="240" w:lineRule="auto"/>
        <w:ind w:left="547" w:hanging="547"/>
        <w:rPr>
          <w:lang w:val="fr-CA"/>
        </w:rPr>
      </w:pPr>
      <w:r w:rsidRPr="00B35658">
        <w:rPr>
          <w:i/>
          <w:lang w:val="fr-CA"/>
        </w:rPr>
        <w:t>Loi sur la Cour suprême</w:t>
      </w:r>
      <w:r w:rsidR="008720E1" w:rsidRPr="00B35658">
        <w:rPr>
          <w:lang w:val="fr-CA"/>
        </w:rPr>
        <w:t>,</w:t>
      </w:r>
      <w:r w:rsidR="008720E1" w:rsidRPr="00B35658">
        <w:rPr>
          <w:i/>
          <w:lang w:val="fr-CA"/>
        </w:rPr>
        <w:t xml:space="preserve"> </w:t>
      </w:r>
      <w:r w:rsidR="000501E5" w:rsidRPr="00B35658">
        <w:rPr>
          <w:lang w:val="fr-CA"/>
        </w:rPr>
        <w:t>L.R.C. 1985, c. </w:t>
      </w:r>
      <w:r w:rsidRPr="00B35658">
        <w:rPr>
          <w:lang w:val="fr-CA"/>
        </w:rPr>
        <w:t>S</w:t>
      </w:r>
      <w:r w:rsidR="00295AF0" w:rsidRPr="00B35658">
        <w:rPr>
          <w:lang w:val="fr-CA"/>
        </w:rPr>
        <w:noBreakHyphen/>
      </w:r>
      <w:r w:rsidRPr="00B35658">
        <w:rPr>
          <w:lang w:val="fr-CA"/>
        </w:rPr>
        <w:t xml:space="preserve">26, </w:t>
      </w:r>
      <w:r w:rsidR="00295AF0" w:rsidRPr="00B35658">
        <w:rPr>
          <w:lang w:val="fr-CA"/>
        </w:rPr>
        <w:t>art. </w:t>
      </w:r>
      <w:r w:rsidR="007B6161" w:rsidRPr="00B35658">
        <w:rPr>
          <w:lang w:val="fr-CA"/>
        </w:rPr>
        <w:t xml:space="preserve">40(1), </w:t>
      </w:r>
      <w:r w:rsidR="008720E1" w:rsidRPr="00B35658">
        <w:rPr>
          <w:lang w:val="fr-CA"/>
        </w:rPr>
        <w:t>76.</w:t>
      </w:r>
    </w:p>
    <w:p w:rsidR="004D7D95" w:rsidRPr="00B35658" w:rsidRDefault="00093ED0" w:rsidP="002231F2">
      <w:pPr>
        <w:pStyle w:val="SCCNormalDoubleSpacing"/>
        <w:spacing w:after="720" w:line="240" w:lineRule="auto"/>
        <w:ind w:left="547" w:hanging="547"/>
        <w:rPr>
          <w:b/>
          <w:bCs/>
          <w:lang w:val="fr-CA"/>
        </w:rPr>
      </w:pPr>
      <w:r w:rsidRPr="00B35658">
        <w:rPr>
          <w:b/>
          <w:bCs/>
          <w:lang w:val="fr-CA"/>
        </w:rPr>
        <w:t xml:space="preserve">Traités et autres </w:t>
      </w:r>
      <w:r w:rsidRPr="00B35658">
        <w:rPr>
          <w:rStyle w:val="solexhl"/>
          <w:b/>
          <w:bCs/>
          <w:lang w:val="fr-CA"/>
        </w:rPr>
        <w:t>instruments internationaux</w:t>
      </w:r>
    </w:p>
    <w:p w:rsidR="00093ED0" w:rsidRPr="00B35658" w:rsidRDefault="00AB6EA1" w:rsidP="002231F2">
      <w:pPr>
        <w:pStyle w:val="SCCNormalDoubleSpacing"/>
        <w:spacing w:after="240" w:line="240" w:lineRule="auto"/>
        <w:ind w:left="533" w:hanging="533"/>
        <w:rPr>
          <w:lang w:val="fr-CA"/>
        </w:rPr>
      </w:pPr>
      <w:r w:rsidRPr="00B35658">
        <w:rPr>
          <w:i/>
          <w:lang w:val="fr-CA"/>
        </w:rPr>
        <w:t>Convention de sauvegarde des droits de l’homme et des libertés fondamentales</w:t>
      </w:r>
      <w:r w:rsidRPr="00B35658">
        <w:rPr>
          <w:lang w:val="fr-CA"/>
        </w:rPr>
        <w:t>, 213 R.T.N.U. 221</w:t>
      </w:r>
      <w:r w:rsidRPr="00B35658">
        <w:rPr>
          <w:i/>
          <w:lang w:val="fr-CA"/>
        </w:rPr>
        <w:t xml:space="preserve"> </w:t>
      </w:r>
      <w:r w:rsidRPr="00B35658">
        <w:rPr>
          <w:lang w:val="fr-CA"/>
        </w:rPr>
        <w:t xml:space="preserve">[la </w:t>
      </w:r>
      <w:r w:rsidRPr="00B35658">
        <w:rPr>
          <w:i/>
          <w:lang w:val="fr-CA"/>
        </w:rPr>
        <w:t>Convention européenne des droits de l’homme</w:t>
      </w:r>
      <w:r w:rsidRPr="00B35658">
        <w:rPr>
          <w:lang w:val="fr-CA"/>
        </w:rPr>
        <w:t>]</w:t>
      </w:r>
      <w:r w:rsidR="00093ED0" w:rsidRPr="00B35658">
        <w:rPr>
          <w:lang w:val="fr-CA"/>
        </w:rPr>
        <w:t xml:space="preserve">, </w:t>
      </w:r>
      <w:r w:rsidR="00295AF0" w:rsidRPr="00B35658">
        <w:rPr>
          <w:lang w:val="fr-CA"/>
        </w:rPr>
        <w:t>art. </w:t>
      </w:r>
      <w:r w:rsidR="00093ED0" w:rsidRPr="00B35658">
        <w:rPr>
          <w:lang w:val="fr-CA"/>
        </w:rPr>
        <w:t>7.</w:t>
      </w:r>
    </w:p>
    <w:p w:rsidR="00093ED0" w:rsidRPr="00B35658" w:rsidRDefault="003F68E3" w:rsidP="002231F2">
      <w:pPr>
        <w:pStyle w:val="SCCNormalDoubleSpacing"/>
        <w:spacing w:after="720" w:line="240" w:lineRule="auto"/>
        <w:ind w:left="547" w:hanging="547"/>
        <w:rPr>
          <w:lang w:val="fr-CA"/>
        </w:rPr>
      </w:pPr>
      <w:r w:rsidRPr="00B35658">
        <w:rPr>
          <w:i/>
          <w:iCs/>
          <w:lang w:val="fr-CA"/>
        </w:rPr>
        <w:lastRenderedPageBreak/>
        <w:t>Pacte international relatif aux droits civils et politiques</w:t>
      </w:r>
      <w:r w:rsidRPr="00B35658">
        <w:rPr>
          <w:lang w:val="fr-CA"/>
        </w:rPr>
        <w:t xml:space="preserve">, R.T. Can. 1976 </w:t>
      </w:r>
      <w:proofErr w:type="gramStart"/>
      <w:r w:rsidRPr="00B35658">
        <w:rPr>
          <w:lang w:val="fr-CA"/>
        </w:rPr>
        <w:t>n</w:t>
      </w:r>
      <w:r w:rsidRPr="00B35658">
        <w:rPr>
          <w:vertAlign w:val="superscript"/>
          <w:lang w:val="fr-CA"/>
        </w:rPr>
        <w:t>o</w:t>
      </w:r>
      <w:proofErr w:type="gramEnd"/>
      <w:r w:rsidRPr="00B35658">
        <w:rPr>
          <w:lang w:val="fr-CA"/>
        </w:rPr>
        <w:t> 47</w:t>
      </w:r>
      <w:r w:rsidR="00093ED0" w:rsidRPr="00B35658">
        <w:rPr>
          <w:lang w:val="fr-CA"/>
        </w:rPr>
        <w:t xml:space="preserve">, </w:t>
      </w:r>
      <w:r w:rsidR="00295AF0" w:rsidRPr="00B35658">
        <w:rPr>
          <w:lang w:val="fr-CA"/>
        </w:rPr>
        <w:t>art. </w:t>
      </w:r>
      <w:r w:rsidR="00093ED0" w:rsidRPr="00B35658">
        <w:rPr>
          <w:lang w:val="fr-CA"/>
        </w:rPr>
        <w:t>15(1).</w:t>
      </w:r>
    </w:p>
    <w:p w:rsidR="004D7D95" w:rsidRPr="00B35658" w:rsidRDefault="004D7D95" w:rsidP="00295AF0">
      <w:pPr>
        <w:pStyle w:val="SCCNormalDoubleSpacing"/>
        <w:spacing w:after="720" w:line="240" w:lineRule="auto"/>
        <w:rPr>
          <w:b/>
          <w:lang w:val="fr-CA"/>
        </w:rPr>
      </w:pPr>
      <w:r w:rsidRPr="00B35658">
        <w:rPr>
          <w:b/>
          <w:lang w:val="fr-CA"/>
        </w:rPr>
        <w:t>Doctrine et autres documents cités</w:t>
      </w:r>
    </w:p>
    <w:p w:rsidR="005F2560" w:rsidRPr="00B35658" w:rsidRDefault="005F2560" w:rsidP="005F2560">
      <w:pPr>
        <w:pStyle w:val="SCCNormalDoubleSpacing"/>
        <w:spacing w:after="240" w:line="240" w:lineRule="auto"/>
        <w:ind w:left="533" w:hanging="533"/>
        <w:rPr>
          <w:lang w:val="fr-CA"/>
        </w:rPr>
      </w:pPr>
      <w:r w:rsidRPr="00B35658">
        <w:rPr>
          <w:lang w:val="fr-CA"/>
        </w:rPr>
        <w:t xml:space="preserve">Canada. </w:t>
      </w:r>
      <w:r w:rsidR="00FC146D" w:rsidRPr="00B35658">
        <w:rPr>
          <w:i/>
          <w:lang w:val="fr-CA"/>
        </w:rPr>
        <w:t>La</w:t>
      </w:r>
      <w:r w:rsidR="004552EE">
        <w:rPr>
          <w:i/>
          <w:lang w:val="fr-CA"/>
        </w:rPr>
        <w:t xml:space="preserve"> Constitution canadienne 1980 : </w:t>
      </w:r>
      <w:r w:rsidRPr="00B35658">
        <w:rPr>
          <w:i/>
          <w:lang w:val="fr-CA"/>
        </w:rPr>
        <w:t>Projet de résolution concernant la Constitution du Canada</w:t>
      </w:r>
      <w:r w:rsidR="00167A4F" w:rsidRPr="00B35658">
        <w:rPr>
          <w:lang w:val="fr-CA"/>
        </w:rPr>
        <w:t>, Ottawa,</w:t>
      </w:r>
      <w:r w:rsidRPr="00B35658">
        <w:rPr>
          <w:lang w:val="fr-CA"/>
        </w:rPr>
        <w:t xml:space="preserve"> Gouvernement du Canada, 1980.</w:t>
      </w:r>
    </w:p>
    <w:p w:rsidR="005F2560" w:rsidRPr="00B35658" w:rsidRDefault="005F2560" w:rsidP="005F2560">
      <w:pPr>
        <w:pStyle w:val="SCCNormalDoubleSpacing"/>
        <w:spacing w:after="240" w:line="240" w:lineRule="auto"/>
        <w:ind w:left="533" w:hanging="533"/>
        <w:rPr>
          <w:lang w:val="fr-CA"/>
        </w:rPr>
      </w:pPr>
      <w:r w:rsidRPr="00B35658">
        <w:rPr>
          <w:lang w:val="fr-CA"/>
        </w:rPr>
        <w:t xml:space="preserve">Canada. Le Très Honorable Pierre Elliott Trudeau. </w:t>
      </w:r>
      <w:r w:rsidRPr="00B35658">
        <w:rPr>
          <w:i/>
          <w:lang w:val="fr-CA"/>
        </w:rPr>
        <w:t>La Constitution Canadienne et le Citoyen : Un aperçu des objectifs de la Confédération, des droits des individus et des institutions gouvernementales</w:t>
      </w:r>
      <w:r w:rsidRPr="00B35658">
        <w:rPr>
          <w:lang w:val="fr-CA"/>
        </w:rPr>
        <w:t>, Ottawa, Imprimeur de la Reine, 1969.</w:t>
      </w:r>
    </w:p>
    <w:p w:rsidR="005F2560" w:rsidRPr="00B35658" w:rsidRDefault="005F2560" w:rsidP="005F2560">
      <w:pPr>
        <w:pStyle w:val="SCCNormalDoubleSpacing"/>
        <w:spacing w:after="240" w:line="240" w:lineRule="auto"/>
        <w:ind w:left="533" w:hanging="533"/>
        <w:rPr>
          <w:lang w:val="fr-CA"/>
        </w:rPr>
      </w:pPr>
      <w:r w:rsidRPr="00B35658">
        <w:rPr>
          <w:lang w:val="fr-CA"/>
        </w:rPr>
        <w:t xml:space="preserve">Canada. Réunion de fonctionnaires sur la Constitution. </w:t>
      </w:r>
      <w:r w:rsidRPr="00B35658">
        <w:rPr>
          <w:i/>
          <w:lang w:val="fr-CA"/>
        </w:rPr>
        <w:t>La Charte canadienne des droits et libertés (Avant</w:t>
      </w:r>
      <w:r w:rsidRPr="00B35658">
        <w:rPr>
          <w:i/>
          <w:lang w:val="fr-CA"/>
        </w:rPr>
        <w:noBreakHyphen/>
        <w:t>projet pour étude seulement)</w:t>
      </w:r>
      <w:r w:rsidRPr="00B35658">
        <w:rPr>
          <w:lang w:val="fr-CA"/>
        </w:rPr>
        <w:t>, section III</w:t>
      </w:r>
      <w:r w:rsidR="00167A4F" w:rsidRPr="00B35658">
        <w:rPr>
          <w:lang w:val="fr-CA"/>
        </w:rPr>
        <w:t>,</w:t>
      </w:r>
      <w:r w:rsidRPr="00B35658">
        <w:rPr>
          <w:lang w:val="fr-CA"/>
        </w:rPr>
        <w:t xml:space="preserve"> Ottawa, 1979.</w:t>
      </w:r>
    </w:p>
    <w:p w:rsidR="005F2560" w:rsidRPr="00B35658" w:rsidRDefault="005F2560" w:rsidP="005F2560">
      <w:pPr>
        <w:pStyle w:val="SCCNormalDoubleSpacing"/>
        <w:spacing w:after="240" w:line="240" w:lineRule="auto"/>
        <w:ind w:left="533" w:hanging="533"/>
        <w:rPr>
          <w:lang w:val="fr-CA"/>
        </w:rPr>
      </w:pPr>
      <w:r w:rsidRPr="00B35658">
        <w:rPr>
          <w:lang w:val="fr-CA"/>
        </w:rPr>
        <w:t xml:space="preserve">Canada. Sénat et Chambre des communes. </w:t>
      </w:r>
      <w:r w:rsidRPr="00B35658">
        <w:rPr>
          <w:i/>
          <w:iCs/>
          <w:lang w:val="fr-CA"/>
        </w:rPr>
        <w:t>Procès</w:t>
      </w:r>
      <w:r w:rsidRPr="00B35658">
        <w:rPr>
          <w:i/>
          <w:iCs/>
          <w:lang w:val="fr-CA"/>
        </w:rPr>
        <w:noBreakHyphen/>
        <w:t>verbaux et témoignages du Comité mixte spécial du Sénat et de la Chambre des communes sur la Constitution du Canada</w:t>
      </w:r>
      <w:r w:rsidRPr="00B35658">
        <w:rPr>
          <w:lang w:val="fr-CA"/>
        </w:rPr>
        <w:t>, n</w:t>
      </w:r>
      <w:r w:rsidRPr="00B35658">
        <w:rPr>
          <w:vertAlign w:val="superscript"/>
          <w:lang w:val="fr-CA"/>
        </w:rPr>
        <w:t>o</w:t>
      </w:r>
      <w:r w:rsidRPr="00B35658">
        <w:rPr>
          <w:lang w:val="fr-CA"/>
        </w:rPr>
        <w:t> 47, 1</w:t>
      </w:r>
      <w:r w:rsidRPr="00B35658">
        <w:rPr>
          <w:vertAlign w:val="superscript"/>
          <w:lang w:val="fr-CA"/>
        </w:rPr>
        <w:t>re</w:t>
      </w:r>
      <w:r w:rsidR="004552EE">
        <w:rPr>
          <w:lang w:val="fr-CA"/>
        </w:rPr>
        <w:t> </w:t>
      </w:r>
      <w:proofErr w:type="spellStart"/>
      <w:r w:rsidRPr="00B35658">
        <w:rPr>
          <w:lang w:val="fr-CA"/>
        </w:rPr>
        <w:t>sess</w:t>
      </w:r>
      <w:proofErr w:type="spellEnd"/>
      <w:r w:rsidRPr="00B35658">
        <w:rPr>
          <w:lang w:val="fr-CA"/>
        </w:rPr>
        <w:t>., 32</w:t>
      </w:r>
      <w:r w:rsidRPr="00B35658">
        <w:rPr>
          <w:vertAlign w:val="superscript"/>
          <w:lang w:val="fr-CA"/>
        </w:rPr>
        <w:t>e</w:t>
      </w:r>
      <w:r w:rsidR="004552EE">
        <w:rPr>
          <w:lang w:val="fr-CA"/>
        </w:rPr>
        <w:t> </w:t>
      </w:r>
      <w:proofErr w:type="spellStart"/>
      <w:r w:rsidRPr="00B35658">
        <w:rPr>
          <w:lang w:val="fr-CA"/>
        </w:rPr>
        <w:t>lég</w:t>
      </w:r>
      <w:proofErr w:type="spellEnd"/>
      <w:r w:rsidRPr="00B35658">
        <w:rPr>
          <w:lang w:val="fr-CA"/>
        </w:rPr>
        <w:t>., 28 janvier 1981, p. 65</w:t>
      </w:r>
      <w:r w:rsidRPr="00B35658">
        <w:rPr>
          <w:lang w:val="fr-CA"/>
        </w:rPr>
        <w:noBreakHyphen/>
        <w:t>69.</w:t>
      </w:r>
    </w:p>
    <w:p w:rsidR="00ED0ACF" w:rsidRPr="001E258E" w:rsidRDefault="00ED0ACF" w:rsidP="002231F2">
      <w:pPr>
        <w:pStyle w:val="SCCNormalDoubleSpacing"/>
        <w:spacing w:after="240" w:line="240" w:lineRule="auto"/>
        <w:ind w:left="533" w:hanging="533"/>
        <w:rPr>
          <w:lang w:val="en-US"/>
        </w:rPr>
      </w:pPr>
      <w:r w:rsidRPr="001E258E">
        <w:rPr>
          <w:i/>
          <w:iCs/>
          <w:lang w:val="en-US"/>
        </w:rPr>
        <w:t xml:space="preserve">Canadian </w:t>
      </w:r>
      <w:r w:rsidRPr="001E258E">
        <w:rPr>
          <w:rStyle w:val="solexhl"/>
          <w:i/>
          <w:iCs/>
          <w:lang w:val="en-US"/>
        </w:rPr>
        <w:t>Oxford</w:t>
      </w:r>
      <w:r w:rsidRPr="001E258E">
        <w:rPr>
          <w:i/>
          <w:iCs/>
          <w:lang w:val="en-US"/>
        </w:rPr>
        <w:t xml:space="preserve"> </w:t>
      </w:r>
      <w:r w:rsidRPr="001E258E">
        <w:rPr>
          <w:rStyle w:val="solexhl"/>
          <w:i/>
          <w:iCs/>
          <w:lang w:val="en-US"/>
        </w:rPr>
        <w:t>Dictionary</w:t>
      </w:r>
      <w:r w:rsidRPr="001E258E">
        <w:rPr>
          <w:lang w:val="en-US"/>
        </w:rPr>
        <w:t xml:space="preserve">, 2nd ed. by Katherine </w:t>
      </w:r>
      <w:r w:rsidRPr="001E258E">
        <w:rPr>
          <w:rStyle w:val="solexhl"/>
          <w:lang w:val="en-US"/>
        </w:rPr>
        <w:t>Barber, ed.</w:t>
      </w:r>
      <w:r w:rsidRPr="001E258E">
        <w:rPr>
          <w:lang w:val="en-US"/>
        </w:rPr>
        <w:t xml:space="preserve">, Don Mills (Ont.), </w:t>
      </w:r>
      <w:r w:rsidRPr="001E258E">
        <w:rPr>
          <w:rStyle w:val="solexhl"/>
          <w:lang w:val="en-US"/>
        </w:rPr>
        <w:t>Oxford</w:t>
      </w:r>
      <w:r w:rsidRPr="001E258E">
        <w:rPr>
          <w:lang w:val="en-US"/>
        </w:rPr>
        <w:t xml:space="preserve"> University Press, 2004, « </w:t>
      </w:r>
      <w:r w:rsidRPr="001E258E">
        <w:rPr>
          <w:i/>
          <w:iCs/>
          <w:lang w:val="en-US"/>
        </w:rPr>
        <w:t>lesser</w:t>
      </w:r>
      <w:r w:rsidRPr="001E258E">
        <w:rPr>
          <w:lang w:val="en-US"/>
        </w:rPr>
        <w:t> ».</w:t>
      </w:r>
    </w:p>
    <w:p w:rsidR="008720E1" w:rsidRPr="00B35658" w:rsidRDefault="008720E1" w:rsidP="002231F2">
      <w:pPr>
        <w:pStyle w:val="SCCNormalDoubleSpacing"/>
        <w:spacing w:after="240" w:line="240" w:lineRule="auto"/>
        <w:ind w:left="533" w:hanging="533"/>
        <w:rPr>
          <w:lang w:val="fr-CA"/>
        </w:rPr>
      </w:pPr>
      <w:r w:rsidRPr="00B35658">
        <w:rPr>
          <w:lang w:val="fr-CA"/>
        </w:rPr>
        <w:t xml:space="preserve">Chevrette, François, Hugo Cyr </w:t>
      </w:r>
      <w:r w:rsidR="00563332" w:rsidRPr="00B35658">
        <w:rPr>
          <w:lang w:val="fr-CA"/>
        </w:rPr>
        <w:t>et</w:t>
      </w:r>
      <w:r w:rsidRPr="00B35658">
        <w:rPr>
          <w:lang w:val="fr-CA"/>
        </w:rPr>
        <w:t xml:space="preserve"> François Tanguay</w:t>
      </w:r>
      <w:r w:rsidR="00295AF0" w:rsidRPr="00B35658">
        <w:rPr>
          <w:lang w:val="fr-CA"/>
        </w:rPr>
        <w:noBreakHyphen/>
      </w:r>
      <w:r w:rsidRPr="00B35658">
        <w:rPr>
          <w:lang w:val="fr-CA"/>
        </w:rPr>
        <w:t xml:space="preserve">Renaud. </w:t>
      </w:r>
      <w:r w:rsidR="00B20B99" w:rsidRPr="00B35658">
        <w:rPr>
          <w:lang w:val="fr-CA"/>
        </w:rPr>
        <w:t>« </w:t>
      </w:r>
      <w:r w:rsidRPr="00B35658">
        <w:rPr>
          <w:lang w:val="fr-CA"/>
        </w:rPr>
        <w:t>La protection lors de l’arrestation, la détention et la protection contre l’incrimination rétroactive</w:t>
      </w:r>
      <w:r w:rsidR="00B20B99" w:rsidRPr="00B35658">
        <w:rPr>
          <w:lang w:val="fr-CA"/>
        </w:rPr>
        <w:t> </w:t>
      </w:r>
      <w:r w:rsidR="00563332" w:rsidRPr="00B35658">
        <w:rPr>
          <w:lang w:val="fr-CA"/>
        </w:rPr>
        <w:t>»</w:t>
      </w:r>
      <w:r w:rsidRPr="00B35658">
        <w:rPr>
          <w:lang w:val="fr-CA"/>
        </w:rPr>
        <w:t xml:space="preserve">, </w:t>
      </w:r>
      <w:r w:rsidR="00563332" w:rsidRPr="00B35658">
        <w:rPr>
          <w:lang w:val="fr-CA"/>
        </w:rPr>
        <w:t>dans</w:t>
      </w:r>
      <w:r w:rsidRPr="00B35658">
        <w:rPr>
          <w:lang w:val="fr-CA"/>
        </w:rPr>
        <w:t xml:space="preserve"> Gérald</w:t>
      </w:r>
      <w:r w:rsidR="00295AF0" w:rsidRPr="00B35658">
        <w:rPr>
          <w:lang w:val="fr-CA"/>
        </w:rPr>
        <w:noBreakHyphen/>
      </w:r>
      <w:r w:rsidRPr="00B35658">
        <w:rPr>
          <w:lang w:val="fr-CA"/>
        </w:rPr>
        <w:t xml:space="preserve">A. </w:t>
      </w:r>
      <w:r w:rsidR="00BE06FC" w:rsidRPr="00B35658">
        <w:rPr>
          <w:lang w:val="fr-CA"/>
        </w:rPr>
        <w:t>Beaudoin et</w:t>
      </w:r>
      <w:r w:rsidRPr="00B35658">
        <w:rPr>
          <w:lang w:val="fr-CA"/>
        </w:rPr>
        <w:t xml:space="preserve"> Errol Mendes, </w:t>
      </w:r>
      <w:proofErr w:type="spellStart"/>
      <w:proofErr w:type="gramStart"/>
      <w:r w:rsidR="001714B4" w:rsidRPr="00B35658">
        <w:rPr>
          <w:lang w:val="fr-CA"/>
        </w:rPr>
        <w:t>dir</w:t>
      </w:r>
      <w:proofErr w:type="spellEnd"/>
      <w:r w:rsidRPr="00B35658">
        <w:rPr>
          <w:lang w:val="fr-CA"/>
        </w:rPr>
        <w:t>.,</w:t>
      </w:r>
      <w:proofErr w:type="gramEnd"/>
      <w:r w:rsidRPr="00B35658">
        <w:rPr>
          <w:lang w:val="fr-CA"/>
        </w:rPr>
        <w:t xml:space="preserve"> </w:t>
      </w:r>
      <w:r w:rsidR="00563332" w:rsidRPr="00B35658">
        <w:rPr>
          <w:i/>
          <w:lang w:val="fr-CA"/>
        </w:rPr>
        <w:t>Charte canadienne des droits et libertés</w:t>
      </w:r>
      <w:r w:rsidR="00563332" w:rsidRPr="00B35658">
        <w:rPr>
          <w:lang w:val="fr-CA"/>
        </w:rPr>
        <w:t>,</w:t>
      </w:r>
      <w:r w:rsidRPr="00B35658">
        <w:rPr>
          <w:i/>
          <w:lang w:val="fr-CA"/>
        </w:rPr>
        <w:t xml:space="preserve"> </w:t>
      </w:r>
      <w:r w:rsidR="00563332" w:rsidRPr="00B35658">
        <w:rPr>
          <w:lang w:val="fr-CA"/>
        </w:rPr>
        <w:t>4</w:t>
      </w:r>
      <w:r w:rsidR="00563332" w:rsidRPr="00B35658">
        <w:rPr>
          <w:vertAlign w:val="superscript"/>
          <w:lang w:val="fr-CA"/>
        </w:rPr>
        <w:t>e</w:t>
      </w:r>
      <w:r w:rsidR="004552EE">
        <w:rPr>
          <w:lang w:val="fr-CA"/>
        </w:rPr>
        <w:t> </w:t>
      </w:r>
      <w:r w:rsidR="00563332" w:rsidRPr="00B35658">
        <w:rPr>
          <w:lang w:val="fr-CA"/>
        </w:rPr>
        <w:t>é</w:t>
      </w:r>
      <w:r w:rsidRPr="00B35658">
        <w:rPr>
          <w:lang w:val="fr-CA"/>
        </w:rPr>
        <w:t>d.</w:t>
      </w:r>
      <w:r w:rsidR="00BE06FC" w:rsidRPr="00B35658">
        <w:rPr>
          <w:lang w:val="fr-CA"/>
        </w:rPr>
        <w:t>,</w:t>
      </w:r>
      <w:r w:rsidRPr="00B35658">
        <w:rPr>
          <w:lang w:val="fr-CA"/>
        </w:rPr>
        <w:t xml:space="preserve"> Mar</w:t>
      </w:r>
      <w:r w:rsidR="003839A5">
        <w:rPr>
          <w:lang w:val="fr-CA"/>
        </w:rPr>
        <w:t>k</w:t>
      </w:r>
      <w:r w:rsidRPr="00B35658">
        <w:rPr>
          <w:lang w:val="fr-CA"/>
        </w:rPr>
        <w:t xml:space="preserve">ham, </w:t>
      </w:r>
      <w:r w:rsidR="00563332" w:rsidRPr="00B35658">
        <w:rPr>
          <w:lang w:val="fr-CA"/>
        </w:rPr>
        <w:t>(</w:t>
      </w:r>
      <w:r w:rsidRPr="00B35658">
        <w:rPr>
          <w:lang w:val="fr-CA"/>
        </w:rPr>
        <w:t>Ont.</w:t>
      </w:r>
      <w:r w:rsidR="00563332" w:rsidRPr="00B35658">
        <w:rPr>
          <w:lang w:val="fr-CA"/>
        </w:rPr>
        <w:t>),</w:t>
      </w:r>
      <w:r w:rsidR="002231F2" w:rsidRPr="00B35658">
        <w:rPr>
          <w:lang w:val="fr-CA"/>
        </w:rPr>
        <w:t xml:space="preserve"> </w:t>
      </w:r>
      <w:proofErr w:type="spellStart"/>
      <w:r w:rsidR="002231F2" w:rsidRPr="00B35658">
        <w:rPr>
          <w:lang w:val="fr-CA"/>
        </w:rPr>
        <w:t>LexisNexis</w:t>
      </w:r>
      <w:proofErr w:type="spellEnd"/>
      <w:r w:rsidR="002231F2" w:rsidRPr="00B35658">
        <w:rPr>
          <w:lang w:val="fr-CA"/>
        </w:rPr>
        <w:t xml:space="preserve"> </w:t>
      </w:r>
      <w:proofErr w:type="spellStart"/>
      <w:r w:rsidR="002231F2" w:rsidRPr="00B35658">
        <w:rPr>
          <w:lang w:val="fr-CA"/>
        </w:rPr>
        <w:t>Butterworths</w:t>
      </w:r>
      <w:proofErr w:type="spellEnd"/>
      <w:r w:rsidR="002231F2" w:rsidRPr="00B35658">
        <w:rPr>
          <w:lang w:val="fr-CA"/>
        </w:rPr>
        <w:t>, 2005.</w:t>
      </w:r>
    </w:p>
    <w:p w:rsidR="00280882" w:rsidRPr="001E258E" w:rsidRDefault="00280882" w:rsidP="002231F2">
      <w:pPr>
        <w:pStyle w:val="SCCNormalDoubleSpacing"/>
        <w:spacing w:after="240" w:line="240" w:lineRule="auto"/>
        <w:ind w:left="533" w:hanging="533"/>
        <w:rPr>
          <w:lang w:val="en-US"/>
        </w:rPr>
      </w:pPr>
      <w:r w:rsidRPr="001E258E">
        <w:rPr>
          <w:i/>
          <w:lang w:val="en-US"/>
        </w:rPr>
        <w:t>Collins Canadian Dictionary</w:t>
      </w:r>
      <w:r w:rsidR="004552EE" w:rsidRPr="001E258E">
        <w:rPr>
          <w:lang w:val="en-US"/>
        </w:rPr>
        <w:t xml:space="preserve">, </w:t>
      </w:r>
      <w:r w:rsidRPr="001E258E">
        <w:rPr>
          <w:lang w:val="en-US"/>
        </w:rPr>
        <w:t>Toronto, HarperCollins, 2010, «</w:t>
      </w:r>
      <w:r w:rsidR="00B20B99" w:rsidRPr="001E258E">
        <w:rPr>
          <w:lang w:val="en-US"/>
        </w:rPr>
        <w:t> </w:t>
      </w:r>
      <w:r w:rsidRPr="001E258E">
        <w:rPr>
          <w:i/>
          <w:lang w:val="en-US"/>
        </w:rPr>
        <w:t>lesser</w:t>
      </w:r>
      <w:r w:rsidR="00B20B99" w:rsidRPr="001E258E">
        <w:rPr>
          <w:lang w:val="en-US"/>
        </w:rPr>
        <w:t> </w:t>
      </w:r>
      <w:r w:rsidRPr="001E258E">
        <w:rPr>
          <w:lang w:val="en-US"/>
        </w:rPr>
        <w:t>».</w:t>
      </w:r>
    </w:p>
    <w:p w:rsidR="008720E1" w:rsidRPr="001E258E" w:rsidRDefault="008720E1" w:rsidP="00295AF0">
      <w:pPr>
        <w:pStyle w:val="SCCNormalDoubleSpacing"/>
        <w:spacing w:after="240" w:line="240" w:lineRule="auto"/>
        <w:ind w:left="539" w:hanging="539"/>
        <w:rPr>
          <w:lang w:val="en-US"/>
        </w:rPr>
      </w:pPr>
      <w:r w:rsidRPr="001E258E">
        <w:rPr>
          <w:lang w:val="en-US"/>
        </w:rPr>
        <w:t xml:space="preserve">Hogg, Peter W. </w:t>
      </w:r>
      <w:r w:rsidRPr="001E258E">
        <w:rPr>
          <w:i/>
          <w:iCs/>
          <w:lang w:val="en-US"/>
        </w:rPr>
        <w:t>Constitutional Law of Canada</w:t>
      </w:r>
      <w:r w:rsidRPr="001E258E">
        <w:rPr>
          <w:lang w:val="en-US"/>
        </w:rPr>
        <w:t xml:space="preserve">, </w:t>
      </w:r>
      <w:r w:rsidR="002231F2" w:rsidRPr="001E258E">
        <w:rPr>
          <w:lang w:val="en-US"/>
        </w:rPr>
        <w:t>vol. </w:t>
      </w:r>
      <w:r w:rsidR="00BE06FC" w:rsidRPr="001E258E">
        <w:rPr>
          <w:lang w:val="en-US"/>
        </w:rPr>
        <w:t xml:space="preserve">2, </w:t>
      </w:r>
      <w:r w:rsidRPr="001E258E">
        <w:rPr>
          <w:lang w:val="en-US"/>
        </w:rPr>
        <w:t>5th</w:t>
      </w:r>
      <w:r w:rsidR="004552EE" w:rsidRPr="001E258E">
        <w:rPr>
          <w:lang w:val="en-US"/>
        </w:rPr>
        <w:t> </w:t>
      </w:r>
      <w:r w:rsidRPr="001E258E">
        <w:rPr>
          <w:lang w:val="en-US"/>
        </w:rPr>
        <w:t>ed. Su</w:t>
      </w:r>
      <w:r w:rsidR="00295AF0" w:rsidRPr="001E258E">
        <w:rPr>
          <w:lang w:val="en-US"/>
        </w:rPr>
        <w:t>pp.</w:t>
      </w:r>
      <w:r w:rsidR="00BE06FC" w:rsidRPr="001E258E">
        <w:rPr>
          <w:lang w:val="en-US"/>
        </w:rPr>
        <w:t>,</w:t>
      </w:r>
      <w:r w:rsidR="00295AF0" w:rsidRPr="001E258E">
        <w:rPr>
          <w:lang w:val="en-US"/>
        </w:rPr>
        <w:t> </w:t>
      </w:r>
      <w:r w:rsidR="00BE06FC" w:rsidRPr="001E258E">
        <w:rPr>
          <w:lang w:val="en-US"/>
        </w:rPr>
        <w:t xml:space="preserve">Scarborough </w:t>
      </w:r>
      <w:r w:rsidR="00167A4F" w:rsidRPr="001E258E">
        <w:rPr>
          <w:lang w:val="en-US"/>
        </w:rPr>
        <w:t>(</w:t>
      </w:r>
      <w:r w:rsidR="00BE06FC" w:rsidRPr="001E258E">
        <w:rPr>
          <w:lang w:val="en-US"/>
        </w:rPr>
        <w:t>Ont.</w:t>
      </w:r>
      <w:r w:rsidR="00167A4F" w:rsidRPr="001E258E">
        <w:rPr>
          <w:lang w:val="en-US"/>
        </w:rPr>
        <w:t>)</w:t>
      </w:r>
      <w:r w:rsidR="00BE06FC" w:rsidRPr="001E258E">
        <w:rPr>
          <w:lang w:val="en-US"/>
        </w:rPr>
        <w:t>,</w:t>
      </w:r>
      <w:r w:rsidRPr="001E258E">
        <w:rPr>
          <w:lang w:val="en-US"/>
        </w:rPr>
        <w:t xml:space="preserve"> Thomson/Carswell, 2007 (updated </w:t>
      </w:r>
      <w:r w:rsidR="006C439C" w:rsidRPr="001E258E">
        <w:rPr>
          <w:lang w:val="en-US"/>
        </w:rPr>
        <w:t>2018</w:t>
      </w:r>
      <w:r w:rsidRPr="001E258E">
        <w:rPr>
          <w:lang w:val="en-US"/>
        </w:rPr>
        <w:t xml:space="preserve">, release </w:t>
      </w:r>
      <w:r w:rsidR="006C439C" w:rsidRPr="001E258E">
        <w:rPr>
          <w:lang w:val="en-US"/>
        </w:rPr>
        <w:t>1</w:t>
      </w:r>
      <w:r w:rsidRPr="001E258E">
        <w:rPr>
          <w:lang w:val="en-US"/>
        </w:rPr>
        <w:t>).</w:t>
      </w:r>
    </w:p>
    <w:p w:rsidR="008720E1" w:rsidRPr="001E258E" w:rsidRDefault="00B20B99" w:rsidP="00295AF0">
      <w:pPr>
        <w:pStyle w:val="SCCNormalDoubleSpacing"/>
        <w:spacing w:after="240" w:line="240" w:lineRule="auto"/>
        <w:ind w:left="539" w:hanging="539"/>
        <w:rPr>
          <w:lang w:val="en-US"/>
        </w:rPr>
      </w:pPr>
      <w:r w:rsidRPr="001E258E">
        <w:rPr>
          <w:lang w:val="en-US"/>
        </w:rPr>
        <w:t>McLeod, Roderick </w:t>
      </w:r>
      <w:r w:rsidR="000501E5" w:rsidRPr="001E258E">
        <w:rPr>
          <w:lang w:val="en-US"/>
        </w:rPr>
        <w:t xml:space="preserve">M., </w:t>
      </w:r>
      <w:r w:rsidR="00BE06FC" w:rsidRPr="001E258E">
        <w:rPr>
          <w:lang w:val="en-US"/>
        </w:rPr>
        <w:t>et al.</w:t>
      </w:r>
      <w:r w:rsidR="008720E1" w:rsidRPr="001E258E">
        <w:rPr>
          <w:lang w:val="en-US"/>
        </w:rPr>
        <w:t xml:space="preserve"> </w:t>
      </w:r>
      <w:r w:rsidR="008720E1" w:rsidRPr="001E258E">
        <w:rPr>
          <w:i/>
          <w:lang w:val="en-US"/>
        </w:rPr>
        <w:t xml:space="preserve">The Canadian Charter of </w:t>
      </w:r>
      <w:proofErr w:type="gramStart"/>
      <w:r w:rsidR="008720E1" w:rsidRPr="001E258E">
        <w:rPr>
          <w:i/>
          <w:lang w:val="en-US"/>
        </w:rPr>
        <w:t>Rights</w:t>
      </w:r>
      <w:r w:rsidR="003D0741" w:rsidRPr="001E258E">
        <w:rPr>
          <w:i/>
          <w:lang w:val="en-US"/>
        </w:rPr>
        <w:t> :</w:t>
      </w:r>
      <w:proofErr w:type="gramEnd"/>
      <w:r w:rsidR="003D0741" w:rsidRPr="001E258E">
        <w:rPr>
          <w:i/>
          <w:lang w:val="en-US"/>
        </w:rPr>
        <w:t xml:space="preserve"> </w:t>
      </w:r>
      <w:r w:rsidR="008720E1" w:rsidRPr="001E258E">
        <w:rPr>
          <w:i/>
          <w:lang w:val="en-US"/>
        </w:rPr>
        <w:t xml:space="preserve">The Prosecution and </w:t>
      </w:r>
      <w:proofErr w:type="spellStart"/>
      <w:r w:rsidR="008720E1" w:rsidRPr="001E258E">
        <w:rPr>
          <w:i/>
          <w:lang w:val="en-US"/>
        </w:rPr>
        <w:t>Defence</w:t>
      </w:r>
      <w:proofErr w:type="spellEnd"/>
      <w:r w:rsidR="008720E1" w:rsidRPr="001E258E">
        <w:rPr>
          <w:i/>
          <w:lang w:val="en-US"/>
        </w:rPr>
        <w:t xml:space="preserve"> of Criminal and Other Statutory Offences</w:t>
      </w:r>
      <w:r w:rsidR="00563332" w:rsidRPr="001E258E">
        <w:rPr>
          <w:lang w:val="en-US"/>
        </w:rPr>
        <w:t xml:space="preserve">, </w:t>
      </w:r>
      <w:r w:rsidR="00295AF0" w:rsidRPr="001E258E">
        <w:rPr>
          <w:lang w:val="en-US"/>
        </w:rPr>
        <w:t>vol. </w:t>
      </w:r>
      <w:r w:rsidR="00563332" w:rsidRPr="001E258E">
        <w:rPr>
          <w:lang w:val="en-US"/>
        </w:rPr>
        <w:t>4, Toronto,</w:t>
      </w:r>
      <w:r w:rsidR="008720E1" w:rsidRPr="001E258E">
        <w:rPr>
          <w:lang w:val="en-US"/>
        </w:rPr>
        <w:t xml:space="preserve"> Carswell, 1983</w:t>
      </w:r>
      <w:r w:rsidR="008720E1" w:rsidRPr="001E258E">
        <w:rPr>
          <w:i/>
          <w:lang w:val="en-US"/>
        </w:rPr>
        <w:t xml:space="preserve"> </w:t>
      </w:r>
      <w:r w:rsidR="008720E1" w:rsidRPr="001E258E">
        <w:rPr>
          <w:lang w:val="en-US"/>
        </w:rPr>
        <w:t>(</w:t>
      </w:r>
      <w:r w:rsidR="002231F2" w:rsidRPr="001E258E">
        <w:rPr>
          <w:lang w:val="en-US"/>
        </w:rPr>
        <w:t>loose</w:t>
      </w:r>
      <w:r w:rsidR="002231F2" w:rsidRPr="001E258E">
        <w:rPr>
          <w:lang w:val="en-US"/>
        </w:rPr>
        <w:noBreakHyphen/>
      </w:r>
      <w:r w:rsidR="00BE06FC" w:rsidRPr="001E258E">
        <w:rPr>
          <w:lang w:val="en-US"/>
        </w:rPr>
        <w:t xml:space="preserve">leaf </w:t>
      </w:r>
      <w:r w:rsidR="008720E1" w:rsidRPr="001E258E">
        <w:rPr>
          <w:lang w:val="en-US"/>
        </w:rPr>
        <w:t>updated 2019, release 5).</w:t>
      </w:r>
    </w:p>
    <w:p w:rsidR="00BE06FC" w:rsidRPr="00B35658" w:rsidRDefault="00280882" w:rsidP="00BE06FC">
      <w:pPr>
        <w:pStyle w:val="SCCNormalDoubleSpacing"/>
        <w:spacing w:after="240" w:line="240" w:lineRule="auto"/>
        <w:ind w:left="547" w:hanging="547"/>
        <w:rPr>
          <w:lang w:val="fr-CA"/>
        </w:rPr>
      </w:pPr>
      <w:r w:rsidRPr="00B35658">
        <w:rPr>
          <w:i/>
          <w:iCs/>
          <w:lang w:val="fr-CA"/>
        </w:rPr>
        <w:t>Petit Robert</w:t>
      </w:r>
      <w:r w:rsidR="003D0741">
        <w:rPr>
          <w:i/>
          <w:iCs/>
          <w:lang w:val="fr-CA"/>
        </w:rPr>
        <w:t> </w:t>
      </w:r>
      <w:r w:rsidRPr="00B35658">
        <w:rPr>
          <w:i/>
          <w:iCs/>
          <w:lang w:val="fr-CA"/>
        </w:rPr>
        <w:t>: dictionnaire alphabétique et analogique de la langue française</w:t>
      </w:r>
      <w:r w:rsidRPr="00B35658">
        <w:rPr>
          <w:lang w:val="fr-CA"/>
        </w:rPr>
        <w:t xml:space="preserve">, nouvelle éd., Paris, </w:t>
      </w:r>
      <w:r w:rsidRPr="00B35658">
        <w:rPr>
          <w:rStyle w:val="solexhl"/>
          <w:lang w:val="fr-CA"/>
        </w:rPr>
        <w:t>Le</w:t>
      </w:r>
      <w:r w:rsidRPr="00B35658">
        <w:rPr>
          <w:lang w:val="fr-CA"/>
        </w:rPr>
        <w:t xml:space="preserve"> </w:t>
      </w:r>
      <w:r w:rsidRPr="00B35658">
        <w:rPr>
          <w:rStyle w:val="solexhl"/>
          <w:lang w:val="fr-CA"/>
        </w:rPr>
        <w:t>Robert</w:t>
      </w:r>
      <w:r w:rsidRPr="00B35658">
        <w:rPr>
          <w:lang w:val="fr-CA"/>
        </w:rPr>
        <w:t xml:space="preserve">, </w:t>
      </w:r>
      <w:r w:rsidRPr="00B35658">
        <w:rPr>
          <w:rStyle w:val="solexhl"/>
          <w:lang w:val="fr-CA"/>
        </w:rPr>
        <w:t>2012</w:t>
      </w:r>
      <w:r w:rsidR="002231F2" w:rsidRPr="00B35658">
        <w:rPr>
          <w:lang w:val="fr-CA"/>
        </w:rPr>
        <w:t>, « le moins </w:t>
      </w:r>
      <w:r w:rsidR="00BE06FC" w:rsidRPr="00B35658">
        <w:rPr>
          <w:lang w:val="fr-CA"/>
        </w:rPr>
        <w:t>».</w:t>
      </w:r>
    </w:p>
    <w:p w:rsidR="005F2560" w:rsidRPr="00B35658" w:rsidRDefault="005F2560" w:rsidP="005F2560">
      <w:pPr>
        <w:pStyle w:val="SCCNormalDoubleSpacing"/>
        <w:spacing w:after="240" w:line="240" w:lineRule="auto"/>
        <w:ind w:left="533" w:hanging="533"/>
        <w:rPr>
          <w:lang w:val="fr-CA"/>
        </w:rPr>
      </w:pPr>
      <w:proofErr w:type="spellStart"/>
      <w:r w:rsidRPr="00B35658">
        <w:rPr>
          <w:rStyle w:val="solexhl"/>
          <w:lang w:val="fr-CA"/>
        </w:rPr>
        <w:t>Vauclair</w:t>
      </w:r>
      <w:proofErr w:type="spellEnd"/>
      <w:r w:rsidRPr="00B35658">
        <w:rPr>
          <w:rStyle w:val="solexhl"/>
          <w:lang w:val="fr-CA"/>
        </w:rPr>
        <w:t>, Martin et Tristan Desjardins</w:t>
      </w:r>
      <w:r w:rsidRPr="00B35658">
        <w:rPr>
          <w:lang w:val="fr-CA"/>
        </w:rPr>
        <w:t xml:space="preserve">. </w:t>
      </w:r>
      <w:r w:rsidRPr="00B35658">
        <w:rPr>
          <w:i/>
          <w:iCs/>
          <w:lang w:val="fr-CA"/>
        </w:rPr>
        <w:t xml:space="preserve">Traité général de preuve et de </w:t>
      </w:r>
      <w:proofErr w:type="gramStart"/>
      <w:r w:rsidRPr="00B35658">
        <w:rPr>
          <w:i/>
          <w:iCs/>
          <w:lang w:val="fr-CA"/>
        </w:rPr>
        <w:t>procédure pénales</w:t>
      </w:r>
      <w:proofErr w:type="gramEnd"/>
      <w:r w:rsidRPr="00B35658">
        <w:rPr>
          <w:lang w:val="fr-CA"/>
        </w:rPr>
        <w:t>, 26</w:t>
      </w:r>
      <w:r w:rsidRPr="00B35658">
        <w:rPr>
          <w:vertAlign w:val="superscript"/>
          <w:lang w:val="fr-CA"/>
        </w:rPr>
        <w:t>e</w:t>
      </w:r>
      <w:r w:rsidR="004F4E7F">
        <w:rPr>
          <w:lang w:val="fr-CA"/>
        </w:rPr>
        <w:t> </w:t>
      </w:r>
      <w:r w:rsidRPr="00B35658">
        <w:rPr>
          <w:lang w:val="fr-CA"/>
        </w:rPr>
        <w:t>éd., Montréal, Yvon Blais, 2019.</w:t>
      </w:r>
    </w:p>
    <w:p w:rsidR="00BE06FC" w:rsidRPr="001E258E" w:rsidRDefault="00BE06FC" w:rsidP="00BE06FC">
      <w:pPr>
        <w:pStyle w:val="SCCNormalDoubleSpacing"/>
        <w:spacing w:after="720" w:line="240" w:lineRule="auto"/>
        <w:ind w:left="547" w:hanging="547"/>
        <w:rPr>
          <w:lang w:val="en-US"/>
        </w:rPr>
      </w:pPr>
      <w:proofErr w:type="spellStart"/>
      <w:r w:rsidRPr="001E258E">
        <w:rPr>
          <w:lang w:val="en-US"/>
        </w:rPr>
        <w:t>Westen</w:t>
      </w:r>
      <w:proofErr w:type="spellEnd"/>
      <w:r w:rsidRPr="001E258E">
        <w:rPr>
          <w:lang w:val="en-US"/>
        </w:rPr>
        <w:t>,</w:t>
      </w:r>
      <w:r w:rsidRPr="001E258E">
        <w:rPr>
          <w:i/>
          <w:lang w:val="en-US"/>
        </w:rPr>
        <w:t xml:space="preserve"> </w:t>
      </w:r>
      <w:r w:rsidRPr="001E258E">
        <w:rPr>
          <w:lang w:val="en-US"/>
        </w:rPr>
        <w:t xml:space="preserve">Peter. </w:t>
      </w:r>
      <w:r w:rsidR="002231F2" w:rsidRPr="001E258E">
        <w:rPr>
          <w:lang w:val="en-US"/>
        </w:rPr>
        <w:t>« </w:t>
      </w:r>
      <w:r w:rsidRPr="001E258E">
        <w:rPr>
          <w:i/>
          <w:lang w:val="en-US"/>
        </w:rPr>
        <w:t xml:space="preserve">Lex </w:t>
      </w:r>
      <w:proofErr w:type="spellStart"/>
      <w:proofErr w:type="gramStart"/>
      <w:r w:rsidRPr="001E258E">
        <w:rPr>
          <w:i/>
          <w:lang w:val="en-US"/>
        </w:rPr>
        <w:t>Mitior</w:t>
      </w:r>
      <w:proofErr w:type="spellEnd"/>
      <w:r w:rsidR="00CE4C25" w:rsidRPr="001E258E">
        <w:rPr>
          <w:i/>
          <w:lang w:val="en-US"/>
        </w:rPr>
        <w:t> </w:t>
      </w:r>
      <w:r w:rsidRPr="001E258E">
        <w:rPr>
          <w:lang w:val="en-US"/>
        </w:rPr>
        <w:t>:</w:t>
      </w:r>
      <w:proofErr w:type="gramEnd"/>
      <w:r w:rsidRPr="001E258E">
        <w:rPr>
          <w:lang w:val="en-US"/>
        </w:rPr>
        <w:t xml:space="preserve"> Converse of </w:t>
      </w:r>
      <w:r w:rsidRPr="001E258E">
        <w:rPr>
          <w:i/>
          <w:lang w:val="en-US"/>
        </w:rPr>
        <w:t xml:space="preserve">Ex Post Facto </w:t>
      </w:r>
      <w:r w:rsidR="002231F2" w:rsidRPr="001E258E">
        <w:rPr>
          <w:lang w:val="en-US"/>
        </w:rPr>
        <w:t>and Window into Criminal Desert </w:t>
      </w:r>
      <w:r w:rsidRPr="001E258E">
        <w:rPr>
          <w:lang w:val="en-US"/>
        </w:rPr>
        <w:t xml:space="preserve">» (2015), 18 </w:t>
      </w:r>
      <w:r w:rsidRPr="001E258E">
        <w:rPr>
          <w:i/>
          <w:lang w:val="en-US"/>
        </w:rPr>
        <w:t>New Crim. L. Rev.</w:t>
      </w:r>
      <w:r w:rsidRPr="001E258E">
        <w:rPr>
          <w:lang w:val="en-US"/>
        </w:rPr>
        <w:t xml:space="preserve"> 167.</w:t>
      </w:r>
    </w:p>
    <w:p w:rsidR="00583ED2" w:rsidRPr="00B35658" w:rsidRDefault="009B2B4F" w:rsidP="00295AF0">
      <w:pPr>
        <w:pStyle w:val="SCCNormalDoubleSpacing"/>
        <w:spacing w:after="480"/>
        <w:rPr>
          <w:lang w:val="fr-CA"/>
        </w:rPr>
      </w:pPr>
      <w:r w:rsidRPr="001E258E">
        <w:rPr>
          <w:lang w:val="en-US"/>
        </w:rPr>
        <w:lastRenderedPageBreak/>
        <w:tab/>
      </w:r>
      <w:r w:rsidR="00F505FB" w:rsidRPr="00B35658">
        <w:rPr>
          <w:lang w:val="fr-CA"/>
        </w:rPr>
        <w:t xml:space="preserve">REQUÊTE en poursuite de l’instance malgré le décès de l’intimé. Requête accueillie, les juges Abella, </w:t>
      </w:r>
      <w:proofErr w:type="spellStart"/>
      <w:r w:rsidR="00F505FB" w:rsidRPr="00B35658">
        <w:rPr>
          <w:lang w:val="fr-CA"/>
        </w:rPr>
        <w:t>Karakatsanis</w:t>
      </w:r>
      <w:proofErr w:type="spellEnd"/>
      <w:r w:rsidR="00F505FB" w:rsidRPr="00B35658">
        <w:rPr>
          <w:lang w:val="fr-CA"/>
        </w:rPr>
        <w:t xml:space="preserve"> et Brown sont dissidents.</w:t>
      </w:r>
    </w:p>
    <w:p w:rsidR="004D7D95" w:rsidRPr="00B35658" w:rsidRDefault="00583ED2" w:rsidP="00295AF0">
      <w:pPr>
        <w:pStyle w:val="SCCNormalDoubleSpacing"/>
        <w:spacing w:after="480"/>
        <w:rPr>
          <w:lang w:val="fr-CA"/>
        </w:rPr>
      </w:pPr>
      <w:r w:rsidRPr="00B35658">
        <w:rPr>
          <w:lang w:val="fr-CA"/>
        </w:rPr>
        <w:tab/>
      </w:r>
      <w:r w:rsidR="004D7D95" w:rsidRPr="00B35658">
        <w:rPr>
          <w:lang w:val="fr-CA"/>
        </w:rPr>
        <w:t>POURVOI contre un arrêt de la Cour d</w:t>
      </w:r>
      <w:r w:rsidR="00926DDA" w:rsidRPr="00B35658">
        <w:rPr>
          <w:lang w:val="fr-CA"/>
        </w:rPr>
        <w:t>’</w:t>
      </w:r>
      <w:r w:rsidR="004D7D95" w:rsidRPr="00B35658">
        <w:rPr>
          <w:lang w:val="fr-CA"/>
        </w:rPr>
        <w:t>appel du Québec (</w:t>
      </w:r>
      <w:r w:rsidR="009B2B4F" w:rsidRPr="00B35658">
        <w:rPr>
          <w:lang w:val="fr-CA"/>
        </w:rPr>
        <w:t xml:space="preserve">les juges </w:t>
      </w:r>
      <w:proofErr w:type="spellStart"/>
      <w:r w:rsidR="009B2B4F" w:rsidRPr="00B35658">
        <w:rPr>
          <w:lang w:val="fr-CA"/>
        </w:rPr>
        <w:t>Dutil</w:t>
      </w:r>
      <w:proofErr w:type="spellEnd"/>
      <w:r w:rsidR="009B2B4F" w:rsidRPr="00B35658">
        <w:rPr>
          <w:lang w:val="fr-CA"/>
        </w:rPr>
        <w:t>, St</w:t>
      </w:r>
      <w:r w:rsidR="00295AF0" w:rsidRPr="00B35658">
        <w:rPr>
          <w:lang w:val="fr-CA"/>
        </w:rPr>
        <w:noBreakHyphen/>
      </w:r>
      <w:r w:rsidR="009B2B4F" w:rsidRPr="00B35658">
        <w:rPr>
          <w:lang w:val="fr-CA"/>
        </w:rPr>
        <w:t>Pierre et Mainville), 2018 QCCA 21, 43 C.R. (7th) 216,</w:t>
      </w:r>
      <w:r w:rsidR="007850F3" w:rsidRPr="00B35658">
        <w:rPr>
          <w:lang w:val="fr-CA"/>
        </w:rPr>
        <w:t xml:space="preserve"> </w:t>
      </w:r>
      <w:r w:rsidR="0082627C" w:rsidRPr="00B35658">
        <w:rPr>
          <w:lang w:val="fr-CA"/>
        </w:rPr>
        <w:t xml:space="preserve">[2018] </w:t>
      </w:r>
      <w:r w:rsidR="007850F3" w:rsidRPr="00B35658">
        <w:rPr>
          <w:lang w:val="fr-CA"/>
        </w:rPr>
        <w:t>AZ</w:t>
      </w:r>
      <w:r w:rsidR="00295AF0" w:rsidRPr="00B35658">
        <w:rPr>
          <w:lang w:val="fr-CA"/>
        </w:rPr>
        <w:noBreakHyphen/>
      </w:r>
      <w:r w:rsidR="007850F3" w:rsidRPr="00B35658">
        <w:rPr>
          <w:lang w:val="fr-CA"/>
        </w:rPr>
        <w:t>51456758,</w:t>
      </w:r>
      <w:r w:rsidR="009B2B4F" w:rsidRPr="00B35658">
        <w:rPr>
          <w:lang w:val="fr-CA"/>
        </w:rPr>
        <w:t xml:space="preserve"> [2018] J.Q. n</w:t>
      </w:r>
      <w:r w:rsidR="009B2B4F" w:rsidRPr="00B35658">
        <w:rPr>
          <w:vertAlign w:val="superscript"/>
          <w:lang w:val="fr-CA"/>
        </w:rPr>
        <w:t>o</w:t>
      </w:r>
      <w:r w:rsidR="00B20B99" w:rsidRPr="00B35658">
        <w:rPr>
          <w:lang w:val="fr-CA"/>
        </w:rPr>
        <w:t> </w:t>
      </w:r>
      <w:r w:rsidR="009B2B4F" w:rsidRPr="00B35658">
        <w:rPr>
          <w:lang w:val="fr-CA"/>
        </w:rPr>
        <w:t xml:space="preserve">73 (QL), 2018 </w:t>
      </w:r>
      <w:proofErr w:type="spellStart"/>
      <w:r w:rsidR="009B2B4F" w:rsidRPr="00B35658">
        <w:rPr>
          <w:lang w:val="fr-CA"/>
        </w:rPr>
        <w:t>CarswellQue</w:t>
      </w:r>
      <w:proofErr w:type="spellEnd"/>
      <w:r w:rsidR="009B2B4F" w:rsidRPr="00B35658">
        <w:rPr>
          <w:lang w:val="fr-CA"/>
        </w:rPr>
        <w:t xml:space="preserve"> 55 (WL Can.)</w:t>
      </w:r>
      <w:r w:rsidR="007850F3" w:rsidRPr="00B35658">
        <w:rPr>
          <w:lang w:val="fr-CA"/>
        </w:rPr>
        <w:t xml:space="preserve">, qui a </w:t>
      </w:r>
      <w:r w:rsidR="004934E8" w:rsidRPr="00B35658">
        <w:rPr>
          <w:lang w:val="fr-CA"/>
        </w:rPr>
        <w:t xml:space="preserve">confirmé </w:t>
      </w:r>
      <w:r w:rsidR="001A665E" w:rsidRPr="00B35658">
        <w:rPr>
          <w:lang w:val="fr-CA"/>
        </w:rPr>
        <w:t xml:space="preserve">le jugement sur la peine rendu </w:t>
      </w:r>
      <w:r w:rsidR="004934E8" w:rsidRPr="00B35658">
        <w:rPr>
          <w:lang w:val="fr-CA"/>
        </w:rPr>
        <w:t>par le</w:t>
      </w:r>
      <w:r w:rsidR="008912BB" w:rsidRPr="00B35658">
        <w:rPr>
          <w:lang w:val="fr-CA"/>
        </w:rPr>
        <w:t xml:space="preserve"> juge </w:t>
      </w:r>
      <w:proofErr w:type="spellStart"/>
      <w:r w:rsidR="008912BB" w:rsidRPr="00B35658">
        <w:rPr>
          <w:lang w:val="fr-CA"/>
        </w:rPr>
        <w:t>Vanchestein</w:t>
      </w:r>
      <w:proofErr w:type="spellEnd"/>
      <w:r w:rsidR="008912BB" w:rsidRPr="00B35658">
        <w:rPr>
          <w:lang w:val="fr-CA"/>
        </w:rPr>
        <w:t xml:space="preserve">, </w:t>
      </w:r>
      <w:r w:rsidR="00036C20" w:rsidRPr="00B35658">
        <w:rPr>
          <w:lang w:val="fr-CA"/>
        </w:rPr>
        <w:t>2017 QCCQ</w:t>
      </w:r>
      <w:r w:rsidR="00DD6DA8" w:rsidRPr="00B35658">
        <w:rPr>
          <w:lang w:val="fr-CA"/>
        </w:rPr>
        <w:t xml:space="preserve"> 701</w:t>
      </w:r>
      <w:r w:rsidR="0082627C" w:rsidRPr="00B35658">
        <w:rPr>
          <w:lang w:val="fr-CA"/>
        </w:rPr>
        <w:t>5</w:t>
      </w:r>
      <w:r w:rsidR="00DD6DA8" w:rsidRPr="00B35658">
        <w:rPr>
          <w:lang w:val="fr-CA"/>
        </w:rPr>
        <w:t xml:space="preserve">, </w:t>
      </w:r>
      <w:r w:rsidR="0082627C" w:rsidRPr="00B35658">
        <w:rPr>
          <w:lang w:val="fr-CA"/>
        </w:rPr>
        <w:t xml:space="preserve">[2017] </w:t>
      </w:r>
      <w:r w:rsidR="00DD6DA8" w:rsidRPr="00B35658">
        <w:rPr>
          <w:lang w:val="fr-CA"/>
        </w:rPr>
        <w:t>AZ</w:t>
      </w:r>
      <w:r w:rsidR="00295AF0" w:rsidRPr="00B35658">
        <w:rPr>
          <w:lang w:val="fr-CA"/>
        </w:rPr>
        <w:noBreakHyphen/>
      </w:r>
      <w:r w:rsidR="00DD6DA8" w:rsidRPr="00B35658">
        <w:rPr>
          <w:lang w:val="fr-CA"/>
        </w:rPr>
        <w:t>51400728,</w:t>
      </w:r>
      <w:r w:rsidR="00036C20" w:rsidRPr="00B35658">
        <w:rPr>
          <w:lang w:val="fr-CA"/>
        </w:rPr>
        <w:t xml:space="preserve"> [2017] J.Q. n</w:t>
      </w:r>
      <w:r w:rsidR="00036C20" w:rsidRPr="00B35658">
        <w:rPr>
          <w:vertAlign w:val="superscript"/>
          <w:lang w:val="fr-CA"/>
        </w:rPr>
        <w:t>o</w:t>
      </w:r>
      <w:r w:rsidR="00B20B99" w:rsidRPr="00B35658">
        <w:rPr>
          <w:lang w:val="fr-CA"/>
        </w:rPr>
        <w:t> </w:t>
      </w:r>
      <w:r w:rsidR="00DD6DA8" w:rsidRPr="00B35658">
        <w:rPr>
          <w:lang w:val="fr-CA"/>
        </w:rPr>
        <w:t xml:space="preserve">8287 (QL), 2017 </w:t>
      </w:r>
      <w:proofErr w:type="spellStart"/>
      <w:r w:rsidR="00DD6DA8" w:rsidRPr="00B35658">
        <w:rPr>
          <w:lang w:val="fr-CA"/>
        </w:rPr>
        <w:t>CarswellQue</w:t>
      </w:r>
      <w:proofErr w:type="spellEnd"/>
      <w:r w:rsidR="00DD6DA8" w:rsidRPr="00B35658">
        <w:rPr>
          <w:lang w:val="fr-CA"/>
        </w:rPr>
        <w:t xml:space="preserve"> 6146 (WL Can</w:t>
      </w:r>
      <w:r w:rsidR="004934E8" w:rsidRPr="00B35658">
        <w:rPr>
          <w:lang w:val="fr-CA"/>
        </w:rPr>
        <w:t>.</w:t>
      </w:r>
      <w:r w:rsidR="00DD6DA8" w:rsidRPr="00B35658">
        <w:rPr>
          <w:lang w:val="fr-CA"/>
        </w:rPr>
        <w:t>).</w:t>
      </w:r>
      <w:r w:rsidR="004934E8" w:rsidRPr="00B35658">
        <w:rPr>
          <w:lang w:val="fr-CA"/>
        </w:rPr>
        <w:t xml:space="preserve"> Pourvoi </w:t>
      </w:r>
      <w:r w:rsidR="003426CE" w:rsidRPr="00B35658">
        <w:rPr>
          <w:lang w:val="fr-CA"/>
        </w:rPr>
        <w:t>accueilli</w:t>
      </w:r>
      <w:r w:rsidR="00FC019F" w:rsidRPr="00B35658">
        <w:rPr>
          <w:lang w:val="fr-CA"/>
        </w:rPr>
        <w:t xml:space="preserve">, les juges Abella, </w:t>
      </w:r>
      <w:proofErr w:type="spellStart"/>
      <w:r w:rsidR="00FC019F" w:rsidRPr="00B35658">
        <w:rPr>
          <w:lang w:val="fr-CA"/>
        </w:rPr>
        <w:t>Karakatsanis</w:t>
      </w:r>
      <w:proofErr w:type="spellEnd"/>
      <w:r w:rsidR="00FC019F" w:rsidRPr="00B35658">
        <w:rPr>
          <w:lang w:val="fr-CA"/>
        </w:rPr>
        <w:t xml:space="preserve"> et Brown sont dissidents</w:t>
      </w:r>
      <w:r w:rsidR="003426CE" w:rsidRPr="00B35658">
        <w:rPr>
          <w:lang w:val="fr-CA"/>
        </w:rPr>
        <w:t>.</w:t>
      </w:r>
    </w:p>
    <w:p w:rsidR="000F4163" w:rsidRPr="00B35658" w:rsidRDefault="004D6A1C" w:rsidP="00295AF0">
      <w:pPr>
        <w:pStyle w:val="SCCNormalDoubleSpacing"/>
        <w:spacing w:after="480"/>
        <w:rPr>
          <w:lang w:val="fr-CA"/>
        </w:rPr>
      </w:pPr>
      <w:r w:rsidRPr="00B35658">
        <w:rPr>
          <w:rStyle w:val="SCCCounselNameChar"/>
          <w:lang w:val="fr-CA"/>
        </w:rPr>
        <w:tab/>
        <w:t xml:space="preserve">Maxime </w:t>
      </w:r>
      <w:proofErr w:type="spellStart"/>
      <w:r w:rsidRPr="00B35658">
        <w:rPr>
          <w:rStyle w:val="SCCCounselNameChar"/>
          <w:lang w:val="fr-CA"/>
        </w:rPr>
        <w:t>Hébrard</w:t>
      </w:r>
      <w:proofErr w:type="spellEnd"/>
      <w:r w:rsidR="000005D0" w:rsidRPr="00B35658">
        <w:rPr>
          <w:rStyle w:val="SCCCounselNameChar"/>
          <w:lang w:val="fr-CA"/>
        </w:rPr>
        <w:t xml:space="preserve"> </w:t>
      </w:r>
      <w:r w:rsidR="000005D0" w:rsidRPr="00B35658">
        <w:rPr>
          <w:rStyle w:val="SCCCounselNameChar"/>
          <w:i w:val="0"/>
          <w:lang w:val="fr-CA"/>
        </w:rPr>
        <w:t>et</w:t>
      </w:r>
      <w:r w:rsidR="000005D0" w:rsidRPr="00B35658">
        <w:rPr>
          <w:rStyle w:val="SCCCounselNameChar"/>
          <w:lang w:val="fr-CA"/>
        </w:rPr>
        <w:t xml:space="preserve"> Sylvie Villeneuve</w:t>
      </w:r>
      <w:r w:rsidRPr="00B35658">
        <w:rPr>
          <w:rStyle w:val="SCCCounselPartyRoleChar"/>
          <w:lang w:val="fr-CA"/>
        </w:rPr>
        <w:t>, pour l</w:t>
      </w:r>
      <w:r w:rsidR="00926DDA" w:rsidRPr="00B35658">
        <w:rPr>
          <w:rStyle w:val="SCCCounselPartyRoleChar"/>
          <w:lang w:val="fr-CA"/>
        </w:rPr>
        <w:t>’</w:t>
      </w:r>
      <w:r w:rsidR="000005D0" w:rsidRPr="00B35658">
        <w:rPr>
          <w:rStyle w:val="SCCCounselPartyRoleChar"/>
          <w:lang w:val="fr-CA"/>
        </w:rPr>
        <w:t>appelante</w:t>
      </w:r>
      <w:r w:rsidRPr="00B35658">
        <w:rPr>
          <w:rStyle w:val="SCCCounselPartyRoleChar"/>
          <w:lang w:val="fr-CA"/>
        </w:rPr>
        <w:t>.</w:t>
      </w:r>
    </w:p>
    <w:p w:rsidR="000F4163" w:rsidRPr="00B35658" w:rsidRDefault="004D6A1C" w:rsidP="00295AF0">
      <w:pPr>
        <w:pStyle w:val="SCCNormalDoubleSpacing"/>
        <w:spacing w:after="480"/>
        <w:rPr>
          <w:lang w:val="fr-CA"/>
        </w:rPr>
      </w:pPr>
      <w:r w:rsidRPr="00B35658">
        <w:rPr>
          <w:rStyle w:val="SCCCounselNameChar"/>
          <w:lang w:val="fr-CA"/>
        </w:rPr>
        <w:tab/>
        <w:t xml:space="preserve">Nicolas </w:t>
      </w:r>
      <w:proofErr w:type="spellStart"/>
      <w:r w:rsidRPr="00B35658">
        <w:rPr>
          <w:rStyle w:val="SCCCounselNameChar"/>
          <w:lang w:val="fr-CA"/>
        </w:rPr>
        <w:t>Lemyre</w:t>
      </w:r>
      <w:proofErr w:type="spellEnd"/>
      <w:r w:rsidR="00295AF0" w:rsidRPr="00B35658">
        <w:rPr>
          <w:rStyle w:val="SCCCounselNameChar"/>
          <w:lang w:val="fr-CA"/>
        </w:rPr>
        <w:noBreakHyphen/>
      </w:r>
      <w:r w:rsidRPr="00B35658">
        <w:rPr>
          <w:rStyle w:val="SCCCounselNameChar"/>
          <w:lang w:val="fr-CA"/>
        </w:rPr>
        <w:t>Cossette</w:t>
      </w:r>
      <w:r w:rsidRPr="00B35658">
        <w:rPr>
          <w:rStyle w:val="SCCCounselSeparatorChar"/>
          <w:lang w:val="fr-CA"/>
        </w:rPr>
        <w:t xml:space="preserve"> et </w:t>
      </w:r>
      <w:r w:rsidRPr="00B35658">
        <w:rPr>
          <w:rStyle w:val="SCCCounselNameChar"/>
          <w:lang w:val="fr-CA"/>
        </w:rPr>
        <w:t xml:space="preserve">Lida Sara </w:t>
      </w:r>
      <w:proofErr w:type="spellStart"/>
      <w:r w:rsidRPr="00B35658">
        <w:rPr>
          <w:rStyle w:val="SCCCounselNameChar"/>
          <w:lang w:val="fr-CA"/>
        </w:rPr>
        <w:t>Nouraie</w:t>
      </w:r>
      <w:proofErr w:type="spellEnd"/>
      <w:r w:rsidRPr="00B35658">
        <w:rPr>
          <w:rStyle w:val="SCCCounselPartyRoleChar"/>
          <w:lang w:val="fr-CA"/>
        </w:rPr>
        <w:t>, pour l</w:t>
      </w:r>
      <w:r w:rsidR="00926DDA" w:rsidRPr="00B35658">
        <w:rPr>
          <w:rStyle w:val="SCCCounselPartyRoleChar"/>
          <w:lang w:val="fr-CA"/>
        </w:rPr>
        <w:t>’</w:t>
      </w:r>
      <w:r w:rsidR="000005D0" w:rsidRPr="00B35658">
        <w:rPr>
          <w:rStyle w:val="SCCCounselPartyRoleChar"/>
          <w:lang w:val="fr-CA"/>
        </w:rPr>
        <w:t>intimé</w:t>
      </w:r>
      <w:r w:rsidRPr="00B35658">
        <w:rPr>
          <w:rStyle w:val="SCCCounselPartyRoleChar"/>
          <w:lang w:val="fr-CA"/>
        </w:rPr>
        <w:t>.</w:t>
      </w:r>
    </w:p>
    <w:p w:rsidR="000F4163" w:rsidRPr="00B35658" w:rsidRDefault="004D6A1C" w:rsidP="00295AF0">
      <w:pPr>
        <w:pStyle w:val="SCCNormalDoubleSpacing"/>
        <w:spacing w:after="480"/>
        <w:rPr>
          <w:lang w:val="fr-CA"/>
        </w:rPr>
      </w:pPr>
      <w:r w:rsidRPr="00B35658">
        <w:rPr>
          <w:rStyle w:val="SCCCounselNameChar"/>
          <w:lang w:val="fr-CA"/>
        </w:rPr>
        <w:tab/>
        <w:t xml:space="preserve">Michael </w:t>
      </w:r>
      <w:proofErr w:type="spellStart"/>
      <w:r w:rsidRPr="00B35658">
        <w:rPr>
          <w:rStyle w:val="SCCCounselNameChar"/>
          <w:lang w:val="fr-CA"/>
        </w:rPr>
        <w:t>Perlin</w:t>
      </w:r>
      <w:proofErr w:type="spellEnd"/>
      <w:r w:rsidRPr="00B35658">
        <w:rPr>
          <w:rStyle w:val="SCCCounselSeparatorChar"/>
          <w:lang w:val="fr-CA"/>
        </w:rPr>
        <w:t xml:space="preserve"> et </w:t>
      </w:r>
      <w:r w:rsidRPr="00B35658">
        <w:rPr>
          <w:rStyle w:val="SCCCounselNameChar"/>
          <w:lang w:val="fr-CA"/>
        </w:rPr>
        <w:t>Kathleen Farrell</w:t>
      </w:r>
      <w:r w:rsidRPr="00B35658">
        <w:rPr>
          <w:rStyle w:val="SCCCounselPartyRoleChar"/>
          <w:lang w:val="fr-CA"/>
        </w:rPr>
        <w:t>, pour l</w:t>
      </w:r>
      <w:r w:rsidR="00926DDA" w:rsidRPr="00B35658">
        <w:rPr>
          <w:rStyle w:val="SCCCounselPartyRoleChar"/>
          <w:lang w:val="fr-CA"/>
        </w:rPr>
        <w:t>’</w:t>
      </w:r>
      <w:r w:rsidR="0034141C" w:rsidRPr="00B35658">
        <w:rPr>
          <w:rStyle w:val="SCCCounselPartyRoleChar"/>
          <w:lang w:val="fr-CA"/>
        </w:rPr>
        <w:t>intervenant</w:t>
      </w:r>
      <w:r w:rsidRPr="00B35658">
        <w:rPr>
          <w:rStyle w:val="SCCCounselPartyRoleChar"/>
          <w:lang w:val="fr-CA"/>
        </w:rPr>
        <w:t xml:space="preserve"> </w:t>
      </w:r>
      <w:r w:rsidR="00821ABF" w:rsidRPr="00B35658">
        <w:rPr>
          <w:rStyle w:val="SCCCounselPartyRoleChar"/>
          <w:lang w:val="fr-CA"/>
        </w:rPr>
        <w:t>le</w:t>
      </w:r>
      <w:r w:rsidR="000005D0" w:rsidRPr="00B35658">
        <w:rPr>
          <w:rStyle w:val="SCCCounselPartyRoleChar"/>
          <w:lang w:val="fr-CA"/>
        </w:rPr>
        <w:t xml:space="preserve"> </w:t>
      </w:r>
      <w:r w:rsidR="00F75E2E" w:rsidRPr="00B35658">
        <w:rPr>
          <w:rStyle w:val="SCCCounselPartyRoleChar"/>
          <w:lang w:val="fr-CA"/>
        </w:rPr>
        <w:t>p</w:t>
      </w:r>
      <w:r w:rsidR="008B29D9" w:rsidRPr="00B35658">
        <w:rPr>
          <w:rStyle w:val="SCCCounselPartyRoleChar"/>
          <w:lang w:val="fr-CA"/>
        </w:rPr>
        <w:t xml:space="preserve">rocureur </w:t>
      </w:r>
      <w:r w:rsidRPr="00B35658">
        <w:rPr>
          <w:rStyle w:val="SCCCounselPartyRoleChar"/>
          <w:lang w:val="fr-CA"/>
        </w:rPr>
        <w:t>général de l</w:t>
      </w:r>
      <w:r w:rsidR="00926DDA" w:rsidRPr="00B35658">
        <w:rPr>
          <w:rStyle w:val="SCCCounselPartyRoleChar"/>
          <w:lang w:val="fr-CA"/>
        </w:rPr>
        <w:t>’</w:t>
      </w:r>
      <w:r w:rsidRPr="00B35658">
        <w:rPr>
          <w:rStyle w:val="SCCCounselPartyRoleChar"/>
          <w:lang w:val="fr-CA"/>
        </w:rPr>
        <w:t>Ontario.</w:t>
      </w:r>
    </w:p>
    <w:p w:rsidR="000F4163" w:rsidRPr="00B35658" w:rsidRDefault="004D6A1C" w:rsidP="00295AF0">
      <w:pPr>
        <w:pStyle w:val="SCCNormalDoubleSpacing"/>
        <w:spacing w:after="480"/>
        <w:rPr>
          <w:lang w:val="fr-CA"/>
        </w:rPr>
      </w:pPr>
      <w:r w:rsidRPr="00B35658">
        <w:rPr>
          <w:rStyle w:val="SCCCounselNameChar"/>
          <w:lang w:val="fr-CA"/>
        </w:rPr>
        <w:tab/>
        <w:t xml:space="preserve">Gabriel </w:t>
      </w:r>
      <w:proofErr w:type="spellStart"/>
      <w:r w:rsidRPr="00B35658">
        <w:rPr>
          <w:rStyle w:val="SCCCounselNameChar"/>
          <w:lang w:val="fr-CA"/>
        </w:rPr>
        <w:t>Babineau</w:t>
      </w:r>
      <w:proofErr w:type="spellEnd"/>
      <w:r w:rsidRPr="00B35658">
        <w:rPr>
          <w:rStyle w:val="SCCCounselSeparatorChar"/>
          <w:lang w:val="fr-CA"/>
        </w:rPr>
        <w:t xml:space="preserve"> et </w:t>
      </w:r>
      <w:r w:rsidR="000005D0" w:rsidRPr="00B35658">
        <w:rPr>
          <w:rStyle w:val="SCCCounselNameChar"/>
          <w:lang w:val="fr-CA"/>
        </w:rPr>
        <w:t>Vincent</w:t>
      </w:r>
      <w:r w:rsidRPr="00B35658">
        <w:rPr>
          <w:rStyle w:val="SCCCounselNameChar"/>
          <w:lang w:val="fr-CA"/>
        </w:rPr>
        <w:t xml:space="preserve"> Paquet</w:t>
      </w:r>
      <w:r w:rsidRPr="00B35658">
        <w:rPr>
          <w:rStyle w:val="SCCCounselPartyRoleChar"/>
          <w:lang w:val="fr-CA"/>
        </w:rPr>
        <w:t>, pour l</w:t>
      </w:r>
      <w:r w:rsidR="00926DDA" w:rsidRPr="00B35658">
        <w:rPr>
          <w:rStyle w:val="SCCCounselPartyRoleChar"/>
          <w:lang w:val="fr-CA"/>
        </w:rPr>
        <w:t>’</w:t>
      </w:r>
      <w:r w:rsidR="000005D0" w:rsidRPr="00B35658">
        <w:rPr>
          <w:rStyle w:val="SCCCounselPartyRoleChar"/>
          <w:lang w:val="fr-CA"/>
        </w:rPr>
        <w:t>intervenante</w:t>
      </w:r>
      <w:r w:rsidRPr="00B35658">
        <w:rPr>
          <w:rStyle w:val="SCCCounselPartyRoleChar"/>
          <w:lang w:val="fr-CA"/>
        </w:rPr>
        <w:t xml:space="preserve"> </w:t>
      </w:r>
      <w:r w:rsidR="000005D0" w:rsidRPr="00B35658">
        <w:rPr>
          <w:rStyle w:val="SCCCounselPartyRoleChar"/>
          <w:lang w:val="fr-CA"/>
        </w:rPr>
        <w:t>l’</w:t>
      </w:r>
      <w:r w:rsidRPr="00B35658">
        <w:rPr>
          <w:rStyle w:val="SCCCounselPartyRoleChar"/>
          <w:lang w:val="fr-CA"/>
        </w:rPr>
        <w:t>Association québécoise des avocats et avocates de la défense.</w:t>
      </w:r>
    </w:p>
    <w:p w:rsidR="000F4163" w:rsidRPr="00B35658" w:rsidRDefault="004D6A1C" w:rsidP="00460821">
      <w:pPr>
        <w:pStyle w:val="SCCNormalDoubleSpacing"/>
        <w:spacing w:after="480"/>
        <w:rPr>
          <w:rStyle w:val="SCCCounselPartyRoleChar"/>
          <w:lang w:val="fr-CA"/>
        </w:rPr>
      </w:pPr>
      <w:r w:rsidRPr="00B35658">
        <w:rPr>
          <w:rStyle w:val="SCCCounselNameChar"/>
          <w:lang w:val="fr-CA"/>
        </w:rPr>
        <w:tab/>
      </w:r>
      <w:proofErr w:type="spellStart"/>
      <w:r w:rsidRPr="00B35658">
        <w:rPr>
          <w:rStyle w:val="SCCCounselNameChar"/>
          <w:lang w:val="fr-CA"/>
        </w:rPr>
        <w:t>Breana</w:t>
      </w:r>
      <w:proofErr w:type="spellEnd"/>
      <w:r w:rsidRPr="00B35658">
        <w:rPr>
          <w:rStyle w:val="SCCCounselNameChar"/>
          <w:lang w:val="fr-CA"/>
        </w:rPr>
        <w:t xml:space="preserve"> </w:t>
      </w:r>
      <w:proofErr w:type="spellStart"/>
      <w:r w:rsidRPr="00B35658">
        <w:rPr>
          <w:rStyle w:val="SCCCounselNameChar"/>
          <w:lang w:val="fr-CA"/>
        </w:rPr>
        <w:t>Vandeb</w:t>
      </w:r>
      <w:r w:rsidR="00BC34CA" w:rsidRPr="00B35658">
        <w:rPr>
          <w:rStyle w:val="SCCCounselNameChar"/>
          <w:lang w:val="fr-CA"/>
        </w:rPr>
        <w:t>e</w:t>
      </w:r>
      <w:r w:rsidRPr="00B35658">
        <w:rPr>
          <w:rStyle w:val="SCCCounselNameChar"/>
          <w:lang w:val="fr-CA"/>
        </w:rPr>
        <w:t>ek</w:t>
      </w:r>
      <w:proofErr w:type="spellEnd"/>
      <w:r w:rsidR="000005D0" w:rsidRPr="00B35658">
        <w:rPr>
          <w:rStyle w:val="SCCCounselNameChar"/>
          <w:lang w:val="fr-CA"/>
        </w:rPr>
        <w:t xml:space="preserve"> </w:t>
      </w:r>
      <w:r w:rsidR="00534EC5" w:rsidRPr="00B35658">
        <w:rPr>
          <w:rStyle w:val="SCCCounselNameChar"/>
          <w:i w:val="0"/>
          <w:lang w:val="fr-CA"/>
        </w:rPr>
        <w:t>et</w:t>
      </w:r>
      <w:r w:rsidR="000005D0" w:rsidRPr="00B35658">
        <w:rPr>
          <w:rStyle w:val="SCCCounselNameChar"/>
          <w:lang w:val="fr-CA"/>
        </w:rPr>
        <w:t xml:space="preserve"> Marianne </w:t>
      </w:r>
      <w:proofErr w:type="spellStart"/>
      <w:r w:rsidR="000005D0" w:rsidRPr="00B35658">
        <w:rPr>
          <w:rStyle w:val="SCCCounselNameChar"/>
          <w:lang w:val="fr-CA"/>
        </w:rPr>
        <w:t>Salih</w:t>
      </w:r>
      <w:proofErr w:type="spellEnd"/>
      <w:r w:rsidRPr="00B35658">
        <w:rPr>
          <w:rStyle w:val="SCCCounselPartyRoleChar"/>
          <w:lang w:val="fr-CA"/>
        </w:rPr>
        <w:t>, pour l</w:t>
      </w:r>
      <w:r w:rsidR="00926DDA" w:rsidRPr="00B35658">
        <w:rPr>
          <w:rStyle w:val="SCCCounselPartyRoleChar"/>
          <w:lang w:val="fr-CA"/>
        </w:rPr>
        <w:t>’</w:t>
      </w:r>
      <w:r w:rsidR="000005D0" w:rsidRPr="00B35658">
        <w:rPr>
          <w:rStyle w:val="SCCCounselPartyRoleChar"/>
          <w:lang w:val="fr-CA"/>
        </w:rPr>
        <w:t>intervenant</w:t>
      </w:r>
      <w:r w:rsidRPr="00B35658">
        <w:rPr>
          <w:rStyle w:val="SCCCounselPartyRoleChar"/>
          <w:lang w:val="fr-CA"/>
        </w:rPr>
        <w:t xml:space="preserve">e </w:t>
      </w:r>
      <w:proofErr w:type="spellStart"/>
      <w:r w:rsidRPr="00B35658">
        <w:rPr>
          <w:rStyle w:val="SCCCounselPartyRoleChar"/>
          <w:lang w:val="fr-CA"/>
        </w:rPr>
        <w:t>Criminal</w:t>
      </w:r>
      <w:proofErr w:type="spellEnd"/>
      <w:r w:rsidRPr="00B35658">
        <w:rPr>
          <w:rStyle w:val="SCCCounselPartyRoleChar"/>
          <w:lang w:val="fr-CA"/>
        </w:rPr>
        <w:t xml:space="preserve"> </w:t>
      </w:r>
      <w:proofErr w:type="spellStart"/>
      <w:r w:rsidRPr="00B35658">
        <w:rPr>
          <w:rStyle w:val="SCCCounselPartyRoleChar"/>
          <w:lang w:val="fr-CA"/>
        </w:rPr>
        <w:t>Lawyers</w:t>
      </w:r>
      <w:proofErr w:type="spellEnd"/>
      <w:r w:rsidR="00926DDA" w:rsidRPr="00B35658">
        <w:rPr>
          <w:rStyle w:val="SCCCounselPartyRoleChar"/>
          <w:lang w:val="fr-CA"/>
        </w:rPr>
        <w:t>’</w:t>
      </w:r>
      <w:r w:rsidRPr="00B35658">
        <w:rPr>
          <w:rStyle w:val="SCCCounselPartyRoleChar"/>
          <w:lang w:val="fr-CA"/>
        </w:rPr>
        <w:t xml:space="preserve"> Association.</w:t>
      </w:r>
    </w:p>
    <w:p w:rsidR="00460821" w:rsidRPr="00B35658" w:rsidRDefault="00460821" w:rsidP="00460821">
      <w:pPr>
        <w:pStyle w:val="SCCNormalDoubleSpacing"/>
        <w:spacing w:after="480"/>
        <w:rPr>
          <w:rStyle w:val="SCCCounselPartyRoleChar"/>
          <w:lang w:val="fr-CA"/>
        </w:rPr>
      </w:pPr>
    </w:p>
    <w:p w:rsidR="00460821" w:rsidRPr="00B35658" w:rsidRDefault="004D2A4F" w:rsidP="004D2A4F">
      <w:pPr>
        <w:pStyle w:val="SCCNormalDoubleSpacing"/>
        <w:spacing w:after="480"/>
        <w:rPr>
          <w:lang w:val="fr-CA"/>
        </w:rPr>
      </w:pPr>
      <w:r>
        <w:rPr>
          <w:lang w:val="fr-CA"/>
        </w:rPr>
        <w:lastRenderedPageBreak/>
        <w:tab/>
      </w:r>
      <w:r w:rsidR="00460821" w:rsidRPr="00B35658">
        <w:rPr>
          <w:lang w:val="fr-CA"/>
        </w:rPr>
        <w:t xml:space="preserve">Version française du </w:t>
      </w:r>
      <w:r w:rsidR="00460821" w:rsidRPr="004D2A4F">
        <w:rPr>
          <w:rStyle w:val="SCCCounselPartyRoleChar"/>
          <w:lang w:val="fr-CA"/>
        </w:rPr>
        <w:t>jugement</w:t>
      </w:r>
      <w:r w:rsidR="00460821" w:rsidRPr="00B35658">
        <w:rPr>
          <w:lang w:val="fr-CA"/>
        </w:rPr>
        <w:t xml:space="preserve"> du juge en chef Wagner et des juges </w:t>
      </w:r>
      <w:proofErr w:type="spellStart"/>
      <w:r w:rsidR="00460821" w:rsidRPr="00B35658">
        <w:rPr>
          <w:lang w:val="fr-CA"/>
        </w:rPr>
        <w:t>Moldaver</w:t>
      </w:r>
      <w:proofErr w:type="spellEnd"/>
      <w:r w:rsidR="00460821" w:rsidRPr="00B35658">
        <w:rPr>
          <w:lang w:val="fr-CA"/>
        </w:rPr>
        <w:t>, Côté et Martin rendu par</w:t>
      </w:r>
    </w:p>
    <w:p w:rsidR="00460821" w:rsidRPr="00B35658" w:rsidRDefault="00EF67D2" w:rsidP="00460821">
      <w:pPr>
        <w:pStyle w:val="JudgeJuge"/>
        <w:spacing w:before="240" w:after="720" w:line="240" w:lineRule="auto"/>
        <w:rPr>
          <w:lang w:val="fr-CA"/>
        </w:rPr>
      </w:pPr>
      <w:r>
        <w:rPr>
          <w:lang w:val="fr-CA"/>
        </w:rPr>
        <w:tab/>
        <w:t xml:space="preserve">La juge Martin </w:t>
      </w:r>
      <w:r w:rsidR="00460821" w:rsidRPr="00B35658">
        <w:rPr>
          <w:lang w:val="fr-CA"/>
        </w:rPr>
        <w:t>—</w:t>
      </w:r>
    </w:p>
    <w:p w:rsidR="00460821" w:rsidRPr="00B35658" w:rsidRDefault="00460821" w:rsidP="00460821">
      <w:pPr>
        <w:pStyle w:val="TOC1"/>
        <w:rPr>
          <w:lang w:val="fr-CA"/>
        </w:rPr>
      </w:pPr>
      <w:r w:rsidRPr="00B35658">
        <w:rPr>
          <w:lang w:val="fr-CA"/>
        </w:rPr>
        <w:t>Aperçu</w:t>
      </w:r>
      <w:r w:rsidRPr="00B35658">
        <w:rPr>
          <w:lang w:val="fr-CA"/>
        </w:rPr>
        <w:fldChar w:fldCharType="begin"/>
      </w:r>
      <w:r w:rsidRPr="00B35658">
        <w:rPr>
          <w:lang w:val="fr-CA"/>
        </w:rPr>
        <w:instrText xml:space="preserve"> TOC \o "1-5" \h \z \u </w:instrText>
      </w:r>
      <w:r w:rsidRPr="00B35658">
        <w:rPr>
          <w:lang w:val="fr-CA"/>
        </w:rPr>
        <w:fldChar w:fldCharType="end"/>
      </w:r>
    </w:p>
    <w:p w:rsidR="00460821" w:rsidRPr="00B35658" w:rsidRDefault="00460821" w:rsidP="005E2C31">
      <w:pPr>
        <w:pStyle w:val="ParaNoNdepar-AltN"/>
        <w:rPr>
          <w:lang w:val="fr-CA"/>
        </w:rPr>
      </w:pPr>
      <w:r w:rsidRPr="00B35658">
        <w:rPr>
          <w:lang w:val="fr-CA"/>
        </w:rPr>
        <w:t>Au Canada, tout inculpé jouit de certains droits fondamentaux. L’un de ces droits figure à l’al. 11</w:t>
      </w:r>
      <w:r w:rsidRPr="00B35658">
        <w:rPr>
          <w:i/>
          <w:lang w:val="fr-CA"/>
        </w:rPr>
        <w:t>i</w:t>
      </w:r>
      <w:r w:rsidRPr="00B35658">
        <w:rPr>
          <w:lang w:val="fr-CA"/>
        </w:rPr>
        <w:t xml:space="preserve">) de la </w:t>
      </w:r>
      <w:r w:rsidRPr="00B35658">
        <w:rPr>
          <w:i/>
          <w:lang w:val="fr-CA"/>
        </w:rPr>
        <w:t xml:space="preserve">Charte canadienne des droits et libertés </w:t>
      </w:r>
      <w:r w:rsidRPr="00B35658">
        <w:rPr>
          <w:lang w:val="fr-CA"/>
        </w:rPr>
        <w:t>(« </w:t>
      </w:r>
      <w:r w:rsidRPr="00B35658">
        <w:rPr>
          <w:i/>
          <w:lang w:val="fr-CA"/>
        </w:rPr>
        <w:t>Charte </w:t>
      </w:r>
      <w:r w:rsidRPr="00B35658">
        <w:rPr>
          <w:lang w:val="fr-CA"/>
        </w:rPr>
        <w:t>»), qui confère à quiconque est déclaré coupable d’une infraction le droit « de bénéficier de la peine la moins sévère, lorsque la peine qui sanctionne l’infraction dont il est déclaré coupable est modifiée entre le moment de la perpétration de l’infraction et celui de la sentence ». Se fondant sur l’al. 11</w:t>
      </w:r>
      <w:r w:rsidRPr="00B35658">
        <w:rPr>
          <w:i/>
          <w:lang w:val="fr-CA"/>
        </w:rPr>
        <w:t>i</w:t>
      </w:r>
      <w:r w:rsidRPr="00B35658">
        <w:rPr>
          <w:lang w:val="fr-CA"/>
        </w:rPr>
        <w:t>), l’intimé Rosaire Poulin invoque le droit constitutionnel d’être condamné à une peine d’emprisonnement avec sursis. Cette peine ne s’appliquait pas suivant les lois en vigueur lorsqu’il a commis ses infractions d’ordre sexuel entre 1979 et 1987 ou, selon les parties, lorsqu’il a été condamné pour ces infractions en 2017. Elle s’est toutefois appliquée pendant une période précise entre ces deux moments. Essentiellement, M. </w:t>
      </w:r>
      <w:proofErr w:type="gramStart"/>
      <w:r w:rsidRPr="00B35658">
        <w:rPr>
          <w:lang w:val="fr-CA"/>
        </w:rPr>
        <w:t>Poulin soutient</w:t>
      </w:r>
      <w:proofErr w:type="gramEnd"/>
      <w:r w:rsidRPr="00B35658">
        <w:rPr>
          <w:lang w:val="fr-CA"/>
        </w:rPr>
        <w:t xml:space="preserve"> que l’al. 11</w:t>
      </w:r>
      <w:r w:rsidRPr="00B35658">
        <w:rPr>
          <w:i/>
          <w:lang w:val="fr-CA"/>
        </w:rPr>
        <w:t>i</w:t>
      </w:r>
      <w:r w:rsidRPr="00B35658">
        <w:rPr>
          <w:lang w:val="fr-CA"/>
        </w:rPr>
        <w:t xml:space="preserve">) lui garantit non seulement le droit de bénéficier de la peine la moins sévère prévue par les lois en vigueur au moment de la perpétration de ses infractions et à celui de sa sentence, mais aussi le droit de bénéficier de la peine </w:t>
      </w:r>
      <w:r w:rsidRPr="00B35658">
        <w:rPr>
          <w:i/>
          <w:lang w:val="fr-CA"/>
        </w:rPr>
        <w:t>encore moins sévère</w:t>
      </w:r>
      <w:r w:rsidRPr="00B35658">
        <w:rPr>
          <w:lang w:val="fr-CA"/>
        </w:rPr>
        <w:t xml:space="preserve"> qui s’est appliquée temporairement à ses infractions au cours des décennies qui se sont écoulées avant qu’il soit tenu responsable de ses crimes. M. Poulin revendique le droit de bénéficier de cette peine en dépit de l’absence de lien temporel entre celle</w:t>
      </w:r>
      <w:r w:rsidRPr="00B35658">
        <w:rPr>
          <w:lang w:val="fr-CA"/>
        </w:rPr>
        <w:noBreakHyphen/>
        <w:t xml:space="preserve">ci et les actes répréhensibles </w:t>
      </w:r>
      <w:r w:rsidRPr="00B35658">
        <w:rPr>
          <w:lang w:val="fr-CA"/>
        </w:rPr>
        <w:lastRenderedPageBreak/>
        <w:t>qu’il a commis ou sa sentence, et même si le dossier ne montre pas qu’il a pris des mesures en s’appuyant sur cette peine au cours de ses démêlés avec le système de justice pénale. M. Poulin n’a pas, par exemple, avoué ses crimes ou inscrit de plaidoyer lorsque la peine d’emprisonnement avec sursis s’appliquait aux infractions qu’il a commises.</w:t>
      </w:r>
    </w:p>
    <w:p w:rsidR="00460821" w:rsidRPr="00B35658" w:rsidRDefault="00460821" w:rsidP="00460821">
      <w:pPr>
        <w:pStyle w:val="ParaNoNdepar-AltN"/>
        <w:spacing w:before="0"/>
        <w:rPr>
          <w:rFonts w:cs="Times New Roman"/>
          <w:lang w:val="fr-CA"/>
        </w:rPr>
      </w:pPr>
      <w:r w:rsidRPr="00B35658">
        <w:rPr>
          <w:rFonts w:cs="Times New Roman"/>
          <w:lang w:val="fr-CA"/>
        </w:rPr>
        <w:t>Le présent pourvoi porte donc sur la teneur du droit que garantit l’al. 11</w:t>
      </w:r>
      <w:r w:rsidRPr="00B35658">
        <w:rPr>
          <w:rFonts w:cs="Times New Roman"/>
          <w:i/>
          <w:lang w:val="fr-CA"/>
        </w:rPr>
        <w:t>i</w:t>
      </w:r>
      <w:r w:rsidRPr="00B35658">
        <w:rPr>
          <w:rFonts w:cs="Times New Roman"/>
          <w:lang w:val="fr-CA"/>
        </w:rPr>
        <w:t xml:space="preserve">) de la </w:t>
      </w:r>
      <w:r w:rsidRPr="00B35658">
        <w:rPr>
          <w:rFonts w:cs="Times New Roman"/>
          <w:i/>
          <w:lang w:val="fr-CA"/>
        </w:rPr>
        <w:t xml:space="preserve">Charte </w:t>
      </w:r>
      <w:r w:rsidRPr="00B35658">
        <w:rPr>
          <w:rFonts w:cs="Times New Roman"/>
          <w:lang w:val="fr-CA"/>
        </w:rPr>
        <w:t>à un contrevenant. Compte tenu de la nature et des objectifs de ce droit constitutionnel particulier, quelles peines doivent être prises en considération lors de la détermination de la peine « la moins sévère » à laquelle a droit l’accusé? L’al</w:t>
      </w:r>
      <w:r w:rsidR="00504A9E" w:rsidRPr="00B35658">
        <w:rPr>
          <w:rFonts w:cs="Times New Roman"/>
          <w:lang w:val="fr-CA"/>
        </w:rPr>
        <w:t>inéa</w:t>
      </w:r>
      <w:r w:rsidRPr="00B35658">
        <w:rPr>
          <w:rFonts w:cs="Times New Roman"/>
          <w:lang w:val="fr-CA"/>
        </w:rPr>
        <w:t> 11</w:t>
      </w:r>
      <w:r w:rsidRPr="00B35658">
        <w:rPr>
          <w:rFonts w:cs="Times New Roman"/>
          <w:i/>
          <w:lang w:val="fr-CA"/>
        </w:rPr>
        <w:t>i</w:t>
      </w:r>
      <w:r w:rsidRPr="00B35658">
        <w:rPr>
          <w:rFonts w:cs="Times New Roman"/>
          <w:lang w:val="fr-CA"/>
        </w:rPr>
        <w:t>) confère</w:t>
      </w:r>
      <w:r w:rsidRPr="00B35658">
        <w:rPr>
          <w:rFonts w:cs="Times New Roman"/>
          <w:lang w:val="fr-CA"/>
        </w:rPr>
        <w:noBreakHyphen/>
        <w:t>t</w:t>
      </w:r>
      <w:r w:rsidRPr="00B35658">
        <w:rPr>
          <w:rFonts w:cs="Times New Roman"/>
          <w:lang w:val="fr-CA"/>
        </w:rPr>
        <w:noBreakHyphen/>
        <w:t>il l’un des droits suivants :</w:t>
      </w:r>
    </w:p>
    <w:p w:rsidR="00460821" w:rsidRPr="00B35658" w:rsidRDefault="00460821" w:rsidP="004D2A4F">
      <w:pPr>
        <w:pStyle w:val="ContinueParaSuitedupar-AltP"/>
        <w:numPr>
          <w:ilvl w:val="0"/>
          <w:numId w:val="3"/>
        </w:numPr>
        <w:spacing w:before="0"/>
        <w:ind w:left="1080" w:hanging="1080"/>
        <w:rPr>
          <w:rFonts w:cs="Times New Roman"/>
          <w:lang w:val="fr-CA"/>
        </w:rPr>
      </w:pPr>
      <w:r w:rsidRPr="00B35658">
        <w:rPr>
          <w:rFonts w:cs="Times New Roman"/>
          <w:lang w:val="fr-CA"/>
        </w:rPr>
        <w:t>un droit « binaire », qui repose sur une comparaison des peines prévues par les lois en vigueur à deux moments précis (soit le moment de la perpétration de l’infraction et celui de la sentence) et le droit de bénéficier de la moins sévère de ces peines?</w:t>
      </w:r>
    </w:p>
    <w:p w:rsidR="00460821" w:rsidRPr="00B35658" w:rsidRDefault="00460821" w:rsidP="004D2A4F">
      <w:pPr>
        <w:pStyle w:val="ContinueParaSuitedupar-AltP"/>
        <w:numPr>
          <w:ilvl w:val="0"/>
          <w:numId w:val="3"/>
        </w:numPr>
        <w:spacing w:before="0"/>
        <w:ind w:left="1080" w:hanging="1080"/>
        <w:rPr>
          <w:rFonts w:cs="Times New Roman"/>
          <w:lang w:val="fr-CA"/>
        </w:rPr>
      </w:pPr>
      <w:r w:rsidRPr="00B35658">
        <w:rPr>
          <w:rFonts w:cs="Times New Roman"/>
          <w:lang w:val="fr-CA"/>
        </w:rPr>
        <w:t xml:space="preserve">un droit « global », qui repose sur un examen de </w:t>
      </w:r>
      <w:r w:rsidRPr="00B35658">
        <w:rPr>
          <w:rFonts w:cs="Times New Roman"/>
          <w:i/>
          <w:lang w:val="fr-CA"/>
        </w:rPr>
        <w:t xml:space="preserve">toutes </w:t>
      </w:r>
      <w:r w:rsidRPr="00B35658">
        <w:rPr>
          <w:rFonts w:cs="Times New Roman"/>
          <w:lang w:val="fr-CA"/>
        </w:rPr>
        <w:t xml:space="preserve">les peines prévues pour sanctionner l’infraction entre le moment de sa perpétration et celui de la sentence et le droit de bénéficier de la peine </w:t>
      </w:r>
      <w:r w:rsidRPr="00B35658">
        <w:rPr>
          <w:rFonts w:cs="Times New Roman"/>
          <w:i/>
          <w:lang w:val="fr-CA"/>
        </w:rPr>
        <w:t xml:space="preserve">la moins sévère qui soit </w:t>
      </w:r>
      <w:r w:rsidRPr="00B35658">
        <w:rPr>
          <w:rFonts w:cs="Times New Roman"/>
          <w:lang w:val="fr-CA"/>
        </w:rPr>
        <w:t>durant l’ensemble de la période visée?</w:t>
      </w:r>
    </w:p>
    <w:p w:rsidR="00460821" w:rsidRPr="00B35658" w:rsidRDefault="00460821" w:rsidP="00460821">
      <w:pPr>
        <w:pStyle w:val="ParaNoNdepar-AltN"/>
        <w:spacing w:before="0"/>
        <w:rPr>
          <w:rFonts w:cs="Times New Roman"/>
          <w:lang w:val="fr-CA"/>
        </w:rPr>
      </w:pPr>
      <w:r w:rsidRPr="00B35658">
        <w:rPr>
          <w:rFonts w:cs="Times New Roman"/>
          <w:lang w:val="fr-CA"/>
        </w:rPr>
        <w:t>Je conclus que, correctement interprété, l’al. 11</w:t>
      </w:r>
      <w:r w:rsidRPr="00B35658">
        <w:rPr>
          <w:rFonts w:cs="Times New Roman"/>
          <w:i/>
          <w:lang w:val="fr-CA"/>
        </w:rPr>
        <w:t>i</w:t>
      </w:r>
      <w:r w:rsidRPr="00B35658">
        <w:rPr>
          <w:rFonts w:cs="Times New Roman"/>
          <w:lang w:val="fr-CA"/>
        </w:rPr>
        <w:t>) confère un droit binaire et non un droit global. L’alinéa 11</w:t>
      </w:r>
      <w:r w:rsidRPr="00B35658">
        <w:rPr>
          <w:rFonts w:cs="Times New Roman"/>
          <w:i/>
          <w:lang w:val="fr-CA"/>
        </w:rPr>
        <w:t>i</w:t>
      </w:r>
      <w:r w:rsidRPr="00B35658">
        <w:rPr>
          <w:rFonts w:cs="Times New Roman"/>
          <w:lang w:val="fr-CA"/>
        </w:rPr>
        <w:t xml:space="preserve">) confère au contrevenant le droit de bénéficier de </w:t>
      </w:r>
      <w:r w:rsidRPr="00B35658">
        <w:rPr>
          <w:rFonts w:cs="Times New Roman"/>
          <w:lang w:val="fr-CA"/>
        </w:rPr>
        <w:lastRenderedPageBreak/>
        <w:t xml:space="preserve">la peine la moins sévère entre </w:t>
      </w:r>
      <w:r w:rsidR="00526D99">
        <w:rPr>
          <w:rFonts w:cs="Times New Roman"/>
          <w:lang w:val="fr-CA"/>
        </w:rPr>
        <w:t>(</w:t>
      </w:r>
      <w:r w:rsidRPr="00B35658">
        <w:rPr>
          <w:rFonts w:cs="Times New Roman"/>
          <w:lang w:val="fr-CA"/>
        </w:rPr>
        <w:t xml:space="preserve">1) la peine prévue par les lois en vigueur au moment de la perpétration de l’infraction, et </w:t>
      </w:r>
      <w:r w:rsidR="00526D99">
        <w:rPr>
          <w:rFonts w:cs="Times New Roman"/>
          <w:lang w:val="fr-CA"/>
        </w:rPr>
        <w:t>(</w:t>
      </w:r>
      <w:r w:rsidRPr="00B35658">
        <w:rPr>
          <w:rFonts w:cs="Times New Roman"/>
          <w:lang w:val="fr-CA"/>
        </w:rPr>
        <w:t>2) la peine prévue par les lois en vigueur au moment de la sentence, puisque ces peines sont liées à deux moments significatifs. La première peine tient compte du risque de subir un procès ou le risque juridique qu’a pris le contrevenant en commettant l’infraction. Elle établit, avant que le contrevenant n’agisse, les conséquences juridiques qui découleront de la conduite que le contrevenant aura choisi d’adopter. La deuxième peine est celle que la société estime juste au moment précis où la cour est appelée à la prononcer. Elle fixe les contours d’une peine qui reflète l’opinion la plus actuelle de la société quant à la gravité de l’infraction commise et au degré de responsabilité du contrevenant. Ces deux peines étant manifestement liées à la conduite et à la criminalité du contrevenant, de solides raisons de principe militent pour que ce dernier ait le droit constitutionnel de bénéficier de la moins sévère des peines qui étaient en vigueur à ces deux moments précis.</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En revanche, il n’y a aucune raison de principe d’accorder aux contrevenants le droit constitutionnel de bénéficier automatiquement d’une peine antérieurement applicable qui est </w:t>
      </w:r>
      <w:r w:rsidRPr="00B35658">
        <w:rPr>
          <w:rFonts w:cs="Times New Roman"/>
          <w:i/>
          <w:lang w:val="fr-CA"/>
        </w:rPr>
        <w:t xml:space="preserve">à la fois </w:t>
      </w:r>
      <w:r w:rsidRPr="00B35658">
        <w:rPr>
          <w:rFonts w:cs="Times New Roman"/>
          <w:lang w:val="fr-CA"/>
        </w:rPr>
        <w:t>moins sévère que celle à laquelle ils se sont exposés lorsqu’ils ont commis leur infraction et</w:t>
      </w:r>
      <w:r w:rsidRPr="00B35658">
        <w:rPr>
          <w:rFonts w:cs="Times New Roman"/>
          <w:i/>
          <w:lang w:val="fr-CA"/>
        </w:rPr>
        <w:t xml:space="preserve"> </w:t>
      </w:r>
      <w:r w:rsidRPr="00B35658">
        <w:rPr>
          <w:rFonts w:cs="Times New Roman"/>
          <w:lang w:val="fr-CA"/>
        </w:rPr>
        <w:t>que celle qui reflète l’opinion actuelle de la société quant à la gravité de l’infraction commise et à la responsabilité des contrevenants. Interpréter l’al. 11</w:t>
      </w:r>
      <w:r w:rsidRPr="00B35658">
        <w:rPr>
          <w:rFonts w:cs="Times New Roman"/>
          <w:i/>
          <w:lang w:val="fr-CA"/>
        </w:rPr>
        <w:t>i</w:t>
      </w:r>
      <w:r w:rsidRPr="00B35658">
        <w:rPr>
          <w:rFonts w:cs="Times New Roman"/>
          <w:lang w:val="fr-CA"/>
        </w:rPr>
        <w:t>) de manière à accorder au contrevenant le droit de bénéficier de la peine la plus clémente</w:t>
      </w:r>
      <w:r w:rsidRPr="00B35658">
        <w:rPr>
          <w:rFonts w:cs="Times New Roman"/>
          <w:i/>
          <w:lang w:val="fr-CA"/>
        </w:rPr>
        <w:t xml:space="preserve"> </w:t>
      </w:r>
      <w:r w:rsidRPr="00B35658">
        <w:rPr>
          <w:rFonts w:cs="Times New Roman"/>
          <w:lang w:val="fr-CA"/>
        </w:rPr>
        <w:t>qui se soit appliquée à l’infraction, à un moment donné, entre la perpétration de celle</w:t>
      </w:r>
      <w:r w:rsidRPr="00B35658">
        <w:rPr>
          <w:rFonts w:cs="Times New Roman"/>
          <w:lang w:val="fr-CA"/>
        </w:rPr>
        <w:noBreakHyphen/>
        <w:t>ci et sa sentence excéderait et déformerait les objets de l’al. 11</w:t>
      </w:r>
      <w:r w:rsidRPr="00B35658">
        <w:rPr>
          <w:rFonts w:cs="Times New Roman"/>
          <w:i/>
          <w:lang w:val="fr-CA"/>
        </w:rPr>
        <w:t>i</w:t>
      </w:r>
      <w:r w:rsidRPr="00B35658">
        <w:rPr>
          <w:rFonts w:cs="Times New Roman"/>
          <w:lang w:val="fr-CA"/>
        </w:rPr>
        <w:t xml:space="preserve">). Comme je l’expliquerai, ces objets sont la primauté du droit et </w:t>
      </w:r>
      <w:r w:rsidRPr="00B35658">
        <w:rPr>
          <w:rFonts w:cs="Times New Roman"/>
          <w:lang w:val="fr-CA"/>
        </w:rPr>
        <w:lastRenderedPageBreak/>
        <w:t>l’équité. Ces objets, qui sont loin d’appuyer une interprétation globale de l’al. 11</w:t>
      </w:r>
      <w:r w:rsidRPr="00B35658">
        <w:rPr>
          <w:rFonts w:cs="Times New Roman"/>
          <w:i/>
          <w:lang w:val="fr-CA"/>
        </w:rPr>
        <w:t>i</w:t>
      </w:r>
      <w:r w:rsidRPr="00B35658">
        <w:rPr>
          <w:rFonts w:cs="Times New Roman"/>
          <w:lang w:val="fr-CA"/>
        </w:rPr>
        <w:t xml:space="preserve">), militent fortement en faveur d’une interprétation de cette disposition selon laquelle la peine applicable au moment de la perpétration de l’infraction est la </w:t>
      </w:r>
      <w:r w:rsidRPr="00B35658">
        <w:rPr>
          <w:rFonts w:cs="Times New Roman"/>
          <w:i/>
          <w:lang w:val="fr-CA"/>
        </w:rPr>
        <w:t xml:space="preserve">peine maximale </w:t>
      </w:r>
      <w:r w:rsidRPr="00B35658">
        <w:rPr>
          <w:rFonts w:cs="Times New Roman"/>
          <w:lang w:val="fr-CA"/>
        </w:rPr>
        <w:t>qui peut être infligée, et le contrevenant a le droit de bénéficier d’une peine plus clémente prévue par les lois en vigueur au moment de sa sentence si une telle peine existe.</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Par conséquent, </w:t>
      </w:r>
      <w:proofErr w:type="gramStart"/>
      <w:r w:rsidRPr="00B35658">
        <w:rPr>
          <w:rFonts w:cs="Times New Roman"/>
          <w:lang w:val="fr-CA"/>
        </w:rPr>
        <w:t>je conclus</w:t>
      </w:r>
      <w:proofErr w:type="gramEnd"/>
      <w:r w:rsidRPr="00B35658">
        <w:rPr>
          <w:rFonts w:cs="Times New Roman"/>
          <w:lang w:val="fr-CA"/>
        </w:rPr>
        <w:t xml:space="preserve"> que l’al. 11</w:t>
      </w:r>
      <w:r w:rsidRPr="00B35658">
        <w:rPr>
          <w:rFonts w:cs="Times New Roman"/>
          <w:i/>
          <w:lang w:val="fr-CA"/>
        </w:rPr>
        <w:t>i</w:t>
      </w:r>
      <w:r w:rsidRPr="00B35658">
        <w:rPr>
          <w:rFonts w:cs="Times New Roman"/>
          <w:lang w:val="fr-CA"/>
        </w:rPr>
        <w:t>) ne fait pas renaître tout adoucissement temporaire de peine qui est survenu après la perpétration de l’infraction et qui n’a aucun lien avec la conduite du contrevenant ou les normes contemporaines en matière de détermination de la peine. En conférant au contrevenant le droit exprès de bénéficier rétrospectivement de la peine applicable au moment de la perpétration de l’infraction, l’al. 11</w:t>
      </w:r>
      <w:r w:rsidRPr="00B35658">
        <w:rPr>
          <w:rFonts w:cs="Times New Roman"/>
          <w:i/>
          <w:lang w:val="fr-CA"/>
        </w:rPr>
        <w:t>i</w:t>
      </w:r>
      <w:r w:rsidRPr="00B35658">
        <w:rPr>
          <w:rFonts w:cs="Times New Roman"/>
          <w:lang w:val="fr-CA"/>
        </w:rPr>
        <w:t>) n’exige pas et ne permet pas que soit appliquée la peine la moins sévère qui ait jamais été applicable pour sanctionner l’infraction depuis que le contrevenant a commis celle</w:t>
      </w:r>
      <w:r w:rsidRPr="00B35658">
        <w:rPr>
          <w:rFonts w:cs="Times New Roman"/>
          <w:lang w:val="fr-CA"/>
        </w:rPr>
        <w:noBreakHyphen/>
        <w:t>ci. L’alinéa</w:t>
      </w:r>
      <w:r w:rsidR="00883115" w:rsidRPr="00B35658">
        <w:rPr>
          <w:rFonts w:cs="Times New Roman"/>
          <w:lang w:val="fr-CA"/>
        </w:rPr>
        <w:t> </w:t>
      </w:r>
      <w:r w:rsidRPr="00B35658">
        <w:rPr>
          <w:rFonts w:cs="Times New Roman"/>
          <w:lang w:val="fr-CA"/>
        </w:rPr>
        <w:t>11</w:t>
      </w:r>
      <w:r w:rsidRPr="00B35658">
        <w:rPr>
          <w:rFonts w:cs="Times New Roman"/>
          <w:i/>
          <w:lang w:val="fr-CA"/>
        </w:rPr>
        <w:t>i</w:t>
      </w:r>
      <w:r w:rsidRPr="00B35658">
        <w:rPr>
          <w:rFonts w:cs="Times New Roman"/>
          <w:lang w:val="fr-CA"/>
        </w:rPr>
        <w:t xml:space="preserve">) n’a pas constitutionnalisé le droit de bénéficier de peines antérieurement applicables que le législateur a depuis écartées ou modifiées. Les droits enchâssés dans la </w:t>
      </w:r>
      <w:r w:rsidRPr="00B35658">
        <w:rPr>
          <w:rFonts w:cs="Times New Roman"/>
          <w:i/>
          <w:lang w:val="fr-CA"/>
        </w:rPr>
        <w:t xml:space="preserve">Charte </w:t>
      </w:r>
      <w:r w:rsidRPr="00B35658">
        <w:rPr>
          <w:rFonts w:cs="Times New Roman"/>
          <w:lang w:val="fr-CA"/>
        </w:rPr>
        <w:t>représentent les préceptes fondamentaux d’équité dans notre système de justice pénale. Le droit de passer au peigne fin les lois antérieures pour trouver la peine la plus clémente qui soit ne peut faire partie de ces droits.</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Je suis donc d’avis d’accueillir le pourvoi du ministère public. M. Poulin n’était pas admissible à la peine d’emprisonnement avec sursis qui lui a été infligée, car elle ne s’appliquait pas à ses infractions selon les dispositions sur la détermination </w:t>
      </w:r>
      <w:r w:rsidRPr="00B35658">
        <w:rPr>
          <w:rFonts w:cs="Times New Roman"/>
          <w:lang w:val="fr-CA"/>
        </w:rPr>
        <w:lastRenderedPageBreak/>
        <w:t>de la peine en vigueur au moment de la perpétration des infractions ou, selon les parties, au moment de sa sentence. Toutefois, compte tenu du décès récent de M. Poulin, je refuse de prononcer une peine différente ou de renvoyer l’affaire pour détermination d’une nouvelle peine.</w:t>
      </w:r>
    </w:p>
    <w:p w:rsidR="00460821" w:rsidRPr="00B35658" w:rsidRDefault="00460821" w:rsidP="00460821">
      <w:pPr>
        <w:pStyle w:val="Title1LevelTitre1Niveau-AltL"/>
        <w:spacing w:before="0"/>
        <w:rPr>
          <w:rFonts w:cs="Times New Roman"/>
          <w:lang w:val="fr-CA"/>
        </w:rPr>
      </w:pPr>
      <w:bookmarkStart w:id="1" w:name="_Toc11503096"/>
      <w:bookmarkStart w:id="2" w:name="_Toc12005410"/>
      <w:bookmarkStart w:id="3" w:name="_Toc12278987"/>
      <w:r w:rsidRPr="00B35658">
        <w:rPr>
          <w:rFonts w:cs="Times New Roman"/>
          <w:lang w:val="fr-CA"/>
        </w:rPr>
        <w:t>Faits et historique judiciaire</w:t>
      </w:r>
      <w:bookmarkEnd w:id="1"/>
      <w:bookmarkEnd w:id="2"/>
      <w:bookmarkEnd w:id="3"/>
    </w:p>
    <w:p w:rsidR="00460821" w:rsidRPr="00B35658" w:rsidRDefault="00460821" w:rsidP="00460821">
      <w:pPr>
        <w:pStyle w:val="ParaNoNdepar-AltN"/>
        <w:spacing w:before="0"/>
        <w:rPr>
          <w:rFonts w:cs="Times New Roman"/>
          <w:lang w:val="fr-CA"/>
        </w:rPr>
      </w:pPr>
      <w:r w:rsidRPr="00B35658">
        <w:rPr>
          <w:rFonts w:cs="Times New Roman"/>
          <w:lang w:val="fr-CA"/>
        </w:rPr>
        <w:t>En 2016, M. Poulin a été reconnu coupable d’infractions d’ordre sexuel historiques</w:t>
      </w:r>
      <w:r w:rsidR="00D16AF6">
        <w:rPr>
          <w:rFonts w:cs="Times New Roman"/>
          <w:lang w:val="fr-CA"/>
        </w:rPr>
        <w:t> </w:t>
      </w:r>
      <w:r w:rsidRPr="00B35658">
        <w:rPr>
          <w:rFonts w:cs="Times New Roman"/>
          <w:lang w:val="fr-CA"/>
        </w:rPr>
        <w:t>: deux chefs de grossière indécence et un chef d’agression sexuelle, qui étaient des infractions prévues à l’art. 157 et à l’al. 246.1(1)</w:t>
      </w:r>
      <w:r w:rsidRPr="007A6B57">
        <w:rPr>
          <w:rFonts w:cs="Times New Roman"/>
          <w:i/>
          <w:lang w:val="fr-CA"/>
        </w:rPr>
        <w:t>a</w:t>
      </w:r>
      <w:r w:rsidRPr="00B35658">
        <w:rPr>
          <w:rFonts w:cs="Times New Roman"/>
          <w:lang w:val="fr-CA"/>
        </w:rPr>
        <w:t xml:space="preserve">) du </w:t>
      </w:r>
      <w:r w:rsidRPr="00B35658">
        <w:rPr>
          <w:rFonts w:cs="Times New Roman"/>
          <w:i/>
          <w:lang w:val="fr-CA"/>
        </w:rPr>
        <w:t>Code criminel</w:t>
      </w:r>
      <w:r w:rsidRPr="00B35658">
        <w:rPr>
          <w:rFonts w:cs="Times New Roman"/>
          <w:lang w:val="fr-CA"/>
        </w:rPr>
        <w:t xml:space="preserve">, </w:t>
      </w:r>
      <w:r w:rsidR="007A6B57">
        <w:rPr>
          <w:rFonts w:cs="Times New Roman"/>
          <w:lang w:val="fr-CA"/>
        </w:rPr>
        <w:t>S</w:t>
      </w:r>
      <w:r w:rsidRPr="00B35658">
        <w:rPr>
          <w:rFonts w:cs="Times New Roman"/>
          <w:lang w:val="fr-CA"/>
        </w:rPr>
        <w:t>.R.C. 1970, c. C</w:t>
      </w:r>
      <w:r w:rsidRPr="00B35658">
        <w:rPr>
          <w:rFonts w:cs="Times New Roman"/>
          <w:lang w:val="fr-CA"/>
        </w:rPr>
        <w:noBreakHyphen/>
        <w:t>34. M. Poulin a commis les infractions de grossière indécence entre 1979 et 1983 et l’infraction d’agression sexuelle entre 1983 et 1987, à l’époque où le plaignant était âgé entre 7 et 15 ans et qu’il avait lui</w:t>
      </w:r>
      <w:r w:rsidRPr="00B35658">
        <w:rPr>
          <w:rFonts w:cs="Times New Roman"/>
          <w:lang w:val="fr-CA"/>
        </w:rPr>
        <w:noBreakHyphen/>
        <w:t>même entre 44 et 51 ans.</w:t>
      </w:r>
    </w:p>
    <w:p w:rsidR="00460821" w:rsidRPr="00B35658" w:rsidRDefault="00460821" w:rsidP="00460821">
      <w:pPr>
        <w:pStyle w:val="ParaNoNdepar-AltN"/>
        <w:spacing w:before="0"/>
        <w:rPr>
          <w:rFonts w:cs="Times New Roman"/>
          <w:lang w:val="fr-CA"/>
        </w:rPr>
      </w:pPr>
      <w:r w:rsidRPr="00B35658">
        <w:rPr>
          <w:rFonts w:cs="Times New Roman"/>
          <w:lang w:val="fr-CA"/>
        </w:rPr>
        <w:t>Au moment de sa sentence, M. Poulin était âgé de 82 ans et souffrait de plusieurs problèmes de santé importants. À l’audience de détermination de sa peine, M. Poulin a reconnu qu’une peine d’emprisonnement de trois ans et demi serait indiquée eu égard à ses crimes. Toutefois, compte tenu de ses problèmes de santé, il a fait valoir qu’il devrait exceptionnellement être condamné à une peine d’emprisonnement avec sursis — c’est</w:t>
      </w:r>
      <w:r w:rsidRPr="00B35658">
        <w:rPr>
          <w:rFonts w:cs="Times New Roman"/>
          <w:lang w:val="fr-CA"/>
        </w:rPr>
        <w:noBreakHyphen/>
        <w:t>à</w:t>
      </w:r>
      <w:r w:rsidRPr="00B35658">
        <w:rPr>
          <w:rFonts w:cs="Times New Roman"/>
          <w:lang w:val="fr-CA"/>
        </w:rPr>
        <w:noBreakHyphen/>
        <w:t>dire une peine de moins de deux ans à être purgée dans la collectivité.</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Le juge chargé de la détermination de la peine a accepté le point de vue de M. Poulin et a condamné ce dernier à une peine d’emprisonnement avec sursis de </w:t>
      </w:r>
      <w:r w:rsidRPr="00B35658">
        <w:rPr>
          <w:rFonts w:cs="Times New Roman"/>
          <w:lang w:val="fr-CA"/>
        </w:rPr>
        <w:lastRenderedPageBreak/>
        <w:t>deux ans moins un jour pour ce qui est des deux chefs de grossière indécence. Cette peine est en cause dans le présent pourvoi. La peine infligée relativement au chef d’agression sexuelle — c’est</w:t>
      </w:r>
      <w:r w:rsidRPr="00B35658">
        <w:rPr>
          <w:rFonts w:cs="Times New Roman"/>
          <w:lang w:val="fr-CA"/>
        </w:rPr>
        <w:noBreakHyphen/>
        <w:t>à</w:t>
      </w:r>
      <w:r w:rsidRPr="00B35658">
        <w:rPr>
          <w:rFonts w:cs="Times New Roman"/>
          <w:lang w:val="fr-CA"/>
        </w:rPr>
        <w:noBreakHyphen/>
        <w:t>dire une peine avec sursis assortie de deux ans de probation ainsi que la délivrance d’ordonnances accessoires — n’est toutefois pas en cause.</w:t>
      </w:r>
    </w:p>
    <w:p w:rsidR="00460821" w:rsidRPr="00B35658" w:rsidRDefault="00460821" w:rsidP="00460821">
      <w:pPr>
        <w:pStyle w:val="ParaNoNdepar-AltN"/>
        <w:spacing w:before="0"/>
        <w:rPr>
          <w:rFonts w:cs="Times New Roman"/>
          <w:lang w:val="fr-CA"/>
        </w:rPr>
      </w:pPr>
      <w:r w:rsidRPr="00B35658">
        <w:rPr>
          <w:rFonts w:cs="Times New Roman"/>
          <w:lang w:val="fr-CA"/>
        </w:rPr>
        <w:t>La peine d’emprisonnement avec sursis n’existait pas à l’époque où M. Poulin a commis ses actes de grossière indécence. L’emprisonnement avec sursis est entré en vigueur comme peine en 1996 (</w:t>
      </w:r>
      <w:r w:rsidRPr="00B35658">
        <w:rPr>
          <w:rFonts w:cs="Times New Roman"/>
          <w:i/>
          <w:lang w:val="fr-CA"/>
        </w:rPr>
        <w:t>Loi modifiant le Code criminel (détermination de la peine) et d’autres lois en conséquence</w:t>
      </w:r>
      <w:r w:rsidRPr="00B35658">
        <w:rPr>
          <w:rFonts w:cs="Times New Roman"/>
          <w:lang w:val="fr-CA"/>
        </w:rPr>
        <w:t xml:space="preserve">, L.C. 1995, c. 22, art. 6). Les parties conviennent que la peine d’emprisonnement avec sursis ne s’appliquait plus à l’infraction de grossière indécence, d’après les dispositions en vigueur, lorsque M. Poulin a été accusé, déclaré coupable et condamné (de 2014 à 2017). Elles sont d’avis que, lorsque l’infraction de grossière indécence a été supprimée du </w:t>
      </w:r>
      <w:r w:rsidRPr="00B35658">
        <w:rPr>
          <w:rFonts w:cs="Times New Roman"/>
          <w:i/>
          <w:lang w:val="fr-CA"/>
        </w:rPr>
        <w:t>Code criminel</w:t>
      </w:r>
      <w:r w:rsidR="00EF67D2">
        <w:rPr>
          <w:rFonts w:cs="Times New Roman"/>
          <w:lang w:val="fr-CA"/>
        </w:rPr>
        <w:t>, L.R.C. 1985, c. C</w:t>
      </w:r>
      <w:r w:rsidR="00EF67D2">
        <w:rPr>
          <w:rFonts w:cs="Times New Roman"/>
          <w:lang w:val="fr-CA"/>
        </w:rPr>
        <w:noBreakHyphen/>
        <w:t>46, en 1988 (L.R.C. </w:t>
      </w:r>
      <w:r w:rsidRPr="00B35658">
        <w:rPr>
          <w:rFonts w:cs="Times New Roman"/>
          <w:lang w:val="fr-CA"/>
        </w:rPr>
        <w:t>1985, c. 19 (3</w:t>
      </w:r>
      <w:r w:rsidRPr="00B35658">
        <w:rPr>
          <w:rFonts w:cs="Times New Roman"/>
          <w:vertAlign w:val="superscript"/>
          <w:lang w:val="fr-CA"/>
        </w:rPr>
        <w:t>e</w:t>
      </w:r>
      <w:r w:rsidRPr="00B35658">
        <w:rPr>
          <w:rFonts w:cs="Times New Roman"/>
          <w:lang w:val="fr-CA"/>
        </w:rPr>
        <w:t xml:space="preserve"> suppl.), art. 4, entré en vigueur en 1988), certains actes qui constituaient de la grossière indécence, dont ceux commis par M. Poulin, sont alors tombés sous le coup d’autres dispositions relatives aux infractions d’ordre sexuel, dont </w:t>
      </w:r>
      <w:proofErr w:type="gramStart"/>
      <w:r w:rsidRPr="00B35658">
        <w:rPr>
          <w:rFonts w:cs="Times New Roman"/>
          <w:lang w:val="fr-CA"/>
        </w:rPr>
        <w:t>les art</w:t>
      </w:r>
      <w:proofErr w:type="gramEnd"/>
      <w:r w:rsidRPr="00B35658">
        <w:rPr>
          <w:rFonts w:cs="Times New Roman"/>
          <w:lang w:val="fr-CA"/>
        </w:rPr>
        <w:t xml:space="preserve">. 151 et 271 du </w:t>
      </w:r>
      <w:r w:rsidRPr="00B35658">
        <w:rPr>
          <w:rFonts w:cs="Times New Roman"/>
          <w:i/>
          <w:lang w:val="fr-CA"/>
        </w:rPr>
        <w:t>Code criminel</w:t>
      </w:r>
      <w:r w:rsidRPr="00B35658">
        <w:rPr>
          <w:rFonts w:cs="Times New Roman"/>
          <w:lang w:val="fr-CA"/>
        </w:rPr>
        <w:t xml:space="preserve">. Puisque la peine d’emprisonnement avec sursis ne s’appliquait plus à ce type d’infraction d’ordre sexuel (voir le </w:t>
      </w:r>
      <w:r w:rsidRPr="00B35658">
        <w:rPr>
          <w:rFonts w:cs="Times New Roman"/>
          <w:i/>
          <w:lang w:val="fr-CA"/>
        </w:rPr>
        <w:t>Code criminel</w:t>
      </w:r>
      <w:r w:rsidRPr="00B35658">
        <w:rPr>
          <w:rFonts w:cs="Times New Roman"/>
          <w:lang w:val="fr-CA"/>
        </w:rPr>
        <w:t xml:space="preserve">, al. 742.1b), art. 151 et 271), les parties estiment que la peine d’emprisonnement avec sursis ne s’appliquait pas non plus aux actes de grossière indécence qui constituent maintenant des actes criminels aux termes de ces dispositions modernes relatives aux infractions d’ordre sexuel. Autrement dit, les parties </w:t>
      </w:r>
      <w:r w:rsidRPr="00B35658">
        <w:rPr>
          <w:rFonts w:cs="Times New Roman"/>
          <w:lang w:val="fr-CA"/>
        </w:rPr>
        <w:lastRenderedPageBreak/>
        <w:t>conviennent que la restriction actuelle applicable aux peines d’emprisonnement avec sursis qui visent à sanctionner les infractions d’ordre sexuel s’applique également aux infractions de grossière indécence commises par M. Poulin. Je ne commenterai pas cette interprétation, qui ne fait pas partie des questions soulevées devant notre Cour.</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Le juge chargé de la détermination de la peine n’a pas analysé la question préliminaire de savoir si une peine d’emprisonnement avec sursis pouvait effectivement s’appliquer aux actes de grossière indécence commis par M. Poulin. Le </w:t>
      </w:r>
      <w:proofErr w:type="gramStart"/>
      <w:r w:rsidRPr="00B35658">
        <w:rPr>
          <w:rFonts w:cs="Times New Roman"/>
          <w:lang w:val="fr-CA"/>
        </w:rPr>
        <w:t>juge a</w:t>
      </w:r>
      <w:proofErr w:type="gramEnd"/>
      <w:r w:rsidRPr="00B35658">
        <w:rPr>
          <w:rFonts w:cs="Times New Roman"/>
          <w:lang w:val="fr-CA"/>
        </w:rPr>
        <w:t xml:space="preserve"> plutôt considéré que l’al. 11</w:t>
      </w:r>
      <w:r w:rsidRPr="00B35658">
        <w:rPr>
          <w:rFonts w:cs="Times New Roman"/>
          <w:i/>
          <w:lang w:val="fr-CA"/>
        </w:rPr>
        <w:t>i</w:t>
      </w:r>
      <w:r w:rsidRPr="00B35658">
        <w:rPr>
          <w:rFonts w:cs="Times New Roman"/>
          <w:lang w:val="fr-CA"/>
        </w:rPr>
        <w:t>) accordait à M. Poulin le droit de bénéficier de la peine la moins sévère qui s’appliquait à ses infractions dans l’intervalle entre le moment où celles</w:t>
      </w:r>
      <w:r w:rsidRPr="00B35658">
        <w:rPr>
          <w:rFonts w:cs="Times New Roman"/>
          <w:lang w:val="fr-CA"/>
        </w:rPr>
        <w:noBreakHyphen/>
        <w:t>ci ont été perpétrées et celui de sa sentence (2017</w:t>
      </w:r>
      <w:r w:rsidR="00883115" w:rsidRPr="00B35658">
        <w:rPr>
          <w:rFonts w:cs="Times New Roman"/>
          <w:lang w:val="fr-CA"/>
        </w:rPr>
        <w:t xml:space="preserve"> QCCQ </w:t>
      </w:r>
      <w:r w:rsidR="00210A25">
        <w:rPr>
          <w:rFonts w:cs="Times New Roman"/>
          <w:lang w:val="fr-CA"/>
        </w:rPr>
        <w:t>7015, par. 26</w:t>
      </w:r>
      <w:r w:rsidR="00210A25" w:rsidRPr="00B35658">
        <w:rPr>
          <w:rFonts w:cs="Times New Roman"/>
          <w:lang w:val="fr-CA"/>
        </w:rPr>
        <w:noBreakHyphen/>
      </w:r>
      <w:r w:rsidR="00210A25">
        <w:rPr>
          <w:rFonts w:cs="Times New Roman"/>
          <w:lang w:val="fr-CA"/>
        </w:rPr>
        <w:t>27 (</w:t>
      </w:r>
      <w:proofErr w:type="spellStart"/>
      <w:r w:rsidR="00210A25">
        <w:rPr>
          <w:rFonts w:cs="Times New Roman"/>
          <w:lang w:val="fr-CA"/>
        </w:rPr>
        <w:t>CanLII</w:t>
      </w:r>
      <w:proofErr w:type="spellEnd"/>
      <w:r w:rsidR="00210A25">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Le ministère public s’est pourvu en appel de cette décision, alléguant, entre autres choses, qu’une peine d’emprisonnement avec sursis ne pouvait pas être infligée à M. Poulin selon l’al. 11</w:t>
      </w:r>
      <w:r w:rsidRPr="00B35658">
        <w:rPr>
          <w:rFonts w:cs="Times New Roman"/>
          <w:i/>
          <w:lang w:val="fr-CA"/>
        </w:rPr>
        <w:t>i</w:t>
      </w:r>
      <w:r w:rsidRPr="00B35658">
        <w:rPr>
          <w:rFonts w:cs="Times New Roman"/>
          <w:lang w:val="fr-CA"/>
        </w:rPr>
        <w:t xml:space="preserve">) de la </w:t>
      </w:r>
      <w:r w:rsidRPr="00B35658">
        <w:rPr>
          <w:rFonts w:cs="Times New Roman"/>
          <w:i/>
          <w:lang w:val="fr-CA"/>
        </w:rPr>
        <w:t>Charte</w:t>
      </w:r>
      <w:r w:rsidRPr="00B35658">
        <w:rPr>
          <w:rFonts w:cs="Times New Roman"/>
          <w:lang w:val="fr-CA"/>
        </w:rPr>
        <w:t xml:space="preserve">. La Cour d’appel a rejeté l’argument du ministère public. Elle a plutôt appliqué la décision qu’elle a rendue dans </w:t>
      </w:r>
      <w:r w:rsidRPr="00B35658">
        <w:rPr>
          <w:rFonts w:cs="Times New Roman"/>
          <w:i/>
          <w:lang w:val="fr-CA"/>
        </w:rPr>
        <w:t xml:space="preserve">R. c. </w:t>
      </w:r>
      <w:proofErr w:type="spellStart"/>
      <w:r w:rsidRPr="00B35658">
        <w:rPr>
          <w:rFonts w:cs="Times New Roman"/>
          <w:i/>
          <w:lang w:val="fr-CA"/>
        </w:rPr>
        <w:t>Belzil</w:t>
      </w:r>
      <w:proofErr w:type="spellEnd"/>
      <w:r w:rsidR="00EF67D2">
        <w:rPr>
          <w:rFonts w:cs="Times New Roman"/>
          <w:lang w:val="fr-CA"/>
        </w:rPr>
        <w:t xml:space="preserve">, [1989] R.J.Q. </w:t>
      </w:r>
      <w:r w:rsidRPr="00B35658">
        <w:rPr>
          <w:rFonts w:cs="Times New Roman"/>
          <w:lang w:val="fr-CA"/>
        </w:rPr>
        <w:t>1117 (C.A.), où elle a tenu pour acquis que l’al. 11</w:t>
      </w:r>
      <w:r w:rsidRPr="00B35658">
        <w:rPr>
          <w:rFonts w:cs="Times New Roman"/>
          <w:i/>
          <w:lang w:val="fr-CA"/>
        </w:rPr>
        <w:t>i</w:t>
      </w:r>
      <w:r w:rsidRPr="00B35658">
        <w:rPr>
          <w:rFonts w:cs="Times New Roman"/>
          <w:lang w:val="fr-CA"/>
        </w:rPr>
        <w:t xml:space="preserve">) </w:t>
      </w:r>
      <w:r w:rsidR="00EF67D2">
        <w:rPr>
          <w:rFonts w:cs="Times New Roman"/>
          <w:lang w:val="fr-CA"/>
        </w:rPr>
        <w:t xml:space="preserve">conférait un droit global (2018 QCCA </w:t>
      </w:r>
      <w:r w:rsidRPr="00B35658">
        <w:rPr>
          <w:rFonts w:cs="Times New Roman"/>
          <w:lang w:val="fr-CA"/>
        </w:rPr>
        <w:t>21, 43 C.R. (7th) 216, par. 32</w:t>
      </w:r>
      <w:r w:rsidR="00F06405" w:rsidRPr="00B35658">
        <w:rPr>
          <w:rFonts w:cs="Times New Roman"/>
          <w:lang w:val="fr-CA"/>
        </w:rPr>
        <w:noBreakHyphen/>
      </w:r>
      <w:r w:rsidRPr="00B35658">
        <w:rPr>
          <w:rFonts w:cs="Times New Roman"/>
          <w:lang w:val="fr-CA"/>
        </w:rPr>
        <w:t xml:space="preserve">33; </w:t>
      </w:r>
      <w:proofErr w:type="spellStart"/>
      <w:r w:rsidRPr="00B35658">
        <w:rPr>
          <w:rFonts w:cs="Times New Roman"/>
          <w:i/>
          <w:lang w:val="fr-CA"/>
        </w:rPr>
        <w:t>Belzil</w:t>
      </w:r>
      <w:proofErr w:type="spellEnd"/>
      <w:r w:rsidRPr="00B35658">
        <w:rPr>
          <w:rFonts w:cs="Times New Roman"/>
          <w:lang w:val="fr-CA"/>
        </w:rPr>
        <w:t xml:space="preserve">, p. 1139). Par conséquent, la Cour </w:t>
      </w:r>
      <w:proofErr w:type="gramStart"/>
      <w:r w:rsidRPr="00B35658">
        <w:rPr>
          <w:rFonts w:cs="Times New Roman"/>
          <w:lang w:val="fr-CA"/>
        </w:rPr>
        <w:t>d’appel a</w:t>
      </w:r>
      <w:proofErr w:type="gramEnd"/>
      <w:r w:rsidRPr="00B35658">
        <w:rPr>
          <w:rFonts w:cs="Times New Roman"/>
          <w:lang w:val="fr-CA"/>
        </w:rPr>
        <w:t xml:space="preserve"> conclu que l’al. 11</w:t>
      </w:r>
      <w:r w:rsidRPr="00B35658">
        <w:rPr>
          <w:rFonts w:cs="Times New Roman"/>
          <w:i/>
          <w:lang w:val="fr-CA"/>
        </w:rPr>
        <w:t>i</w:t>
      </w:r>
      <w:r w:rsidRPr="00B35658">
        <w:rPr>
          <w:rFonts w:cs="Times New Roman"/>
          <w:lang w:val="fr-CA"/>
        </w:rPr>
        <w:t>) conférait à M. Poulin le droit de bénéficier d’une peine qui n’était pas en vigueur au moment de la perpétration de ses infractions et qui, au moment de sa sentence, avait été expressément exclue des peines susceptibles de lui être infligées.</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Le ministère public se pourvoit maintenant devant notre Cour avec l’autorisation de cette dernière.</w:t>
      </w:r>
    </w:p>
    <w:p w:rsidR="00460821" w:rsidRPr="00B35658" w:rsidRDefault="00EF67D2" w:rsidP="00460821">
      <w:pPr>
        <w:pStyle w:val="ParaNoNdepar-AltN"/>
        <w:spacing w:before="0"/>
        <w:rPr>
          <w:rFonts w:cs="Times New Roman"/>
          <w:lang w:val="fr-CA"/>
        </w:rPr>
      </w:pPr>
      <w:r>
        <w:rPr>
          <w:rFonts w:cs="Times New Roman"/>
          <w:lang w:val="fr-CA"/>
        </w:rPr>
        <w:t xml:space="preserve">Le 22 février </w:t>
      </w:r>
      <w:r w:rsidR="00460821" w:rsidRPr="00B35658">
        <w:rPr>
          <w:rFonts w:cs="Times New Roman"/>
          <w:lang w:val="fr-CA"/>
        </w:rPr>
        <w:t>2019, peu avant l’audition du présent pourvoi, M. Poulin est décédé. Le pourvoi a néanmoins été instruit et le ministère public a présenté une requête visant à ce que la Cour tranche le pourvoi même s’il est désormais théorique sur le plan factuel.</w:t>
      </w:r>
    </w:p>
    <w:p w:rsidR="00460821" w:rsidRPr="00B35658" w:rsidRDefault="00460821" w:rsidP="00460821">
      <w:pPr>
        <w:pStyle w:val="Title1LevelTitre1Niveau-AltL"/>
        <w:spacing w:before="0"/>
        <w:rPr>
          <w:rFonts w:cs="Times New Roman"/>
          <w:lang w:val="fr-CA"/>
        </w:rPr>
      </w:pPr>
      <w:bookmarkStart w:id="4" w:name="_Toc12005411"/>
      <w:bookmarkStart w:id="5" w:name="_Toc12278988"/>
      <w:bookmarkStart w:id="6" w:name="_Toc11503097"/>
      <w:r w:rsidRPr="00B35658">
        <w:rPr>
          <w:rFonts w:cs="Times New Roman"/>
          <w:lang w:val="fr-CA"/>
        </w:rPr>
        <w:t>Questions</w:t>
      </w:r>
      <w:bookmarkEnd w:id="4"/>
      <w:bookmarkEnd w:id="5"/>
      <w:r w:rsidRPr="00B35658">
        <w:rPr>
          <w:rFonts w:cs="Times New Roman"/>
          <w:lang w:val="fr-CA"/>
        </w:rPr>
        <w:t xml:space="preserve"> en litige</w:t>
      </w:r>
      <w:bookmarkEnd w:id="6"/>
    </w:p>
    <w:p w:rsidR="00460821" w:rsidRPr="00B35658" w:rsidRDefault="00460821" w:rsidP="00460821">
      <w:pPr>
        <w:pStyle w:val="ParaNoNdepar-AltN"/>
        <w:spacing w:before="0"/>
        <w:rPr>
          <w:rFonts w:cs="Times New Roman"/>
          <w:lang w:val="fr-CA"/>
        </w:rPr>
      </w:pPr>
      <w:r w:rsidRPr="00B35658">
        <w:rPr>
          <w:rFonts w:cs="Times New Roman"/>
          <w:lang w:val="fr-CA"/>
        </w:rPr>
        <w:t>Le présent pourvoi soulève deux questions :</w:t>
      </w:r>
    </w:p>
    <w:p w:rsidR="00460821" w:rsidRPr="00B35658" w:rsidRDefault="00460821" w:rsidP="00FC0D10">
      <w:pPr>
        <w:pStyle w:val="ContinueParaSuitedupar-AltP"/>
        <w:numPr>
          <w:ilvl w:val="0"/>
          <w:numId w:val="4"/>
        </w:numPr>
        <w:spacing w:before="0"/>
        <w:ind w:hanging="720"/>
        <w:rPr>
          <w:rFonts w:cs="Times New Roman"/>
          <w:lang w:val="fr-CA"/>
        </w:rPr>
      </w:pPr>
      <w:r w:rsidRPr="00B35658">
        <w:rPr>
          <w:rFonts w:cs="Times New Roman"/>
          <w:lang w:val="fr-CA"/>
        </w:rPr>
        <w:t xml:space="preserve">Notre Cour </w:t>
      </w:r>
      <w:proofErr w:type="spellStart"/>
      <w:r w:rsidRPr="00B35658">
        <w:rPr>
          <w:rFonts w:cs="Times New Roman"/>
          <w:lang w:val="fr-CA"/>
        </w:rPr>
        <w:t>doit</w:t>
      </w:r>
      <w:r w:rsidRPr="00B35658">
        <w:rPr>
          <w:rFonts w:cs="Times New Roman"/>
          <w:lang w:val="fr-CA"/>
        </w:rPr>
        <w:noBreakHyphen/>
        <w:t>elle</w:t>
      </w:r>
      <w:proofErr w:type="spellEnd"/>
      <w:r w:rsidRPr="00B35658">
        <w:rPr>
          <w:rFonts w:cs="Times New Roman"/>
          <w:lang w:val="fr-CA"/>
        </w:rPr>
        <w:t xml:space="preserve"> exercer son pouvoir discrétionnaire pour trancher le présent pourvoi devenu théorique?</w:t>
      </w:r>
    </w:p>
    <w:p w:rsidR="00460821" w:rsidRPr="00B35658" w:rsidRDefault="00460821" w:rsidP="00FC0D10">
      <w:pPr>
        <w:pStyle w:val="ContinueParaSuitedupar-AltP"/>
        <w:numPr>
          <w:ilvl w:val="0"/>
          <w:numId w:val="4"/>
        </w:numPr>
        <w:spacing w:before="0"/>
        <w:ind w:hanging="720"/>
        <w:rPr>
          <w:rFonts w:cs="Times New Roman"/>
          <w:lang w:val="fr-CA"/>
        </w:rPr>
      </w:pPr>
      <w:r w:rsidRPr="00B35658">
        <w:rPr>
          <w:rFonts w:cs="Times New Roman"/>
          <w:lang w:val="fr-CA"/>
        </w:rPr>
        <w:t>L’al</w:t>
      </w:r>
      <w:r w:rsidR="00721292" w:rsidRPr="00B35658">
        <w:rPr>
          <w:rFonts w:cs="Times New Roman"/>
          <w:lang w:val="fr-CA"/>
        </w:rPr>
        <w:t>inéa </w:t>
      </w:r>
      <w:r w:rsidRPr="00B35658">
        <w:rPr>
          <w:rFonts w:cs="Times New Roman"/>
          <w:lang w:val="fr-CA"/>
        </w:rPr>
        <w:t>11</w:t>
      </w:r>
      <w:r w:rsidRPr="00B35658">
        <w:rPr>
          <w:rFonts w:cs="Times New Roman"/>
          <w:i/>
          <w:lang w:val="fr-CA"/>
        </w:rPr>
        <w:t>i</w:t>
      </w:r>
      <w:r w:rsidRPr="00B35658">
        <w:rPr>
          <w:rFonts w:cs="Times New Roman"/>
          <w:lang w:val="fr-CA"/>
        </w:rPr>
        <w:t xml:space="preserve">) de la </w:t>
      </w:r>
      <w:r w:rsidRPr="00B35658">
        <w:rPr>
          <w:rFonts w:cs="Times New Roman"/>
          <w:i/>
          <w:lang w:val="fr-CA"/>
        </w:rPr>
        <w:t xml:space="preserve">Charte </w:t>
      </w:r>
      <w:r w:rsidRPr="00B35658">
        <w:rPr>
          <w:rFonts w:cs="Times New Roman"/>
          <w:lang w:val="fr-CA"/>
        </w:rPr>
        <w:t>constitutionnalise</w:t>
      </w:r>
      <w:r w:rsidRPr="00B35658">
        <w:rPr>
          <w:rFonts w:cs="Times New Roman"/>
          <w:lang w:val="fr-CA"/>
        </w:rPr>
        <w:noBreakHyphen/>
        <w:t>t</w:t>
      </w:r>
      <w:r w:rsidRPr="00B35658">
        <w:rPr>
          <w:rFonts w:cs="Times New Roman"/>
          <w:lang w:val="fr-CA"/>
        </w:rPr>
        <w:noBreakHyphen/>
        <w:t>il un droit binaire ou un droit global?</w:t>
      </w:r>
    </w:p>
    <w:p w:rsidR="00460821" w:rsidRPr="00B35658" w:rsidRDefault="00460821" w:rsidP="00460821">
      <w:pPr>
        <w:pStyle w:val="Title1LevelTitre1Niveau-AltL"/>
        <w:spacing w:before="0"/>
        <w:rPr>
          <w:rFonts w:cs="Times New Roman"/>
          <w:lang w:val="fr-CA"/>
        </w:rPr>
      </w:pPr>
      <w:bookmarkStart w:id="7" w:name="_Toc11503098"/>
      <w:bookmarkStart w:id="8" w:name="_Toc12005412"/>
      <w:bookmarkStart w:id="9" w:name="_Toc12278989"/>
      <w:r w:rsidRPr="00B35658">
        <w:rPr>
          <w:rFonts w:cs="Times New Roman"/>
          <w:lang w:val="fr-CA"/>
        </w:rPr>
        <w:t>Analyse</w:t>
      </w:r>
      <w:bookmarkEnd w:id="7"/>
      <w:bookmarkEnd w:id="8"/>
      <w:bookmarkEnd w:id="9"/>
    </w:p>
    <w:p w:rsidR="00460821" w:rsidRPr="00B35658" w:rsidRDefault="00460821" w:rsidP="00460821">
      <w:pPr>
        <w:pStyle w:val="Title2LevelTitre2Niveau"/>
        <w:spacing w:before="0"/>
        <w:rPr>
          <w:rFonts w:cs="Times New Roman"/>
          <w:lang w:val="fr-CA"/>
        </w:rPr>
      </w:pPr>
      <w:bookmarkStart w:id="10" w:name="_Toc11503099"/>
      <w:bookmarkStart w:id="11" w:name="_Toc12005413"/>
      <w:bookmarkStart w:id="12" w:name="_Toc12278990"/>
      <w:r w:rsidRPr="00B35658">
        <w:rPr>
          <w:rFonts w:cs="Times New Roman"/>
          <w:lang w:val="fr-CA"/>
        </w:rPr>
        <w:t xml:space="preserve">Notre Cour </w:t>
      </w:r>
      <w:proofErr w:type="spellStart"/>
      <w:r w:rsidRPr="00B35658">
        <w:rPr>
          <w:rFonts w:cs="Times New Roman"/>
          <w:lang w:val="fr-CA"/>
        </w:rPr>
        <w:t>doit</w:t>
      </w:r>
      <w:r w:rsidRPr="00B35658">
        <w:rPr>
          <w:rFonts w:cs="Times New Roman"/>
          <w:lang w:val="fr-CA"/>
        </w:rPr>
        <w:noBreakHyphen/>
        <w:t>elle</w:t>
      </w:r>
      <w:proofErr w:type="spellEnd"/>
      <w:r w:rsidRPr="00B35658">
        <w:rPr>
          <w:rFonts w:cs="Times New Roman"/>
          <w:lang w:val="fr-CA"/>
        </w:rPr>
        <w:t xml:space="preserve"> exercer son pouvoir discrétionnaire pour trancher le présent pourvoi devenu théorique?</w:t>
      </w:r>
      <w:bookmarkEnd w:id="10"/>
      <w:bookmarkEnd w:id="11"/>
      <w:bookmarkEnd w:id="12"/>
    </w:p>
    <w:p w:rsidR="00460821" w:rsidRPr="00B35658" w:rsidRDefault="00460821" w:rsidP="00460821">
      <w:pPr>
        <w:pStyle w:val="ParaNoNdepar-AltN"/>
        <w:spacing w:before="0"/>
        <w:rPr>
          <w:rFonts w:cs="Times New Roman"/>
          <w:lang w:val="fr-CA"/>
        </w:rPr>
      </w:pPr>
      <w:r w:rsidRPr="00B35658">
        <w:rPr>
          <w:rFonts w:cs="Times New Roman"/>
          <w:lang w:val="fr-CA"/>
        </w:rPr>
        <w:t xml:space="preserve">Comme je l’ai déjà mentionné, M. Poulin est décédé quelques semaines avant l’audition du présent pourvoi. Le décès de M. Poulin est survenu après que le </w:t>
      </w:r>
      <w:r w:rsidRPr="00B35658">
        <w:rPr>
          <w:rFonts w:cs="Times New Roman"/>
          <w:lang w:val="fr-CA"/>
        </w:rPr>
        <w:lastRenderedPageBreak/>
        <w:t>ministère public appelant ait déposé son mémoire et que notre Cour ait autorisé les intervenants à intervenir.</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Après avoir appris le décès de M. Poulin, le ministère public a déposé une requête en vue de la poursuite de l’instance, conformément à l’art. 76 de la </w:t>
      </w:r>
      <w:r w:rsidRPr="00B35658">
        <w:rPr>
          <w:rFonts w:cs="Times New Roman"/>
          <w:i/>
          <w:lang w:val="fr-CA"/>
        </w:rPr>
        <w:t>Loi sur la Cour suprême</w:t>
      </w:r>
      <w:r w:rsidRPr="00B35658">
        <w:rPr>
          <w:rFonts w:cs="Times New Roman"/>
          <w:lang w:val="fr-CA"/>
        </w:rPr>
        <w:t>, L.R.C. 1985, c. S</w:t>
      </w:r>
      <w:r w:rsidRPr="00B35658">
        <w:rPr>
          <w:rFonts w:cs="Times New Roman"/>
          <w:lang w:val="fr-CA"/>
        </w:rPr>
        <w:noBreakHyphen/>
        <w:t>26. L’avocat de M. Poulin a écrit au ministère public pour l’informer qu’il déposerait les documents d’appel de l’intimé avant la date limite qui avait été imposée à M. Poulin, et c’est ce qu’il a finalement fait. Par la suite, l’avocat de M. Poulin a présenté une preuve par affidavit qui confirmait que l’exécuteur testamentaire de ce dernier lui avait demandé de continuer de représenter M. Poulin dans le présent pourvoi si notre Cour décidait d’instruire celui</w:t>
      </w:r>
      <w:r w:rsidRPr="00B35658">
        <w:rPr>
          <w:rFonts w:cs="Times New Roman"/>
          <w:lang w:val="fr-CA"/>
        </w:rPr>
        <w:noBreakHyphen/>
        <w:t>ci. La requête présentée par le ministère public en vue de poursuivre l’instance a été instruite en même temps que le pourvoi. L’avocat de M. Poulin ne s’est pas prononcé sur la requête déposée en vue de poursuivre l’instance.</w:t>
      </w:r>
    </w:p>
    <w:p w:rsidR="00460821" w:rsidRPr="00B35658" w:rsidRDefault="00460821" w:rsidP="00460821">
      <w:pPr>
        <w:pStyle w:val="ParaNoNdepar-AltN"/>
        <w:spacing w:before="0"/>
        <w:rPr>
          <w:rFonts w:cs="Times New Roman"/>
          <w:lang w:val="fr-CA"/>
        </w:rPr>
      </w:pPr>
      <w:r w:rsidRPr="00B35658">
        <w:rPr>
          <w:rFonts w:cs="Times New Roman"/>
          <w:lang w:val="fr-CA"/>
        </w:rPr>
        <w:t>Le ministère public reconnaît à juste titre que le présent pourvoi est théorique compte tenu du décès de M. Poulin. Il soutient cependant que notre Cour doit exercer son pouvoir discrétionnaire pour trancher le présent pourvoi en dépit de son caractère théorique. Je suis d’accord.</w:t>
      </w:r>
    </w:p>
    <w:p w:rsidR="00460821" w:rsidRPr="00B35658" w:rsidRDefault="00A16C60" w:rsidP="00460821">
      <w:pPr>
        <w:pStyle w:val="ParaNoNdepar-AltN"/>
        <w:spacing w:before="0"/>
        <w:rPr>
          <w:rFonts w:cs="Times New Roman"/>
          <w:lang w:val="fr-CA"/>
        </w:rPr>
      </w:pPr>
      <w:r>
        <w:rPr>
          <w:rFonts w:cs="Times New Roman"/>
          <w:lang w:val="fr-CA"/>
        </w:rPr>
        <w:t xml:space="preserve">Dans l’arrêt </w:t>
      </w:r>
      <w:r>
        <w:rPr>
          <w:rFonts w:cs="Times New Roman"/>
          <w:i/>
          <w:lang w:val="fr-CA"/>
        </w:rPr>
        <w:t xml:space="preserve">R. </w:t>
      </w:r>
      <w:r w:rsidR="00460821" w:rsidRPr="00B35658">
        <w:rPr>
          <w:rFonts w:cs="Times New Roman"/>
          <w:i/>
          <w:lang w:val="fr-CA"/>
        </w:rPr>
        <w:t>c.</w:t>
      </w:r>
      <w:r>
        <w:rPr>
          <w:rFonts w:cs="Times New Roman"/>
          <w:i/>
          <w:lang w:val="fr-CA"/>
        </w:rPr>
        <w:t xml:space="preserve"> </w:t>
      </w:r>
      <w:r w:rsidR="00460821" w:rsidRPr="00B35658">
        <w:rPr>
          <w:rFonts w:cs="Times New Roman"/>
          <w:i/>
          <w:lang w:val="fr-CA"/>
        </w:rPr>
        <w:t>Smith</w:t>
      </w:r>
      <w:r>
        <w:rPr>
          <w:rFonts w:cs="Times New Roman"/>
          <w:lang w:val="fr-CA"/>
        </w:rPr>
        <w:t xml:space="preserve">, 2004 </w:t>
      </w:r>
      <w:r w:rsidR="00460821" w:rsidRPr="00B35658">
        <w:rPr>
          <w:rFonts w:cs="Times New Roman"/>
          <w:lang w:val="fr-CA"/>
        </w:rPr>
        <w:t>CSC</w:t>
      </w:r>
      <w:r>
        <w:rPr>
          <w:rFonts w:cs="Times New Roman"/>
          <w:lang w:val="fr-CA"/>
        </w:rPr>
        <w:t xml:space="preserve"> </w:t>
      </w:r>
      <w:r w:rsidR="00460821" w:rsidRPr="00B35658">
        <w:rPr>
          <w:rFonts w:cs="Times New Roman"/>
          <w:lang w:val="fr-CA"/>
        </w:rPr>
        <w:t>14, [2004] 1 R.C.S. 385, notre Cour a énoncé cinq facteurs (non exhaustifs) servant à déterminer si des circonstances exceptionnelles justifient que la Cour statue sur un pourvoi devenu théorique par suite du décès de l’accusé. Ces facteurs sont les suivants :</w:t>
      </w:r>
    </w:p>
    <w:p w:rsidR="00460821" w:rsidRPr="00B35658" w:rsidRDefault="00460821" w:rsidP="00460821">
      <w:pPr>
        <w:pStyle w:val="Citation-AltC"/>
        <w:tabs>
          <w:tab w:val="left" w:pos="1080"/>
          <w:tab w:val="left" w:pos="1440"/>
        </w:tabs>
        <w:spacing w:after="240"/>
        <w:ind w:left="1440" w:hanging="720"/>
        <w:contextualSpacing w:val="0"/>
        <w:rPr>
          <w:lang w:val="fr-CA"/>
        </w:rPr>
      </w:pPr>
      <w:r w:rsidRPr="00B35658">
        <w:rPr>
          <w:lang w:val="fr-CA"/>
        </w:rPr>
        <w:lastRenderedPageBreak/>
        <w:tab/>
        <w:t>1.   l’existence d’un débat contradictoire approprié à la poursuite de l’instance en appel;</w:t>
      </w:r>
    </w:p>
    <w:p w:rsidR="00460821" w:rsidRPr="00B35658" w:rsidRDefault="00460821" w:rsidP="00460821">
      <w:pPr>
        <w:pStyle w:val="Citation-AltC"/>
        <w:tabs>
          <w:tab w:val="left" w:pos="1080"/>
          <w:tab w:val="left" w:pos="1440"/>
        </w:tabs>
        <w:spacing w:after="240"/>
        <w:ind w:left="1440" w:hanging="720"/>
        <w:contextualSpacing w:val="0"/>
        <w:rPr>
          <w:lang w:val="fr-CA"/>
        </w:rPr>
      </w:pPr>
      <w:r w:rsidRPr="00B35658">
        <w:rPr>
          <w:lang w:val="fr-CA"/>
        </w:rPr>
        <w:tab/>
        <w:t>2.   le sérieux des motifs d’appel;</w:t>
      </w:r>
    </w:p>
    <w:p w:rsidR="00460821" w:rsidRDefault="00460821" w:rsidP="00460821">
      <w:pPr>
        <w:pStyle w:val="Citation-AltC"/>
        <w:tabs>
          <w:tab w:val="left" w:pos="1080"/>
        </w:tabs>
        <w:spacing w:after="0"/>
        <w:ind w:left="1440" w:hanging="720"/>
        <w:contextualSpacing w:val="0"/>
        <w:rPr>
          <w:lang w:val="fr-CA"/>
        </w:rPr>
      </w:pPr>
      <w:r w:rsidRPr="00B35658">
        <w:rPr>
          <w:lang w:val="fr-CA"/>
        </w:rPr>
        <w:tab/>
        <w:t>3.   l’existence de circonstances spéciales qui transcendent le décès de l’appelant ou de l’intimé, dont :</w:t>
      </w:r>
    </w:p>
    <w:p w:rsidR="00002ADA" w:rsidRPr="00B35658" w:rsidRDefault="00002ADA" w:rsidP="00460821">
      <w:pPr>
        <w:pStyle w:val="Citation-AltC"/>
        <w:tabs>
          <w:tab w:val="left" w:pos="1080"/>
        </w:tabs>
        <w:spacing w:after="0"/>
        <w:ind w:left="1440" w:hanging="720"/>
        <w:contextualSpacing w:val="0"/>
        <w:rPr>
          <w:lang w:val="fr-CA"/>
        </w:rPr>
      </w:pPr>
    </w:p>
    <w:p w:rsidR="00460821" w:rsidRPr="00B35658" w:rsidRDefault="00460821" w:rsidP="00460821">
      <w:pPr>
        <w:pStyle w:val="Citation-AltC"/>
        <w:tabs>
          <w:tab w:val="left" w:pos="1440"/>
        </w:tabs>
        <w:spacing w:after="240"/>
        <w:ind w:left="1710" w:hanging="630"/>
        <w:contextualSpacing w:val="0"/>
        <w:rPr>
          <w:lang w:val="fr-CA"/>
        </w:rPr>
      </w:pPr>
      <w:r w:rsidRPr="00B35658">
        <w:rPr>
          <w:lang w:val="fr-CA"/>
        </w:rPr>
        <w:tab/>
        <w:t>a) une question de droit d’intérêt général, particulièrement s’il s’agit d’une question qui échappe ordinairement à l’examen en appel;</w:t>
      </w:r>
    </w:p>
    <w:p w:rsidR="00460821" w:rsidRPr="00B35658" w:rsidRDefault="00460821" w:rsidP="00460821">
      <w:pPr>
        <w:pStyle w:val="Citation-AltC"/>
        <w:tabs>
          <w:tab w:val="left" w:pos="1440"/>
        </w:tabs>
        <w:spacing w:after="240"/>
        <w:ind w:left="1710" w:hanging="630"/>
        <w:contextualSpacing w:val="0"/>
        <w:rPr>
          <w:lang w:val="fr-CA"/>
        </w:rPr>
      </w:pPr>
      <w:r w:rsidRPr="00B35658">
        <w:rPr>
          <w:lang w:val="fr-CA"/>
        </w:rPr>
        <w:tab/>
        <w:t>b) une question de nature systémique ayant trait à l’administration de la justice;</w:t>
      </w:r>
    </w:p>
    <w:p w:rsidR="00460821" w:rsidRPr="00B35658" w:rsidRDefault="00460821" w:rsidP="00460821">
      <w:pPr>
        <w:pStyle w:val="Citation-AltC"/>
        <w:tabs>
          <w:tab w:val="left" w:pos="1440"/>
        </w:tabs>
        <w:spacing w:after="240"/>
        <w:ind w:left="1710" w:hanging="630"/>
        <w:contextualSpacing w:val="0"/>
        <w:rPr>
          <w:lang w:val="fr-CA"/>
        </w:rPr>
      </w:pPr>
      <w:r w:rsidRPr="00B35658">
        <w:rPr>
          <w:lang w:val="fr-CA"/>
        </w:rPr>
        <w:tab/>
        <w:t>c) les conséquences accessoires pour la famille du défunt, tout autre intéressé ou le public;</w:t>
      </w:r>
    </w:p>
    <w:p w:rsidR="00460821" w:rsidRPr="00B35658" w:rsidRDefault="00460821" w:rsidP="00460821">
      <w:pPr>
        <w:pStyle w:val="Citation-AltC"/>
        <w:tabs>
          <w:tab w:val="left" w:pos="1080"/>
          <w:tab w:val="left" w:pos="1440"/>
        </w:tabs>
        <w:spacing w:after="240"/>
        <w:ind w:left="1440" w:hanging="720"/>
        <w:contextualSpacing w:val="0"/>
        <w:rPr>
          <w:lang w:val="fr-CA"/>
        </w:rPr>
      </w:pPr>
      <w:r w:rsidRPr="00B35658">
        <w:rPr>
          <w:lang w:val="fr-CA"/>
        </w:rPr>
        <w:tab/>
        <w:t>4.   la question de savoir si la nature de l’ordonnance que pourrait rendre la cour d’appel justifie l’affectation de ses ressources limitées au règlement d’un appel théorique;</w:t>
      </w:r>
    </w:p>
    <w:p w:rsidR="00460821" w:rsidRPr="00B35658" w:rsidRDefault="00460821" w:rsidP="00AF4F9E">
      <w:pPr>
        <w:pStyle w:val="Citation-AltC"/>
        <w:tabs>
          <w:tab w:val="left" w:pos="1080"/>
          <w:tab w:val="left" w:pos="1440"/>
        </w:tabs>
        <w:ind w:left="1440" w:hanging="720"/>
        <w:rPr>
          <w:lang w:val="fr-CA"/>
        </w:rPr>
      </w:pPr>
      <w:r w:rsidRPr="00B35658">
        <w:rPr>
          <w:lang w:val="fr-CA"/>
        </w:rPr>
        <w:tab/>
        <w:t>5.   la question de savoir si, en poursuivant l’instance en appel, la cour n’excède pas la fonction judiciaire, qui est de trancher des différends concrets, et est amenée à se prononcer sur des questions de type législatif autonomes qu’il vaut mieux laisser au législateur.</w:t>
      </w:r>
      <w:r w:rsidR="00AF4F9E">
        <w:rPr>
          <w:lang w:val="fr-CA"/>
        </w:rPr>
        <w:t xml:space="preserve"> </w:t>
      </w:r>
      <w:r w:rsidRPr="00B35658">
        <w:rPr>
          <w:lang w:val="fr-CA"/>
        </w:rPr>
        <w:t>[</w:t>
      </w:r>
      <w:proofErr w:type="gramStart"/>
      <w:r w:rsidRPr="00B35658">
        <w:rPr>
          <w:lang w:val="fr-CA"/>
        </w:rPr>
        <w:t>par</w:t>
      </w:r>
      <w:proofErr w:type="gramEnd"/>
      <w:r w:rsidRPr="00B35658">
        <w:rPr>
          <w:lang w:val="fr-CA"/>
        </w:rPr>
        <w:t>. 50]</w:t>
      </w:r>
    </w:p>
    <w:p w:rsidR="00460821" w:rsidRPr="00B35658" w:rsidRDefault="00460821" w:rsidP="00460821">
      <w:pPr>
        <w:pStyle w:val="ParaNoNdepar-AltN"/>
        <w:spacing w:before="0"/>
        <w:rPr>
          <w:rFonts w:cs="Times New Roman"/>
          <w:lang w:val="fr-CA"/>
        </w:rPr>
      </w:pPr>
      <w:r w:rsidRPr="00B35658">
        <w:rPr>
          <w:rFonts w:cs="Times New Roman"/>
          <w:lang w:val="fr-CA"/>
        </w:rPr>
        <w:t>Dans l’ensemble, ces facteurs justifient que la Cour statue sur le pourvoi du ministère public.</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Premièrement, malgré le décès de M. Poulin, l’avocat de ce dernier a présenté un mémoire complet dans lequel est exposée la position de M. Poulin et il a défendu cette position à l’audition du présent pourvoi. Les intervenantes </w:t>
      </w:r>
      <w:proofErr w:type="spellStart"/>
      <w:r w:rsidRPr="00B35658">
        <w:rPr>
          <w:rFonts w:cs="Times New Roman"/>
          <w:lang w:val="fr-CA"/>
        </w:rPr>
        <w:t>Criminal</w:t>
      </w:r>
      <w:proofErr w:type="spellEnd"/>
      <w:r w:rsidRPr="00B35658">
        <w:rPr>
          <w:rFonts w:cs="Times New Roman"/>
          <w:lang w:val="fr-CA"/>
        </w:rPr>
        <w:t xml:space="preserve"> </w:t>
      </w:r>
      <w:proofErr w:type="spellStart"/>
      <w:r w:rsidRPr="00B35658">
        <w:rPr>
          <w:rFonts w:cs="Times New Roman"/>
          <w:lang w:val="fr-CA"/>
        </w:rPr>
        <w:t>Lawyers</w:t>
      </w:r>
      <w:proofErr w:type="spellEnd"/>
      <w:r w:rsidRPr="00B35658">
        <w:rPr>
          <w:rFonts w:cs="Times New Roman"/>
          <w:lang w:val="fr-CA"/>
        </w:rPr>
        <w:t>’ Association (« CLA ») et Association québécoise des avocats et avocates de la défense (« AQAAD ») ont également présenté des observations qui cadraient avec la position de M. Poulin. Par conséquent, notre Cour a eu l’avantage d’entendre des observations contradictoires en l’espèce.</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 xml:space="preserve">Deuxièmement, il est évident que le cas de l’appelant est plus que </w:t>
      </w:r>
      <w:r w:rsidRPr="00B35658">
        <w:rPr>
          <w:rFonts w:cs="Times New Roman"/>
          <w:smallCaps/>
          <w:lang w:val="fr-CA"/>
        </w:rPr>
        <w:t xml:space="preserve">[traduction] </w:t>
      </w:r>
      <w:r w:rsidRPr="00B35658">
        <w:rPr>
          <w:rFonts w:cs="Times New Roman"/>
          <w:lang w:val="fr-CA"/>
        </w:rPr>
        <w:t xml:space="preserve">« défendable » (voir </w:t>
      </w:r>
      <w:r w:rsidRPr="00B35658">
        <w:rPr>
          <w:rFonts w:cs="Times New Roman"/>
          <w:i/>
          <w:lang w:val="fr-CA"/>
        </w:rPr>
        <w:t>R. c. </w:t>
      </w:r>
      <w:proofErr w:type="spellStart"/>
      <w:r w:rsidRPr="00B35658">
        <w:rPr>
          <w:rFonts w:cs="Times New Roman"/>
          <w:i/>
          <w:lang w:val="fr-CA"/>
        </w:rPr>
        <w:t>M</w:t>
      </w:r>
      <w:r w:rsidR="00417BB8">
        <w:rPr>
          <w:rFonts w:cs="Times New Roman"/>
          <w:i/>
          <w:lang w:val="fr-CA"/>
        </w:rPr>
        <w:t>a</w:t>
      </w:r>
      <w:r w:rsidRPr="00B35658">
        <w:rPr>
          <w:rFonts w:cs="Times New Roman"/>
          <w:i/>
          <w:lang w:val="fr-CA"/>
        </w:rPr>
        <w:t>cLellan</w:t>
      </w:r>
      <w:proofErr w:type="spellEnd"/>
      <w:r w:rsidR="00891C2B">
        <w:rPr>
          <w:rFonts w:cs="Times New Roman"/>
          <w:lang w:val="fr-CA"/>
        </w:rPr>
        <w:t xml:space="preserve">, </w:t>
      </w:r>
      <w:r w:rsidR="00FB4E96">
        <w:rPr>
          <w:rFonts w:cs="Times New Roman"/>
          <w:lang w:val="fr-CA"/>
        </w:rPr>
        <w:t>2019 NSCA 2, 369 C.C.C. (3d) 482</w:t>
      </w:r>
      <w:r w:rsidR="00891C2B">
        <w:rPr>
          <w:rFonts w:cs="Times New Roman"/>
          <w:lang w:val="fr-CA"/>
        </w:rPr>
        <w:t>, par. 96</w:t>
      </w:r>
      <w:r w:rsidRPr="00B35658">
        <w:rPr>
          <w:rFonts w:cs="Times New Roman"/>
          <w:lang w:val="fr-CA"/>
        </w:rPr>
        <w:t>). Le pourvoi du ministère public soulève une question constitutionnelle importante qui n’a pas encore été traitée à fond dans la jurisprudence. En effet, le ministère public souligne que, bien qu’elles soient concordantes, les décisions existantes relatives à l’al. 11</w:t>
      </w:r>
      <w:r w:rsidRPr="00B35658">
        <w:rPr>
          <w:rFonts w:cs="Times New Roman"/>
          <w:i/>
          <w:lang w:val="fr-CA"/>
        </w:rPr>
        <w:t>i</w:t>
      </w:r>
      <w:r w:rsidRPr="00B35658">
        <w:rPr>
          <w:rFonts w:cs="Times New Roman"/>
          <w:lang w:val="fr-CA"/>
        </w:rPr>
        <w:t>) qui traitent de la question du droit binaire ou global n’abordent pas, et définissent encore moins, les objets qui sous</w:t>
      </w:r>
      <w:r w:rsidRPr="00B35658">
        <w:rPr>
          <w:rFonts w:cs="Times New Roman"/>
          <w:lang w:val="fr-CA"/>
        </w:rPr>
        <w:noBreakHyphen/>
        <w:t>tendent le droit garanti par cette disposition. Cette lacune est capitale car, comme je l’explique ci</w:t>
      </w:r>
      <w:r w:rsidRPr="00B35658">
        <w:rPr>
          <w:rFonts w:cs="Times New Roman"/>
          <w:lang w:val="fr-CA"/>
        </w:rPr>
        <w:noBreakHyphen/>
        <w:t xml:space="preserve">dessous, l’interprétation d’un droit garanti par la </w:t>
      </w:r>
      <w:r w:rsidRPr="00B35658">
        <w:rPr>
          <w:rFonts w:cs="Times New Roman"/>
          <w:i/>
          <w:lang w:val="fr-CA"/>
        </w:rPr>
        <w:t>Charte</w:t>
      </w:r>
      <w:r w:rsidRPr="00B35658">
        <w:rPr>
          <w:rFonts w:cs="Times New Roman"/>
          <w:lang w:val="fr-CA"/>
        </w:rPr>
        <w:t xml:space="preserve"> dépend de son objet. Par conséquent, le pourvoi du ministère public est </w:t>
      </w:r>
      <w:r w:rsidRPr="00B35658">
        <w:rPr>
          <w:rFonts w:cs="Times New Roman"/>
          <w:smallCaps/>
          <w:lang w:val="fr-CA"/>
        </w:rPr>
        <w:t xml:space="preserve">[traduction] </w:t>
      </w:r>
      <w:r w:rsidRPr="00B35658">
        <w:rPr>
          <w:rFonts w:cs="Times New Roman"/>
          <w:lang w:val="fr-CA"/>
        </w:rPr>
        <w:t>« </w:t>
      </w:r>
      <w:proofErr w:type="spellStart"/>
      <w:r w:rsidRPr="00B35658">
        <w:rPr>
          <w:rFonts w:cs="Times New Roman"/>
          <w:lang w:val="fr-CA"/>
        </w:rPr>
        <w:t>bien fondé</w:t>
      </w:r>
      <w:proofErr w:type="spellEnd"/>
      <w:r w:rsidRPr="00B35658">
        <w:rPr>
          <w:rFonts w:cs="Times New Roman"/>
          <w:lang w:val="fr-CA"/>
        </w:rPr>
        <w:t> » et le ministère public soulève une question sérieuse (</w:t>
      </w:r>
      <w:r w:rsidR="00891C2B">
        <w:rPr>
          <w:rFonts w:cs="Times New Roman"/>
          <w:i/>
          <w:lang w:val="fr-CA"/>
        </w:rPr>
        <w:t>ibid.</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Troisièmement, l’interprétation juste de l’al. 11</w:t>
      </w:r>
      <w:r w:rsidRPr="00B35658">
        <w:rPr>
          <w:rFonts w:cs="Times New Roman"/>
          <w:i/>
          <w:lang w:val="fr-CA"/>
        </w:rPr>
        <w:t>i</w:t>
      </w:r>
      <w:r w:rsidRPr="00B35658">
        <w:rPr>
          <w:rFonts w:cs="Times New Roman"/>
          <w:lang w:val="fr-CA"/>
        </w:rPr>
        <w:t>) est « une question de droit d’intérêt général » qui « </w:t>
      </w:r>
      <w:proofErr w:type="spellStart"/>
      <w:r w:rsidRPr="00B35658">
        <w:rPr>
          <w:rFonts w:cs="Times New Roman"/>
          <w:lang w:val="fr-CA"/>
        </w:rPr>
        <w:t>transcend</w:t>
      </w:r>
      <w:proofErr w:type="spellEnd"/>
      <w:r w:rsidRPr="00B35658">
        <w:rPr>
          <w:rFonts w:cs="Times New Roman"/>
          <w:lang w:val="fr-CA"/>
        </w:rPr>
        <w:t xml:space="preserve">[e] le décès » de M. Poulin. La question du droit binaire ou global est la seule à trancher en l’espèce. En octroyant l’autorisation de former le présent pourvoi, notre Cour a indiqué qu’elle estime que la question du droit binaire ou global est d’intérêt public et qu’elle mérite de faire l’objet d’une analyse plus poussée (voir la </w:t>
      </w:r>
      <w:r w:rsidRPr="00B35658">
        <w:rPr>
          <w:rFonts w:cs="Times New Roman"/>
          <w:i/>
          <w:lang w:val="fr-CA"/>
        </w:rPr>
        <w:t>Loi sur la Cour suprême</w:t>
      </w:r>
      <w:r w:rsidRPr="00B35658">
        <w:rPr>
          <w:rFonts w:cs="Times New Roman"/>
          <w:lang w:val="fr-CA"/>
        </w:rPr>
        <w:t>, par. 40(1)). En</w:t>
      </w:r>
      <w:r w:rsidR="00DB1854">
        <w:rPr>
          <w:rFonts w:cs="Times New Roman"/>
          <w:lang w:val="fr-CA"/>
        </w:rPr>
        <w:t xml:space="preserve"> outre, contrairement à l’arrêt </w:t>
      </w:r>
      <w:r w:rsidRPr="00B35658">
        <w:rPr>
          <w:rFonts w:cs="Times New Roman"/>
          <w:i/>
          <w:lang w:val="fr-CA"/>
        </w:rPr>
        <w:t>Smith</w:t>
      </w:r>
      <w:r w:rsidRPr="00B35658">
        <w:rPr>
          <w:rFonts w:cs="Times New Roman"/>
          <w:lang w:val="fr-CA"/>
        </w:rPr>
        <w:t xml:space="preserve">, la question à trancher dans le présent pourvoi n’est pas propre aux faits de l’espèce. Au contraire, l’interprétation juste de cette disposition de la </w:t>
      </w:r>
      <w:r w:rsidRPr="00B35658">
        <w:rPr>
          <w:rFonts w:cs="Times New Roman"/>
          <w:i/>
          <w:lang w:val="fr-CA"/>
        </w:rPr>
        <w:t>Charte</w:t>
      </w:r>
      <w:r w:rsidRPr="00B35658">
        <w:rPr>
          <w:rFonts w:cs="Times New Roman"/>
          <w:lang w:val="fr-CA"/>
        </w:rPr>
        <w:t xml:space="preserve"> met en jeu une question de nature systémique ayant trait à l’administration de la justice, car l’al. 11</w:t>
      </w:r>
      <w:r w:rsidRPr="00B35658">
        <w:rPr>
          <w:rFonts w:cs="Times New Roman"/>
          <w:i/>
          <w:lang w:val="fr-CA"/>
        </w:rPr>
        <w:t>i</w:t>
      </w:r>
      <w:r w:rsidRPr="00B35658">
        <w:rPr>
          <w:rFonts w:cs="Times New Roman"/>
          <w:lang w:val="fr-CA"/>
        </w:rPr>
        <w:t xml:space="preserve">) s’applique à toutes les procédures de détermination de la peine. Par conséquent, le ministère public, qui agit au nom du public, a tout intérêt à ce que cette </w:t>
      </w:r>
      <w:r w:rsidRPr="00B35658">
        <w:rPr>
          <w:rFonts w:cs="Times New Roman"/>
          <w:lang w:val="fr-CA"/>
        </w:rPr>
        <w:lastRenderedPageBreak/>
        <w:t xml:space="preserve">question soit résolue (voir </w:t>
      </w:r>
      <w:r w:rsidRPr="00B35658">
        <w:rPr>
          <w:rFonts w:cs="Times New Roman"/>
          <w:i/>
          <w:lang w:val="fr-CA"/>
        </w:rPr>
        <w:t>Forget c. Québec (Procureur général)</w:t>
      </w:r>
      <w:r w:rsidRPr="00B35658">
        <w:rPr>
          <w:rFonts w:cs="Times New Roman"/>
          <w:lang w:val="fr-CA"/>
        </w:rPr>
        <w:t>, [1988] 2 R.C.S. 90, p. 97). De plus, le présent pourvoi a des conséquences accessoires importantes; en effet, l’interprétation appropriée de l’al. 11</w:t>
      </w:r>
      <w:r w:rsidRPr="00B35658">
        <w:rPr>
          <w:rFonts w:cs="Times New Roman"/>
          <w:i/>
          <w:lang w:val="fr-CA"/>
        </w:rPr>
        <w:t>i</w:t>
      </w:r>
      <w:r w:rsidRPr="00B35658">
        <w:rPr>
          <w:rFonts w:cs="Times New Roman"/>
          <w:lang w:val="fr-CA"/>
        </w:rPr>
        <w:t>) touche non seulement toutes les personnes déclarées coupables d’infractions et leurs familles, mais aussi toutes les personnes qui s’intéressent à la sentence de ces contrevenants, ce qui comprend la société en général en plus des victimes et de leurs proches. Ainsi, il est « dans l’intérêt du public de statuer sur le fond de la question pour déterminer l’état du droit » (</w:t>
      </w:r>
      <w:proofErr w:type="spellStart"/>
      <w:r w:rsidRPr="00B35658">
        <w:rPr>
          <w:rFonts w:cs="Times New Roman"/>
          <w:i/>
          <w:lang w:val="fr-CA"/>
        </w:rPr>
        <w:t>Borowski</w:t>
      </w:r>
      <w:proofErr w:type="spellEnd"/>
      <w:r w:rsidRPr="00B35658">
        <w:rPr>
          <w:rFonts w:cs="Times New Roman"/>
          <w:i/>
          <w:lang w:val="fr-CA"/>
        </w:rPr>
        <w:t xml:space="preserve"> c. Canada (Procureur général)</w:t>
      </w:r>
      <w:r w:rsidRPr="00B35658">
        <w:rPr>
          <w:rFonts w:cs="Times New Roman"/>
          <w:lang w:val="fr-CA"/>
        </w:rPr>
        <w:t>, [1989] 1 R.C.S. 342, p. 364).</w:t>
      </w:r>
    </w:p>
    <w:p w:rsidR="00460821" w:rsidRPr="00B35658" w:rsidRDefault="00460821" w:rsidP="00460821">
      <w:pPr>
        <w:pStyle w:val="ParaNoNdepar-AltN"/>
        <w:spacing w:before="0"/>
        <w:rPr>
          <w:rFonts w:cs="Times New Roman"/>
          <w:lang w:val="fr-CA"/>
        </w:rPr>
      </w:pPr>
      <w:r w:rsidRPr="00B35658">
        <w:rPr>
          <w:rFonts w:cs="Times New Roman"/>
          <w:lang w:val="fr-CA"/>
        </w:rPr>
        <w:t>Quatrièmement, la valeur de la décision de notre Cour sur l’interprétation appropriée de l’al. 11</w:t>
      </w:r>
      <w:r w:rsidRPr="00B35658">
        <w:rPr>
          <w:rFonts w:cs="Times New Roman"/>
          <w:i/>
          <w:lang w:val="fr-CA"/>
        </w:rPr>
        <w:t>i</w:t>
      </w:r>
      <w:r w:rsidRPr="00B35658">
        <w:rPr>
          <w:rFonts w:cs="Times New Roman"/>
          <w:lang w:val="fr-CA"/>
        </w:rPr>
        <w:t xml:space="preserve">) l’emporte sans conteste sur toute préoccupation quant aux ressources judiciaires limitées. À ce stade et dans les circonstances, la solution la plus respectueuse des ressources de toutes les parties consiste à trancher le pourvoi. Bien que </w:t>
      </w:r>
      <w:r w:rsidRPr="00B35658">
        <w:rPr>
          <w:rFonts w:cs="Times New Roman"/>
          <w:i/>
          <w:lang w:val="fr-CA"/>
        </w:rPr>
        <w:t xml:space="preserve">notre </w:t>
      </w:r>
      <w:r w:rsidRPr="00B35658">
        <w:rPr>
          <w:rFonts w:cs="Times New Roman"/>
          <w:lang w:val="fr-CA"/>
        </w:rPr>
        <w:t>Cour puisse économiser certaines ressources à court terme si une décision de ne pas trancher le présent pourvoi était rendue, il ne fait aucun doute qu’une telle décision obligerait d’</w:t>
      </w:r>
      <w:r w:rsidRPr="00B35658">
        <w:rPr>
          <w:rFonts w:cs="Times New Roman"/>
          <w:i/>
          <w:lang w:val="fr-CA"/>
        </w:rPr>
        <w:t xml:space="preserve">autres </w:t>
      </w:r>
      <w:r w:rsidRPr="00B35658">
        <w:rPr>
          <w:rFonts w:cs="Times New Roman"/>
          <w:lang w:val="fr-CA"/>
        </w:rPr>
        <w:t>cours et les acteurs du système de justice à dépenser des ressources supplémentaires à long terme. Il est beaucoup plus efficace et juste que notre Cour tranche aujourd’hui cette question d’importance nationale que d’obliger les futurs plaideurs et les tribunaux d’instance inférieure à consacrer des ressources supplémentaires au débat de cette question jusqu’à ce que celle</w:t>
      </w:r>
      <w:r w:rsidRPr="00B35658">
        <w:rPr>
          <w:rFonts w:cs="Times New Roman"/>
          <w:lang w:val="fr-CA"/>
        </w:rPr>
        <w:noBreakHyphen/>
        <w:t>ci soit inévitablement soumise à notre Cour de nouveau. De toute évidence, le « coût social de laisser une question sans réponse » l’emporte sur tous les menus frais que notre Cour pourrait engager pour trancher le pourvoi (</w:t>
      </w:r>
      <w:proofErr w:type="spellStart"/>
      <w:r w:rsidRPr="00B35658">
        <w:rPr>
          <w:rFonts w:cs="Times New Roman"/>
          <w:i/>
          <w:lang w:val="fr-CA"/>
        </w:rPr>
        <w:t>Borowski</w:t>
      </w:r>
      <w:proofErr w:type="spellEnd"/>
      <w:r w:rsidRPr="00B35658">
        <w:rPr>
          <w:rFonts w:cs="Times New Roman"/>
          <w:lang w:val="fr-CA"/>
        </w:rPr>
        <w:t>, p. 361</w:t>
      </w:r>
      <w:r w:rsidRPr="00B35658">
        <w:rPr>
          <w:rFonts w:cs="Times New Roman"/>
          <w:lang w:val="fr-CA"/>
        </w:rPr>
        <w:noBreakHyphen/>
        <w:t>362).</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 xml:space="preserve">Cinquièmement, et enfin, il incombe aux tribunaux, et non au législateur, de définir la portée des droits garantis par la </w:t>
      </w:r>
      <w:r w:rsidRPr="00B35658">
        <w:rPr>
          <w:rFonts w:cs="Times New Roman"/>
          <w:i/>
          <w:lang w:val="fr-CA"/>
        </w:rPr>
        <w:t>Charte</w:t>
      </w:r>
      <w:r w:rsidRPr="00B35658">
        <w:rPr>
          <w:rFonts w:cs="Times New Roman"/>
          <w:lang w:val="fr-CA"/>
        </w:rPr>
        <w:t>. À la différence de l’arrêt </w:t>
      </w:r>
      <w:proofErr w:type="spellStart"/>
      <w:r w:rsidRPr="00B35658">
        <w:rPr>
          <w:rFonts w:cs="Times New Roman"/>
          <w:i/>
          <w:lang w:val="fr-CA"/>
        </w:rPr>
        <w:t>Borowski</w:t>
      </w:r>
      <w:proofErr w:type="spellEnd"/>
      <w:r w:rsidRPr="00B35658">
        <w:rPr>
          <w:rFonts w:cs="Times New Roman"/>
          <w:lang w:val="fr-CA"/>
        </w:rPr>
        <w:t>, notre Cour n’empiéterait pas sur le rôle du législateur en tranchant la question dont elle est saisie.</w:t>
      </w:r>
    </w:p>
    <w:p w:rsidR="00460821" w:rsidRPr="00B35658" w:rsidRDefault="00460821" w:rsidP="00460821">
      <w:pPr>
        <w:pStyle w:val="ParaNoNdepar-AltN"/>
        <w:spacing w:before="0"/>
        <w:rPr>
          <w:rFonts w:cs="Times New Roman"/>
          <w:lang w:val="fr-CA"/>
        </w:rPr>
      </w:pPr>
      <w:r w:rsidRPr="00B35658">
        <w:rPr>
          <w:rFonts w:cs="Times New Roman"/>
          <w:lang w:val="fr-CA"/>
        </w:rPr>
        <w:t>Compte tenu de ces cinq facteurs, je suis convaincue qu’en l’espèce, « une question demeure en litige et doit être tranchée dans l’intérêt de la justice malgré le décès de la personne la plus directement touchée par l’appel » (</w:t>
      </w:r>
      <w:r w:rsidRPr="00B35658">
        <w:rPr>
          <w:rFonts w:cs="Times New Roman"/>
          <w:i/>
          <w:lang w:val="fr-CA"/>
        </w:rPr>
        <w:t>Smith</w:t>
      </w:r>
      <w:r w:rsidRPr="00B35658">
        <w:rPr>
          <w:rFonts w:cs="Times New Roman"/>
          <w:lang w:val="fr-CA"/>
        </w:rPr>
        <w:t>, par. 4; voir également le par. 50). Le mémoire déposé par le ministère public avant le décès de M. Poulin porte exclusivement sur l’interprétation juste de l’al. 11</w:t>
      </w:r>
      <w:r w:rsidRPr="00B35658">
        <w:rPr>
          <w:rFonts w:cs="Times New Roman"/>
          <w:i/>
          <w:lang w:val="fr-CA"/>
        </w:rPr>
        <w:t>i</w:t>
      </w:r>
      <w:r w:rsidRPr="00B35658">
        <w:rPr>
          <w:rFonts w:cs="Times New Roman"/>
          <w:lang w:val="fr-CA"/>
        </w:rPr>
        <w:t>) et non sur la sentence de M. Poulin elle</w:t>
      </w:r>
      <w:r w:rsidRPr="00B35658">
        <w:rPr>
          <w:rFonts w:cs="Times New Roman"/>
          <w:lang w:val="fr-CA"/>
        </w:rPr>
        <w:noBreakHyphen/>
        <w:t xml:space="preserve">même. Cela démontre que le présent pourvoi soulève une pure question de droit qui est indépendante du contexte factuel devenu maintenant théorique qui a donné naissance au départ à cette question. En effet, il présente presque toutes les caractéristiques d’un pourvoi qui doit être tranché en dépit de son caractère théorique : il est </w:t>
      </w:r>
      <w:r w:rsidRPr="00B35658">
        <w:rPr>
          <w:rFonts w:cs="Times New Roman"/>
          <w:smallCaps/>
          <w:lang w:val="fr-CA"/>
        </w:rPr>
        <w:t>[traduction]</w:t>
      </w:r>
      <w:r w:rsidRPr="00B35658">
        <w:rPr>
          <w:rFonts w:cs="Times New Roman"/>
          <w:lang w:val="fr-CA"/>
        </w:rPr>
        <w:t xml:space="preserve"> « important pour l’administration de la justice criminelle »; il a « une dimension constitutionnelle »; il nécessite « l’interprétation </w:t>
      </w:r>
      <w:r w:rsidR="000B2CB5" w:rsidRPr="00B35658">
        <w:rPr>
          <w:rFonts w:cs="Times New Roman"/>
          <w:lang w:val="fr-CA"/>
        </w:rPr>
        <w:t>d’une disposition législative [. . .</w:t>
      </w:r>
      <w:r w:rsidRPr="00B35658">
        <w:rPr>
          <w:rFonts w:cs="Times New Roman"/>
          <w:lang w:val="fr-CA"/>
        </w:rPr>
        <w:t>] qui est appliquée fréquemment »; et il porte sur une question que « les tribunaux de première instance sont appelés à trancher quotidiennement » (</w:t>
      </w:r>
      <w:r w:rsidRPr="00B35658">
        <w:rPr>
          <w:rFonts w:cs="Times New Roman"/>
          <w:i/>
          <w:lang w:val="fr-CA"/>
        </w:rPr>
        <w:t>R. c. Beaton</w:t>
      </w:r>
      <w:r w:rsidRPr="00B35658">
        <w:rPr>
          <w:rFonts w:cs="Times New Roman"/>
          <w:lang w:val="fr-CA"/>
        </w:rPr>
        <w:t>, 2018 ONCA 924, par. 14 (</w:t>
      </w:r>
      <w:proofErr w:type="spellStart"/>
      <w:r w:rsidRPr="00B35658">
        <w:rPr>
          <w:rFonts w:cs="Times New Roman"/>
          <w:lang w:val="fr-CA"/>
        </w:rPr>
        <w:t>CanLII</w:t>
      </w:r>
      <w:proofErr w:type="spellEnd"/>
      <w:r w:rsidRPr="00B35658">
        <w:rPr>
          <w:rFonts w:cs="Times New Roman"/>
          <w:lang w:val="fr-CA"/>
        </w:rPr>
        <w:t>)). Par conséquent, le présent pourvoi constitue l’un de ces cas où la Cour doit exercer son pouvoir discrétionnaire pour trancher un pourvoi en matière criminelle devenu théorique, ce qu’elle fait « rarement et à titre exceptionnel » (</w:t>
      </w:r>
      <w:r w:rsidRPr="00B35658">
        <w:rPr>
          <w:rFonts w:cs="Times New Roman"/>
          <w:i/>
          <w:lang w:val="fr-CA"/>
        </w:rPr>
        <w:t>Smith</w:t>
      </w:r>
      <w:r w:rsidRPr="00B35658">
        <w:rPr>
          <w:rFonts w:cs="Times New Roman"/>
          <w:lang w:val="fr-CA"/>
        </w:rPr>
        <w:t>, par. 10). Je suis d’avis d’accueillir la requête visant la poursuite du pourvoi.</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Dans les présents motifs, j’appelle la position présentée au nom de M. Poulin la « position de M. Poulin » même s’il est décédé.</w:t>
      </w:r>
    </w:p>
    <w:p w:rsidR="00460821" w:rsidRPr="00B35658" w:rsidRDefault="00460821" w:rsidP="00460821">
      <w:pPr>
        <w:pStyle w:val="Title2LevelTitre2Niveau"/>
        <w:spacing w:before="0"/>
        <w:rPr>
          <w:rFonts w:cs="Times New Roman"/>
          <w:lang w:val="fr-CA"/>
        </w:rPr>
      </w:pPr>
      <w:bookmarkStart w:id="13" w:name="_Toc12005414"/>
      <w:bookmarkStart w:id="14" w:name="_Toc12278991"/>
      <w:r w:rsidRPr="00B35658">
        <w:rPr>
          <w:rFonts w:cs="Times New Roman"/>
          <w:lang w:val="fr-CA"/>
        </w:rPr>
        <w:t>L’alinéa 11i) de la Charte constitutionnalise</w:t>
      </w:r>
      <w:r w:rsidRPr="00B35658">
        <w:rPr>
          <w:rFonts w:cs="Times New Roman"/>
          <w:lang w:val="fr-CA"/>
        </w:rPr>
        <w:noBreakHyphen/>
        <w:t>t</w:t>
      </w:r>
      <w:r w:rsidRPr="00B35658">
        <w:rPr>
          <w:rFonts w:cs="Times New Roman"/>
          <w:lang w:val="fr-CA"/>
        </w:rPr>
        <w:noBreakHyphen/>
        <w:t>il un droit binaire ou un droit global?</w:t>
      </w:r>
      <w:bookmarkEnd w:id="13"/>
      <w:bookmarkEnd w:id="14"/>
    </w:p>
    <w:p w:rsidR="00460821" w:rsidRPr="00B35658" w:rsidRDefault="00460821" w:rsidP="00460821">
      <w:pPr>
        <w:pStyle w:val="ParaNoNdepar-AltN"/>
        <w:spacing w:before="0"/>
        <w:rPr>
          <w:rFonts w:cs="Times New Roman"/>
          <w:lang w:val="fr-CA"/>
        </w:rPr>
      </w:pPr>
      <w:r w:rsidRPr="00B35658">
        <w:rPr>
          <w:rFonts w:cs="Times New Roman"/>
          <w:lang w:val="fr-CA"/>
        </w:rPr>
        <w:t>L’alinéa 11</w:t>
      </w:r>
      <w:r w:rsidRPr="00B35658">
        <w:rPr>
          <w:rFonts w:cs="Times New Roman"/>
          <w:i/>
          <w:lang w:val="fr-CA"/>
        </w:rPr>
        <w:t>i</w:t>
      </w:r>
      <w:r w:rsidRPr="00B35658">
        <w:rPr>
          <w:rFonts w:cs="Times New Roman"/>
          <w:lang w:val="fr-CA"/>
        </w:rPr>
        <w:t xml:space="preserve">) de la </w:t>
      </w:r>
      <w:r w:rsidRPr="00B35658">
        <w:rPr>
          <w:rFonts w:cs="Times New Roman"/>
          <w:i/>
          <w:lang w:val="fr-CA"/>
        </w:rPr>
        <w:t xml:space="preserve">Charte </w:t>
      </w:r>
      <w:r w:rsidRPr="00B35658">
        <w:rPr>
          <w:rFonts w:cs="Times New Roman"/>
          <w:lang w:val="fr-CA"/>
        </w:rPr>
        <w:t>fait partie d’une disposition générale qui protège les « droits fondamentaux très importants » de l’accusé (</w:t>
      </w:r>
      <w:r w:rsidRPr="00B35658">
        <w:rPr>
          <w:rFonts w:cs="Times New Roman"/>
          <w:i/>
          <w:lang w:val="fr-CA"/>
        </w:rPr>
        <w:t>R. c. </w:t>
      </w:r>
      <w:proofErr w:type="spellStart"/>
      <w:r w:rsidRPr="00B35658">
        <w:rPr>
          <w:rFonts w:cs="Times New Roman"/>
          <w:i/>
          <w:lang w:val="fr-CA"/>
        </w:rPr>
        <w:t>Wigglesworth</w:t>
      </w:r>
      <w:proofErr w:type="spellEnd"/>
      <w:r w:rsidR="00721292" w:rsidRPr="00B35658">
        <w:rPr>
          <w:rFonts w:cs="Times New Roman"/>
          <w:lang w:val="fr-CA"/>
        </w:rPr>
        <w:t xml:space="preserve">, [1987] 2 </w:t>
      </w:r>
      <w:r w:rsidRPr="00B35658">
        <w:rPr>
          <w:rFonts w:cs="Times New Roman"/>
          <w:lang w:val="fr-CA"/>
        </w:rPr>
        <w:t>R.C.</w:t>
      </w:r>
      <w:r w:rsidR="00721292" w:rsidRPr="00B35658">
        <w:rPr>
          <w:rFonts w:cs="Times New Roman"/>
          <w:lang w:val="fr-CA"/>
        </w:rPr>
        <w:t xml:space="preserve">S. </w:t>
      </w:r>
      <w:r w:rsidRPr="00B35658">
        <w:rPr>
          <w:rFonts w:cs="Times New Roman"/>
          <w:lang w:val="fr-CA"/>
        </w:rPr>
        <w:t>541, p. 558, la juge Wilson). Parmi les droits consacrés à l’art. 11 figurent le droit d’être présumé innocent (al. 11</w:t>
      </w:r>
      <w:r w:rsidRPr="00B35658">
        <w:rPr>
          <w:rFonts w:cs="Times New Roman"/>
          <w:i/>
          <w:lang w:val="fr-CA"/>
        </w:rPr>
        <w:t>d</w:t>
      </w:r>
      <w:r w:rsidRPr="00B35658">
        <w:rPr>
          <w:rFonts w:cs="Times New Roman"/>
          <w:lang w:val="fr-CA"/>
        </w:rPr>
        <w:t>)), le droit d’être jugé dans un délai raisonnable (al. 11</w:t>
      </w:r>
      <w:r w:rsidRPr="00B35658">
        <w:rPr>
          <w:rFonts w:cs="Times New Roman"/>
          <w:i/>
          <w:lang w:val="fr-CA"/>
        </w:rPr>
        <w:t>b</w:t>
      </w:r>
      <w:r w:rsidRPr="00B35658">
        <w:rPr>
          <w:rFonts w:cs="Times New Roman"/>
          <w:lang w:val="fr-CA"/>
        </w:rPr>
        <w:t>)), le droit de bénéficier d’un procès avec jury pour certaines infractions graves (al. 11</w:t>
      </w:r>
      <w:r w:rsidRPr="00B35658">
        <w:rPr>
          <w:rFonts w:cs="Times New Roman"/>
          <w:i/>
          <w:lang w:val="fr-CA"/>
        </w:rPr>
        <w:t>f</w:t>
      </w:r>
      <w:r w:rsidRPr="00B35658">
        <w:rPr>
          <w:rFonts w:cs="Times New Roman"/>
          <w:lang w:val="fr-CA"/>
        </w:rPr>
        <w:t>)), le droit de ne pas être contraint de témoigner contre soi</w:t>
      </w:r>
      <w:r w:rsidRPr="00B35658">
        <w:rPr>
          <w:rFonts w:cs="Times New Roman"/>
          <w:lang w:val="fr-CA"/>
        </w:rPr>
        <w:noBreakHyphen/>
        <w:t>même (al. 11</w:t>
      </w:r>
      <w:r w:rsidRPr="00B35658">
        <w:rPr>
          <w:rFonts w:cs="Times New Roman"/>
          <w:i/>
          <w:lang w:val="fr-CA"/>
        </w:rPr>
        <w:t>c</w:t>
      </w:r>
      <w:r w:rsidRPr="00B35658">
        <w:rPr>
          <w:rFonts w:cs="Times New Roman"/>
          <w:lang w:val="fr-CA"/>
        </w:rPr>
        <w:t>)), et le droit de ne pas être privé sans juste cause d’une mise en liberté assortie d’un cautionnement raisonnable (al. 11</w:t>
      </w:r>
      <w:r w:rsidRPr="00B35658">
        <w:rPr>
          <w:rFonts w:cs="Times New Roman"/>
          <w:i/>
          <w:lang w:val="fr-CA"/>
        </w:rPr>
        <w:t>e</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L’al</w:t>
      </w:r>
      <w:r w:rsidR="005F67FE" w:rsidRPr="00B35658">
        <w:rPr>
          <w:rFonts w:cs="Times New Roman"/>
          <w:lang w:val="fr-CA"/>
        </w:rPr>
        <w:t>inéa </w:t>
      </w:r>
      <w:r w:rsidRPr="00B35658">
        <w:rPr>
          <w:rFonts w:cs="Times New Roman"/>
          <w:lang w:val="fr-CA"/>
        </w:rPr>
        <w:t>11</w:t>
      </w:r>
      <w:r w:rsidRPr="00B35658">
        <w:rPr>
          <w:rFonts w:cs="Times New Roman"/>
          <w:i/>
          <w:lang w:val="fr-CA"/>
        </w:rPr>
        <w:t>i</w:t>
      </w:r>
      <w:r w:rsidRPr="00B35658">
        <w:rPr>
          <w:rFonts w:cs="Times New Roman"/>
          <w:lang w:val="fr-CA"/>
        </w:rPr>
        <w:t xml:space="preserve">) de la </w:t>
      </w:r>
      <w:r w:rsidRPr="00B35658">
        <w:rPr>
          <w:rFonts w:cs="Times New Roman"/>
          <w:i/>
          <w:lang w:val="fr-CA"/>
        </w:rPr>
        <w:t xml:space="preserve">Charte </w:t>
      </w:r>
      <w:r w:rsidR="00E92B24" w:rsidRPr="00B35658">
        <w:rPr>
          <w:rFonts w:cs="Times New Roman"/>
          <w:lang w:val="fr-CA"/>
        </w:rPr>
        <w:t>dispose </w:t>
      </w:r>
      <w:r w:rsidRPr="00B35658">
        <w:rPr>
          <w:rFonts w:cs="Times New Roman"/>
          <w:lang w:val="fr-CA"/>
        </w:rPr>
        <w:t>:</w:t>
      </w:r>
    </w:p>
    <w:p w:rsidR="00460821" w:rsidRPr="00B35658" w:rsidRDefault="00460821" w:rsidP="00EE6F89">
      <w:pPr>
        <w:pStyle w:val="Citation-AltC"/>
        <w:spacing w:after="240"/>
        <w:ind w:left="1440"/>
        <w:contextualSpacing w:val="0"/>
        <w:rPr>
          <w:lang w:val="fr-CA"/>
        </w:rPr>
      </w:pPr>
      <w:r w:rsidRPr="00B35658">
        <w:rPr>
          <w:b/>
          <w:bCs/>
          <w:lang w:val="fr-CA"/>
        </w:rPr>
        <w:t>11.</w:t>
      </w:r>
      <w:r w:rsidRPr="00B35658">
        <w:rPr>
          <w:lang w:val="fr-CA"/>
        </w:rPr>
        <w:t> Tout inculpé a le droit :</w:t>
      </w:r>
    </w:p>
    <w:p w:rsidR="00460821" w:rsidRPr="00B35658" w:rsidRDefault="00261208" w:rsidP="00460821">
      <w:pPr>
        <w:pStyle w:val="Citation-AltC"/>
        <w:tabs>
          <w:tab w:val="left" w:pos="4500"/>
        </w:tabs>
        <w:spacing w:after="240"/>
        <w:ind w:left="4500" w:hanging="360"/>
        <w:contextualSpacing w:val="0"/>
        <w:rPr>
          <w:bCs/>
          <w:lang w:val="fr-CA"/>
        </w:rPr>
      </w:pPr>
      <w:r>
        <w:rPr>
          <w:bCs/>
          <w:lang w:val="fr-CA"/>
        </w:rPr>
        <w:tab/>
      </w:r>
      <w:r w:rsidR="00FC700A" w:rsidRPr="00B35658">
        <w:rPr>
          <w:bCs/>
          <w:lang w:val="fr-CA"/>
        </w:rPr>
        <w:t>. . .</w:t>
      </w:r>
    </w:p>
    <w:p w:rsidR="00460821" w:rsidRPr="00B35658" w:rsidRDefault="00460821" w:rsidP="008A1215">
      <w:pPr>
        <w:pStyle w:val="Citation-AltC"/>
        <w:ind w:left="1440"/>
        <w:contextualSpacing w:val="0"/>
        <w:rPr>
          <w:lang w:val="fr-CA"/>
        </w:rPr>
      </w:pPr>
      <w:r w:rsidRPr="00B35658">
        <w:rPr>
          <w:i/>
          <w:iCs/>
          <w:lang w:val="fr-CA"/>
        </w:rPr>
        <w:t>i</w:t>
      </w:r>
      <w:r w:rsidRPr="00B35658">
        <w:rPr>
          <w:lang w:val="fr-CA"/>
        </w:rPr>
        <w:t>) de bénéficier de la peine la moins sévère, lorsque la peine qui sanctionne l’infraction dont il est déclaré coupable est modifiée entre le moment de la perpétration de l’infraction et celui de la sentence.</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Le ministère public appelant et le procureur général de l’Ontario </w:t>
      </w:r>
      <w:proofErr w:type="gramStart"/>
      <w:r w:rsidRPr="00B35658">
        <w:rPr>
          <w:rFonts w:cs="Times New Roman"/>
          <w:lang w:val="fr-CA"/>
        </w:rPr>
        <w:t>intervenant soutiennent</w:t>
      </w:r>
      <w:proofErr w:type="gramEnd"/>
      <w:r w:rsidRPr="00B35658">
        <w:rPr>
          <w:rFonts w:cs="Times New Roman"/>
          <w:lang w:val="fr-CA"/>
        </w:rPr>
        <w:t xml:space="preserve"> que l’al. 11</w:t>
      </w:r>
      <w:r w:rsidRPr="00B35658">
        <w:rPr>
          <w:rFonts w:cs="Times New Roman"/>
          <w:i/>
          <w:lang w:val="fr-CA"/>
        </w:rPr>
        <w:t>i</w:t>
      </w:r>
      <w:r w:rsidRPr="00B35658">
        <w:rPr>
          <w:rFonts w:cs="Times New Roman"/>
          <w:lang w:val="fr-CA"/>
        </w:rPr>
        <w:t xml:space="preserve">) confère un droit binaire. À leur avis, cette disposition donne au contrevenant le droit de bénéficier de la moins sévère des peines </w:t>
      </w:r>
      <w:r w:rsidRPr="00B35658">
        <w:rPr>
          <w:rFonts w:cs="Times New Roman"/>
          <w:lang w:val="fr-CA"/>
        </w:rPr>
        <w:lastRenderedPageBreak/>
        <w:t>prévues par les lois en vigueur à deux moments importants : celui de la perpétration de l’infraction et celui de la sentence. L’intimé M. Poulin et les intervenantes la CLA et l’AQAAD affirment que l’al. 11</w:t>
      </w:r>
      <w:r w:rsidRPr="00B35658">
        <w:rPr>
          <w:rFonts w:cs="Times New Roman"/>
          <w:i/>
          <w:lang w:val="fr-CA"/>
        </w:rPr>
        <w:t>i</w:t>
      </w:r>
      <w:r w:rsidRPr="00B35658">
        <w:rPr>
          <w:rFonts w:cs="Times New Roman"/>
          <w:lang w:val="fr-CA"/>
        </w:rPr>
        <w:t>) confère un droit global. À leur avis, cette disposition donne au contrevenant le droit de bénéficier de la peine la moins sévère qui ait existé depuis que l’infraction a été commise.</w:t>
      </w:r>
    </w:p>
    <w:p w:rsidR="00460821" w:rsidRPr="00B35658" w:rsidRDefault="00460821" w:rsidP="00460821">
      <w:pPr>
        <w:pStyle w:val="ParaNoNdepar-AltN"/>
        <w:spacing w:before="0"/>
        <w:rPr>
          <w:rFonts w:cs="Times New Roman"/>
          <w:lang w:val="fr-CA"/>
        </w:rPr>
      </w:pPr>
      <w:r w:rsidRPr="00B35658">
        <w:rPr>
          <w:rFonts w:cs="Times New Roman"/>
          <w:lang w:val="fr-CA"/>
        </w:rPr>
        <w:t>Jusqu’à maintenant, les tribunaux canadiens ont privilégié l’interprétation de M. Poulin. Les tribunaux du pays, dont la Cour d’appel du Québec en l’espèce, ont toujours interprété l’al. 11</w:t>
      </w:r>
      <w:r w:rsidRPr="00B35658">
        <w:rPr>
          <w:rFonts w:cs="Times New Roman"/>
          <w:i/>
          <w:lang w:val="fr-CA"/>
        </w:rPr>
        <w:t>i</w:t>
      </w:r>
      <w:r w:rsidRPr="00B35658">
        <w:rPr>
          <w:rFonts w:cs="Times New Roman"/>
          <w:lang w:val="fr-CA"/>
        </w:rPr>
        <w:t xml:space="preserve">) comme conférant un droit global (voir, par exemple, </w:t>
      </w:r>
      <w:proofErr w:type="spellStart"/>
      <w:r w:rsidRPr="00B35658">
        <w:rPr>
          <w:rFonts w:cs="Times New Roman"/>
          <w:i/>
          <w:lang w:val="fr-CA"/>
        </w:rPr>
        <w:t>Belzil</w:t>
      </w:r>
      <w:proofErr w:type="spellEnd"/>
      <w:r w:rsidRPr="00B35658">
        <w:rPr>
          <w:rFonts w:cs="Times New Roman"/>
          <w:lang w:val="fr-CA"/>
        </w:rPr>
        <w:t xml:space="preserve">; </w:t>
      </w:r>
      <w:r w:rsidRPr="00B35658">
        <w:rPr>
          <w:rFonts w:cs="Times New Roman"/>
          <w:i/>
          <w:lang w:val="fr-CA"/>
        </w:rPr>
        <w:t>R. c. </w:t>
      </w:r>
      <w:proofErr w:type="spellStart"/>
      <w:r w:rsidRPr="00B35658">
        <w:rPr>
          <w:rFonts w:cs="Times New Roman"/>
          <w:i/>
          <w:lang w:val="fr-CA"/>
        </w:rPr>
        <w:t>Cadman</w:t>
      </w:r>
      <w:proofErr w:type="spellEnd"/>
      <w:r w:rsidRPr="00B35658">
        <w:rPr>
          <w:rFonts w:cs="Times New Roman"/>
          <w:lang w:val="fr-CA"/>
        </w:rPr>
        <w:t xml:space="preserve">, 2018 BCCA 100, 359 C.C.C. (3d) 427; </w:t>
      </w:r>
      <w:r w:rsidRPr="00B35658">
        <w:rPr>
          <w:rFonts w:cs="Times New Roman"/>
          <w:i/>
          <w:lang w:val="fr-CA"/>
        </w:rPr>
        <w:t>R. c. </w:t>
      </w:r>
      <w:proofErr w:type="spellStart"/>
      <w:r w:rsidRPr="00B35658">
        <w:rPr>
          <w:rFonts w:cs="Times New Roman"/>
          <w:i/>
          <w:lang w:val="fr-CA"/>
        </w:rPr>
        <w:t>Bent</w:t>
      </w:r>
      <w:proofErr w:type="spellEnd"/>
      <w:r w:rsidRPr="00B35658">
        <w:rPr>
          <w:rFonts w:cs="Times New Roman"/>
          <w:lang w:val="fr-CA"/>
        </w:rPr>
        <w:t xml:space="preserve">, 2017 ONSC 3189, 383 C.R.R. (2d) 161; </w:t>
      </w:r>
      <w:r w:rsidRPr="00B35658">
        <w:rPr>
          <w:rFonts w:cs="Times New Roman"/>
          <w:i/>
          <w:lang w:val="fr-CA"/>
        </w:rPr>
        <w:t>R. c. Yusuf</w:t>
      </w:r>
      <w:r w:rsidRPr="00B35658">
        <w:rPr>
          <w:rFonts w:cs="Times New Roman"/>
          <w:lang w:val="fr-CA"/>
        </w:rPr>
        <w:t xml:space="preserve">, 2011 BCSC 626; </w:t>
      </w:r>
      <w:r w:rsidRPr="00B35658">
        <w:rPr>
          <w:rFonts w:cs="Times New Roman"/>
          <w:i/>
          <w:lang w:val="fr-CA"/>
        </w:rPr>
        <w:t>R. c. </w:t>
      </w:r>
      <w:proofErr w:type="spellStart"/>
      <w:r w:rsidRPr="00B35658">
        <w:rPr>
          <w:rFonts w:cs="Times New Roman"/>
          <w:i/>
          <w:lang w:val="fr-CA"/>
        </w:rPr>
        <w:t>Mehanmal</w:t>
      </w:r>
      <w:proofErr w:type="spellEnd"/>
      <w:r w:rsidRPr="00B35658">
        <w:rPr>
          <w:rFonts w:cs="Times New Roman"/>
          <w:lang w:val="fr-CA"/>
        </w:rPr>
        <w:t>, 2012 ONCJ 681, 270 C.R.R. (2d) 271). De façon générale, et tel q</w:t>
      </w:r>
      <w:r w:rsidR="009606A1" w:rsidRPr="00B35658">
        <w:rPr>
          <w:rFonts w:cs="Times New Roman"/>
          <w:lang w:val="fr-CA"/>
        </w:rPr>
        <w:t>u’il est précisé ci</w:t>
      </w:r>
      <w:r w:rsidR="009606A1" w:rsidRPr="00B35658">
        <w:rPr>
          <w:rFonts w:cs="Times New Roman"/>
          <w:lang w:val="fr-CA"/>
        </w:rPr>
        <w:noBreakHyphen/>
        <w:t xml:space="preserve">après, deux </w:t>
      </w:r>
      <w:r w:rsidRPr="00B35658">
        <w:rPr>
          <w:rFonts w:cs="Times New Roman"/>
          <w:lang w:val="fr-CA"/>
        </w:rPr>
        <w:t>facteurs ont amené ces tribunaux à conclure que l’al. 11</w:t>
      </w:r>
      <w:r w:rsidRPr="00B35658">
        <w:rPr>
          <w:rFonts w:cs="Times New Roman"/>
          <w:i/>
          <w:lang w:val="fr-CA"/>
        </w:rPr>
        <w:t>i</w:t>
      </w:r>
      <w:r w:rsidRPr="00B35658">
        <w:rPr>
          <w:rFonts w:cs="Times New Roman"/>
          <w:lang w:val="fr-CA"/>
        </w:rPr>
        <w:t>) confère au contrevenant le droit de bénéficier d’une peine moins sévère qui ne s’appliquait pas au moment de la perpétration de l’infraction ou au moment de la sentence, mais qui s’est appliquée pendant un certain temps entre ces deux moments. Le premier facteur est l’emploi du terme « entre » à l’al. 11</w:t>
      </w:r>
      <w:r w:rsidRPr="00B35658">
        <w:rPr>
          <w:rFonts w:cs="Times New Roman"/>
          <w:i/>
          <w:lang w:val="fr-CA"/>
        </w:rPr>
        <w:t>i</w:t>
      </w:r>
      <w:r w:rsidRPr="00B35658">
        <w:rPr>
          <w:rFonts w:cs="Times New Roman"/>
          <w:lang w:val="fr-CA"/>
        </w:rPr>
        <w:t>). Selon les tribunaux canadiens, l’emploi du terme « entre » indique que le droit garanti par l’al. 11</w:t>
      </w:r>
      <w:r w:rsidRPr="00B35658">
        <w:rPr>
          <w:rFonts w:cs="Times New Roman"/>
          <w:i/>
          <w:lang w:val="fr-CA"/>
        </w:rPr>
        <w:t>i</w:t>
      </w:r>
      <w:r w:rsidRPr="00B35658">
        <w:rPr>
          <w:rFonts w:cs="Times New Roman"/>
          <w:lang w:val="fr-CA"/>
        </w:rPr>
        <w:t xml:space="preserve">) s’applique à l’ensemble de la période qui s’est écoulée entre le moment de la perpétration de l’infraction et celui de la sentence. Le deuxième facteur est le principe de l’interprétation libérale des droits garantis par la </w:t>
      </w:r>
      <w:r w:rsidRPr="00B35658">
        <w:rPr>
          <w:rFonts w:cs="Times New Roman"/>
          <w:i/>
          <w:lang w:val="fr-CA"/>
        </w:rPr>
        <w:t>Charte</w:t>
      </w:r>
      <w:r w:rsidRPr="00B35658">
        <w:rPr>
          <w:rFonts w:cs="Times New Roman"/>
          <w:lang w:val="fr-CA"/>
        </w:rPr>
        <w:t xml:space="preserve">. Selon les tribunaux canadiens, ce </w:t>
      </w:r>
      <w:proofErr w:type="gramStart"/>
      <w:r w:rsidRPr="00B35658">
        <w:rPr>
          <w:rFonts w:cs="Times New Roman"/>
          <w:lang w:val="fr-CA"/>
        </w:rPr>
        <w:t>principe exige</w:t>
      </w:r>
      <w:proofErr w:type="gramEnd"/>
      <w:r w:rsidRPr="00B35658">
        <w:rPr>
          <w:rFonts w:cs="Times New Roman"/>
          <w:lang w:val="fr-CA"/>
        </w:rPr>
        <w:t xml:space="preserve"> que l’al. 11</w:t>
      </w:r>
      <w:r w:rsidRPr="00B35658">
        <w:rPr>
          <w:rFonts w:cs="Times New Roman"/>
          <w:i/>
          <w:lang w:val="fr-CA"/>
        </w:rPr>
        <w:t>i</w:t>
      </w:r>
      <w:r w:rsidRPr="00B35658">
        <w:rPr>
          <w:rFonts w:cs="Times New Roman"/>
          <w:lang w:val="fr-CA"/>
        </w:rPr>
        <w:t>) soit interprété de la manière la plus favorable qui soit pour le contrevenant.</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Toutefois, ces décisions ne contiennent pas d’analyse fondée sur les objets</w:t>
      </w:r>
      <w:r w:rsidRPr="00B35658">
        <w:rPr>
          <w:rFonts w:cs="Times New Roman"/>
          <w:i/>
          <w:lang w:val="fr-CA"/>
        </w:rPr>
        <w:t xml:space="preserve"> </w:t>
      </w:r>
      <w:r w:rsidRPr="00B35658">
        <w:rPr>
          <w:rFonts w:cs="Times New Roman"/>
          <w:lang w:val="fr-CA"/>
        </w:rPr>
        <w:t>de l’al. 11</w:t>
      </w:r>
      <w:r w:rsidRPr="00B35658">
        <w:rPr>
          <w:rFonts w:cs="Times New Roman"/>
          <w:i/>
          <w:lang w:val="fr-CA"/>
        </w:rPr>
        <w:t>i</w:t>
      </w:r>
      <w:r w:rsidRPr="00B35658">
        <w:rPr>
          <w:rFonts w:cs="Times New Roman"/>
          <w:lang w:val="fr-CA"/>
        </w:rPr>
        <w:t>). En effet, elles ne traitent pas des objets de l’al. 11</w:t>
      </w:r>
      <w:r w:rsidRPr="00B35658">
        <w:rPr>
          <w:rFonts w:cs="Times New Roman"/>
          <w:i/>
          <w:lang w:val="fr-CA"/>
        </w:rPr>
        <w:t>i</w:t>
      </w:r>
      <w:r w:rsidRPr="00B35658">
        <w:rPr>
          <w:rFonts w:cs="Times New Roman"/>
          <w:lang w:val="fr-CA"/>
        </w:rPr>
        <w:t xml:space="preserve">). Or, l’interprétation d’un droit garanti par la </w:t>
      </w:r>
      <w:r w:rsidRPr="00B35658">
        <w:rPr>
          <w:rFonts w:cs="Times New Roman"/>
          <w:i/>
          <w:lang w:val="fr-CA"/>
        </w:rPr>
        <w:t xml:space="preserve">Charte </w:t>
      </w:r>
      <w:r w:rsidRPr="00B35658">
        <w:rPr>
          <w:rFonts w:cs="Times New Roman"/>
          <w:lang w:val="fr-CA"/>
        </w:rPr>
        <w:t xml:space="preserve">est une entreprise </w:t>
      </w:r>
      <w:r w:rsidRPr="00B35658">
        <w:rPr>
          <w:rFonts w:cs="Times New Roman"/>
          <w:i/>
          <w:lang w:val="fr-CA"/>
        </w:rPr>
        <w:t xml:space="preserve">téléologique </w:t>
      </w:r>
      <w:r w:rsidRPr="00B35658">
        <w:rPr>
          <w:rFonts w:cs="Times New Roman"/>
          <w:lang w:val="fr-CA"/>
        </w:rPr>
        <w:t>(</w:t>
      </w:r>
      <w:r w:rsidRPr="00B35658">
        <w:rPr>
          <w:rFonts w:cs="Times New Roman"/>
          <w:i/>
          <w:lang w:val="fr-CA"/>
        </w:rPr>
        <w:t xml:space="preserve">R. c. </w:t>
      </w:r>
      <w:proofErr w:type="spellStart"/>
      <w:r w:rsidRPr="00B35658">
        <w:rPr>
          <w:rFonts w:cs="Times New Roman"/>
          <w:i/>
          <w:lang w:val="fr-CA"/>
        </w:rPr>
        <w:t>Big</w:t>
      </w:r>
      <w:proofErr w:type="spellEnd"/>
      <w:r w:rsidRPr="00B35658">
        <w:rPr>
          <w:rFonts w:cs="Times New Roman"/>
          <w:i/>
          <w:lang w:val="fr-CA"/>
        </w:rPr>
        <w:t xml:space="preserve"> M Drug </w:t>
      </w:r>
      <w:proofErr w:type="spellStart"/>
      <w:r w:rsidRPr="00B35658">
        <w:rPr>
          <w:rFonts w:cs="Times New Roman"/>
          <w:i/>
          <w:lang w:val="fr-CA"/>
        </w:rPr>
        <w:t>Mart</w:t>
      </w:r>
      <w:proofErr w:type="spellEnd"/>
      <w:r w:rsidRPr="00B35658">
        <w:rPr>
          <w:rFonts w:cs="Times New Roman"/>
          <w:i/>
          <w:lang w:val="fr-CA"/>
        </w:rPr>
        <w:t xml:space="preserve"> Ltd.</w:t>
      </w:r>
      <w:r w:rsidRPr="00B35658">
        <w:rPr>
          <w:rFonts w:cs="Times New Roman"/>
          <w:lang w:val="fr-CA"/>
        </w:rPr>
        <w:t xml:space="preserve">, [1985] 1 R.C.S. 295, p. 344). Un droit garanti par la </w:t>
      </w:r>
      <w:r w:rsidRPr="00B35658">
        <w:rPr>
          <w:rFonts w:cs="Times New Roman"/>
          <w:i/>
          <w:lang w:val="fr-CA"/>
        </w:rPr>
        <w:t xml:space="preserve">Charte </w:t>
      </w:r>
      <w:r w:rsidRPr="00B35658">
        <w:rPr>
          <w:rFonts w:cs="Times New Roman"/>
          <w:lang w:val="fr-CA"/>
        </w:rPr>
        <w:t>doit être interprété en fonction de l’objet ou des objets qui le sous</w:t>
      </w:r>
      <w:r w:rsidRPr="00B35658">
        <w:rPr>
          <w:rFonts w:cs="Times New Roman"/>
          <w:lang w:val="fr-CA"/>
        </w:rPr>
        <w:noBreakHyphen/>
        <w:t>tendent. Dans l’arrêt </w:t>
      </w:r>
      <w:proofErr w:type="spellStart"/>
      <w:r w:rsidRPr="00B35658">
        <w:rPr>
          <w:rFonts w:cs="Times New Roman"/>
          <w:i/>
          <w:lang w:val="fr-CA"/>
        </w:rPr>
        <w:t>Big</w:t>
      </w:r>
      <w:proofErr w:type="spellEnd"/>
      <w:r w:rsidRPr="00B35658">
        <w:rPr>
          <w:rFonts w:cs="Times New Roman"/>
          <w:i/>
          <w:lang w:val="fr-CA"/>
        </w:rPr>
        <w:t> M</w:t>
      </w:r>
      <w:r w:rsidRPr="00B35658">
        <w:rPr>
          <w:rFonts w:cs="Times New Roman"/>
          <w:lang w:val="fr-CA"/>
        </w:rPr>
        <w:t xml:space="preserve">, notre Cour a expliqué que l’objet du droit ou de la liberté en question doit être déterminé « en fonction de la nature et des objectifs plus larges de la </w:t>
      </w:r>
      <w:r w:rsidRPr="00B35658">
        <w:rPr>
          <w:rFonts w:cs="Times New Roman"/>
          <w:i/>
          <w:lang w:val="fr-CA"/>
        </w:rPr>
        <w:t xml:space="preserve">Charte </w:t>
      </w:r>
      <w:r w:rsidRPr="00B35658">
        <w:rPr>
          <w:rFonts w:cs="Times New Roman"/>
          <w:lang w:val="fr-CA"/>
        </w:rPr>
        <w:t>elle</w:t>
      </w:r>
      <w:r w:rsidRPr="00B35658">
        <w:rPr>
          <w:rFonts w:cs="Times New Roman"/>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B35658">
        <w:rPr>
          <w:rFonts w:cs="Times New Roman"/>
          <w:i/>
          <w:lang w:val="fr-CA"/>
        </w:rPr>
        <w:t>Charte </w:t>
      </w:r>
      <w:r w:rsidRPr="00B35658">
        <w:rPr>
          <w:rFonts w:cs="Times New Roman"/>
          <w:lang w:val="fr-CA"/>
        </w:rPr>
        <w:t>» (p. 344). Par conséquent, il est impossible de déterminer si l’al. 11</w:t>
      </w:r>
      <w:r w:rsidRPr="00B35658">
        <w:rPr>
          <w:rFonts w:cs="Times New Roman"/>
          <w:i/>
          <w:lang w:val="fr-CA"/>
        </w:rPr>
        <w:t>i</w:t>
      </w:r>
      <w:r w:rsidRPr="00B35658">
        <w:rPr>
          <w:rFonts w:cs="Times New Roman"/>
          <w:lang w:val="fr-CA"/>
        </w:rPr>
        <w:t>) confère un droit binaire ou un droit global sans examiner les objets du droit que garantit cette disposition en tenant compte de ces considérations.</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Dans l’arrêt </w:t>
      </w:r>
      <w:r w:rsidRPr="00B35658">
        <w:rPr>
          <w:rFonts w:cs="Times New Roman"/>
          <w:i/>
          <w:lang w:val="fr-CA"/>
        </w:rPr>
        <w:t>R. c. K.R.J.</w:t>
      </w:r>
      <w:r w:rsidRPr="00B35658">
        <w:rPr>
          <w:rFonts w:cs="Times New Roman"/>
          <w:lang w:val="fr-CA"/>
        </w:rPr>
        <w:t>, 2016 CSC 31, [2016] 1 R.C.S. 906, notre Cour a déclaré que les objets qui sous</w:t>
      </w:r>
      <w:r w:rsidRPr="00B35658">
        <w:rPr>
          <w:rFonts w:cs="Times New Roman"/>
          <w:lang w:val="fr-CA"/>
        </w:rPr>
        <w:noBreakHyphen/>
        <w:t>tendent l’al. 11</w:t>
      </w:r>
      <w:r w:rsidRPr="00B35658">
        <w:rPr>
          <w:rFonts w:cs="Times New Roman"/>
          <w:i/>
          <w:lang w:val="fr-CA"/>
        </w:rPr>
        <w:t>i</w:t>
      </w:r>
      <w:r w:rsidRPr="00B35658">
        <w:rPr>
          <w:rFonts w:cs="Times New Roman"/>
          <w:lang w:val="fr-CA"/>
        </w:rPr>
        <w:t>) sont la primauté du droit et l’équité. Je commence mon analyse en expliquant comment l’al. 11</w:t>
      </w:r>
      <w:r w:rsidRPr="00B35658">
        <w:rPr>
          <w:rFonts w:cs="Times New Roman"/>
          <w:i/>
          <w:lang w:val="fr-CA"/>
        </w:rPr>
        <w:t>i</w:t>
      </w:r>
      <w:r w:rsidRPr="00B35658">
        <w:rPr>
          <w:rFonts w:cs="Times New Roman"/>
          <w:lang w:val="fr-CA"/>
        </w:rPr>
        <w:t xml:space="preserve">) reflète ces deux objets. En m’appuyant sur ce fondement, et conformément à la méthode formulée dans </w:t>
      </w:r>
      <w:proofErr w:type="spellStart"/>
      <w:r w:rsidRPr="00B35658">
        <w:rPr>
          <w:rFonts w:cs="Times New Roman"/>
          <w:i/>
          <w:lang w:val="fr-CA"/>
        </w:rPr>
        <w:t>Big</w:t>
      </w:r>
      <w:proofErr w:type="spellEnd"/>
      <w:r w:rsidRPr="00B35658">
        <w:rPr>
          <w:rFonts w:cs="Times New Roman"/>
          <w:i/>
          <w:lang w:val="fr-CA"/>
        </w:rPr>
        <w:t> M</w:t>
      </w:r>
      <w:r w:rsidRPr="00B35658">
        <w:rPr>
          <w:rFonts w:cs="Times New Roman"/>
          <w:lang w:val="fr-CA"/>
        </w:rPr>
        <w:t>, j’examinerai le contexte linguistique et historique de l’al. 11</w:t>
      </w:r>
      <w:r w:rsidRPr="00B35658">
        <w:rPr>
          <w:rFonts w:cs="Times New Roman"/>
          <w:i/>
          <w:lang w:val="fr-CA"/>
        </w:rPr>
        <w:t>i</w:t>
      </w:r>
      <w:r w:rsidRPr="00B35658">
        <w:rPr>
          <w:rFonts w:cs="Times New Roman"/>
          <w:lang w:val="fr-CA"/>
        </w:rPr>
        <w:t>). À mon avis, le libellé et l’historique de cette disposition étayent l’interprétation binaire. Qui plus est, contrairement à l’interprétation globale, l’interprétation binaire est conforme aux objets que vise l’al. 11</w:t>
      </w:r>
      <w:r w:rsidRPr="00B35658">
        <w:rPr>
          <w:rFonts w:cs="Times New Roman"/>
          <w:i/>
          <w:lang w:val="fr-CA"/>
        </w:rPr>
        <w:t>i</w:t>
      </w:r>
      <w:r w:rsidRPr="00B35658">
        <w:rPr>
          <w:rFonts w:cs="Times New Roman"/>
          <w:lang w:val="fr-CA"/>
        </w:rPr>
        <w:t xml:space="preserve">). Loin de servir la primauté du droit et l’équité, une interprétation </w:t>
      </w:r>
      <w:r w:rsidRPr="00B35658">
        <w:rPr>
          <w:rFonts w:cs="Times New Roman"/>
          <w:lang w:val="fr-CA"/>
        </w:rPr>
        <w:lastRenderedPageBreak/>
        <w:t>globale de l’al. 11</w:t>
      </w:r>
      <w:r w:rsidRPr="00B35658">
        <w:rPr>
          <w:rFonts w:cs="Times New Roman"/>
          <w:i/>
          <w:lang w:val="fr-CA"/>
        </w:rPr>
        <w:t>i</w:t>
      </w:r>
      <w:r w:rsidRPr="00B35658">
        <w:rPr>
          <w:rFonts w:cs="Times New Roman"/>
          <w:lang w:val="fr-CA"/>
        </w:rPr>
        <w:t>) minerait leur atteinte. Par conséquent, une interprétation téléologique de l’al. 11</w:t>
      </w:r>
      <w:r w:rsidRPr="00B35658">
        <w:rPr>
          <w:rFonts w:cs="Times New Roman"/>
          <w:i/>
          <w:lang w:val="fr-CA"/>
        </w:rPr>
        <w:t>i</w:t>
      </w:r>
      <w:r w:rsidRPr="00B35658">
        <w:rPr>
          <w:rFonts w:cs="Times New Roman"/>
          <w:lang w:val="fr-CA"/>
        </w:rPr>
        <w:t>) mène à la conclusion qu’il confère un droit binaire.</w:t>
      </w:r>
    </w:p>
    <w:p w:rsidR="00460821" w:rsidRPr="00B35658" w:rsidRDefault="00460821" w:rsidP="00460821">
      <w:pPr>
        <w:pStyle w:val="ParaNoNdepar-AltN"/>
        <w:spacing w:before="0"/>
        <w:rPr>
          <w:rFonts w:cs="Times New Roman"/>
          <w:lang w:val="fr-CA"/>
        </w:rPr>
      </w:pPr>
      <w:r w:rsidRPr="00B35658">
        <w:rPr>
          <w:rFonts w:cs="Times New Roman"/>
          <w:lang w:val="fr-CA"/>
        </w:rPr>
        <w:t>Pour procéder à une analyse téléologique de l’al. 11</w:t>
      </w:r>
      <w:r w:rsidRPr="00B35658">
        <w:rPr>
          <w:rFonts w:cs="Times New Roman"/>
          <w:i/>
          <w:lang w:val="fr-CA"/>
        </w:rPr>
        <w:t>i</w:t>
      </w:r>
      <w:r w:rsidRPr="00B35658">
        <w:rPr>
          <w:rFonts w:cs="Times New Roman"/>
          <w:lang w:val="fr-CA"/>
        </w:rPr>
        <w:t>), il est nécessaire de comprendre comment s’appliquerait cette disposition, tant en général que dans le contexte d’une interprétation binaire et d’une interprétation globale. Il nous est impossible de comprendre les incidences de ces deux interprétations divergentes de l’al. 11</w:t>
      </w:r>
      <w:r w:rsidRPr="00B35658">
        <w:rPr>
          <w:rFonts w:cs="Times New Roman"/>
          <w:i/>
          <w:lang w:val="fr-CA"/>
        </w:rPr>
        <w:t>i</w:t>
      </w:r>
      <w:r w:rsidRPr="00B35658">
        <w:rPr>
          <w:rFonts w:cs="Times New Roman"/>
          <w:lang w:val="fr-CA"/>
        </w:rPr>
        <w:t>), et de déterminer si elles concordent avec les objets de l’al. 11</w:t>
      </w:r>
      <w:r w:rsidRPr="00B35658">
        <w:rPr>
          <w:rFonts w:cs="Times New Roman"/>
          <w:i/>
          <w:lang w:val="fr-CA"/>
        </w:rPr>
        <w:t>i</w:t>
      </w:r>
      <w:r w:rsidRPr="00B35658">
        <w:rPr>
          <w:rFonts w:cs="Times New Roman"/>
          <w:lang w:val="fr-CA"/>
        </w:rPr>
        <w:t>), sans d’abord comprendre le fonctionnement de base de cette disposition et les effets de chacune de ces interprétations. Je commencerai donc par étudier ce fonctionnement. Comme nous le verrons, l’application de l’al. 11</w:t>
      </w:r>
      <w:r w:rsidRPr="00B35658">
        <w:rPr>
          <w:rFonts w:cs="Times New Roman"/>
          <w:i/>
          <w:lang w:val="fr-CA"/>
        </w:rPr>
        <w:t>i</w:t>
      </w:r>
      <w:r w:rsidRPr="00B35658">
        <w:rPr>
          <w:rFonts w:cs="Times New Roman"/>
          <w:lang w:val="fr-CA"/>
        </w:rPr>
        <w:t>) soulève quatre questions. Nul ne conteste que l’al. 11</w:t>
      </w:r>
      <w:r w:rsidRPr="00B35658">
        <w:rPr>
          <w:rFonts w:cs="Times New Roman"/>
          <w:i/>
          <w:lang w:val="fr-CA"/>
        </w:rPr>
        <w:t>i</w:t>
      </w:r>
      <w:r w:rsidRPr="00B35658">
        <w:rPr>
          <w:rFonts w:cs="Times New Roman"/>
          <w:lang w:val="fr-CA"/>
        </w:rPr>
        <w:t>) soulève ces questions. Elles découlent naturellement de son libellé et figurent dans la jurisprudence relative à ce droit. Comme nous le verrons, ce qui distingue les deux interprétations, binaire et globale, de l’al. 11</w:t>
      </w:r>
      <w:r w:rsidRPr="00B35658">
        <w:rPr>
          <w:rFonts w:cs="Times New Roman"/>
          <w:i/>
          <w:lang w:val="fr-CA"/>
        </w:rPr>
        <w:t>i</w:t>
      </w:r>
      <w:r w:rsidRPr="00B35658">
        <w:rPr>
          <w:rFonts w:cs="Times New Roman"/>
          <w:lang w:val="fr-CA"/>
        </w:rPr>
        <w:t>), ce sont les réponses qu’elles commandent à l’égard de chacune des quatre questions.</w:t>
      </w:r>
    </w:p>
    <w:p w:rsidR="00460821" w:rsidRPr="00B35658" w:rsidRDefault="00460821" w:rsidP="00460821">
      <w:pPr>
        <w:pStyle w:val="Title3LevelTitre3Niveau"/>
        <w:spacing w:before="0"/>
        <w:rPr>
          <w:rFonts w:cs="Times New Roman"/>
          <w:lang w:val="fr-CA"/>
        </w:rPr>
      </w:pPr>
      <w:bookmarkStart w:id="15" w:name="_Toc12005415"/>
      <w:bookmarkStart w:id="16" w:name="_Toc12278992"/>
      <w:r w:rsidRPr="00B35658">
        <w:rPr>
          <w:rFonts w:cs="Times New Roman"/>
          <w:lang w:val="fr-CA"/>
        </w:rPr>
        <w:t>Contexte : Application de l’al. 11</w:t>
      </w:r>
      <w:r w:rsidRPr="00B35658">
        <w:rPr>
          <w:rFonts w:cs="Times New Roman"/>
          <w:i/>
          <w:lang w:val="fr-CA"/>
        </w:rPr>
        <w:t>i</w:t>
      </w:r>
      <w:r w:rsidRPr="00B35658">
        <w:rPr>
          <w:rFonts w:cs="Times New Roman"/>
          <w:lang w:val="fr-CA"/>
        </w:rPr>
        <w:t>)</w:t>
      </w:r>
      <w:bookmarkEnd w:id="15"/>
      <w:bookmarkEnd w:id="16"/>
    </w:p>
    <w:p w:rsidR="00460821" w:rsidRPr="00B35658" w:rsidRDefault="00460821" w:rsidP="00460821">
      <w:pPr>
        <w:pStyle w:val="ParaNoNdepar-AltN"/>
        <w:numPr>
          <w:ilvl w:val="4"/>
          <w:numId w:val="1"/>
        </w:numPr>
        <w:spacing w:before="0" w:after="720" w:line="240" w:lineRule="auto"/>
        <w:ind w:left="1152" w:hanging="576"/>
        <w:rPr>
          <w:rFonts w:cs="Times New Roman"/>
          <w:i/>
          <w:lang w:val="fr-CA"/>
        </w:rPr>
      </w:pPr>
      <w:r w:rsidRPr="00B35658">
        <w:rPr>
          <w:rFonts w:cs="Times New Roman"/>
          <w:i/>
          <w:lang w:val="fr-CA"/>
        </w:rPr>
        <w:t>Première question : quelles sont les dispositions applicables en matière de détermination de la peine?</w:t>
      </w:r>
    </w:p>
    <w:p w:rsidR="00460821" w:rsidRPr="00B35658" w:rsidRDefault="00460821" w:rsidP="00460821">
      <w:pPr>
        <w:pStyle w:val="ParaNoNdepar-AltN"/>
        <w:spacing w:before="0"/>
        <w:rPr>
          <w:rFonts w:cs="Times New Roman"/>
          <w:lang w:val="fr-CA"/>
        </w:rPr>
      </w:pPr>
      <w:r w:rsidRPr="00B35658">
        <w:rPr>
          <w:rFonts w:cs="Times New Roman"/>
          <w:lang w:val="fr-CA"/>
        </w:rPr>
        <w:t>Il ressort clairement du libellé de l’al. 11</w:t>
      </w:r>
      <w:r w:rsidRPr="00B35658">
        <w:rPr>
          <w:rFonts w:cs="Times New Roman"/>
          <w:i/>
          <w:lang w:val="fr-CA"/>
        </w:rPr>
        <w:t>i</w:t>
      </w:r>
      <w:r w:rsidRPr="00B35658">
        <w:rPr>
          <w:rFonts w:cs="Times New Roman"/>
          <w:lang w:val="fr-CA"/>
        </w:rPr>
        <w:t>) que cette disposition implique une comparaison entre de nombreuses « peines » et le droit de bénéficier de la moins sévère d’entre elles. Ainsi, la première question que soulève l’application de l’al. 11</w:t>
      </w:r>
      <w:r w:rsidRPr="00B35658">
        <w:rPr>
          <w:rFonts w:cs="Times New Roman"/>
          <w:i/>
          <w:lang w:val="fr-CA"/>
        </w:rPr>
        <w:t>i</w:t>
      </w:r>
      <w:r w:rsidRPr="00B35658">
        <w:rPr>
          <w:rFonts w:cs="Times New Roman"/>
          <w:lang w:val="fr-CA"/>
        </w:rPr>
        <w:t xml:space="preserve">) </w:t>
      </w:r>
      <w:r w:rsidRPr="00B35658">
        <w:rPr>
          <w:rFonts w:cs="Times New Roman"/>
          <w:lang w:val="fr-CA"/>
        </w:rPr>
        <w:lastRenderedPageBreak/>
        <w:t>est de savoir quelles sont les différentes dispositions relatives à la détermination de la peine qui étaient appliquées pour sanctionner l’infraction aux moments pertinents. Une interprétation binaire de l’al. 11</w:t>
      </w:r>
      <w:r w:rsidRPr="00B35658">
        <w:rPr>
          <w:rFonts w:cs="Times New Roman"/>
          <w:i/>
          <w:lang w:val="fr-CA"/>
        </w:rPr>
        <w:t>i</w:t>
      </w:r>
      <w:r w:rsidRPr="00B35658">
        <w:rPr>
          <w:rFonts w:cs="Times New Roman"/>
          <w:lang w:val="fr-CA"/>
        </w:rPr>
        <w:t>) exige que les dispositions relatives à la détermination de la peine qui étaient en vigueur au moment de la perpétration de l’infraction et celles en vigueur au moment de la sentence soient appliquées. À l’inverse, une interprétation globale de l’al. 11</w:t>
      </w:r>
      <w:r w:rsidRPr="00B35658">
        <w:rPr>
          <w:rFonts w:cs="Times New Roman"/>
          <w:i/>
          <w:lang w:val="fr-CA"/>
        </w:rPr>
        <w:t>i</w:t>
      </w:r>
      <w:r w:rsidRPr="00B35658">
        <w:rPr>
          <w:rFonts w:cs="Times New Roman"/>
          <w:lang w:val="fr-CA"/>
        </w:rPr>
        <w:t>) impose d’établir un historique législatif exhaustif de toutes</w:t>
      </w:r>
      <w:r w:rsidRPr="00B35658">
        <w:rPr>
          <w:rFonts w:cs="Times New Roman"/>
          <w:i/>
          <w:lang w:val="fr-CA"/>
        </w:rPr>
        <w:t xml:space="preserve"> </w:t>
      </w:r>
      <w:r w:rsidRPr="00B35658">
        <w:rPr>
          <w:rFonts w:cs="Times New Roman"/>
          <w:lang w:val="fr-CA"/>
        </w:rPr>
        <w:t>les dispositions relatives à la détermination de la peine qui ont pu s’appliquer à l’infraction depuis sa perpétration. Selon une interprétation globale, il faudrait dresser la liste de toutes les dispositions établissant la peine relative à l’infraction de grossière indécence qui ont été appliquées au cours des décennies qui se sont écoulées entre les infractions commises par M. Poulin et sa sentence afin de respecter le droit que lui confère l’al. 11</w:t>
      </w:r>
      <w:r w:rsidRPr="00B35658">
        <w:rPr>
          <w:rFonts w:cs="Times New Roman"/>
          <w:i/>
          <w:lang w:val="fr-CA"/>
        </w:rPr>
        <w:t>i</w:t>
      </w:r>
      <w:r w:rsidRPr="00B35658">
        <w:rPr>
          <w:rFonts w:cs="Times New Roman"/>
          <w:lang w:val="fr-CA"/>
        </w:rPr>
        <w:t>). Sinon, la peine la moins sévère qui était en vigueur au cours de cet intervalle pourrait ne pas être prise en considération par inadvertance.</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Comme je l’ai mentionné, la disposition applicable au crime dont M. Poulin a été reconnu coupable — la grossière indécence — a été abrogée en 1988 après que M. Poulin l’eut commis. Cependant, les parties conviennent que, après cette date, les dispositions en matière de détermination de la peine applicables aux infractions de grossière indécence commises par M. Poulin sont celles qui s’appliquent aux actes criminels d’ordre sexuel prévus au </w:t>
      </w:r>
      <w:r w:rsidRPr="00B35658">
        <w:rPr>
          <w:rFonts w:cs="Times New Roman"/>
          <w:i/>
          <w:lang w:val="fr-CA"/>
        </w:rPr>
        <w:t>Code criminel</w:t>
      </w:r>
      <w:r w:rsidRPr="00B35658">
        <w:rPr>
          <w:rFonts w:cs="Times New Roman"/>
          <w:lang w:val="fr-CA"/>
        </w:rPr>
        <w:t xml:space="preserve">. De plus, étant donné que la peine d’emprisonnement avec sursis ne pouvait plus être infligée pour sanctionner ce type d’infractions d’ordre sexuel à la suite des modifications apportées au </w:t>
      </w:r>
      <w:r w:rsidRPr="00B35658">
        <w:rPr>
          <w:rFonts w:cs="Times New Roman"/>
          <w:i/>
          <w:lang w:val="fr-CA"/>
        </w:rPr>
        <w:t>Code criminel</w:t>
      </w:r>
      <w:r w:rsidRPr="00B35658">
        <w:rPr>
          <w:rFonts w:cs="Times New Roman"/>
          <w:lang w:val="fr-CA"/>
        </w:rPr>
        <w:t xml:space="preserve">, les parties conviennent que cette peine ne pouvait pas non plus être infligée à </w:t>
      </w:r>
      <w:r w:rsidRPr="00B35658">
        <w:rPr>
          <w:rFonts w:cs="Times New Roman"/>
          <w:lang w:val="fr-CA"/>
        </w:rPr>
        <w:lastRenderedPageBreak/>
        <w:t>M. Poulin en vertu de la loi pour les chefs de grossière indécence lorsque ce dernier a reçu sa sentence en 2017. Si les parties n’avaient pas convenu que les dispositions sur la détermination de la peine applicables aux infractions d’ordre sexuel modernes s’appliquent également aux actes de grossière indécence commis par M. Poulin, la Cour aurait été tenue de déterminer quel</w:t>
      </w:r>
      <w:r w:rsidR="006A0198">
        <w:rPr>
          <w:rFonts w:cs="Times New Roman"/>
          <w:lang w:val="fr-CA"/>
        </w:rPr>
        <w:t>(s)</w:t>
      </w:r>
      <w:r w:rsidRPr="00B35658">
        <w:rPr>
          <w:rFonts w:cs="Times New Roman"/>
          <w:lang w:val="fr-CA"/>
        </w:rPr>
        <w:t xml:space="preserve"> crime</w:t>
      </w:r>
      <w:r w:rsidR="006A0198">
        <w:rPr>
          <w:rFonts w:cs="Times New Roman"/>
          <w:lang w:val="fr-CA"/>
        </w:rPr>
        <w:t>(s)</w:t>
      </w:r>
      <w:r w:rsidRPr="00B35658">
        <w:rPr>
          <w:rFonts w:cs="Times New Roman"/>
          <w:lang w:val="fr-CA"/>
        </w:rPr>
        <w:t xml:space="preserve"> et quelles dispositions correspondaient aux actes de grossière indécence de M. Poulin depuis l’abrogation des dispositions relatives à ce crime.</w:t>
      </w:r>
    </w:p>
    <w:p w:rsidR="00460821" w:rsidRPr="00B35658" w:rsidRDefault="00460821" w:rsidP="00460821">
      <w:pPr>
        <w:pStyle w:val="ParaNoNdepar-AltN"/>
        <w:numPr>
          <w:ilvl w:val="4"/>
          <w:numId w:val="7"/>
        </w:numPr>
        <w:spacing w:before="0" w:after="720" w:line="240" w:lineRule="auto"/>
        <w:ind w:left="1166" w:hanging="590"/>
        <w:rPr>
          <w:rFonts w:cs="Times New Roman"/>
          <w:lang w:val="fr-CA"/>
        </w:rPr>
      </w:pPr>
      <w:r w:rsidRPr="00B35658">
        <w:rPr>
          <w:rFonts w:cs="Times New Roman"/>
          <w:i/>
          <w:lang w:val="fr-CA"/>
        </w:rPr>
        <w:t>Deuxième question : quelles mesures prévues dans ces dispositions sur la détermination de la peine constituent des « peines »?</w:t>
      </w:r>
    </w:p>
    <w:p w:rsidR="00460821" w:rsidRPr="00B35658" w:rsidRDefault="00460821" w:rsidP="00460821">
      <w:pPr>
        <w:pStyle w:val="ParaNoNdepar-AltN"/>
        <w:spacing w:before="0"/>
        <w:rPr>
          <w:rFonts w:cs="Times New Roman"/>
          <w:lang w:val="fr-CA"/>
        </w:rPr>
      </w:pPr>
      <w:r w:rsidRPr="00B35658">
        <w:rPr>
          <w:rFonts w:cs="Times New Roman"/>
          <w:lang w:val="fr-CA"/>
        </w:rPr>
        <w:t>Après avoir dressé la liste des dispositions pertinentes relatives à la détermination de la peine, il faut se demander lesquelles des mesures ou des sanctions prévues dans ces dispositions constituent des « peines » au sens de l’al. 11</w:t>
      </w:r>
      <w:r w:rsidRPr="00B35658">
        <w:rPr>
          <w:rFonts w:cs="Times New Roman"/>
          <w:i/>
          <w:lang w:val="fr-CA"/>
        </w:rPr>
        <w:t>i</w:t>
      </w:r>
      <w:r w:rsidRPr="00B35658">
        <w:rPr>
          <w:rFonts w:cs="Times New Roman"/>
          <w:lang w:val="fr-CA"/>
        </w:rPr>
        <w:t xml:space="preserve">). Au </w:t>
      </w:r>
      <w:proofErr w:type="spellStart"/>
      <w:r w:rsidRPr="00B35658">
        <w:rPr>
          <w:rFonts w:cs="Times New Roman"/>
          <w:lang w:val="fr-CA"/>
        </w:rPr>
        <w:t>par</w:t>
      </w:r>
      <w:proofErr w:type="spellEnd"/>
      <w:r w:rsidRPr="00B35658">
        <w:rPr>
          <w:rFonts w:cs="Times New Roman"/>
          <w:lang w:val="fr-CA"/>
        </w:rPr>
        <w:t xml:space="preserve">. 41 de l’arrêt </w:t>
      </w:r>
      <w:r w:rsidRPr="00B35658">
        <w:rPr>
          <w:rFonts w:cs="Times New Roman"/>
          <w:i/>
          <w:lang w:val="fr-CA"/>
        </w:rPr>
        <w:t>K.R.J.</w:t>
      </w:r>
      <w:r w:rsidRPr="00B35658">
        <w:rPr>
          <w:rFonts w:cs="Times New Roman"/>
          <w:lang w:val="fr-CA"/>
        </w:rPr>
        <w:t>, notre Cour a statué qu’une mesure constitue une peine au sens de l’al. 11</w:t>
      </w:r>
      <w:r w:rsidRPr="00B35658">
        <w:rPr>
          <w:rFonts w:cs="Times New Roman"/>
          <w:i/>
          <w:lang w:val="fr-CA"/>
        </w:rPr>
        <w:t>i</w:t>
      </w:r>
      <w:r w:rsidRPr="00B35658">
        <w:rPr>
          <w:rFonts w:cs="Times New Roman"/>
          <w:lang w:val="fr-CA"/>
        </w:rPr>
        <w:t>) si :</w:t>
      </w:r>
    </w:p>
    <w:p w:rsidR="00460821" w:rsidRPr="00B35658" w:rsidRDefault="00460821" w:rsidP="00460821">
      <w:pPr>
        <w:pStyle w:val="Citation-AltC"/>
        <w:ind w:hanging="446"/>
        <w:contextualSpacing w:val="0"/>
        <w:rPr>
          <w:lang w:val="fr-CA"/>
        </w:rPr>
      </w:pPr>
      <w:r w:rsidRPr="00B35658">
        <w:rPr>
          <w:lang w:val="fr-CA"/>
        </w:rPr>
        <w:tab/>
      </w:r>
      <w:r w:rsidR="000C24D8">
        <w:rPr>
          <w:lang w:val="fr-CA"/>
        </w:rPr>
        <w:t xml:space="preserve">. . . </w:t>
      </w:r>
      <w:r w:rsidRPr="00B35658">
        <w:rPr>
          <w:lang w:val="fr-CA"/>
        </w:rPr>
        <w:t>(1) elle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w:t>
      </w:r>
      <w:r w:rsidR="00F82B14">
        <w:rPr>
          <w:lang w:val="fr-CA"/>
        </w:rPr>
        <w:t>berté ou à la sécurité. [Note en</w:t>
      </w:r>
      <w:r w:rsidRPr="00B35658">
        <w:rPr>
          <w:lang w:val="fr-CA"/>
        </w:rPr>
        <w:t xml:space="preserve"> bas de page omise, par. 41.]</w:t>
      </w:r>
    </w:p>
    <w:p w:rsidR="00460821" w:rsidRPr="00B35658" w:rsidRDefault="00460821" w:rsidP="00460821">
      <w:pPr>
        <w:pStyle w:val="ContinueParaSuitedupar-AltP"/>
        <w:spacing w:before="0"/>
        <w:rPr>
          <w:rFonts w:cs="Times New Roman"/>
          <w:lang w:val="fr-CA"/>
        </w:rPr>
      </w:pPr>
      <w:r w:rsidRPr="00B35658">
        <w:rPr>
          <w:rFonts w:cs="Times New Roman"/>
          <w:lang w:val="fr-CA"/>
        </w:rPr>
        <w:t>I</w:t>
      </w:r>
      <w:r w:rsidR="00C33DC3" w:rsidRPr="00B35658">
        <w:rPr>
          <w:rFonts w:cs="Times New Roman"/>
          <w:lang w:val="fr-CA"/>
        </w:rPr>
        <w:t xml:space="preserve">l est à noter que, dans l’arrêt </w:t>
      </w:r>
      <w:r w:rsidRPr="00B35658">
        <w:rPr>
          <w:rFonts w:cs="Times New Roman"/>
          <w:i/>
          <w:lang w:val="fr-CA"/>
        </w:rPr>
        <w:t>K.R.J.</w:t>
      </w:r>
      <w:r w:rsidRPr="00B35658">
        <w:rPr>
          <w:rFonts w:cs="Times New Roman"/>
          <w:lang w:val="fr-CA"/>
        </w:rPr>
        <w:t>, le concept de « peine » dont il est question à l’al. 11</w:t>
      </w:r>
      <w:r w:rsidRPr="00B35658">
        <w:rPr>
          <w:rFonts w:cs="Times New Roman"/>
          <w:i/>
          <w:lang w:val="fr-CA"/>
        </w:rPr>
        <w:t>i</w:t>
      </w:r>
      <w:r w:rsidRPr="00B35658">
        <w:rPr>
          <w:rFonts w:cs="Times New Roman"/>
          <w:lang w:val="fr-CA"/>
        </w:rPr>
        <w:t>) a été élargi au</w:t>
      </w:r>
      <w:r w:rsidRPr="00B35658">
        <w:rPr>
          <w:rFonts w:cs="Times New Roman"/>
          <w:lang w:val="fr-CA"/>
        </w:rPr>
        <w:noBreakHyphen/>
        <w:t xml:space="preserve">delà du sens qu’il revêtait auparavant. Plus précisément, le troisième facteur énoncé dans le passage précédent a été ajouté au critère qui permet </w:t>
      </w:r>
      <w:r w:rsidRPr="00B35658">
        <w:rPr>
          <w:rFonts w:cs="Times New Roman"/>
          <w:lang w:val="fr-CA"/>
        </w:rPr>
        <w:lastRenderedPageBreak/>
        <w:t>« d’assimiler une mesure à une peine afin de conférer un rôle plus clair et plus important à la prise en compte de l’incidence de la sanction » (par. 41; voir aussi les par. 28 et 36).</w:t>
      </w:r>
    </w:p>
    <w:p w:rsidR="00460821" w:rsidRPr="00B35658" w:rsidRDefault="00460821" w:rsidP="00460821">
      <w:pPr>
        <w:pStyle w:val="ParaNoNdepar-AltN"/>
        <w:spacing w:before="0"/>
        <w:rPr>
          <w:rFonts w:cs="Times New Roman"/>
          <w:lang w:val="fr-CA"/>
        </w:rPr>
      </w:pPr>
      <w:r w:rsidRPr="00B35658">
        <w:rPr>
          <w:rFonts w:cs="Times New Roman"/>
          <w:lang w:val="fr-CA"/>
        </w:rPr>
        <w:t>De nombreuses mesures et sanctions ont été évaluées en regard du concept de « peine » énoncé à l’al. 11</w:t>
      </w:r>
      <w:r w:rsidRPr="00B35658">
        <w:rPr>
          <w:rFonts w:cs="Times New Roman"/>
          <w:i/>
          <w:lang w:val="fr-CA"/>
        </w:rPr>
        <w:t>i</w:t>
      </w:r>
      <w:r w:rsidRPr="00B35658">
        <w:rPr>
          <w:rFonts w:cs="Times New Roman"/>
          <w:lang w:val="fr-CA"/>
        </w:rPr>
        <w:t>). Ainsi, les mesures suivantes sont assimilées à une peine : la période d’admissibilité à la libération conditionnelle (</w:t>
      </w:r>
      <w:r w:rsidRPr="00B35658">
        <w:rPr>
          <w:rFonts w:cs="Times New Roman"/>
          <w:i/>
          <w:lang w:val="fr-CA"/>
        </w:rPr>
        <w:t>Liang c. Canada (Attorney General)</w:t>
      </w:r>
      <w:r w:rsidRPr="00B35658">
        <w:rPr>
          <w:rFonts w:cs="Times New Roman"/>
          <w:lang w:val="fr-CA"/>
        </w:rPr>
        <w:t>, 2014</w:t>
      </w:r>
      <w:r w:rsidR="007D5D9C">
        <w:rPr>
          <w:rFonts w:cs="Times New Roman"/>
          <w:lang w:val="fr-CA"/>
        </w:rPr>
        <w:t xml:space="preserve"> BCCA </w:t>
      </w:r>
      <w:r w:rsidRPr="00B35658">
        <w:rPr>
          <w:rFonts w:cs="Times New Roman"/>
          <w:lang w:val="fr-CA"/>
        </w:rPr>
        <w:t>190, 355 B.C.A.C. 238, par. 27 et</w:t>
      </w:r>
      <w:r w:rsidR="007D5D9C">
        <w:rPr>
          <w:rFonts w:cs="Times New Roman"/>
          <w:lang w:val="fr-CA"/>
        </w:rPr>
        <w:t xml:space="preserve"> </w:t>
      </w:r>
      <w:r w:rsidRPr="00B35658">
        <w:rPr>
          <w:rFonts w:cs="Times New Roman"/>
          <w:lang w:val="fr-CA"/>
        </w:rPr>
        <w:t xml:space="preserve">43); la détention </w:t>
      </w:r>
      <w:proofErr w:type="spellStart"/>
      <w:r w:rsidRPr="00B35658">
        <w:rPr>
          <w:rFonts w:cs="Times New Roman"/>
          <w:lang w:val="fr-CA"/>
        </w:rPr>
        <w:t>présentencielle</w:t>
      </w:r>
      <w:proofErr w:type="spellEnd"/>
      <w:r w:rsidRPr="00B35658">
        <w:rPr>
          <w:rFonts w:cs="Times New Roman"/>
          <w:lang w:val="fr-CA"/>
        </w:rPr>
        <w:t xml:space="preserve"> (</w:t>
      </w:r>
      <w:r w:rsidRPr="00B35658">
        <w:rPr>
          <w:rFonts w:cs="Times New Roman"/>
          <w:i/>
          <w:lang w:val="fr-CA"/>
        </w:rPr>
        <w:t>R.</w:t>
      </w:r>
      <w:r w:rsidR="007D5D9C">
        <w:rPr>
          <w:rFonts w:cs="Times New Roman"/>
          <w:i/>
          <w:lang w:val="fr-CA"/>
        </w:rPr>
        <w:t xml:space="preserve"> </w:t>
      </w:r>
      <w:r w:rsidRPr="00B35658">
        <w:rPr>
          <w:rFonts w:cs="Times New Roman"/>
          <w:i/>
          <w:lang w:val="fr-CA"/>
        </w:rPr>
        <w:t>c.</w:t>
      </w:r>
      <w:r w:rsidR="007D5D9C">
        <w:rPr>
          <w:rFonts w:cs="Times New Roman"/>
          <w:i/>
          <w:lang w:val="fr-CA"/>
        </w:rPr>
        <w:t xml:space="preserve"> </w:t>
      </w:r>
      <w:r w:rsidRPr="00B35658">
        <w:rPr>
          <w:rFonts w:cs="Times New Roman"/>
          <w:i/>
          <w:lang w:val="fr-CA"/>
        </w:rPr>
        <w:t>S. (R.)</w:t>
      </w:r>
      <w:r w:rsidR="007D5D9C">
        <w:rPr>
          <w:rFonts w:cs="Times New Roman"/>
          <w:lang w:val="fr-CA"/>
        </w:rPr>
        <w:t xml:space="preserve">, 2015 ONCA </w:t>
      </w:r>
      <w:r w:rsidRPr="00B35658">
        <w:rPr>
          <w:rFonts w:cs="Times New Roman"/>
          <w:lang w:val="fr-CA"/>
        </w:rPr>
        <w:t xml:space="preserve">291, 333 C.R.R. (2d) 160, par. 32); les conditions régissant le régime dit du </w:t>
      </w:r>
      <w:r w:rsidRPr="00B35658">
        <w:rPr>
          <w:rFonts w:cs="Times New Roman"/>
          <w:smallCaps/>
          <w:lang w:val="fr-CA"/>
        </w:rPr>
        <w:t xml:space="preserve">[traduction] </w:t>
      </w:r>
      <w:r w:rsidRPr="00B35658">
        <w:rPr>
          <w:rFonts w:cs="Times New Roman"/>
          <w:lang w:val="fr-CA"/>
        </w:rPr>
        <w:t>« faible espoir » (</w:t>
      </w:r>
      <w:r w:rsidRPr="00B35658">
        <w:rPr>
          <w:rFonts w:cs="Times New Roman"/>
          <w:i/>
          <w:lang w:val="fr-CA"/>
        </w:rPr>
        <w:t>R. c. </w:t>
      </w:r>
      <w:proofErr w:type="spellStart"/>
      <w:r w:rsidRPr="00B35658">
        <w:rPr>
          <w:rFonts w:cs="Times New Roman"/>
          <w:i/>
          <w:lang w:val="fr-CA"/>
        </w:rPr>
        <w:t>Simmonds</w:t>
      </w:r>
      <w:proofErr w:type="spellEnd"/>
      <w:r w:rsidRPr="00B35658">
        <w:rPr>
          <w:rFonts w:cs="Times New Roman"/>
          <w:lang w:val="fr-CA"/>
        </w:rPr>
        <w:t xml:space="preserve">, 2018 BCCA 205, </w:t>
      </w:r>
      <w:r w:rsidR="00CC7F65">
        <w:rPr>
          <w:rFonts w:cs="Times New Roman"/>
          <w:lang w:val="fr-CA"/>
        </w:rPr>
        <w:t>362 C.C.C. (3d) 215, par. 88</w:t>
      </w:r>
      <w:r w:rsidR="00CC7F65" w:rsidRPr="00B35658">
        <w:rPr>
          <w:rFonts w:cs="Times New Roman"/>
          <w:lang w:val="fr-CA"/>
        </w:rPr>
        <w:noBreakHyphen/>
      </w:r>
      <w:r w:rsidR="00CC7F65">
        <w:rPr>
          <w:rFonts w:cs="Times New Roman"/>
          <w:lang w:val="fr-CA"/>
        </w:rPr>
        <w:t>8</w:t>
      </w:r>
      <w:r w:rsidRPr="00B35658">
        <w:rPr>
          <w:rFonts w:cs="Times New Roman"/>
          <w:lang w:val="fr-CA"/>
        </w:rPr>
        <w:t xml:space="preserve">9); les ordonnances d’interdiction de conduire relevant du </w:t>
      </w:r>
      <w:r w:rsidRPr="00B35658">
        <w:rPr>
          <w:rFonts w:cs="Times New Roman"/>
          <w:i/>
          <w:lang w:val="fr-CA"/>
        </w:rPr>
        <w:t xml:space="preserve">Code criminel </w:t>
      </w:r>
      <w:r w:rsidRPr="00B35658">
        <w:rPr>
          <w:rFonts w:cs="Times New Roman"/>
          <w:lang w:val="fr-CA"/>
        </w:rPr>
        <w:t>(</w:t>
      </w:r>
      <w:r w:rsidRPr="00B35658">
        <w:rPr>
          <w:rFonts w:cs="Times New Roman"/>
          <w:i/>
          <w:lang w:val="fr-CA"/>
        </w:rPr>
        <w:t>R. c. Wilson</w:t>
      </w:r>
      <w:r w:rsidRPr="00B35658">
        <w:rPr>
          <w:rFonts w:cs="Times New Roman"/>
          <w:lang w:val="fr-CA"/>
        </w:rPr>
        <w:t>, 2011 ONSC 89, 225 C.R.R. (2d) 234, par. 37); et les ordonnances d’interdiction de posséder des armes (</w:t>
      </w:r>
      <w:proofErr w:type="spellStart"/>
      <w:r w:rsidRPr="00B35658">
        <w:rPr>
          <w:rFonts w:cs="Times New Roman"/>
          <w:i/>
          <w:lang w:val="fr-CA"/>
        </w:rPr>
        <w:t>Bent</w:t>
      </w:r>
      <w:proofErr w:type="spellEnd"/>
      <w:r w:rsidRPr="00B35658">
        <w:rPr>
          <w:rFonts w:cs="Times New Roman"/>
          <w:lang w:val="fr-CA"/>
        </w:rPr>
        <w:t xml:space="preserve">, par. 71; voir aussi </w:t>
      </w:r>
      <w:r w:rsidRPr="00B35658">
        <w:rPr>
          <w:rFonts w:cs="Times New Roman"/>
          <w:i/>
          <w:lang w:val="fr-CA"/>
        </w:rPr>
        <w:t>R. c. Wiles</w:t>
      </w:r>
      <w:r w:rsidRPr="00B35658">
        <w:rPr>
          <w:rFonts w:cs="Times New Roman"/>
          <w:lang w:val="fr-CA"/>
        </w:rPr>
        <w:t>, 2005 CSC 84, [2005] 3 R.C.S. 895, par. 3 (bien que cette affaire ne porte pas sur l’al. 11</w:t>
      </w:r>
      <w:r w:rsidRPr="00B35658">
        <w:rPr>
          <w:rFonts w:cs="Times New Roman"/>
          <w:i/>
          <w:lang w:val="fr-CA"/>
        </w:rPr>
        <w:t>i</w:t>
      </w:r>
      <w:r w:rsidRPr="00B35658">
        <w:rPr>
          <w:rFonts w:cs="Times New Roman"/>
          <w:lang w:val="fr-CA"/>
        </w:rPr>
        <w:t xml:space="preserve">)). Par contre, les sanctions suivantes </w:t>
      </w:r>
      <w:r w:rsidRPr="00B35658">
        <w:rPr>
          <w:rFonts w:cs="Times New Roman"/>
          <w:i/>
          <w:lang w:val="fr-CA"/>
        </w:rPr>
        <w:t xml:space="preserve">ne </w:t>
      </w:r>
      <w:r w:rsidRPr="00B35658">
        <w:rPr>
          <w:rFonts w:cs="Times New Roman"/>
          <w:lang w:val="fr-CA"/>
        </w:rPr>
        <w:t>sont</w:t>
      </w:r>
      <w:r w:rsidRPr="00B35658">
        <w:rPr>
          <w:rFonts w:cs="Times New Roman"/>
          <w:i/>
          <w:lang w:val="fr-CA"/>
        </w:rPr>
        <w:t xml:space="preserve"> pas</w:t>
      </w:r>
      <w:r w:rsidRPr="00B35658">
        <w:rPr>
          <w:rFonts w:cs="Times New Roman"/>
          <w:lang w:val="fr-CA"/>
        </w:rPr>
        <w:t xml:space="preserve"> assimilées à une « peine » au sens de l’al. 11</w:t>
      </w:r>
      <w:r w:rsidRPr="00B35658">
        <w:rPr>
          <w:rFonts w:cs="Times New Roman"/>
          <w:i/>
          <w:lang w:val="fr-CA"/>
        </w:rPr>
        <w:t>i</w:t>
      </w:r>
      <w:r w:rsidRPr="00B35658">
        <w:rPr>
          <w:rFonts w:cs="Times New Roman"/>
          <w:lang w:val="fr-CA"/>
        </w:rPr>
        <w:t>) : les ordonnances d’utilisation d’une banque de données génétiques après une déclaration de culpabilité (</w:t>
      </w:r>
      <w:r w:rsidRPr="00B35658">
        <w:rPr>
          <w:rFonts w:cs="Times New Roman"/>
          <w:i/>
          <w:lang w:val="fr-CA"/>
        </w:rPr>
        <w:t>R. c. Rodgers</w:t>
      </w:r>
      <w:r w:rsidRPr="00B35658">
        <w:rPr>
          <w:rFonts w:cs="Times New Roman"/>
          <w:lang w:val="fr-CA"/>
        </w:rPr>
        <w:t xml:space="preserve">, 2006 CSC 15, </w:t>
      </w:r>
      <w:r w:rsidR="006A0198">
        <w:rPr>
          <w:rFonts w:cs="Times New Roman"/>
          <w:lang w:val="fr-CA"/>
        </w:rPr>
        <w:t>[2006] 1 R.C.S. 554, par. 64-</w:t>
      </w:r>
      <w:r w:rsidRPr="00B35658">
        <w:rPr>
          <w:rFonts w:cs="Times New Roman"/>
          <w:lang w:val="fr-CA"/>
        </w:rPr>
        <w:t xml:space="preserve">65); les ordonnances d’enregistrement au registre des délinquants sexuels prononcées sous le régime de la </w:t>
      </w:r>
      <w:r w:rsidRPr="00B35658">
        <w:rPr>
          <w:rFonts w:cs="Times New Roman"/>
          <w:i/>
          <w:lang w:val="fr-CA"/>
        </w:rPr>
        <w:t xml:space="preserve">Loi sur l’enregistrement de renseignements sur les délinquants sexuels </w:t>
      </w:r>
      <w:r w:rsidRPr="00B35658">
        <w:rPr>
          <w:rFonts w:cs="Times New Roman"/>
          <w:lang w:val="fr-CA"/>
        </w:rPr>
        <w:t xml:space="preserve">(ou la « LERDS ») (voir, par exemple, </w:t>
      </w:r>
      <w:r w:rsidRPr="00B35658">
        <w:rPr>
          <w:rFonts w:cs="Times New Roman"/>
          <w:i/>
          <w:lang w:val="fr-CA"/>
        </w:rPr>
        <w:t>R. c. Cross</w:t>
      </w:r>
      <w:r w:rsidRPr="00B35658">
        <w:rPr>
          <w:rFonts w:cs="Times New Roman"/>
          <w:lang w:val="fr-CA"/>
        </w:rPr>
        <w:t>, 2006 NSCA 30, 241 N.S.R. (2d) 349, par. 84); et les suspensions de permis de conduire provinciales imposées à la suite d’une déclaration de culpabilité au criminel (</w:t>
      </w:r>
      <w:r w:rsidRPr="00B35658">
        <w:rPr>
          <w:rFonts w:cs="Times New Roman"/>
          <w:i/>
          <w:lang w:val="fr-CA"/>
        </w:rPr>
        <w:t>Wilson</w:t>
      </w:r>
      <w:r w:rsidRPr="00B35658">
        <w:rPr>
          <w:rFonts w:cs="Times New Roman"/>
          <w:lang w:val="fr-CA"/>
        </w:rPr>
        <w:t>, par. 34). Toutefois, sans me prononcer sur leur bien</w:t>
      </w:r>
      <w:r w:rsidRPr="00B35658">
        <w:rPr>
          <w:rFonts w:cs="Times New Roman"/>
          <w:lang w:val="fr-CA"/>
        </w:rPr>
        <w:noBreakHyphen/>
        <w:t>fondé, je constate que ces dernières décision</w:t>
      </w:r>
      <w:r w:rsidR="004A13AE">
        <w:rPr>
          <w:rFonts w:cs="Times New Roman"/>
          <w:lang w:val="fr-CA"/>
        </w:rPr>
        <w:t xml:space="preserve">s ont été rendues avant l’arrêt </w:t>
      </w:r>
      <w:r w:rsidRPr="00B35658">
        <w:rPr>
          <w:rFonts w:cs="Times New Roman"/>
          <w:i/>
          <w:lang w:val="fr-CA"/>
        </w:rPr>
        <w:t>K.R.J.</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En l’espèce, les parties conviennent que l’emprisonnement avec sursis constitue une « peine » pour l’application de l’al. 11</w:t>
      </w:r>
      <w:r w:rsidRPr="00B35658">
        <w:rPr>
          <w:rFonts w:cs="Times New Roman"/>
          <w:i/>
          <w:lang w:val="fr-CA"/>
        </w:rPr>
        <w:t>i</w:t>
      </w:r>
      <w:r w:rsidRPr="00B35658">
        <w:rPr>
          <w:rFonts w:cs="Times New Roman"/>
          <w:lang w:val="fr-CA"/>
        </w:rPr>
        <w:t>). Vu ma conclusion finale selon laquelle l’al. 11</w:t>
      </w:r>
      <w:r w:rsidRPr="00B35658">
        <w:rPr>
          <w:rFonts w:cs="Times New Roman"/>
          <w:i/>
          <w:lang w:val="fr-CA"/>
        </w:rPr>
        <w:t>i</w:t>
      </w:r>
      <w:r w:rsidRPr="00B35658">
        <w:rPr>
          <w:rFonts w:cs="Times New Roman"/>
          <w:lang w:val="fr-CA"/>
        </w:rPr>
        <w:t xml:space="preserve">) confère un droit binaire et ne permet donc pas à M. Poulin de bénéficier de </w:t>
      </w:r>
      <w:r w:rsidRPr="00B35658">
        <w:rPr>
          <w:rFonts w:cs="Times New Roman"/>
          <w:i/>
          <w:lang w:val="fr-CA"/>
        </w:rPr>
        <w:t xml:space="preserve">toute </w:t>
      </w:r>
      <w:r w:rsidRPr="00B35658">
        <w:rPr>
          <w:rFonts w:cs="Times New Roman"/>
          <w:lang w:val="fr-CA"/>
        </w:rPr>
        <w:t>« peine » qui était temporairement en vigueur entre le moment de la perpétration de son infraction et celui de sa sentence, je n’ai pas à décider si l’emprisonnement avec sursis constitue une « peine » à laquelle M. Poulin pourrait avoir droit au titre de l’al. 11</w:t>
      </w:r>
      <w:r w:rsidRPr="00B35658">
        <w:rPr>
          <w:rFonts w:cs="Times New Roman"/>
          <w:i/>
          <w:lang w:val="fr-CA"/>
        </w:rPr>
        <w:t>i</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Comme le révèlent les décisions précitées, le concept de « peine » est large. Ce concept englobe non seulement les peines d’emprisonnement traditionnelles, mais aussi les ordonnances accessoires et les autres mesures prescrites par la loi. Cela </w:t>
      </w:r>
      <w:proofErr w:type="gramStart"/>
      <w:r w:rsidRPr="00B35658">
        <w:rPr>
          <w:rFonts w:cs="Times New Roman"/>
          <w:lang w:val="fr-CA"/>
        </w:rPr>
        <w:t>a</w:t>
      </w:r>
      <w:proofErr w:type="gramEnd"/>
      <w:r w:rsidRPr="00B35658">
        <w:rPr>
          <w:rFonts w:cs="Times New Roman"/>
          <w:lang w:val="fr-CA"/>
        </w:rPr>
        <w:t xml:space="preserve"> une incidence importante : compte tenu de la signification du concept de « peine », l’al. 11</w:t>
      </w:r>
      <w:r w:rsidRPr="00B35658">
        <w:rPr>
          <w:rFonts w:cs="Times New Roman"/>
          <w:i/>
          <w:lang w:val="fr-CA"/>
        </w:rPr>
        <w:t>i</w:t>
      </w:r>
      <w:r w:rsidRPr="00B35658">
        <w:rPr>
          <w:rFonts w:cs="Times New Roman"/>
          <w:lang w:val="fr-CA"/>
        </w:rPr>
        <w:t xml:space="preserve">) ne suppose pas la simple comparaison d’au moins deux dispositions </w:t>
      </w:r>
      <w:r w:rsidRPr="00B35658">
        <w:rPr>
          <w:rFonts w:cs="Times New Roman"/>
          <w:i/>
          <w:lang w:val="fr-CA"/>
        </w:rPr>
        <w:t xml:space="preserve">intégrales </w:t>
      </w:r>
      <w:r w:rsidRPr="00B35658">
        <w:rPr>
          <w:rFonts w:cs="Times New Roman"/>
          <w:lang w:val="fr-CA"/>
        </w:rPr>
        <w:t>relatives à la détermination de la peine. L’al</w:t>
      </w:r>
      <w:r w:rsidR="00C33DC3" w:rsidRPr="00B35658">
        <w:rPr>
          <w:rFonts w:cs="Times New Roman"/>
          <w:lang w:val="fr-CA"/>
        </w:rPr>
        <w:t>inéa</w:t>
      </w:r>
      <w:r w:rsidRPr="00B35658">
        <w:rPr>
          <w:rFonts w:cs="Times New Roman"/>
          <w:lang w:val="fr-CA"/>
        </w:rPr>
        <w:t> 11</w:t>
      </w:r>
      <w:r w:rsidRPr="00B35658">
        <w:rPr>
          <w:rFonts w:cs="Times New Roman"/>
          <w:i/>
          <w:lang w:val="fr-CA"/>
        </w:rPr>
        <w:t>i</w:t>
      </w:r>
      <w:r w:rsidRPr="00B35658">
        <w:rPr>
          <w:rFonts w:cs="Times New Roman"/>
          <w:lang w:val="fr-CA"/>
        </w:rPr>
        <w:t>) exige plutôt que les dispositions relatives à la détermination de la peine applicables soient appréciées en fonction des diverses mesures qu’elles prévoient. Chaque</w:t>
      </w:r>
      <w:r w:rsidRPr="00B35658">
        <w:rPr>
          <w:rFonts w:cs="Times New Roman"/>
          <w:i/>
          <w:lang w:val="fr-CA"/>
        </w:rPr>
        <w:t xml:space="preserve"> </w:t>
      </w:r>
      <w:r w:rsidRPr="00B35658">
        <w:rPr>
          <w:rFonts w:cs="Times New Roman"/>
          <w:lang w:val="fr-CA"/>
        </w:rPr>
        <w:t xml:space="preserve">type de mesure doit ensuite être évalué en fonction du critère énoncé dans </w:t>
      </w:r>
      <w:r w:rsidRPr="00B35658">
        <w:rPr>
          <w:rFonts w:cs="Times New Roman"/>
          <w:i/>
          <w:lang w:val="fr-CA"/>
        </w:rPr>
        <w:t>K.R.J</w:t>
      </w:r>
      <w:r w:rsidR="00A56A6B">
        <w:rPr>
          <w:rFonts w:cs="Times New Roman"/>
          <w:i/>
          <w:lang w:val="fr-CA"/>
        </w:rPr>
        <w:t>.</w:t>
      </w:r>
      <w:r w:rsidRPr="00B35658">
        <w:rPr>
          <w:rFonts w:cs="Times New Roman"/>
          <w:lang w:val="fr-CA"/>
        </w:rPr>
        <w:t xml:space="preserve"> qui permet d’assimiler une mesure à une « peine »</w:t>
      </w:r>
      <w:r w:rsidRPr="00B35658">
        <w:rPr>
          <w:rFonts w:cs="Times New Roman"/>
          <w:i/>
          <w:lang w:val="fr-CA"/>
        </w:rPr>
        <w:t>.</w:t>
      </w:r>
      <w:r w:rsidRPr="00B35658">
        <w:rPr>
          <w:rFonts w:cs="Times New Roman"/>
          <w:lang w:val="fr-CA"/>
        </w:rPr>
        <w:t xml:space="preserve"> Pendant cette évaluation, il faut également se pencher sur la question de savoir si la mesure en cause est considérée comme une « peine » au sens de l’al. 11</w:t>
      </w:r>
      <w:r w:rsidRPr="00B35658">
        <w:rPr>
          <w:rFonts w:cs="Times New Roman"/>
          <w:i/>
          <w:lang w:val="fr-CA"/>
        </w:rPr>
        <w:t>h</w:t>
      </w:r>
      <w:r w:rsidRPr="00B35658">
        <w:rPr>
          <w:rFonts w:cs="Times New Roman"/>
          <w:lang w:val="fr-CA"/>
        </w:rPr>
        <w:t xml:space="preserve">) ou de l’art. 12 de la </w:t>
      </w:r>
      <w:r w:rsidRPr="00B35658">
        <w:rPr>
          <w:rFonts w:cs="Times New Roman"/>
          <w:i/>
          <w:lang w:val="fr-CA"/>
        </w:rPr>
        <w:t>Charte</w:t>
      </w:r>
      <w:r w:rsidRPr="00B35658">
        <w:rPr>
          <w:rFonts w:cs="Times New Roman"/>
          <w:lang w:val="fr-CA"/>
        </w:rPr>
        <w:t xml:space="preserve">, car la « peine devrait recevoir la même acception </w:t>
      </w:r>
      <w:proofErr w:type="gramStart"/>
      <w:r w:rsidRPr="00B35658">
        <w:rPr>
          <w:rFonts w:cs="Times New Roman"/>
          <w:lang w:val="fr-CA"/>
        </w:rPr>
        <w:t>aux art</w:t>
      </w:r>
      <w:proofErr w:type="gramEnd"/>
      <w:r w:rsidRPr="00B35658">
        <w:rPr>
          <w:rFonts w:cs="Times New Roman"/>
          <w:lang w:val="fr-CA"/>
        </w:rPr>
        <w:t xml:space="preserve">. 11 et 12 de la </w:t>
      </w:r>
      <w:r w:rsidRPr="00B35658">
        <w:rPr>
          <w:rFonts w:cs="Times New Roman"/>
          <w:i/>
          <w:lang w:val="fr-CA"/>
        </w:rPr>
        <w:t>Charte </w:t>
      </w:r>
      <w:r w:rsidRPr="00B35658">
        <w:rPr>
          <w:rFonts w:cs="Times New Roman"/>
          <w:lang w:val="fr-CA"/>
        </w:rPr>
        <w:t>» (</w:t>
      </w:r>
      <w:r w:rsidRPr="00B35658">
        <w:rPr>
          <w:rFonts w:cs="Times New Roman"/>
          <w:i/>
          <w:lang w:val="fr-CA"/>
        </w:rPr>
        <w:t>R. c. </w:t>
      </w:r>
      <w:proofErr w:type="spellStart"/>
      <w:r w:rsidRPr="00B35658">
        <w:rPr>
          <w:rFonts w:cs="Times New Roman"/>
          <w:i/>
          <w:lang w:val="fr-CA"/>
        </w:rPr>
        <w:t>Boudreault</w:t>
      </w:r>
      <w:proofErr w:type="spellEnd"/>
      <w:r w:rsidRPr="00B35658">
        <w:rPr>
          <w:rFonts w:cs="Times New Roman"/>
          <w:lang w:val="fr-CA"/>
        </w:rPr>
        <w:t>, 2018 CSC 58</w:t>
      </w:r>
      <w:r w:rsidR="005F02A8">
        <w:rPr>
          <w:rFonts w:cs="Times New Roman"/>
          <w:lang w:val="fr-CA"/>
        </w:rPr>
        <w:t xml:space="preserve">, [2018] </w:t>
      </w:r>
      <w:r w:rsidR="0042343F">
        <w:rPr>
          <w:rFonts w:cs="Times New Roman"/>
          <w:lang w:val="fr-CA"/>
        </w:rPr>
        <w:t>3</w:t>
      </w:r>
      <w:r w:rsidR="005F02A8">
        <w:rPr>
          <w:rFonts w:cs="Times New Roman"/>
          <w:lang w:val="fr-CA"/>
        </w:rPr>
        <w:t xml:space="preserve"> R.C.S. </w:t>
      </w:r>
      <w:r w:rsidR="0042343F">
        <w:rPr>
          <w:rFonts w:cs="Times New Roman"/>
          <w:lang w:val="fr-CA"/>
        </w:rPr>
        <w:t>599</w:t>
      </w:r>
      <w:r w:rsidRPr="00B35658">
        <w:rPr>
          <w:rFonts w:cs="Times New Roman"/>
          <w:lang w:val="fr-CA"/>
        </w:rPr>
        <w:t>, par. 38).</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Ce n’est qu’après avoir évalué toutes les mesures que la Cour aura pris connaissance des différentes « peines » qui doivent être comparées afin de déterminer la ou les peines « l</w:t>
      </w:r>
      <w:r w:rsidR="0096613C" w:rsidRPr="00B35658">
        <w:rPr>
          <w:rFonts w:cs="Times New Roman"/>
          <w:lang w:val="fr-CA"/>
        </w:rPr>
        <w:t>[</w:t>
      </w:r>
      <w:r w:rsidRPr="00B35658">
        <w:rPr>
          <w:rFonts w:cs="Times New Roman"/>
          <w:lang w:val="fr-CA"/>
        </w:rPr>
        <w:t>es] moins sévère[s] » dont le contrevenant a le droit de bénéficier aux termes de l’al. 11</w:t>
      </w:r>
      <w:r w:rsidRPr="00B35658">
        <w:rPr>
          <w:rFonts w:cs="Times New Roman"/>
          <w:i/>
          <w:lang w:val="fr-CA"/>
        </w:rPr>
        <w:t>i</w:t>
      </w:r>
      <w:r w:rsidRPr="00B35658">
        <w:rPr>
          <w:rFonts w:cs="Times New Roman"/>
          <w:lang w:val="fr-CA"/>
        </w:rPr>
        <w:t>). Une interprétation binaire de l’al. 11</w:t>
      </w:r>
      <w:r w:rsidRPr="00B35658">
        <w:rPr>
          <w:rFonts w:cs="Times New Roman"/>
          <w:i/>
          <w:lang w:val="fr-CA"/>
        </w:rPr>
        <w:t>i</w:t>
      </w:r>
      <w:r w:rsidRPr="00B35658">
        <w:rPr>
          <w:rFonts w:cs="Times New Roman"/>
          <w:lang w:val="fr-CA"/>
        </w:rPr>
        <w:t>) exigerait seulement une évaluation des mesures applicables aux deux moments pertinents (le moment de la perpétration de l’infraction et celui de la sentence). En revanche, une interprétation globale de l’al. 11</w:t>
      </w:r>
      <w:r w:rsidRPr="00B35658">
        <w:rPr>
          <w:rFonts w:cs="Times New Roman"/>
          <w:i/>
          <w:lang w:val="fr-CA"/>
        </w:rPr>
        <w:t>i</w:t>
      </w:r>
      <w:r w:rsidRPr="00B35658">
        <w:rPr>
          <w:rFonts w:cs="Times New Roman"/>
          <w:lang w:val="fr-CA"/>
        </w:rPr>
        <w:t>) exigerait une évaluation de tous les types de mesures qui s’appliquaient à un moment donné pendant toute la période qui s’est écoulée entre la perpétration de l’infraction et la sentence, et ce, quelle que soit la longueur de cette période.</w:t>
      </w:r>
    </w:p>
    <w:p w:rsidR="00460821" w:rsidRPr="00B35658" w:rsidRDefault="00460821" w:rsidP="00460821">
      <w:pPr>
        <w:pStyle w:val="ParaNoNdepar-AltN"/>
        <w:numPr>
          <w:ilvl w:val="4"/>
          <w:numId w:val="6"/>
        </w:numPr>
        <w:spacing w:before="0" w:after="720" w:line="240" w:lineRule="auto"/>
        <w:ind w:left="1166" w:hanging="576"/>
        <w:rPr>
          <w:rFonts w:cs="Times New Roman"/>
          <w:lang w:val="fr-CA"/>
        </w:rPr>
      </w:pPr>
      <w:r w:rsidRPr="00B35658">
        <w:rPr>
          <w:rFonts w:cs="Times New Roman"/>
          <w:i/>
          <w:lang w:val="fr-CA"/>
        </w:rPr>
        <w:t>Troisième question : quelles peines constituent les peines « l[es] moins sévère[s] »?</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Après avoir relevé les différentes « peines » qui peuvent être infligées pour sanctionner une infraction, il convient de les comparer et de les mettre en opposition afin de déterminer laquelle — ou lesquelles — constitue la peine « la moins sévère ». Souvent, cette détermination est évidente; le tribunal choisit la plus courte période d’incarcération au lieu de la période d’incarcération la plus longue, et l’absence d’interdiction de posséder des armes au lieu d’imposer pareille interdiction. Cependant, la détermination de la peine la moins sévère est parfois plus nuancée. Par exemple, le tribunal chargé de déterminer la peine qui compare deux régimes de détermination de la peine concurrents doit envisager la possibilité que chacun des régimes prévoie une peine moins sévère. À cet égard, notre Cour a fait remarquer dans l’arrêt </w:t>
      </w:r>
      <w:r w:rsidRPr="00B35658">
        <w:rPr>
          <w:rFonts w:cs="Times New Roman"/>
          <w:i/>
          <w:lang w:val="fr-CA"/>
        </w:rPr>
        <w:t>R. c. Johnson</w:t>
      </w:r>
      <w:r w:rsidRPr="00B35658">
        <w:rPr>
          <w:rFonts w:cs="Times New Roman"/>
          <w:lang w:val="fr-CA"/>
        </w:rPr>
        <w:t xml:space="preserve">, </w:t>
      </w:r>
      <w:r w:rsidRPr="00B35658">
        <w:rPr>
          <w:rFonts w:cs="Times New Roman"/>
          <w:lang w:val="fr-CA"/>
        </w:rPr>
        <w:lastRenderedPageBreak/>
        <w:t>2003 CSC 46, [2003] 2 R.C.S. 357, que même si le nouveau régime de détermination de la peine était plus favorable envers M. Johnson s’il était déclaré délinquant à contrôler, le régime antérieur lui serait plus favorable si une telle déclaration n’était pas prononcée, car ce régime lui permettait de présenter une demande de libération conditionnelle plus rapidement (par. 46).</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En plus d’exiger, pour répondre à la deuxième question, une évaluation de toutes les mesures </w:t>
      </w:r>
      <w:proofErr w:type="spellStart"/>
      <w:r w:rsidRPr="00B35658">
        <w:rPr>
          <w:rFonts w:cs="Times New Roman"/>
          <w:lang w:val="fr-CA"/>
        </w:rPr>
        <w:t>sentencielles</w:t>
      </w:r>
      <w:proofErr w:type="spellEnd"/>
      <w:r w:rsidRPr="00B35658">
        <w:rPr>
          <w:rFonts w:cs="Times New Roman"/>
          <w:lang w:val="fr-CA"/>
        </w:rPr>
        <w:t xml:space="preserve"> applicables entre le moment de la perpétration de l’infraction et celui de la sentence, l’interprétation globale nécessiterait une comparaison de toutes les </w:t>
      </w:r>
      <w:r w:rsidRPr="00B35658">
        <w:rPr>
          <w:rFonts w:cs="Times New Roman"/>
          <w:i/>
          <w:lang w:val="fr-CA"/>
        </w:rPr>
        <w:t xml:space="preserve">peines </w:t>
      </w:r>
      <w:r w:rsidRPr="00B35658">
        <w:rPr>
          <w:rFonts w:cs="Times New Roman"/>
          <w:lang w:val="fr-CA"/>
        </w:rPr>
        <w:t>pouvant être infligées entre le moment de la perpétration de l’infraction et le moment de la sentence qui ont été relevées en réponse à la troisième question. Par contre, répondre à la troisième question dans le cadre d’une interprétation binaire de l’al. 11</w:t>
      </w:r>
      <w:r w:rsidRPr="00B35658">
        <w:rPr>
          <w:rFonts w:cs="Times New Roman"/>
          <w:i/>
          <w:lang w:val="fr-CA"/>
        </w:rPr>
        <w:t>i</w:t>
      </w:r>
      <w:r w:rsidRPr="00B35658">
        <w:rPr>
          <w:rFonts w:cs="Times New Roman"/>
          <w:lang w:val="fr-CA"/>
        </w:rPr>
        <w:t>) consisterait seulement à comparer les peines applicables selon les lois en vigueur au moment de la perpétration de l’infraction et au moment de la sentence.</w:t>
      </w:r>
    </w:p>
    <w:p w:rsidR="00460821" w:rsidRPr="00B35658" w:rsidRDefault="00460821" w:rsidP="00460821">
      <w:pPr>
        <w:pStyle w:val="ParaNoNdepar-AltN"/>
        <w:numPr>
          <w:ilvl w:val="4"/>
          <w:numId w:val="8"/>
        </w:numPr>
        <w:spacing w:before="0" w:after="720" w:line="240" w:lineRule="auto"/>
        <w:ind w:left="1170" w:hanging="576"/>
        <w:rPr>
          <w:rFonts w:cs="Times New Roman"/>
          <w:lang w:val="fr-CA"/>
        </w:rPr>
      </w:pPr>
      <w:r w:rsidRPr="00B35658">
        <w:rPr>
          <w:rFonts w:cs="Times New Roman"/>
          <w:i/>
          <w:lang w:val="fr-CA"/>
        </w:rPr>
        <w:t>Quatrième question : quelle(s) peine(s) faut</w:t>
      </w:r>
      <w:r w:rsidRPr="00B35658">
        <w:rPr>
          <w:rFonts w:cs="Times New Roman"/>
          <w:i/>
          <w:lang w:val="fr-CA"/>
        </w:rPr>
        <w:noBreakHyphen/>
        <w:t xml:space="preserve">il </w:t>
      </w:r>
      <w:proofErr w:type="gramStart"/>
      <w:r w:rsidRPr="00B35658">
        <w:rPr>
          <w:rFonts w:cs="Times New Roman"/>
          <w:i/>
          <w:lang w:val="fr-CA"/>
        </w:rPr>
        <w:t>infliger</w:t>
      </w:r>
      <w:proofErr w:type="gramEnd"/>
      <w:r w:rsidRPr="00B35658">
        <w:rPr>
          <w:rFonts w:cs="Times New Roman"/>
          <w:i/>
          <w:lang w:val="fr-CA"/>
        </w:rPr>
        <w:t xml:space="preserve"> pour respecter le droit garanti au contrevenant par l’al. 11i)?</w:t>
      </w:r>
    </w:p>
    <w:p w:rsidR="00460821" w:rsidRPr="00B35658" w:rsidRDefault="00460821" w:rsidP="00460821">
      <w:pPr>
        <w:pStyle w:val="ParaNoNdepar-AltN"/>
        <w:spacing w:before="0"/>
        <w:rPr>
          <w:rFonts w:cs="Times New Roman"/>
          <w:lang w:val="fr-CA"/>
        </w:rPr>
      </w:pPr>
      <w:r w:rsidRPr="00B35658">
        <w:rPr>
          <w:rFonts w:cs="Times New Roman"/>
          <w:lang w:val="fr-CA"/>
        </w:rPr>
        <w:t>Enfin, après avoir cerné la ou les peines les moins sévères, le tribunal doit s’appuyer sur celles</w:t>
      </w:r>
      <w:r w:rsidRPr="00B35658">
        <w:rPr>
          <w:rFonts w:cs="Times New Roman"/>
          <w:lang w:val="fr-CA"/>
        </w:rPr>
        <w:noBreakHyphen/>
        <w:t>ci pour infliger une peine au contrevenant. Il s’agit après tout du droit que confère l’al. 11</w:t>
      </w:r>
      <w:r w:rsidRPr="00B35658">
        <w:rPr>
          <w:rFonts w:cs="Times New Roman"/>
          <w:i/>
          <w:lang w:val="fr-CA"/>
        </w:rPr>
        <w:t>i</w:t>
      </w:r>
      <w:r w:rsidRPr="00B35658">
        <w:rPr>
          <w:rFonts w:cs="Times New Roman"/>
          <w:lang w:val="fr-CA"/>
        </w:rPr>
        <w:t>), que ce droit soit binaire ou global. Ce que c’est « de bénéficier de la peine la moins sévère » dépend de la nature de la peine en question.</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Si le contrevenant n’est pas tenu de remplir des conditions prévues par la loi pour se voir infliger la peine la moins sévère, le droit de bénéficier de la peine la moins sévère signifie simplement que cette peine doit être appliquée. Donc, si les peines comparées sont une peine maximale de sept ans d’emprisonnement et une peine maximale de 14 ans d’emprisonnement, le droit de bénéficier de la peine la moins sévère signifie que le délinquant peut être condam</w:t>
      </w:r>
      <w:r w:rsidR="007A7BAF" w:rsidRPr="00B35658">
        <w:rPr>
          <w:rFonts w:cs="Times New Roman"/>
          <w:lang w:val="fr-CA"/>
        </w:rPr>
        <w:t xml:space="preserve">né à une peine maximale de sept </w:t>
      </w:r>
      <w:r w:rsidRPr="00B35658">
        <w:rPr>
          <w:rFonts w:cs="Times New Roman"/>
          <w:lang w:val="fr-CA"/>
        </w:rPr>
        <w:t xml:space="preserve">ans d’emprisonnement (voir </w:t>
      </w:r>
      <w:proofErr w:type="spellStart"/>
      <w:r w:rsidRPr="00B35658">
        <w:rPr>
          <w:rFonts w:cs="Times New Roman"/>
          <w:i/>
          <w:lang w:val="fr-CA"/>
        </w:rPr>
        <w:t>Tran</w:t>
      </w:r>
      <w:proofErr w:type="spellEnd"/>
      <w:r w:rsidRPr="00B35658">
        <w:rPr>
          <w:rFonts w:cs="Times New Roman"/>
          <w:i/>
          <w:lang w:val="fr-CA"/>
        </w:rPr>
        <w:t xml:space="preserve"> c. Canada (Sécurité publique et Protection civile)</w:t>
      </w:r>
      <w:r w:rsidRPr="00B35658">
        <w:rPr>
          <w:rFonts w:cs="Times New Roman"/>
          <w:lang w:val="fr-CA"/>
        </w:rPr>
        <w:t>, 2017 CSC 50, [2017] 2 R.C.S. 289, par. 37). Dans le même ordre d’idées, l’al. 11</w:t>
      </w:r>
      <w:r w:rsidRPr="00B35658">
        <w:rPr>
          <w:rFonts w:cs="Times New Roman"/>
          <w:i/>
          <w:lang w:val="fr-CA"/>
        </w:rPr>
        <w:t>i</w:t>
      </w:r>
      <w:r w:rsidRPr="00B35658">
        <w:rPr>
          <w:rFonts w:cs="Times New Roman"/>
          <w:lang w:val="fr-CA"/>
        </w:rPr>
        <w:t>) permettrait d’infliger une amende de 100 $ à un contrevenant si, au moment de la perpétration de son infraction, la loi prévoyait l’infliction d’une amende obligatoire de 500 $, mais qu’au moment de sa sentence, le montant de cette amende était de 100 $. Fait important, dans de tels cas, le juge chargé de la détermination de la peine est tenu par l’al. 11</w:t>
      </w:r>
      <w:r w:rsidRPr="00B35658">
        <w:rPr>
          <w:rFonts w:cs="Times New Roman"/>
          <w:i/>
          <w:lang w:val="fr-CA"/>
        </w:rPr>
        <w:t>i</w:t>
      </w:r>
      <w:r w:rsidRPr="00B35658">
        <w:rPr>
          <w:rFonts w:cs="Times New Roman"/>
          <w:lang w:val="fr-CA"/>
        </w:rPr>
        <w:t>) d’infliger la peine la moins sévère, et ce, même s’il estime qu’une peine plus sévère serait juste et proportionnée.</w:t>
      </w:r>
    </w:p>
    <w:p w:rsidR="00460821" w:rsidRPr="00B35658" w:rsidRDefault="00460821" w:rsidP="00460821">
      <w:pPr>
        <w:pStyle w:val="ParaNoNdepar-AltN"/>
        <w:spacing w:before="0"/>
        <w:rPr>
          <w:rFonts w:cs="Times New Roman"/>
          <w:lang w:val="fr-CA"/>
        </w:rPr>
      </w:pPr>
      <w:r w:rsidRPr="00B35658">
        <w:rPr>
          <w:rFonts w:cs="Times New Roman"/>
          <w:lang w:val="fr-CA"/>
        </w:rPr>
        <w:t>Lorsque la peine la moins sévère comporte des conditions que le contrevenant doit remplir pour y être admissible, le droit de bénéficier de cette peine signifie, à tout le moins, que le tribunal est tenu de prendre en considération cette peine. Si le tribunal conclut que le contrevenant remplit les conditions, ce dernier est admissible à cette peine. C’est ce qu’a démontré l’arrêt </w:t>
      </w:r>
      <w:r w:rsidRPr="00B35658">
        <w:rPr>
          <w:rFonts w:cs="Times New Roman"/>
          <w:i/>
          <w:lang w:val="fr-CA"/>
        </w:rPr>
        <w:t>Johnson</w:t>
      </w:r>
      <w:r w:rsidRPr="00B35658">
        <w:rPr>
          <w:rFonts w:cs="Times New Roman"/>
          <w:lang w:val="fr-CA"/>
        </w:rPr>
        <w:t>, dans lequel notre Cour a statué que l’al. 11</w:t>
      </w:r>
      <w:r w:rsidRPr="00B35658">
        <w:rPr>
          <w:rFonts w:cs="Times New Roman"/>
          <w:i/>
          <w:lang w:val="fr-CA"/>
        </w:rPr>
        <w:t>i</w:t>
      </w:r>
      <w:r w:rsidRPr="00B35658">
        <w:rPr>
          <w:rFonts w:cs="Times New Roman"/>
          <w:lang w:val="fr-CA"/>
        </w:rPr>
        <w:t xml:space="preserve">) obligeait le juge chargé de la détermination de la peine à décider si le contrevenant remplissait les conditions du nouveau régime plus favorable applicable aux délinquants à contrôler avant d’appliquer automatiquement le régime </w:t>
      </w:r>
      <w:r w:rsidRPr="00B35658">
        <w:rPr>
          <w:rFonts w:cs="Times New Roman"/>
          <w:lang w:val="fr-CA"/>
        </w:rPr>
        <w:lastRenderedPageBreak/>
        <w:t>plus sévère applicable aux délinquants dangereux qui était déjà en vigueur lorsque le contrevenant a commis son infraction. Le contrevenant qui remplit les conditions du régime applicable aux délinquants à contrôler est en droit d’obtenir une ordonnance de surveillance de longue durée en tant que délinquant à contrôler après des périodes déterminées d’incarcération au lieu d’être condamné à une peine de détention d’une durée indéterminée en tant que délinquant dangereux (par. 45).</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Il convient de noter que la peine demandée par M. Poulin en l’espèce, soit l’emprisonnement avec sursis, est une forme de peine assortie de conditions préalables et de critères à respecter (voir le </w:t>
      </w:r>
      <w:r w:rsidRPr="00B35658">
        <w:rPr>
          <w:rFonts w:cs="Times New Roman"/>
          <w:i/>
          <w:lang w:val="fr-CA"/>
        </w:rPr>
        <w:t>Code criminel</w:t>
      </w:r>
      <w:r w:rsidRPr="00B35658">
        <w:rPr>
          <w:rFonts w:cs="Times New Roman"/>
          <w:lang w:val="fr-CA"/>
        </w:rPr>
        <w:t xml:space="preserve">, art. 742.1 et, plus particulièrement, l’al. 742.1a); voir aussi </w:t>
      </w:r>
      <w:r w:rsidRPr="00B35658">
        <w:rPr>
          <w:rFonts w:cs="Times New Roman"/>
          <w:i/>
          <w:lang w:val="fr-CA"/>
        </w:rPr>
        <w:t>R. c. R.A.R.</w:t>
      </w:r>
      <w:r w:rsidRPr="00B35658">
        <w:rPr>
          <w:rFonts w:cs="Times New Roman"/>
          <w:lang w:val="fr-CA"/>
        </w:rPr>
        <w:t>, 2000 CSC 8, [2000] 1 R.C.S. 163, par. 14</w:t>
      </w:r>
      <w:r w:rsidR="00881271" w:rsidRPr="00B35658">
        <w:rPr>
          <w:rFonts w:cs="Times New Roman"/>
          <w:lang w:val="fr-CA"/>
        </w:rPr>
        <w:noBreakHyphen/>
      </w:r>
      <w:r w:rsidRPr="00B35658">
        <w:rPr>
          <w:rFonts w:cs="Times New Roman"/>
          <w:lang w:val="fr-CA"/>
        </w:rPr>
        <w:t>16 et 25). Par conséquent, si cette peine s’appliquait à</w:t>
      </w:r>
      <w:r w:rsidR="00881271">
        <w:rPr>
          <w:rFonts w:cs="Times New Roman"/>
          <w:lang w:val="fr-CA"/>
        </w:rPr>
        <w:t xml:space="preserve"> M. Poulin (ce qui, à mon avis, </w:t>
      </w:r>
      <w:r w:rsidRPr="00B35658">
        <w:rPr>
          <w:rFonts w:cs="Times New Roman"/>
          <w:lang w:val="fr-CA"/>
        </w:rPr>
        <w:t>n’est pas le cas), et si elle était considérée comme la peine la moins sévère, il n’aurait le droit de bénéficier de cette peine que si le juge chargé de la détermination de la peine concluait qu’il satisfaisait aux critères légaux pertinents.</w:t>
      </w:r>
    </w:p>
    <w:p w:rsidR="00460821" w:rsidRPr="00B35658" w:rsidRDefault="00460821" w:rsidP="00460821">
      <w:pPr>
        <w:pStyle w:val="ParaNoNdepar-AltN"/>
        <w:spacing w:before="0"/>
        <w:rPr>
          <w:rFonts w:cs="Times New Roman"/>
          <w:lang w:val="fr-CA"/>
        </w:rPr>
      </w:pPr>
      <w:r w:rsidRPr="00B35658">
        <w:rPr>
          <w:rFonts w:cs="Times New Roman"/>
          <w:lang w:val="fr-CA"/>
        </w:rPr>
        <w:t>Enfin, lorsque les peines comparées relèvent de versions qualitativement différentes d’une disposition ou d’un régime de détermination de la peine, le droit de bénéficier de la peine la moins sévère signifie que le contrevenant peut se voir infliger une peine qui est conforme à la disposition ou au régime le plus favorable. Ainsi, dans l’arrêt </w:t>
      </w:r>
      <w:r w:rsidRPr="00B35658">
        <w:rPr>
          <w:rFonts w:cs="Times New Roman"/>
          <w:i/>
          <w:lang w:val="fr-CA"/>
        </w:rPr>
        <w:t>K.R.J.</w:t>
      </w:r>
      <w:r w:rsidRPr="00B35658">
        <w:rPr>
          <w:rFonts w:cs="Times New Roman"/>
          <w:lang w:val="fr-CA"/>
        </w:rPr>
        <w:t xml:space="preserve">, l’ordonnance interdisant au contrevenant de communiquer avec des enfants devait être conforme à la version de l’al. 161(1)c) du </w:t>
      </w:r>
      <w:r w:rsidRPr="00B35658">
        <w:rPr>
          <w:rFonts w:cs="Times New Roman"/>
          <w:i/>
          <w:lang w:val="fr-CA"/>
        </w:rPr>
        <w:t xml:space="preserve">Code criminel </w:t>
      </w:r>
      <w:r w:rsidRPr="00B35658">
        <w:rPr>
          <w:rFonts w:cs="Times New Roman"/>
          <w:lang w:val="fr-CA"/>
        </w:rPr>
        <w:t xml:space="preserve">qui était en vigueur au moment où K.R.J. a commis son infraction et non à celle qui était en vigueur </w:t>
      </w:r>
      <w:r w:rsidRPr="00B35658">
        <w:rPr>
          <w:rFonts w:cs="Times New Roman"/>
          <w:lang w:val="fr-CA"/>
        </w:rPr>
        <w:lastRenderedPageBreak/>
        <w:t>lorsqu’il a été condamné, laquelle restreignait davantage la liberté (par. 57 et 115). De même, dans l’arrêt </w:t>
      </w:r>
      <w:r w:rsidRPr="00B35658">
        <w:rPr>
          <w:rFonts w:cs="Times New Roman"/>
          <w:i/>
          <w:lang w:val="fr-CA"/>
        </w:rPr>
        <w:t>Liang</w:t>
      </w:r>
      <w:r w:rsidRPr="00B35658">
        <w:rPr>
          <w:rFonts w:cs="Times New Roman"/>
          <w:lang w:val="fr-CA"/>
        </w:rPr>
        <w:t>, la Cour d’appel a statué que les contrevenants pouvaient bénéficier de la procédure d’examen expéditif (« PEE ») automatique qui s’appliquait à leur situation et à leurs infractions au moment où ils ont commis celles</w:t>
      </w:r>
      <w:r w:rsidRPr="00B35658">
        <w:rPr>
          <w:rFonts w:cs="Times New Roman"/>
          <w:lang w:val="fr-CA"/>
        </w:rPr>
        <w:noBreakHyphen/>
        <w:t>ci. Selon l’al. 11</w:t>
      </w:r>
      <w:r w:rsidRPr="00B35658">
        <w:rPr>
          <w:rFonts w:cs="Times New Roman"/>
          <w:i/>
          <w:lang w:val="fr-CA"/>
        </w:rPr>
        <w:t>i</w:t>
      </w:r>
      <w:r w:rsidRPr="00B35658">
        <w:rPr>
          <w:rFonts w:cs="Times New Roman"/>
          <w:lang w:val="fr-CA"/>
        </w:rPr>
        <w:t xml:space="preserve">), les contrevenants ne pouvaient pas être assujettis aux règles d’admissibilité à la libération conditionnelle plus restrictives qui avaient remplacé la PEE (voir également </w:t>
      </w:r>
      <w:r w:rsidRPr="00B35658">
        <w:rPr>
          <w:rFonts w:cs="Times New Roman"/>
          <w:i/>
          <w:lang w:val="fr-CA"/>
        </w:rPr>
        <w:t>Canada (Attorney General) c. Lewis</w:t>
      </w:r>
      <w:r w:rsidRPr="00B35658">
        <w:rPr>
          <w:rFonts w:cs="Times New Roman"/>
          <w:lang w:val="fr-CA"/>
        </w:rPr>
        <w:t xml:space="preserve">, 2015 ONCA 379, 126 O.R. (3d) 289, et </w:t>
      </w:r>
      <w:proofErr w:type="spellStart"/>
      <w:r w:rsidRPr="00B35658">
        <w:rPr>
          <w:rFonts w:cs="Times New Roman"/>
          <w:i/>
          <w:lang w:val="fr-CA"/>
        </w:rPr>
        <w:t>Nucci</w:t>
      </w:r>
      <w:proofErr w:type="spellEnd"/>
      <w:r w:rsidRPr="00B35658">
        <w:rPr>
          <w:rFonts w:cs="Times New Roman"/>
          <w:i/>
          <w:lang w:val="fr-CA"/>
        </w:rPr>
        <w:t xml:space="preserve"> c. Canada (Attorney General)</w:t>
      </w:r>
      <w:r w:rsidRPr="00B35658">
        <w:rPr>
          <w:rFonts w:cs="Times New Roman"/>
          <w:lang w:val="fr-CA"/>
        </w:rPr>
        <w:t>, 2015 MBCA 122, 333 C.C.C. (3d) 22</w:t>
      </w:r>
      <w:r w:rsidR="0029604C">
        <w:rPr>
          <w:rFonts w:cs="Times New Roman"/>
          <w:lang w:val="fr-CA"/>
        </w:rPr>
        <w:t>1</w:t>
      </w:r>
      <w:r w:rsidRPr="00B35658">
        <w:rPr>
          <w:rFonts w:cs="Times New Roman"/>
          <w:lang w:val="fr-CA"/>
        </w:rPr>
        <w:t>, q</w:t>
      </w:r>
      <w:r w:rsidR="00867872">
        <w:rPr>
          <w:rFonts w:cs="Times New Roman"/>
          <w:lang w:val="fr-CA"/>
        </w:rPr>
        <w:t xml:space="preserve">ui ont été rendus après l’arrêt </w:t>
      </w:r>
      <w:r w:rsidRPr="00B35658">
        <w:rPr>
          <w:rFonts w:cs="Times New Roman"/>
          <w:i/>
          <w:lang w:val="fr-CA"/>
        </w:rPr>
        <w:t>Liang</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Fondamentalement, et comme l’illustrent plusieurs de ces exemples, conférer au contrevenant le droit de bénéficier de la peine la moins sévère n’équivaut tout simplement pas à offrir au tribunal une autre peine (ou d’autres peines) à prendre en considération. L’al</w:t>
      </w:r>
      <w:r w:rsidR="00636BFB" w:rsidRPr="00B35658">
        <w:rPr>
          <w:rFonts w:cs="Times New Roman"/>
          <w:lang w:val="fr-CA"/>
        </w:rPr>
        <w:t>inéa</w:t>
      </w:r>
      <w:r w:rsidRPr="00B35658">
        <w:rPr>
          <w:rFonts w:cs="Times New Roman"/>
          <w:lang w:val="fr-CA"/>
        </w:rPr>
        <w:t> 11</w:t>
      </w:r>
      <w:r w:rsidRPr="00B35658">
        <w:rPr>
          <w:rFonts w:cs="Times New Roman"/>
          <w:i/>
          <w:lang w:val="fr-CA"/>
        </w:rPr>
        <w:t>i</w:t>
      </w:r>
      <w:r w:rsidRPr="00B35658">
        <w:rPr>
          <w:rFonts w:cs="Times New Roman"/>
          <w:lang w:val="fr-CA"/>
        </w:rPr>
        <w:t>) redéfinit et délimite plutôt la portée des options qui s’offrent au tribunal. Il établit également les paramètres à l’intérieur desquels le tribunal chargé de déterminer la peine doit accomplir son mandat. Ces paramètres sont établis en fonction de la peine la moins sévère. Par conséquent, au lieu d’allonger la liste des peines applicables, une interprétation globale de l’al. 11</w:t>
      </w:r>
      <w:r w:rsidRPr="00B35658">
        <w:rPr>
          <w:rFonts w:cs="Times New Roman"/>
          <w:i/>
          <w:lang w:val="fr-CA"/>
        </w:rPr>
        <w:t>i</w:t>
      </w:r>
      <w:r w:rsidRPr="00B35658">
        <w:rPr>
          <w:rFonts w:cs="Times New Roman"/>
          <w:lang w:val="fr-CA"/>
        </w:rPr>
        <w:t>) restreindrait les choix dont dispose le tribunal chargé de déterminer la peine aux peines les moins sévères applicables à une infraction depuis sa perpétration. Bien entendu, si la peine « la moins sévère » repose sur des critères qui ne sont pas respectés par le contrevenant, une interprétation globale de l’al. 11</w:t>
      </w:r>
      <w:r w:rsidRPr="00B35658">
        <w:rPr>
          <w:rFonts w:cs="Times New Roman"/>
          <w:i/>
          <w:lang w:val="fr-CA"/>
        </w:rPr>
        <w:t>i</w:t>
      </w:r>
      <w:r w:rsidRPr="00B35658">
        <w:rPr>
          <w:rFonts w:cs="Times New Roman"/>
          <w:lang w:val="fr-CA"/>
        </w:rPr>
        <w:t>) exigerait que le tribunal applique la « deuxième peine</w:t>
      </w:r>
      <w:r w:rsidR="00820C46">
        <w:rPr>
          <w:rFonts w:cs="Times New Roman"/>
          <w:lang w:val="fr-CA"/>
        </w:rPr>
        <w:t xml:space="preserve"> </w:t>
      </w:r>
      <w:r w:rsidRPr="00B35658">
        <w:rPr>
          <w:rFonts w:cs="Times New Roman"/>
          <w:lang w:val="fr-CA"/>
        </w:rPr>
        <w:t xml:space="preserve">la moins sévère ». En ce sens, une interprétation globale du droit conféré à </w:t>
      </w:r>
      <w:r w:rsidRPr="00B35658">
        <w:rPr>
          <w:rFonts w:cs="Times New Roman"/>
          <w:lang w:val="fr-CA"/>
        </w:rPr>
        <w:lastRenderedPageBreak/>
        <w:t>l’al. 11</w:t>
      </w:r>
      <w:r w:rsidRPr="00B35658">
        <w:rPr>
          <w:rFonts w:cs="Times New Roman"/>
          <w:i/>
          <w:lang w:val="fr-CA"/>
        </w:rPr>
        <w:t>i</w:t>
      </w:r>
      <w:r w:rsidRPr="00B35658">
        <w:rPr>
          <w:rFonts w:cs="Times New Roman"/>
          <w:lang w:val="fr-CA"/>
        </w:rPr>
        <w:t>) exigera aussi parfois que le tribunal chargé de déterminer la peine établisse un certain « classement » des peines les moins sévères.</w:t>
      </w:r>
    </w:p>
    <w:p w:rsidR="00460821" w:rsidRPr="00B35658" w:rsidRDefault="00460821" w:rsidP="00460821">
      <w:pPr>
        <w:pStyle w:val="ParaNoNdepar-AltN"/>
        <w:spacing w:before="0"/>
        <w:rPr>
          <w:rFonts w:cs="Times New Roman"/>
          <w:lang w:val="fr-CA"/>
        </w:rPr>
      </w:pPr>
      <w:r w:rsidRPr="00B35658">
        <w:rPr>
          <w:rFonts w:cs="Times New Roman"/>
          <w:lang w:val="fr-CA"/>
        </w:rPr>
        <w:t>Après avoir énuméré les quatre questions soulevées par l’application de l’al. 11</w:t>
      </w:r>
      <w:r w:rsidRPr="00B35658">
        <w:rPr>
          <w:rFonts w:cs="Times New Roman"/>
          <w:i/>
          <w:lang w:val="fr-CA"/>
        </w:rPr>
        <w:t>i</w:t>
      </w:r>
      <w:r w:rsidRPr="00B35658">
        <w:rPr>
          <w:rFonts w:cs="Times New Roman"/>
          <w:lang w:val="fr-CA"/>
        </w:rPr>
        <w:t>), je reconnais que, généralement, les parties qui ont invoqué l’interprétation globale du droit reconnu à l’al. 11</w:t>
      </w:r>
      <w:r w:rsidRPr="00B35658">
        <w:rPr>
          <w:rFonts w:cs="Times New Roman"/>
          <w:i/>
          <w:lang w:val="fr-CA"/>
        </w:rPr>
        <w:t>i</w:t>
      </w:r>
      <w:r w:rsidRPr="00B35658">
        <w:rPr>
          <w:rFonts w:cs="Times New Roman"/>
          <w:lang w:val="fr-CA"/>
        </w:rPr>
        <w:t>) n’ont pas systématiquement répondu à ces questions. Au contraire, le contrevenant demande et obtient habituellement une peine particulière moins sévère qui était applicable à un certain momen</w:t>
      </w:r>
      <w:r w:rsidR="0042343F">
        <w:rPr>
          <w:rFonts w:cs="Times New Roman"/>
          <w:lang w:val="fr-CA"/>
        </w:rPr>
        <w:t>t entre la perpétration de l’</w:t>
      </w:r>
      <w:r w:rsidRPr="00B35658">
        <w:rPr>
          <w:rFonts w:cs="Times New Roman"/>
          <w:lang w:val="fr-CA"/>
        </w:rPr>
        <w:t>infrac</w:t>
      </w:r>
      <w:r w:rsidR="0042343F">
        <w:rPr>
          <w:rFonts w:cs="Times New Roman"/>
          <w:lang w:val="fr-CA"/>
        </w:rPr>
        <w:t xml:space="preserve">tion et celui de la </w:t>
      </w:r>
      <w:r w:rsidRPr="00B35658">
        <w:rPr>
          <w:rFonts w:cs="Times New Roman"/>
          <w:lang w:val="fr-CA"/>
        </w:rPr>
        <w:t>sentence. C’est effectivement ce qui s’est produit dans le cas de M. Poulin. Ce dernier a proposé au tribunal de lui infliger une peine d’emprisonnement avec sursis en croyant probablement qu’il s’agissait de la « peine la moins sévère » la plus favorable au lieu de répertorier toutes les peines applicables à l’infraction reprochée depuis sa perpétration.</w:t>
      </w:r>
    </w:p>
    <w:p w:rsidR="00460821" w:rsidRPr="00B35658" w:rsidRDefault="00460821" w:rsidP="00460821">
      <w:pPr>
        <w:pStyle w:val="ParaNoNdepar-AltN"/>
        <w:spacing w:before="0"/>
        <w:rPr>
          <w:rFonts w:cs="Times New Roman"/>
          <w:lang w:val="fr-CA"/>
        </w:rPr>
      </w:pPr>
      <w:r w:rsidRPr="00B35658">
        <w:rPr>
          <w:rFonts w:cs="Times New Roman"/>
          <w:lang w:val="fr-CA"/>
        </w:rPr>
        <w:t>Toutefois, cette approche ne correspond pas à une interprétation globale de l’al. 11</w:t>
      </w:r>
      <w:r w:rsidRPr="00B35658">
        <w:rPr>
          <w:rFonts w:cs="Times New Roman"/>
          <w:i/>
          <w:lang w:val="fr-CA"/>
        </w:rPr>
        <w:t>i</w:t>
      </w:r>
      <w:r w:rsidRPr="00B35658">
        <w:rPr>
          <w:rFonts w:cs="Times New Roman"/>
          <w:lang w:val="fr-CA"/>
        </w:rPr>
        <w:t>). Comme le révèle la jurisprudence examinée dans la présente section, d’après l’interprétation globale, le tribunal chargé de déterminer la peine ne peut être convaincu d’avoir respecté le droit constitutionnel du contrevenant de « bénéficier de la peine la moins sévère » que s’il a répertorié et évalué toutes les dispositions applicables en matière de détermination de la peine et qu’il a comparé et mis en opposition toutes les « peines » applicables. Sinon, le contrevenant pourrait faire face à une peine plus sévère que celle dont il a constitutionnellement le droit de bénéficier si l’on adopte une interprétation globale de l’al. 11</w:t>
      </w:r>
      <w:r w:rsidRPr="00B35658">
        <w:rPr>
          <w:rFonts w:cs="Times New Roman"/>
          <w:i/>
          <w:lang w:val="fr-CA"/>
        </w:rPr>
        <w:t>i</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Essentiellement, l’interprétation globale veut que ces nombreuses peines antérieures soient considérées comme étant susceptibles de s’appliquer même si elles n’ont aucun lien temporel avec les actes illicites du contrevenant ou la poursuite judiciaire intentée contre lui par suite de ces actes. Si une telle interprétation de l’al. 11</w:t>
      </w:r>
      <w:r w:rsidRPr="00B35658">
        <w:rPr>
          <w:rFonts w:cs="Times New Roman"/>
          <w:i/>
          <w:lang w:val="fr-CA"/>
        </w:rPr>
        <w:t>i</w:t>
      </w:r>
      <w:r w:rsidRPr="00B35658">
        <w:rPr>
          <w:rFonts w:cs="Times New Roman"/>
          <w:lang w:val="fr-CA"/>
        </w:rPr>
        <w:t>) doit être adoptée, elle doit se justifier par les objets du droit que confère cette disposition. J’examinerai maintenant ces objets.</w:t>
      </w:r>
    </w:p>
    <w:p w:rsidR="00460821" w:rsidRPr="00B35658" w:rsidRDefault="00460821" w:rsidP="00460821">
      <w:pPr>
        <w:pStyle w:val="ParaNoNdepar-AltN"/>
        <w:numPr>
          <w:ilvl w:val="3"/>
          <w:numId w:val="9"/>
        </w:numPr>
        <w:spacing w:before="0"/>
        <w:ind w:left="1152" w:hanging="576"/>
        <w:rPr>
          <w:rFonts w:cs="Times New Roman"/>
          <w:u w:val="single"/>
          <w:lang w:val="fr-CA"/>
        </w:rPr>
      </w:pPr>
      <w:r w:rsidRPr="00B35658">
        <w:rPr>
          <w:rFonts w:cs="Times New Roman"/>
          <w:u w:val="single"/>
          <w:lang w:val="fr-CA"/>
        </w:rPr>
        <w:t>Analyse téléologique</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Comme je l’ai déjà mentionné, un droit garanti par la </w:t>
      </w:r>
      <w:r w:rsidRPr="00B35658">
        <w:rPr>
          <w:rFonts w:cs="Times New Roman"/>
          <w:i/>
          <w:lang w:val="fr-CA"/>
        </w:rPr>
        <w:t xml:space="preserve">Charte </w:t>
      </w:r>
      <w:r w:rsidRPr="00B35658">
        <w:rPr>
          <w:rFonts w:cs="Times New Roman"/>
          <w:lang w:val="fr-CA"/>
        </w:rPr>
        <w:t>doit être interprété téléologiquement, c’est</w:t>
      </w:r>
      <w:r w:rsidRPr="00B35658">
        <w:rPr>
          <w:rFonts w:cs="Times New Roman"/>
          <w:lang w:val="fr-CA"/>
        </w:rPr>
        <w:noBreakHyphen/>
        <w:t>à</w:t>
      </w:r>
      <w:r w:rsidRPr="00B35658">
        <w:rPr>
          <w:rFonts w:cs="Times New Roman"/>
          <w:lang w:val="fr-CA"/>
        </w:rPr>
        <w:noBreakHyphen/>
        <w:t>dire d’une façon qui est justifiée par ses objets. Cela mérite d’être répété car, comme l’a fait observer notre Cour, l’interprétation « téléologique » et l’interprétation « libérale » peuvent être confondues à tort (</w:t>
      </w:r>
      <w:r w:rsidRPr="00B35658">
        <w:rPr>
          <w:rFonts w:cs="Times New Roman"/>
          <w:i/>
          <w:lang w:val="fr-CA"/>
        </w:rPr>
        <w:t>R. c. Grant</w:t>
      </w:r>
      <w:r w:rsidRPr="00B35658">
        <w:rPr>
          <w:rFonts w:cs="Times New Roman"/>
          <w:lang w:val="fr-CA"/>
        </w:rPr>
        <w:t>, 2009 CSC 32, [2009] 2 R.C.S. 353, par. 17; voir aussi P. W. </w:t>
      </w:r>
      <w:proofErr w:type="spellStart"/>
      <w:r w:rsidRPr="00B35658">
        <w:rPr>
          <w:rFonts w:cs="Times New Roman"/>
          <w:lang w:val="fr-CA"/>
        </w:rPr>
        <w:t>Hogg</w:t>
      </w:r>
      <w:proofErr w:type="spellEnd"/>
      <w:r w:rsidRPr="00B35658">
        <w:rPr>
          <w:rFonts w:cs="Times New Roman"/>
          <w:lang w:val="fr-CA"/>
        </w:rPr>
        <w:t xml:space="preserve">, </w:t>
      </w:r>
      <w:proofErr w:type="spellStart"/>
      <w:r w:rsidRPr="00B35658">
        <w:rPr>
          <w:rFonts w:cs="Times New Roman"/>
          <w:i/>
          <w:lang w:val="fr-CA"/>
        </w:rPr>
        <w:t>Constitutional</w:t>
      </w:r>
      <w:proofErr w:type="spellEnd"/>
      <w:r w:rsidRPr="00B35658">
        <w:rPr>
          <w:rFonts w:cs="Times New Roman"/>
          <w:i/>
          <w:lang w:val="fr-CA"/>
        </w:rPr>
        <w:t xml:space="preserve"> Law of Canada</w:t>
      </w:r>
      <w:r w:rsidRPr="00B35658">
        <w:rPr>
          <w:rFonts w:cs="Times New Roman"/>
          <w:lang w:val="fr-CA"/>
        </w:rPr>
        <w:t xml:space="preserve"> (5</w:t>
      </w:r>
      <w:r w:rsidRPr="00B35658">
        <w:rPr>
          <w:rFonts w:cs="Times New Roman"/>
          <w:vertAlign w:val="superscript"/>
          <w:lang w:val="fr-CA"/>
        </w:rPr>
        <w:t>e</w:t>
      </w:r>
      <w:r w:rsidRPr="00B35658">
        <w:rPr>
          <w:rFonts w:cs="Times New Roman"/>
          <w:lang w:val="fr-CA"/>
        </w:rPr>
        <w:t> éd. suppl.)</w:t>
      </w:r>
      <w:r w:rsidR="00CA0AA0">
        <w:rPr>
          <w:rFonts w:cs="Times New Roman"/>
          <w:lang w:val="fr-CA"/>
        </w:rPr>
        <w:t>,</w:t>
      </w:r>
      <w:r w:rsidRPr="00B35658">
        <w:rPr>
          <w:rFonts w:cs="Times New Roman"/>
          <w:lang w:val="fr-CA"/>
        </w:rPr>
        <w:t xml:space="preserve"> vol. 2, p. 36</w:t>
      </w:r>
      <w:r w:rsidRPr="00B35658">
        <w:rPr>
          <w:rFonts w:cs="Times New Roman"/>
          <w:lang w:val="fr-CA"/>
        </w:rPr>
        <w:noBreakHyphen/>
        <w:t>30), et ce, malgré la directive qu’a énoncée notre Cour dans l’arrêt </w:t>
      </w:r>
      <w:proofErr w:type="spellStart"/>
      <w:r w:rsidRPr="00B35658">
        <w:rPr>
          <w:rFonts w:cs="Times New Roman"/>
          <w:i/>
          <w:lang w:val="fr-CA"/>
        </w:rPr>
        <w:t>Big</w:t>
      </w:r>
      <w:proofErr w:type="spellEnd"/>
      <w:r w:rsidRPr="00B35658">
        <w:rPr>
          <w:rFonts w:cs="Times New Roman"/>
          <w:i/>
          <w:lang w:val="fr-CA"/>
        </w:rPr>
        <w:t> M</w:t>
      </w:r>
      <w:r w:rsidRPr="00B35658">
        <w:rPr>
          <w:rFonts w:cs="Times New Roman"/>
          <w:lang w:val="fr-CA"/>
        </w:rPr>
        <w:t>,</w:t>
      </w:r>
      <w:r w:rsidRPr="00B35658">
        <w:rPr>
          <w:rFonts w:cs="Times New Roman"/>
          <w:i/>
          <w:lang w:val="fr-CA"/>
        </w:rPr>
        <w:t xml:space="preserve"> </w:t>
      </w:r>
      <w:r w:rsidRPr="00B35658">
        <w:rPr>
          <w:rFonts w:cs="Times New Roman"/>
          <w:lang w:val="fr-CA"/>
        </w:rPr>
        <w:t>selon laquelle dans l’application d’une interprétation libérale — plutôt que formaliste — « il importe de ne pas aller au</w:t>
      </w:r>
      <w:r w:rsidRPr="00B35658">
        <w:rPr>
          <w:rFonts w:cs="Times New Roman"/>
          <w:lang w:val="fr-CA"/>
        </w:rPr>
        <w:noBreakHyphen/>
        <w:t>delà de l’objet véritable du droit ou de la liberté en question » (p. 344). Notre Cour a réitéré dans l’arrêt </w:t>
      </w:r>
      <w:r w:rsidRPr="00B35658">
        <w:rPr>
          <w:rFonts w:cs="Times New Roman"/>
          <w:i/>
          <w:lang w:val="fr-CA"/>
        </w:rPr>
        <w:t xml:space="preserve">Grant </w:t>
      </w:r>
      <w:r w:rsidRPr="00B35658">
        <w:rPr>
          <w:rFonts w:cs="Times New Roman"/>
          <w:lang w:val="fr-CA"/>
        </w:rPr>
        <w:t xml:space="preserve">que « [l]’objet du droit doit demeurer la principale préoccupation; la libéralité de l’interprétation est restreinte par cet objet et elle y est subordonnée » (par. 17). Il en est ainsi parce qu’une interprétation excessivement libérale d’un droit risquerait de protéger </w:t>
      </w:r>
      <w:r w:rsidRPr="00B35658">
        <w:rPr>
          <w:rFonts w:cs="Times New Roman"/>
          <w:smallCaps/>
          <w:lang w:val="fr-CA"/>
        </w:rPr>
        <w:t xml:space="preserve">[traduction] </w:t>
      </w:r>
      <w:r w:rsidRPr="00B35658">
        <w:rPr>
          <w:rFonts w:cs="Times New Roman"/>
          <w:lang w:val="fr-CA"/>
        </w:rPr>
        <w:t>« des comportements qui dépassent l’objet et ne sont pas dignes d’une protection constitutionnelle » (</w:t>
      </w:r>
      <w:proofErr w:type="spellStart"/>
      <w:r w:rsidRPr="00B35658">
        <w:rPr>
          <w:rFonts w:cs="Times New Roman"/>
          <w:lang w:val="fr-CA"/>
        </w:rPr>
        <w:t>Hogg</w:t>
      </w:r>
      <w:proofErr w:type="spellEnd"/>
      <w:r w:rsidRPr="00B35658">
        <w:rPr>
          <w:rFonts w:cs="Times New Roman"/>
          <w:lang w:val="fr-CA"/>
        </w:rPr>
        <w:t xml:space="preserve">, </w:t>
      </w:r>
      <w:r w:rsidRPr="00B35658">
        <w:rPr>
          <w:rFonts w:cs="Times New Roman"/>
          <w:lang w:val="fr-CA"/>
        </w:rPr>
        <w:lastRenderedPageBreak/>
        <w:t>p. 36</w:t>
      </w:r>
      <w:r w:rsidRPr="00B35658">
        <w:rPr>
          <w:rFonts w:cs="Times New Roman"/>
          <w:lang w:val="fr-CA"/>
        </w:rPr>
        <w:noBreakHyphen/>
        <w:t>30). De plus, « dans le</w:t>
      </w:r>
      <w:r w:rsidR="00FC700A" w:rsidRPr="00B35658">
        <w:rPr>
          <w:rFonts w:cs="Times New Roman"/>
          <w:lang w:val="fr-CA"/>
        </w:rPr>
        <w:t xml:space="preserve"> cas de la plupart des droits [. . .</w:t>
      </w:r>
      <w:r w:rsidRPr="00B35658">
        <w:rPr>
          <w:rFonts w:cs="Times New Roman"/>
          <w:lang w:val="fr-CA"/>
        </w:rPr>
        <w:t>] l’interprétation la plus large possible du droit, qui est également l’interprétation la plus libérale, ira “au</w:t>
      </w:r>
      <w:r w:rsidRPr="00B35658">
        <w:rPr>
          <w:rFonts w:cs="Times New Roman"/>
          <w:lang w:val="fr-CA"/>
        </w:rPr>
        <w:noBreakHyphen/>
        <w:t xml:space="preserve">delà” de l’objet du </w:t>
      </w:r>
      <w:proofErr w:type="gramStart"/>
      <w:r w:rsidRPr="00B35658">
        <w:rPr>
          <w:rFonts w:cs="Times New Roman"/>
          <w:lang w:val="fr-CA"/>
        </w:rPr>
        <w:t>droit</w:t>
      </w:r>
      <w:r w:rsidR="00FC700A" w:rsidRPr="00B35658">
        <w:rPr>
          <w:rFonts w:cs="Times New Roman"/>
          <w:lang w:val="fr-CA"/>
        </w:rPr>
        <w:t xml:space="preserve"> .</w:t>
      </w:r>
      <w:proofErr w:type="gramEnd"/>
      <w:r w:rsidR="00FC700A" w:rsidRPr="00B35658">
        <w:rPr>
          <w:rFonts w:cs="Times New Roman"/>
          <w:lang w:val="fr-CA"/>
        </w:rPr>
        <w:t> . .</w:t>
      </w:r>
      <w:r w:rsidRPr="00B35658">
        <w:rPr>
          <w:rFonts w:cs="Times New Roman"/>
          <w:lang w:val="fr-CA"/>
        </w:rPr>
        <w:t> » (</w:t>
      </w:r>
      <w:r w:rsidR="008B46B2" w:rsidRPr="008B46B2">
        <w:rPr>
          <w:rFonts w:cs="Times New Roman"/>
          <w:i/>
          <w:lang w:val="fr-CA"/>
        </w:rPr>
        <w:t>ibid.</w:t>
      </w:r>
      <w:r w:rsidRPr="00B35658">
        <w:rPr>
          <w:rFonts w:cs="Times New Roman"/>
          <w:lang w:val="fr-CA"/>
        </w:rPr>
        <w:t>).</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Par conséquent, bien que l’on ait souvent dit que les droits garantis par la </w:t>
      </w:r>
      <w:r w:rsidRPr="00B35658">
        <w:rPr>
          <w:rFonts w:cs="Times New Roman"/>
          <w:i/>
          <w:lang w:val="fr-CA"/>
        </w:rPr>
        <w:t xml:space="preserve">Charte </w:t>
      </w:r>
      <w:r w:rsidRPr="00B35658">
        <w:rPr>
          <w:rFonts w:cs="Times New Roman"/>
          <w:lang w:val="fr-CA"/>
        </w:rPr>
        <w:t xml:space="preserve">doivent être interprétés de façon « large et libérale », ils sont, au bout du compte, subordonnés à leurs objets. Autrement dit, les droits garantis par la </w:t>
      </w:r>
      <w:r w:rsidRPr="00B35658">
        <w:rPr>
          <w:rFonts w:cs="Times New Roman"/>
          <w:i/>
          <w:lang w:val="fr-CA"/>
        </w:rPr>
        <w:t>Charte</w:t>
      </w:r>
      <w:r w:rsidRPr="00B35658">
        <w:rPr>
          <w:rFonts w:cs="Times New Roman"/>
          <w:lang w:val="fr-CA"/>
        </w:rPr>
        <w:t>, y compris celui reconnu à l’al. 11</w:t>
      </w:r>
      <w:r w:rsidRPr="00B35658">
        <w:rPr>
          <w:rFonts w:cs="Times New Roman"/>
          <w:i/>
          <w:lang w:val="fr-CA"/>
        </w:rPr>
        <w:t>i</w:t>
      </w:r>
      <w:r w:rsidRPr="00B35658">
        <w:rPr>
          <w:rFonts w:cs="Times New Roman"/>
          <w:lang w:val="fr-CA"/>
        </w:rPr>
        <w:t xml:space="preserve">), doivent être interprétés de façon libérale dans les limites de leurs objets. La Cour l’a reconnu dans l’arrêt </w:t>
      </w:r>
      <w:r w:rsidRPr="00B35658">
        <w:rPr>
          <w:rFonts w:cs="Times New Roman"/>
          <w:i/>
          <w:lang w:val="fr-CA"/>
        </w:rPr>
        <w:t>K.R.J.</w:t>
      </w:r>
      <w:r w:rsidRPr="00B35658">
        <w:rPr>
          <w:rFonts w:cs="Times New Roman"/>
          <w:lang w:val="fr-CA"/>
        </w:rPr>
        <w:t>, où elle a jugé que l’al. 11</w:t>
      </w:r>
      <w:r w:rsidRPr="00B35658">
        <w:rPr>
          <w:rFonts w:cs="Times New Roman"/>
          <w:i/>
          <w:lang w:val="fr-CA"/>
        </w:rPr>
        <w:t>i</w:t>
      </w:r>
      <w:r w:rsidRPr="00B35658">
        <w:rPr>
          <w:rFonts w:cs="Times New Roman"/>
          <w:lang w:val="fr-CA"/>
        </w:rPr>
        <w:t xml:space="preserve">) méritait une « interprétation libérale </w:t>
      </w:r>
      <w:r w:rsidRPr="00B35658">
        <w:rPr>
          <w:rFonts w:cs="Times New Roman"/>
          <w:i/>
          <w:u w:val="single"/>
          <w:lang w:val="fr-CA"/>
        </w:rPr>
        <w:t>et</w:t>
      </w:r>
      <w:r w:rsidRPr="00B35658">
        <w:rPr>
          <w:rFonts w:cs="Times New Roman"/>
          <w:u w:val="single"/>
          <w:lang w:val="fr-CA"/>
        </w:rPr>
        <w:t xml:space="preserve"> téléologique</w:t>
      </w:r>
      <w:r w:rsidRPr="00B35658">
        <w:rPr>
          <w:rFonts w:cs="Times New Roman"/>
          <w:lang w:val="fr-CA"/>
        </w:rPr>
        <w:t> »</w:t>
      </w:r>
      <w:r w:rsidR="0028017A">
        <w:rPr>
          <w:rFonts w:cs="Times New Roman"/>
          <w:lang w:val="fr-CA"/>
        </w:rPr>
        <w:t xml:space="preserve"> (par. 37 (</w:t>
      </w:r>
      <w:r w:rsidR="008B46B2">
        <w:rPr>
          <w:rFonts w:cs="Times New Roman"/>
          <w:lang w:val="fr-CA"/>
        </w:rPr>
        <w:t>je souligne))</w:t>
      </w:r>
      <w:r w:rsidRPr="00B35658">
        <w:rPr>
          <w:rFonts w:cs="Times New Roman"/>
          <w:lang w:val="fr-CA"/>
        </w:rPr>
        <w:t>. De fait, dans cet arrêt, la Cour a justifié son interprétation libérale du terme « peine » en le reliant aux objets de l’al. 11</w:t>
      </w:r>
      <w:r w:rsidRPr="00B35658">
        <w:rPr>
          <w:rFonts w:cs="Times New Roman"/>
          <w:i/>
          <w:lang w:val="fr-CA"/>
        </w:rPr>
        <w:t>i</w:t>
      </w:r>
      <w:r w:rsidRPr="00B35658">
        <w:rPr>
          <w:rFonts w:cs="Times New Roman"/>
          <w:lang w:val="fr-CA"/>
        </w:rPr>
        <w:t>). La Cour a expliqué que les objectifs de primauté du droit et d’équité qui sous</w:t>
      </w:r>
      <w:r w:rsidRPr="00B35658">
        <w:rPr>
          <w:rFonts w:cs="Times New Roman"/>
          <w:lang w:val="fr-CA"/>
        </w:rPr>
        <w:noBreakHyphen/>
        <w:t>tendent l’al. 11</w:t>
      </w:r>
      <w:r w:rsidRPr="00B35658">
        <w:rPr>
          <w:rFonts w:cs="Times New Roman"/>
          <w:i/>
          <w:lang w:val="fr-CA"/>
        </w:rPr>
        <w:t>i</w:t>
      </w:r>
      <w:r w:rsidRPr="00B35658">
        <w:rPr>
          <w:rFonts w:cs="Times New Roman"/>
          <w:lang w:val="fr-CA"/>
        </w:rPr>
        <w:t>) seraient, en réalité, « compromis » si une interprétation libérale du terme « peine » n’était pas adoptée (par. 37). De même, dans l’arrêt </w:t>
      </w:r>
      <w:r w:rsidRPr="00B35658">
        <w:rPr>
          <w:rFonts w:cs="Times New Roman"/>
          <w:i/>
          <w:lang w:val="fr-CA"/>
        </w:rPr>
        <w:t>R. c. Sinclair</w:t>
      </w:r>
      <w:r w:rsidRPr="00B35658">
        <w:rPr>
          <w:rFonts w:cs="Times New Roman"/>
          <w:lang w:val="fr-CA"/>
        </w:rPr>
        <w:t>, 2010 CSC 35, [2010] 2 R.C.S. 310, notre Cour a conclu à la majorité que le droit garanti par l’al. 10</w:t>
      </w:r>
      <w:r w:rsidRPr="00B35658">
        <w:rPr>
          <w:rFonts w:cs="Times New Roman"/>
          <w:i/>
          <w:lang w:val="fr-CA"/>
        </w:rPr>
        <w:t>b</w:t>
      </w:r>
      <w:r w:rsidRPr="00B35658">
        <w:rPr>
          <w:rFonts w:cs="Times New Roman"/>
          <w:lang w:val="fr-CA"/>
        </w:rPr>
        <w:t xml:space="preserve">) de la </w:t>
      </w:r>
      <w:r w:rsidRPr="00B35658">
        <w:rPr>
          <w:rFonts w:cs="Times New Roman"/>
          <w:i/>
          <w:lang w:val="fr-CA"/>
        </w:rPr>
        <w:t xml:space="preserve">Charte </w:t>
      </w:r>
      <w:r w:rsidR="00375CBD" w:rsidRPr="00B35658">
        <w:rPr>
          <w:rFonts w:cs="Times New Roman"/>
          <w:lang w:val="fr-CA"/>
        </w:rPr>
        <w:t>« d’avoir recours [. . .</w:t>
      </w:r>
      <w:r w:rsidRPr="00B35658">
        <w:rPr>
          <w:rFonts w:cs="Times New Roman"/>
          <w:lang w:val="fr-CA"/>
        </w:rPr>
        <w:t>] à l’assistance d’un avocat » en cas d’arrestation ou de détention ne donne pas aux détenus le droit de suspendre l’interrogatoire de la police auquel ils sont soumis pour consulter un avocat sur demande raisonnable à cet effet. Les juges majoritaires ont rejeté cette interprétation libérale de l’al. 10</w:t>
      </w:r>
      <w:r w:rsidRPr="00B35658">
        <w:rPr>
          <w:rFonts w:cs="Times New Roman"/>
          <w:i/>
          <w:lang w:val="fr-CA"/>
        </w:rPr>
        <w:t>b</w:t>
      </w:r>
      <w:r w:rsidRPr="00B35658">
        <w:rPr>
          <w:rFonts w:cs="Times New Roman"/>
          <w:lang w:val="fr-CA"/>
        </w:rPr>
        <w:t>), car l’objet du droit que confère cette disposition ne la justifiait pas (</w:t>
      </w:r>
      <w:r w:rsidRPr="00B35658">
        <w:rPr>
          <w:rFonts w:cs="Times New Roman"/>
          <w:i/>
          <w:lang w:val="fr-CA"/>
        </w:rPr>
        <w:t>Sinclair</w:t>
      </w:r>
      <w:r w:rsidRPr="00B35658">
        <w:rPr>
          <w:rFonts w:cs="Times New Roman"/>
          <w:lang w:val="fr-CA"/>
        </w:rPr>
        <w:t>, par. 36 et 56</w:t>
      </w:r>
      <w:r w:rsidRPr="00B35658">
        <w:rPr>
          <w:rFonts w:cs="Times New Roman"/>
          <w:lang w:val="fr-CA"/>
        </w:rPr>
        <w:noBreakHyphen/>
        <w:t>57). En effet, l’objet de l’al. 10</w:t>
      </w:r>
      <w:r w:rsidRPr="00B35658">
        <w:rPr>
          <w:rFonts w:cs="Times New Roman"/>
          <w:i/>
          <w:lang w:val="fr-CA"/>
        </w:rPr>
        <w:t>b</w:t>
      </w:r>
      <w:r w:rsidRPr="00B35658">
        <w:rPr>
          <w:rFonts w:cs="Times New Roman"/>
          <w:lang w:val="fr-CA"/>
        </w:rPr>
        <w:t xml:space="preserve">) est atteint si le droit que confère cette disposition est interprété d’une façon plus mesurée qui permet </w:t>
      </w:r>
      <w:r w:rsidRPr="00B35658">
        <w:rPr>
          <w:rFonts w:cs="Times New Roman"/>
          <w:lang w:val="fr-CA"/>
        </w:rPr>
        <w:lastRenderedPageBreak/>
        <w:t>aux détenus subissant un interrogatoire de consulter de nouveau un avocat lorsqu’un changement de circonstances pendant l’enquête justifie une consultation.</w:t>
      </w:r>
    </w:p>
    <w:p w:rsidR="00460821" w:rsidRPr="00B35658" w:rsidRDefault="00460821" w:rsidP="00460821">
      <w:pPr>
        <w:pStyle w:val="ParaNoNdepar-AltN"/>
        <w:spacing w:before="0"/>
        <w:rPr>
          <w:rFonts w:cs="Times New Roman"/>
          <w:lang w:val="fr-CA"/>
        </w:rPr>
      </w:pPr>
      <w:r w:rsidRPr="00B35658">
        <w:rPr>
          <w:rFonts w:cs="Times New Roman"/>
          <w:lang w:val="fr-CA"/>
        </w:rPr>
        <w:t>À mon humble avis, les tribunaux qui ont donné à l’al. 11</w:t>
      </w:r>
      <w:r w:rsidRPr="00B35658">
        <w:rPr>
          <w:rFonts w:cs="Times New Roman"/>
          <w:i/>
          <w:lang w:val="fr-CA"/>
        </w:rPr>
        <w:t>i</w:t>
      </w:r>
      <w:r w:rsidRPr="00B35658">
        <w:rPr>
          <w:rFonts w:cs="Times New Roman"/>
          <w:lang w:val="fr-CA"/>
        </w:rPr>
        <w:t>) une interprétation globale ont fait l’erreur, tel qu’</w:t>
      </w:r>
      <w:r w:rsidR="008341D7" w:rsidRPr="00B35658">
        <w:rPr>
          <w:rFonts w:cs="Times New Roman"/>
          <w:lang w:val="fr-CA"/>
        </w:rPr>
        <w:t xml:space="preserve">il a été mentionné dans l’arrêt </w:t>
      </w:r>
      <w:r w:rsidRPr="00B35658">
        <w:rPr>
          <w:rFonts w:cs="Times New Roman"/>
          <w:i/>
          <w:lang w:val="fr-CA"/>
        </w:rPr>
        <w:t>Grant</w:t>
      </w:r>
      <w:r w:rsidRPr="00B35658">
        <w:rPr>
          <w:rFonts w:cs="Times New Roman"/>
          <w:lang w:val="fr-CA"/>
        </w:rPr>
        <w:t>, d’accorder la priorité à la libéralité de l’interprétation plutôt qu’à l’objet. Au lieu de relever les principes ou les objets qui sous</w:t>
      </w:r>
      <w:r w:rsidRPr="00B35658">
        <w:rPr>
          <w:rFonts w:cs="Times New Roman"/>
          <w:lang w:val="fr-CA"/>
        </w:rPr>
        <w:noBreakHyphen/>
        <w:t>tendent l’al. 11</w:t>
      </w:r>
      <w:r w:rsidRPr="00B35658">
        <w:rPr>
          <w:rFonts w:cs="Times New Roman"/>
          <w:i/>
          <w:lang w:val="fr-CA"/>
        </w:rPr>
        <w:t>i</w:t>
      </w:r>
      <w:r w:rsidRPr="00B35658">
        <w:rPr>
          <w:rFonts w:cs="Times New Roman"/>
          <w:lang w:val="fr-CA"/>
        </w:rPr>
        <w:t>), ils ont tout simplement conclu qu’il fallait donner à l’al. 11</w:t>
      </w:r>
      <w:r w:rsidRPr="00B35658">
        <w:rPr>
          <w:rFonts w:cs="Times New Roman"/>
          <w:i/>
          <w:lang w:val="fr-CA"/>
        </w:rPr>
        <w:t>i</w:t>
      </w:r>
      <w:r w:rsidRPr="00B35658">
        <w:rPr>
          <w:rFonts w:cs="Times New Roman"/>
          <w:lang w:val="fr-CA"/>
        </w:rPr>
        <w:t xml:space="preserve">) l’interprétation la plus favorable à l’accusé, interprétation qu’ils ont qualifiée de libérale (voir </w:t>
      </w:r>
      <w:r w:rsidRPr="00B35658">
        <w:rPr>
          <w:rFonts w:cs="Times New Roman"/>
          <w:i/>
          <w:lang w:val="fr-CA"/>
        </w:rPr>
        <w:t>Yusuf</w:t>
      </w:r>
      <w:r w:rsidRPr="00B35658">
        <w:rPr>
          <w:rFonts w:cs="Times New Roman"/>
          <w:lang w:val="fr-CA"/>
        </w:rPr>
        <w:t>, par. 30 (</w:t>
      </w:r>
      <w:proofErr w:type="spellStart"/>
      <w:r w:rsidRPr="00B35658">
        <w:rPr>
          <w:rFonts w:cs="Times New Roman"/>
          <w:lang w:val="fr-CA"/>
        </w:rPr>
        <w:t>CanLII</w:t>
      </w:r>
      <w:proofErr w:type="spellEnd"/>
      <w:r w:rsidRPr="00B35658">
        <w:rPr>
          <w:rFonts w:cs="Times New Roman"/>
          <w:lang w:val="fr-CA"/>
        </w:rPr>
        <w:t xml:space="preserve">); </w:t>
      </w:r>
      <w:proofErr w:type="spellStart"/>
      <w:r w:rsidRPr="00B35658">
        <w:rPr>
          <w:rFonts w:cs="Times New Roman"/>
          <w:i/>
          <w:lang w:val="fr-CA"/>
        </w:rPr>
        <w:t>Mehanmal</w:t>
      </w:r>
      <w:proofErr w:type="spellEnd"/>
      <w:r w:rsidR="003D6AEE">
        <w:rPr>
          <w:rFonts w:cs="Times New Roman"/>
          <w:lang w:val="fr-CA"/>
        </w:rPr>
        <w:t>, par. 75</w:t>
      </w:r>
      <w:r w:rsidR="003D6AEE" w:rsidRPr="00B35658">
        <w:rPr>
          <w:rFonts w:cs="Times New Roman"/>
          <w:lang w:val="fr-CA"/>
        </w:rPr>
        <w:noBreakHyphen/>
      </w:r>
      <w:r w:rsidRPr="00B35658">
        <w:rPr>
          <w:rFonts w:cs="Times New Roman"/>
          <w:lang w:val="fr-CA"/>
        </w:rPr>
        <w:t xml:space="preserve">76; </w:t>
      </w:r>
      <w:r w:rsidRPr="00B35658">
        <w:rPr>
          <w:rFonts w:cs="Times New Roman"/>
          <w:i/>
          <w:lang w:val="fr-CA"/>
        </w:rPr>
        <w:t>R. c. </w:t>
      </w:r>
      <w:r w:rsidR="001E258E">
        <w:rPr>
          <w:rFonts w:cs="Times New Roman"/>
          <w:i/>
          <w:lang w:val="fr-CA"/>
        </w:rPr>
        <w:t>D.H.</w:t>
      </w:r>
      <w:r w:rsidRPr="00B35658">
        <w:rPr>
          <w:rFonts w:cs="Times New Roman"/>
          <w:lang w:val="fr-CA"/>
        </w:rPr>
        <w:t>, 2017 ONCJ 51, par. 17 (</w:t>
      </w:r>
      <w:proofErr w:type="spellStart"/>
      <w:r w:rsidRPr="00B35658">
        <w:rPr>
          <w:rFonts w:cs="Times New Roman"/>
          <w:lang w:val="fr-CA"/>
        </w:rPr>
        <w:t>CanLII</w:t>
      </w:r>
      <w:proofErr w:type="spellEnd"/>
      <w:r w:rsidRPr="00B35658">
        <w:rPr>
          <w:rFonts w:cs="Times New Roman"/>
          <w:lang w:val="fr-CA"/>
        </w:rPr>
        <w:t xml:space="preserve">); </w:t>
      </w:r>
      <w:proofErr w:type="spellStart"/>
      <w:r w:rsidRPr="00B35658">
        <w:rPr>
          <w:rFonts w:cs="Times New Roman"/>
          <w:i/>
          <w:lang w:val="fr-CA"/>
        </w:rPr>
        <w:t>Bent</w:t>
      </w:r>
      <w:proofErr w:type="spellEnd"/>
      <w:r w:rsidRPr="00B35658">
        <w:rPr>
          <w:rFonts w:cs="Times New Roman"/>
          <w:lang w:val="fr-CA"/>
        </w:rPr>
        <w:t xml:space="preserve">, par. 79; voir aussi </w:t>
      </w:r>
      <w:proofErr w:type="spellStart"/>
      <w:r w:rsidRPr="00B35658">
        <w:rPr>
          <w:rFonts w:cs="Times New Roman"/>
          <w:i/>
          <w:lang w:val="fr-CA"/>
        </w:rPr>
        <w:t>Cadman</w:t>
      </w:r>
      <w:proofErr w:type="spellEnd"/>
      <w:r w:rsidRPr="00B35658">
        <w:rPr>
          <w:rFonts w:cs="Times New Roman"/>
          <w:lang w:val="fr-CA"/>
        </w:rPr>
        <w:t>,</w:t>
      </w:r>
      <w:r w:rsidRPr="00B35658">
        <w:rPr>
          <w:rFonts w:cs="Times New Roman"/>
          <w:i/>
          <w:lang w:val="fr-CA"/>
        </w:rPr>
        <w:t xml:space="preserve"> </w:t>
      </w:r>
      <w:r w:rsidRPr="00B35658">
        <w:rPr>
          <w:rFonts w:cs="Times New Roman"/>
          <w:lang w:val="fr-CA"/>
        </w:rPr>
        <w:t>lequel arrêt est fondé sur les paragraphes cités des arrêts </w:t>
      </w:r>
      <w:r w:rsidRPr="00B35658">
        <w:rPr>
          <w:rFonts w:cs="Times New Roman"/>
          <w:i/>
          <w:lang w:val="fr-CA"/>
        </w:rPr>
        <w:t xml:space="preserve">Yusuf </w:t>
      </w:r>
      <w:r w:rsidRPr="00B35658">
        <w:rPr>
          <w:rFonts w:cs="Times New Roman"/>
          <w:lang w:val="fr-CA"/>
        </w:rPr>
        <w:t xml:space="preserve">et </w:t>
      </w:r>
      <w:proofErr w:type="spellStart"/>
      <w:r w:rsidRPr="00B35658">
        <w:rPr>
          <w:rFonts w:cs="Times New Roman"/>
          <w:i/>
          <w:lang w:val="fr-CA"/>
        </w:rPr>
        <w:t>Bent</w:t>
      </w:r>
      <w:proofErr w:type="spellEnd"/>
      <w:r w:rsidRPr="00B35658">
        <w:rPr>
          <w:rFonts w:cs="Times New Roman"/>
          <w:lang w:val="fr-CA"/>
        </w:rPr>
        <w:t>).</w:t>
      </w:r>
      <w:r w:rsidRPr="00B35658">
        <w:rPr>
          <w:rFonts w:cs="Times New Roman"/>
          <w:i/>
          <w:lang w:val="fr-CA"/>
        </w:rPr>
        <w:t xml:space="preserve"> </w:t>
      </w:r>
      <w:r w:rsidRPr="00B35658">
        <w:rPr>
          <w:rFonts w:cs="Times New Roman"/>
          <w:lang w:val="fr-CA"/>
        </w:rPr>
        <w:t xml:space="preserve">Toutefois, le principe selon lequel une disposition ayant plus d’une signification plausible doit être interprétée d’une manière favorable à l’accusé ne constitue pas un principe d’interprétation de la </w:t>
      </w:r>
      <w:r w:rsidRPr="00B35658">
        <w:rPr>
          <w:rFonts w:cs="Times New Roman"/>
          <w:i/>
          <w:lang w:val="fr-CA"/>
        </w:rPr>
        <w:t>Charte</w:t>
      </w:r>
      <w:r w:rsidRPr="00B35658">
        <w:rPr>
          <w:rFonts w:cs="Times New Roman"/>
          <w:lang w:val="fr-CA"/>
        </w:rPr>
        <w:t xml:space="preserve">. Il s’agit plutôt d’un principe d’interprétation législative pénale (voir </w:t>
      </w:r>
      <w:r w:rsidRPr="00B35658">
        <w:rPr>
          <w:rFonts w:cs="Times New Roman"/>
          <w:i/>
          <w:lang w:val="fr-CA"/>
        </w:rPr>
        <w:t>R. c. McIntosh</w:t>
      </w:r>
      <w:r w:rsidRPr="00B35658">
        <w:rPr>
          <w:rFonts w:cs="Times New Roman"/>
          <w:lang w:val="fr-CA"/>
        </w:rPr>
        <w:t>, [1995] 1 R.C.S. 686, par. 27, 29</w:t>
      </w:r>
      <w:r w:rsidR="009C1BBD">
        <w:rPr>
          <w:rFonts w:cs="Times New Roman"/>
          <w:lang w:val="fr-CA"/>
        </w:rPr>
        <w:t xml:space="preserve"> et</w:t>
      </w:r>
      <w:r w:rsidRPr="00B35658">
        <w:rPr>
          <w:rFonts w:cs="Times New Roman"/>
          <w:lang w:val="fr-CA"/>
        </w:rPr>
        <w:t xml:space="preserve"> 38</w:t>
      </w:r>
      <w:r w:rsidR="009C1BBD" w:rsidRPr="00B35658">
        <w:rPr>
          <w:rFonts w:cs="Times New Roman"/>
          <w:lang w:val="fr-CA"/>
        </w:rPr>
        <w:noBreakHyphen/>
      </w:r>
      <w:r w:rsidR="009C1BBD">
        <w:rPr>
          <w:rFonts w:cs="Times New Roman"/>
          <w:lang w:val="fr-CA"/>
        </w:rPr>
        <w:t>3</w:t>
      </w:r>
      <w:r w:rsidRPr="00B35658">
        <w:rPr>
          <w:rFonts w:cs="Times New Roman"/>
          <w:lang w:val="fr-CA"/>
        </w:rPr>
        <w:t xml:space="preserve">9; </w:t>
      </w:r>
      <w:r w:rsidRPr="00B35658">
        <w:rPr>
          <w:rFonts w:cs="Times New Roman"/>
          <w:i/>
          <w:lang w:val="fr-CA"/>
        </w:rPr>
        <w:t>R. c. Dunn</w:t>
      </w:r>
      <w:r w:rsidRPr="00B35658">
        <w:rPr>
          <w:rFonts w:cs="Times New Roman"/>
          <w:lang w:val="fr-CA"/>
        </w:rPr>
        <w:t xml:space="preserve">, [1995] 1 R.C.S. 226, par. 28). Comme je viens de l’expliquer, les droits garantis par la </w:t>
      </w:r>
      <w:r w:rsidRPr="00B35658">
        <w:rPr>
          <w:rFonts w:cs="Times New Roman"/>
          <w:i/>
          <w:lang w:val="fr-CA"/>
        </w:rPr>
        <w:t xml:space="preserve">Charte </w:t>
      </w:r>
      <w:r w:rsidRPr="00B35658">
        <w:rPr>
          <w:rFonts w:cs="Times New Roman"/>
          <w:lang w:val="fr-CA"/>
        </w:rPr>
        <w:t xml:space="preserve">ne sont pas interprétés automatiquement de la façon la plus libérale que peut permettre leur libellé (voir </w:t>
      </w:r>
      <w:r w:rsidRPr="00B35658">
        <w:rPr>
          <w:rFonts w:cs="Times New Roman"/>
          <w:i/>
          <w:lang w:val="fr-CA"/>
        </w:rPr>
        <w:t>Sinclair</w:t>
      </w:r>
      <w:r w:rsidRPr="00B35658">
        <w:rPr>
          <w:rFonts w:cs="Times New Roman"/>
          <w:lang w:val="fr-CA"/>
        </w:rPr>
        <w:t>, par. 19</w:t>
      </w:r>
      <w:r w:rsidR="004F7D38" w:rsidRPr="00B35658">
        <w:rPr>
          <w:rFonts w:cs="Times New Roman"/>
          <w:lang w:val="fr-CA"/>
        </w:rPr>
        <w:noBreakHyphen/>
      </w:r>
      <w:r w:rsidR="004F7D38">
        <w:rPr>
          <w:rFonts w:cs="Times New Roman"/>
          <w:lang w:val="fr-CA"/>
        </w:rPr>
        <w:t>23 et</w:t>
      </w:r>
      <w:r w:rsidRPr="00B35658">
        <w:rPr>
          <w:rFonts w:cs="Times New Roman"/>
          <w:lang w:val="fr-CA"/>
        </w:rPr>
        <w:t xml:space="preserve"> 35</w:t>
      </w:r>
      <w:r w:rsidR="004F7D38" w:rsidRPr="00B35658">
        <w:rPr>
          <w:rFonts w:cs="Times New Roman"/>
          <w:lang w:val="fr-CA"/>
        </w:rPr>
        <w:noBreakHyphen/>
      </w:r>
      <w:r w:rsidR="004F7D38">
        <w:rPr>
          <w:rFonts w:cs="Times New Roman"/>
          <w:lang w:val="fr-CA"/>
        </w:rPr>
        <w:t>3</w:t>
      </w:r>
      <w:r w:rsidRPr="00B35658">
        <w:rPr>
          <w:rFonts w:cs="Times New Roman"/>
          <w:lang w:val="fr-CA"/>
        </w:rPr>
        <w:t>6; voir également, par exemple, l’arrêt </w:t>
      </w:r>
      <w:proofErr w:type="spellStart"/>
      <w:r w:rsidRPr="00B35658">
        <w:rPr>
          <w:rFonts w:cs="Times New Roman"/>
          <w:i/>
          <w:lang w:val="fr-CA"/>
        </w:rPr>
        <w:t>Wigglesworth</w:t>
      </w:r>
      <w:proofErr w:type="spellEnd"/>
      <w:r w:rsidRPr="00B35658">
        <w:rPr>
          <w:rFonts w:cs="Times New Roman"/>
          <w:lang w:val="fr-CA"/>
        </w:rPr>
        <w:t>, p. 553</w:t>
      </w:r>
      <w:r w:rsidR="00937C21" w:rsidRPr="00B35658">
        <w:rPr>
          <w:rFonts w:cs="Times New Roman"/>
          <w:lang w:val="fr-CA"/>
        </w:rPr>
        <w:noBreakHyphen/>
      </w:r>
      <w:r w:rsidRPr="00B35658">
        <w:rPr>
          <w:rFonts w:cs="Times New Roman"/>
          <w:lang w:val="fr-CA"/>
        </w:rPr>
        <w:t>554, dans lequel notre Cour a donné aux termes générau</w:t>
      </w:r>
      <w:r w:rsidR="00937C21">
        <w:rPr>
          <w:rFonts w:cs="Times New Roman"/>
          <w:lang w:val="fr-CA"/>
        </w:rPr>
        <w:t>x « [t]out inculpé » qui figuren</w:t>
      </w:r>
      <w:r w:rsidRPr="00B35658">
        <w:rPr>
          <w:rFonts w:cs="Times New Roman"/>
          <w:lang w:val="fr-CA"/>
        </w:rPr>
        <w:t xml:space="preserve">t au début de l’art. 11 une « interprétation plus restrictive »; </w:t>
      </w:r>
      <w:r w:rsidRPr="00B35658">
        <w:rPr>
          <w:rFonts w:cs="Times New Roman"/>
          <w:i/>
          <w:lang w:val="fr-CA"/>
        </w:rPr>
        <w:t>Carter c. La Reine</w:t>
      </w:r>
      <w:r w:rsidRPr="00B35658">
        <w:rPr>
          <w:rFonts w:cs="Times New Roman"/>
          <w:lang w:val="fr-CA"/>
        </w:rPr>
        <w:t xml:space="preserve">, [1986] 1 R.C.S. 981, le juge Lamer; </w:t>
      </w:r>
      <w:r w:rsidRPr="00B35658">
        <w:rPr>
          <w:rFonts w:cs="Times New Roman"/>
          <w:i/>
          <w:lang w:val="fr-CA"/>
        </w:rPr>
        <w:t>R. c. </w:t>
      </w:r>
      <w:proofErr w:type="spellStart"/>
      <w:r w:rsidRPr="00B35658">
        <w:rPr>
          <w:rFonts w:cs="Times New Roman"/>
          <w:i/>
          <w:lang w:val="fr-CA"/>
        </w:rPr>
        <w:t>Kalanj</w:t>
      </w:r>
      <w:proofErr w:type="spellEnd"/>
      <w:r w:rsidR="000B13D2">
        <w:rPr>
          <w:rFonts w:cs="Times New Roman"/>
          <w:lang w:val="fr-CA"/>
        </w:rPr>
        <w:t xml:space="preserve">, [1989] 1 R.C.S. 1594, le juge </w:t>
      </w:r>
      <w:r w:rsidRPr="00B35658">
        <w:rPr>
          <w:rFonts w:cs="Times New Roman"/>
          <w:lang w:val="fr-CA"/>
        </w:rPr>
        <w:t xml:space="preserve">McIntyre; </w:t>
      </w:r>
      <w:r w:rsidRPr="00B35658">
        <w:rPr>
          <w:rFonts w:cs="Times New Roman"/>
          <w:i/>
          <w:lang w:val="fr-CA"/>
        </w:rPr>
        <w:t>R. c. Potvin</w:t>
      </w:r>
      <w:r w:rsidRPr="00B35658">
        <w:rPr>
          <w:rFonts w:cs="Times New Roman"/>
          <w:lang w:val="fr-CA"/>
        </w:rPr>
        <w:t>,</w:t>
      </w:r>
      <w:r w:rsidRPr="00B35658">
        <w:rPr>
          <w:rFonts w:cs="Times New Roman"/>
          <w:i/>
          <w:lang w:val="fr-CA"/>
        </w:rPr>
        <w:t xml:space="preserve"> </w:t>
      </w:r>
      <w:r w:rsidR="000B13D2">
        <w:rPr>
          <w:rFonts w:cs="Times New Roman"/>
          <w:lang w:val="fr-CA"/>
        </w:rPr>
        <w:t xml:space="preserve">[1993] 2 R.C.S. 880, le juge </w:t>
      </w:r>
      <w:proofErr w:type="spellStart"/>
      <w:r w:rsidRPr="00B35658">
        <w:rPr>
          <w:rFonts w:cs="Times New Roman"/>
          <w:lang w:val="fr-CA"/>
        </w:rPr>
        <w:t>Sopinka</w:t>
      </w:r>
      <w:proofErr w:type="spellEnd"/>
      <w:r w:rsidRPr="00B35658">
        <w:rPr>
          <w:rFonts w:cs="Times New Roman"/>
          <w:lang w:val="fr-CA"/>
        </w:rPr>
        <w:t xml:space="preserve">, arrêt dans lequel notre Cour a statué que le droit « d’être jugé dans un délai </w:t>
      </w:r>
      <w:r w:rsidRPr="00B35658">
        <w:rPr>
          <w:rFonts w:cs="Times New Roman"/>
          <w:lang w:val="fr-CA"/>
        </w:rPr>
        <w:lastRenderedPageBreak/>
        <w:t>raisonnable » que garantit l’al. 11</w:t>
      </w:r>
      <w:r w:rsidRPr="00B35658">
        <w:rPr>
          <w:rFonts w:cs="Times New Roman"/>
          <w:i/>
          <w:lang w:val="fr-CA"/>
        </w:rPr>
        <w:t>b</w:t>
      </w:r>
      <w:r w:rsidRPr="00B35658">
        <w:rPr>
          <w:rFonts w:cs="Times New Roman"/>
          <w:lang w:val="fr-CA"/>
        </w:rPr>
        <w:t xml:space="preserve">) de la </w:t>
      </w:r>
      <w:r w:rsidRPr="00B35658">
        <w:rPr>
          <w:rFonts w:cs="Times New Roman"/>
          <w:i/>
          <w:lang w:val="fr-CA"/>
        </w:rPr>
        <w:t>Charte</w:t>
      </w:r>
      <w:r w:rsidRPr="00B35658">
        <w:rPr>
          <w:rFonts w:cs="Times New Roman"/>
          <w:lang w:val="fr-CA"/>
        </w:rPr>
        <w:t xml:space="preserve"> n’empêche pas qu’il y ait un délai antérieur à l’accusation ou un délai d’appel).</w:t>
      </w:r>
    </w:p>
    <w:p w:rsidR="00460821" w:rsidRPr="00B35658" w:rsidRDefault="00460821" w:rsidP="00460821">
      <w:pPr>
        <w:pStyle w:val="ParaNoNdepar-AltN"/>
        <w:spacing w:before="0"/>
        <w:rPr>
          <w:rFonts w:cs="Times New Roman"/>
          <w:lang w:val="fr-CA"/>
        </w:rPr>
      </w:pPr>
      <w:r w:rsidRPr="00B35658">
        <w:rPr>
          <w:rFonts w:cs="Times New Roman"/>
          <w:lang w:val="fr-CA"/>
        </w:rPr>
        <w:t>Compte tenu de ce qui précède, il est nécessaire de se pencher sur la question de savoir si l’al. 11</w:t>
      </w:r>
      <w:r w:rsidRPr="00B35658">
        <w:rPr>
          <w:rFonts w:cs="Times New Roman"/>
          <w:i/>
          <w:lang w:val="fr-CA"/>
        </w:rPr>
        <w:t>i</w:t>
      </w:r>
      <w:r w:rsidRPr="00B35658">
        <w:rPr>
          <w:rFonts w:cs="Times New Roman"/>
          <w:lang w:val="fr-CA"/>
        </w:rPr>
        <w:t>) confère un droit binaire ou un droit global du point de vue des objets de cet alinéa, et non seulement du point de vue du contrevenant concerné.</w:t>
      </w:r>
    </w:p>
    <w:p w:rsidR="00460821" w:rsidRPr="00B35658" w:rsidRDefault="00460821" w:rsidP="00460821">
      <w:pPr>
        <w:pStyle w:val="ParaNoNdepar-AltN"/>
        <w:spacing w:before="0"/>
        <w:rPr>
          <w:rFonts w:cs="Times New Roman"/>
          <w:lang w:val="fr-CA"/>
        </w:rPr>
      </w:pPr>
      <w:r w:rsidRPr="00B35658">
        <w:rPr>
          <w:rFonts w:cs="Times New Roman"/>
          <w:lang w:val="fr-CA"/>
        </w:rPr>
        <w:t>Reprenant la déclara</w:t>
      </w:r>
      <w:r w:rsidR="00470B4B">
        <w:rPr>
          <w:rFonts w:cs="Times New Roman"/>
          <w:lang w:val="fr-CA"/>
        </w:rPr>
        <w:t xml:space="preserve">tion de notre Cour dans l’arrêt </w:t>
      </w:r>
      <w:proofErr w:type="spellStart"/>
      <w:r w:rsidRPr="00B35658">
        <w:rPr>
          <w:rFonts w:cs="Times New Roman"/>
          <w:i/>
          <w:lang w:val="fr-CA"/>
        </w:rPr>
        <w:t>Big</w:t>
      </w:r>
      <w:proofErr w:type="spellEnd"/>
      <w:r w:rsidRPr="00B35658">
        <w:rPr>
          <w:rFonts w:cs="Times New Roman"/>
          <w:i/>
          <w:lang w:val="fr-CA"/>
        </w:rPr>
        <w:t> M</w:t>
      </w:r>
      <w:r w:rsidR="00470B4B">
        <w:rPr>
          <w:rFonts w:cs="Times New Roman"/>
          <w:lang w:val="fr-CA"/>
        </w:rPr>
        <w:t xml:space="preserve">, le professeur </w:t>
      </w:r>
      <w:proofErr w:type="spellStart"/>
      <w:r w:rsidRPr="00B35658">
        <w:rPr>
          <w:rFonts w:cs="Times New Roman"/>
          <w:lang w:val="fr-CA"/>
        </w:rPr>
        <w:t>Hogg</w:t>
      </w:r>
      <w:proofErr w:type="spellEnd"/>
      <w:r w:rsidRPr="00B35658">
        <w:rPr>
          <w:rFonts w:cs="Times New Roman"/>
          <w:lang w:val="fr-CA"/>
        </w:rPr>
        <w:t xml:space="preserve"> a fait observer que certaines indications sur les objets d’un droit </w:t>
      </w:r>
      <w:r w:rsidRPr="00B35658">
        <w:rPr>
          <w:rFonts w:cs="Times New Roman"/>
          <w:smallCaps/>
          <w:lang w:val="fr-CA"/>
        </w:rPr>
        <w:t>[traduction]</w:t>
      </w:r>
      <w:r w:rsidRPr="00B35658">
        <w:rPr>
          <w:rFonts w:cs="Times New Roman"/>
          <w:lang w:val="fr-CA"/>
        </w:rPr>
        <w:t xml:space="preserve"> « peuvent être dégagées des termes dans lesquels le droit est énoncé, des inférences découlant du contexte dans lequel se situe le droit, y compris d’autres dispositions de </w:t>
      </w:r>
      <w:r w:rsidRPr="000A09E9">
        <w:rPr>
          <w:rFonts w:cs="Times New Roman"/>
          <w:lang w:val="fr-CA"/>
        </w:rPr>
        <w:t>la Charte, de l’historique du droit antérieur à la Charte et de l’historique législatif de la Charte</w:t>
      </w:r>
      <w:r w:rsidRPr="00B35658">
        <w:rPr>
          <w:rFonts w:cs="Times New Roman"/>
          <w:lang w:val="fr-CA"/>
        </w:rPr>
        <w:t> » (p. 36</w:t>
      </w:r>
      <w:r w:rsidRPr="00B35658">
        <w:rPr>
          <w:rFonts w:cs="Times New Roman"/>
          <w:lang w:val="fr-CA"/>
        </w:rPr>
        <w:noBreakHyphen/>
        <w:t>30). En l’espèce, j’estime que le libellé et les origines de l’al. 11</w:t>
      </w:r>
      <w:r w:rsidRPr="00B35658">
        <w:rPr>
          <w:rFonts w:cs="Times New Roman"/>
          <w:i/>
          <w:lang w:val="fr-CA"/>
        </w:rPr>
        <w:t>i</w:t>
      </w:r>
      <w:r w:rsidRPr="00B35658">
        <w:rPr>
          <w:rFonts w:cs="Times New Roman"/>
          <w:lang w:val="fr-CA"/>
        </w:rPr>
        <w:t>) fournissent des indices utiles du sens de cette disposition. Par conséquent, après avoir examiné les objets de l’al. 11</w:t>
      </w:r>
      <w:r w:rsidRPr="00B35658">
        <w:rPr>
          <w:rFonts w:cs="Times New Roman"/>
          <w:i/>
          <w:lang w:val="fr-CA"/>
        </w:rPr>
        <w:t>i</w:t>
      </w:r>
      <w:r w:rsidRPr="00B35658">
        <w:rPr>
          <w:rFonts w:cs="Times New Roman"/>
          <w:lang w:val="fr-CA"/>
        </w:rPr>
        <w:t>) qui ont déjà été cernés dans l’arrêt </w:t>
      </w:r>
      <w:r w:rsidRPr="00B35658">
        <w:rPr>
          <w:rFonts w:cs="Times New Roman"/>
          <w:i/>
          <w:lang w:val="fr-CA"/>
        </w:rPr>
        <w:t>K.R.J.</w:t>
      </w:r>
      <w:r w:rsidRPr="00B35658">
        <w:rPr>
          <w:rFonts w:cs="Times New Roman"/>
          <w:lang w:val="fr-CA"/>
        </w:rPr>
        <w:t>, j’examinerai le libellé et les origines de l’al. 11</w:t>
      </w:r>
      <w:r w:rsidRPr="00B35658">
        <w:rPr>
          <w:rFonts w:cs="Times New Roman"/>
          <w:i/>
          <w:lang w:val="fr-CA"/>
        </w:rPr>
        <w:t>i</w:t>
      </w:r>
      <w:r w:rsidRPr="00B35658">
        <w:rPr>
          <w:rFonts w:cs="Times New Roman"/>
          <w:lang w:val="fr-CA"/>
        </w:rPr>
        <w:t>). Par la suite, en gardant à l’esprit les objets, le libellé et les origines de cet alinéa, j’en arriverai au cœur de l’analyse téléologique et je déciderai laquelle des interprétations de l’al. 11</w:t>
      </w:r>
      <w:r w:rsidRPr="00B35658">
        <w:rPr>
          <w:rFonts w:cs="Times New Roman"/>
          <w:i/>
          <w:lang w:val="fr-CA"/>
        </w:rPr>
        <w:t>i</w:t>
      </w:r>
      <w:r w:rsidRPr="00B35658">
        <w:rPr>
          <w:rFonts w:cs="Times New Roman"/>
          <w:lang w:val="fr-CA"/>
        </w:rPr>
        <w:t>) est étayée par les objets du droit que confère cette disposition.</w:t>
      </w:r>
    </w:p>
    <w:p w:rsidR="00460821" w:rsidRPr="00B35658" w:rsidRDefault="00460821" w:rsidP="00705AEE">
      <w:pPr>
        <w:pStyle w:val="Title4LevelTitre4Niveau"/>
        <w:rPr>
          <w:lang w:val="fr-CA"/>
        </w:rPr>
      </w:pPr>
      <w:bookmarkStart w:id="17" w:name="_Toc12005416"/>
      <w:bookmarkStart w:id="18" w:name="_Toc12278993"/>
      <w:r w:rsidRPr="00B35658">
        <w:rPr>
          <w:lang w:val="fr-CA"/>
        </w:rPr>
        <w:t>Objets et effet reconnus de l’al</w:t>
      </w:r>
      <w:r w:rsidR="00014923" w:rsidRPr="00B35658">
        <w:rPr>
          <w:lang w:val="fr-CA"/>
        </w:rPr>
        <w:t>.</w:t>
      </w:r>
      <w:r w:rsidRPr="00B35658">
        <w:rPr>
          <w:lang w:val="fr-CA"/>
        </w:rPr>
        <w:t> 11i)</w:t>
      </w:r>
      <w:bookmarkEnd w:id="17"/>
      <w:bookmarkEnd w:id="18"/>
    </w:p>
    <w:p w:rsidR="00460821" w:rsidRPr="00B35658" w:rsidRDefault="00460821" w:rsidP="00460821">
      <w:pPr>
        <w:pStyle w:val="ParaNoNdepar-AltN"/>
        <w:spacing w:before="0"/>
        <w:rPr>
          <w:rFonts w:cs="Times New Roman"/>
          <w:lang w:val="fr-CA"/>
        </w:rPr>
      </w:pPr>
      <w:r w:rsidRPr="00B35658">
        <w:rPr>
          <w:rFonts w:cs="Times New Roman"/>
          <w:lang w:val="fr-CA"/>
        </w:rPr>
        <w:t xml:space="preserve">En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la règle générale est qu’un inculpé doit être jugé et puni en vertu du droit substantiel en vigueur au moment où l’infraction a été commise et non </w:t>
      </w:r>
      <w:r w:rsidRPr="00B35658">
        <w:rPr>
          <w:rFonts w:cs="Times New Roman"/>
          <w:lang w:val="fr-CA"/>
        </w:rPr>
        <w:lastRenderedPageBreak/>
        <w:t>en vertu du droit en vigueur à tout autre moment, comme celui du procès ou de la sentence (</w:t>
      </w:r>
      <w:r w:rsidRPr="00B35658">
        <w:rPr>
          <w:rFonts w:cs="Times New Roman"/>
          <w:i/>
          <w:lang w:val="fr-CA"/>
        </w:rPr>
        <w:t>R. c. Kelly</w:t>
      </w:r>
      <w:r w:rsidRPr="00B35658">
        <w:rPr>
          <w:rFonts w:cs="Times New Roman"/>
          <w:lang w:val="fr-CA"/>
        </w:rPr>
        <w:t xml:space="preserve">, [1992] 2 R.C.S. 170, p. 203, la juge </w:t>
      </w:r>
      <w:proofErr w:type="spellStart"/>
      <w:r w:rsidRPr="00B35658">
        <w:rPr>
          <w:rFonts w:cs="Times New Roman"/>
          <w:lang w:val="fr-CA"/>
        </w:rPr>
        <w:t>McLachlin</w:t>
      </w:r>
      <w:proofErr w:type="spellEnd"/>
      <w:r w:rsidRPr="00B35658">
        <w:rPr>
          <w:rFonts w:cs="Times New Roman"/>
          <w:lang w:val="fr-CA"/>
        </w:rPr>
        <w:t xml:space="preserve">; </w:t>
      </w:r>
      <w:r w:rsidRPr="00B35658">
        <w:rPr>
          <w:rFonts w:cs="Times New Roman"/>
          <w:i/>
          <w:lang w:val="fr-CA"/>
        </w:rPr>
        <w:t>Johnson</w:t>
      </w:r>
      <w:r w:rsidRPr="00B35658">
        <w:rPr>
          <w:rFonts w:cs="Times New Roman"/>
          <w:lang w:val="fr-CA"/>
        </w:rPr>
        <w:t xml:space="preserve">, par. 41; </w:t>
      </w:r>
      <w:r w:rsidRPr="00B35658">
        <w:rPr>
          <w:rFonts w:cs="Times New Roman"/>
          <w:i/>
          <w:lang w:val="fr-CA"/>
        </w:rPr>
        <w:t>K.R.J.</w:t>
      </w:r>
      <w:r w:rsidRPr="00B35658">
        <w:rPr>
          <w:rFonts w:cs="Times New Roman"/>
          <w:lang w:val="fr-CA"/>
        </w:rPr>
        <w:t xml:space="preserve">, par. 1; </w:t>
      </w:r>
      <w:r w:rsidRPr="00B35658">
        <w:rPr>
          <w:rFonts w:cs="Times New Roman"/>
          <w:i/>
          <w:lang w:val="fr-CA"/>
        </w:rPr>
        <w:t>R. c. </w:t>
      </w:r>
      <w:proofErr w:type="spellStart"/>
      <w:r w:rsidRPr="00B35658">
        <w:rPr>
          <w:rFonts w:cs="Times New Roman"/>
          <w:i/>
          <w:lang w:val="fr-CA"/>
        </w:rPr>
        <w:t>Hooyer</w:t>
      </w:r>
      <w:proofErr w:type="spellEnd"/>
      <w:r w:rsidRPr="00B35658">
        <w:rPr>
          <w:rFonts w:cs="Times New Roman"/>
          <w:lang w:val="fr-CA"/>
        </w:rPr>
        <w:t>, 2016 ONCA 44, 129 O.R. (3d) 81, par. 42. J’utilise le terme « règle générale » parce que cette règle peut parfois être remplacée par d’autres règles ou principes d’interprétation). Dans les cas où le droit est modifié après la perpétration d’une infraction, on présume généralement que les nouvelles dispositions en matière criminelle ne s’appliquent pas rétrospectivement à l’infraction (</w:t>
      </w:r>
      <w:r w:rsidRPr="00B35658">
        <w:rPr>
          <w:rFonts w:cs="Times New Roman"/>
          <w:i/>
          <w:lang w:val="fr-CA"/>
        </w:rPr>
        <w:t>R. c. </w:t>
      </w:r>
      <w:proofErr w:type="spellStart"/>
      <w:r w:rsidRPr="00B35658">
        <w:rPr>
          <w:rFonts w:cs="Times New Roman"/>
          <w:i/>
          <w:lang w:val="fr-CA"/>
        </w:rPr>
        <w:t>Dineley</w:t>
      </w:r>
      <w:proofErr w:type="spellEnd"/>
      <w:r w:rsidRPr="00B35658">
        <w:rPr>
          <w:rFonts w:cs="Times New Roman"/>
          <w:lang w:val="fr-CA"/>
        </w:rPr>
        <w:t>, 2012</w:t>
      </w:r>
      <w:r w:rsidR="005B0983">
        <w:rPr>
          <w:rFonts w:cs="Times New Roman"/>
          <w:lang w:val="fr-CA"/>
        </w:rPr>
        <w:t xml:space="preserve"> </w:t>
      </w:r>
      <w:r w:rsidRPr="00B35658">
        <w:rPr>
          <w:rFonts w:cs="Times New Roman"/>
          <w:lang w:val="fr-CA"/>
        </w:rPr>
        <w:t>CSC</w:t>
      </w:r>
      <w:r w:rsidR="005B0983">
        <w:rPr>
          <w:rFonts w:cs="Times New Roman"/>
          <w:lang w:val="fr-CA"/>
        </w:rPr>
        <w:t xml:space="preserve"> </w:t>
      </w:r>
      <w:r w:rsidRPr="00B35658">
        <w:rPr>
          <w:rFonts w:cs="Times New Roman"/>
          <w:lang w:val="fr-CA"/>
        </w:rPr>
        <w:t>58, [2012] 3 R.C.S. 272, par. 10, 35 et 45</w:t>
      </w:r>
      <w:r w:rsidRPr="00B35658">
        <w:rPr>
          <w:rFonts w:cs="Times New Roman"/>
          <w:lang w:val="fr-CA"/>
        </w:rPr>
        <w:noBreakHyphen/>
        <w:t xml:space="preserve">46; </w:t>
      </w:r>
      <w:proofErr w:type="spellStart"/>
      <w:r w:rsidRPr="00B35658">
        <w:rPr>
          <w:rFonts w:cs="Times New Roman"/>
          <w:i/>
          <w:lang w:val="fr-CA"/>
        </w:rPr>
        <w:t>Brosseau</w:t>
      </w:r>
      <w:proofErr w:type="spellEnd"/>
      <w:r w:rsidRPr="00B35658">
        <w:rPr>
          <w:rFonts w:cs="Times New Roman"/>
          <w:i/>
          <w:lang w:val="fr-CA"/>
        </w:rPr>
        <w:t xml:space="preserve"> c. Alberta Securities Commission</w:t>
      </w:r>
      <w:r w:rsidR="005B0983">
        <w:rPr>
          <w:rFonts w:cs="Times New Roman"/>
          <w:lang w:val="fr-CA"/>
        </w:rPr>
        <w:t xml:space="preserve">, [1989] 1 R.C.S. </w:t>
      </w:r>
      <w:r w:rsidRPr="00B35658">
        <w:rPr>
          <w:rFonts w:cs="Times New Roman"/>
          <w:lang w:val="fr-CA"/>
        </w:rPr>
        <w:t xml:space="preserve">301; </w:t>
      </w:r>
      <w:proofErr w:type="spellStart"/>
      <w:r w:rsidRPr="00B35658">
        <w:rPr>
          <w:rFonts w:cs="Times New Roman"/>
          <w:i/>
          <w:lang w:val="fr-CA"/>
        </w:rPr>
        <w:t>Tran</w:t>
      </w:r>
      <w:proofErr w:type="spellEnd"/>
      <w:r w:rsidRPr="00B35658">
        <w:rPr>
          <w:rFonts w:cs="Times New Roman"/>
          <w:lang w:val="fr-CA"/>
        </w:rPr>
        <w:t xml:space="preserve">, par. 43; </w:t>
      </w:r>
      <w:r w:rsidRPr="00B35658">
        <w:rPr>
          <w:rFonts w:cs="Times New Roman"/>
          <w:i/>
          <w:lang w:val="fr-CA"/>
        </w:rPr>
        <w:t>R. c. </w:t>
      </w:r>
      <w:proofErr w:type="spellStart"/>
      <w:r w:rsidRPr="00B35658">
        <w:rPr>
          <w:rFonts w:cs="Times New Roman"/>
          <w:i/>
          <w:lang w:val="fr-CA"/>
        </w:rPr>
        <w:t>Bengy</w:t>
      </w:r>
      <w:proofErr w:type="spellEnd"/>
      <w:r w:rsidR="005B0983">
        <w:rPr>
          <w:rFonts w:cs="Times New Roman"/>
          <w:lang w:val="fr-CA"/>
        </w:rPr>
        <w:t xml:space="preserve">, 2015 ONCA </w:t>
      </w:r>
      <w:r w:rsidRPr="00B35658">
        <w:rPr>
          <w:rFonts w:cs="Times New Roman"/>
          <w:lang w:val="fr-CA"/>
        </w:rPr>
        <w:t>397, 325 C.C.C. (3d) 22). C’est la raison pour laquelle, en l’espèce, l’Ét</w:t>
      </w:r>
      <w:r w:rsidR="008A30BA">
        <w:rPr>
          <w:rFonts w:cs="Times New Roman"/>
          <w:lang w:val="fr-CA"/>
        </w:rPr>
        <w:t xml:space="preserve">at a été en mesure d’accuser M. Poulin en </w:t>
      </w:r>
      <w:r w:rsidRPr="00B35658">
        <w:rPr>
          <w:rFonts w:cs="Times New Roman"/>
          <w:lang w:val="fr-CA"/>
        </w:rPr>
        <w:t xml:space="preserve">2014 d’une infraction au </w:t>
      </w:r>
      <w:r w:rsidRPr="00B35658">
        <w:rPr>
          <w:rFonts w:cs="Times New Roman"/>
          <w:i/>
          <w:lang w:val="fr-CA"/>
        </w:rPr>
        <w:t>Code criminel</w:t>
      </w:r>
      <w:r w:rsidRPr="00B35658">
        <w:rPr>
          <w:rFonts w:cs="Times New Roman"/>
          <w:lang w:val="fr-CA"/>
        </w:rPr>
        <w:t xml:space="preserve"> qui avait été abolie en 1987. Même si l’infraction ne figur</w:t>
      </w:r>
      <w:r w:rsidR="005B0983">
        <w:rPr>
          <w:rFonts w:cs="Times New Roman"/>
          <w:lang w:val="fr-CA"/>
        </w:rPr>
        <w:t>ait plus dans la loi lorsque M. </w:t>
      </w:r>
      <w:r w:rsidRPr="00B35658">
        <w:rPr>
          <w:rFonts w:cs="Times New Roman"/>
          <w:lang w:val="fr-CA"/>
        </w:rPr>
        <w:t xml:space="preserve">Poulin a été accusé, déclaré coupable et condamné, elle y figurait lorsqu’il a commis ses infractions de grossière indécence entre 1979 et 1983 (voir également la </w:t>
      </w:r>
      <w:r w:rsidRPr="00B35658">
        <w:rPr>
          <w:rFonts w:cs="Times New Roman"/>
          <w:i/>
          <w:lang w:val="fr-CA"/>
        </w:rPr>
        <w:t>Loi d’interprétation</w:t>
      </w:r>
      <w:r w:rsidRPr="00B35658">
        <w:rPr>
          <w:rFonts w:cs="Times New Roman"/>
          <w:lang w:val="fr-CA"/>
        </w:rPr>
        <w:t>, L.R.C. 1985, c. I</w:t>
      </w:r>
      <w:r w:rsidRPr="00B35658">
        <w:rPr>
          <w:rFonts w:cs="Times New Roman"/>
          <w:lang w:val="fr-CA"/>
        </w:rPr>
        <w:noBreakHyphen/>
        <w:t>21, art. 43).</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Cette règle de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est fondée sur la primauté du droit et, plus précisément, sur le principe de la légalité. Le principe de la légalité veut que les personnes qui ajustent leur comportement en fonction de l’état du droit, ou qui prennent le risque d’assumer les conséquences liées à la violation d’une règle de droit donnée, ne devraient pas ensuite être jugées en vertu d’autres règles de droit, en particulier de règles de droit plus rigoureuses (</w:t>
      </w:r>
      <w:r w:rsidRPr="00B35658">
        <w:rPr>
          <w:rFonts w:cs="Times New Roman"/>
          <w:i/>
          <w:lang w:val="fr-CA"/>
        </w:rPr>
        <w:t>K.R.J.</w:t>
      </w:r>
      <w:r w:rsidRPr="00B35658">
        <w:rPr>
          <w:rFonts w:cs="Times New Roman"/>
          <w:lang w:val="fr-CA"/>
        </w:rPr>
        <w:t>, par. 22</w:t>
      </w:r>
      <w:r w:rsidR="006F41C0" w:rsidRPr="00B35658">
        <w:rPr>
          <w:rFonts w:cs="Times New Roman"/>
          <w:lang w:val="fr-CA"/>
        </w:rPr>
        <w:noBreakHyphen/>
      </w:r>
      <w:r w:rsidRPr="00B35658">
        <w:rPr>
          <w:rFonts w:cs="Times New Roman"/>
          <w:lang w:val="fr-CA"/>
        </w:rPr>
        <w:t xml:space="preserve">25). Ce principe est un pilier du droit criminel. Dans l’arrêt </w:t>
      </w:r>
      <w:r w:rsidRPr="00B35658">
        <w:rPr>
          <w:rFonts w:cs="Times New Roman"/>
          <w:i/>
          <w:lang w:val="fr-CA"/>
        </w:rPr>
        <w:t>K.R.J.</w:t>
      </w:r>
      <w:r w:rsidR="006F41C0">
        <w:rPr>
          <w:rFonts w:cs="Times New Roman"/>
          <w:lang w:val="fr-CA"/>
        </w:rPr>
        <w:t>, notre Cour a re</w:t>
      </w:r>
      <w:r w:rsidRPr="00B35658">
        <w:rPr>
          <w:rFonts w:cs="Times New Roman"/>
          <w:lang w:val="fr-CA"/>
        </w:rPr>
        <w:t xml:space="preserve">connu que ce principe est au cœur même </w:t>
      </w:r>
      <w:r w:rsidRPr="00B35658">
        <w:rPr>
          <w:rFonts w:cs="Times New Roman"/>
          <w:lang w:val="fr-CA"/>
        </w:rPr>
        <w:lastRenderedPageBreak/>
        <w:t>de l’al. 11</w:t>
      </w:r>
      <w:r w:rsidRPr="00B35658">
        <w:rPr>
          <w:rFonts w:cs="Times New Roman"/>
          <w:i/>
          <w:lang w:val="fr-CA"/>
        </w:rPr>
        <w:t>i</w:t>
      </w:r>
      <w:r w:rsidR="002B05CF" w:rsidRPr="00B35658">
        <w:rPr>
          <w:rFonts w:cs="Times New Roman"/>
          <w:lang w:val="fr-CA"/>
        </w:rPr>
        <w:t>) (par. 2, 23</w:t>
      </w:r>
      <w:r w:rsidR="00E15B74" w:rsidRPr="00B35658">
        <w:rPr>
          <w:rFonts w:cs="Times New Roman"/>
          <w:lang w:val="fr-CA"/>
        </w:rPr>
        <w:noBreakHyphen/>
      </w:r>
      <w:r w:rsidR="00E15B74">
        <w:rPr>
          <w:rFonts w:cs="Times New Roman"/>
          <w:lang w:val="fr-CA"/>
        </w:rPr>
        <w:t xml:space="preserve">24, </w:t>
      </w:r>
      <w:r w:rsidR="002B05CF" w:rsidRPr="00B35658">
        <w:rPr>
          <w:rFonts w:cs="Times New Roman"/>
          <w:lang w:val="fr-CA"/>
        </w:rPr>
        <w:t xml:space="preserve">27 et </w:t>
      </w:r>
      <w:r w:rsidRPr="00B35658">
        <w:rPr>
          <w:rFonts w:cs="Times New Roman"/>
          <w:lang w:val="fr-CA"/>
        </w:rPr>
        <w:t>37). L’alinéa 11</w:t>
      </w:r>
      <w:r w:rsidRPr="00B35658">
        <w:rPr>
          <w:rFonts w:cs="Times New Roman"/>
          <w:i/>
          <w:lang w:val="fr-CA"/>
        </w:rPr>
        <w:t>i</w:t>
      </w:r>
      <w:r w:rsidRPr="00B35658">
        <w:rPr>
          <w:rFonts w:cs="Times New Roman"/>
          <w:lang w:val="fr-CA"/>
        </w:rPr>
        <w:t>) protège le principe de la légalité en « </w:t>
      </w:r>
      <w:proofErr w:type="spellStart"/>
      <w:proofErr w:type="gramStart"/>
      <w:r w:rsidRPr="00B35658">
        <w:rPr>
          <w:rFonts w:cs="Times New Roman"/>
          <w:lang w:val="fr-CA"/>
        </w:rPr>
        <w:t>constitutionnalis</w:t>
      </w:r>
      <w:proofErr w:type="spellEnd"/>
      <w:r w:rsidRPr="00B35658">
        <w:rPr>
          <w:rFonts w:cs="Times New Roman"/>
          <w:lang w:val="fr-CA"/>
        </w:rPr>
        <w:t>[</w:t>
      </w:r>
      <w:proofErr w:type="spellStart"/>
      <w:proofErr w:type="gramEnd"/>
      <w:r w:rsidRPr="00B35658">
        <w:rPr>
          <w:rFonts w:cs="Times New Roman"/>
          <w:lang w:val="fr-CA"/>
        </w:rPr>
        <w:t>ant</w:t>
      </w:r>
      <w:proofErr w:type="spellEnd"/>
      <w:r w:rsidRPr="00B35658">
        <w:rPr>
          <w:rFonts w:cs="Times New Roman"/>
          <w:lang w:val="fr-CA"/>
        </w:rPr>
        <w:t>] la notion fondamentale voulant que, en matière pénale, une disposition ne doive généralement pas s’appliquer rétrospectivement » (</w:t>
      </w:r>
      <w:r w:rsidRPr="00B35658">
        <w:rPr>
          <w:rFonts w:cs="Times New Roman"/>
          <w:i/>
          <w:lang w:val="fr-CA"/>
        </w:rPr>
        <w:t>K.R.J.</w:t>
      </w:r>
      <w:r w:rsidRPr="00B35658">
        <w:rPr>
          <w:rFonts w:cs="Times New Roman"/>
          <w:lang w:val="fr-CA"/>
        </w:rPr>
        <w:t>, par. 22). Le principe de la légalité trouve également son expression, par exemple, à l’al. 11</w:t>
      </w:r>
      <w:r w:rsidRPr="00B35658">
        <w:rPr>
          <w:rFonts w:cs="Times New Roman"/>
          <w:i/>
          <w:lang w:val="fr-CA"/>
        </w:rPr>
        <w:t>g</w:t>
      </w:r>
      <w:r w:rsidRPr="00B35658">
        <w:rPr>
          <w:rFonts w:cs="Times New Roman"/>
          <w:lang w:val="fr-CA"/>
        </w:rPr>
        <w:t xml:space="preserve">) de la </w:t>
      </w:r>
      <w:r w:rsidRPr="00B35658">
        <w:rPr>
          <w:rFonts w:cs="Times New Roman"/>
          <w:i/>
          <w:lang w:val="fr-CA"/>
        </w:rPr>
        <w:t>Charte</w:t>
      </w:r>
      <w:r w:rsidRPr="00B35658">
        <w:rPr>
          <w:rFonts w:cs="Times New Roman"/>
          <w:lang w:val="fr-CA"/>
        </w:rPr>
        <w:t xml:space="preserve">, qui protège le droit d’une personne de ne pas être déclarée coupable en raison d’un acte qui, au moment où il a été commis, ne constituait pas un crime. Comme il a été expliqué dans le </w:t>
      </w:r>
      <w:r w:rsidRPr="00B35658">
        <w:rPr>
          <w:rFonts w:cs="Times New Roman"/>
          <w:i/>
          <w:lang w:val="fr-CA"/>
        </w:rPr>
        <w:t>Renvoi relatif à l’art. 193 et à l’al. 195.1(1)c) du Code criminel (Man.)</w:t>
      </w:r>
      <w:r w:rsidRPr="00B35658">
        <w:rPr>
          <w:rFonts w:cs="Times New Roman"/>
          <w:lang w:val="fr-CA"/>
        </w:rPr>
        <w:t>, [1990] 1 R.C.S. 1123, p. 1152 :</w:t>
      </w:r>
    </w:p>
    <w:p w:rsidR="00460821" w:rsidRPr="00B35658" w:rsidRDefault="00460821" w:rsidP="00460821">
      <w:pPr>
        <w:pStyle w:val="Citation-AltC"/>
        <w:ind w:hanging="446"/>
        <w:contextualSpacing w:val="0"/>
        <w:rPr>
          <w:lang w:val="fr-CA"/>
        </w:rPr>
      </w:pPr>
      <w:r w:rsidRPr="00B35658">
        <w:rPr>
          <w:lang w:val="fr-CA"/>
        </w:rPr>
        <w:tab/>
        <w:t>[I]l n’y a de crime ou de peine qu’en conformité avec une loi qui est certaine, sans ambiguïté et non rétroactive. La raison d’être de ce principe est claire. Il est essentiel dans une société libre et démocratique que les citoyens soient le mieux possible en mesure de prévoir les conséquences de leur conduite afin d’être raisonnablement pr</w:t>
      </w:r>
      <w:r w:rsidR="000C2996">
        <w:rPr>
          <w:lang w:val="fr-CA"/>
        </w:rPr>
        <w:t xml:space="preserve">évenus des conduites à </w:t>
      </w:r>
      <w:proofErr w:type="gramStart"/>
      <w:r w:rsidR="000C2996">
        <w:rPr>
          <w:lang w:val="fr-CA"/>
        </w:rPr>
        <w:t xml:space="preserve">éviter </w:t>
      </w:r>
      <w:r w:rsidR="00C159B0" w:rsidRPr="00B35658">
        <w:rPr>
          <w:lang w:val="fr-CA"/>
        </w:rPr>
        <w:t>.</w:t>
      </w:r>
      <w:proofErr w:type="gramEnd"/>
      <w:r w:rsidR="00C159B0" w:rsidRPr="00B35658">
        <w:rPr>
          <w:lang w:val="fr-CA"/>
        </w:rPr>
        <w:t> . .</w:t>
      </w:r>
    </w:p>
    <w:p w:rsidR="00460821" w:rsidRPr="00B35658" w:rsidRDefault="00460821" w:rsidP="00460821">
      <w:pPr>
        <w:pStyle w:val="ParaNoNdepar-AltN"/>
        <w:spacing w:before="0"/>
        <w:rPr>
          <w:rFonts w:cs="Times New Roman"/>
          <w:lang w:val="fr-CA"/>
        </w:rPr>
      </w:pPr>
      <w:r w:rsidRPr="00B35658">
        <w:rPr>
          <w:rFonts w:cs="Times New Roman"/>
          <w:lang w:val="fr-CA"/>
        </w:rPr>
        <w:t>L’alinéa 11</w:t>
      </w:r>
      <w:r w:rsidRPr="00B35658">
        <w:rPr>
          <w:rFonts w:cs="Times New Roman"/>
          <w:i/>
          <w:lang w:val="fr-CA"/>
        </w:rPr>
        <w:t>i</w:t>
      </w:r>
      <w:r w:rsidRPr="00B35658">
        <w:rPr>
          <w:rFonts w:cs="Times New Roman"/>
          <w:lang w:val="fr-CA"/>
        </w:rPr>
        <w:t xml:space="preserve">) de la </w:t>
      </w:r>
      <w:r w:rsidRPr="00B35658">
        <w:rPr>
          <w:rFonts w:cs="Times New Roman"/>
          <w:i/>
          <w:lang w:val="fr-CA"/>
        </w:rPr>
        <w:t xml:space="preserve">Charte </w:t>
      </w:r>
      <w:r w:rsidRPr="00B35658">
        <w:rPr>
          <w:rFonts w:cs="Times New Roman"/>
          <w:lang w:val="fr-CA"/>
        </w:rPr>
        <w:t xml:space="preserve">consacre la règle de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selon laquelle un contrevenant ne doit pas être soumis rétrospectivement à une peine plus sévère que celle qui s’appliquait au moment où il a commis son infraction (</w:t>
      </w:r>
      <w:r w:rsidRPr="00B35658">
        <w:rPr>
          <w:rFonts w:cs="Times New Roman"/>
          <w:i/>
          <w:lang w:val="fr-CA"/>
        </w:rPr>
        <w:t xml:space="preserve">Canada (Procureur général) c. </w:t>
      </w:r>
      <w:proofErr w:type="spellStart"/>
      <w:r w:rsidRPr="00B35658">
        <w:rPr>
          <w:rFonts w:cs="Times New Roman"/>
          <w:i/>
          <w:lang w:val="fr-CA"/>
        </w:rPr>
        <w:t>Whaling</w:t>
      </w:r>
      <w:proofErr w:type="spellEnd"/>
      <w:r w:rsidRPr="00B35658">
        <w:rPr>
          <w:rFonts w:cs="Times New Roman"/>
          <w:lang w:val="fr-CA"/>
        </w:rPr>
        <w:t>, 2014</w:t>
      </w:r>
      <w:r w:rsidR="00A97B4E" w:rsidRPr="00B35658">
        <w:rPr>
          <w:rFonts w:cs="Times New Roman"/>
          <w:lang w:val="fr-CA"/>
        </w:rPr>
        <w:t xml:space="preserve"> </w:t>
      </w:r>
      <w:r w:rsidRPr="00B35658">
        <w:rPr>
          <w:rFonts w:cs="Times New Roman"/>
          <w:lang w:val="fr-CA"/>
        </w:rPr>
        <w:t>CSC</w:t>
      </w:r>
      <w:r w:rsidR="00A97B4E" w:rsidRPr="00B35658">
        <w:rPr>
          <w:rFonts w:cs="Times New Roman"/>
          <w:lang w:val="fr-CA"/>
        </w:rPr>
        <w:t xml:space="preserve"> </w:t>
      </w:r>
      <w:r w:rsidRPr="00B35658">
        <w:rPr>
          <w:rFonts w:cs="Times New Roman"/>
          <w:lang w:val="fr-CA"/>
        </w:rPr>
        <w:t xml:space="preserve">20, [2014] 1 R.C.S. 392, par. 55; </w:t>
      </w:r>
      <w:r w:rsidRPr="00B35658">
        <w:rPr>
          <w:rFonts w:cs="Times New Roman"/>
          <w:i/>
          <w:lang w:val="fr-CA"/>
        </w:rPr>
        <w:t>K.R.J.</w:t>
      </w:r>
      <w:r w:rsidRPr="00B35658">
        <w:rPr>
          <w:rFonts w:cs="Times New Roman"/>
          <w:lang w:val="fr-CA"/>
        </w:rPr>
        <w:t>, par. 22). Cependant, cela ne s’arrête pas là. L’alinéa</w:t>
      </w:r>
      <w:r w:rsidR="00D806C5" w:rsidRPr="00B35658">
        <w:rPr>
          <w:rFonts w:cs="Times New Roman"/>
          <w:lang w:val="fr-CA"/>
        </w:rPr>
        <w:t> </w:t>
      </w:r>
      <w:r w:rsidRPr="00B35658">
        <w:rPr>
          <w:rFonts w:cs="Times New Roman"/>
          <w:lang w:val="fr-CA"/>
        </w:rPr>
        <w:t>11</w:t>
      </w:r>
      <w:r w:rsidRPr="00B35658">
        <w:rPr>
          <w:rFonts w:cs="Times New Roman"/>
          <w:i/>
          <w:lang w:val="fr-CA"/>
        </w:rPr>
        <w:t>i</w:t>
      </w:r>
      <w:r w:rsidRPr="00B35658">
        <w:rPr>
          <w:rFonts w:cs="Times New Roman"/>
          <w:lang w:val="fr-CA"/>
        </w:rPr>
        <w:t>) constitutionnalise une autre mesure de protection. Il dispose que, lorsque la loi prévoit l’infliction d’une peine plus favorable au moment de la sentence du contrevenant que celle qui s’appliquait au moment de la perpétration de l’infraction, le contrevenant a le droit de bénéficier de la peine actuelle, qui lui est plus favorable. Il en est ainsi même si le contrevenant s’est exposé au risque de subir une peine plus sévère en commettant l’infraction.</w:t>
      </w:r>
    </w:p>
    <w:p w:rsidR="00460821" w:rsidRPr="00B35658" w:rsidRDefault="00460821" w:rsidP="00460821">
      <w:pPr>
        <w:pStyle w:val="ParaNoNdepar-AltN"/>
        <w:spacing w:before="0"/>
        <w:rPr>
          <w:rFonts w:cs="Times New Roman"/>
          <w:lang w:val="fr-CA"/>
        </w:rPr>
      </w:pPr>
      <w:r w:rsidRPr="00B35658">
        <w:rPr>
          <w:rFonts w:cs="Times New Roman"/>
          <w:lang w:val="fr-CA"/>
        </w:rPr>
        <w:lastRenderedPageBreak/>
        <w:t>Alors pourquoi le contrevenant devrait</w:t>
      </w:r>
      <w:r w:rsidRPr="00B35658">
        <w:rPr>
          <w:rFonts w:cs="Times New Roman"/>
          <w:lang w:val="fr-CA"/>
        </w:rPr>
        <w:noBreakHyphen/>
        <w:t xml:space="preserve">il avoir la possibilité de bénéficier d’une peine actuelle moins sévère? L’équité en est manifestement la raison (voir </w:t>
      </w:r>
      <w:r w:rsidRPr="00B35658">
        <w:rPr>
          <w:rFonts w:cs="Times New Roman"/>
          <w:i/>
          <w:lang w:val="fr-CA"/>
        </w:rPr>
        <w:t>K.R.J.</w:t>
      </w:r>
      <w:r w:rsidRPr="00B35658">
        <w:rPr>
          <w:rFonts w:cs="Times New Roman"/>
          <w:lang w:val="fr-CA"/>
        </w:rPr>
        <w:t>, par. 2, 27, 37 et 39). Il ne serait pas équitable d’infliger à un contrevenant une peine qui, lorsque le législateur a choisi de l’adoucir, a expressément été reconnue par ce dernier comme n’étant plus juste. De plus, une peine criminelle est l’expression de la voix collective de la société; elle doit donc tenir compte des valeurs contemporaines. L’infliction d’une peine démesurément lourde et dépassée qui ne tient plus compte du caractère moralement répréhensible de l’infraction commise irait à l’encontre d’un principe fondamental de la détermination de la peine — la proportionnalité (</w:t>
      </w:r>
      <w:r w:rsidRPr="00B35658">
        <w:rPr>
          <w:rFonts w:cs="Times New Roman"/>
          <w:i/>
          <w:lang w:val="fr-CA"/>
        </w:rPr>
        <w:t>Code criminel</w:t>
      </w:r>
      <w:r w:rsidRPr="00B35658">
        <w:rPr>
          <w:rFonts w:cs="Times New Roman"/>
          <w:lang w:val="fr-CA"/>
        </w:rPr>
        <w:t>, art. 718.1). Ainsi, le contrevenant qui a commis une infraction qui était passible d’une peine d’emprisonnement à perpétuité ne devrait pas être emprisonné à vie si, au moment de sa sentence, l’infraction est passible d’une peine d’emprisonnement moins sévère. Plutôt que d’être soumis injustement à une peine qui n’est pas conforme aux normes morales actuelles, ce contrevenant devrait pouvoir bénéficier d’une peine qui reflète l’opinion moderne actuelle de la société quant à sa conduite.</w:t>
      </w:r>
    </w:p>
    <w:p w:rsidR="00460821" w:rsidRPr="00B35658" w:rsidRDefault="00460821" w:rsidP="00460821">
      <w:pPr>
        <w:pStyle w:val="ParaNoNdepar-AltN"/>
        <w:spacing w:before="0"/>
        <w:rPr>
          <w:rFonts w:cs="Times New Roman"/>
          <w:lang w:val="fr-CA"/>
        </w:rPr>
      </w:pPr>
      <w:r w:rsidRPr="00B35658">
        <w:rPr>
          <w:rFonts w:cs="Times New Roman"/>
          <w:lang w:val="fr-CA"/>
        </w:rPr>
        <w:t>En adoptant ce point de vue et en donnant au contrevenant le droit de bénéficier de peines actuelles moins sévères, l’al. 11</w:t>
      </w:r>
      <w:r w:rsidRPr="00B35658">
        <w:rPr>
          <w:rFonts w:cs="Times New Roman"/>
          <w:i/>
          <w:lang w:val="fr-CA"/>
        </w:rPr>
        <w:t>i</w:t>
      </w:r>
      <w:r w:rsidRPr="00B35658">
        <w:rPr>
          <w:rFonts w:cs="Times New Roman"/>
          <w:lang w:val="fr-CA"/>
        </w:rPr>
        <w:t xml:space="preserve">) élargit le droit que la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confère au contrevenant d’être jugé en fonction des règles de droit en vigueur au moment de la perpétration de l’infraction. L’autre mesure de protection qu’offre l’al. 11</w:t>
      </w:r>
      <w:r w:rsidRPr="00B35658">
        <w:rPr>
          <w:rFonts w:cs="Times New Roman"/>
          <w:i/>
          <w:lang w:val="fr-CA"/>
        </w:rPr>
        <w:t>i</w:t>
      </w:r>
      <w:r w:rsidRPr="00B35658">
        <w:rPr>
          <w:rFonts w:cs="Times New Roman"/>
          <w:lang w:val="fr-CA"/>
        </w:rPr>
        <w:t xml:space="preserve">) est donc l’accès à un </w:t>
      </w:r>
      <w:r w:rsidRPr="00B35658">
        <w:rPr>
          <w:rFonts w:cs="Times New Roman"/>
          <w:i/>
          <w:lang w:val="fr-CA"/>
        </w:rPr>
        <w:t>adoucissement</w:t>
      </w:r>
      <w:r w:rsidRPr="00B35658">
        <w:rPr>
          <w:rFonts w:cs="Times New Roman"/>
          <w:lang w:val="fr-CA"/>
        </w:rPr>
        <w:t xml:space="preserve"> de peine, ce qui coïncide avec une étape importante de l’instance, soit le prononcé de la sentence. Au lieu de garantir </w:t>
      </w:r>
      <w:r w:rsidRPr="00B35658">
        <w:rPr>
          <w:rFonts w:cs="Times New Roman"/>
          <w:lang w:val="fr-CA"/>
        </w:rPr>
        <w:lastRenderedPageBreak/>
        <w:t>simplement au contrevenant le droit de bénéficier de la peine applicable au moment de la perpétration de son infraction, l’al. 11</w:t>
      </w:r>
      <w:r w:rsidRPr="00B35658">
        <w:rPr>
          <w:rFonts w:cs="Times New Roman"/>
          <w:i/>
          <w:lang w:val="fr-CA"/>
        </w:rPr>
        <w:t>i</w:t>
      </w:r>
      <w:r w:rsidRPr="00B35658">
        <w:rPr>
          <w:rFonts w:cs="Times New Roman"/>
          <w:lang w:val="fr-CA"/>
        </w:rPr>
        <w:t xml:space="preserve">) désigne cette peine comme la peine </w:t>
      </w:r>
      <w:r w:rsidRPr="00B35658">
        <w:rPr>
          <w:rFonts w:cs="Times New Roman"/>
          <w:i/>
          <w:lang w:val="fr-CA"/>
        </w:rPr>
        <w:t xml:space="preserve">maximale </w:t>
      </w:r>
      <w:r w:rsidRPr="00B35658">
        <w:rPr>
          <w:rFonts w:cs="Times New Roman"/>
          <w:lang w:val="fr-CA"/>
        </w:rPr>
        <w:t>qui peut lui être infligée. Un contrevenant a le droit de bénéficier de cette peine si elle lui est favorable et de bénéficier d’une peine moins sévère si une telle peine a remplacé celle qui s’appliquait au moment de la perpétration de l’infraction. Par conséquent, lorsque la peine applicable au moment de la perpétration de l’infraction est moins sévère, le contrevenant a le droit de bénéficier de cette peine même s’il peut ainsi obtenir une peine qui est maintenant considérée comme démesurément légère. À l’inverse, lorsque la peine actuelle est moins sévère, le contrevenant a le droit de bénéficier de cette peine même s’il était exposé à une peine beaucoup plus sévère au moment où il a enfreint la loi. L’alinéa</w:t>
      </w:r>
      <w:r w:rsidR="00A97B4E" w:rsidRPr="00B35658">
        <w:rPr>
          <w:rFonts w:cs="Times New Roman"/>
          <w:lang w:val="fr-CA"/>
        </w:rPr>
        <w:t> </w:t>
      </w:r>
      <w:r w:rsidRPr="00B35658">
        <w:rPr>
          <w:rFonts w:cs="Times New Roman"/>
          <w:lang w:val="fr-CA"/>
        </w:rPr>
        <w:t>11</w:t>
      </w:r>
      <w:r w:rsidRPr="00B35658">
        <w:rPr>
          <w:rFonts w:cs="Times New Roman"/>
          <w:i/>
          <w:lang w:val="fr-CA"/>
        </w:rPr>
        <w:t>i</w:t>
      </w:r>
      <w:r w:rsidRPr="00B35658">
        <w:rPr>
          <w:rFonts w:cs="Times New Roman"/>
          <w:lang w:val="fr-CA"/>
        </w:rPr>
        <w:t xml:space="preserve">) concilie ainsi, d’une part, le principe de la primauté du droit (ou de la légalité) et, d’autre part, le principe de </w:t>
      </w:r>
      <w:r w:rsidR="00194D92" w:rsidRPr="00B35658">
        <w:rPr>
          <w:rFonts w:cs="Times New Roman"/>
          <w:lang w:val="fr-CA"/>
        </w:rPr>
        <w:t>l’équité (voir F. Chevrette, H. </w:t>
      </w:r>
      <w:r w:rsidRPr="00B35658">
        <w:rPr>
          <w:rFonts w:cs="Times New Roman"/>
          <w:lang w:val="fr-CA"/>
        </w:rPr>
        <w:t>Cyr et F.</w:t>
      </w:r>
      <w:r w:rsidR="00194D92" w:rsidRPr="00B35658">
        <w:rPr>
          <w:rFonts w:cs="Times New Roman"/>
          <w:lang w:val="fr-CA"/>
        </w:rPr>
        <w:t> </w:t>
      </w:r>
      <w:r w:rsidRPr="00B35658">
        <w:rPr>
          <w:rFonts w:cs="Times New Roman"/>
          <w:lang w:val="fr-CA"/>
        </w:rPr>
        <w:t>Tanguay</w:t>
      </w:r>
      <w:r w:rsidR="00217BCA" w:rsidRPr="00B35658">
        <w:rPr>
          <w:lang w:val="fr-CA"/>
        </w:rPr>
        <w:noBreakHyphen/>
      </w:r>
      <w:r w:rsidRPr="00B35658">
        <w:rPr>
          <w:rFonts w:cs="Times New Roman"/>
          <w:lang w:val="fr-CA"/>
        </w:rPr>
        <w:t>Renaud, « La protection lors de l’arrestation, la détention et la protection contre l’incrimin</w:t>
      </w:r>
      <w:r w:rsidR="00B45E93" w:rsidRPr="00B35658">
        <w:rPr>
          <w:rFonts w:cs="Times New Roman"/>
          <w:lang w:val="fr-CA"/>
        </w:rPr>
        <w:t>ation rétroactive », dans G.</w:t>
      </w:r>
      <w:r w:rsidR="00B45E93" w:rsidRPr="00B35658">
        <w:rPr>
          <w:rFonts w:cs="Times New Roman"/>
          <w:lang w:val="fr-CA"/>
        </w:rPr>
        <w:noBreakHyphen/>
        <w:t>A. Beaudoin et E. </w:t>
      </w:r>
      <w:r w:rsidRPr="00B35658">
        <w:rPr>
          <w:rFonts w:cs="Times New Roman"/>
          <w:lang w:val="fr-CA"/>
        </w:rPr>
        <w:t xml:space="preserve">Mendes, </w:t>
      </w:r>
      <w:proofErr w:type="spellStart"/>
      <w:proofErr w:type="gramStart"/>
      <w:r w:rsidRPr="00B35658">
        <w:rPr>
          <w:rFonts w:cs="Times New Roman"/>
          <w:lang w:val="fr-CA"/>
        </w:rPr>
        <w:t>dir</w:t>
      </w:r>
      <w:proofErr w:type="spellEnd"/>
      <w:r w:rsidRPr="00B35658">
        <w:rPr>
          <w:rFonts w:cs="Times New Roman"/>
          <w:lang w:val="fr-CA"/>
        </w:rPr>
        <w:t>.,</w:t>
      </w:r>
      <w:proofErr w:type="gramEnd"/>
      <w:r w:rsidRPr="00B35658">
        <w:rPr>
          <w:rFonts w:cs="Times New Roman"/>
          <w:lang w:val="fr-CA"/>
        </w:rPr>
        <w:t xml:space="preserve"> </w:t>
      </w:r>
      <w:r w:rsidRPr="00B35658">
        <w:rPr>
          <w:rFonts w:cs="Times New Roman"/>
          <w:i/>
          <w:lang w:val="fr-CA"/>
        </w:rPr>
        <w:t xml:space="preserve">Charte canadienne des droits et libertés </w:t>
      </w:r>
      <w:r w:rsidRPr="00B35658">
        <w:rPr>
          <w:rFonts w:cs="Times New Roman"/>
          <w:lang w:val="fr-CA"/>
        </w:rPr>
        <w:t>(4</w:t>
      </w:r>
      <w:r w:rsidRPr="00B35658">
        <w:rPr>
          <w:rFonts w:cs="Times New Roman"/>
          <w:vertAlign w:val="superscript"/>
          <w:lang w:val="fr-CA"/>
        </w:rPr>
        <w:t>e</w:t>
      </w:r>
      <w:r w:rsidRPr="00B35658">
        <w:rPr>
          <w:rFonts w:cs="Times New Roman"/>
          <w:lang w:val="fr-CA"/>
        </w:rPr>
        <w:t> éd. 2005), p. 781).</w:t>
      </w:r>
    </w:p>
    <w:p w:rsidR="00460821" w:rsidRPr="00B35658" w:rsidRDefault="00460821" w:rsidP="00460821">
      <w:pPr>
        <w:pStyle w:val="ParaNoNdepar-AltN"/>
        <w:spacing w:before="0"/>
        <w:rPr>
          <w:rFonts w:cs="Times New Roman"/>
          <w:lang w:val="fr-CA"/>
        </w:rPr>
      </w:pPr>
      <w:r w:rsidRPr="00B35658">
        <w:rPr>
          <w:rFonts w:cs="Times New Roman"/>
          <w:lang w:val="fr-CA"/>
        </w:rPr>
        <w:t>Les parties et les intervenants semblent être d’accord pour dire que la primauté du droit et l’équité sont des objets qui sous</w:t>
      </w:r>
      <w:r w:rsidRPr="00B35658">
        <w:rPr>
          <w:rFonts w:cs="Times New Roman"/>
          <w:lang w:val="fr-CA"/>
        </w:rPr>
        <w:noBreakHyphen/>
        <w:t>tendent l’al. 11</w:t>
      </w:r>
      <w:r w:rsidRPr="00B35658">
        <w:rPr>
          <w:rFonts w:cs="Times New Roman"/>
          <w:i/>
          <w:lang w:val="fr-CA"/>
        </w:rPr>
        <w:t>i</w:t>
      </w:r>
      <w:r w:rsidRPr="00B35658">
        <w:rPr>
          <w:rFonts w:cs="Times New Roman"/>
          <w:lang w:val="fr-CA"/>
        </w:rPr>
        <w:t>). Leur différend est centré sur la question de savoir si ces objets appuient une interprétation binaire ou une interprétation globale de l’al. 11</w:t>
      </w:r>
      <w:r w:rsidRPr="00B35658">
        <w:rPr>
          <w:rFonts w:cs="Times New Roman"/>
          <w:i/>
          <w:lang w:val="fr-CA"/>
        </w:rPr>
        <w:t>i</w:t>
      </w:r>
      <w:r w:rsidRPr="00B35658">
        <w:rPr>
          <w:rFonts w:cs="Times New Roman"/>
          <w:lang w:val="fr-CA"/>
        </w:rPr>
        <w:t>). Pour sa part, et comme il en sera question plus loin, la CLA soutient que l’al. 11</w:t>
      </w:r>
      <w:r w:rsidRPr="00B35658">
        <w:rPr>
          <w:rFonts w:cs="Times New Roman"/>
          <w:i/>
          <w:lang w:val="fr-CA"/>
        </w:rPr>
        <w:t>i</w:t>
      </w:r>
      <w:r w:rsidRPr="00B35658">
        <w:rPr>
          <w:rFonts w:cs="Times New Roman"/>
          <w:lang w:val="fr-CA"/>
        </w:rPr>
        <w:t xml:space="preserve">) a un autre objet, soit celui de neutraliser le caractère aléatoire ou arbitraire du moment où la sentence est prononcée. Je crois que rien dans le libellé ou les origines du droit garanti par cette disposition ne démontre l’existence </w:t>
      </w:r>
      <w:r w:rsidRPr="00B35658">
        <w:rPr>
          <w:rFonts w:cs="Times New Roman"/>
          <w:lang w:val="fr-CA"/>
        </w:rPr>
        <w:lastRenderedPageBreak/>
        <w:t>d’un tel objet. Au contraire, j’estime que le libellé et les origines de l’al. 11</w:t>
      </w:r>
      <w:r w:rsidRPr="00B35658">
        <w:rPr>
          <w:rFonts w:cs="Times New Roman"/>
          <w:i/>
          <w:lang w:val="fr-CA"/>
        </w:rPr>
        <w:t>i</w:t>
      </w:r>
      <w:r w:rsidRPr="00B35658">
        <w:rPr>
          <w:rFonts w:cs="Times New Roman"/>
          <w:lang w:val="fr-CA"/>
        </w:rPr>
        <w:t>) étayent une interprétation binaire de cette disposition. J’aborderai maintenant chacun de ces points.</w:t>
      </w:r>
    </w:p>
    <w:p w:rsidR="00460821" w:rsidRPr="00B35658" w:rsidRDefault="00460821" w:rsidP="00EB4E44">
      <w:pPr>
        <w:pStyle w:val="Title3LevelTitre3Niveau"/>
        <w:numPr>
          <w:ilvl w:val="4"/>
          <w:numId w:val="10"/>
        </w:numPr>
        <w:spacing w:before="0"/>
        <w:ind w:left="1152" w:hanging="576"/>
        <w:rPr>
          <w:rFonts w:cs="Times New Roman"/>
          <w:i/>
          <w:u w:val="none"/>
          <w:lang w:val="fr-CA"/>
        </w:rPr>
      </w:pPr>
      <w:bookmarkStart w:id="19" w:name="_Toc12005417"/>
      <w:bookmarkStart w:id="20" w:name="_Toc12278994"/>
      <w:r w:rsidRPr="00B35658">
        <w:rPr>
          <w:rFonts w:cs="Times New Roman"/>
          <w:i/>
          <w:u w:val="none"/>
          <w:lang w:val="fr-CA"/>
        </w:rPr>
        <w:t>Libellé de l’al. 11i)</w:t>
      </w:r>
      <w:bookmarkEnd w:id="19"/>
      <w:bookmarkEnd w:id="20"/>
    </w:p>
    <w:p w:rsidR="00460821" w:rsidRPr="00B35658" w:rsidRDefault="00460821" w:rsidP="00EE6F89">
      <w:pPr>
        <w:pStyle w:val="ParaNoNdepar-AltN"/>
        <w:spacing w:before="0"/>
        <w:rPr>
          <w:rFonts w:cs="Times New Roman"/>
          <w:lang w:val="fr-CA"/>
        </w:rPr>
      </w:pPr>
      <w:r w:rsidRPr="00B35658">
        <w:rPr>
          <w:rFonts w:cs="Times New Roman"/>
          <w:lang w:val="fr-CA"/>
        </w:rPr>
        <w:t xml:space="preserve">Lorsque l’on procède à une analyse téléologique d’un droit garanti par la </w:t>
      </w:r>
      <w:r w:rsidRPr="00B35658">
        <w:rPr>
          <w:rFonts w:cs="Times New Roman"/>
          <w:i/>
          <w:lang w:val="fr-CA"/>
        </w:rPr>
        <w:t>Charte</w:t>
      </w:r>
      <w:r w:rsidRPr="00B35658">
        <w:rPr>
          <w:rFonts w:cs="Times New Roman"/>
          <w:lang w:val="fr-CA"/>
        </w:rPr>
        <w:t>, « il faut tout d’abord se pencher sur son libellé » (</w:t>
      </w:r>
      <w:r w:rsidRPr="00B35658">
        <w:rPr>
          <w:rFonts w:cs="Times New Roman"/>
          <w:i/>
          <w:lang w:val="fr-CA"/>
        </w:rPr>
        <w:t>Grant</w:t>
      </w:r>
      <w:r w:rsidRPr="00B35658">
        <w:rPr>
          <w:rFonts w:cs="Times New Roman"/>
          <w:lang w:val="fr-CA"/>
        </w:rPr>
        <w:t>, par. 15). Je le répète, l’al. 11</w:t>
      </w:r>
      <w:r w:rsidRPr="00B35658">
        <w:rPr>
          <w:rFonts w:cs="Times New Roman"/>
          <w:i/>
          <w:lang w:val="fr-CA"/>
        </w:rPr>
        <w:t>i</w:t>
      </w:r>
      <w:r w:rsidR="00D16AF6">
        <w:rPr>
          <w:rFonts w:cs="Times New Roman"/>
          <w:lang w:val="fr-CA"/>
        </w:rPr>
        <w:t>) est ainsi rédigé </w:t>
      </w:r>
      <w:r w:rsidRPr="00B35658">
        <w:rPr>
          <w:rFonts w:cs="Times New Roman"/>
          <w:lang w:val="fr-CA"/>
        </w:rPr>
        <w:t>:</w:t>
      </w:r>
    </w:p>
    <w:p w:rsidR="00460821" w:rsidRPr="00B35658" w:rsidRDefault="00460821" w:rsidP="00EE6F89">
      <w:pPr>
        <w:pStyle w:val="Citation-AltC"/>
        <w:spacing w:after="240"/>
        <w:ind w:left="1710"/>
        <w:contextualSpacing w:val="0"/>
        <w:rPr>
          <w:lang w:val="fr-CA"/>
        </w:rPr>
      </w:pPr>
      <w:r w:rsidRPr="00B35658">
        <w:rPr>
          <w:b/>
          <w:bCs/>
          <w:lang w:val="fr-CA"/>
        </w:rPr>
        <w:t>11.</w:t>
      </w:r>
      <w:r w:rsidRPr="00B35658">
        <w:rPr>
          <w:lang w:val="fr-CA"/>
        </w:rPr>
        <w:t> Tout inculpé a le droit :</w:t>
      </w:r>
    </w:p>
    <w:p w:rsidR="00460821" w:rsidRPr="00B35658" w:rsidRDefault="00B07626" w:rsidP="00460821">
      <w:pPr>
        <w:pStyle w:val="Citation-AltC"/>
        <w:tabs>
          <w:tab w:val="left" w:pos="4500"/>
        </w:tabs>
        <w:spacing w:after="240"/>
        <w:ind w:left="4500" w:hanging="360"/>
        <w:contextualSpacing w:val="0"/>
        <w:rPr>
          <w:bCs/>
          <w:lang w:val="fr-CA"/>
        </w:rPr>
      </w:pPr>
      <w:r w:rsidRPr="00B35658">
        <w:rPr>
          <w:bCs/>
          <w:lang w:val="fr-CA"/>
        </w:rPr>
        <w:t>. . .</w:t>
      </w:r>
    </w:p>
    <w:p w:rsidR="00460821" w:rsidRPr="00B35658" w:rsidRDefault="00460821" w:rsidP="00EE6F89">
      <w:pPr>
        <w:pStyle w:val="Citation-AltC"/>
        <w:spacing w:after="240"/>
        <w:ind w:left="1710"/>
        <w:contextualSpacing w:val="0"/>
        <w:rPr>
          <w:lang w:val="fr-CA"/>
        </w:rPr>
      </w:pPr>
      <w:r w:rsidRPr="00B35658">
        <w:rPr>
          <w:i/>
          <w:iCs/>
          <w:lang w:val="fr-CA"/>
        </w:rPr>
        <w:t>i</w:t>
      </w:r>
      <w:r w:rsidRPr="00B35658">
        <w:rPr>
          <w:lang w:val="fr-CA"/>
        </w:rPr>
        <w:t xml:space="preserve">) de bénéficier de la peine </w:t>
      </w:r>
      <w:r w:rsidRPr="00B35658">
        <w:rPr>
          <w:u w:val="single"/>
          <w:lang w:val="fr-CA"/>
        </w:rPr>
        <w:t>la moins sévère</w:t>
      </w:r>
      <w:r w:rsidRPr="00B35658">
        <w:rPr>
          <w:lang w:val="fr-CA"/>
        </w:rPr>
        <w:t xml:space="preserve">, lorsque la peine qui sanctionne l’infraction dont il est déclaré coupable est modifiée </w:t>
      </w:r>
      <w:r w:rsidRPr="00B35658">
        <w:rPr>
          <w:u w:val="single"/>
          <w:lang w:val="fr-CA"/>
        </w:rPr>
        <w:t>entre</w:t>
      </w:r>
      <w:r w:rsidRPr="00B35658">
        <w:rPr>
          <w:lang w:val="fr-CA"/>
        </w:rPr>
        <w:t xml:space="preserve"> le moment de la perpétration de l’infraction et celui de la sentence.</w:t>
      </w:r>
    </w:p>
    <w:p w:rsidR="00460821" w:rsidRPr="001E258E" w:rsidRDefault="00460821" w:rsidP="00EE6F89">
      <w:pPr>
        <w:pStyle w:val="Citation-AltC"/>
        <w:spacing w:after="240"/>
        <w:ind w:left="1710"/>
        <w:contextualSpacing w:val="0"/>
        <w:rPr>
          <w:lang w:val="en-US"/>
        </w:rPr>
      </w:pPr>
      <w:r w:rsidRPr="001E258E">
        <w:rPr>
          <w:b/>
          <w:bCs/>
          <w:lang w:val="en-US"/>
        </w:rPr>
        <w:t>11.</w:t>
      </w:r>
      <w:r w:rsidRPr="001E258E">
        <w:rPr>
          <w:lang w:val="en-US"/>
        </w:rPr>
        <w:t> </w:t>
      </w:r>
      <w:r w:rsidRPr="00D04B26">
        <w:rPr>
          <w:lang w:val="en-US"/>
        </w:rPr>
        <w:t>Any</w:t>
      </w:r>
      <w:r w:rsidRPr="001E258E">
        <w:rPr>
          <w:lang w:val="en-US"/>
        </w:rPr>
        <w:t xml:space="preserve"> </w:t>
      </w:r>
      <w:r w:rsidRPr="00EE6F89">
        <w:rPr>
          <w:lang w:val="en-US"/>
        </w:rPr>
        <w:t>p</w:t>
      </w:r>
      <w:r w:rsidRPr="001E258E">
        <w:rPr>
          <w:lang w:val="en-US"/>
        </w:rPr>
        <w:t>erson charged with an offence has the right</w:t>
      </w:r>
    </w:p>
    <w:p w:rsidR="00460821" w:rsidRPr="001E258E" w:rsidRDefault="00460821" w:rsidP="00460821">
      <w:pPr>
        <w:pStyle w:val="Citation-AltC"/>
        <w:spacing w:after="240"/>
        <w:ind w:left="4500" w:hanging="360"/>
        <w:contextualSpacing w:val="0"/>
        <w:rPr>
          <w:bCs/>
          <w:lang w:val="en-US"/>
        </w:rPr>
      </w:pPr>
      <w:r w:rsidRPr="001E258E">
        <w:rPr>
          <w:bCs/>
          <w:lang w:val="en-US"/>
        </w:rPr>
        <w:t>.</w:t>
      </w:r>
      <w:r w:rsidR="00762277" w:rsidRPr="001E258E">
        <w:rPr>
          <w:bCs/>
          <w:lang w:val="en-US"/>
        </w:rPr>
        <w:t> </w:t>
      </w:r>
      <w:r w:rsidRPr="001E258E">
        <w:rPr>
          <w:bCs/>
          <w:lang w:val="en-US"/>
        </w:rPr>
        <w:t>.</w:t>
      </w:r>
      <w:r w:rsidR="00762277" w:rsidRPr="001E258E">
        <w:rPr>
          <w:bCs/>
          <w:lang w:val="en-US"/>
        </w:rPr>
        <w:t> </w:t>
      </w:r>
      <w:r w:rsidR="004C2134" w:rsidRPr="001E258E">
        <w:rPr>
          <w:bCs/>
          <w:lang w:val="en-US"/>
        </w:rPr>
        <w:t>.</w:t>
      </w:r>
    </w:p>
    <w:p w:rsidR="00460821" w:rsidRPr="001E258E" w:rsidRDefault="00460821" w:rsidP="00EE6F89">
      <w:pPr>
        <w:pStyle w:val="Citation-AltC"/>
        <w:ind w:left="1714"/>
        <w:contextualSpacing w:val="0"/>
        <w:rPr>
          <w:lang w:val="en-US"/>
        </w:rPr>
      </w:pPr>
      <w:r w:rsidRPr="001E258E">
        <w:rPr>
          <w:iCs/>
          <w:lang w:val="en-US"/>
        </w:rPr>
        <w:t>(</w:t>
      </w:r>
      <w:proofErr w:type="spellStart"/>
      <w:r w:rsidRPr="001E258E">
        <w:rPr>
          <w:i/>
          <w:iCs/>
          <w:lang w:val="en-US"/>
        </w:rPr>
        <w:t>i</w:t>
      </w:r>
      <w:proofErr w:type="spellEnd"/>
      <w:r w:rsidRPr="001E258E">
        <w:rPr>
          <w:lang w:val="en-US"/>
        </w:rPr>
        <w:t>) </w:t>
      </w:r>
      <w:proofErr w:type="gramStart"/>
      <w:r w:rsidRPr="001E258E">
        <w:rPr>
          <w:lang w:val="en-US"/>
        </w:rPr>
        <w:t>if</w:t>
      </w:r>
      <w:proofErr w:type="gramEnd"/>
      <w:r w:rsidRPr="001E258E">
        <w:rPr>
          <w:lang w:val="en-US"/>
        </w:rPr>
        <w:t xml:space="preserve"> </w:t>
      </w:r>
      <w:r w:rsidRPr="00D04B26">
        <w:rPr>
          <w:lang w:val="en-US"/>
        </w:rPr>
        <w:t>found</w:t>
      </w:r>
      <w:r w:rsidRPr="00EE6F89">
        <w:rPr>
          <w:lang w:val="en-US"/>
        </w:rPr>
        <w:t xml:space="preserve"> guilty of the offence and if the punishment for the offence has been varied</w:t>
      </w:r>
      <w:r w:rsidRPr="001E258E">
        <w:rPr>
          <w:lang w:val="en-US"/>
        </w:rPr>
        <w:t xml:space="preserve"> </w:t>
      </w:r>
      <w:r w:rsidRPr="001E258E">
        <w:rPr>
          <w:u w:val="single"/>
          <w:lang w:val="en-US"/>
        </w:rPr>
        <w:t>between</w:t>
      </w:r>
      <w:r w:rsidRPr="001E258E">
        <w:rPr>
          <w:lang w:val="en-US"/>
        </w:rPr>
        <w:t xml:space="preserve"> the time of commission and the time of sentencing, to the benefit of the </w:t>
      </w:r>
      <w:r w:rsidRPr="001E258E">
        <w:rPr>
          <w:u w:val="single"/>
          <w:lang w:val="en-US"/>
        </w:rPr>
        <w:t>lesser</w:t>
      </w:r>
      <w:r w:rsidRPr="001E258E">
        <w:rPr>
          <w:lang w:val="en-US"/>
        </w:rPr>
        <w:t xml:space="preserve"> punishment.</w:t>
      </w:r>
    </w:p>
    <w:p w:rsidR="00460821" w:rsidRPr="00B35658" w:rsidRDefault="00460821" w:rsidP="00460821">
      <w:pPr>
        <w:pStyle w:val="ParaNoNdepar-AltN"/>
        <w:spacing w:before="0"/>
        <w:rPr>
          <w:rFonts w:cs="Times New Roman"/>
          <w:lang w:val="fr-CA"/>
        </w:rPr>
      </w:pPr>
      <w:r w:rsidRPr="00B35658">
        <w:rPr>
          <w:rFonts w:cs="Times New Roman"/>
          <w:lang w:val="fr-CA"/>
        </w:rPr>
        <w:t>Pour appuyer une interprétation binaire de ce droit, le ministère public insiste sur l’emploi du terme « </w:t>
      </w:r>
      <w:proofErr w:type="spellStart"/>
      <w:r w:rsidRPr="00B35658">
        <w:rPr>
          <w:rFonts w:cs="Times New Roman"/>
          <w:i/>
          <w:lang w:val="fr-CA"/>
        </w:rPr>
        <w:t>lesser</w:t>
      </w:r>
      <w:proofErr w:type="spellEnd"/>
      <w:r w:rsidRPr="00B35658">
        <w:rPr>
          <w:rFonts w:cs="Times New Roman"/>
          <w:lang w:val="fr-CA"/>
        </w:rPr>
        <w:t> » dans l’expression « </w:t>
      </w:r>
      <w:proofErr w:type="spellStart"/>
      <w:r w:rsidRPr="00B35658">
        <w:rPr>
          <w:rFonts w:cs="Times New Roman"/>
          <w:i/>
          <w:lang w:val="fr-CA"/>
        </w:rPr>
        <w:t>lesser</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xml:space="preserve"> » dans la version anglaise de la disposition pour désigner la moins sévère de </w:t>
      </w:r>
      <w:r w:rsidRPr="00B35658">
        <w:rPr>
          <w:rFonts w:cs="Times New Roman"/>
          <w:i/>
          <w:lang w:val="fr-CA"/>
        </w:rPr>
        <w:t xml:space="preserve">deux </w:t>
      </w:r>
      <w:r w:rsidRPr="00B35658">
        <w:rPr>
          <w:rFonts w:cs="Times New Roman"/>
          <w:lang w:val="fr-CA"/>
        </w:rPr>
        <w:t>options. Le ministère public affirme que, si le législateur avait voulu que l’al. 11</w:t>
      </w:r>
      <w:r w:rsidRPr="00B35658">
        <w:rPr>
          <w:rFonts w:cs="Times New Roman"/>
          <w:i/>
          <w:lang w:val="fr-CA"/>
        </w:rPr>
        <w:t>i</w:t>
      </w:r>
      <w:r w:rsidRPr="00B35658">
        <w:rPr>
          <w:rFonts w:cs="Times New Roman"/>
          <w:lang w:val="fr-CA"/>
        </w:rPr>
        <w:t>) confère un droit global, il aurait utilisé l’expression « </w:t>
      </w:r>
      <w:r w:rsidRPr="00B35658">
        <w:rPr>
          <w:rFonts w:cs="Times New Roman"/>
          <w:i/>
          <w:lang w:val="fr-CA"/>
        </w:rPr>
        <w:t xml:space="preserve">least </w:t>
      </w:r>
      <w:proofErr w:type="spellStart"/>
      <w:r w:rsidRPr="00B35658">
        <w:rPr>
          <w:rFonts w:cs="Times New Roman"/>
          <w:i/>
          <w:lang w:val="fr-CA"/>
        </w:rPr>
        <w:t>severe</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xml:space="preserve"> » au lieu de l’expression </w:t>
      </w:r>
      <w:r w:rsidRPr="00B35658">
        <w:rPr>
          <w:rFonts w:cs="Times New Roman"/>
          <w:lang w:val="fr-CA"/>
        </w:rPr>
        <w:lastRenderedPageBreak/>
        <w:t>« </w:t>
      </w:r>
      <w:proofErr w:type="spellStart"/>
      <w:r w:rsidRPr="00B35658">
        <w:rPr>
          <w:rFonts w:cs="Times New Roman"/>
          <w:i/>
          <w:lang w:val="fr-CA"/>
        </w:rPr>
        <w:t>lesser</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 dans la version anglaise de la disposition pour désigner la peine dont un contrevenant a le droit de bénéficier. Dans la mesure où l’expression « la peine la moins sévère » employée dans la version française de l’al. 11</w:t>
      </w:r>
      <w:r w:rsidRPr="00B35658">
        <w:rPr>
          <w:rFonts w:cs="Times New Roman"/>
          <w:i/>
          <w:lang w:val="fr-CA"/>
        </w:rPr>
        <w:t>i</w:t>
      </w:r>
      <w:r w:rsidRPr="00B35658">
        <w:rPr>
          <w:rFonts w:cs="Times New Roman"/>
          <w:lang w:val="fr-CA"/>
        </w:rPr>
        <w:t>) possède un sens plus large, le ministère public soutient que, en l’espèce, la version anglaise doit avoir préséance. La raison en est que le principe bien établi de l’interprétation bilingue veut que le sens commun à deux dispositions fasse autorité (</w:t>
      </w:r>
      <w:r w:rsidRPr="00B35658">
        <w:rPr>
          <w:rFonts w:cs="Times New Roman"/>
          <w:i/>
          <w:lang w:val="fr-CA"/>
        </w:rPr>
        <w:t>R. c. Daoust</w:t>
      </w:r>
      <w:r w:rsidRPr="00B35658">
        <w:rPr>
          <w:rFonts w:cs="Times New Roman"/>
          <w:lang w:val="fr-CA"/>
        </w:rPr>
        <w:t xml:space="preserve">, 2004 CSC 6, [2004] 1 R.C.S. 217, par. 26 et 29; </w:t>
      </w:r>
      <w:r w:rsidRPr="00B35658">
        <w:rPr>
          <w:rFonts w:cs="Times New Roman"/>
          <w:i/>
          <w:lang w:val="fr-CA"/>
        </w:rPr>
        <w:t>Montréal (Ville) c. Québec (Commission des droits de la personne et des droits de la jeunesse)</w:t>
      </w:r>
      <w:r w:rsidRPr="00B35658">
        <w:rPr>
          <w:rFonts w:cs="Times New Roman"/>
          <w:lang w:val="fr-CA"/>
        </w:rPr>
        <w:t>, 2008 CSC 48, [2008] 2 R.C.S. 698, par. 53). Comme l’expression « la moins sévère » englobe le sens du terme anglais « </w:t>
      </w:r>
      <w:proofErr w:type="spellStart"/>
      <w:r w:rsidRPr="00B35658">
        <w:rPr>
          <w:rFonts w:cs="Times New Roman"/>
          <w:i/>
          <w:lang w:val="fr-CA"/>
        </w:rPr>
        <w:t>lesser</w:t>
      </w:r>
      <w:proofErr w:type="spellEnd"/>
      <w:r w:rsidRPr="00B35658">
        <w:rPr>
          <w:rFonts w:cs="Times New Roman"/>
          <w:lang w:val="fr-CA"/>
        </w:rPr>
        <w:t> », ce dernier correspond au sens commun aux deux dispositions.</w:t>
      </w:r>
    </w:p>
    <w:p w:rsidR="00460821" w:rsidRPr="00B35658" w:rsidRDefault="00460821" w:rsidP="00460821">
      <w:pPr>
        <w:pStyle w:val="ParaNoNdepar-AltN"/>
        <w:spacing w:before="0"/>
        <w:rPr>
          <w:rFonts w:cs="Times New Roman"/>
          <w:lang w:val="fr-CA"/>
        </w:rPr>
      </w:pPr>
      <w:r w:rsidRPr="00B35658">
        <w:rPr>
          <w:rFonts w:cs="Times New Roman"/>
          <w:lang w:val="fr-CA"/>
        </w:rPr>
        <w:t>Pour sa part, M. Poulin insiste sur l’emploi du terme « entre » qui, selon lui, témoigne de la volonté du législateur de faire en sorte que l’al. 11</w:t>
      </w:r>
      <w:r w:rsidRPr="00B35658">
        <w:rPr>
          <w:rFonts w:cs="Times New Roman"/>
          <w:i/>
          <w:lang w:val="fr-CA"/>
        </w:rPr>
        <w:t>i</w:t>
      </w:r>
      <w:r w:rsidRPr="00B35658">
        <w:rPr>
          <w:rFonts w:cs="Times New Roman"/>
          <w:lang w:val="fr-CA"/>
        </w:rPr>
        <w:t xml:space="preserve">) englobe les peines qui pouvaient être infligées </w:t>
      </w:r>
      <w:r w:rsidRPr="00B35658">
        <w:rPr>
          <w:rFonts w:cs="Times New Roman"/>
          <w:i/>
          <w:lang w:val="fr-CA"/>
        </w:rPr>
        <w:t xml:space="preserve">dans l’intervalle entre </w:t>
      </w:r>
      <w:r w:rsidRPr="00B35658">
        <w:rPr>
          <w:rFonts w:cs="Times New Roman"/>
          <w:lang w:val="fr-CA"/>
        </w:rPr>
        <w:t>le moment de la perpétration de l’infraction et celui de la sentence. Comme il a été indiqué précédemment, dans les décisions </w:t>
      </w:r>
      <w:proofErr w:type="spellStart"/>
      <w:r w:rsidRPr="00B35658">
        <w:rPr>
          <w:rFonts w:cs="Times New Roman"/>
          <w:i/>
          <w:lang w:val="fr-CA"/>
        </w:rPr>
        <w:t>Cadman</w:t>
      </w:r>
      <w:proofErr w:type="spellEnd"/>
      <w:r w:rsidRPr="00B35658">
        <w:rPr>
          <w:rFonts w:cs="Times New Roman"/>
          <w:lang w:val="fr-CA"/>
        </w:rPr>
        <w:t xml:space="preserve"> (par. 44), </w:t>
      </w:r>
      <w:proofErr w:type="spellStart"/>
      <w:r w:rsidRPr="00B35658">
        <w:rPr>
          <w:rFonts w:cs="Times New Roman"/>
          <w:i/>
          <w:lang w:val="fr-CA"/>
        </w:rPr>
        <w:t>Bent</w:t>
      </w:r>
      <w:proofErr w:type="spellEnd"/>
      <w:r w:rsidRPr="00B35658">
        <w:rPr>
          <w:rFonts w:cs="Times New Roman"/>
          <w:lang w:val="fr-CA"/>
        </w:rPr>
        <w:t xml:space="preserve"> (par. 79) et </w:t>
      </w:r>
      <w:proofErr w:type="spellStart"/>
      <w:r w:rsidRPr="00B35658">
        <w:rPr>
          <w:rFonts w:cs="Times New Roman"/>
          <w:i/>
          <w:lang w:val="fr-CA"/>
        </w:rPr>
        <w:t>Mehanmal</w:t>
      </w:r>
      <w:proofErr w:type="spellEnd"/>
      <w:r w:rsidRPr="00B35658">
        <w:rPr>
          <w:rFonts w:cs="Times New Roman"/>
          <w:i/>
          <w:lang w:val="fr-CA"/>
        </w:rPr>
        <w:t xml:space="preserve"> </w:t>
      </w:r>
      <w:r w:rsidRPr="00B35658">
        <w:rPr>
          <w:rFonts w:cs="Times New Roman"/>
          <w:lang w:val="fr-CA"/>
        </w:rPr>
        <w:t>(par. 75), les cours se sont appuyées d’une manière similaire sur l’emploi du terme « entre » en interprétant l’al. 11</w:t>
      </w:r>
      <w:r w:rsidRPr="00B35658">
        <w:rPr>
          <w:rFonts w:cs="Times New Roman"/>
          <w:i/>
          <w:lang w:val="fr-CA"/>
        </w:rPr>
        <w:t>i</w:t>
      </w:r>
      <w:r w:rsidRPr="00B35658">
        <w:rPr>
          <w:rFonts w:cs="Times New Roman"/>
          <w:lang w:val="fr-CA"/>
        </w:rPr>
        <w:t>) de façon globale.</w:t>
      </w:r>
    </w:p>
    <w:p w:rsidR="00460821" w:rsidRPr="00B35658" w:rsidRDefault="00460821" w:rsidP="00460821">
      <w:pPr>
        <w:pStyle w:val="ParaNoNdepar-AltN"/>
        <w:spacing w:before="0"/>
        <w:rPr>
          <w:rFonts w:cs="Times New Roman"/>
          <w:lang w:val="fr-CA"/>
        </w:rPr>
      </w:pPr>
      <w:r w:rsidRPr="00B35658">
        <w:rPr>
          <w:rFonts w:cs="Times New Roman"/>
          <w:lang w:val="fr-CA"/>
        </w:rPr>
        <w:t>Je ne crois pas que l’emploi du terme « entre » favorise une interprétation globale de l’al. 11</w:t>
      </w:r>
      <w:r w:rsidRPr="00B35658">
        <w:rPr>
          <w:rFonts w:cs="Times New Roman"/>
          <w:i/>
          <w:lang w:val="fr-CA"/>
        </w:rPr>
        <w:t>i</w:t>
      </w:r>
      <w:r w:rsidRPr="00B35658">
        <w:rPr>
          <w:rFonts w:cs="Times New Roman"/>
          <w:lang w:val="fr-CA"/>
        </w:rPr>
        <w:t>). À mon avis, l’emploi de ce terme cadre autant avec une interprétation binaire qu’avec une interprétation globale de l’al. 11</w:t>
      </w:r>
      <w:r w:rsidRPr="00B35658">
        <w:rPr>
          <w:rFonts w:cs="Times New Roman"/>
          <w:i/>
          <w:lang w:val="fr-CA"/>
        </w:rPr>
        <w:t>i</w:t>
      </w:r>
      <w:r w:rsidRPr="00B35658">
        <w:rPr>
          <w:rFonts w:cs="Times New Roman"/>
          <w:lang w:val="fr-CA"/>
        </w:rPr>
        <w:t xml:space="preserve">). Bien que ce terme évoque la notion d’intervalle, un intervalle n’implique pas, en soi, une interprétation </w:t>
      </w:r>
      <w:r w:rsidRPr="00B35658">
        <w:rPr>
          <w:rFonts w:cs="Times New Roman"/>
          <w:lang w:val="fr-CA"/>
        </w:rPr>
        <w:lastRenderedPageBreak/>
        <w:t xml:space="preserve">globale. En effet, pour qu’une peine différente de celle qui existait au moment de la perpétration de l’infraction puisse être infligée au moment de la sentence, la peine doit nécessairement avoir été modifiée </w:t>
      </w:r>
      <w:r w:rsidRPr="00B35658">
        <w:rPr>
          <w:rFonts w:cs="Times New Roman"/>
          <w:i/>
          <w:lang w:val="fr-CA"/>
        </w:rPr>
        <w:t xml:space="preserve">dans l’intervalle entre </w:t>
      </w:r>
      <w:r w:rsidRPr="00B35658">
        <w:rPr>
          <w:rFonts w:cs="Times New Roman"/>
          <w:lang w:val="fr-CA"/>
        </w:rPr>
        <w:t>ces deux moments. En étant axé sur la modification qui a été apportée pendant cet intervalle, l’al. 11</w:t>
      </w:r>
      <w:r w:rsidRPr="00B35658">
        <w:rPr>
          <w:rFonts w:cs="Times New Roman"/>
          <w:i/>
          <w:lang w:val="fr-CA"/>
        </w:rPr>
        <w:t>i</w:t>
      </w:r>
      <w:r w:rsidRPr="00B35658">
        <w:rPr>
          <w:rFonts w:cs="Times New Roman"/>
          <w:lang w:val="fr-CA"/>
        </w:rPr>
        <w:t>) ne constitutionnalise pas nécessairement le droit de bénéficier de la modification la plus favorable</w:t>
      </w:r>
      <w:r w:rsidRPr="00B35658">
        <w:rPr>
          <w:rFonts w:cs="Times New Roman"/>
          <w:i/>
          <w:lang w:val="fr-CA"/>
        </w:rPr>
        <w:t xml:space="preserve"> </w:t>
      </w:r>
      <w:r w:rsidRPr="00B35658">
        <w:rPr>
          <w:rFonts w:cs="Times New Roman"/>
          <w:lang w:val="fr-CA"/>
        </w:rPr>
        <w:t>parmi les nombreuses modifications qui ont été apportées pendant cet intervalle. Pour le dire simplement, l’emploi du terme « entre » à l’al. 11</w:t>
      </w:r>
      <w:r w:rsidRPr="00B35658">
        <w:rPr>
          <w:rFonts w:cs="Times New Roman"/>
          <w:i/>
          <w:lang w:val="fr-CA"/>
        </w:rPr>
        <w:t>i</w:t>
      </w:r>
      <w:r w:rsidRPr="00B35658">
        <w:rPr>
          <w:rFonts w:cs="Times New Roman"/>
          <w:lang w:val="fr-CA"/>
        </w:rPr>
        <w:t>) ne permet pas de déterminer si le droit qu’il confère est binaire ou global; il nous apprend uniquement que l’al. 11</w:t>
      </w:r>
      <w:r w:rsidRPr="00B35658">
        <w:rPr>
          <w:rFonts w:cs="Times New Roman"/>
          <w:i/>
          <w:lang w:val="fr-CA"/>
        </w:rPr>
        <w:t>i</w:t>
      </w:r>
      <w:r w:rsidRPr="00B35658">
        <w:rPr>
          <w:rFonts w:cs="Times New Roman"/>
          <w:lang w:val="fr-CA"/>
        </w:rPr>
        <w:t xml:space="preserve">) s’attache à la peine qui a été « modifiée entre » le moment de la perpétration de l’infraction et celui de la sentence, et ce, que la peine ait été modifiée une seule fois </w:t>
      </w:r>
      <w:proofErr w:type="spellStart"/>
      <w:r w:rsidRPr="00B35658">
        <w:rPr>
          <w:rFonts w:cs="Times New Roman"/>
          <w:lang w:val="fr-CA"/>
        </w:rPr>
        <w:t>ou</w:t>
      </w:r>
      <w:proofErr w:type="spellEnd"/>
      <w:r w:rsidRPr="00B35658">
        <w:rPr>
          <w:rFonts w:cs="Times New Roman"/>
          <w:lang w:val="fr-CA"/>
        </w:rPr>
        <w:t xml:space="preserve"> de nombreuses fois.</w:t>
      </w:r>
    </w:p>
    <w:p w:rsidR="00460821" w:rsidRPr="00B35658" w:rsidRDefault="00460821" w:rsidP="00460821">
      <w:pPr>
        <w:pStyle w:val="ParaNoNdepar-AltN"/>
        <w:spacing w:before="0"/>
        <w:rPr>
          <w:rFonts w:cs="Times New Roman"/>
          <w:lang w:val="fr-CA"/>
        </w:rPr>
      </w:pPr>
      <w:r w:rsidRPr="00B35658">
        <w:rPr>
          <w:rFonts w:cs="Times New Roman"/>
          <w:lang w:val="fr-CA"/>
        </w:rPr>
        <w:t xml:space="preserve">Non seulement je rejette l’analyse que fait M. Poulin de l’emploi du terme « entre », mais je souscris aussi à la thèse du ministère public selon </w:t>
      </w:r>
      <w:r w:rsidR="00D844C7">
        <w:rPr>
          <w:rFonts w:cs="Times New Roman"/>
          <w:lang w:val="fr-CA"/>
        </w:rPr>
        <w:t>laquelle</w:t>
      </w:r>
      <w:r w:rsidRPr="00B35658">
        <w:rPr>
          <w:rFonts w:cs="Times New Roman"/>
          <w:lang w:val="fr-CA"/>
        </w:rPr>
        <w:t xml:space="preserve"> l’emploi du terme « </w:t>
      </w:r>
      <w:proofErr w:type="spellStart"/>
      <w:r w:rsidRPr="00B35658">
        <w:rPr>
          <w:rFonts w:cs="Times New Roman"/>
          <w:i/>
          <w:lang w:val="fr-CA"/>
        </w:rPr>
        <w:t>lesser</w:t>
      </w:r>
      <w:proofErr w:type="spellEnd"/>
      <w:r w:rsidRPr="00B35658">
        <w:rPr>
          <w:rFonts w:cs="Times New Roman"/>
          <w:lang w:val="fr-CA"/>
        </w:rPr>
        <w:t> » dans la version anglaise de la disposition évoque une comparaison de deux possibilités. Alors qu’en anglais, les termes comparatifs qui se terminent par « </w:t>
      </w:r>
      <w:r w:rsidRPr="00B35658">
        <w:rPr>
          <w:rFonts w:cs="Times New Roman"/>
          <w:i/>
          <w:lang w:val="fr-CA"/>
        </w:rPr>
        <w:t>est</w:t>
      </w:r>
      <w:r w:rsidRPr="00B35658">
        <w:rPr>
          <w:rFonts w:cs="Times New Roman"/>
          <w:lang w:val="fr-CA"/>
        </w:rPr>
        <w:t> » ou « </w:t>
      </w:r>
      <w:r w:rsidRPr="00B35658">
        <w:rPr>
          <w:rFonts w:cs="Times New Roman"/>
          <w:i/>
          <w:lang w:val="fr-CA"/>
        </w:rPr>
        <w:t>st</w:t>
      </w:r>
      <w:r w:rsidRPr="00B35658">
        <w:rPr>
          <w:rFonts w:cs="Times New Roman"/>
          <w:lang w:val="fr-CA"/>
        </w:rPr>
        <w:t> » distinguent une chose par rapport à d’autres, les termes comparatifs se terminant par « </w:t>
      </w:r>
      <w:r w:rsidRPr="00B35658">
        <w:rPr>
          <w:rFonts w:cs="Times New Roman"/>
          <w:i/>
          <w:lang w:val="fr-CA"/>
        </w:rPr>
        <w:t>er</w:t>
      </w:r>
      <w:r w:rsidRPr="00B35658">
        <w:rPr>
          <w:rFonts w:cs="Times New Roman"/>
          <w:lang w:val="fr-CA"/>
        </w:rPr>
        <w:t> » mettent une chose en contraste avec une autre. Par exemple, nous disons d’une option qu’elle est meilleure (</w:t>
      </w:r>
      <w:proofErr w:type="spellStart"/>
      <w:r w:rsidRPr="00B35658">
        <w:rPr>
          <w:rFonts w:cs="Times New Roman"/>
          <w:i/>
          <w:lang w:val="fr-CA"/>
        </w:rPr>
        <w:t>better</w:t>
      </w:r>
      <w:proofErr w:type="spellEnd"/>
      <w:r w:rsidRPr="00B35658">
        <w:rPr>
          <w:rFonts w:cs="Times New Roman"/>
          <w:lang w:val="fr-CA"/>
        </w:rPr>
        <w:t>) qu’une autre et qu’elle est la meilleure (</w:t>
      </w:r>
      <w:r w:rsidRPr="00B35658">
        <w:rPr>
          <w:rFonts w:cs="Times New Roman"/>
          <w:i/>
          <w:lang w:val="fr-CA"/>
        </w:rPr>
        <w:t>best</w:t>
      </w:r>
      <w:r w:rsidRPr="00B35658">
        <w:rPr>
          <w:rFonts w:cs="Times New Roman"/>
          <w:lang w:val="fr-CA"/>
        </w:rPr>
        <w:t>) en comparaison avec plusieurs autres, qu’un sommet est plus haut (</w:t>
      </w:r>
      <w:proofErr w:type="spellStart"/>
      <w:r w:rsidRPr="00B35658">
        <w:rPr>
          <w:rFonts w:cs="Times New Roman"/>
          <w:i/>
          <w:lang w:val="fr-CA"/>
        </w:rPr>
        <w:t>higher</w:t>
      </w:r>
      <w:proofErr w:type="spellEnd"/>
      <w:r w:rsidRPr="00B35658">
        <w:rPr>
          <w:rFonts w:cs="Times New Roman"/>
          <w:lang w:val="fr-CA"/>
        </w:rPr>
        <w:t>) qu’un autre et qu’il est le plus haut (</w:t>
      </w:r>
      <w:proofErr w:type="spellStart"/>
      <w:r w:rsidRPr="00B35658">
        <w:rPr>
          <w:rFonts w:cs="Times New Roman"/>
          <w:i/>
          <w:lang w:val="fr-CA"/>
        </w:rPr>
        <w:t>highest</w:t>
      </w:r>
      <w:proofErr w:type="spellEnd"/>
      <w:r w:rsidRPr="00B35658">
        <w:rPr>
          <w:rFonts w:cs="Times New Roman"/>
          <w:lang w:val="fr-CA"/>
        </w:rPr>
        <w:t>) en comparaison avec plusieurs autres, ou encore que quelqu’un est plus rapide (</w:t>
      </w:r>
      <w:proofErr w:type="spellStart"/>
      <w:r w:rsidRPr="00B35658">
        <w:rPr>
          <w:rFonts w:cs="Times New Roman"/>
          <w:i/>
          <w:lang w:val="fr-CA"/>
        </w:rPr>
        <w:t>faster</w:t>
      </w:r>
      <w:proofErr w:type="spellEnd"/>
      <w:r w:rsidRPr="00B35658">
        <w:rPr>
          <w:rFonts w:cs="Times New Roman"/>
          <w:lang w:val="fr-CA"/>
        </w:rPr>
        <w:t>) que quelqu’un d’autre et qu’il est le plus rapide (</w:t>
      </w:r>
      <w:proofErr w:type="spellStart"/>
      <w:r w:rsidRPr="00B35658">
        <w:rPr>
          <w:rFonts w:cs="Times New Roman"/>
          <w:i/>
          <w:lang w:val="fr-CA"/>
        </w:rPr>
        <w:t>fastest</w:t>
      </w:r>
      <w:proofErr w:type="spellEnd"/>
      <w:r w:rsidRPr="00B35658">
        <w:rPr>
          <w:rFonts w:cs="Times New Roman"/>
          <w:lang w:val="fr-CA"/>
        </w:rPr>
        <w:t xml:space="preserve">) comparé à plusieurs autres, pour ne donner que quelques exemples. Plutôt que </w:t>
      </w:r>
      <w:r w:rsidRPr="00B35658">
        <w:rPr>
          <w:rFonts w:cs="Times New Roman"/>
          <w:lang w:val="fr-CA"/>
        </w:rPr>
        <w:lastRenderedPageBreak/>
        <w:t>d’employer les termes clairement généraux « </w:t>
      </w:r>
      <w:r w:rsidRPr="00B35658">
        <w:rPr>
          <w:rFonts w:cs="Times New Roman"/>
          <w:i/>
          <w:lang w:val="fr-CA"/>
        </w:rPr>
        <w:t xml:space="preserve">the least </w:t>
      </w:r>
      <w:proofErr w:type="spellStart"/>
      <w:r w:rsidRPr="00B35658">
        <w:rPr>
          <w:rFonts w:cs="Times New Roman"/>
          <w:i/>
          <w:lang w:val="fr-CA"/>
        </w:rPr>
        <w:t>severe</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 (ou encore, « </w:t>
      </w:r>
      <w:r w:rsidRPr="00B35658">
        <w:rPr>
          <w:rFonts w:cs="Times New Roman"/>
          <w:i/>
          <w:lang w:val="fr-CA"/>
        </w:rPr>
        <w:t xml:space="preserve">the </w:t>
      </w:r>
      <w:proofErr w:type="spellStart"/>
      <w:r w:rsidRPr="00B35658">
        <w:rPr>
          <w:rFonts w:cs="Times New Roman"/>
          <w:i/>
          <w:lang w:val="fr-CA"/>
        </w:rPr>
        <w:t>lowest</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 l’al. 11</w:t>
      </w:r>
      <w:r w:rsidRPr="00B35658">
        <w:rPr>
          <w:rFonts w:cs="Times New Roman"/>
          <w:i/>
          <w:lang w:val="fr-CA"/>
        </w:rPr>
        <w:t>i</w:t>
      </w:r>
      <w:r w:rsidRPr="00B35658">
        <w:rPr>
          <w:rFonts w:cs="Times New Roman"/>
          <w:lang w:val="fr-CA"/>
        </w:rPr>
        <w:t>) utilise le terme binaire « </w:t>
      </w:r>
      <w:r w:rsidRPr="00B35658">
        <w:rPr>
          <w:rFonts w:cs="Times New Roman"/>
          <w:i/>
          <w:lang w:val="fr-CA"/>
        </w:rPr>
        <w:t xml:space="preserve">the </w:t>
      </w:r>
      <w:proofErr w:type="spellStart"/>
      <w:r w:rsidRPr="00B35658">
        <w:rPr>
          <w:rFonts w:cs="Times New Roman"/>
          <w:i/>
          <w:lang w:val="fr-CA"/>
        </w:rPr>
        <w:t>lesser</w:t>
      </w:r>
      <w:proofErr w:type="spellEnd"/>
      <w:r w:rsidRPr="00B35658">
        <w:rPr>
          <w:rFonts w:cs="Times New Roman"/>
          <w:i/>
          <w:lang w:val="fr-CA"/>
        </w:rPr>
        <w:t xml:space="preserve"> </w:t>
      </w:r>
      <w:proofErr w:type="spellStart"/>
      <w:r w:rsidRPr="00B35658">
        <w:rPr>
          <w:rFonts w:cs="Times New Roman"/>
          <w:i/>
          <w:lang w:val="fr-CA"/>
        </w:rPr>
        <w:t>punishment</w:t>
      </w:r>
      <w:proofErr w:type="spellEnd"/>
      <w:r w:rsidRPr="00B35658">
        <w:rPr>
          <w:rFonts w:cs="Times New Roman"/>
          <w:lang w:val="fr-CA"/>
        </w:rPr>
        <w:t> ». Le mot « </w:t>
      </w:r>
      <w:proofErr w:type="spellStart"/>
      <w:r w:rsidRPr="00B35658">
        <w:rPr>
          <w:rFonts w:cs="Times New Roman"/>
          <w:i/>
          <w:lang w:val="fr-CA"/>
        </w:rPr>
        <w:t>lesser</w:t>
      </w:r>
      <w:proofErr w:type="spellEnd"/>
      <w:r w:rsidRPr="00B35658">
        <w:rPr>
          <w:rFonts w:cs="Times New Roman"/>
          <w:lang w:val="fr-CA"/>
        </w:rPr>
        <w:t> » reflète le sens commun le plus précis des deux versions de l’al. 11</w:t>
      </w:r>
      <w:r w:rsidRPr="00B35658">
        <w:rPr>
          <w:rFonts w:cs="Times New Roman"/>
          <w:i/>
          <w:lang w:val="fr-CA"/>
        </w:rPr>
        <w:t>i</w:t>
      </w:r>
      <w:r w:rsidRPr="00B35658">
        <w:rPr>
          <w:rFonts w:cs="Times New Roman"/>
          <w:lang w:val="fr-CA"/>
        </w:rPr>
        <w:t>) (</w:t>
      </w:r>
      <w:r w:rsidRPr="00B35658">
        <w:rPr>
          <w:rFonts w:cs="Times New Roman"/>
          <w:i/>
          <w:lang w:val="fr-CA"/>
        </w:rPr>
        <w:t>R.</w:t>
      </w:r>
      <w:r w:rsidR="00142DD0" w:rsidRPr="00B35658">
        <w:rPr>
          <w:rFonts w:cs="Times New Roman"/>
          <w:i/>
          <w:lang w:val="fr-CA"/>
        </w:rPr>
        <w:t xml:space="preserve"> </w:t>
      </w:r>
      <w:r w:rsidRPr="00B35658">
        <w:rPr>
          <w:rFonts w:cs="Times New Roman"/>
          <w:i/>
          <w:lang w:val="fr-CA"/>
        </w:rPr>
        <w:t>c.</w:t>
      </w:r>
      <w:r w:rsidR="00142DD0" w:rsidRPr="00B35658">
        <w:rPr>
          <w:rFonts w:cs="Times New Roman"/>
          <w:i/>
          <w:lang w:val="fr-CA"/>
        </w:rPr>
        <w:t xml:space="preserve"> </w:t>
      </w:r>
      <w:proofErr w:type="spellStart"/>
      <w:r w:rsidRPr="00B35658">
        <w:rPr>
          <w:rFonts w:cs="Times New Roman"/>
          <w:i/>
          <w:lang w:val="fr-CA"/>
        </w:rPr>
        <w:t>Stillman</w:t>
      </w:r>
      <w:proofErr w:type="spellEnd"/>
      <w:r w:rsidR="00142DD0" w:rsidRPr="00B35658">
        <w:rPr>
          <w:rFonts w:cs="Times New Roman"/>
          <w:lang w:val="fr-CA"/>
        </w:rPr>
        <w:t xml:space="preserve">, 2019 CSC </w:t>
      </w:r>
      <w:r w:rsidRPr="00B35658">
        <w:rPr>
          <w:rFonts w:cs="Times New Roman"/>
          <w:lang w:val="fr-CA"/>
        </w:rPr>
        <w:t>40</w:t>
      </w:r>
      <w:r w:rsidR="0009098F">
        <w:rPr>
          <w:rFonts w:cs="Times New Roman"/>
          <w:lang w:val="fr-CA"/>
        </w:rPr>
        <w:t>, [2019] 3</w:t>
      </w:r>
      <w:r w:rsidR="00EC411E">
        <w:rPr>
          <w:rFonts w:cs="Times New Roman"/>
          <w:lang w:val="fr-CA"/>
        </w:rPr>
        <w:t xml:space="preserve"> R.C.S. </w:t>
      </w:r>
      <w:r w:rsidR="00DD3E54">
        <w:rPr>
          <w:rFonts w:cs="Times New Roman"/>
          <w:lang w:val="fr-CA"/>
        </w:rPr>
        <w:t>144</w:t>
      </w:r>
      <w:r w:rsidRPr="00B35658">
        <w:rPr>
          <w:rFonts w:cs="Times New Roman"/>
          <w:lang w:val="fr-CA"/>
        </w:rPr>
        <w:t xml:space="preserve">, par. 32; voir aussi </w:t>
      </w:r>
      <w:r w:rsidR="00142DD0" w:rsidRPr="00B35658">
        <w:rPr>
          <w:rFonts w:cs="Times New Roman"/>
          <w:i/>
          <w:lang w:val="fr-CA"/>
        </w:rPr>
        <w:t xml:space="preserve">R. c. </w:t>
      </w:r>
      <w:r w:rsidRPr="00B35658">
        <w:rPr>
          <w:rFonts w:cs="Times New Roman"/>
          <w:i/>
          <w:lang w:val="fr-CA"/>
        </w:rPr>
        <w:t>Kapp</w:t>
      </w:r>
      <w:r w:rsidR="00142DD0" w:rsidRPr="00B35658">
        <w:rPr>
          <w:rFonts w:cs="Times New Roman"/>
          <w:lang w:val="fr-CA"/>
        </w:rPr>
        <w:t xml:space="preserve">, 2008 </w:t>
      </w:r>
      <w:r w:rsidRPr="00B35658">
        <w:rPr>
          <w:rFonts w:cs="Times New Roman"/>
          <w:lang w:val="fr-CA"/>
        </w:rPr>
        <w:t>CSC</w:t>
      </w:r>
      <w:r w:rsidR="00142DD0" w:rsidRPr="00B35658">
        <w:rPr>
          <w:rFonts w:cs="Times New Roman"/>
          <w:lang w:val="fr-CA"/>
        </w:rPr>
        <w:t xml:space="preserve"> </w:t>
      </w:r>
      <w:r w:rsidRPr="00B35658">
        <w:rPr>
          <w:rFonts w:cs="Times New Roman"/>
          <w:lang w:val="fr-CA"/>
        </w:rPr>
        <w:t>41,</w:t>
      </w:r>
      <w:r w:rsidR="00142DD0" w:rsidRPr="00B35658">
        <w:rPr>
          <w:rFonts w:cs="Times New Roman"/>
          <w:lang w:val="fr-CA"/>
        </w:rPr>
        <w:t xml:space="preserve"> [2008] 2 R.C.S. 483, par. 85</w:t>
      </w:r>
      <w:r w:rsidR="00CA7EDE" w:rsidRPr="00B35658">
        <w:rPr>
          <w:rFonts w:cs="Times New Roman"/>
          <w:lang w:val="fr-CA"/>
        </w:rPr>
        <w:noBreakHyphen/>
      </w:r>
      <w:r w:rsidR="00CA7EDE">
        <w:rPr>
          <w:rFonts w:cs="Times New Roman"/>
          <w:lang w:val="fr-CA"/>
        </w:rPr>
        <w:t>8</w:t>
      </w:r>
      <w:r w:rsidRPr="00B35658">
        <w:rPr>
          <w:rFonts w:cs="Times New Roman"/>
          <w:lang w:val="fr-CA"/>
        </w:rPr>
        <w:t xml:space="preserve">7, motifs concordants du juge </w:t>
      </w:r>
      <w:proofErr w:type="spellStart"/>
      <w:r w:rsidRPr="00B35658">
        <w:rPr>
          <w:rFonts w:cs="Times New Roman"/>
          <w:lang w:val="fr-CA"/>
        </w:rPr>
        <w:t>Bastarache</w:t>
      </w:r>
      <w:proofErr w:type="spellEnd"/>
      <w:r w:rsidRPr="00B35658">
        <w:rPr>
          <w:rFonts w:cs="Times New Roman"/>
          <w:lang w:val="fr-CA"/>
        </w:rPr>
        <w:t xml:space="preserve">; </w:t>
      </w:r>
      <w:r w:rsidRPr="00B35658">
        <w:rPr>
          <w:rFonts w:cs="Times New Roman"/>
          <w:i/>
          <w:lang w:val="fr-CA"/>
        </w:rPr>
        <w:t>R. c. S.A.C.</w:t>
      </w:r>
      <w:r w:rsidRPr="00B35658">
        <w:rPr>
          <w:rFonts w:cs="Times New Roman"/>
          <w:lang w:val="fr-CA"/>
        </w:rPr>
        <w:t>, 2008 CSC 47, [2008] 2 R.C.S. 675, par. 15). En conséquence, je ne souscris pas à l’opinion selon laquelle l’emploi du mot « entre » permet de surmonter, voire de contrebalancer, l’emploi du terme « </w:t>
      </w:r>
      <w:proofErr w:type="spellStart"/>
      <w:r w:rsidRPr="00B35658">
        <w:rPr>
          <w:rFonts w:cs="Times New Roman"/>
          <w:i/>
          <w:lang w:val="fr-CA"/>
        </w:rPr>
        <w:t>lesser</w:t>
      </w:r>
      <w:proofErr w:type="spellEnd"/>
      <w:r w:rsidRPr="00B35658">
        <w:rPr>
          <w:rFonts w:cs="Times New Roman"/>
          <w:lang w:val="fr-CA"/>
        </w:rPr>
        <w:t> » dans la version anglaise.</w:t>
      </w:r>
    </w:p>
    <w:p w:rsidR="00460821" w:rsidRPr="00B35658" w:rsidRDefault="00460821" w:rsidP="00460821">
      <w:pPr>
        <w:pStyle w:val="ParaNoNdepar-AltN"/>
        <w:spacing w:before="0"/>
        <w:rPr>
          <w:rFonts w:cs="Times New Roman"/>
          <w:lang w:val="fr-CA"/>
        </w:rPr>
      </w:pPr>
      <w:r w:rsidRPr="00B35658">
        <w:rPr>
          <w:rFonts w:cs="Times New Roman"/>
          <w:lang w:val="fr-CA"/>
        </w:rPr>
        <w:t>En outre, j’estime que les origines et l’historique de l’al. 11</w:t>
      </w:r>
      <w:r w:rsidRPr="00B35658">
        <w:rPr>
          <w:rFonts w:cs="Times New Roman"/>
          <w:i/>
          <w:lang w:val="fr-CA"/>
        </w:rPr>
        <w:t>i</w:t>
      </w:r>
      <w:r w:rsidRPr="00B35658">
        <w:rPr>
          <w:rFonts w:cs="Times New Roman"/>
          <w:lang w:val="fr-CA"/>
        </w:rPr>
        <w:t>) corroborent la conclusion selon laquelle cet alinéa a été rédigé de façon à conférer un droit binaire.</w:t>
      </w:r>
    </w:p>
    <w:p w:rsidR="00460821" w:rsidRPr="00B35658" w:rsidRDefault="00460821" w:rsidP="00460821">
      <w:pPr>
        <w:pStyle w:val="Title4LevelTitre4Niveau"/>
        <w:numPr>
          <w:ilvl w:val="3"/>
          <w:numId w:val="19"/>
        </w:numPr>
        <w:spacing w:before="0"/>
        <w:rPr>
          <w:rFonts w:cs="Times New Roman"/>
          <w:lang w:val="fr-CA"/>
        </w:rPr>
      </w:pPr>
      <w:bookmarkStart w:id="21" w:name="_Toc12005418"/>
      <w:bookmarkStart w:id="22" w:name="_Toc12278995"/>
      <w:r w:rsidRPr="00B35658">
        <w:rPr>
          <w:rFonts w:cs="Times New Roman"/>
          <w:lang w:val="fr-CA"/>
        </w:rPr>
        <w:t>Les origines de l’al. 11i)</w:t>
      </w:r>
      <w:bookmarkEnd w:id="21"/>
      <w:bookmarkEnd w:id="22"/>
    </w:p>
    <w:p w:rsidR="00460821" w:rsidRPr="00B35658" w:rsidRDefault="00460821" w:rsidP="00460821">
      <w:pPr>
        <w:pStyle w:val="ParaNoNdepar-AltN"/>
        <w:spacing w:before="0"/>
        <w:rPr>
          <w:rFonts w:cs="Times New Roman"/>
          <w:lang w:val="fr-CA"/>
        </w:rPr>
      </w:pPr>
      <w:r w:rsidRPr="00B35658">
        <w:rPr>
          <w:rFonts w:cs="Times New Roman"/>
          <w:lang w:val="fr-CA"/>
        </w:rPr>
        <w:t xml:space="preserve">Contrairement aux droits garantis par la </w:t>
      </w:r>
      <w:r w:rsidRPr="00B35658">
        <w:rPr>
          <w:rFonts w:cs="Times New Roman"/>
          <w:i/>
          <w:lang w:val="fr-CA"/>
        </w:rPr>
        <w:t>Charte</w:t>
      </w:r>
      <w:r w:rsidRPr="00B35658">
        <w:rPr>
          <w:rFonts w:cs="Times New Roman"/>
          <w:lang w:val="fr-CA"/>
        </w:rPr>
        <w:t>, qui renvoient à des normes aux contours non définis et en constante évolution — comme les termes « anormal » et « abusives » (art. 8 et al. 11</w:t>
      </w:r>
      <w:r w:rsidRPr="00B35658">
        <w:rPr>
          <w:rFonts w:cs="Times New Roman"/>
          <w:i/>
          <w:lang w:val="fr-CA"/>
        </w:rPr>
        <w:t>a</w:t>
      </w:r>
      <w:r w:rsidRPr="00B35658">
        <w:rPr>
          <w:rFonts w:cs="Times New Roman"/>
          <w:lang w:val="fr-CA"/>
        </w:rPr>
        <w:t>), 11</w:t>
      </w:r>
      <w:r w:rsidRPr="00B35658">
        <w:rPr>
          <w:rFonts w:cs="Times New Roman"/>
          <w:i/>
          <w:lang w:val="fr-CA"/>
        </w:rPr>
        <w:t>b</w:t>
      </w:r>
      <w:r w:rsidRPr="00B35658">
        <w:rPr>
          <w:rFonts w:cs="Times New Roman"/>
          <w:lang w:val="fr-CA"/>
        </w:rPr>
        <w:t>) et 11</w:t>
      </w:r>
      <w:r w:rsidRPr="00B35658">
        <w:rPr>
          <w:rFonts w:cs="Times New Roman"/>
          <w:i/>
          <w:lang w:val="fr-CA"/>
        </w:rPr>
        <w:t>e</w:t>
      </w:r>
      <w:r w:rsidRPr="00B35658">
        <w:rPr>
          <w:rFonts w:cs="Times New Roman"/>
          <w:lang w:val="fr-CA"/>
        </w:rPr>
        <w:t>)), « justice fondamentale » (art. 7) et « cruels et inusités » (art. 12) — l’al. 11</w:t>
      </w:r>
      <w:r w:rsidRPr="00B35658">
        <w:rPr>
          <w:rFonts w:cs="Times New Roman"/>
          <w:i/>
          <w:lang w:val="fr-CA"/>
        </w:rPr>
        <w:t>i</w:t>
      </w:r>
      <w:r w:rsidRPr="00B35658">
        <w:rPr>
          <w:rFonts w:cs="Times New Roman"/>
          <w:lang w:val="fr-CA"/>
        </w:rPr>
        <w:t>) énonce une règle d’application particulière. En termes simples, l’al. 11</w:t>
      </w:r>
      <w:r w:rsidRPr="00B35658">
        <w:rPr>
          <w:rFonts w:cs="Times New Roman"/>
          <w:i/>
          <w:lang w:val="fr-CA"/>
        </w:rPr>
        <w:t>i</w:t>
      </w:r>
      <w:r w:rsidRPr="00B35658">
        <w:rPr>
          <w:rFonts w:cs="Times New Roman"/>
          <w:lang w:val="fr-CA"/>
        </w:rPr>
        <w:t>) a été adopté dans le but de conférer une protection particulière et constante. Comme il a été expliqué précédemment, la protection que confère l’al. 11</w:t>
      </w:r>
      <w:r w:rsidRPr="00B35658">
        <w:rPr>
          <w:rFonts w:cs="Times New Roman"/>
          <w:i/>
          <w:lang w:val="fr-CA"/>
        </w:rPr>
        <w:t>i</w:t>
      </w:r>
      <w:r w:rsidRPr="00B35658">
        <w:rPr>
          <w:rFonts w:cs="Times New Roman"/>
          <w:lang w:val="fr-CA"/>
        </w:rPr>
        <w:t xml:space="preserve">) est supérieure au droit général conféré par la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soit celui d’être jugé en fonction du droit substantiel en vigueur au moment de la perpétration de l’infraction. Pour comprendre quelle protection l’al. 11</w:t>
      </w:r>
      <w:r w:rsidRPr="00B35658">
        <w:rPr>
          <w:rFonts w:cs="Times New Roman"/>
          <w:i/>
          <w:lang w:val="fr-CA"/>
        </w:rPr>
        <w:t>i</w:t>
      </w:r>
      <w:r w:rsidRPr="00B35658">
        <w:rPr>
          <w:rFonts w:cs="Times New Roman"/>
          <w:lang w:val="fr-CA"/>
        </w:rPr>
        <w:t>) vise à conférer, et conformément à la directive formulée dans l’arrêt </w:t>
      </w:r>
      <w:proofErr w:type="spellStart"/>
      <w:r w:rsidRPr="00B35658">
        <w:rPr>
          <w:rFonts w:cs="Times New Roman"/>
          <w:i/>
          <w:lang w:val="fr-CA"/>
        </w:rPr>
        <w:t>Big</w:t>
      </w:r>
      <w:proofErr w:type="spellEnd"/>
      <w:r w:rsidRPr="00B35658">
        <w:rPr>
          <w:rFonts w:cs="Times New Roman"/>
          <w:i/>
          <w:lang w:val="fr-CA"/>
        </w:rPr>
        <w:t> M</w:t>
      </w:r>
      <w:r w:rsidRPr="00B35658">
        <w:rPr>
          <w:rFonts w:cs="Times New Roman"/>
          <w:lang w:val="fr-CA"/>
        </w:rPr>
        <w:t xml:space="preserve">, il est utile de passer en revue les origines de ce </w:t>
      </w:r>
      <w:r w:rsidRPr="00B35658">
        <w:rPr>
          <w:rFonts w:cs="Times New Roman"/>
          <w:lang w:val="fr-CA"/>
        </w:rPr>
        <w:lastRenderedPageBreak/>
        <w:t>droit. Bien que ces origines ne déterminent pas la portée exacte du droit conféré, elles offrent un point de départ instructif.</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Comme le révèle l’historique qui suit, rien ne pointait vers une interprétation globale du droit garanti à l’al. 11</w:t>
      </w:r>
      <w:r w:rsidRPr="00B35658">
        <w:rPr>
          <w:rFonts w:cs="Times New Roman"/>
          <w:i/>
          <w:lang w:val="fr-CA"/>
        </w:rPr>
        <w:t>i</w:t>
      </w:r>
      <w:r w:rsidRPr="00B35658">
        <w:rPr>
          <w:rFonts w:cs="Times New Roman"/>
          <w:lang w:val="fr-CA"/>
        </w:rPr>
        <w:t xml:space="preserve">) au moment de sa rédaction et de son adoption. Une interprétation globale de ce droit ne faisait pas partie du paysage juridique; la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ne reconnaissait sûrement aucune interprétation globale et aucune des dispositions à l’origine de l’al. 11</w:t>
      </w:r>
      <w:r w:rsidRPr="00B35658">
        <w:rPr>
          <w:rFonts w:cs="Times New Roman"/>
          <w:i/>
          <w:lang w:val="fr-CA"/>
        </w:rPr>
        <w:t>i</w:t>
      </w:r>
      <w:r w:rsidRPr="00B35658">
        <w:rPr>
          <w:rFonts w:cs="Times New Roman"/>
          <w:lang w:val="fr-CA"/>
        </w:rPr>
        <w:t>) n’appuyait une telle interprétation.</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Publiée en 1969 par le gouvernement du Canada, ce qui représente peut</w:t>
      </w:r>
      <w:r w:rsidRPr="00B35658">
        <w:rPr>
          <w:rFonts w:cs="Times New Roman"/>
          <w:lang w:val="fr-CA"/>
        </w:rPr>
        <w:noBreakHyphen/>
        <w:t>être la première ébauche documentée de l’actuel al. 11</w:t>
      </w:r>
      <w:r w:rsidRPr="00B35658">
        <w:rPr>
          <w:rFonts w:cs="Times New Roman"/>
          <w:i/>
          <w:lang w:val="fr-CA"/>
        </w:rPr>
        <w:t>i</w:t>
      </w:r>
      <w:r w:rsidRPr="00B35658">
        <w:rPr>
          <w:rFonts w:cs="Times New Roman"/>
          <w:lang w:val="fr-CA"/>
        </w:rPr>
        <w:t>) (alors l’al. 11</w:t>
      </w:r>
      <w:r w:rsidRPr="00B400B1">
        <w:rPr>
          <w:rFonts w:cs="Times New Roman"/>
          <w:i/>
          <w:lang w:val="fr-CA"/>
        </w:rPr>
        <w:t>g</w:t>
      </w:r>
      <w:r w:rsidRPr="00B35658">
        <w:rPr>
          <w:rFonts w:cs="Times New Roman"/>
          <w:lang w:val="fr-CA"/>
        </w:rPr>
        <w:t>)) était ainsi rédigée :</w:t>
      </w:r>
    </w:p>
    <w:p w:rsidR="00460821" w:rsidRPr="00B35658" w:rsidRDefault="00460821" w:rsidP="00460821">
      <w:pPr>
        <w:pStyle w:val="Citation-AltC"/>
        <w:spacing w:after="240"/>
        <w:ind w:hanging="446"/>
        <w:contextualSpacing w:val="0"/>
        <w:rPr>
          <w:lang w:val="fr-CA"/>
        </w:rPr>
      </w:pPr>
      <w:r w:rsidRPr="00B35658">
        <w:rPr>
          <w:lang w:val="fr-CA"/>
        </w:rPr>
        <w:tab/>
        <w:t xml:space="preserve">g) le droit d’une personne de ne pas être reconnue coupable d’un délit pour toute action ou omission qui, au moment où elle a été commise, ne constituait pas un délit, </w:t>
      </w:r>
      <w:r w:rsidRPr="00B35658">
        <w:rPr>
          <w:u w:val="single"/>
          <w:lang w:val="fr-CA"/>
        </w:rPr>
        <w:t>et le droit d’une personne déclarée coupable d’un délit de ne pas être soumise à une peine plus sévère que celle qui était applicable au moment où le délit a été commis</w:t>
      </w:r>
      <w:r w:rsidR="009C2D68">
        <w:rPr>
          <w:lang w:val="fr-CA"/>
        </w:rPr>
        <w:t xml:space="preserve"> . . .</w:t>
      </w:r>
      <w:r w:rsidR="00FC0146">
        <w:rPr>
          <w:lang w:val="fr-CA"/>
        </w:rPr>
        <w:t xml:space="preserve"> </w:t>
      </w:r>
      <w:r w:rsidR="00FC0146" w:rsidRPr="00B35658">
        <w:rPr>
          <w:lang w:val="fr-CA"/>
        </w:rPr>
        <w:t>[Je souligne.]</w:t>
      </w:r>
    </w:p>
    <w:p w:rsidR="00460821" w:rsidRPr="00B35658" w:rsidRDefault="00460821" w:rsidP="00974B3A">
      <w:pPr>
        <w:pStyle w:val="Citation-AltC"/>
        <w:ind w:left="0"/>
        <w:contextualSpacing w:val="0"/>
        <w:rPr>
          <w:lang w:val="fr-CA"/>
        </w:rPr>
      </w:pPr>
      <w:r w:rsidRPr="00B35658">
        <w:rPr>
          <w:lang w:val="fr-CA"/>
        </w:rPr>
        <w:t>(Gouvernement du Canada, le très honorable P. E. Trudeau,</w:t>
      </w:r>
      <w:r w:rsidRPr="00B35658">
        <w:rPr>
          <w:i/>
          <w:lang w:val="fr-CA"/>
        </w:rPr>
        <w:t xml:space="preserve"> La Constitution Canadienne et le </w:t>
      </w:r>
      <w:r w:rsidR="00974B3A">
        <w:rPr>
          <w:i/>
          <w:lang w:val="fr-CA"/>
        </w:rPr>
        <w:t>C</w:t>
      </w:r>
      <w:r w:rsidRPr="00B35658">
        <w:rPr>
          <w:i/>
          <w:lang w:val="fr-CA"/>
        </w:rPr>
        <w:t xml:space="preserve">itoyen : </w:t>
      </w:r>
      <w:r w:rsidR="00974B3A">
        <w:rPr>
          <w:i/>
          <w:lang w:val="fr-CA"/>
        </w:rPr>
        <w:t>U</w:t>
      </w:r>
      <w:r w:rsidRPr="00B35658">
        <w:rPr>
          <w:i/>
          <w:lang w:val="fr-CA"/>
        </w:rPr>
        <w:t>n aperçu des objectifs de la Confé</w:t>
      </w:r>
      <w:r w:rsidR="00974B3A">
        <w:rPr>
          <w:i/>
          <w:lang w:val="fr-CA"/>
        </w:rPr>
        <w:t>d</w:t>
      </w:r>
      <w:r w:rsidRPr="00B35658">
        <w:rPr>
          <w:i/>
          <w:lang w:val="fr-CA"/>
        </w:rPr>
        <w:t>é</w:t>
      </w:r>
      <w:r w:rsidR="00974B3A">
        <w:rPr>
          <w:i/>
          <w:lang w:val="fr-CA"/>
        </w:rPr>
        <w:t>r</w:t>
      </w:r>
      <w:r w:rsidRPr="00B35658">
        <w:rPr>
          <w:i/>
          <w:lang w:val="fr-CA"/>
        </w:rPr>
        <w:t xml:space="preserve">ation, des droits des individus et des institutions gouvernementales </w:t>
      </w:r>
      <w:r w:rsidR="00FC0146">
        <w:rPr>
          <w:lang w:val="fr-CA"/>
        </w:rPr>
        <w:t>(1969), p. 55</w:t>
      </w:r>
      <w:r w:rsidR="00CE5242">
        <w:rPr>
          <w:lang w:val="fr-CA"/>
        </w:rPr>
        <w:t>)</w:t>
      </w:r>
    </w:p>
    <w:p w:rsidR="00460821" w:rsidRPr="00B35658" w:rsidRDefault="00460821" w:rsidP="00460821">
      <w:pPr>
        <w:pStyle w:val="ContinueParaSuitedupar-AltP"/>
        <w:spacing w:before="0"/>
        <w:rPr>
          <w:rFonts w:cs="Times New Roman"/>
          <w:lang w:val="fr-CA"/>
        </w:rPr>
      </w:pPr>
      <w:r w:rsidRPr="00B35658">
        <w:rPr>
          <w:rFonts w:cs="Times New Roman"/>
          <w:lang w:val="fr-CA"/>
        </w:rPr>
        <w:t>À l’évidence, cette ébauche initiale de l’al. 11</w:t>
      </w:r>
      <w:r w:rsidRPr="00B35658">
        <w:rPr>
          <w:rFonts w:cs="Times New Roman"/>
          <w:i/>
          <w:lang w:val="fr-CA"/>
        </w:rPr>
        <w:t>i</w:t>
      </w:r>
      <w:r w:rsidRPr="00B35658">
        <w:rPr>
          <w:rFonts w:cs="Times New Roman"/>
          <w:lang w:val="fr-CA"/>
        </w:rPr>
        <w:t xml:space="preserve">) enchâssait simplement le principe de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selon lequel un contrevenant ne devrait pas être passible d’une peine plus lourde que celle qu’il risquait de se voir infliger au moment où il a commis l’infraction. Cette ébauche n’accordait pas au contrevenant le droit au bénéfice d’un adoucissement de la peine survenu après la perpétration de l’infraction.</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 xml:space="preserve">La publication de 1969 introduisant cette disposition souligne que, contrairement à bon nombre d’autres droits reconnus dans la </w:t>
      </w:r>
      <w:r w:rsidRPr="00B35658">
        <w:rPr>
          <w:rFonts w:cs="Times New Roman"/>
          <w:i/>
          <w:lang w:val="fr-CA"/>
        </w:rPr>
        <w:t>Charte</w:t>
      </w:r>
      <w:r w:rsidRPr="00906939">
        <w:rPr>
          <w:rFonts w:cs="Times New Roman"/>
          <w:lang w:val="fr-CA"/>
        </w:rPr>
        <w:t>, l</w:t>
      </w:r>
      <w:r w:rsidRPr="00B35658">
        <w:rPr>
          <w:rFonts w:cs="Times New Roman"/>
          <w:lang w:val="fr-CA"/>
        </w:rPr>
        <w:t>e droit garanti par l’al. 11</w:t>
      </w:r>
      <w:r w:rsidRPr="00B35658">
        <w:rPr>
          <w:rFonts w:cs="Times New Roman"/>
          <w:i/>
          <w:lang w:val="fr-CA"/>
        </w:rPr>
        <w:t>i</w:t>
      </w:r>
      <w:r w:rsidRPr="00B35658">
        <w:rPr>
          <w:rFonts w:cs="Times New Roman"/>
          <w:lang w:val="fr-CA"/>
        </w:rPr>
        <w:t xml:space="preserve">) n’avait pas d’équivalent dans la </w:t>
      </w:r>
      <w:r w:rsidRPr="00B35658">
        <w:rPr>
          <w:rFonts w:cs="Times New Roman"/>
          <w:i/>
          <w:lang w:val="fr-CA"/>
        </w:rPr>
        <w:t>Déclaration canadienne des droits</w:t>
      </w:r>
      <w:r w:rsidRPr="00B35658">
        <w:rPr>
          <w:rFonts w:cs="Times New Roman"/>
          <w:lang w:val="fr-CA"/>
        </w:rPr>
        <w:t>,</w:t>
      </w:r>
      <w:r w:rsidRPr="00B35658">
        <w:rPr>
          <w:rFonts w:cs="Times New Roman"/>
          <w:i/>
          <w:lang w:val="fr-CA"/>
        </w:rPr>
        <w:t xml:space="preserve"> </w:t>
      </w:r>
      <w:r w:rsidRPr="00B35658">
        <w:rPr>
          <w:rFonts w:cs="Times New Roman"/>
          <w:lang w:val="fr-CA"/>
        </w:rPr>
        <w:t>S.C. 1960, c. 44 (gouvernement du Canada, p. 55). Cependant, l’exposé de principes n’explique pas l’origine de ce droit.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Néanmoins, il est raisonnable de présumer que cette première formulation de l’al. 11</w:t>
      </w:r>
      <w:r w:rsidRPr="00B35658">
        <w:rPr>
          <w:rFonts w:cs="Times New Roman"/>
          <w:i/>
          <w:lang w:val="fr-CA"/>
        </w:rPr>
        <w:t>i</w:t>
      </w:r>
      <w:r w:rsidR="00617A15" w:rsidRPr="00B35658">
        <w:rPr>
          <w:rFonts w:cs="Times New Roman"/>
          <w:lang w:val="fr-CA"/>
        </w:rPr>
        <w:t xml:space="preserve">) était inspirée de deux </w:t>
      </w:r>
      <w:r w:rsidRPr="00B35658">
        <w:rPr>
          <w:rFonts w:cs="Times New Roman"/>
          <w:lang w:val="fr-CA"/>
        </w:rPr>
        <w:t>dispositions semblables. La première est l’al. 37</w:t>
      </w:r>
      <w:r w:rsidRPr="00354102">
        <w:rPr>
          <w:rFonts w:cs="Times New Roman"/>
          <w:i/>
          <w:lang w:val="fr-CA"/>
        </w:rPr>
        <w:t>e</w:t>
      </w:r>
      <w:r w:rsidR="00BE2D06">
        <w:rPr>
          <w:rFonts w:cs="Times New Roman"/>
          <w:lang w:val="fr-CA"/>
        </w:rPr>
        <w:t>) de l’</w:t>
      </w:r>
      <w:proofErr w:type="spellStart"/>
      <w:r w:rsidR="00182946">
        <w:rPr>
          <w:rFonts w:cs="Times New Roman"/>
          <w:i/>
          <w:lang w:val="fr-CA"/>
        </w:rPr>
        <w:t>Interpretation</w:t>
      </w:r>
      <w:proofErr w:type="spellEnd"/>
      <w:r w:rsidR="00182946">
        <w:rPr>
          <w:rFonts w:cs="Times New Roman"/>
          <w:i/>
          <w:lang w:val="fr-CA"/>
        </w:rPr>
        <w:t xml:space="preserve"> </w:t>
      </w:r>
      <w:proofErr w:type="spellStart"/>
      <w:r w:rsidR="00182946">
        <w:rPr>
          <w:rFonts w:cs="Times New Roman"/>
          <w:i/>
          <w:lang w:val="fr-CA"/>
        </w:rPr>
        <w:t>Act</w:t>
      </w:r>
      <w:proofErr w:type="spellEnd"/>
      <w:r w:rsidRPr="00B35658">
        <w:rPr>
          <w:rFonts w:cs="Times New Roman"/>
          <w:lang w:val="fr-CA"/>
        </w:rPr>
        <w:t>,</w:t>
      </w:r>
      <w:r w:rsidRPr="00B35658">
        <w:rPr>
          <w:rFonts w:cs="Times New Roman"/>
          <w:i/>
          <w:lang w:val="fr-CA"/>
        </w:rPr>
        <w:t xml:space="preserve"> </w:t>
      </w:r>
      <w:r w:rsidRPr="00B35658">
        <w:rPr>
          <w:rFonts w:cs="Times New Roman"/>
          <w:lang w:val="fr-CA"/>
        </w:rPr>
        <w:t>S.C. 1967</w:t>
      </w:r>
      <w:r w:rsidRPr="00B35658">
        <w:rPr>
          <w:rFonts w:cs="Times New Roman"/>
          <w:lang w:val="fr-CA"/>
        </w:rPr>
        <w:noBreakHyphen/>
        <w:t>1968, c. 7 — dont une forme existe depuis 1886 (</w:t>
      </w:r>
      <w:r w:rsidRPr="00B35658">
        <w:rPr>
          <w:rFonts w:cs="Times New Roman"/>
          <w:i/>
          <w:lang w:val="fr-CA"/>
        </w:rPr>
        <w:t>Dunn</w:t>
      </w:r>
      <w:r w:rsidRPr="00B35658">
        <w:rPr>
          <w:rFonts w:cs="Times New Roman"/>
          <w:lang w:val="fr-CA"/>
        </w:rPr>
        <w:t xml:space="preserve">, par. 17 et 41) et qui figure maintenant à l’al. 44e) de la </w:t>
      </w:r>
      <w:r w:rsidRPr="00B35658">
        <w:rPr>
          <w:rFonts w:cs="Times New Roman"/>
          <w:i/>
          <w:lang w:val="fr-CA"/>
        </w:rPr>
        <w:t>Loi d’interprétation</w:t>
      </w:r>
      <w:r w:rsidRPr="001C2047">
        <w:rPr>
          <w:rFonts w:cs="Times New Roman"/>
          <w:lang w:val="fr-CA"/>
        </w:rPr>
        <w:t>,</w:t>
      </w:r>
      <w:r w:rsidRPr="00B35658">
        <w:rPr>
          <w:rFonts w:cs="Times New Roman"/>
          <w:i/>
          <w:lang w:val="fr-CA"/>
        </w:rPr>
        <w:t xml:space="preserve"> </w:t>
      </w:r>
      <w:r w:rsidRPr="00B35658">
        <w:rPr>
          <w:rFonts w:cs="Times New Roman"/>
          <w:lang w:val="fr-CA"/>
        </w:rPr>
        <w:t>L.R.C. 1985, c. I</w:t>
      </w:r>
      <w:r w:rsidRPr="00B35658">
        <w:rPr>
          <w:rFonts w:cs="Times New Roman"/>
          <w:lang w:val="fr-CA"/>
        </w:rPr>
        <w:noBreakHyphen/>
        <w:t>21. L’al</w:t>
      </w:r>
      <w:r w:rsidR="00EB3F36">
        <w:rPr>
          <w:rFonts w:cs="Times New Roman"/>
          <w:lang w:val="fr-CA"/>
        </w:rPr>
        <w:t>inéa</w:t>
      </w:r>
      <w:r w:rsidRPr="00B35658">
        <w:rPr>
          <w:rFonts w:cs="Times New Roman"/>
          <w:lang w:val="fr-CA"/>
        </w:rPr>
        <w:t> 37</w:t>
      </w:r>
      <w:r w:rsidRPr="00EB3F36">
        <w:rPr>
          <w:rFonts w:cs="Times New Roman"/>
          <w:i/>
          <w:lang w:val="fr-CA"/>
        </w:rPr>
        <w:t>e</w:t>
      </w:r>
      <w:r w:rsidRPr="00B35658">
        <w:rPr>
          <w:rFonts w:cs="Times New Roman"/>
          <w:lang w:val="fr-CA"/>
        </w:rPr>
        <w:t>) prévoyait (et l’al. 44e) prévoit toujours, sous réserve de modifications mineures) ce qui suit :</w:t>
      </w:r>
    </w:p>
    <w:p w:rsidR="00460821" w:rsidRPr="00B35658" w:rsidRDefault="00EF3DD7" w:rsidP="00460821">
      <w:pPr>
        <w:pStyle w:val="Citation-AltC"/>
        <w:spacing w:after="240"/>
        <w:ind w:hanging="446"/>
        <w:contextualSpacing w:val="0"/>
        <w:rPr>
          <w:lang w:val="fr-CA"/>
        </w:rPr>
      </w:pPr>
      <w:r>
        <w:rPr>
          <w:b/>
          <w:lang w:val="fr-CA"/>
        </w:rPr>
        <w:tab/>
      </w:r>
      <w:r w:rsidR="00002F1E">
        <w:rPr>
          <w:b/>
          <w:lang w:val="fr-CA"/>
        </w:rPr>
        <w:tab/>
      </w:r>
      <w:r w:rsidR="00460821" w:rsidRPr="00B35658">
        <w:rPr>
          <w:b/>
          <w:lang w:val="fr-CA"/>
        </w:rPr>
        <w:t>37.</w:t>
      </w:r>
      <w:r w:rsidR="005254A3">
        <w:rPr>
          <w:lang w:val="fr-CA"/>
        </w:rPr>
        <w:t> </w:t>
      </w:r>
      <w:r w:rsidR="00460821" w:rsidRPr="00B35658">
        <w:rPr>
          <w:lang w:val="fr-CA"/>
        </w:rPr>
        <w:t>Lorsqu’un texte législatif (au présent article appelé « texte antérieur ») est abrogé et qu’un autre texte législatif (au présent article appelé « nouveau texte ») y est substitué,</w:t>
      </w:r>
    </w:p>
    <w:p w:rsidR="00460821" w:rsidRPr="00B35658" w:rsidRDefault="00B07626" w:rsidP="00460821">
      <w:pPr>
        <w:pStyle w:val="Citation-AltC"/>
        <w:tabs>
          <w:tab w:val="left" w:pos="4500"/>
        </w:tabs>
        <w:spacing w:after="240"/>
        <w:ind w:left="4500" w:hanging="360"/>
        <w:contextualSpacing w:val="0"/>
        <w:rPr>
          <w:lang w:val="fr-CA"/>
        </w:rPr>
      </w:pPr>
      <w:r w:rsidRPr="00B35658">
        <w:rPr>
          <w:lang w:val="fr-CA"/>
        </w:rPr>
        <w:tab/>
        <w:t>. . .</w:t>
      </w:r>
    </w:p>
    <w:p w:rsidR="00460821" w:rsidRPr="00B35658" w:rsidRDefault="00460821" w:rsidP="00182946">
      <w:pPr>
        <w:pStyle w:val="Citation-AltC"/>
        <w:ind w:left="1800" w:hanging="446"/>
        <w:contextualSpacing w:val="0"/>
        <w:rPr>
          <w:lang w:val="fr-CA"/>
        </w:rPr>
      </w:pPr>
      <w:r w:rsidRPr="00B35658">
        <w:rPr>
          <w:lang w:val="fr-CA"/>
        </w:rPr>
        <w:tab/>
      </w:r>
      <w:r w:rsidRPr="00EF3DD7">
        <w:rPr>
          <w:i/>
          <w:lang w:val="fr-CA"/>
        </w:rPr>
        <w:t>e</w:t>
      </w:r>
      <w:r w:rsidRPr="00B35658">
        <w:rPr>
          <w:lang w:val="fr-CA"/>
        </w:rPr>
        <w:t>) lorsqu’une peine, une confiscation ou une punition est réduite ou mitigée par le nouveau texte, la peine, confiscation ou punition, si elle est infligée ou prononcée après l’abrogation, doit être rédui</w:t>
      </w:r>
      <w:r w:rsidR="00182946">
        <w:rPr>
          <w:lang w:val="fr-CA"/>
        </w:rPr>
        <w:t xml:space="preserve">te ou mitigée en </w:t>
      </w:r>
      <w:proofErr w:type="gramStart"/>
      <w:r w:rsidR="00182946">
        <w:rPr>
          <w:lang w:val="fr-CA"/>
        </w:rPr>
        <w:t>conséquence</w:t>
      </w:r>
      <w:r w:rsidR="00B07626" w:rsidRPr="00B35658">
        <w:rPr>
          <w:lang w:val="fr-CA"/>
        </w:rPr>
        <w:t xml:space="preserve"> .</w:t>
      </w:r>
      <w:proofErr w:type="gramEnd"/>
      <w:r w:rsidR="00B07626" w:rsidRPr="00B35658">
        <w:rPr>
          <w:lang w:val="fr-CA"/>
        </w:rPr>
        <w:t> . .</w:t>
      </w:r>
    </w:p>
    <w:p w:rsidR="00460821" w:rsidRPr="00B35658" w:rsidRDefault="00460821" w:rsidP="00460821">
      <w:pPr>
        <w:pStyle w:val="ContinueParaSuitedupar-AltP"/>
        <w:spacing w:before="0"/>
        <w:rPr>
          <w:rFonts w:cs="Times New Roman"/>
          <w:lang w:val="fr-CA"/>
        </w:rPr>
      </w:pPr>
      <w:r w:rsidRPr="00B35658">
        <w:rPr>
          <w:rFonts w:cs="Times New Roman"/>
          <w:lang w:val="fr-CA"/>
        </w:rPr>
        <w:t>M. </w:t>
      </w:r>
      <w:proofErr w:type="gramStart"/>
      <w:r w:rsidRPr="00B35658">
        <w:rPr>
          <w:rFonts w:cs="Times New Roman"/>
          <w:lang w:val="fr-CA"/>
        </w:rPr>
        <w:t>Poulin convient</w:t>
      </w:r>
      <w:proofErr w:type="gramEnd"/>
      <w:r w:rsidRPr="00B35658">
        <w:rPr>
          <w:rFonts w:cs="Times New Roman"/>
          <w:lang w:val="fr-CA"/>
        </w:rPr>
        <w:t xml:space="preserve"> que l’al. 11</w:t>
      </w:r>
      <w:r w:rsidRPr="00B35658">
        <w:rPr>
          <w:rFonts w:cs="Times New Roman"/>
          <w:i/>
          <w:lang w:val="fr-CA"/>
        </w:rPr>
        <w:t>i</w:t>
      </w:r>
      <w:r w:rsidRPr="00B35658">
        <w:rPr>
          <w:rFonts w:cs="Times New Roman"/>
          <w:lang w:val="fr-CA"/>
        </w:rPr>
        <w:t>) tire son origine de ce qui est aujourd’hui l’al. 44e) (</w:t>
      </w:r>
      <w:proofErr w:type="spellStart"/>
      <w:proofErr w:type="gramStart"/>
      <w:r w:rsidRPr="00B35658">
        <w:rPr>
          <w:rFonts w:cs="Times New Roman"/>
          <w:lang w:val="fr-CA"/>
        </w:rPr>
        <w:t>m.i</w:t>
      </w:r>
      <w:proofErr w:type="spellEnd"/>
      <w:r w:rsidRPr="00B35658">
        <w:rPr>
          <w:rFonts w:cs="Times New Roman"/>
          <w:lang w:val="fr-CA"/>
        </w:rPr>
        <w:t>.,</w:t>
      </w:r>
      <w:proofErr w:type="gramEnd"/>
      <w:r w:rsidRPr="00B35658">
        <w:rPr>
          <w:rFonts w:cs="Times New Roman"/>
          <w:lang w:val="fr-CA"/>
        </w:rPr>
        <w:t xml:space="preserve"> par. 55). En effet, on a dit de l’al. 11</w:t>
      </w:r>
      <w:r w:rsidRPr="00B35658">
        <w:rPr>
          <w:rFonts w:cs="Times New Roman"/>
          <w:i/>
          <w:lang w:val="fr-CA"/>
        </w:rPr>
        <w:t>i</w:t>
      </w:r>
      <w:r w:rsidRPr="00B35658">
        <w:rPr>
          <w:rFonts w:cs="Times New Roman"/>
          <w:lang w:val="fr-CA"/>
        </w:rPr>
        <w:t xml:space="preserve">) qu’il constitutionnalise l’al. 44e) de la </w:t>
      </w:r>
      <w:r w:rsidRPr="00B35658">
        <w:rPr>
          <w:rFonts w:cs="Times New Roman"/>
          <w:i/>
          <w:lang w:val="fr-CA"/>
        </w:rPr>
        <w:t xml:space="preserve">Loi d’interprétation </w:t>
      </w:r>
      <w:r w:rsidRPr="00B35658">
        <w:rPr>
          <w:rFonts w:cs="Times New Roman"/>
          <w:lang w:val="fr-CA"/>
        </w:rPr>
        <w:t>(Chevrette, Cyr et Tanguay</w:t>
      </w:r>
      <w:r w:rsidRPr="00B35658">
        <w:rPr>
          <w:rFonts w:cs="Times New Roman"/>
          <w:lang w:val="fr-CA"/>
        </w:rPr>
        <w:noBreakHyphen/>
        <w:t>Renaud, p. 780</w:t>
      </w:r>
      <w:r w:rsidRPr="00B35658">
        <w:rPr>
          <w:rFonts w:cs="Times New Roman"/>
          <w:lang w:val="fr-CA"/>
        </w:rPr>
        <w:noBreakHyphen/>
        <w:t xml:space="preserve">781; voir aussi les </w:t>
      </w:r>
      <w:r w:rsidRPr="00B35658">
        <w:rPr>
          <w:rFonts w:cs="Times New Roman"/>
          <w:lang w:val="fr-CA"/>
        </w:rPr>
        <w:lastRenderedPageBreak/>
        <w:t>commentaires que la juge L’Heur</w:t>
      </w:r>
      <w:r w:rsidR="004779D5">
        <w:rPr>
          <w:rFonts w:cs="Times New Roman"/>
          <w:lang w:val="fr-CA"/>
        </w:rPr>
        <w:t>eux</w:t>
      </w:r>
      <w:r w:rsidR="004779D5">
        <w:rPr>
          <w:rFonts w:cs="Times New Roman"/>
          <w:lang w:val="fr-CA"/>
        </w:rPr>
        <w:noBreakHyphen/>
        <w:t xml:space="preserve">Dubé a faits aux </w:t>
      </w:r>
      <w:proofErr w:type="spellStart"/>
      <w:r w:rsidR="004779D5">
        <w:rPr>
          <w:rFonts w:cs="Times New Roman"/>
          <w:lang w:val="fr-CA"/>
        </w:rPr>
        <w:t>par</w:t>
      </w:r>
      <w:proofErr w:type="spellEnd"/>
      <w:r w:rsidR="004779D5">
        <w:rPr>
          <w:rFonts w:cs="Times New Roman"/>
          <w:lang w:val="fr-CA"/>
        </w:rPr>
        <w:t>. 49</w:t>
      </w:r>
      <w:r w:rsidR="004779D5">
        <w:rPr>
          <w:rFonts w:cs="Times New Roman"/>
          <w:lang w:val="fr-CA"/>
        </w:rPr>
        <w:noBreakHyphen/>
        <w:t>5</w:t>
      </w:r>
      <w:r w:rsidRPr="00B35658">
        <w:rPr>
          <w:rFonts w:cs="Times New Roman"/>
          <w:lang w:val="fr-CA"/>
        </w:rPr>
        <w:t xml:space="preserve">0 de l’arrêt </w:t>
      </w:r>
      <w:r w:rsidRPr="00B35658">
        <w:rPr>
          <w:rFonts w:cs="Times New Roman"/>
          <w:i/>
          <w:lang w:val="fr-CA"/>
        </w:rPr>
        <w:t>Dunn</w:t>
      </w:r>
      <w:r w:rsidRPr="00B35658">
        <w:rPr>
          <w:rFonts w:cs="Times New Roman"/>
          <w:lang w:val="fr-CA"/>
        </w:rPr>
        <w:t>, bien que dissidente, elle n’a pas été contredite par la majorité).</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La deuxième disposition que l’on peut dire à l’origine de la première formulation de l’al. 11</w:t>
      </w:r>
      <w:r w:rsidRPr="00B35658">
        <w:rPr>
          <w:rFonts w:cs="Times New Roman"/>
          <w:i/>
          <w:lang w:val="fr-CA"/>
        </w:rPr>
        <w:t>i</w:t>
      </w:r>
      <w:r w:rsidRPr="00B35658">
        <w:rPr>
          <w:rFonts w:cs="Times New Roman"/>
          <w:lang w:val="fr-CA"/>
        </w:rPr>
        <w:t xml:space="preserve">) est le par. 7(1) de la </w:t>
      </w:r>
      <w:r w:rsidRPr="00B35658">
        <w:rPr>
          <w:rFonts w:cs="Times New Roman"/>
          <w:i/>
          <w:lang w:val="fr-CA"/>
        </w:rPr>
        <w:t>Convention européenne des droits de l’homme</w:t>
      </w:r>
      <w:r w:rsidRPr="00B35658">
        <w:rPr>
          <w:rFonts w:cs="Times New Roman"/>
          <w:lang w:val="fr-CA"/>
        </w:rPr>
        <w:t>, 213 R.T.N.U. 221 (« </w:t>
      </w:r>
      <w:r w:rsidRPr="00B35658">
        <w:rPr>
          <w:rFonts w:cs="Times New Roman"/>
          <w:i/>
          <w:lang w:val="fr-CA"/>
        </w:rPr>
        <w:t>CEDH</w:t>
      </w:r>
      <w:r w:rsidRPr="00B35658">
        <w:rPr>
          <w:rFonts w:cs="Times New Roman"/>
          <w:lang w:val="fr-CA"/>
        </w:rPr>
        <w:t> »), e</w:t>
      </w:r>
      <w:r w:rsidR="00F77B88" w:rsidRPr="00B35658">
        <w:rPr>
          <w:rFonts w:cs="Times New Roman"/>
          <w:lang w:val="fr-CA"/>
        </w:rPr>
        <w:t xml:space="preserve">ntrée en vigueur le 3 septembre </w:t>
      </w:r>
      <w:r w:rsidRPr="00B35658">
        <w:rPr>
          <w:rFonts w:cs="Times New Roman"/>
          <w:lang w:val="fr-CA"/>
        </w:rPr>
        <w:t xml:space="preserve">1953. Bien que le Canada ne soit pas partie à la </w:t>
      </w:r>
      <w:r w:rsidRPr="00B35658">
        <w:rPr>
          <w:rFonts w:cs="Times New Roman"/>
          <w:i/>
          <w:lang w:val="fr-CA"/>
        </w:rPr>
        <w:t>CEDH</w:t>
      </w:r>
      <w:r w:rsidRPr="00C55634">
        <w:rPr>
          <w:rFonts w:cs="Times New Roman"/>
          <w:lang w:val="fr-CA"/>
        </w:rPr>
        <w:t xml:space="preserve">, </w:t>
      </w:r>
      <w:r w:rsidR="00A931D8" w:rsidRPr="00B35658">
        <w:rPr>
          <w:rFonts w:cs="Times New Roman"/>
          <w:lang w:val="fr-CA"/>
        </w:rPr>
        <w:t xml:space="preserve">la première </w:t>
      </w:r>
      <w:r w:rsidRPr="00B35658">
        <w:rPr>
          <w:rFonts w:cs="Times New Roman"/>
          <w:lang w:val="fr-CA"/>
        </w:rPr>
        <w:t>formulation de l’al. 11</w:t>
      </w:r>
      <w:r w:rsidRPr="00B35658">
        <w:rPr>
          <w:rFonts w:cs="Times New Roman"/>
          <w:i/>
          <w:lang w:val="fr-CA"/>
        </w:rPr>
        <w:t>i</w:t>
      </w:r>
      <w:r w:rsidRPr="00B35658">
        <w:rPr>
          <w:rFonts w:cs="Times New Roman"/>
          <w:lang w:val="fr-CA"/>
        </w:rPr>
        <w:t xml:space="preserve">) ressemble beaucoup au </w:t>
      </w:r>
      <w:proofErr w:type="spellStart"/>
      <w:r w:rsidRPr="00B35658">
        <w:rPr>
          <w:rFonts w:cs="Times New Roman"/>
          <w:lang w:val="fr-CA"/>
        </w:rPr>
        <w:t>par</w:t>
      </w:r>
      <w:proofErr w:type="spellEnd"/>
      <w:r w:rsidRPr="00B35658">
        <w:rPr>
          <w:rFonts w:cs="Times New Roman"/>
          <w:lang w:val="fr-CA"/>
        </w:rPr>
        <w:t>. 7(1), qui était (et est toujours) ainsi libellé :</w:t>
      </w:r>
    </w:p>
    <w:p w:rsidR="00460821" w:rsidRPr="00B35658" w:rsidRDefault="0001046A" w:rsidP="00460821">
      <w:pPr>
        <w:pStyle w:val="Citation-AltC"/>
        <w:tabs>
          <w:tab w:val="left" w:pos="1440"/>
        </w:tabs>
        <w:contextualSpacing w:val="0"/>
        <w:rPr>
          <w:u w:val="single"/>
          <w:lang w:val="fr-CA"/>
        </w:rPr>
      </w:pPr>
      <w:r>
        <w:rPr>
          <w:lang w:val="fr-CA"/>
        </w:rPr>
        <w:tab/>
      </w:r>
      <w:r w:rsidR="00460821" w:rsidRPr="00B35658">
        <w:rPr>
          <w:lang w:val="fr-CA"/>
        </w:rPr>
        <w:t>1</w:t>
      </w:r>
      <w:r w:rsidR="00F965E2">
        <w:rPr>
          <w:lang w:val="fr-CA"/>
        </w:rPr>
        <w:t>. </w:t>
      </w:r>
      <w:r w:rsidR="00460821" w:rsidRPr="00B35658">
        <w:rPr>
          <w:lang w:val="fr-CA"/>
        </w:rPr>
        <w:t xml:space="preserve">Nul ne peut être condamné pour une action ou une omission qui, au moment où elle a été commise, ne constituait pas une infraction d’après le droit national ou international. </w:t>
      </w:r>
      <w:r w:rsidR="00460821" w:rsidRPr="00B35658">
        <w:rPr>
          <w:u w:val="single"/>
          <w:lang w:val="fr-CA"/>
        </w:rPr>
        <w:t>De même il n’est infligé aucune peine plus forte que celle qui était applicable au moment où l’infraction a été commise.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En 1976, le Canada a adhéré au </w:t>
      </w:r>
      <w:r w:rsidRPr="00B35658">
        <w:rPr>
          <w:rFonts w:cs="Times New Roman"/>
          <w:i/>
          <w:lang w:val="fr-CA"/>
        </w:rPr>
        <w:t>Pacte international relatif aux droits civils et politiques</w:t>
      </w:r>
      <w:r w:rsidRPr="00EE35AC">
        <w:rPr>
          <w:rFonts w:cs="Times New Roman"/>
          <w:lang w:val="fr-CA"/>
        </w:rPr>
        <w:t xml:space="preserve">, </w:t>
      </w:r>
      <w:r w:rsidRPr="00B35658">
        <w:rPr>
          <w:rFonts w:cs="Times New Roman"/>
          <w:lang w:val="fr-CA"/>
        </w:rPr>
        <w:t xml:space="preserve">R.T. Can. 1976 </w:t>
      </w:r>
      <w:proofErr w:type="gramStart"/>
      <w:r w:rsidRPr="00B35658">
        <w:rPr>
          <w:rFonts w:cs="Times New Roman"/>
          <w:lang w:val="fr-CA"/>
        </w:rPr>
        <w:t>n</w:t>
      </w:r>
      <w:r w:rsidRPr="00B35658">
        <w:rPr>
          <w:rFonts w:cs="Times New Roman"/>
          <w:vertAlign w:val="superscript"/>
          <w:lang w:val="fr-CA"/>
        </w:rPr>
        <w:t>o</w:t>
      </w:r>
      <w:proofErr w:type="gramEnd"/>
      <w:r w:rsidRPr="00B35658">
        <w:rPr>
          <w:rFonts w:cs="Times New Roman"/>
          <w:lang w:val="fr-CA"/>
        </w:rPr>
        <w:t> 47 (« </w:t>
      </w:r>
      <w:r w:rsidRPr="00B35658">
        <w:rPr>
          <w:rFonts w:cs="Times New Roman"/>
          <w:i/>
          <w:lang w:val="fr-CA"/>
        </w:rPr>
        <w:t>PIRDCP</w:t>
      </w:r>
      <w:r w:rsidRPr="00B35658">
        <w:rPr>
          <w:rFonts w:cs="Times New Roman"/>
          <w:lang w:val="fr-CA"/>
        </w:rPr>
        <w:t> »). Le par</w:t>
      </w:r>
      <w:r w:rsidR="00EE35AC">
        <w:rPr>
          <w:rFonts w:cs="Times New Roman"/>
          <w:lang w:val="fr-CA"/>
        </w:rPr>
        <w:t>agraphe</w:t>
      </w:r>
      <w:r w:rsidRPr="00B35658">
        <w:rPr>
          <w:rFonts w:cs="Times New Roman"/>
          <w:lang w:val="fr-CA"/>
        </w:rPr>
        <w:t xml:space="preserve"> 15(1) du </w:t>
      </w:r>
      <w:r w:rsidRPr="00B35658">
        <w:rPr>
          <w:rFonts w:cs="Times New Roman"/>
          <w:i/>
          <w:lang w:val="fr-CA"/>
        </w:rPr>
        <w:t xml:space="preserve">PIRDCP </w:t>
      </w:r>
      <w:r w:rsidRPr="00B35658">
        <w:rPr>
          <w:rFonts w:cs="Times New Roman"/>
          <w:lang w:val="fr-CA"/>
        </w:rPr>
        <w:t>était alors (et est toujours) ainsi libellé :</w:t>
      </w:r>
    </w:p>
    <w:p w:rsidR="00460821" w:rsidRPr="00B35658" w:rsidRDefault="00460821" w:rsidP="00460821">
      <w:pPr>
        <w:pStyle w:val="Citation-AltC"/>
        <w:tabs>
          <w:tab w:val="left" w:pos="1440"/>
        </w:tabs>
        <w:ind w:firstLine="4"/>
        <w:contextualSpacing w:val="0"/>
        <w:rPr>
          <w:lang w:val="fr-CA"/>
        </w:rPr>
      </w:pPr>
      <w:r w:rsidRPr="00B35658">
        <w:rPr>
          <w:lang w:val="fr-CA"/>
        </w:rPr>
        <w:tab/>
        <w:t>1. Nul ne sera condamné pour des actions ou omissions qui ne constit</w:t>
      </w:r>
      <w:r w:rsidR="00836134">
        <w:rPr>
          <w:lang w:val="fr-CA"/>
        </w:rPr>
        <w:t>uaient pas un acte délictueux d’</w:t>
      </w:r>
      <w:r w:rsidRPr="00B35658">
        <w:rPr>
          <w:lang w:val="fr-CA"/>
        </w:rPr>
        <w:t>après le droit national ou international au moment où elles ont été commises. De même, il ne sera infligé aucune peine plus forte que celle qui ét</w:t>
      </w:r>
      <w:r w:rsidR="00836134">
        <w:rPr>
          <w:lang w:val="fr-CA"/>
        </w:rPr>
        <w:t>ait applicable au moment où l’</w:t>
      </w:r>
      <w:r w:rsidRPr="00B35658">
        <w:rPr>
          <w:lang w:val="fr-CA"/>
        </w:rPr>
        <w:t xml:space="preserve">infraction a été commise. </w:t>
      </w:r>
      <w:r w:rsidRPr="00B35658">
        <w:rPr>
          <w:u w:val="single"/>
          <w:lang w:val="fr-CA"/>
        </w:rPr>
        <w:t>Si, postérieurement à cette infraction, la loi prévoit l</w:t>
      </w:r>
      <w:r w:rsidR="00836134">
        <w:rPr>
          <w:u w:val="single"/>
          <w:lang w:val="fr-CA"/>
        </w:rPr>
        <w:t>’</w:t>
      </w:r>
      <w:r w:rsidRPr="00B35658">
        <w:rPr>
          <w:u w:val="single"/>
          <w:lang w:val="fr-CA"/>
        </w:rPr>
        <w:t>application d</w:t>
      </w:r>
      <w:r w:rsidR="00836134">
        <w:rPr>
          <w:u w:val="single"/>
          <w:lang w:val="fr-CA"/>
        </w:rPr>
        <w:t>’</w:t>
      </w:r>
      <w:r w:rsidRPr="00B35658">
        <w:rPr>
          <w:u w:val="single"/>
          <w:lang w:val="fr-CA"/>
        </w:rPr>
        <w:t>une peine plus légère, le délinquant doit en bénéficier</w:t>
      </w:r>
      <w:r w:rsidRPr="00836134">
        <w:rPr>
          <w:u w:val="single"/>
          <w:lang w:val="fr-CA"/>
        </w:rPr>
        <w:t>.</w:t>
      </w:r>
    </w:p>
    <w:p w:rsidR="00460821" w:rsidRPr="00B35658" w:rsidRDefault="00460821" w:rsidP="00460821">
      <w:pPr>
        <w:pStyle w:val="ContinueParaSuitedupar-AltP"/>
        <w:spacing w:before="0"/>
        <w:rPr>
          <w:rFonts w:cs="Times New Roman"/>
          <w:lang w:val="fr-CA"/>
        </w:rPr>
      </w:pPr>
      <w:r w:rsidRPr="00B35658">
        <w:rPr>
          <w:rFonts w:cs="Times New Roman"/>
          <w:lang w:val="fr-CA"/>
        </w:rPr>
        <w:t xml:space="preserve">Il convient de noter que les deux premières phrases du par. 15(1) sont une reproduction quasi fidèle de la totalité du par. 7(1) de la </w:t>
      </w:r>
      <w:r w:rsidRPr="00B35658">
        <w:rPr>
          <w:rFonts w:cs="Times New Roman"/>
          <w:i/>
          <w:lang w:val="fr-CA"/>
        </w:rPr>
        <w:t>CEDH</w:t>
      </w:r>
      <w:r w:rsidRPr="00864CCF">
        <w:rPr>
          <w:rFonts w:cs="Times New Roman"/>
          <w:lang w:val="fr-CA"/>
        </w:rPr>
        <w:t>.</w:t>
      </w:r>
      <w:r w:rsidRPr="00B35658">
        <w:rPr>
          <w:rFonts w:cs="Times New Roman"/>
          <w:i/>
          <w:lang w:val="fr-CA"/>
        </w:rPr>
        <w:t xml:space="preserve"> </w:t>
      </w:r>
      <w:r w:rsidRPr="00B35658">
        <w:rPr>
          <w:rFonts w:cs="Times New Roman"/>
          <w:lang w:val="fr-CA"/>
        </w:rPr>
        <w:t>Seule l</w:t>
      </w:r>
      <w:r w:rsidR="004162F5" w:rsidRPr="00B35658">
        <w:rPr>
          <w:rFonts w:cs="Times New Roman"/>
          <w:lang w:val="fr-CA"/>
        </w:rPr>
        <w:t xml:space="preserve">a dernière phrase du par. 15(1) </w:t>
      </w:r>
      <w:r w:rsidRPr="00B35658">
        <w:rPr>
          <w:rFonts w:cs="Times New Roman"/>
          <w:lang w:val="fr-CA"/>
        </w:rPr>
        <w:lastRenderedPageBreak/>
        <w:t>— qui codifie l’équivalent de « bénéficie</w:t>
      </w:r>
      <w:r w:rsidR="00864CCF">
        <w:rPr>
          <w:rFonts w:cs="Times New Roman"/>
          <w:lang w:val="fr-CA"/>
        </w:rPr>
        <w:t xml:space="preserve">r de la peine la moins sévère » </w:t>
      </w:r>
      <w:r w:rsidRPr="00B35658">
        <w:rPr>
          <w:rFonts w:cs="Times New Roman"/>
          <w:lang w:val="fr-CA"/>
        </w:rPr>
        <w:t xml:space="preserve">— diffère. Le </w:t>
      </w:r>
      <w:r w:rsidRPr="00B35658">
        <w:rPr>
          <w:rFonts w:cs="Times New Roman"/>
          <w:i/>
          <w:lang w:val="fr-CA"/>
        </w:rPr>
        <w:t>PIRDCP</w:t>
      </w:r>
      <w:r w:rsidRPr="00B35658">
        <w:rPr>
          <w:rFonts w:cs="Times New Roman"/>
          <w:lang w:val="fr-CA"/>
        </w:rPr>
        <w:t xml:space="preserve"> semble faire partie des premiers instruments internationaux à codifier le principe </w:t>
      </w:r>
      <w:r w:rsidR="00AB52AA">
        <w:rPr>
          <w:rFonts w:cs="Times New Roman"/>
          <w:lang w:val="fr-CA"/>
        </w:rPr>
        <w:t>[</w:t>
      </w:r>
      <w:r w:rsidR="00AB52AA" w:rsidRPr="00B35658">
        <w:rPr>
          <w:rFonts w:cs="Times New Roman"/>
          <w:smallCaps/>
          <w:lang w:val="fr-CA"/>
        </w:rPr>
        <w:t>traduction</w:t>
      </w:r>
      <w:r w:rsidR="00AB52AA">
        <w:rPr>
          <w:rFonts w:cs="Times New Roman"/>
          <w:lang w:val="fr-CA"/>
        </w:rPr>
        <w:t xml:space="preserve">] </w:t>
      </w:r>
      <w:r w:rsidRPr="00B35658">
        <w:rPr>
          <w:rFonts w:cs="Times New Roman"/>
          <w:lang w:val="fr-CA"/>
        </w:rPr>
        <w:t xml:space="preserve">« relativement moderne » selon lequel un contrevenant devrait bénéficier d’un adoucissement de </w:t>
      </w:r>
      <w:r w:rsidR="00CE47A0">
        <w:rPr>
          <w:rFonts w:cs="Times New Roman"/>
          <w:lang w:val="fr-CA"/>
        </w:rPr>
        <w:t xml:space="preserve">peine postérieur à l’infraction </w:t>
      </w:r>
      <w:r w:rsidRPr="00B35658">
        <w:rPr>
          <w:rFonts w:cs="Times New Roman"/>
          <w:lang w:val="fr-CA"/>
        </w:rPr>
        <w:t>— parfois appelé le principe de la « </w:t>
      </w:r>
      <w:proofErr w:type="spellStart"/>
      <w:r w:rsidRPr="00B35658">
        <w:rPr>
          <w:rFonts w:cs="Times New Roman"/>
          <w:i/>
          <w:lang w:val="fr-CA"/>
        </w:rPr>
        <w:t>lex</w:t>
      </w:r>
      <w:proofErr w:type="spellEnd"/>
      <w:r w:rsidRPr="00B35658">
        <w:rPr>
          <w:rFonts w:cs="Times New Roman"/>
          <w:i/>
          <w:lang w:val="fr-CA"/>
        </w:rPr>
        <w:t xml:space="preserve"> </w:t>
      </w:r>
      <w:proofErr w:type="spellStart"/>
      <w:r w:rsidRPr="00B35658">
        <w:rPr>
          <w:rFonts w:cs="Times New Roman"/>
          <w:i/>
          <w:lang w:val="fr-CA"/>
        </w:rPr>
        <w:t>mitior</w:t>
      </w:r>
      <w:proofErr w:type="spellEnd"/>
      <w:r w:rsidRPr="00B35658">
        <w:rPr>
          <w:rFonts w:cs="Times New Roman"/>
          <w:lang w:val="fr-CA"/>
        </w:rPr>
        <w:t> » (P. </w:t>
      </w:r>
      <w:proofErr w:type="spellStart"/>
      <w:r w:rsidRPr="00B35658">
        <w:rPr>
          <w:rFonts w:cs="Times New Roman"/>
          <w:lang w:val="fr-CA"/>
        </w:rPr>
        <w:t>Westen</w:t>
      </w:r>
      <w:proofErr w:type="spellEnd"/>
      <w:r w:rsidRPr="00B35658">
        <w:rPr>
          <w:rFonts w:cs="Times New Roman"/>
          <w:lang w:val="fr-CA"/>
        </w:rPr>
        <w:t>, « </w:t>
      </w:r>
      <w:proofErr w:type="spellStart"/>
      <w:r w:rsidRPr="00B35658">
        <w:rPr>
          <w:rFonts w:cs="Times New Roman"/>
          <w:i/>
          <w:lang w:val="fr-CA"/>
        </w:rPr>
        <w:t>Lex</w:t>
      </w:r>
      <w:proofErr w:type="spellEnd"/>
      <w:r w:rsidRPr="00B35658">
        <w:rPr>
          <w:rFonts w:cs="Times New Roman"/>
          <w:i/>
          <w:lang w:val="fr-CA"/>
        </w:rPr>
        <w:t xml:space="preserve"> </w:t>
      </w:r>
      <w:proofErr w:type="spellStart"/>
      <w:r w:rsidRPr="00B35658">
        <w:rPr>
          <w:rFonts w:cs="Times New Roman"/>
          <w:i/>
          <w:lang w:val="fr-CA"/>
        </w:rPr>
        <w:t>Mitior</w:t>
      </w:r>
      <w:proofErr w:type="spellEnd"/>
      <w:r w:rsidR="0009446F">
        <w:rPr>
          <w:rFonts w:cs="Times New Roman"/>
          <w:i/>
          <w:lang w:val="fr-CA"/>
        </w:rPr>
        <w:t> </w:t>
      </w:r>
      <w:r w:rsidRPr="00B35658">
        <w:rPr>
          <w:rFonts w:cs="Times New Roman"/>
          <w:lang w:val="fr-CA"/>
        </w:rPr>
        <w:t xml:space="preserve">: Converse of </w:t>
      </w:r>
      <w:r w:rsidRPr="00B35658">
        <w:rPr>
          <w:rFonts w:cs="Times New Roman"/>
          <w:i/>
          <w:lang w:val="fr-CA"/>
        </w:rPr>
        <w:t>Ex Post Facto</w:t>
      </w:r>
      <w:r w:rsidRPr="00B35658">
        <w:rPr>
          <w:rFonts w:cs="Times New Roman"/>
          <w:lang w:val="fr-CA"/>
        </w:rPr>
        <w:t xml:space="preserve"> and </w:t>
      </w:r>
      <w:proofErr w:type="spellStart"/>
      <w:r w:rsidRPr="00B35658">
        <w:rPr>
          <w:rFonts w:cs="Times New Roman"/>
          <w:lang w:val="fr-CA"/>
        </w:rPr>
        <w:t>Window</w:t>
      </w:r>
      <w:proofErr w:type="spellEnd"/>
      <w:r w:rsidRPr="00B35658">
        <w:rPr>
          <w:rFonts w:cs="Times New Roman"/>
          <w:lang w:val="fr-CA"/>
        </w:rPr>
        <w:t xml:space="preserve"> </w:t>
      </w:r>
      <w:proofErr w:type="spellStart"/>
      <w:r w:rsidRPr="00B35658">
        <w:rPr>
          <w:rFonts w:cs="Times New Roman"/>
          <w:lang w:val="fr-CA"/>
        </w:rPr>
        <w:t>into</w:t>
      </w:r>
      <w:proofErr w:type="spellEnd"/>
      <w:r w:rsidRPr="00B35658">
        <w:rPr>
          <w:rFonts w:cs="Times New Roman"/>
          <w:lang w:val="fr-CA"/>
        </w:rPr>
        <w:t xml:space="preserve"> </w:t>
      </w:r>
      <w:proofErr w:type="spellStart"/>
      <w:r w:rsidRPr="00B35658">
        <w:rPr>
          <w:rFonts w:cs="Times New Roman"/>
          <w:lang w:val="fr-CA"/>
        </w:rPr>
        <w:t>Criminal</w:t>
      </w:r>
      <w:proofErr w:type="spellEnd"/>
      <w:r w:rsidRPr="00B35658">
        <w:rPr>
          <w:rFonts w:cs="Times New Roman"/>
          <w:lang w:val="fr-CA"/>
        </w:rPr>
        <w:t xml:space="preserve"> </w:t>
      </w:r>
      <w:proofErr w:type="spellStart"/>
      <w:r w:rsidRPr="00B35658">
        <w:rPr>
          <w:rFonts w:cs="Times New Roman"/>
          <w:lang w:val="fr-CA"/>
        </w:rPr>
        <w:t>Desert</w:t>
      </w:r>
      <w:proofErr w:type="spellEnd"/>
      <w:r w:rsidRPr="00B35658">
        <w:rPr>
          <w:rFonts w:cs="Times New Roman"/>
          <w:lang w:val="fr-CA"/>
        </w:rPr>
        <w:t xml:space="preserve"> » (2015), 18 </w:t>
      </w:r>
      <w:r w:rsidRPr="00B35658">
        <w:rPr>
          <w:rFonts w:cs="Times New Roman"/>
          <w:i/>
          <w:lang w:val="fr-CA"/>
        </w:rPr>
        <w:t xml:space="preserve">New </w:t>
      </w:r>
      <w:proofErr w:type="spellStart"/>
      <w:r w:rsidRPr="00B35658">
        <w:rPr>
          <w:rFonts w:cs="Times New Roman"/>
          <w:i/>
          <w:lang w:val="fr-CA"/>
        </w:rPr>
        <w:t>Crim</w:t>
      </w:r>
      <w:proofErr w:type="spellEnd"/>
      <w:r w:rsidRPr="00B35658">
        <w:rPr>
          <w:rFonts w:cs="Times New Roman"/>
          <w:i/>
          <w:lang w:val="fr-CA"/>
        </w:rPr>
        <w:t xml:space="preserve">. L. </w:t>
      </w:r>
      <w:proofErr w:type="spellStart"/>
      <w:r w:rsidRPr="00B35658">
        <w:rPr>
          <w:rFonts w:cs="Times New Roman"/>
          <w:i/>
          <w:lang w:val="fr-CA"/>
        </w:rPr>
        <w:t>Rev</w:t>
      </w:r>
      <w:proofErr w:type="spellEnd"/>
      <w:r w:rsidRPr="00B35658">
        <w:rPr>
          <w:rFonts w:cs="Times New Roman"/>
          <w:i/>
          <w:lang w:val="fr-CA"/>
        </w:rPr>
        <w:t xml:space="preserve">. </w:t>
      </w:r>
      <w:r w:rsidRPr="00B35658">
        <w:rPr>
          <w:rFonts w:cs="Times New Roman"/>
          <w:lang w:val="fr-CA"/>
        </w:rPr>
        <w:t>167, p. 169</w:t>
      </w:r>
      <w:r w:rsidRPr="00B35658">
        <w:rPr>
          <w:rFonts w:cs="Times New Roman"/>
          <w:lang w:val="fr-CA"/>
        </w:rPr>
        <w:noBreakHyphen/>
        <w:t xml:space="preserve">170; </w:t>
      </w:r>
      <w:r w:rsidRPr="00B35658">
        <w:rPr>
          <w:rFonts w:cs="Times New Roman"/>
          <w:i/>
          <w:lang w:val="fr-CA"/>
        </w:rPr>
        <w:t>R. c. </w:t>
      </w:r>
      <w:proofErr w:type="spellStart"/>
      <w:r w:rsidRPr="00B35658">
        <w:rPr>
          <w:rFonts w:cs="Times New Roman"/>
          <w:i/>
          <w:lang w:val="fr-CA"/>
        </w:rPr>
        <w:t>Docherty</w:t>
      </w:r>
      <w:proofErr w:type="spellEnd"/>
      <w:r w:rsidRPr="00B35658">
        <w:rPr>
          <w:rFonts w:cs="Times New Roman"/>
          <w:lang w:val="fr-CA"/>
        </w:rPr>
        <w:t>, [2016] UKSC 62, [2017] 4 All E.R. 263, par. 32).</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Après l’adhésion du Canada au </w:t>
      </w:r>
      <w:r w:rsidRPr="00B35658">
        <w:rPr>
          <w:rFonts w:cs="Times New Roman"/>
          <w:i/>
          <w:lang w:val="fr-CA"/>
        </w:rPr>
        <w:t>PIRDCP</w:t>
      </w:r>
      <w:r w:rsidRPr="00B35658">
        <w:rPr>
          <w:rFonts w:cs="Times New Roman"/>
          <w:lang w:val="fr-CA"/>
        </w:rPr>
        <w:t>, le libellé du projet d’al. 11</w:t>
      </w:r>
      <w:r w:rsidRPr="00B35658">
        <w:rPr>
          <w:rFonts w:cs="Times New Roman"/>
          <w:i/>
          <w:lang w:val="fr-CA"/>
        </w:rPr>
        <w:t>i</w:t>
      </w:r>
      <w:r w:rsidRPr="00B35658">
        <w:rPr>
          <w:rFonts w:cs="Times New Roman"/>
          <w:lang w:val="fr-CA"/>
        </w:rPr>
        <w:t>) a changé. En 1979, il faisait état du droit au bénéfice d’un adoucissement de peine :</w:t>
      </w:r>
    </w:p>
    <w:p w:rsidR="00460821" w:rsidRPr="00B35658" w:rsidRDefault="00460821" w:rsidP="00460821">
      <w:pPr>
        <w:pStyle w:val="Citation-AltC"/>
        <w:spacing w:after="240"/>
        <w:ind w:hanging="446"/>
        <w:contextualSpacing w:val="0"/>
        <w:rPr>
          <w:lang w:val="fr-CA"/>
        </w:rPr>
      </w:pPr>
      <w:r w:rsidRPr="00B35658">
        <w:rPr>
          <w:lang w:val="fr-CA"/>
        </w:rPr>
        <w:tab/>
        <w:t>g) le droit [d’un accusé] de bénéficier de la peine la moins sévère, lorsque la peine qui sanctionne l’infraction dont il est déclaré coupable est modifiée entre le moment de la commission de l’infraction et celui d</w:t>
      </w:r>
      <w:r w:rsidR="00841B1E">
        <w:rPr>
          <w:lang w:val="fr-CA"/>
        </w:rPr>
        <w:t xml:space="preserve">e la déclaration de </w:t>
      </w:r>
      <w:proofErr w:type="gramStart"/>
      <w:r w:rsidR="00841B1E">
        <w:rPr>
          <w:lang w:val="fr-CA"/>
        </w:rPr>
        <w:t>culpabilité .</w:t>
      </w:r>
      <w:proofErr w:type="gramEnd"/>
      <w:r w:rsidR="00841B1E">
        <w:rPr>
          <w:lang w:val="fr-CA"/>
        </w:rPr>
        <w:t> . .</w:t>
      </w:r>
    </w:p>
    <w:p w:rsidR="00460821" w:rsidRPr="00B35658" w:rsidRDefault="00C81928" w:rsidP="00156AA9">
      <w:pPr>
        <w:pStyle w:val="Citation-AltC"/>
        <w:ind w:left="0"/>
        <w:contextualSpacing w:val="0"/>
        <w:rPr>
          <w:lang w:val="fr-CA"/>
        </w:rPr>
      </w:pPr>
      <w:r>
        <w:rPr>
          <w:lang w:val="fr-CA"/>
        </w:rPr>
        <w:t>(</w:t>
      </w:r>
      <w:r w:rsidR="00460821" w:rsidRPr="00B35658">
        <w:rPr>
          <w:lang w:val="fr-CA"/>
        </w:rPr>
        <w:t xml:space="preserve">Réunion de fonctionnaires sur la Constitution, </w:t>
      </w:r>
      <w:r>
        <w:rPr>
          <w:i/>
          <w:lang w:val="fr-CA"/>
        </w:rPr>
        <w:t xml:space="preserve">La </w:t>
      </w:r>
      <w:r w:rsidR="00460821" w:rsidRPr="00B35658">
        <w:rPr>
          <w:i/>
          <w:lang w:val="fr-CA"/>
        </w:rPr>
        <w:t>Charte canadienne des droits et libertés (Avant</w:t>
      </w:r>
      <w:r w:rsidR="00533DB7" w:rsidRPr="00533DB7">
        <w:rPr>
          <w:i/>
          <w:lang w:val="fr-CA"/>
        </w:rPr>
        <w:noBreakHyphen/>
      </w:r>
      <w:r w:rsidR="00460821" w:rsidRPr="00B35658">
        <w:rPr>
          <w:i/>
          <w:lang w:val="fr-CA"/>
        </w:rPr>
        <w:t>projet pour étude seulement)</w:t>
      </w:r>
      <w:r w:rsidR="00460821" w:rsidRPr="00B35658">
        <w:rPr>
          <w:lang w:val="fr-CA"/>
        </w:rPr>
        <w:t xml:space="preserve"> (1979), section III, p. 4)</w:t>
      </w:r>
    </w:p>
    <w:p w:rsidR="00460821" w:rsidRPr="00B35658" w:rsidRDefault="00460821" w:rsidP="00460821">
      <w:pPr>
        <w:pStyle w:val="ContinueParaSuitedupar-AltP"/>
        <w:spacing w:before="0"/>
        <w:rPr>
          <w:rFonts w:cs="Times New Roman"/>
          <w:lang w:val="fr-CA"/>
        </w:rPr>
      </w:pPr>
      <w:r w:rsidRPr="00B35658">
        <w:rPr>
          <w:rFonts w:cs="Times New Roman"/>
          <w:lang w:val="fr-CA"/>
        </w:rPr>
        <w:t>Mis à part les mots « celui de la déclaration de culpabilité » à la fin, c’est effectivement le même langage qui est maintenant enchâssé à l’al. 11</w:t>
      </w:r>
      <w:r w:rsidRPr="00B35658">
        <w:rPr>
          <w:rFonts w:cs="Times New Roman"/>
          <w:i/>
          <w:lang w:val="fr-CA"/>
        </w:rPr>
        <w:t>i</w:t>
      </w:r>
      <w:r w:rsidRPr="00B35658">
        <w:rPr>
          <w:rFonts w:cs="Times New Roman"/>
          <w:lang w:val="fr-CA"/>
        </w:rPr>
        <w:t>), mais il est structuré différemment. En 1980, les mots « celui de la sentence » avaient remplacé « celui de la déclaration de culpabilité » (« Projet de résolution portant adresse</w:t>
      </w:r>
      <w:r w:rsidR="00CA61E3">
        <w:rPr>
          <w:rFonts w:cs="Times New Roman"/>
          <w:lang w:val="fr-CA"/>
        </w:rPr>
        <w:t xml:space="preserve"> commune</w:t>
      </w:r>
      <w:r w:rsidRPr="00B35658">
        <w:rPr>
          <w:rFonts w:cs="Times New Roman"/>
          <w:lang w:val="fr-CA"/>
        </w:rPr>
        <w:t xml:space="preserve"> à </w:t>
      </w:r>
      <w:r w:rsidR="00CA61E3">
        <w:rPr>
          <w:rFonts w:cs="Times New Roman"/>
          <w:lang w:val="fr-CA"/>
        </w:rPr>
        <w:t>S</w:t>
      </w:r>
      <w:r w:rsidRPr="00B35658">
        <w:rPr>
          <w:rFonts w:cs="Times New Roman"/>
          <w:lang w:val="fr-CA"/>
        </w:rPr>
        <w:t>a Majesté la Reine concernant la Constitution du Canada »</w:t>
      </w:r>
      <w:r w:rsidR="00EE7F0D">
        <w:rPr>
          <w:rFonts w:cs="Times New Roman"/>
          <w:lang w:val="fr-CA"/>
        </w:rPr>
        <w:t>,</w:t>
      </w:r>
      <w:r w:rsidRPr="00B35658">
        <w:rPr>
          <w:rFonts w:cs="Times New Roman"/>
          <w:lang w:val="fr-CA"/>
        </w:rPr>
        <w:t xml:space="preserve"> dans </w:t>
      </w:r>
      <w:r w:rsidRPr="00B35658">
        <w:rPr>
          <w:rFonts w:cs="Times New Roman"/>
          <w:i/>
          <w:lang w:val="fr-CA"/>
        </w:rPr>
        <w:t xml:space="preserve">La Constitution canadienne 1980 : Projet de résolution concernant la Constitution du Canada </w:t>
      </w:r>
      <w:r w:rsidR="00EE7F0D">
        <w:rPr>
          <w:rFonts w:cs="Times New Roman"/>
          <w:lang w:val="fr-CA"/>
        </w:rPr>
        <w:t>(1980), p. 19</w:t>
      </w:r>
      <w:r w:rsidRPr="00B35658">
        <w:rPr>
          <w:rFonts w:cs="Times New Roman"/>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Comme l’indiquent les notes explicatives du projet de 1980, l’al. 11</w:t>
      </w:r>
      <w:r w:rsidRPr="00B35658">
        <w:rPr>
          <w:rFonts w:cs="Times New Roman"/>
          <w:i/>
          <w:lang w:val="fr-CA"/>
        </w:rPr>
        <w:t>i</w:t>
      </w:r>
      <w:r w:rsidRPr="00B35658">
        <w:rPr>
          <w:rFonts w:cs="Times New Roman"/>
          <w:lang w:val="fr-CA"/>
        </w:rPr>
        <w:t xml:space="preserve">), parmi d’autres dispositions conférant des droits, était tiré de dispositions semblables que l’on trouve dans le </w:t>
      </w:r>
      <w:r w:rsidRPr="00B35658">
        <w:rPr>
          <w:rFonts w:cs="Times New Roman"/>
          <w:i/>
          <w:lang w:val="fr-CA"/>
        </w:rPr>
        <w:t>PIRDCP</w:t>
      </w:r>
      <w:r w:rsidRPr="00B35658">
        <w:rPr>
          <w:rFonts w:cs="Times New Roman"/>
          <w:lang w:val="fr-CA"/>
        </w:rPr>
        <w:t>, notamment le par. 15(1) (</w:t>
      </w:r>
      <w:r w:rsidRPr="00B35658">
        <w:rPr>
          <w:rFonts w:cs="Times New Roman"/>
          <w:i/>
          <w:lang w:val="fr-CA"/>
        </w:rPr>
        <w:t>Projet de résolution</w:t>
      </w:r>
      <w:r w:rsidRPr="00B35658">
        <w:rPr>
          <w:rFonts w:cs="Times New Roman"/>
          <w:lang w:val="fr-CA"/>
        </w:rPr>
        <w:t>, p. 1</w:t>
      </w:r>
      <w:r w:rsidR="000D09DA">
        <w:rPr>
          <w:rFonts w:cs="Times New Roman"/>
          <w:lang w:val="fr-CA"/>
        </w:rPr>
        <w:t>7</w:t>
      </w:r>
      <w:r w:rsidRPr="00B35658">
        <w:rPr>
          <w:rFonts w:cs="Times New Roman"/>
          <w:lang w:val="fr-CA"/>
        </w:rPr>
        <w:t>). Cependant, les rédacteurs n’ont pas donné à l’al. 11</w:t>
      </w:r>
      <w:r w:rsidRPr="00B35658">
        <w:rPr>
          <w:rFonts w:cs="Times New Roman"/>
          <w:i/>
          <w:lang w:val="fr-CA"/>
        </w:rPr>
        <w:t>i</w:t>
      </w:r>
      <w:r w:rsidRPr="00B35658">
        <w:rPr>
          <w:rFonts w:cs="Times New Roman"/>
          <w:lang w:val="fr-CA"/>
        </w:rPr>
        <w:t>) une portée identique à celle du par. 15(1). Alors que le par. 15(1) garantit au contrevenant le droit, apparemment plus large et indéfini, de bénéficier d’une peine moins sévère adoptée « postérieurement à [l’</w:t>
      </w:r>
      <w:proofErr w:type="gramStart"/>
      <w:r w:rsidRPr="00B35658">
        <w:rPr>
          <w:rFonts w:cs="Times New Roman"/>
          <w:lang w:val="fr-CA"/>
        </w:rPr>
        <w:t>]infraction</w:t>
      </w:r>
      <w:proofErr w:type="gramEnd"/>
      <w:r w:rsidRPr="00B35658">
        <w:rPr>
          <w:rFonts w:cs="Times New Roman"/>
          <w:lang w:val="fr-CA"/>
        </w:rPr>
        <w:t> », le texte de l’al. 11</w:t>
      </w:r>
      <w:r w:rsidRPr="00B35658">
        <w:rPr>
          <w:rFonts w:cs="Times New Roman"/>
          <w:i/>
          <w:lang w:val="fr-CA"/>
        </w:rPr>
        <w:t>i</w:t>
      </w:r>
      <w:r w:rsidRPr="00B35658">
        <w:rPr>
          <w:rFonts w:cs="Times New Roman"/>
          <w:lang w:val="fr-CA"/>
        </w:rPr>
        <w:t xml:space="preserve">) limite quant à lui la portée de ce droit au « [moment] de la sentence ». Cette importante différence était délibérée (voir Sénat et Chambre des communes, </w:t>
      </w:r>
      <w:r w:rsidRPr="00B35658">
        <w:rPr>
          <w:rFonts w:cs="Times New Roman"/>
          <w:i/>
          <w:lang w:val="fr-CA"/>
        </w:rPr>
        <w:t>Procès</w:t>
      </w:r>
      <w:r w:rsidRPr="00B35658">
        <w:rPr>
          <w:rFonts w:cs="Times New Roman"/>
          <w:i/>
          <w:lang w:val="fr-CA"/>
        </w:rPr>
        <w:noBreakHyphen/>
        <w:t>verbaux et témoignages du Comité mixte spécial du Sénat et de la Chambre des communes sur la Constitution du Canada</w:t>
      </w:r>
      <w:r w:rsidRPr="00B35658">
        <w:rPr>
          <w:rFonts w:cs="Times New Roman"/>
          <w:lang w:val="fr-CA"/>
        </w:rPr>
        <w:t>, n</w:t>
      </w:r>
      <w:r w:rsidRPr="00B35658">
        <w:rPr>
          <w:rFonts w:cs="Times New Roman"/>
          <w:vertAlign w:val="superscript"/>
          <w:lang w:val="fr-CA"/>
        </w:rPr>
        <w:t>o</w:t>
      </w:r>
      <w:r w:rsidRPr="00B35658">
        <w:rPr>
          <w:rFonts w:cs="Times New Roman"/>
          <w:lang w:val="fr-CA"/>
        </w:rPr>
        <w:t> 47, 1</w:t>
      </w:r>
      <w:r w:rsidRPr="00B35658">
        <w:rPr>
          <w:rFonts w:cs="Times New Roman"/>
          <w:vertAlign w:val="superscript"/>
          <w:lang w:val="fr-CA"/>
        </w:rPr>
        <w:t>re</w:t>
      </w:r>
      <w:r w:rsidR="00CD112D">
        <w:rPr>
          <w:rFonts w:cs="Times New Roman"/>
          <w:lang w:val="fr-CA"/>
        </w:rPr>
        <w:t> </w:t>
      </w:r>
      <w:proofErr w:type="spellStart"/>
      <w:r w:rsidR="004E66EE">
        <w:rPr>
          <w:rFonts w:cs="Times New Roman"/>
          <w:lang w:val="fr-CA"/>
        </w:rPr>
        <w:t>sess</w:t>
      </w:r>
      <w:proofErr w:type="spellEnd"/>
      <w:r w:rsidR="004E66EE">
        <w:rPr>
          <w:rFonts w:cs="Times New Roman"/>
          <w:lang w:val="fr-CA"/>
        </w:rPr>
        <w:t xml:space="preserve">., </w:t>
      </w:r>
      <w:r w:rsidR="004E66EE" w:rsidRPr="00B35658">
        <w:rPr>
          <w:rFonts w:cs="Times New Roman"/>
          <w:lang w:val="fr-CA"/>
        </w:rPr>
        <w:t>32</w:t>
      </w:r>
      <w:r w:rsidR="004E66EE" w:rsidRPr="00B35658">
        <w:rPr>
          <w:rFonts w:cs="Times New Roman"/>
          <w:vertAlign w:val="superscript"/>
          <w:lang w:val="fr-CA"/>
        </w:rPr>
        <w:t>e</w:t>
      </w:r>
      <w:r w:rsidR="00CD112D">
        <w:rPr>
          <w:rFonts w:cs="Times New Roman"/>
          <w:lang w:val="fr-CA"/>
        </w:rPr>
        <w:t> </w:t>
      </w:r>
      <w:proofErr w:type="spellStart"/>
      <w:r w:rsidR="004E66EE" w:rsidRPr="00B35658">
        <w:rPr>
          <w:rFonts w:cs="Times New Roman"/>
          <w:lang w:val="fr-CA"/>
        </w:rPr>
        <w:t>lég</w:t>
      </w:r>
      <w:proofErr w:type="spellEnd"/>
      <w:r w:rsidR="004E66EE" w:rsidRPr="00B35658">
        <w:rPr>
          <w:rFonts w:cs="Times New Roman"/>
          <w:lang w:val="fr-CA"/>
        </w:rPr>
        <w:t>.,</w:t>
      </w:r>
      <w:r w:rsidR="004E66EE">
        <w:rPr>
          <w:rFonts w:cs="Times New Roman"/>
          <w:lang w:val="fr-CA"/>
        </w:rPr>
        <w:t xml:space="preserve"> </w:t>
      </w:r>
      <w:r w:rsidRPr="00B35658">
        <w:rPr>
          <w:rFonts w:cs="Times New Roman"/>
          <w:lang w:val="fr-CA"/>
        </w:rPr>
        <w:t>28 janvier</w:t>
      </w:r>
      <w:r w:rsidR="00ED5D3F">
        <w:rPr>
          <w:rFonts w:cs="Times New Roman"/>
          <w:lang w:val="fr-CA"/>
        </w:rPr>
        <w:t xml:space="preserve"> 1981 (« Comité »), p. 65</w:t>
      </w:r>
      <w:r w:rsidR="00ED5D3F">
        <w:rPr>
          <w:rFonts w:cs="Times New Roman"/>
          <w:lang w:val="fr-CA"/>
        </w:rPr>
        <w:noBreakHyphen/>
        <w:t>69</w:t>
      </w:r>
      <w:r w:rsidRPr="00B35658">
        <w:rPr>
          <w:rFonts w:cs="Times New Roman"/>
          <w:lang w:val="fr-CA"/>
        </w:rPr>
        <w:t>)</w:t>
      </w:r>
      <w:r w:rsidR="00ED5D3F">
        <w:rPr>
          <w:rFonts w:cs="Times New Roman"/>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La discussion du Comité sur la possibilité de limiter la portée de l’al. 11</w:t>
      </w:r>
      <w:r w:rsidRPr="00B35658">
        <w:rPr>
          <w:rFonts w:cs="Times New Roman"/>
          <w:i/>
          <w:lang w:val="fr-CA"/>
        </w:rPr>
        <w:t>i</w:t>
      </w:r>
      <w:r w:rsidRPr="00B35658">
        <w:rPr>
          <w:rFonts w:cs="Times New Roman"/>
          <w:lang w:val="fr-CA"/>
        </w:rPr>
        <w:t>) au « [moment] de la sentence » a été sa seule discussion sur l’al. 11</w:t>
      </w:r>
      <w:r w:rsidRPr="00B35658">
        <w:rPr>
          <w:rFonts w:cs="Times New Roman"/>
          <w:i/>
          <w:lang w:val="fr-CA"/>
        </w:rPr>
        <w:t>i</w:t>
      </w:r>
      <w:r w:rsidRPr="00B35658">
        <w:rPr>
          <w:rFonts w:cs="Times New Roman"/>
          <w:lang w:val="fr-CA"/>
        </w:rPr>
        <w:t>) au cours de ses 56 jours de séance. Le Comité ne s’est pas penché explicitement sur la question de savoir si l’al. 11</w:t>
      </w:r>
      <w:r w:rsidRPr="00B35658">
        <w:rPr>
          <w:rFonts w:cs="Times New Roman"/>
          <w:i/>
          <w:lang w:val="fr-CA"/>
        </w:rPr>
        <w:t>i</w:t>
      </w:r>
      <w:r w:rsidRPr="00B35658">
        <w:rPr>
          <w:rFonts w:cs="Times New Roman"/>
          <w:lang w:val="fr-CA"/>
        </w:rPr>
        <w:t>) confère un droit binaire ou un droit global. Cette question n’a pas non plus été examinée au cours des débats de la Chambre des communes de</w:t>
      </w:r>
      <w:r w:rsidR="005C7B56">
        <w:rPr>
          <w:rFonts w:cs="Times New Roman"/>
          <w:lang w:val="fr-CA"/>
        </w:rPr>
        <w:t xml:space="preserve"> 1980 à </w:t>
      </w:r>
      <w:r w:rsidRPr="00B35658">
        <w:rPr>
          <w:rFonts w:cs="Times New Roman"/>
          <w:lang w:val="fr-CA"/>
        </w:rPr>
        <w:t>1983.</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Néanmoins, il y a tout lieu de croire que l’al. 11</w:t>
      </w:r>
      <w:r w:rsidRPr="00B35658">
        <w:rPr>
          <w:rFonts w:cs="Times New Roman"/>
          <w:i/>
          <w:lang w:val="fr-CA"/>
        </w:rPr>
        <w:t>i</w:t>
      </w:r>
      <w:r w:rsidRPr="00B35658">
        <w:rPr>
          <w:rFonts w:cs="Times New Roman"/>
          <w:lang w:val="fr-CA"/>
        </w:rPr>
        <w:t>) n’était destiné à conférer que le droit binaire dont fait état son libellé; aucune des trois</w:t>
      </w:r>
      <w:r w:rsidR="00A931D8" w:rsidRPr="00B35658">
        <w:rPr>
          <w:rFonts w:cs="Times New Roman"/>
          <w:lang w:val="fr-CA"/>
        </w:rPr>
        <w:t xml:space="preserve"> </w:t>
      </w:r>
      <w:r w:rsidRPr="00B35658">
        <w:rPr>
          <w:rFonts w:cs="Times New Roman"/>
          <w:lang w:val="fr-CA"/>
        </w:rPr>
        <w:t>dispositions qui a inspiré l’al. 11</w:t>
      </w:r>
      <w:r w:rsidRPr="00B35658">
        <w:rPr>
          <w:rFonts w:cs="Times New Roman"/>
          <w:i/>
          <w:lang w:val="fr-CA"/>
        </w:rPr>
        <w:t>i</w:t>
      </w:r>
      <w:r w:rsidRPr="00B35658">
        <w:rPr>
          <w:rFonts w:cs="Times New Roman"/>
          <w:lang w:val="fr-CA"/>
        </w:rPr>
        <w:t>) n’appuyait un droit global.</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 xml:space="preserve">Comme le reconnaît M. Poulin dans son mémoire, l’al. 44e) de la </w:t>
      </w:r>
      <w:r w:rsidRPr="00B35658">
        <w:rPr>
          <w:rFonts w:cs="Times New Roman"/>
          <w:i/>
          <w:lang w:val="fr-CA"/>
        </w:rPr>
        <w:t xml:space="preserve">Loi d’interprétation </w:t>
      </w:r>
      <w:r w:rsidRPr="00B35658">
        <w:rPr>
          <w:rFonts w:cs="Times New Roman"/>
          <w:lang w:val="fr-CA"/>
        </w:rPr>
        <w:t xml:space="preserve">est de nature binaire. Cette disposition confère au contrevenant le droit au bénéfice d’une peine réduite prévue par le « nouveau texte » si ce texte est en vigueur au moment où la peine est « infligée ou prononcée ». Comme elle ne fait que conférer à un contrevenant le droit au bénéfice d’une peine moins sévère </w:t>
      </w:r>
      <w:r w:rsidRPr="00B35658">
        <w:rPr>
          <w:rFonts w:cs="Times New Roman"/>
          <w:i/>
          <w:lang w:val="fr-CA"/>
        </w:rPr>
        <w:t>actuelle</w:t>
      </w:r>
      <w:r w:rsidRPr="00B35658">
        <w:rPr>
          <w:rFonts w:cs="Times New Roman"/>
          <w:lang w:val="fr-CA"/>
        </w:rPr>
        <w:t>, cette disposition ne peut donc pas avoir inspiré une interprétation globale du droit garanti à l’al. 11</w:t>
      </w:r>
      <w:r w:rsidRPr="00B35658">
        <w:rPr>
          <w:rFonts w:cs="Times New Roman"/>
          <w:i/>
          <w:lang w:val="fr-CA"/>
        </w:rPr>
        <w:t>i</w:t>
      </w:r>
      <w:r w:rsidRPr="00B35658">
        <w:rPr>
          <w:rFonts w:cs="Times New Roman"/>
          <w:lang w:val="fr-CA"/>
        </w:rPr>
        <w:t>). Au contraire, elle semble avoir été à l’origine d’un droit binaire.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De même, la </w:t>
      </w:r>
      <w:r w:rsidRPr="00B35658">
        <w:rPr>
          <w:rFonts w:cs="Times New Roman"/>
          <w:i/>
          <w:lang w:val="fr-CA"/>
        </w:rPr>
        <w:t>CEDH</w:t>
      </w:r>
      <w:r w:rsidRPr="00B35658">
        <w:rPr>
          <w:rFonts w:cs="Times New Roman"/>
          <w:lang w:val="fr-CA"/>
        </w:rPr>
        <w:t xml:space="preserve"> n’aurait pas pu inspirer un droit global garanti à l’al. 11</w:t>
      </w:r>
      <w:r w:rsidRPr="00B35658">
        <w:rPr>
          <w:rFonts w:cs="Times New Roman"/>
          <w:i/>
          <w:lang w:val="fr-CA"/>
        </w:rPr>
        <w:t>i</w:t>
      </w:r>
      <w:r w:rsidR="00DA3CBD" w:rsidRPr="00B35658">
        <w:rPr>
          <w:rFonts w:cs="Times New Roman"/>
          <w:lang w:val="fr-CA"/>
        </w:rPr>
        <w:t xml:space="preserve">). De 1978 à </w:t>
      </w:r>
      <w:r w:rsidRPr="00B35658">
        <w:rPr>
          <w:rFonts w:cs="Times New Roman"/>
          <w:lang w:val="fr-CA"/>
        </w:rPr>
        <w:t xml:space="preserve">2009, la deuxième phrase du par. 7(1) de la </w:t>
      </w:r>
      <w:r w:rsidRPr="00B35658">
        <w:rPr>
          <w:rFonts w:cs="Times New Roman"/>
          <w:i/>
          <w:lang w:val="fr-CA"/>
        </w:rPr>
        <w:t>CEDH</w:t>
      </w:r>
      <w:r w:rsidRPr="00B35658">
        <w:rPr>
          <w:rFonts w:cs="Times New Roman"/>
          <w:lang w:val="fr-CA"/>
        </w:rPr>
        <w:t xml:space="preserve"> était interprétée comme codifiant simplement le principe selon lequel un contrevenant ne peut faire l’objet d’une peine plus lourde que celle qui s’appliquait au moment de la perpétration de l’infraction (</w:t>
      </w:r>
      <w:r w:rsidR="00356E15" w:rsidRPr="00B35658">
        <w:rPr>
          <w:rFonts w:cs="Times New Roman"/>
          <w:i/>
          <w:lang w:val="fr-CA"/>
        </w:rPr>
        <w:t xml:space="preserve">X. </w:t>
      </w:r>
      <w:r w:rsidRPr="00B35658">
        <w:rPr>
          <w:rFonts w:cs="Times New Roman"/>
          <w:i/>
          <w:lang w:val="fr-CA"/>
        </w:rPr>
        <w:t>c.</w:t>
      </w:r>
      <w:r w:rsidR="00356E15" w:rsidRPr="00B35658">
        <w:rPr>
          <w:rFonts w:cs="Times New Roman"/>
          <w:i/>
          <w:lang w:val="fr-CA"/>
        </w:rPr>
        <w:t xml:space="preserve"> </w:t>
      </w:r>
      <w:r w:rsidR="005D6528">
        <w:rPr>
          <w:rFonts w:cs="Times New Roman"/>
          <w:i/>
          <w:lang w:val="fr-CA"/>
        </w:rPr>
        <w:t>République f</w:t>
      </w:r>
      <w:r w:rsidRPr="00B35658">
        <w:rPr>
          <w:rFonts w:cs="Times New Roman"/>
          <w:i/>
          <w:lang w:val="fr-CA"/>
        </w:rPr>
        <w:t>édérale d’Allemagne</w:t>
      </w:r>
      <w:r w:rsidRPr="00B35658">
        <w:rPr>
          <w:rFonts w:cs="Times New Roman"/>
          <w:lang w:val="fr-CA"/>
        </w:rPr>
        <w:t xml:space="preserve">, </w:t>
      </w:r>
      <w:r w:rsidR="005D6528">
        <w:rPr>
          <w:rFonts w:cs="Times New Roman"/>
          <w:lang w:val="fr-CA"/>
        </w:rPr>
        <w:t>requête</w:t>
      </w:r>
      <w:r w:rsidRPr="00B35658">
        <w:rPr>
          <w:rFonts w:cs="Times New Roman"/>
          <w:lang w:val="fr-CA"/>
        </w:rPr>
        <w:t xml:space="preserve"> n</w:t>
      </w:r>
      <w:r w:rsidRPr="00B35658">
        <w:rPr>
          <w:rFonts w:cs="Times New Roman"/>
          <w:vertAlign w:val="superscript"/>
          <w:lang w:val="fr-CA"/>
        </w:rPr>
        <w:t>o</w:t>
      </w:r>
      <w:r w:rsidRPr="00B35658">
        <w:rPr>
          <w:rFonts w:cs="Times New Roman"/>
          <w:lang w:val="fr-CA"/>
        </w:rPr>
        <w:t> 7900/77, 6 mars</w:t>
      </w:r>
      <w:r w:rsidR="00356E15" w:rsidRPr="00B35658">
        <w:rPr>
          <w:rFonts w:cs="Times New Roman"/>
          <w:lang w:val="fr-CA"/>
        </w:rPr>
        <w:t xml:space="preserve"> </w:t>
      </w:r>
      <w:r w:rsidR="005D6528">
        <w:rPr>
          <w:rFonts w:cs="Times New Roman"/>
          <w:lang w:val="fr-CA"/>
        </w:rPr>
        <w:t>1978, D.R. 13</w:t>
      </w:r>
      <w:r w:rsidRPr="00B35658">
        <w:rPr>
          <w:rFonts w:cs="Times New Roman"/>
          <w:lang w:val="fr-CA"/>
        </w:rPr>
        <w:t xml:space="preserve">, p. 70; </w:t>
      </w:r>
      <w:proofErr w:type="spellStart"/>
      <w:r w:rsidR="00356E15" w:rsidRPr="00B35658">
        <w:rPr>
          <w:rFonts w:cs="Times New Roman"/>
          <w:i/>
          <w:lang w:val="fr-CA"/>
        </w:rPr>
        <w:t>Scoppola</w:t>
      </w:r>
      <w:proofErr w:type="spellEnd"/>
      <w:r w:rsidR="00356E15" w:rsidRPr="00B35658">
        <w:rPr>
          <w:rFonts w:cs="Times New Roman"/>
          <w:i/>
          <w:lang w:val="fr-CA"/>
        </w:rPr>
        <w:t xml:space="preserve"> </w:t>
      </w:r>
      <w:r w:rsidRPr="00B35658">
        <w:rPr>
          <w:rFonts w:cs="Times New Roman"/>
          <w:i/>
          <w:lang w:val="fr-CA"/>
        </w:rPr>
        <w:t>c.</w:t>
      </w:r>
      <w:r w:rsidR="00356E15" w:rsidRPr="00B35658">
        <w:rPr>
          <w:rFonts w:cs="Times New Roman"/>
          <w:i/>
          <w:lang w:val="fr-CA"/>
        </w:rPr>
        <w:t xml:space="preserve"> </w:t>
      </w:r>
      <w:r w:rsidRPr="00B35658">
        <w:rPr>
          <w:rFonts w:cs="Times New Roman"/>
          <w:i/>
          <w:lang w:val="fr-CA"/>
        </w:rPr>
        <w:t>Italie (n</w:t>
      </w:r>
      <w:r w:rsidRPr="00B35658">
        <w:rPr>
          <w:rFonts w:cs="Times New Roman"/>
          <w:i/>
          <w:vertAlign w:val="superscript"/>
          <w:lang w:val="fr-CA"/>
        </w:rPr>
        <w:t>o</w:t>
      </w:r>
      <w:r w:rsidRPr="00B35658">
        <w:rPr>
          <w:rFonts w:cs="Times New Roman"/>
          <w:i/>
          <w:lang w:val="fr-CA"/>
        </w:rPr>
        <w:t> 2)</w:t>
      </w:r>
      <w:r w:rsidR="005D6528">
        <w:rPr>
          <w:rFonts w:cs="Times New Roman"/>
          <w:lang w:val="fr-CA"/>
        </w:rPr>
        <w:t xml:space="preserve"> (2010)</w:t>
      </w:r>
      <w:r w:rsidR="00356E15" w:rsidRPr="00B35658">
        <w:rPr>
          <w:rFonts w:cs="Times New Roman"/>
          <w:lang w:val="fr-CA"/>
        </w:rPr>
        <w:t xml:space="preserve">, 51 E.H.R.R. </w:t>
      </w:r>
      <w:r w:rsidRPr="00B35658">
        <w:rPr>
          <w:rFonts w:cs="Times New Roman"/>
          <w:lang w:val="fr-CA"/>
        </w:rPr>
        <w:t>12, par. 103</w:t>
      </w:r>
      <w:r w:rsidRPr="00B35658">
        <w:rPr>
          <w:rFonts w:cs="Times New Roman"/>
          <w:lang w:val="fr-CA"/>
        </w:rPr>
        <w:noBreakHyphen/>
        <w:t xml:space="preserve">109). En effet, rien dans le libellé du par. 7(1) ne fait référence au principe selon lequel un contrevenant devrait bénéficier d’un adoucissement de peine, encore moins à une version </w:t>
      </w:r>
      <w:r w:rsidRPr="00B35658">
        <w:rPr>
          <w:rFonts w:cs="Times New Roman"/>
          <w:i/>
          <w:lang w:val="fr-CA"/>
        </w:rPr>
        <w:t xml:space="preserve">globale </w:t>
      </w:r>
      <w:r w:rsidRPr="00B35658">
        <w:rPr>
          <w:rFonts w:cs="Times New Roman"/>
          <w:lang w:val="fr-CA"/>
        </w:rPr>
        <w:t>de ce principe. En réalité, comme l’a fait observer la Cour suprême du Royaume</w:t>
      </w:r>
      <w:r w:rsidRPr="00B35658">
        <w:rPr>
          <w:rFonts w:cs="Times New Roman"/>
          <w:lang w:val="fr-CA"/>
        </w:rPr>
        <w:noBreakHyphen/>
        <w:t xml:space="preserve">Uni au </w:t>
      </w:r>
      <w:proofErr w:type="spellStart"/>
      <w:r w:rsidRPr="00B35658">
        <w:rPr>
          <w:rFonts w:cs="Times New Roman"/>
          <w:lang w:val="fr-CA"/>
        </w:rPr>
        <w:t>par</w:t>
      </w:r>
      <w:proofErr w:type="spellEnd"/>
      <w:r w:rsidRPr="00B35658">
        <w:rPr>
          <w:rFonts w:cs="Times New Roman"/>
          <w:lang w:val="fr-CA"/>
        </w:rPr>
        <w:t>. 32 de l’arrêt</w:t>
      </w:r>
      <w:r w:rsidR="00B06B22">
        <w:rPr>
          <w:rFonts w:cs="Times New Roman"/>
          <w:lang w:val="fr-CA"/>
        </w:rPr>
        <w:t xml:space="preserve"> </w:t>
      </w:r>
      <w:proofErr w:type="spellStart"/>
      <w:r w:rsidRPr="00B35658">
        <w:rPr>
          <w:rFonts w:cs="Times New Roman"/>
          <w:i/>
          <w:lang w:val="fr-CA"/>
        </w:rPr>
        <w:t>Docherty</w:t>
      </w:r>
      <w:proofErr w:type="spellEnd"/>
      <w:r w:rsidRPr="00B35658">
        <w:rPr>
          <w:rFonts w:cs="Times New Roman"/>
          <w:lang w:val="fr-CA"/>
        </w:rPr>
        <w:t>, [</w:t>
      </w:r>
      <w:r w:rsidRPr="00B35658">
        <w:rPr>
          <w:rFonts w:cs="Times New Roman"/>
          <w:smallCaps/>
          <w:lang w:val="fr-CA"/>
        </w:rPr>
        <w:t>traduction</w:t>
      </w:r>
      <w:r w:rsidRPr="00B35658">
        <w:rPr>
          <w:rFonts w:cs="Times New Roman"/>
          <w:lang w:val="fr-CA"/>
        </w:rPr>
        <w:t xml:space="preserve">] « [l]a possibilité d’ajouter une phrase supplémentaire faisant mention [du] principe de la </w:t>
      </w:r>
      <w:proofErr w:type="spellStart"/>
      <w:r w:rsidRPr="00B35658">
        <w:rPr>
          <w:rFonts w:cs="Times New Roman"/>
          <w:i/>
          <w:lang w:val="fr-CA"/>
        </w:rPr>
        <w:t>lex</w:t>
      </w:r>
      <w:proofErr w:type="spellEnd"/>
      <w:r w:rsidRPr="00B35658">
        <w:rPr>
          <w:rFonts w:cs="Times New Roman"/>
          <w:i/>
          <w:lang w:val="fr-CA"/>
        </w:rPr>
        <w:t xml:space="preserve"> </w:t>
      </w:r>
      <w:proofErr w:type="spellStart"/>
      <w:r w:rsidRPr="00B35658">
        <w:rPr>
          <w:rFonts w:cs="Times New Roman"/>
          <w:i/>
          <w:lang w:val="fr-CA"/>
        </w:rPr>
        <w:t>mitior</w:t>
      </w:r>
      <w:proofErr w:type="spellEnd"/>
      <w:r w:rsidRPr="00B35658">
        <w:rPr>
          <w:rFonts w:cs="Times New Roman"/>
          <w:i/>
          <w:lang w:val="fr-CA"/>
        </w:rPr>
        <w:t xml:space="preserve"> </w:t>
      </w:r>
      <w:r w:rsidRPr="00B35658">
        <w:rPr>
          <w:rFonts w:cs="Times New Roman"/>
          <w:lang w:val="fr-CA"/>
        </w:rPr>
        <w:t xml:space="preserve">(droit de bénéficier d’une peine plus clémente) a été examinée puis rejetée lorsque l’art. 7 de la </w:t>
      </w:r>
      <w:r w:rsidRPr="00B35658">
        <w:rPr>
          <w:rFonts w:cs="Times New Roman"/>
          <w:i/>
          <w:lang w:val="fr-CA"/>
        </w:rPr>
        <w:t>CEDH</w:t>
      </w:r>
      <w:r w:rsidRPr="00B35658">
        <w:rPr>
          <w:rFonts w:cs="Times New Roman"/>
          <w:lang w:val="fr-CA"/>
        </w:rPr>
        <w:t xml:space="preserve"> a été adopté en 1950 » (voir le par. 55 ainsi que les motifs dissidents </w:t>
      </w:r>
      <w:r w:rsidR="00BE2D06">
        <w:rPr>
          <w:rFonts w:cs="Times New Roman"/>
          <w:lang w:val="fr-CA"/>
        </w:rPr>
        <w:t xml:space="preserve">en partie </w:t>
      </w:r>
      <w:r w:rsidRPr="00B35658">
        <w:rPr>
          <w:rFonts w:cs="Times New Roman"/>
          <w:lang w:val="fr-CA"/>
        </w:rPr>
        <w:t xml:space="preserve">du juge </w:t>
      </w:r>
      <w:proofErr w:type="spellStart"/>
      <w:r w:rsidRPr="00B35658">
        <w:rPr>
          <w:rFonts w:cs="Times New Roman"/>
          <w:lang w:val="fr-CA"/>
        </w:rPr>
        <w:t>Nicolaou</w:t>
      </w:r>
      <w:proofErr w:type="spellEnd"/>
      <w:r w:rsidRPr="00B35658">
        <w:rPr>
          <w:rFonts w:cs="Times New Roman"/>
          <w:lang w:val="fr-CA"/>
        </w:rPr>
        <w:t xml:space="preserve"> dans l’arrêt </w:t>
      </w:r>
      <w:proofErr w:type="spellStart"/>
      <w:r w:rsidRPr="00B35658">
        <w:rPr>
          <w:rFonts w:cs="Times New Roman"/>
          <w:i/>
          <w:lang w:val="fr-CA"/>
        </w:rPr>
        <w:t>Scoppola</w:t>
      </w:r>
      <w:proofErr w:type="spellEnd"/>
      <w:r w:rsidRPr="00B35658">
        <w:rPr>
          <w:rFonts w:cs="Times New Roman"/>
          <w:lang w:val="fr-CA"/>
        </w:rPr>
        <w:t>, p. 364</w:t>
      </w:r>
      <w:r w:rsidRPr="00B35658">
        <w:rPr>
          <w:rFonts w:cs="Times New Roman"/>
          <w:lang w:val="fr-CA"/>
        </w:rPr>
        <w:noBreakHyphen/>
        <w:t xml:space="preserve">365). Je reconnais qu’en 2009, dans </w:t>
      </w:r>
      <w:proofErr w:type="spellStart"/>
      <w:r w:rsidRPr="00B35658">
        <w:rPr>
          <w:rFonts w:cs="Times New Roman"/>
          <w:i/>
          <w:lang w:val="fr-CA"/>
        </w:rPr>
        <w:t>Scoppola</w:t>
      </w:r>
      <w:proofErr w:type="spellEnd"/>
      <w:r w:rsidRPr="00B35658">
        <w:rPr>
          <w:rFonts w:cs="Times New Roman"/>
          <w:lang w:val="fr-CA"/>
        </w:rPr>
        <w:t xml:space="preserve">, les juges majoritaires de la Grande chambre de la Cour européenne des droits </w:t>
      </w:r>
      <w:r w:rsidRPr="00B35658">
        <w:rPr>
          <w:rFonts w:cs="Times New Roman"/>
          <w:lang w:val="fr-CA"/>
        </w:rPr>
        <w:lastRenderedPageBreak/>
        <w:t>de l’homme se sont écartés du précédent établi par la cour elle</w:t>
      </w:r>
      <w:r w:rsidRPr="00B35658">
        <w:rPr>
          <w:rFonts w:cs="Times New Roman"/>
          <w:lang w:val="fr-CA"/>
        </w:rPr>
        <w:noBreakHyphen/>
        <w:t xml:space="preserve">même et ont superposé au </w:t>
      </w:r>
      <w:proofErr w:type="spellStart"/>
      <w:r w:rsidRPr="00B35658">
        <w:rPr>
          <w:rFonts w:cs="Times New Roman"/>
          <w:lang w:val="fr-CA"/>
        </w:rPr>
        <w:t>par</w:t>
      </w:r>
      <w:proofErr w:type="spellEnd"/>
      <w:r w:rsidRPr="00B35658">
        <w:rPr>
          <w:rFonts w:cs="Times New Roman"/>
          <w:lang w:val="fr-CA"/>
        </w:rPr>
        <w:t>. 7(1) un droit global. (Je me pencherai sur le bien</w:t>
      </w:r>
      <w:r w:rsidRPr="00B35658">
        <w:rPr>
          <w:rFonts w:cs="Times New Roman"/>
          <w:lang w:val="fr-CA"/>
        </w:rPr>
        <w:noBreakHyphen/>
        <w:t>fondé de cette décision ci</w:t>
      </w:r>
      <w:r w:rsidRPr="00B35658">
        <w:rPr>
          <w:rFonts w:cs="Times New Roman"/>
          <w:lang w:val="fr-CA"/>
        </w:rPr>
        <w:noBreakHyphen/>
        <w:t xml:space="preserve">dessous.) Malgré cela, il demeure qu’au moment de l’adoption de la </w:t>
      </w:r>
      <w:r w:rsidRPr="00B35658">
        <w:rPr>
          <w:rFonts w:cs="Times New Roman"/>
          <w:i/>
          <w:lang w:val="fr-CA"/>
        </w:rPr>
        <w:t>Charte</w:t>
      </w:r>
      <w:r w:rsidRPr="00B35658">
        <w:rPr>
          <w:rFonts w:cs="Times New Roman"/>
          <w:lang w:val="fr-CA"/>
        </w:rPr>
        <w:t>, le par. 7(1) n’était pas considéré comme conférant un droit global.</w:t>
      </w:r>
    </w:p>
    <w:p w:rsidR="00460821" w:rsidRPr="00B35658" w:rsidRDefault="00247A76" w:rsidP="00460821">
      <w:pPr>
        <w:pStyle w:val="ParaNoNdepar-AltN"/>
        <w:numPr>
          <w:ilvl w:val="0"/>
          <w:numId w:val="15"/>
        </w:numPr>
        <w:spacing w:before="0"/>
        <w:rPr>
          <w:rFonts w:cs="Times New Roman"/>
          <w:lang w:val="fr-CA"/>
        </w:rPr>
      </w:pPr>
      <w:r w:rsidRPr="00B35658">
        <w:rPr>
          <w:rFonts w:cs="Times New Roman"/>
          <w:lang w:val="fr-CA"/>
        </w:rPr>
        <w:t>Le paragraphe </w:t>
      </w:r>
      <w:r w:rsidR="00460821" w:rsidRPr="00B35658">
        <w:rPr>
          <w:rFonts w:cs="Times New Roman"/>
          <w:lang w:val="fr-CA"/>
        </w:rPr>
        <w:t xml:space="preserve">15(1) du </w:t>
      </w:r>
      <w:r w:rsidR="00460821" w:rsidRPr="00B35658">
        <w:rPr>
          <w:rFonts w:cs="Times New Roman"/>
          <w:i/>
          <w:lang w:val="fr-CA"/>
        </w:rPr>
        <w:t>PIRDCP</w:t>
      </w:r>
      <w:r w:rsidR="00460821" w:rsidRPr="00B35658">
        <w:rPr>
          <w:rFonts w:cs="Times New Roman"/>
          <w:lang w:val="fr-CA"/>
        </w:rPr>
        <w:t xml:space="preserve"> est certes plus ambigu. À l’instar de l’al. 11</w:t>
      </w:r>
      <w:r w:rsidR="00460821" w:rsidRPr="00B35658">
        <w:rPr>
          <w:rFonts w:cs="Times New Roman"/>
          <w:i/>
          <w:lang w:val="fr-CA"/>
        </w:rPr>
        <w:t>i</w:t>
      </w:r>
      <w:r w:rsidR="00460821" w:rsidRPr="00B35658">
        <w:rPr>
          <w:rFonts w:cs="Times New Roman"/>
          <w:lang w:val="fr-CA"/>
        </w:rPr>
        <w:t xml:space="preserve">), il contient un langage binaire (« peine plus légère »), mais comme il a été mentionné précédemment, le reste du libellé a une portée assez vaste. Les parties n’ont renvoyé à aucune décision ni à aucun commentaire général du Comité des droits de l’homme des Nations Unies portant sur la question de l’interprétation binaire ou globale du par. 15(1), et je n’en connais pas non plus. Il semble donc que la question de savoir si le par. 15(1) confère un droit binaire ou un droit global n’a toujours pas été </w:t>
      </w:r>
      <w:proofErr w:type="gramStart"/>
      <w:r w:rsidR="00460821" w:rsidRPr="00B35658">
        <w:rPr>
          <w:rFonts w:cs="Times New Roman"/>
          <w:lang w:val="fr-CA"/>
        </w:rPr>
        <w:t>tranchée</w:t>
      </w:r>
      <w:proofErr w:type="gramEnd"/>
      <w:r w:rsidR="00460821" w:rsidRPr="00B35658">
        <w:rPr>
          <w:rFonts w:cs="Times New Roman"/>
          <w:lang w:val="fr-CA"/>
        </w:rPr>
        <w:t xml:space="preserve">. De ce fait, je ne vois pas comment le par. 15(1) aurait pu amener les rédacteurs de la </w:t>
      </w:r>
      <w:r w:rsidR="00460821" w:rsidRPr="00B35658">
        <w:rPr>
          <w:rFonts w:cs="Times New Roman"/>
          <w:i/>
          <w:lang w:val="fr-CA"/>
        </w:rPr>
        <w:t xml:space="preserve">Charte </w:t>
      </w:r>
      <w:r w:rsidR="00460821" w:rsidRPr="00B35658">
        <w:rPr>
          <w:rFonts w:cs="Times New Roman"/>
          <w:lang w:val="fr-CA"/>
        </w:rPr>
        <w:t>à s’écarter, pour l’al. 11</w:t>
      </w:r>
      <w:r w:rsidR="00460821" w:rsidRPr="00B35658">
        <w:rPr>
          <w:rFonts w:cs="Times New Roman"/>
          <w:i/>
          <w:lang w:val="fr-CA"/>
        </w:rPr>
        <w:t>i</w:t>
      </w:r>
      <w:r w:rsidR="00460821" w:rsidRPr="00B35658">
        <w:rPr>
          <w:rFonts w:cs="Times New Roman"/>
          <w:lang w:val="fr-CA"/>
        </w:rPr>
        <w:t xml:space="preserve">), d’une interprétation binaire fondée sur l’al. 37e) de la </w:t>
      </w:r>
      <w:r w:rsidR="00460821" w:rsidRPr="00B35658">
        <w:rPr>
          <w:rFonts w:cs="Times New Roman"/>
          <w:i/>
          <w:lang w:val="fr-CA"/>
        </w:rPr>
        <w:t xml:space="preserve">Loi d’interprétation </w:t>
      </w:r>
      <w:r w:rsidR="00460821" w:rsidRPr="00B35658">
        <w:rPr>
          <w:rFonts w:cs="Times New Roman"/>
          <w:lang w:val="fr-CA"/>
        </w:rPr>
        <w:t xml:space="preserve">et sur le par. 7(1) de la </w:t>
      </w:r>
      <w:r w:rsidR="00460821" w:rsidRPr="00B35658">
        <w:rPr>
          <w:rFonts w:cs="Times New Roman"/>
          <w:i/>
          <w:lang w:val="fr-CA"/>
        </w:rPr>
        <w:t>CEDH</w:t>
      </w:r>
      <w:r w:rsidR="00460821" w:rsidRPr="00B35658">
        <w:rPr>
          <w:rFonts w:cs="Times New Roman"/>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À l’issue de cet examen des origines de l’al. 11</w:t>
      </w:r>
      <w:r w:rsidRPr="00B35658">
        <w:rPr>
          <w:rFonts w:cs="Times New Roman"/>
          <w:i/>
          <w:lang w:val="fr-CA"/>
        </w:rPr>
        <w:t>i</w:t>
      </w:r>
      <w:r w:rsidRPr="00B35658">
        <w:rPr>
          <w:rFonts w:cs="Times New Roman"/>
          <w:lang w:val="fr-CA"/>
        </w:rPr>
        <w:t>), rien ne me laisse croire que l’al. 11</w:t>
      </w:r>
      <w:r w:rsidRPr="00B35658">
        <w:rPr>
          <w:rFonts w:cs="Times New Roman"/>
          <w:i/>
          <w:lang w:val="fr-CA"/>
        </w:rPr>
        <w:t>i</w:t>
      </w:r>
      <w:r w:rsidRPr="00B35658">
        <w:rPr>
          <w:rFonts w:cs="Times New Roman"/>
          <w:lang w:val="fr-CA"/>
        </w:rPr>
        <w:t xml:space="preserve">) a enchâssé un droit plus vaste que le droit binaire que laisse entrevoir son libellé. Alors qu’un droit binaire était déjà explicitement reconnu dans la </w:t>
      </w:r>
      <w:r w:rsidRPr="00B35658">
        <w:rPr>
          <w:rFonts w:cs="Times New Roman"/>
          <w:i/>
          <w:lang w:val="fr-CA"/>
        </w:rPr>
        <w:t>Loi d’interprétation</w:t>
      </w:r>
      <w:r w:rsidRPr="00B35658">
        <w:rPr>
          <w:rFonts w:cs="Times New Roman"/>
          <w:lang w:val="fr-CA"/>
        </w:rPr>
        <w:t xml:space="preserve"> au moment de l’adoption de la </w:t>
      </w:r>
      <w:r w:rsidRPr="00B35658">
        <w:rPr>
          <w:rFonts w:cs="Times New Roman"/>
          <w:i/>
          <w:lang w:val="fr-CA"/>
        </w:rPr>
        <w:t>Charte</w:t>
      </w:r>
      <w:r w:rsidRPr="00B35658">
        <w:rPr>
          <w:rFonts w:cs="Times New Roman"/>
          <w:lang w:val="fr-CA"/>
        </w:rPr>
        <w:t>, il n’était fait état d’un droit global nulle part.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Il reste à voir si les objets de l’al. 11</w:t>
      </w:r>
      <w:r w:rsidRPr="00B35658">
        <w:rPr>
          <w:rFonts w:cs="Times New Roman"/>
          <w:i/>
          <w:lang w:val="fr-CA"/>
        </w:rPr>
        <w:t>i</w:t>
      </w:r>
      <w:r w:rsidRPr="00B35658">
        <w:rPr>
          <w:rFonts w:cs="Times New Roman"/>
          <w:lang w:val="fr-CA"/>
        </w:rPr>
        <w:t xml:space="preserve">) appuient une interprétation globale de ce dernier ou s’il existe un fondement téléologique justifiant une interprétation </w:t>
      </w:r>
      <w:r w:rsidRPr="00B35658">
        <w:rPr>
          <w:rFonts w:cs="Times New Roman"/>
          <w:lang w:val="fr-CA"/>
        </w:rPr>
        <w:lastRenderedPageBreak/>
        <w:t>globale de l’al. 11</w:t>
      </w:r>
      <w:r w:rsidRPr="00B35658">
        <w:rPr>
          <w:rFonts w:cs="Times New Roman"/>
          <w:i/>
          <w:lang w:val="fr-CA"/>
        </w:rPr>
        <w:t>i</w:t>
      </w:r>
      <w:r w:rsidRPr="00B35658">
        <w:rPr>
          <w:rFonts w:cs="Times New Roman"/>
          <w:lang w:val="fr-CA"/>
        </w:rPr>
        <w:t>). Bien que les origines de l’al. 11</w:t>
      </w:r>
      <w:r w:rsidRPr="00B35658">
        <w:rPr>
          <w:rFonts w:cs="Times New Roman"/>
          <w:i/>
          <w:lang w:val="fr-CA"/>
        </w:rPr>
        <w:t>i</w:t>
      </w:r>
      <w:r w:rsidRPr="00B35658">
        <w:rPr>
          <w:rFonts w:cs="Times New Roman"/>
          <w:lang w:val="fr-CA"/>
        </w:rPr>
        <w:t>) n’appuient pas une interprétation globale, l’al. 11</w:t>
      </w:r>
      <w:r w:rsidRPr="00B35658">
        <w:rPr>
          <w:rFonts w:cs="Times New Roman"/>
          <w:i/>
          <w:lang w:val="fr-CA"/>
        </w:rPr>
        <w:t>i</w:t>
      </w:r>
      <w:r w:rsidRPr="00B35658">
        <w:rPr>
          <w:rFonts w:cs="Times New Roman"/>
          <w:lang w:val="fr-CA"/>
        </w:rPr>
        <w:t xml:space="preserve">) pourrait tout de même être interprété de cette façon si ses objets le justifiaient (voir </w:t>
      </w:r>
      <w:r w:rsidRPr="00B35658">
        <w:rPr>
          <w:rFonts w:cs="Times New Roman"/>
          <w:i/>
          <w:lang w:val="fr-CA"/>
        </w:rPr>
        <w:t xml:space="preserve">Renvoi sur la </w:t>
      </w:r>
      <w:proofErr w:type="spellStart"/>
      <w:r w:rsidRPr="00B35658">
        <w:rPr>
          <w:rFonts w:cs="Times New Roman"/>
          <w:i/>
          <w:lang w:val="fr-CA"/>
        </w:rPr>
        <w:t>Motor</w:t>
      </w:r>
      <w:proofErr w:type="spellEnd"/>
      <w:r w:rsidRPr="00B35658">
        <w:rPr>
          <w:rFonts w:cs="Times New Roman"/>
          <w:i/>
          <w:lang w:val="fr-CA"/>
        </w:rPr>
        <w:t xml:space="preserve"> </w:t>
      </w:r>
      <w:proofErr w:type="spellStart"/>
      <w:r w:rsidRPr="00B35658">
        <w:rPr>
          <w:rFonts w:cs="Times New Roman"/>
          <w:i/>
          <w:lang w:val="fr-CA"/>
        </w:rPr>
        <w:t>Vehicle</w:t>
      </w:r>
      <w:proofErr w:type="spellEnd"/>
      <w:r w:rsidRPr="00B35658">
        <w:rPr>
          <w:rFonts w:cs="Times New Roman"/>
          <w:i/>
          <w:lang w:val="fr-CA"/>
        </w:rPr>
        <w:t xml:space="preserve"> </w:t>
      </w:r>
      <w:proofErr w:type="spellStart"/>
      <w:r w:rsidRPr="00B35658">
        <w:rPr>
          <w:rFonts w:cs="Times New Roman"/>
          <w:i/>
          <w:lang w:val="fr-CA"/>
        </w:rPr>
        <w:t>Act</w:t>
      </w:r>
      <w:proofErr w:type="spellEnd"/>
      <w:r w:rsidR="00A2068B">
        <w:rPr>
          <w:rFonts w:cs="Times New Roman"/>
          <w:i/>
          <w:lang w:val="fr-CA"/>
        </w:rPr>
        <w:t xml:space="preserve"> (C.-B.)</w:t>
      </w:r>
      <w:r w:rsidR="00453112" w:rsidRPr="00B35658">
        <w:rPr>
          <w:rFonts w:cs="Times New Roman"/>
          <w:lang w:val="fr-CA"/>
        </w:rPr>
        <w:t xml:space="preserve">, [1985] </w:t>
      </w:r>
      <w:r w:rsidRPr="00B35658">
        <w:rPr>
          <w:rFonts w:cs="Times New Roman"/>
          <w:lang w:val="fr-CA"/>
        </w:rPr>
        <w:t>2</w:t>
      </w:r>
      <w:r w:rsidR="00453112" w:rsidRPr="00B35658">
        <w:rPr>
          <w:rFonts w:cs="Times New Roman"/>
          <w:lang w:val="fr-CA"/>
        </w:rPr>
        <w:t xml:space="preserve"> </w:t>
      </w:r>
      <w:r w:rsidRPr="00B35658">
        <w:rPr>
          <w:rFonts w:cs="Times New Roman"/>
          <w:lang w:val="fr-CA"/>
        </w:rPr>
        <w:t>R.C.S.</w:t>
      </w:r>
      <w:r w:rsidR="00453112" w:rsidRPr="00B35658">
        <w:rPr>
          <w:rFonts w:cs="Times New Roman"/>
          <w:lang w:val="fr-CA"/>
        </w:rPr>
        <w:t xml:space="preserve"> 486, le juge </w:t>
      </w:r>
      <w:r w:rsidRPr="00B35658">
        <w:rPr>
          <w:rFonts w:cs="Times New Roman"/>
          <w:lang w:val="fr-CA"/>
        </w:rPr>
        <w:t>Lamer). Cependant, je suis d’avis que les objets de l’al. 11</w:t>
      </w:r>
      <w:r w:rsidRPr="00B35658">
        <w:rPr>
          <w:rFonts w:cs="Times New Roman"/>
          <w:i/>
          <w:lang w:val="fr-CA"/>
        </w:rPr>
        <w:t>i</w:t>
      </w:r>
      <w:r w:rsidRPr="00B35658">
        <w:rPr>
          <w:rFonts w:cs="Times New Roman"/>
          <w:lang w:val="fr-CA"/>
        </w:rPr>
        <w:t>) n’appuient pas une interprétation globale du droit. Je me pencherai maintenant sur cette analyse essentielle.</w:t>
      </w:r>
      <w:bookmarkStart w:id="23" w:name="_Toc12005420"/>
    </w:p>
    <w:p w:rsidR="00460821" w:rsidRPr="00B35658" w:rsidRDefault="00460821" w:rsidP="00460821">
      <w:pPr>
        <w:pStyle w:val="Title5LevelTitre5Niveau"/>
        <w:numPr>
          <w:ilvl w:val="4"/>
          <w:numId w:val="6"/>
        </w:numPr>
        <w:spacing w:before="0"/>
        <w:ind w:left="1152" w:hanging="576"/>
        <w:rPr>
          <w:rFonts w:cs="Times New Roman"/>
          <w:i/>
          <w:u w:val="none"/>
          <w:lang w:val="fr-CA"/>
        </w:rPr>
      </w:pPr>
      <w:bookmarkStart w:id="24" w:name="_Toc12278997"/>
      <w:r w:rsidRPr="00B35658">
        <w:rPr>
          <w:rFonts w:cs="Times New Roman"/>
          <w:i/>
          <w:u w:val="none"/>
          <w:lang w:val="fr-CA"/>
        </w:rPr>
        <w:t>Les objets de l’al. 11i) donnent naissance à un droit binaire</w:t>
      </w:r>
      <w:bookmarkEnd w:id="23"/>
      <w:bookmarkEnd w:id="24"/>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Je le répète, les objets qui sous</w:t>
      </w:r>
      <w:r w:rsidRPr="00B35658">
        <w:rPr>
          <w:rFonts w:cs="Times New Roman"/>
          <w:lang w:val="fr-CA"/>
        </w:rPr>
        <w:noBreakHyphen/>
        <w:t>tendent l’al. 11</w:t>
      </w:r>
      <w:r w:rsidRPr="00B35658">
        <w:rPr>
          <w:rFonts w:cs="Times New Roman"/>
          <w:i/>
          <w:lang w:val="fr-CA"/>
        </w:rPr>
        <w:t>i</w:t>
      </w:r>
      <w:r w:rsidRPr="00B35658">
        <w:rPr>
          <w:rFonts w:cs="Times New Roman"/>
          <w:lang w:val="fr-CA"/>
        </w:rPr>
        <w:t>) sont la primauté du droit et l’équité. M. Poulin et la CLA font valoir principalement que celui de ces principes qui exige une interprétation globale du droit est le principe de l’équité.</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Plus particulièrement, M. Poulin et la </w:t>
      </w:r>
      <w:proofErr w:type="gramStart"/>
      <w:r w:rsidRPr="00B35658">
        <w:rPr>
          <w:rFonts w:cs="Times New Roman"/>
          <w:lang w:val="fr-CA"/>
        </w:rPr>
        <w:t>CLA plaident</w:t>
      </w:r>
      <w:proofErr w:type="gramEnd"/>
      <w:r w:rsidRPr="00B35658">
        <w:rPr>
          <w:rFonts w:cs="Times New Roman"/>
          <w:lang w:val="fr-CA"/>
        </w:rPr>
        <w:t xml:space="preserve"> qu’une interprétation binaire de l’al. 11</w:t>
      </w:r>
      <w:r w:rsidRPr="00B35658">
        <w:rPr>
          <w:rFonts w:cs="Times New Roman"/>
          <w:i/>
          <w:lang w:val="fr-CA"/>
        </w:rPr>
        <w:t>i</w:t>
      </w:r>
      <w:r w:rsidRPr="00B35658">
        <w:rPr>
          <w:rFonts w:cs="Times New Roman"/>
          <w:lang w:val="fr-CA"/>
        </w:rPr>
        <w:t xml:space="preserve">) entraînerait une iniquité lorsque, par exemple, deux contrevenants ayant commis le même crime au même moment sont condamnés à des moments différents, alors que les régimes de détermination des peines en vigueur diffèrent. </w:t>
      </w:r>
      <w:proofErr w:type="gramStart"/>
      <w:r w:rsidRPr="00B35658">
        <w:rPr>
          <w:rFonts w:cs="Times New Roman"/>
          <w:lang w:val="fr-CA"/>
        </w:rPr>
        <w:t>Ils soutiennent</w:t>
      </w:r>
      <w:proofErr w:type="gramEnd"/>
      <w:r w:rsidRPr="00B35658">
        <w:rPr>
          <w:rFonts w:cs="Times New Roman"/>
          <w:lang w:val="fr-CA"/>
        </w:rPr>
        <w:t xml:space="preserve"> qu’une interprétation binaire du droit garanti par l’al. 11</w:t>
      </w:r>
      <w:r w:rsidRPr="00B35658">
        <w:rPr>
          <w:rFonts w:cs="Times New Roman"/>
          <w:i/>
          <w:lang w:val="fr-CA"/>
        </w:rPr>
        <w:t>i</w:t>
      </w:r>
      <w:r w:rsidR="00977950">
        <w:rPr>
          <w:rFonts w:cs="Times New Roman"/>
          <w:lang w:val="fr-CA"/>
        </w:rPr>
        <w:t xml:space="preserve">) accorderait à ces deux </w:t>
      </w:r>
      <w:r w:rsidRPr="00B35658">
        <w:rPr>
          <w:rFonts w:cs="Times New Roman"/>
          <w:lang w:val="fr-CA"/>
        </w:rPr>
        <w:t>contrevenants le droit constitutionnel de bénéficier de peines différentes. L’AQAAD prétend elle aussi que ce résultat serait arbitraire puisque les contrevenants n’ont aucun contrôle sur le moment de l’enquête, de la poursuite et de la détermination de la peine, ni sur le moment où des modifications législatives sont apportées aux dispositions sur la détermination de la peine.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Voici un exemple hypothétique qui illustre bien le type de situation auquel songent ces parties :</w:t>
      </w:r>
    </w:p>
    <w:p w:rsidR="00894869" w:rsidRPr="00894869" w:rsidRDefault="00460821" w:rsidP="00894869">
      <w:pPr>
        <w:pStyle w:val="Citation-AltC"/>
        <w:numPr>
          <w:ilvl w:val="0"/>
          <w:numId w:val="5"/>
        </w:numPr>
        <w:spacing w:after="480" w:line="480" w:lineRule="auto"/>
        <w:ind w:left="720" w:hanging="720"/>
        <w:contextualSpacing w:val="0"/>
        <w:rPr>
          <w:lang w:val="fr-CA"/>
        </w:rPr>
      </w:pPr>
      <w:r w:rsidRPr="00B35658">
        <w:rPr>
          <w:rFonts w:eastAsiaTheme="minorEastAsia"/>
          <w:lang w:val="fr-CA"/>
        </w:rPr>
        <w:t>« A » et « B » commettent la même infraction au même moment. La peine prévue pour l’infraction est de « niveau 3 ».</w:t>
      </w:r>
    </w:p>
    <w:p w:rsidR="00894869" w:rsidRPr="00894869" w:rsidRDefault="00460821" w:rsidP="00894869">
      <w:pPr>
        <w:pStyle w:val="Citation-AltC"/>
        <w:numPr>
          <w:ilvl w:val="0"/>
          <w:numId w:val="5"/>
        </w:numPr>
        <w:spacing w:after="480" w:line="480" w:lineRule="auto"/>
        <w:ind w:left="720" w:hanging="720"/>
        <w:contextualSpacing w:val="0"/>
        <w:rPr>
          <w:lang w:val="fr-CA"/>
        </w:rPr>
      </w:pPr>
      <w:r w:rsidRPr="00B35658">
        <w:rPr>
          <w:lang w:val="fr-CA"/>
        </w:rPr>
        <w:t xml:space="preserve">La </w:t>
      </w:r>
      <w:r w:rsidRPr="00894869">
        <w:rPr>
          <w:rFonts w:eastAsiaTheme="minorEastAsia"/>
          <w:lang w:val="fr-CA"/>
        </w:rPr>
        <w:t>peine</w:t>
      </w:r>
      <w:r w:rsidRPr="00B35658">
        <w:rPr>
          <w:lang w:val="fr-CA"/>
        </w:rPr>
        <w:t xml:space="preserve"> prévue pour l’infraction est temporairement ramenée au « niveau 1 ».</w:t>
      </w:r>
    </w:p>
    <w:p w:rsidR="00894869" w:rsidRPr="00894869" w:rsidRDefault="00460821" w:rsidP="00894869">
      <w:pPr>
        <w:pStyle w:val="Citation-AltC"/>
        <w:numPr>
          <w:ilvl w:val="0"/>
          <w:numId w:val="5"/>
        </w:numPr>
        <w:spacing w:after="480" w:line="480" w:lineRule="auto"/>
        <w:ind w:left="720" w:hanging="720"/>
        <w:contextualSpacing w:val="0"/>
        <w:rPr>
          <w:lang w:val="fr-CA"/>
        </w:rPr>
      </w:pPr>
      <w:r w:rsidRPr="00B35658">
        <w:rPr>
          <w:lang w:val="fr-CA"/>
        </w:rPr>
        <w:t>A est condamné à une peine de « niveau 1 ».</w:t>
      </w:r>
    </w:p>
    <w:p w:rsidR="00894869" w:rsidRPr="00894869" w:rsidRDefault="00460821" w:rsidP="00894869">
      <w:pPr>
        <w:pStyle w:val="Citation-AltC"/>
        <w:numPr>
          <w:ilvl w:val="0"/>
          <w:numId w:val="5"/>
        </w:numPr>
        <w:spacing w:after="480" w:line="480" w:lineRule="auto"/>
        <w:ind w:left="720" w:hanging="720"/>
        <w:contextualSpacing w:val="0"/>
        <w:rPr>
          <w:lang w:val="fr-CA"/>
        </w:rPr>
      </w:pPr>
      <w:r w:rsidRPr="00B35658">
        <w:rPr>
          <w:lang w:val="fr-CA"/>
        </w:rPr>
        <w:t xml:space="preserve">La </w:t>
      </w:r>
      <w:r w:rsidRPr="00894869">
        <w:rPr>
          <w:rFonts w:eastAsiaTheme="minorEastAsia"/>
          <w:lang w:val="fr-CA"/>
        </w:rPr>
        <w:t>peine</w:t>
      </w:r>
      <w:r w:rsidRPr="00B35658">
        <w:rPr>
          <w:lang w:val="fr-CA"/>
        </w:rPr>
        <w:t xml:space="preserve"> prévue pour l’infraction passe ensuite au « niveau 2 ».</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 xml:space="preserve">B est </w:t>
      </w:r>
      <w:r w:rsidRPr="00894869">
        <w:rPr>
          <w:rFonts w:eastAsiaTheme="minorEastAsia"/>
          <w:lang w:val="fr-CA"/>
        </w:rPr>
        <w:t>condamné</w:t>
      </w:r>
      <w:r w:rsidRPr="00B35658">
        <w:rPr>
          <w:lang w:val="fr-CA"/>
        </w:rPr>
        <w:t xml:space="preserve"> à une peine de « niveau 2 ».</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Il y a, à mon avis, trois failles cruciales dans l’argument selon lequel le principe d’équité (et, plus particulièrement, les préoccupations au sujet du caractère arbitraire) commande une interprétation globale de l’al. 11</w:t>
      </w:r>
      <w:r w:rsidRPr="00B35658">
        <w:rPr>
          <w:rFonts w:cs="Times New Roman"/>
          <w:i/>
          <w:lang w:val="fr-CA"/>
        </w:rPr>
        <w:t>i</w:t>
      </w:r>
      <w:r w:rsidRPr="00B35658">
        <w:rPr>
          <w:rFonts w:cs="Times New Roman"/>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Premièrement, il n’est ni injuste ni arbitraire qu’un contrevenant comme B soit puni conformément aux lois en vigueur au moment où il a commis son infraction, ou à une loi plus favorable s’il y en avait une en vigueur au moment de sa sentence. Au contraire, ces deux lois sont </w:t>
      </w:r>
      <w:r w:rsidRPr="00B35658">
        <w:rPr>
          <w:rFonts w:cs="Times New Roman"/>
          <w:i/>
          <w:lang w:val="fr-CA"/>
        </w:rPr>
        <w:t>liées</w:t>
      </w:r>
      <w:r w:rsidRPr="00B35658">
        <w:rPr>
          <w:rFonts w:cs="Times New Roman"/>
          <w:lang w:val="fr-CA"/>
        </w:rPr>
        <w:t xml:space="preserve"> au contrevenant et à la poursuite engagée contre lui : la première loi établit la peine qu’il risquait de se voir infliger au moment où il a commis l’infraction et l’autre établit de la même manière les contours d’une peine qui </w:t>
      </w:r>
      <w:r w:rsidRPr="00B35658">
        <w:rPr>
          <w:rFonts w:cs="Times New Roman"/>
          <w:lang w:val="fr-CA"/>
        </w:rPr>
        <w:lastRenderedPageBreak/>
        <w:t>tient compte de la perception de la société quant à la gravité de l’infraction et à la responsabilité du contrevenant au moment précis où la peine lui est infligée. Ces peines sont donc rattachées à deux moments précis qui sont profondément liés à la criminalité et à la conduite du contrevenant. Il est, par conséquent, juste et rationnel que le contrevenant puisse bénéficier de l’une de ces peines. À l’inverse, il n’existe aucune raison de principe d’accorder à un contrevenant comme B le bénéfice d’une peine n’ayant aucun lien avec sa conduite fautive ou avec la perception de la société à l’égard de sa conduite au moment où le tribunal est appelé à déterminer la peine.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Le fait que l’un des deux contrevenants hypothétiques mentionnés plus haut (soit A) reçoive une peine plus clémente que l’autre (soit B) s’explique par le changement de perception de la société quant à la gravité de l’infraction, lequel changement est survenu entre le moment de la sentence de A et celui de la sentence de B. Ce n’est en rien arbitraire; c’est la réalité des modifications législatives. Un contrevenant n’est pas traité de façon injuste, ou arbitraire, du simple fait que l’autre est condamné à un moment où la société se montre plus indulgente à l’égard de l’infraction en cause.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Sans le nommer, M. Poulin, la CLA et l’AQAAD invoquent essentiellement le principe de la « parité » lorsqu’ils allèguent que l’al. 11</w:t>
      </w:r>
      <w:r w:rsidRPr="00B35658">
        <w:rPr>
          <w:rFonts w:cs="Times New Roman"/>
          <w:i/>
          <w:lang w:val="fr-CA"/>
        </w:rPr>
        <w:t>i</w:t>
      </w:r>
      <w:r w:rsidRPr="00B35658">
        <w:rPr>
          <w:rFonts w:cs="Times New Roman"/>
          <w:lang w:val="fr-CA"/>
        </w:rPr>
        <w:t xml:space="preserve">) doit être interprété d’une manière visant à traiter les contrevenants semblables de façon semblable au moment de la sentence. Ce principe, établi à l’al. 718.2b) du </w:t>
      </w:r>
      <w:r w:rsidRPr="00B35658">
        <w:rPr>
          <w:rFonts w:cs="Times New Roman"/>
          <w:i/>
          <w:lang w:val="fr-CA"/>
        </w:rPr>
        <w:t>Code criminel</w:t>
      </w:r>
      <w:r w:rsidRPr="00B35658">
        <w:rPr>
          <w:rFonts w:cs="Times New Roman"/>
          <w:lang w:val="fr-CA"/>
        </w:rPr>
        <w:t>, prévoit « l’harmonisation des peines, c’est</w:t>
      </w:r>
      <w:r w:rsidRPr="00B35658">
        <w:rPr>
          <w:rFonts w:cs="Times New Roman"/>
          <w:lang w:val="fr-CA"/>
        </w:rPr>
        <w:noBreakHyphen/>
        <w:t>à</w:t>
      </w:r>
      <w:r w:rsidRPr="00B35658">
        <w:rPr>
          <w:rFonts w:cs="Times New Roman"/>
          <w:lang w:val="fr-CA"/>
        </w:rPr>
        <w:noBreakHyphen/>
        <w:t xml:space="preserve">dire l’infliction de peines </w:t>
      </w:r>
      <w:r w:rsidRPr="00B35658">
        <w:rPr>
          <w:rFonts w:cs="Times New Roman"/>
          <w:lang w:val="fr-CA"/>
        </w:rPr>
        <w:lastRenderedPageBreak/>
        <w:t xml:space="preserve">semblables à celles infligées à des délinquants pour des infractions semblables commises dans des circonstances semblables ». Toutefois, ce principe n’a jamais garanti à des contrevenants semblables des peines équivalentes dans le cadre de régimes de détermination des peines différents. Il n’a d’ailleurs jamais garanti des peines équivalentes à des contrevenants semblables dans le cadre d’un </w:t>
      </w:r>
      <w:r w:rsidRPr="00826FDD">
        <w:rPr>
          <w:rFonts w:cs="Times New Roman"/>
          <w:i/>
          <w:lang w:val="fr-CA"/>
        </w:rPr>
        <w:t>même</w:t>
      </w:r>
      <w:r w:rsidRPr="00B35658">
        <w:rPr>
          <w:rFonts w:cs="Times New Roman"/>
          <w:lang w:val="fr-CA"/>
        </w:rPr>
        <w:t xml:space="preserve"> régime (</w:t>
      </w:r>
      <w:r w:rsidRPr="00B35658">
        <w:rPr>
          <w:rFonts w:cs="Times New Roman"/>
          <w:i/>
          <w:lang w:val="fr-CA"/>
        </w:rPr>
        <w:t>R. c. M. (C.A.)</w:t>
      </w:r>
      <w:r w:rsidRPr="00B35658">
        <w:rPr>
          <w:rFonts w:cs="Times New Roman"/>
          <w:lang w:val="fr-CA"/>
        </w:rPr>
        <w:t>, [1996]</w:t>
      </w:r>
      <w:r w:rsidR="00826FDD">
        <w:rPr>
          <w:rFonts w:cs="Times New Roman"/>
          <w:lang w:val="fr-CA"/>
        </w:rPr>
        <w:t xml:space="preserve"> 1 </w:t>
      </w:r>
      <w:r w:rsidRPr="00B35658">
        <w:rPr>
          <w:rFonts w:cs="Times New Roman"/>
          <w:lang w:val="fr-CA"/>
        </w:rPr>
        <w:t>R.C.S.</w:t>
      </w:r>
      <w:r w:rsidR="00826FDD">
        <w:rPr>
          <w:rFonts w:cs="Times New Roman"/>
          <w:lang w:val="fr-CA"/>
        </w:rPr>
        <w:t xml:space="preserve"> </w:t>
      </w:r>
      <w:r w:rsidRPr="00B35658">
        <w:rPr>
          <w:rFonts w:cs="Times New Roman"/>
          <w:lang w:val="fr-CA"/>
        </w:rPr>
        <w:t>500, par. 92). Comme la Cour l’a déclaré dans l’arrêt </w:t>
      </w:r>
      <w:r w:rsidRPr="00B35658">
        <w:rPr>
          <w:rFonts w:cs="Times New Roman"/>
          <w:i/>
          <w:lang w:val="fr-CA"/>
        </w:rPr>
        <w:t>R. c. L.M.</w:t>
      </w:r>
      <w:r w:rsidRPr="00B35658">
        <w:rPr>
          <w:rFonts w:cs="Times New Roman"/>
          <w:lang w:val="fr-CA"/>
        </w:rPr>
        <w:t>, 2008 CSC 31, [2008] 2 R.C.S. 163, par. 36 :</w:t>
      </w:r>
    </w:p>
    <w:p w:rsidR="00460821" w:rsidRPr="00B35658" w:rsidRDefault="00460821" w:rsidP="00460821">
      <w:pPr>
        <w:pStyle w:val="Citation-AltC"/>
        <w:tabs>
          <w:tab w:val="left" w:pos="1440"/>
        </w:tabs>
        <w:contextualSpacing w:val="0"/>
        <w:rPr>
          <w:lang w:val="fr-CA"/>
        </w:rPr>
      </w:pPr>
      <w:r w:rsidRPr="00B35658">
        <w:rPr>
          <w:lang w:val="fr-CA"/>
        </w:rPr>
        <w:tab/>
        <w:t>Des peines prononcées à l’égard des mêmes catégories d’infraction ne seront pas toujours parfaitement semblables, en raison de la nature même d’un processus de détermination de la peine axé sur l’individu. En effet, le principe de la parité n’interdit pas la disparité</w:t>
      </w:r>
      <w:r w:rsidR="00826FDD">
        <w:rPr>
          <w:lang w:val="fr-CA"/>
        </w:rPr>
        <w:t xml:space="preserve"> </w:t>
      </w:r>
      <w:r w:rsidRPr="00B35658">
        <w:rPr>
          <w:i/>
          <w:lang w:val="fr-CA"/>
        </w:rPr>
        <w:t>si les circonstances le justifient</w:t>
      </w:r>
      <w:r w:rsidRPr="00B35658">
        <w:rPr>
          <w:lang w:val="fr-CA"/>
        </w:rPr>
        <w:t xml:space="preserve">, en raison de l’existence de la règle de la proportionnalité (voir </w:t>
      </w:r>
      <w:proofErr w:type="spellStart"/>
      <w:r w:rsidRPr="00B35658">
        <w:rPr>
          <w:lang w:val="fr-CA"/>
        </w:rPr>
        <w:t>Dadour</w:t>
      </w:r>
      <w:proofErr w:type="spellEnd"/>
      <w:r w:rsidRPr="00B35658">
        <w:rPr>
          <w:lang w:val="fr-CA"/>
        </w:rPr>
        <w:t>, p. 18). Comme notre Cour l’a rapp</w:t>
      </w:r>
      <w:r w:rsidR="00826FDD">
        <w:rPr>
          <w:lang w:val="fr-CA"/>
        </w:rPr>
        <w:t xml:space="preserve">elé dans </w:t>
      </w:r>
      <w:r w:rsidRPr="00826FDD">
        <w:rPr>
          <w:i/>
          <w:lang w:val="fr-CA"/>
        </w:rPr>
        <w:t>M. (C.A.)</w:t>
      </w:r>
      <w:r w:rsidRPr="00B35658">
        <w:rPr>
          <w:lang w:val="fr-CA"/>
        </w:rPr>
        <w:t>, par. 92, « il n’existe pas de peine uniforme pour un crime donné ». [En italique dans l’original.]</w:t>
      </w:r>
    </w:p>
    <w:p w:rsidR="00460821" w:rsidRPr="00B35658" w:rsidRDefault="00460821" w:rsidP="00460821">
      <w:pPr>
        <w:pStyle w:val="ContinueParaSuitedupar-AltP"/>
        <w:rPr>
          <w:rFonts w:cs="Times New Roman"/>
          <w:lang w:val="fr-CA"/>
        </w:rPr>
      </w:pPr>
      <w:r w:rsidRPr="00B35658">
        <w:rPr>
          <w:rFonts w:cs="Times New Roman"/>
          <w:lang w:val="fr-CA"/>
        </w:rPr>
        <w:t>Un régime de détermination des peines différent constitue visiblement une circonstance qui justifie une peine différente. Pour en revenir à l’exemple hypothétique présenté plus haut, la différence entre les peines infligées à A et à B [</w:t>
      </w:r>
      <w:r w:rsidRPr="00B35658">
        <w:rPr>
          <w:rFonts w:cs="Times New Roman"/>
          <w:smallCaps/>
          <w:lang w:val="fr-CA"/>
        </w:rPr>
        <w:t>traduction</w:t>
      </w:r>
      <w:r w:rsidRPr="00B35658">
        <w:rPr>
          <w:rFonts w:cs="Times New Roman"/>
          <w:lang w:val="fr-CA"/>
        </w:rPr>
        <w:t>] « peut s’expliquer rationnellement » par la modification législative (</w:t>
      </w:r>
      <w:r w:rsidRPr="00B35658">
        <w:rPr>
          <w:rFonts w:cs="Times New Roman"/>
          <w:i/>
          <w:lang w:val="fr-CA"/>
        </w:rPr>
        <w:t>R. c. </w:t>
      </w:r>
      <w:proofErr w:type="spellStart"/>
      <w:r w:rsidRPr="00B35658">
        <w:rPr>
          <w:rFonts w:cs="Times New Roman"/>
          <w:i/>
          <w:lang w:val="fr-CA"/>
        </w:rPr>
        <w:t>Klemenz</w:t>
      </w:r>
      <w:proofErr w:type="spellEnd"/>
      <w:r w:rsidRPr="00B35658">
        <w:rPr>
          <w:rFonts w:cs="Times New Roman"/>
          <w:lang w:val="fr-CA"/>
        </w:rPr>
        <w:t xml:space="preserve">, 2015 SKCA 89, 465 </w:t>
      </w:r>
      <w:proofErr w:type="spellStart"/>
      <w:r w:rsidRPr="00B35658">
        <w:rPr>
          <w:rFonts w:cs="Times New Roman"/>
          <w:lang w:val="fr-CA"/>
        </w:rPr>
        <w:t>Sask</w:t>
      </w:r>
      <w:proofErr w:type="spellEnd"/>
      <w:r w:rsidRPr="00B35658">
        <w:rPr>
          <w:rFonts w:cs="Times New Roman"/>
          <w:lang w:val="fr-CA"/>
        </w:rPr>
        <w:t>. R. 134, par. 46).</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En insistant pour dire que les deux contrevenants présentés dans l’exemple hypothétique devraient tous deux bénéficier de la même peine la moins sévère, M. Poulin, la CLA et l’AQAAD font passer leur préoccupation mal placée quant au caractère injuste ou arbitraire de la situation </w:t>
      </w:r>
      <w:r w:rsidRPr="00B35658">
        <w:rPr>
          <w:rFonts w:cs="Times New Roman"/>
          <w:i/>
          <w:lang w:val="fr-CA"/>
        </w:rPr>
        <w:t xml:space="preserve">entre ces deux contrevenants </w:t>
      </w:r>
      <w:r w:rsidRPr="00B35658">
        <w:rPr>
          <w:rFonts w:cs="Times New Roman"/>
          <w:lang w:val="fr-CA"/>
        </w:rPr>
        <w:t xml:space="preserve">devant les </w:t>
      </w:r>
      <w:r w:rsidRPr="00B35658">
        <w:rPr>
          <w:rFonts w:cs="Times New Roman"/>
          <w:lang w:val="fr-CA"/>
        </w:rPr>
        <w:lastRenderedPageBreak/>
        <w:t>principes établis par l’al. 11</w:t>
      </w:r>
      <w:r w:rsidRPr="00B35658">
        <w:rPr>
          <w:rFonts w:cs="Times New Roman"/>
          <w:i/>
          <w:lang w:val="fr-CA"/>
        </w:rPr>
        <w:t>i</w:t>
      </w:r>
      <w:r w:rsidRPr="00B35658">
        <w:rPr>
          <w:rFonts w:cs="Times New Roman"/>
          <w:lang w:val="fr-CA"/>
        </w:rPr>
        <w:t>) — à savoir qu’un contrevenant ne devrait pas se trouver « pris au piège » par l’aggravation ultérieure de la peine prévue et qu’il ne devrait pas se voir infliger une peine plus sévère et dépassée. La proportionnalité tient en partie à « la gravité de l’infraction » (</w:t>
      </w:r>
      <w:r w:rsidRPr="00B35658">
        <w:rPr>
          <w:rFonts w:cs="Times New Roman"/>
          <w:i/>
          <w:lang w:val="fr-CA"/>
        </w:rPr>
        <w:t>Code criminel</w:t>
      </w:r>
      <w:r w:rsidRPr="00B35658">
        <w:rPr>
          <w:rFonts w:cs="Times New Roman"/>
          <w:lang w:val="fr-CA"/>
        </w:rPr>
        <w:t>, art. 718.1). À part le moment où l’infraction est commise, elle ne tient pas à l’ancienne perception du législateur quant à la gravité de l’infraction simplement parce qu’elle a déjà été plus favorable au contrevenant.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Il vaut la peine de noter que, dans l’exemple hypothétique donné plus haut, les deux contrevenants sont avantagés. Ils bénéficient tous deux d’une peine moins sévère que celle qui s’appliquait au moment où ils ont commis leur infraction : A reçoit une peine de niveau 1 et B, une peine de niveau 2, alors que la peine à laquelle ils s’exposaient au moment où ils ont commis leur infraction était de niveau 3. Même s’ils bénéficient de peines moins sévères différentes au titre de l’al. 11</w:t>
      </w:r>
      <w:r w:rsidRPr="00B35658">
        <w:rPr>
          <w:rFonts w:cs="Times New Roman"/>
          <w:i/>
          <w:lang w:val="fr-CA"/>
        </w:rPr>
        <w:t>i</w:t>
      </w:r>
      <w:r w:rsidRPr="00B35658">
        <w:rPr>
          <w:rFonts w:cs="Times New Roman"/>
          <w:lang w:val="fr-CA"/>
        </w:rPr>
        <w:t>), ils bénéficient tous deux de la protection offerte par le droit binaire garanti à l’al. 11</w:t>
      </w:r>
      <w:r w:rsidRPr="00B35658">
        <w:rPr>
          <w:rFonts w:cs="Times New Roman"/>
          <w:i/>
          <w:lang w:val="fr-CA"/>
        </w:rPr>
        <w:t>i</w:t>
      </w:r>
      <w:r w:rsidRPr="00B35658">
        <w:rPr>
          <w:rFonts w:cs="Times New Roman"/>
          <w:lang w:val="fr-CA"/>
        </w:rPr>
        <w:t xml:space="preserve">) au moment de leur sentence. Ils sont tous deux passibles, en guise de peine </w:t>
      </w:r>
      <w:r w:rsidRPr="00B35658">
        <w:rPr>
          <w:rFonts w:cs="Times New Roman"/>
          <w:i/>
          <w:lang w:val="fr-CA"/>
        </w:rPr>
        <w:t>maximale</w:t>
      </w:r>
      <w:r w:rsidRPr="00B35658">
        <w:rPr>
          <w:rFonts w:cs="Times New Roman"/>
          <w:lang w:val="fr-CA"/>
        </w:rPr>
        <w:t>, de la peine applicable au moment où ils ont commis leur infraction.</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Deuxièmement, la logique de la position de ces parties est fortement sapée par le fait qu’une interprétation globale de l’al. 11</w:t>
      </w:r>
      <w:r w:rsidRPr="00B35658">
        <w:rPr>
          <w:rFonts w:cs="Times New Roman"/>
          <w:i/>
          <w:lang w:val="fr-CA"/>
        </w:rPr>
        <w:t>i</w:t>
      </w:r>
      <w:r w:rsidRPr="00B35658">
        <w:rPr>
          <w:rFonts w:cs="Times New Roman"/>
          <w:lang w:val="fr-CA"/>
        </w:rPr>
        <w:t>) ne garantirait pas, en réalité, un résultat identique pour deux contrevenants ayant commis leur infraction au même moment. L’exemple hypothétique qui suit, lequel a d’ailleurs été donné par la CLA, l’illustre bien :</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lastRenderedPageBreak/>
        <w:t>« A » et « B » commettent une infraction ensemble. La peine prévue est une peine minimale obligatoire.</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A et B sont jugés séparément.</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A est déclaré coupable et est condamné à la peine minimale obligatoire.</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Le procès de B se solde par une annulation. B subit un deuxième procès.</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La peine minimale obligatoire est abolie.</w:t>
      </w:r>
    </w:p>
    <w:p w:rsidR="00460821" w:rsidRPr="00B35658" w:rsidRDefault="00460821" w:rsidP="00894869">
      <w:pPr>
        <w:pStyle w:val="Citation-AltC"/>
        <w:numPr>
          <w:ilvl w:val="0"/>
          <w:numId w:val="5"/>
        </w:numPr>
        <w:spacing w:after="480" w:line="480" w:lineRule="auto"/>
        <w:ind w:left="720" w:hanging="720"/>
        <w:contextualSpacing w:val="0"/>
        <w:rPr>
          <w:lang w:val="fr-CA"/>
        </w:rPr>
      </w:pPr>
      <w:r w:rsidRPr="00B35658">
        <w:rPr>
          <w:lang w:val="fr-CA"/>
        </w:rPr>
        <w:t>B est déclaré coupable et est condamné, mais ne se voit pas infliger la peine obligatoire.</w:t>
      </w:r>
    </w:p>
    <w:p w:rsidR="00460821" w:rsidRPr="00B35658" w:rsidRDefault="00460821" w:rsidP="00460821">
      <w:pPr>
        <w:pStyle w:val="ContinueParaSuitedupar-AltP"/>
        <w:spacing w:before="0"/>
        <w:rPr>
          <w:rFonts w:cs="Times New Roman"/>
          <w:lang w:val="fr-CA"/>
        </w:rPr>
      </w:pPr>
      <w:r w:rsidRPr="00B35658">
        <w:rPr>
          <w:rFonts w:cs="Times New Roman"/>
          <w:lang w:val="fr-CA"/>
        </w:rPr>
        <w:t>Dans cet exemple, une interprétation globale de l’al. 11</w:t>
      </w:r>
      <w:r w:rsidRPr="00B35658">
        <w:rPr>
          <w:rFonts w:cs="Times New Roman"/>
          <w:i/>
          <w:lang w:val="fr-CA"/>
        </w:rPr>
        <w:t>i</w:t>
      </w:r>
      <w:r w:rsidR="00B44229" w:rsidRPr="00B35658">
        <w:rPr>
          <w:rFonts w:cs="Times New Roman"/>
          <w:lang w:val="fr-CA"/>
        </w:rPr>
        <w:t xml:space="preserve">) ne favoriserait en rien </w:t>
      </w:r>
      <w:r w:rsidRPr="00B35658">
        <w:rPr>
          <w:rFonts w:cs="Times New Roman"/>
          <w:lang w:val="fr-CA"/>
        </w:rPr>
        <w:t>A. Contrairement à l’exemple précédent, ce contrevenant n’a pas été privé d’une peine intermédiaire moins sévère en raison du moment de sa sentence. Le fait est que les procédures engagées contre B ont pris plus de temps et ont duré jusqu’à ce qu’une peine plus clémente soit adoptée. En somme, tout ce que l’exemple hypothétique de la CLA arrive à démontrer est que les procédures engagées contre divers contrevenants peuvent, inévitablement, se dérouler à des rythmes différents. Comme le révèle l’exemple, une interprétation globale de l’al. 11</w:t>
      </w:r>
      <w:r w:rsidRPr="00B35658">
        <w:rPr>
          <w:rFonts w:cs="Times New Roman"/>
          <w:i/>
          <w:lang w:val="fr-CA"/>
        </w:rPr>
        <w:t>i</w:t>
      </w:r>
      <w:r w:rsidRPr="00B35658">
        <w:rPr>
          <w:rFonts w:cs="Times New Roman"/>
          <w:lang w:val="fr-CA"/>
        </w:rPr>
        <w:t>) ne peut ni empêcher ni contrebalancer les différences dans le traitement qui découlent du fait que chaque procédure se déroule à son propre rythme.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Je propose un autre exemple hypothétique pour démontrer qu’une interprétation globale de l’al. 11</w:t>
      </w:r>
      <w:r w:rsidRPr="00B35658">
        <w:rPr>
          <w:rFonts w:cs="Times New Roman"/>
          <w:i/>
          <w:lang w:val="fr-CA"/>
        </w:rPr>
        <w:t>i</w:t>
      </w:r>
      <w:r w:rsidRPr="00B35658">
        <w:rPr>
          <w:rFonts w:cs="Times New Roman"/>
          <w:lang w:val="fr-CA"/>
        </w:rPr>
        <w:t>) ne permettrait pas de garantir que la même peine sera infligée à des contrevenants semblables :</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 A » commet une infraction. La peine prévue pour l’infraction est de « niveau 2 ».</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La peine prévue pour l’infraction est temporairement ramenée au « niveau 1 ».</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La peine prévue pour l’infraction est rapidement rétablie au « niveau 2 ».</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 B » commet la même infraction.</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La peine pour l’infraction est élevée au « niveau 3 ».</w:t>
      </w:r>
    </w:p>
    <w:p w:rsidR="00460821" w:rsidRPr="00B35658" w:rsidRDefault="00460821" w:rsidP="007A527F">
      <w:pPr>
        <w:pStyle w:val="Citation-AltC"/>
        <w:numPr>
          <w:ilvl w:val="0"/>
          <w:numId w:val="5"/>
        </w:numPr>
        <w:spacing w:after="480" w:line="480" w:lineRule="auto"/>
        <w:ind w:left="720" w:hanging="720"/>
        <w:contextualSpacing w:val="0"/>
        <w:rPr>
          <w:lang w:val="fr-CA"/>
        </w:rPr>
      </w:pPr>
      <w:r w:rsidRPr="00B35658">
        <w:rPr>
          <w:lang w:val="fr-CA"/>
        </w:rPr>
        <w:t>A et B sont tous deux déclarés coupables et reçoivent leur sentence le même jour.</w:t>
      </w:r>
    </w:p>
    <w:p w:rsidR="00460821" w:rsidRPr="00B35658" w:rsidRDefault="00460821" w:rsidP="00460821">
      <w:pPr>
        <w:pStyle w:val="ContinueParaSuitedupar-AltP"/>
        <w:spacing w:before="0"/>
        <w:rPr>
          <w:rFonts w:cs="Times New Roman"/>
          <w:lang w:val="fr-CA"/>
        </w:rPr>
      </w:pPr>
      <w:r w:rsidRPr="00B35658">
        <w:rPr>
          <w:rFonts w:cs="Times New Roman"/>
          <w:lang w:val="fr-CA"/>
        </w:rPr>
        <w:t>Selon une interprétation globale de l’al. 11</w:t>
      </w:r>
      <w:r w:rsidRPr="00B35658">
        <w:rPr>
          <w:rFonts w:cs="Times New Roman"/>
          <w:i/>
          <w:lang w:val="fr-CA"/>
        </w:rPr>
        <w:t>i</w:t>
      </w:r>
      <w:r w:rsidRPr="00B35658">
        <w:rPr>
          <w:rFonts w:cs="Times New Roman"/>
          <w:lang w:val="fr-CA"/>
        </w:rPr>
        <w:t xml:space="preserve">), A bénéficierait d’une peine de niveau 1, puisque cette peine s’appliquait — quoique temporairement — entre le moment où il a commis l’infraction et le moment de sa sentence. B, quant à lui, recevrait une peine de niveau 2, même si les deux contrevenants ont commis leur infraction alors que la peine applicable était de niveau 2 et qu’ils ont tous deux été condamnés alors que la peine applicable était de niveau 3. En dépit de leurs situations identiques, une interprétation </w:t>
      </w:r>
      <w:r w:rsidRPr="00B35658">
        <w:rPr>
          <w:rFonts w:cs="Times New Roman"/>
          <w:lang w:val="fr-CA"/>
        </w:rPr>
        <w:lastRenderedPageBreak/>
        <w:t>globale de l’al. 11</w:t>
      </w:r>
      <w:r w:rsidRPr="00B35658">
        <w:rPr>
          <w:rFonts w:cs="Times New Roman"/>
          <w:i/>
          <w:lang w:val="fr-CA"/>
        </w:rPr>
        <w:t>i</w:t>
      </w:r>
      <w:r w:rsidRPr="00B35658">
        <w:rPr>
          <w:rFonts w:cs="Times New Roman"/>
          <w:lang w:val="fr-CA"/>
        </w:rPr>
        <w:t>) confère, de façon arbitraire, un plus grand avantage à A. Par conséquent, je ne vois pas comment on pourrait défendre une interprétation globale de l’al. 11</w:t>
      </w:r>
      <w:r w:rsidRPr="00B35658">
        <w:rPr>
          <w:rFonts w:cs="Times New Roman"/>
          <w:i/>
          <w:lang w:val="fr-CA"/>
        </w:rPr>
        <w:t>i</w:t>
      </w:r>
      <w:r w:rsidRPr="00B35658">
        <w:rPr>
          <w:rFonts w:cs="Times New Roman"/>
          <w:lang w:val="fr-CA"/>
        </w:rPr>
        <w:t>) au motif qu’elle permettrait de contrebalancer adéquatement un certain caractère arbitraire inhérent au moment de la sentence d’un contrevenant par rapport à celle d’un autre contrevenant. Au contrair</w:t>
      </w:r>
      <w:r w:rsidR="00533DB7">
        <w:rPr>
          <w:rFonts w:cs="Times New Roman"/>
          <w:lang w:val="fr-CA"/>
        </w:rPr>
        <w:t>e, et l’exemple hypothétique ci</w:t>
      </w:r>
      <w:r w:rsidR="00533DB7" w:rsidRPr="00B35658">
        <w:rPr>
          <w:lang w:val="fr-CA"/>
        </w:rPr>
        <w:noBreakHyphen/>
      </w:r>
      <w:r w:rsidRPr="00B35658">
        <w:rPr>
          <w:rFonts w:cs="Times New Roman"/>
          <w:lang w:val="fr-CA"/>
        </w:rPr>
        <w:t>dessus le démontre, une interprétation globale de l’al. 11</w:t>
      </w:r>
      <w:r w:rsidRPr="00B35658">
        <w:rPr>
          <w:rFonts w:cs="Times New Roman"/>
          <w:i/>
          <w:lang w:val="fr-CA"/>
        </w:rPr>
        <w:t>i</w:t>
      </w:r>
      <w:r w:rsidRPr="00B35658">
        <w:rPr>
          <w:rFonts w:cs="Times New Roman"/>
          <w:lang w:val="fr-CA"/>
        </w:rPr>
        <w:t>) peut conférer des bénéfices arbitraires. Bien qu’une interprétation binaire de l’al. 11</w:t>
      </w:r>
      <w:r w:rsidRPr="00B35658">
        <w:rPr>
          <w:rFonts w:cs="Times New Roman"/>
          <w:i/>
          <w:lang w:val="fr-CA"/>
        </w:rPr>
        <w:t>i</w:t>
      </w:r>
      <w:r w:rsidRPr="00B35658">
        <w:rPr>
          <w:rFonts w:cs="Times New Roman"/>
          <w:lang w:val="fr-CA"/>
        </w:rPr>
        <w:t xml:space="preserve">) ne puisse pas garantir que des contrevenants semblables obtiendront </w:t>
      </w:r>
      <w:r w:rsidRPr="00B35658">
        <w:rPr>
          <w:rFonts w:cs="Times New Roman"/>
          <w:i/>
          <w:lang w:val="fr-CA"/>
        </w:rPr>
        <w:t>le même résultat</w:t>
      </w:r>
      <w:r w:rsidRPr="00B35658">
        <w:rPr>
          <w:rFonts w:cs="Times New Roman"/>
          <w:lang w:val="fr-CA"/>
        </w:rPr>
        <w:t>,</w:t>
      </w:r>
      <w:r w:rsidRPr="00B35658">
        <w:rPr>
          <w:rFonts w:cs="Times New Roman"/>
          <w:i/>
          <w:lang w:val="fr-CA"/>
        </w:rPr>
        <w:t xml:space="preserve"> </w:t>
      </w:r>
      <w:r w:rsidRPr="00B35658">
        <w:rPr>
          <w:rFonts w:cs="Times New Roman"/>
          <w:lang w:val="fr-CA"/>
        </w:rPr>
        <w:t xml:space="preserve">elle garantit que des contrevenants semblables seront traités de façon </w:t>
      </w:r>
      <w:r w:rsidRPr="00B35658">
        <w:rPr>
          <w:rFonts w:cs="Times New Roman"/>
          <w:i/>
          <w:lang w:val="fr-CA"/>
        </w:rPr>
        <w:t>équitable</w:t>
      </w:r>
      <w:r w:rsidRPr="00B35658">
        <w:rPr>
          <w:rFonts w:cs="Times New Roman"/>
          <w:lang w:val="fr-CA"/>
        </w:rPr>
        <w:t>; chacun bénéficiera de la protection qui se rattache à lui et à la poursuite engagée contre lui.</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Troisièmement, il existe des considérations en matière d’équité qui militent contre une interprétation globale de l’al. 11</w:t>
      </w:r>
      <w:r w:rsidRPr="00B35658">
        <w:rPr>
          <w:rFonts w:cs="Times New Roman"/>
          <w:i/>
          <w:lang w:val="fr-CA"/>
        </w:rPr>
        <w:t>i</w:t>
      </w:r>
      <w:r w:rsidRPr="00B35658">
        <w:rPr>
          <w:rFonts w:cs="Times New Roman"/>
          <w:lang w:val="fr-CA"/>
        </w:rPr>
        <w:t>). Rappelons que les contrevenants qui sont susceptibles de bénéficier le plus d’une interprétation globale de l’al. 11</w:t>
      </w:r>
      <w:r w:rsidRPr="00B35658">
        <w:rPr>
          <w:rFonts w:cs="Times New Roman"/>
          <w:i/>
          <w:lang w:val="fr-CA"/>
        </w:rPr>
        <w:t>i</w:t>
      </w:r>
      <w:r w:rsidRPr="00B35658">
        <w:rPr>
          <w:rFonts w:cs="Times New Roman"/>
          <w:lang w:val="fr-CA"/>
        </w:rPr>
        <w:t>) sont ceux pour qui la poursuite ou la condamnation ont tardé suffisamment pour que les peines prévues pour leurs infractions aient le temps de changer de multiples fois. À mon avis, toute perception de caractère injuste ou arbitraire susceptible de découler d’une interprétation binaire de l’al. 11</w:t>
      </w:r>
      <w:r w:rsidRPr="00B35658">
        <w:rPr>
          <w:rFonts w:cs="Times New Roman"/>
          <w:i/>
          <w:lang w:val="fr-CA"/>
        </w:rPr>
        <w:t>i</w:t>
      </w:r>
      <w:r w:rsidRPr="00B35658">
        <w:rPr>
          <w:rFonts w:cs="Times New Roman"/>
          <w:lang w:val="fr-CA"/>
        </w:rPr>
        <w:t>) est supplantée par le caractère injuste ou arbitraire qui résulterait du fait d’accorder une meilleure protection constitutionnelle aux contrevenants condamnés longtemps après avoir commis leurs infractions que les contrevenants traduits rapidement en justice. En termes plus simples, une interprétation globale de l’al. 11</w:t>
      </w:r>
      <w:r w:rsidRPr="00B35658">
        <w:rPr>
          <w:rFonts w:cs="Times New Roman"/>
          <w:i/>
          <w:lang w:val="fr-CA"/>
        </w:rPr>
        <w:t>i</w:t>
      </w:r>
      <w:r w:rsidRPr="00B35658">
        <w:rPr>
          <w:rFonts w:cs="Times New Roman"/>
          <w:lang w:val="fr-CA"/>
        </w:rPr>
        <w:t>) avantagerait démesurément les contrevenants condamnés des années, voire des décennies, après avoir commis leurs i</w:t>
      </w:r>
      <w:r w:rsidR="00533DB7">
        <w:rPr>
          <w:rFonts w:cs="Times New Roman"/>
          <w:lang w:val="fr-CA"/>
        </w:rPr>
        <w:t xml:space="preserve">nfractions, comme M. Poulin </w:t>
      </w:r>
      <w:r w:rsidR="00533DB7">
        <w:rPr>
          <w:rFonts w:cs="Times New Roman"/>
          <w:lang w:val="fr-CA"/>
        </w:rPr>
        <w:lastRenderedPageBreak/>
        <w:t>lui</w:t>
      </w:r>
      <w:r w:rsidR="00533DB7" w:rsidRPr="00B35658">
        <w:rPr>
          <w:lang w:val="fr-CA"/>
        </w:rPr>
        <w:noBreakHyphen/>
      </w:r>
      <w:r w:rsidRPr="00B35658">
        <w:rPr>
          <w:rFonts w:cs="Times New Roman"/>
          <w:lang w:val="fr-CA"/>
        </w:rPr>
        <w:t>même. Il vaut la peine de répéter que M. Poulin a passé plus de trois décennies avant de rendre des comptes pour les infractions d’ordre sexuel qu’il a commises. Ainsi que notre Cour l’a fait remarquer, les infractions d’ordre sexuel comme celles de M. Poulin demeurent souvent cachées durant de longues périodes. Il arrive fréquemment que des survivants de traumatismes sexuels tardent à révéler les agressions pour diverses raisons comme « la gêne, la crainte, le sentiment de culpabilité ainsi que le manque de compréhension et de connaissance » (</w:t>
      </w:r>
      <w:r w:rsidRPr="00B35658">
        <w:rPr>
          <w:rFonts w:cs="Times New Roman"/>
          <w:i/>
          <w:lang w:val="fr-CA"/>
        </w:rPr>
        <w:t>R. c. D.D.</w:t>
      </w:r>
      <w:r w:rsidRPr="00B35658">
        <w:rPr>
          <w:rFonts w:cs="Times New Roman"/>
          <w:lang w:val="fr-CA"/>
        </w:rPr>
        <w:t>, 2000 CSC 43, [2000] 2 R.C.S. 275, par. 65). Un contrevenant ne devrait pas pouvoir bénéficier d’un avantage supplémentaire au titre de l’al. 11</w:t>
      </w:r>
      <w:r w:rsidRPr="00B35658">
        <w:rPr>
          <w:rFonts w:cs="Times New Roman"/>
          <w:i/>
          <w:lang w:val="fr-CA"/>
        </w:rPr>
        <w:t>i</w:t>
      </w:r>
      <w:r w:rsidRPr="00B35658">
        <w:rPr>
          <w:rFonts w:cs="Times New Roman"/>
          <w:lang w:val="fr-CA"/>
        </w:rPr>
        <w:t>) lorsqu’une victime est traumatisée au point d’avoir besoin d’un délai considérable pour surmonter sa réticence à dénoncer l’infraction. Les contrevenants dont les crimes sont gardés sous silence pendant longtemps ne devraient pas avoir accès au plus grand nombre de peines possibles, au titre de l’al. 11</w:t>
      </w:r>
      <w:r w:rsidRPr="00B35658">
        <w:rPr>
          <w:rFonts w:cs="Times New Roman"/>
          <w:i/>
          <w:lang w:val="fr-CA"/>
        </w:rPr>
        <w:t>i</w:t>
      </w:r>
      <w:r w:rsidRPr="00B35658">
        <w:rPr>
          <w:rFonts w:cs="Times New Roman"/>
          <w:lang w:val="fr-CA"/>
        </w:rPr>
        <w:t>), en raison de leur propre conduite fautive.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Pour ces motifs, je rejette la prétention selon laquelle le principe de l’équité qui sous</w:t>
      </w:r>
      <w:r w:rsidRPr="00B35658">
        <w:rPr>
          <w:rFonts w:cs="Times New Roman"/>
          <w:lang w:val="fr-CA"/>
        </w:rPr>
        <w:noBreakHyphen/>
        <w:t>tend l’al. 11</w:t>
      </w:r>
      <w:r w:rsidRPr="00B35658">
        <w:rPr>
          <w:rFonts w:cs="Times New Roman"/>
          <w:i/>
          <w:lang w:val="fr-CA"/>
        </w:rPr>
        <w:t>i</w:t>
      </w:r>
      <w:r w:rsidRPr="00B35658">
        <w:rPr>
          <w:rFonts w:cs="Times New Roman"/>
          <w:lang w:val="fr-CA"/>
        </w:rPr>
        <w:t>) appuie une interprétation globale de cette disposition. Au contraire, une interprétation globale de l’al. 11</w:t>
      </w:r>
      <w:r w:rsidRPr="00B35658">
        <w:rPr>
          <w:rFonts w:cs="Times New Roman"/>
          <w:i/>
          <w:lang w:val="fr-CA"/>
        </w:rPr>
        <w:t>i</w:t>
      </w:r>
      <w:r w:rsidRPr="00B35658">
        <w:rPr>
          <w:rFonts w:cs="Times New Roman"/>
          <w:lang w:val="fr-CA"/>
        </w:rPr>
        <w:t>) profiterait de façon injuste et arbitraire à certains contrevenants en leur accordant le droit de bénéficier d’une peine qui n’a rien à voir avec leur conduite ou la poursuite engagée contre eux. Il est suffisamment et amplement équitable que l’al. 11</w:t>
      </w:r>
      <w:r w:rsidRPr="00B35658">
        <w:rPr>
          <w:rFonts w:cs="Times New Roman"/>
          <w:i/>
          <w:lang w:val="fr-CA"/>
        </w:rPr>
        <w:t>i</w:t>
      </w:r>
      <w:r w:rsidRPr="00B35658">
        <w:rPr>
          <w:rFonts w:cs="Times New Roman"/>
          <w:lang w:val="fr-CA"/>
        </w:rPr>
        <w:t>) garantisse au contrevenant la moins sévère des peines prévues par les lois en vigueur au moment de la perpétration de l’infraction et à celui de la sentence.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En outre, je suis d’avis qu’une interprétation globale de l’al. 11</w:t>
      </w:r>
      <w:r w:rsidRPr="00B35658">
        <w:rPr>
          <w:rFonts w:cs="Times New Roman"/>
          <w:i/>
          <w:lang w:val="fr-CA"/>
        </w:rPr>
        <w:t>i</w:t>
      </w:r>
      <w:r w:rsidRPr="00B35658">
        <w:rPr>
          <w:rFonts w:cs="Times New Roman"/>
          <w:lang w:val="fr-CA"/>
        </w:rPr>
        <w:t>) aurait au moins deux autres conséquences injustifiées.</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Tout d’abord, une interprétation globale du droit garanti à l’al. 11</w:t>
      </w:r>
      <w:r w:rsidRPr="00B35658">
        <w:rPr>
          <w:rFonts w:cs="Times New Roman"/>
          <w:i/>
          <w:lang w:val="fr-CA"/>
        </w:rPr>
        <w:t>i</w:t>
      </w:r>
      <w:r w:rsidRPr="00B35658">
        <w:rPr>
          <w:rFonts w:cs="Times New Roman"/>
          <w:lang w:val="fr-CA"/>
        </w:rPr>
        <w:t>) aurait pour effet de faire renaître des peines que le législateur a expressément rejetées en les abrogeant ou en les modifiant, même si ce résultat n’est pas justifié par le principe de la légalité. Comme je l’ai mentionné précédemment, l’al. 11</w:t>
      </w:r>
      <w:r w:rsidRPr="00B35658">
        <w:rPr>
          <w:rFonts w:cs="Times New Roman"/>
          <w:i/>
          <w:lang w:val="fr-CA"/>
        </w:rPr>
        <w:t>i</w:t>
      </w:r>
      <w:r w:rsidRPr="00B35658">
        <w:rPr>
          <w:rFonts w:cs="Times New Roman"/>
          <w:lang w:val="fr-CA"/>
        </w:rPr>
        <w:t xml:space="preserve">) ne fait pas qu’offrir des possibilités supplémentaires au tribunal qui détermine la peine; il donne au contrevenant le droit au bénéfice de la peine la moins sévère. Je ne vois pas pourquoi la </w:t>
      </w:r>
      <w:r w:rsidRPr="00B35658">
        <w:rPr>
          <w:rFonts w:cs="Times New Roman"/>
          <w:i/>
          <w:lang w:val="fr-CA"/>
        </w:rPr>
        <w:t>Charte</w:t>
      </w:r>
      <w:r w:rsidRPr="00B35658">
        <w:rPr>
          <w:rFonts w:cs="Times New Roman"/>
          <w:lang w:val="fr-CA"/>
        </w:rPr>
        <w:t xml:space="preserve"> enchâsserait le droit constitutionnel de bénéficier, dans toutes les affaires, d’un éventail de peines que le législateur a depuis jugées inadéquates. C’est une chose d’invoquer l’al. 11</w:t>
      </w:r>
      <w:r w:rsidRPr="00B35658">
        <w:rPr>
          <w:rFonts w:cs="Times New Roman"/>
          <w:i/>
          <w:lang w:val="fr-CA"/>
        </w:rPr>
        <w:t>i</w:t>
      </w:r>
      <w:r w:rsidRPr="00B35658">
        <w:rPr>
          <w:rFonts w:cs="Times New Roman"/>
          <w:lang w:val="fr-CA"/>
        </w:rPr>
        <w:t xml:space="preserve">) pour faire renaître, au profit du contrevenant, la peine la moins sévère prévue par les lois en vigueur au moment où le contrevenant a commis l’infraction. C’en est une autre de faire renaître tous les adoucissements de peine temporaires qui sont survenus après la perpétration de l’infraction et qui n’ont aucun lien avec la conduite du contrevenant ou les normes actuelles de détermination de la peine (voir </w:t>
      </w:r>
      <w:proofErr w:type="spellStart"/>
      <w:r w:rsidRPr="00B35658">
        <w:rPr>
          <w:rFonts w:cs="Times New Roman"/>
          <w:i/>
          <w:lang w:val="fr-CA"/>
        </w:rPr>
        <w:t>Docherty</w:t>
      </w:r>
      <w:proofErr w:type="spellEnd"/>
      <w:r w:rsidRPr="00B35658">
        <w:rPr>
          <w:rFonts w:cs="Times New Roman"/>
          <w:lang w:val="fr-CA"/>
        </w:rPr>
        <w:t>, par. 45). Non seulement une interprétation de l’al. 11</w:t>
      </w:r>
      <w:r w:rsidRPr="00B35658">
        <w:rPr>
          <w:rFonts w:cs="Times New Roman"/>
          <w:i/>
          <w:lang w:val="fr-CA"/>
        </w:rPr>
        <w:t>i</w:t>
      </w:r>
      <w:r w:rsidRPr="00B35658">
        <w:rPr>
          <w:rFonts w:cs="Times New Roman"/>
          <w:lang w:val="fr-CA"/>
        </w:rPr>
        <w:t>) qui accorderait au contrevenant le droit au bénéfice de la peine la plus favorable parmi toutes les peines qui se sont appliquées par le passé irait au</w:t>
      </w:r>
      <w:r w:rsidRPr="00B35658">
        <w:rPr>
          <w:rFonts w:cs="Times New Roman"/>
          <w:lang w:val="fr-CA"/>
        </w:rPr>
        <w:noBreakHyphen/>
        <w:t>delà des objets de ce droit constitutionnel, mais elle saperait indûment le pouvoir général et exclusif du législateur d’adopter et de modifier les règles du droit criminel.</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En outre, comme l’a fait remarquer la Cour suprême du Royaume</w:t>
      </w:r>
      <w:r w:rsidRPr="00B35658">
        <w:rPr>
          <w:rFonts w:cs="Times New Roman"/>
          <w:lang w:val="fr-CA"/>
        </w:rPr>
        <w:noBreakHyphen/>
        <w:t xml:space="preserve">Uni dans </w:t>
      </w:r>
      <w:proofErr w:type="spellStart"/>
      <w:r w:rsidRPr="00B35658">
        <w:rPr>
          <w:rFonts w:cs="Times New Roman"/>
          <w:i/>
          <w:lang w:val="fr-CA"/>
        </w:rPr>
        <w:t>Docherty</w:t>
      </w:r>
      <w:proofErr w:type="spellEnd"/>
      <w:r w:rsidRPr="00B35658">
        <w:rPr>
          <w:rFonts w:cs="Times New Roman"/>
          <w:lang w:val="fr-CA"/>
        </w:rPr>
        <w:t>, le risque d’omission ou d’erreur de la part du législateur subsiste. Une interprétation globale du droit garanti à l’al. 11</w:t>
      </w:r>
      <w:r w:rsidRPr="00B35658">
        <w:rPr>
          <w:rFonts w:cs="Times New Roman"/>
          <w:i/>
          <w:lang w:val="fr-CA"/>
        </w:rPr>
        <w:t>i</w:t>
      </w:r>
      <w:r w:rsidRPr="00B35658">
        <w:rPr>
          <w:rFonts w:cs="Times New Roman"/>
          <w:lang w:val="fr-CA"/>
        </w:rPr>
        <w:t>) permettrait aux contrevenants de bénéficier d’omissions ou d’erreurs contenues dans les dispositions antérieures sur la détermination de la peine, même celles qui n’étaient pas en vigueur au moment de la perpétration de l’infraction ou au moment de la sentence. À mon avis, il n’y a aucune raison de principe d’accorder à un contrevenant le droit à cet avantage. Comm</w:t>
      </w:r>
      <w:r w:rsidR="00BA1857">
        <w:rPr>
          <w:rFonts w:cs="Times New Roman"/>
          <w:lang w:val="fr-CA"/>
        </w:rPr>
        <w:t>e l’a statué cette cour suprême </w:t>
      </w:r>
      <w:r w:rsidRPr="00B35658">
        <w:rPr>
          <w:rFonts w:cs="Times New Roman"/>
          <w:lang w:val="fr-CA"/>
        </w:rPr>
        <w:t>:</w:t>
      </w:r>
    </w:p>
    <w:p w:rsidR="00460821" w:rsidRPr="00B35658" w:rsidRDefault="00460821" w:rsidP="00460821">
      <w:pPr>
        <w:pStyle w:val="Citation-AltC"/>
        <w:spacing w:after="240"/>
        <w:ind w:hanging="446"/>
        <w:contextualSpacing w:val="0"/>
        <w:rPr>
          <w:lang w:val="fr-CA"/>
        </w:rPr>
      </w:pPr>
      <w:r w:rsidRPr="00B35658">
        <w:rPr>
          <w:lang w:val="fr-CA"/>
        </w:rPr>
        <w:tab/>
        <w:t>[</w:t>
      </w:r>
      <w:r w:rsidRPr="00B35658">
        <w:rPr>
          <w:smallCaps/>
          <w:lang w:val="fr-CA"/>
        </w:rPr>
        <w:t>traduction</w:t>
      </w:r>
      <w:r w:rsidRPr="00B35658">
        <w:rPr>
          <w:lang w:val="fr-CA"/>
        </w:rPr>
        <w:t>] La législation et les pratiques en matière de détermination de la peine peuvent très bien fluctuer puisque, d’un côté, il revient aux législateurs de modifier les politiques publiques et, de l’autre côté, il revient aux tribunaux de déterminer de quelle façon ils perçoivent certaines infractions. Cependant, il n’est pas injuste pour un défendeur de recevoir une sentence conforme à la loi telle qu’elle existait au moment où il a commis son infraction ou, si elle est plus clémente, à la loi telle qu’elle est au moment où il est condamné. Insister pour dire qu’un défendeur ne devrait pas se voir infliger une peine fondée sur une disposition maintenant formellement considérée comme démesurée est une chose. Il en est une autre de dire qu’il devrait se voir infliger une peine conformément à une pratique à laquelle il n’avait pas droit au moment où il a commis son infraction et à laquelle il n’a pas droit maintenant, et ce, simplement parce que durant une brève période dans l’intervalle, une pratique différente avait été adoptée, laquelle pratique a maintenant été abandonnée parce qu’elle était mauvaise.</w:t>
      </w:r>
    </w:p>
    <w:p w:rsidR="00460821" w:rsidRPr="00B35658" w:rsidRDefault="00460821" w:rsidP="00C35AF3">
      <w:pPr>
        <w:pStyle w:val="Citation-AltC"/>
        <w:ind w:left="0"/>
        <w:contextualSpacing w:val="0"/>
        <w:rPr>
          <w:lang w:val="fr-CA"/>
        </w:rPr>
      </w:pPr>
      <w:r w:rsidRPr="00B35658">
        <w:rPr>
          <w:lang w:val="fr-CA"/>
        </w:rPr>
        <w:t>(</w:t>
      </w:r>
      <w:proofErr w:type="spellStart"/>
      <w:r w:rsidRPr="00B35658">
        <w:rPr>
          <w:i/>
          <w:lang w:val="fr-CA"/>
        </w:rPr>
        <w:t>Docherty</w:t>
      </w:r>
      <w:proofErr w:type="spellEnd"/>
      <w:r w:rsidRPr="00C35AF3">
        <w:rPr>
          <w:lang w:val="fr-CA"/>
        </w:rPr>
        <w:t>,</w:t>
      </w:r>
      <w:r w:rsidRPr="00B35658">
        <w:rPr>
          <w:i/>
          <w:lang w:val="fr-CA"/>
        </w:rPr>
        <w:t xml:space="preserve"> </w:t>
      </w:r>
      <w:r w:rsidRPr="00B35658">
        <w:rPr>
          <w:lang w:val="fr-CA"/>
        </w:rPr>
        <w:t>par. 45)</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Deuxièmement, sur un plan plus pratique, j’ai du mal à accepter que la vision pour l’al. 11</w:t>
      </w:r>
      <w:r w:rsidRPr="00B35658">
        <w:rPr>
          <w:rFonts w:cs="Times New Roman"/>
          <w:i/>
          <w:lang w:val="fr-CA"/>
        </w:rPr>
        <w:t>i</w:t>
      </w:r>
      <w:r w:rsidRPr="00B35658">
        <w:rPr>
          <w:rFonts w:cs="Times New Roman"/>
          <w:lang w:val="fr-CA"/>
        </w:rPr>
        <w:t xml:space="preserve">) était d’obliger l’avocat et le tribunal à cerner puis à comparer et à mettre en opposition </w:t>
      </w:r>
      <w:r w:rsidRPr="00B35658">
        <w:rPr>
          <w:rFonts w:cs="Times New Roman"/>
          <w:i/>
          <w:lang w:val="fr-CA"/>
        </w:rPr>
        <w:t xml:space="preserve">chaque </w:t>
      </w:r>
      <w:r w:rsidRPr="00B35658">
        <w:rPr>
          <w:rFonts w:cs="Times New Roman"/>
          <w:lang w:val="fr-CA"/>
        </w:rPr>
        <w:t>disposition sur la détermination de la peine s’étant appliquée à l’infraction depuis la perpétration de celle</w:t>
      </w:r>
      <w:r w:rsidRPr="00B35658">
        <w:rPr>
          <w:rFonts w:cs="Times New Roman"/>
          <w:lang w:val="fr-CA"/>
        </w:rPr>
        <w:noBreakHyphen/>
        <w:t xml:space="preserve">ci par le contrevenant. Comme </w:t>
      </w:r>
      <w:r w:rsidRPr="00B35658">
        <w:rPr>
          <w:rFonts w:cs="Times New Roman"/>
          <w:lang w:val="fr-CA"/>
        </w:rPr>
        <w:lastRenderedPageBreak/>
        <w:t>je l’ai indiqué précédemment (sous la rubrique « Contexte : Application de l’al. 11</w:t>
      </w:r>
      <w:r w:rsidRPr="00B35658">
        <w:rPr>
          <w:rFonts w:cs="Times New Roman"/>
          <w:i/>
          <w:lang w:val="fr-CA"/>
        </w:rPr>
        <w:t>i</w:t>
      </w:r>
      <w:r w:rsidRPr="00B35658">
        <w:rPr>
          <w:rFonts w:cs="Times New Roman"/>
          <w:lang w:val="fr-CA"/>
        </w:rPr>
        <w:t>) »), c’est exactement ce qu’exigerait une interprétation globale de l’al. 11</w:t>
      </w:r>
      <w:r w:rsidRPr="00B35658">
        <w:rPr>
          <w:rFonts w:cs="Times New Roman"/>
          <w:i/>
          <w:lang w:val="fr-CA"/>
        </w:rPr>
        <w:t>i</w:t>
      </w:r>
      <w:r w:rsidRPr="00B35658">
        <w:rPr>
          <w:rFonts w:cs="Times New Roman"/>
          <w:lang w:val="fr-CA"/>
        </w:rPr>
        <w:t xml:space="preserve">). Je ne vois pas ce qui pourrait justifier cet exercice. Ne constitue pas une injustice pour un contrevenant le fait de ne pas avoir accès à </w:t>
      </w:r>
      <w:r w:rsidRPr="00B35658">
        <w:rPr>
          <w:rFonts w:cs="Times New Roman"/>
          <w:i/>
          <w:lang w:val="fr-CA"/>
        </w:rPr>
        <w:t xml:space="preserve">toutes </w:t>
      </w:r>
      <w:r w:rsidRPr="00B35658">
        <w:rPr>
          <w:rFonts w:cs="Times New Roman"/>
          <w:lang w:val="fr-CA"/>
        </w:rPr>
        <w:t>les peines qui ont été mises en vigueur puis écartées dans le cadre de modifications législatives légitimes, surtout les peines qui ne sont aucunement liées aux mesures prises par l’État contre le contrevenant ou aux mesures prises par le contrevenant en s’appuyant sur la peine actuelle. En revendiquant le droit à une peine d’emprisonnement avec sursis, M. Poulin demande à bénéficier d’une peine qui n’avait rien à voir avec sa conduite, sa cause ou sa sentence. Il n’est pas injuste qu’il n’ait pas accès à un régime de détermination de la peine qui était inconnu au moment de la perpétration de l’infraction et sur lequel il ne s’est pas appuyé pendant qu’il était en vigueur.</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Pour conclure — et en réponse à la position de M. Poulin suivant laquelle l’al. 11</w:t>
      </w:r>
      <w:r w:rsidRPr="00B35658">
        <w:rPr>
          <w:rFonts w:cs="Times New Roman"/>
          <w:i/>
          <w:lang w:val="fr-CA"/>
        </w:rPr>
        <w:t>i</w:t>
      </w:r>
      <w:r w:rsidRPr="00B35658">
        <w:rPr>
          <w:rFonts w:cs="Times New Roman"/>
          <w:lang w:val="fr-CA"/>
        </w:rPr>
        <w:t>) devrait être interprété de manière à offrir davantage de possibilités aux tribunaux qui déterminent les peines — je réitère qu’il est inexact de dire qu’une interprétation globale de l’al. 11</w:t>
      </w:r>
      <w:r w:rsidRPr="00B35658">
        <w:rPr>
          <w:rFonts w:cs="Times New Roman"/>
          <w:i/>
          <w:lang w:val="fr-CA"/>
        </w:rPr>
        <w:t>i</w:t>
      </w:r>
      <w:r w:rsidRPr="00B35658">
        <w:rPr>
          <w:rFonts w:cs="Times New Roman"/>
          <w:lang w:val="fr-CA"/>
        </w:rPr>
        <w:t>) offrirait normalement un nombre accru de possibilités et une plus grande latitude en matière de détermination de la peine. Comme il a été expliqué plus haut, l’al. 11</w:t>
      </w:r>
      <w:r w:rsidRPr="00B35658">
        <w:rPr>
          <w:rFonts w:cs="Times New Roman"/>
          <w:i/>
          <w:lang w:val="fr-CA"/>
        </w:rPr>
        <w:t>i</w:t>
      </w:r>
      <w:r w:rsidRPr="00B35658">
        <w:rPr>
          <w:rFonts w:cs="Times New Roman"/>
          <w:lang w:val="fr-CA"/>
        </w:rPr>
        <w:t>) a pour effet d’obliger le tribunal qui détermine la peine à s’en tenir à condamner le contrevenant à la peine la moins sévère. Il est approprié que l’al. 11</w:t>
      </w:r>
      <w:r w:rsidRPr="00B35658">
        <w:rPr>
          <w:rFonts w:cs="Times New Roman"/>
          <w:i/>
          <w:lang w:val="fr-CA"/>
        </w:rPr>
        <w:t>i</w:t>
      </w:r>
      <w:r w:rsidRPr="00B35658">
        <w:rPr>
          <w:rFonts w:cs="Times New Roman"/>
          <w:lang w:val="fr-CA"/>
        </w:rPr>
        <w:t>) oblige le tribunal à s’en tenir au moins sévère des deux régimes de détermination de la peine prévus par celui</w:t>
      </w:r>
      <w:r w:rsidRPr="00B35658">
        <w:rPr>
          <w:rFonts w:cs="Times New Roman"/>
          <w:lang w:val="fr-CA"/>
        </w:rPr>
        <w:noBreakHyphen/>
        <w:t xml:space="preserve">ci. Pour les motifs exposés, il </w:t>
      </w:r>
      <w:r w:rsidRPr="00B35658">
        <w:rPr>
          <w:rFonts w:cs="Times New Roman"/>
          <w:i/>
          <w:lang w:val="fr-CA"/>
        </w:rPr>
        <w:t>n’</w:t>
      </w:r>
      <w:r w:rsidRPr="00B35658">
        <w:rPr>
          <w:rFonts w:cs="Times New Roman"/>
          <w:lang w:val="fr-CA"/>
        </w:rPr>
        <w:t xml:space="preserve">est </w:t>
      </w:r>
      <w:r w:rsidRPr="00B35658">
        <w:rPr>
          <w:rFonts w:cs="Times New Roman"/>
          <w:i/>
          <w:lang w:val="fr-CA"/>
        </w:rPr>
        <w:t>pas</w:t>
      </w:r>
      <w:r w:rsidRPr="00B35658">
        <w:rPr>
          <w:rFonts w:cs="Times New Roman"/>
          <w:lang w:val="fr-CA"/>
        </w:rPr>
        <w:t xml:space="preserve"> approprié que l’al. 11</w:t>
      </w:r>
      <w:r w:rsidRPr="00B35658">
        <w:rPr>
          <w:rFonts w:cs="Times New Roman"/>
          <w:i/>
          <w:lang w:val="fr-CA"/>
        </w:rPr>
        <w:t>i</w:t>
      </w:r>
      <w:r w:rsidRPr="00B35658">
        <w:rPr>
          <w:rFonts w:cs="Times New Roman"/>
          <w:lang w:val="fr-CA"/>
        </w:rPr>
        <w:t xml:space="preserve">) oblige le tribunal à infliger une peine qui, du point de vue du </w:t>
      </w:r>
      <w:r w:rsidRPr="00B35658">
        <w:rPr>
          <w:rFonts w:cs="Times New Roman"/>
          <w:lang w:val="fr-CA"/>
        </w:rPr>
        <w:lastRenderedPageBreak/>
        <w:t>contrevenant, constitue une peine de base quelconque tout droit sortie du passé. Je partage entièrement l’avis de M. Poulin que le pouvoir discrétionnaire en matière de détermination de la peine favorise la justice. Je ne suis toutefois pas de son avis lorsqu’il affirme qu’une interprétation globale de l’al. 11</w:t>
      </w:r>
      <w:r w:rsidRPr="00B35658">
        <w:rPr>
          <w:rFonts w:cs="Times New Roman"/>
          <w:i/>
          <w:lang w:val="fr-CA"/>
        </w:rPr>
        <w:t>i</w:t>
      </w:r>
      <w:r w:rsidRPr="00B35658">
        <w:rPr>
          <w:rFonts w:cs="Times New Roman"/>
          <w:lang w:val="fr-CA"/>
        </w:rPr>
        <w:t>) favorise habituellement le pouvoir discrétionnaire; ce n’est manifestement pas le cas.</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Pour ces motifs, je conclus que, rationnellement, l’al. 11</w:t>
      </w:r>
      <w:r w:rsidRPr="00B35658">
        <w:rPr>
          <w:rFonts w:cs="Times New Roman"/>
          <w:i/>
          <w:lang w:val="fr-CA"/>
        </w:rPr>
        <w:t>i</w:t>
      </w:r>
      <w:r w:rsidRPr="00B35658">
        <w:rPr>
          <w:rFonts w:cs="Times New Roman"/>
          <w:lang w:val="fr-CA"/>
        </w:rPr>
        <w:t xml:space="preserve">) doit être interprété de façon binaire. Une interprétation qui obligerait le tribunal à infliger la peine la plus favorable parmi celles qui se sont appliquées dans l’intervalle entre le moment de la perpétration de l’infraction et le moment de la sentence ne correspond pas au type d’interprétation libérale qui devrait être faite des droits garantis par la </w:t>
      </w:r>
      <w:r w:rsidRPr="00B35658">
        <w:rPr>
          <w:rFonts w:cs="Times New Roman"/>
          <w:i/>
          <w:lang w:val="fr-CA"/>
        </w:rPr>
        <w:t>Charte</w:t>
      </w:r>
      <w:r w:rsidRPr="00B35658">
        <w:rPr>
          <w:rFonts w:cs="Times New Roman"/>
          <w:lang w:val="fr-CA"/>
        </w:rPr>
        <w:t>. Il s’agit plutôt d’une interprétation excessivement libérale, sans rapport avec les objets du droit.</w:t>
      </w:r>
    </w:p>
    <w:p w:rsidR="00460821" w:rsidRPr="00B35658" w:rsidRDefault="00460821" w:rsidP="00460821">
      <w:pPr>
        <w:pStyle w:val="ParaNoNdepar-AltN"/>
        <w:numPr>
          <w:ilvl w:val="4"/>
          <w:numId w:val="6"/>
        </w:numPr>
        <w:spacing w:before="0" w:after="720" w:line="240" w:lineRule="auto"/>
        <w:ind w:left="1152" w:hanging="576"/>
        <w:rPr>
          <w:rFonts w:cs="Times New Roman"/>
          <w:lang w:val="fr-CA"/>
        </w:rPr>
      </w:pPr>
      <w:bookmarkStart w:id="25" w:name="_Toc12005421"/>
      <w:bookmarkStart w:id="26" w:name="_Toc14423819"/>
      <w:bookmarkStart w:id="27" w:name="_Toc14427788"/>
      <w:r w:rsidRPr="00B35658">
        <w:rPr>
          <w:rFonts w:cs="Times New Roman"/>
          <w:i/>
          <w:lang w:val="fr-CA"/>
        </w:rPr>
        <w:t>Analyse de la jurisprudence contraire</w:t>
      </w:r>
      <w:bookmarkEnd w:id="25"/>
      <w:bookmarkEnd w:id="26"/>
      <w:bookmarkEnd w:id="27"/>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Même si j’en suis arrivée à la conclusion que l’al. 11</w:t>
      </w:r>
      <w:r w:rsidRPr="00B35658">
        <w:rPr>
          <w:rFonts w:cs="Times New Roman"/>
          <w:i/>
          <w:lang w:val="fr-CA"/>
        </w:rPr>
        <w:t>i</w:t>
      </w:r>
      <w:r w:rsidRPr="00B35658">
        <w:rPr>
          <w:rFonts w:cs="Times New Roman"/>
          <w:lang w:val="fr-CA"/>
        </w:rPr>
        <w:t>) confère un droit binaire, je suis consciente que les tribunaux canadiens ont toujours présumé que l’al. 11</w:t>
      </w:r>
      <w:r w:rsidRPr="00B35658">
        <w:rPr>
          <w:rFonts w:cs="Times New Roman"/>
          <w:i/>
          <w:lang w:val="fr-CA"/>
        </w:rPr>
        <w:t>i</w:t>
      </w:r>
      <w:r w:rsidRPr="00B35658">
        <w:rPr>
          <w:rFonts w:cs="Times New Roman"/>
          <w:lang w:val="fr-CA"/>
        </w:rPr>
        <w:t>) confé</w:t>
      </w:r>
      <w:r w:rsidR="00533DB7">
        <w:rPr>
          <w:rFonts w:cs="Times New Roman"/>
          <w:lang w:val="fr-CA"/>
        </w:rPr>
        <w:t>rait un droit global (sauf peut</w:t>
      </w:r>
      <w:r w:rsidR="00533DB7" w:rsidRPr="00B35658">
        <w:rPr>
          <w:lang w:val="fr-CA"/>
        </w:rPr>
        <w:noBreakHyphen/>
      </w:r>
      <w:r w:rsidRPr="00B35658">
        <w:rPr>
          <w:rFonts w:cs="Times New Roman"/>
          <w:lang w:val="fr-CA"/>
        </w:rPr>
        <w:t xml:space="preserve">être dans un cas : voir </w:t>
      </w:r>
      <w:r w:rsidRPr="00B35658">
        <w:rPr>
          <w:rFonts w:cs="Times New Roman"/>
          <w:i/>
          <w:lang w:val="fr-CA"/>
        </w:rPr>
        <w:t>R.</w:t>
      </w:r>
      <w:r w:rsidR="00DB3E72" w:rsidRPr="00B35658">
        <w:rPr>
          <w:rFonts w:cs="Times New Roman"/>
          <w:i/>
          <w:lang w:val="fr-CA"/>
        </w:rPr>
        <w:t xml:space="preserve"> </w:t>
      </w:r>
      <w:r w:rsidRPr="00B35658">
        <w:rPr>
          <w:rFonts w:cs="Times New Roman"/>
          <w:i/>
          <w:lang w:val="fr-CA"/>
        </w:rPr>
        <w:t>c.</w:t>
      </w:r>
      <w:r w:rsidR="00DB3E72" w:rsidRPr="00B35658">
        <w:rPr>
          <w:rFonts w:cs="Times New Roman"/>
          <w:i/>
          <w:lang w:val="fr-CA"/>
        </w:rPr>
        <w:t xml:space="preserve"> </w:t>
      </w:r>
      <w:r w:rsidRPr="00B35658">
        <w:rPr>
          <w:rFonts w:cs="Times New Roman"/>
          <w:i/>
          <w:lang w:val="fr-CA"/>
        </w:rPr>
        <w:t>Dubois</w:t>
      </w:r>
      <w:r w:rsidR="004D35AC">
        <w:rPr>
          <w:rFonts w:cs="Times New Roman"/>
          <w:lang w:val="fr-CA"/>
        </w:rPr>
        <w:t xml:space="preserve">, C.S. </w:t>
      </w:r>
      <w:proofErr w:type="spellStart"/>
      <w:r w:rsidR="004D35AC">
        <w:rPr>
          <w:rFonts w:cs="Times New Roman"/>
          <w:lang w:val="fr-CA"/>
        </w:rPr>
        <w:t>Qc</w:t>
      </w:r>
      <w:proofErr w:type="spellEnd"/>
      <w:r w:rsidR="00DB3E72" w:rsidRPr="00B35658">
        <w:rPr>
          <w:rFonts w:cs="Times New Roman"/>
          <w:lang w:val="fr-CA"/>
        </w:rPr>
        <w:t>, 8</w:t>
      </w:r>
      <w:r w:rsidR="004D35AC">
        <w:rPr>
          <w:rFonts w:cs="Times New Roman"/>
          <w:lang w:val="fr-CA"/>
        </w:rPr>
        <w:t> </w:t>
      </w:r>
      <w:r w:rsidR="00DB3E72" w:rsidRPr="00B35658">
        <w:rPr>
          <w:rFonts w:cs="Times New Roman"/>
          <w:lang w:val="fr-CA"/>
        </w:rPr>
        <w:t xml:space="preserve">décembre </w:t>
      </w:r>
      <w:r w:rsidRPr="00B35658">
        <w:rPr>
          <w:rFonts w:cs="Times New Roman"/>
          <w:lang w:val="fr-CA"/>
        </w:rPr>
        <w:t>1982, cité dans R. M. </w:t>
      </w:r>
      <w:proofErr w:type="spellStart"/>
      <w:r w:rsidRPr="00B35658">
        <w:rPr>
          <w:rFonts w:cs="Times New Roman"/>
          <w:lang w:val="fr-CA"/>
        </w:rPr>
        <w:t>McLeod</w:t>
      </w:r>
      <w:proofErr w:type="spellEnd"/>
      <w:r w:rsidRPr="00B35658">
        <w:rPr>
          <w:rFonts w:cs="Times New Roman"/>
          <w:lang w:val="fr-CA"/>
        </w:rPr>
        <w:t>, J. D. </w:t>
      </w:r>
      <w:proofErr w:type="spellStart"/>
      <w:r w:rsidRPr="00B35658">
        <w:rPr>
          <w:rFonts w:cs="Times New Roman"/>
          <w:lang w:val="fr-CA"/>
        </w:rPr>
        <w:t>Takach</w:t>
      </w:r>
      <w:proofErr w:type="spellEnd"/>
      <w:r w:rsidRPr="00B35658">
        <w:rPr>
          <w:rFonts w:cs="Times New Roman"/>
          <w:lang w:val="fr-CA"/>
        </w:rPr>
        <w:t>, H. F. Morton et M. D. </w:t>
      </w:r>
      <w:proofErr w:type="spellStart"/>
      <w:r w:rsidRPr="00B35658">
        <w:rPr>
          <w:rFonts w:cs="Times New Roman"/>
          <w:lang w:val="fr-CA"/>
        </w:rPr>
        <w:t>Segal</w:t>
      </w:r>
      <w:proofErr w:type="spellEnd"/>
      <w:r w:rsidRPr="00B35658">
        <w:rPr>
          <w:rFonts w:cs="Times New Roman"/>
          <w:lang w:val="fr-CA"/>
        </w:rPr>
        <w:t xml:space="preserve">, </w:t>
      </w:r>
      <w:r w:rsidRPr="00B35658">
        <w:rPr>
          <w:rFonts w:cs="Times New Roman"/>
          <w:i/>
          <w:lang w:val="fr-CA"/>
        </w:rPr>
        <w:t xml:space="preserve">The Canadian Charter of </w:t>
      </w:r>
      <w:proofErr w:type="spellStart"/>
      <w:r w:rsidRPr="00B35658">
        <w:rPr>
          <w:rFonts w:cs="Times New Roman"/>
          <w:i/>
          <w:lang w:val="fr-CA"/>
        </w:rPr>
        <w:t>Rights</w:t>
      </w:r>
      <w:proofErr w:type="spellEnd"/>
      <w:r w:rsidR="008C794F">
        <w:rPr>
          <w:rFonts w:cs="Times New Roman"/>
          <w:i/>
          <w:lang w:val="fr-CA"/>
        </w:rPr>
        <w:t> </w:t>
      </w:r>
      <w:r w:rsidRPr="00B35658">
        <w:rPr>
          <w:rFonts w:cs="Times New Roman"/>
          <w:i/>
          <w:lang w:val="fr-CA"/>
        </w:rPr>
        <w:t xml:space="preserve">: The </w:t>
      </w:r>
      <w:proofErr w:type="spellStart"/>
      <w:r w:rsidRPr="00B35658">
        <w:rPr>
          <w:rFonts w:cs="Times New Roman"/>
          <w:i/>
          <w:lang w:val="fr-CA"/>
        </w:rPr>
        <w:t>Prosecution</w:t>
      </w:r>
      <w:proofErr w:type="spellEnd"/>
      <w:r w:rsidRPr="00B35658">
        <w:rPr>
          <w:rFonts w:cs="Times New Roman"/>
          <w:i/>
          <w:lang w:val="fr-CA"/>
        </w:rPr>
        <w:t xml:space="preserve"> and </w:t>
      </w:r>
      <w:proofErr w:type="spellStart"/>
      <w:r w:rsidRPr="00B35658">
        <w:rPr>
          <w:rFonts w:cs="Times New Roman"/>
          <w:i/>
          <w:lang w:val="fr-CA"/>
        </w:rPr>
        <w:t>Defence</w:t>
      </w:r>
      <w:proofErr w:type="spellEnd"/>
      <w:r w:rsidRPr="00B35658">
        <w:rPr>
          <w:rFonts w:cs="Times New Roman"/>
          <w:i/>
          <w:lang w:val="fr-CA"/>
        </w:rPr>
        <w:t xml:space="preserve"> of </w:t>
      </w:r>
      <w:proofErr w:type="spellStart"/>
      <w:r w:rsidRPr="00B35658">
        <w:rPr>
          <w:rFonts w:cs="Times New Roman"/>
          <w:i/>
          <w:lang w:val="fr-CA"/>
        </w:rPr>
        <w:t>Criminal</w:t>
      </w:r>
      <w:proofErr w:type="spellEnd"/>
      <w:r w:rsidRPr="00B35658">
        <w:rPr>
          <w:rFonts w:cs="Times New Roman"/>
          <w:i/>
          <w:lang w:val="fr-CA"/>
        </w:rPr>
        <w:t xml:space="preserve"> and </w:t>
      </w:r>
      <w:proofErr w:type="spellStart"/>
      <w:r w:rsidRPr="00B35658">
        <w:rPr>
          <w:rFonts w:cs="Times New Roman"/>
          <w:i/>
          <w:lang w:val="fr-CA"/>
        </w:rPr>
        <w:t>Other</w:t>
      </w:r>
      <w:proofErr w:type="spellEnd"/>
      <w:r w:rsidRPr="00B35658">
        <w:rPr>
          <w:rFonts w:cs="Times New Roman"/>
          <w:i/>
          <w:lang w:val="fr-CA"/>
        </w:rPr>
        <w:t xml:space="preserve"> </w:t>
      </w:r>
      <w:proofErr w:type="spellStart"/>
      <w:r w:rsidRPr="00B35658">
        <w:rPr>
          <w:rFonts w:cs="Times New Roman"/>
          <w:i/>
          <w:lang w:val="fr-CA"/>
        </w:rPr>
        <w:t>Statutory</w:t>
      </w:r>
      <w:proofErr w:type="spellEnd"/>
      <w:r w:rsidRPr="00B35658">
        <w:rPr>
          <w:rFonts w:cs="Times New Roman"/>
          <w:i/>
          <w:lang w:val="fr-CA"/>
        </w:rPr>
        <w:t xml:space="preserve"> </w:t>
      </w:r>
      <w:proofErr w:type="spellStart"/>
      <w:r w:rsidRPr="00B35658">
        <w:rPr>
          <w:rFonts w:cs="Times New Roman"/>
          <w:i/>
          <w:lang w:val="fr-CA"/>
        </w:rPr>
        <w:t>Offences</w:t>
      </w:r>
      <w:proofErr w:type="spellEnd"/>
      <w:r w:rsidRPr="00B35658">
        <w:rPr>
          <w:rFonts w:cs="Times New Roman"/>
          <w:i/>
          <w:lang w:val="fr-CA"/>
        </w:rPr>
        <w:t xml:space="preserve"> </w:t>
      </w:r>
      <w:r w:rsidRPr="00B35658">
        <w:rPr>
          <w:rFonts w:cs="Times New Roman"/>
          <w:lang w:val="fr-CA"/>
        </w:rPr>
        <w:t>(2019 (feuilles mobiles)), vol. 4, p. 20</w:t>
      </w:r>
      <w:r w:rsidRPr="00B35658">
        <w:rPr>
          <w:rFonts w:cs="Times New Roman"/>
          <w:lang w:val="fr-CA"/>
        </w:rPr>
        <w:noBreakHyphen/>
        <w:t xml:space="preserve">10.12). Cependant, comme il a été mentionné précédemment, je suis d’avis que cette jurisprudence n’est pas fondée sur une analyse téléologique complète ou convaincante </w:t>
      </w:r>
      <w:r w:rsidRPr="00B35658">
        <w:rPr>
          <w:rFonts w:cs="Times New Roman"/>
          <w:lang w:val="fr-CA"/>
        </w:rPr>
        <w:lastRenderedPageBreak/>
        <w:t>de l’al. 11</w:t>
      </w:r>
      <w:r w:rsidRPr="00B35658">
        <w:rPr>
          <w:rFonts w:cs="Times New Roman"/>
          <w:i/>
          <w:lang w:val="fr-CA"/>
        </w:rPr>
        <w:t>i</w:t>
      </w:r>
      <w:r w:rsidRPr="00B35658">
        <w:rPr>
          <w:rFonts w:cs="Times New Roman"/>
          <w:lang w:val="fr-CA"/>
        </w:rPr>
        <w:t>). Si les tribunaux avaient correctement examiné et soupesé l’application de l’al. 11</w:t>
      </w:r>
      <w:r w:rsidRPr="00B35658">
        <w:rPr>
          <w:rFonts w:cs="Times New Roman"/>
          <w:i/>
          <w:lang w:val="fr-CA"/>
        </w:rPr>
        <w:t>i</w:t>
      </w:r>
      <w:r w:rsidRPr="00B35658">
        <w:rPr>
          <w:rFonts w:cs="Times New Roman"/>
          <w:lang w:val="fr-CA"/>
        </w:rPr>
        <w:t>), son libellé et ses origines, ainsi que les répercussions d’un droit global, ils auraient dû, selon moi, conclure qu’il n’existe aucun fondement téléologique justifiant une interprétation globale de l’al. 11</w:t>
      </w:r>
      <w:r w:rsidRPr="00B35658">
        <w:rPr>
          <w:rFonts w:cs="Times New Roman"/>
          <w:i/>
          <w:lang w:val="fr-CA"/>
        </w:rPr>
        <w:t>i</w:t>
      </w:r>
      <w:r w:rsidRPr="00B35658">
        <w:rPr>
          <w:rFonts w:cs="Times New Roman"/>
          <w:lang w:val="fr-CA"/>
        </w:rPr>
        <w:t>). Les objectifs de l’al. 11</w:t>
      </w:r>
      <w:r w:rsidRPr="00B35658">
        <w:rPr>
          <w:rFonts w:cs="Times New Roman"/>
          <w:i/>
          <w:lang w:val="fr-CA"/>
        </w:rPr>
        <w:t>i</w:t>
      </w:r>
      <w:r w:rsidR="00DB3E72" w:rsidRPr="00B35658">
        <w:rPr>
          <w:rFonts w:cs="Times New Roman"/>
          <w:lang w:val="fr-CA"/>
        </w:rPr>
        <w:t xml:space="preserve">) — y compris l’équité </w:t>
      </w:r>
      <w:r w:rsidRPr="00B35658">
        <w:rPr>
          <w:rFonts w:cs="Times New Roman"/>
          <w:lang w:val="fr-CA"/>
        </w:rPr>
        <w:t>— n’appuient pas une interprétation globale du droit garanti par cet alinéa; au contraire, ils la rejettent.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De même, je conclus que la décision des juges majoritaires de la Cour européenne des droits de l’homme dans l’arrêt </w:t>
      </w:r>
      <w:proofErr w:type="spellStart"/>
      <w:r w:rsidRPr="00B35658">
        <w:rPr>
          <w:rFonts w:cs="Times New Roman"/>
          <w:i/>
          <w:lang w:val="fr-CA"/>
        </w:rPr>
        <w:t>Scoppola</w:t>
      </w:r>
      <w:proofErr w:type="spellEnd"/>
      <w:r w:rsidRPr="00B35658">
        <w:rPr>
          <w:rFonts w:cs="Times New Roman"/>
          <w:lang w:val="fr-CA"/>
        </w:rPr>
        <w:t xml:space="preserve"> ne constitue pas une raison persuasive d’interpréter l’al. 11</w:t>
      </w:r>
      <w:r w:rsidRPr="00B35658">
        <w:rPr>
          <w:rFonts w:cs="Times New Roman"/>
          <w:i/>
          <w:lang w:val="fr-CA"/>
        </w:rPr>
        <w:t>i</w:t>
      </w:r>
      <w:r w:rsidRPr="00B35658">
        <w:rPr>
          <w:rFonts w:cs="Times New Roman"/>
          <w:lang w:val="fr-CA"/>
        </w:rPr>
        <w:t>) d’une façon globale. Comme l’a signalé la Cour suprême du R.</w:t>
      </w:r>
      <w:r w:rsidRPr="00B35658">
        <w:rPr>
          <w:rFonts w:cs="Times New Roman"/>
          <w:lang w:val="fr-CA"/>
        </w:rPr>
        <w:noBreakHyphen/>
        <w:t xml:space="preserve">U., les motifs des </w:t>
      </w:r>
      <w:r w:rsidR="00105E21" w:rsidRPr="00B35658">
        <w:rPr>
          <w:rFonts w:cs="Times New Roman"/>
          <w:lang w:val="fr-CA"/>
        </w:rPr>
        <w:t xml:space="preserve">juges majoritaires dans l’arrêt </w:t>
      </w:r>
      <w:proofErr w:type="spellStart"/>
      <w:r w:rsidRPr="00B35658">
        <w:rPr>
          <w:rFonts w:cs="Times New Roman"/>
          <w:i/>
          <w:lang w:val="fr-CA"/>
        </w:rPr>
        <w:t>Scoppola</w:t>
      </w:r>
      <w:proofErr w:type="spellEnd"/>
      <w:r w:rsidRPr="00B35658">
        <w:rPr>
          <w:rFonts w:cs="Times New Roman"/>
          <w:i/>
          <w:lang w:val="fr-CA"/>
        </w:rPr>
        <w:t xml:space="preserve"> </w:t>
      </w:r>
      <w:r w:rsidRPr="00B35658">
        <w:rPr>
          <w:rFonts w:cs="Times New Roman"/>
          <w:lang w:val="fr-CA"/>
        </w:rPr>
        <w:t xml:space="preserve">ne semblent pas reconnaître la distinction cruciale entre les interprétations binaire et globale du droit à un adoucissement de peine. En fait, les juges majoritaires se sont appuyés sur la justification d’un droit </w:t>
      </w:r>
      <w:r w:rsidRPr="00B35658">
        <w:rPr>
          <w:rFonts w:cs="Times New Roman"/>
          <w:i/>
          <w:lang w:val="fr-CA"/>
        </w:rPr>
        <w:t>binaire</w:t>
      </w:r>
      <w:r w:rsidRPr="00B35658">
        <w:rPr>
          <w:rFonts w:cs="Times New Roman"/>
          <w:lang w:val="fr-CA"/>
        </w:rPr>
        <w:t xml:space="preserve"> pour conclure que le par. 7(1) de la </w:t>
      </w:r>
      <w:r w:rsidRPr="00B35658">
        <w:rPr>
          <w:rFonts w:cs="Times New Roman"/>
          <w:i/>
          <w:lang w:val="fr-CA"/>
        </w:rPr>
        <w:t xml:space="preserve">CEDH </w:t>
      </w:r>
      <w:r w:rsidRPr="00B35658">
        <w:rPr>
          <w:rFonts w:cs="Times New Roman"/>
          <w:lang w:val="fr-CA"/>
        </w:rPr>
        <w:t xml:space="preserve">devrait être interprété de façon </w:t>
      </w:r>
      <w:r w:rsidRPr="00B35658">
        <w:rPr>
          <w:rFonts w:cs="Times New Roman"/>
          <w:i/>
          <w:lang w:val="fr-CA"/>
        </w:rPr>
        <w:t>globale</w:t>
      </w:r>
      <w:r w:rsidRPr="00B35658">
        <w:rPr>
          <w:rFonts w:cs="Times New Roman"/>
          <w:lang w:val="fr-CA"/>
        </w:rPr>
        <w:t xml:space="preserve">; ils ont déclaré que le par. 7(1) ne devrait pas permettre l’infliction de peines « que l’État, et la collectivité qu’il représente, considèrent </w:t>
      </w:r>
      <w:r w:rsidRPr="00B35658">
        <w:rPr>
          <w:rFonts w:cs="Times New Roman"/>
          <w:u w:val="single"/>
          <w:lang w:val="fr-CA"/>
        </w:rPr>
        <w:t>désormais</w:t>
      </w:r>
      <w:r w:rsidRPr="00B35658">
        <w:rPr>
          <w:rFonts w:cs="Times New Roman"/>
          <w:lang w:val="fr-CA"/>
        </w:rPr>
        <w:t xml:space="preserve"> comme excessives » (par. 108 (je souligne)). Je fais mienne la déclaration faite par la Cour </w:t>
      </w:r>
      <w:r w:rsidR="00AE24A2">
        <w:rPr>
          <w:rFonts w:cs="Times New Roman"/>
          <w:lang w:val="fr-CA"/>
        </w:rPr>
        <w:t>suprême du Royaume</w:t>
      </w:r>
      <w:r w:rsidR="00AE24A2" w:rsidRPr="00B35658">
        <w:rPr>
          <w:lang w:val="fr-CA"/>
        </w:rPr>
        <w:noBreakHyphen/>
      </w:r>
      <w:r w:rsidR="00371FD6" w:rsidRPr="00B35658">
        <w:rPr>
          <w:rFonts w:cs="Times New Roman"/>
          <w:lang w:val="fr-CA"/>
        </w:rPr>
        <w:t xml:space="preserve">Uni </w:t>
      </w:r>
      <w:r w:rsidR="00B2082F">
        <w:rPr>
          <w:rFonts w:cs="Times New Roman"/>
          <w:lang w:val="fr-CA"/>
        </w:rPr>
        <w:t xml:space="preserve">dans l’arrêt </w:t>
      </w:r>
      <w:proofErr w:type="spellStart"/>
      <w:r w:rsidRPr="00B35658">
        <w:rPr>
          <w:rFonts w:cs="Times New Roman"/>
          <w:i/>
          <w:lang w:val="fr-CA"/>
        </w:rPr>
        <w:t>Docherty</w:t>
      </w:r>
      <w:proofErr w:type="spellEnd"/>
      <w:r w:rsidRPr="00B35658">
        <w:rPr>
          <w:rFonts w:cs="Times New Roman"/>
          <w:i/>
          <w:lang w:val="fr-CA"/>
        </w:rPr>
        <w:t> </w:t>
      </w:r>
      <w:r w:rsidRPr="00B35658">
        <w:rPr>
          <w:rFonts w:cs="Times New Roman"/>
          <w:lang w:val="fr-CA"/>
        </w:rPr>
        <w:t>:</w:t>
      </w:r>
    </w:p>
    <w:p w:rsidR="00460821" w:rsidRPr="00B35658" w:rsidRDefault="00460821" w:rsidP="00460821">
      <w:pPr>
        <w:pStyle w:val="Citation-AltC"/>
        <w:tabs>
          <w:tab w:val="left" w:pos="1440"/>
        </w:tabs>
        <w:contextualSpacing w:val="0"/>
        <w:rPr>
          <w:lang w:val="fr-CA"/>
        </w:rPr>
      </w:pPr>
      <w:r w:rsidRPr="00B35658">
        <w:rPr>
          <w:lang w:val="fr-CA"/>
        </w:rPr>
        <w:tab/>
        <w:t>[</w:t>
      </w:r>
      <w:r w:rsidRPr="00B35658">
        <w:rPr>
          <w:smallCaps/>
          <w:lang w:val="fr-CA"/>
        </w:rPr>
        <w:t>traduction</w:t>
      </w:r>
      <w:r w:rsidRPr="00B35658">
        <w:rPr>
          <w:lang w:val="fr-CA"/>
        </w:rPr>
        <w:t>] Il existe une différence très cl</w:t>
      </w:r>
      <w:r w:rsidR="00184135">
        <w:rPr>
          <w:lang w:val="fr-CA"/>
        </w:rPr>
        <w:t xml:space="preserve">aire entre </w:t>
      </w:r>
      <w:r w:rsidR="00671774">
        <w:rPr>
          <w:lang w:val="fr-CA"/>
        </w:rPr>
        <w:t>(</w:t>
      </w:r>
      <w:r w:rsidRPr="00B35658">
        <w:rPr>
          <w:lang w:val="fr-CA"/>
        </w:rPr>
        <w:t>1) un principe qui empêche un tribunal</w:t>
      </w:r>
      <w:r w:rsidR="00AE24A2">
        <w:rPr>
          <w:lang w:val="fr-CA"/>
        </w:rPr>
        <w:t xml:space="preserve"> d’infliger une peine allant au</w:t>
      </w:r>
      <w:r w:rsidR="00AE24A2" w:rsidRPr="00B35658">
        <w:rPr>
          <w:lang w:val="fr-CA"/>
        </w:rPr>
        <w:noBreakHyphen/>
      </w:r>
      <w:r w:rsidRPr="00B35658">
        <w:rPr>
          <w:lang w:val="fr-CA"/>
        </w:rPr>
        <w:t>delà de l’éventail des peines actuellement jugées approprié</w:t>
      </w:r>
      <w:r w:rsidR="00184135">
        <w:rPr>
          <w:lang w:val="fr-CA"/>
        </w:rPr>
        <w:t xml:space="preserve">es pour le crime par l’État et </w:t>
      </w:r>
      <w:r w:rsidR="00671774">
        <w:rPr>
          <w:lang w:val="fr-CA"/>
        </w:rPr>
        <w:t>(</w:t>
      </w:r>
      <w:r w:rsidRPr="00B35658">
        <w:rPr>
          <w:lang w:val="fr-CA"/>
        </w:rPr>
        <w:t xml:space="preserve">2) un principe qui exige d’un tribunal qu’il cible et applique la règle la plus favorable ayant existé à n’importe quel moment depuis la perpétration de l’infraction, même si elle a été abandonnée depuis. Le premier s’inscrirait dans le cadre du raisonnement justifiant d’obliger les tribunaux à s’en tenir à un éventail de peines actuellement considérées comme étant appropriées </w:t>
      </w:r>
      <w:r w:rsidRPr="00B35658">
        <w:rPr>
          <w:lang w:val="fr-CA"/>
        </w:rPr>
        <w:lastRenderedPageBreak/>
        <w:t xml:space="preserve">pour l’infraction; ce ne serait pas le cas du deuxième. La différence entre les deux n’est pas mentionnée, encore moins étudiée, dans l’arrêt </w:t>
      </w:r>
      <w:proofErr w:type="spellStart"/>
      <w:r w:rsidRPr="00B35658">
        <w:rPr>
          <w:i/>
          <w:lang w:val="fr-CA"/>
        </w:rPr>
        <w:t>Scoppola</w:t>
      </w:r>
      <w:proofErr w:type="spellEnd"/>
      <w:r w:rsidRPr="00B35658">
        <w:rPr>
          <w:lang w:val="fr-CA"/>
        </w:rPr>
        <w:t xml:space="preserve">. Par conséquent, il est loin d’être clair que le tribunal avait l’intention d’étendre la portée du principe de la </w:t>
      </w:r>
      <w:proofErr w:type="spellStart"/>
      <w:r w:rsidRPr="00B35658">
        <w:rPr>
          <w:i/>
          <w:lang w:val="fr-CA"/>
        </w:rPr>
        <w:t>lex</w:t>
      </w:r>
      <w:proofErr w:type="spellEnd"/>
      <w:r w:rsidRPr="00B35658">
        <w:rPr>
          <w:i/>
          <w:lang w:val="fr-CA"/>
        </w:rPr>
        <w:t xml:space="preserve"> </w:t>
      </w:r>
      <w:proofErr w:type="spellStart"/>
      <w:r w:rsidRPr="00B35658">
        <w:rPr>
          <w:i/>
          <w:lang w:val="fr-CA"/>
        </w:rPr>
        <w:t>mitior</w:t>
      </w:r>
      <w:proofErr w:type="spellEnd"/>
      <w:r w:rsidRPr="00B35658">
        <w:rPr>
          <w:lang w:val="fr-CA"/>
        </w:rPr>
        <w:t xml:space="preserve"> à l’art. 7 en s’appuyant sur la deuxième proposition. [</w:t>
      </w:r>
      <w:proofErr w:type="gramStart"/>
      <w:r w:rsidRPr="00B35658">
        <w:rPr>
          <w:lang w:val="fr-CA"/>
        </w:rPr>
        <w:t>par</w:t>
      </w:r>
      <w:proofErr w:type="gramEnd"/>
      <w:r w:rsidRPr="00B35658">
        <w:rPr>
          <w:lang w:val="fr-CA"/>
        </w:rPr>
        <w:t>. 40]</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Je conviens aussi avec la Cour suprême que la décision des </w:t>
      </w:r>
      <w:r w:rsidR="005C79C2">
        <w:rPr>
          <w:rFonts w:cs="Times New Roman"/>
          <w:lang w:val="fr-CA"/>
        </w:rPr>
        <w:t xml:space="preserve">juges majoritaires dans l’arrêt </w:t>
      </w:r>
      <w:proofErr w:type="spellStart"/>
      <w:r w:rsidRPr="00B35658">
        <w:rPr>
          <w:rFonts w:cs="Times New Roman"/>
          <w:i/>
          <w:lang w:val="fr-CA"/>
        </w:rPr>
        <w:t>Scoppola</w:t>
      </w:r>
      <w:proofErr w:type="spellEnd"/>
      <w:r w:rsidRPr="00B35658">
        <w:rPr>
          <w:rFonts w:cs="Times New Roman"/>
          <w:i/>
          <w:lang w:val="fr-CA"/>
        </w:rPr>
        <w:t xml:space="preserve"> </w:t>
      </w:r>
      <w:r w:rsidRPr="00B35658">
        <w:rPr>
          <w:rFonts w:cs="Times New Roman"/>
          <w:lang w:val="fr-CA"/>
        </w:rPr>
        <w:t xml:space="preserve">doit être lue dans son contexte. D’abord, il est crucial de souligner que l’analyse </w:t>
      </w:r>
      <w:r w:rsidR="005C79C2">
        <w:rPr>
          <w:rFonts w:cs="Times New Roman"/>
          <w:lang w:val="fr-CA"/>
        </w:rPr>
        <w:t xml:space="preserve">du par. 7(1) faite dans l’arrêt </w:t>
      </w:r>
      <w:proofErr w:type="spellStart"/>
      <w:r w:rsidRPr="00B35658">
        <w:rPr>
          <w:rFonts w:cs="Times New Roman"/>
          <w:i/>
          <w:lang w:val="fr-CA"/>
        </w:rPr>
        <w:t>Scoppola</w:t>
      </w:r>
      <w:proofErr w:type="spellEnd"/>
      <w:r w:rsidRPr="00B35658">
        <w:rPr>
          <w:rFonts w:cs="Times New Roman"/>
          <w:lang w:val="fr-CA"/>
        </w:rPr>
        <w:t xml:space="preserve"> s’appuyait sur une disposition de la législation pénale italienne qui se</w:t>
      </w:r>
      <w:r w:rsidR="00F24E85">
        <w:rPr>
          <w:rFonts w:cs="Times New Roman"/>
          <w:lang w:val="fr-CA"/>
        </w:rPr>
        <w:t>mblait conférer un droit global </w:t>
      </w:r>
      <w:r w:rsidRPr="00B35658">
        <w:rPr>
          <w:rFonts w:cs="Times New Roman"/>
          <w:lang w:val="fr-CA"/>
        </w:rPr>
        <w:t>:</w:t>
      </w:r>
    </w:p>
    <w:p w:rsidR="00460821" w:rsidRPr="00B35658" w:rsidRDefault="00FB0BF5" w:rsidP="00FB0BF5">
      <w:pPr>
        <w:pStyle w:val="ContinueParaSuitedupar-AltP"/>
        <w:tabs>
          <w:tab w:val="left" w:pos="1530"/>
        </w:tabs>
        <w:spacing w:before="0" w:after="0" w:line="240" w:lineRule="auto"/>
        <w:ind w:left="1170"/>
        <w:rPr>
          <w:rFonts w:cs="Times New Roman"/>
          <w:lang w:val="fr-CA"/>
        </w:rPr>
      </w:pPr>
      <w:r>
        <w:rPr>
          <w:rFonts w:cs="Times New Roman"/>
          <w:lang w:val="fr-CA"/>
        </w:rPr>
        <w:tab/>
      </w:r>
      <w:r w:rsidR="00460821" w:rsidRPr="00B35658">
        <w:rPr>
          <w:rFonts w:cs="Times New Roman"/>
          <w:lang w:val="fr-CA"/>
        </w:rPr>
        <w:t xml:space="preserve">L’article 2 </w:t>
      </w:r>
      <w:r w:rsidR="00460821" w:rsidRPr="00FB0BF5">
        <w:rPr>
          <w:rFonts w:cs="Times New Roman"/>
          <w:lang w:val="fr-CA"/>
        </w:rPr>
        <w:t>du</w:t>
      </w:r>
      <w:r w:rsidR="00460821" w:rsidRPr="00B35658">
        <w:rPr>
          <w:rFonts w:cs="Times New Roman"/>
          <w:lang w:val="fr-CA"/>
        </w:rPr>
        <w:t xml:space="preserve"> code pénal </w:t>
      </w:r>
      <w:r w:rsidR="005C79C2">
        <w:rPr>
          <w:rFonts w:cs="Times New Roman"/>
          <w:lang w:val="fr-CA"/>
        </w:rPr>
        <w:t xml:space="preserve">[. . .] </w:t>
      </w:r>
      <w:r w:rsidR="00460821" w:rsidRPr="00B35658">
        <w:rPr>
          <w:rFonts w:cs="Times New Roman"/>
          <w:lang w:val="fr-CA"/>
        </w:rPr>
        <w:t xml:space="preserve">de 1930, </w:t>
      </w:r>
      <w:r w:rsidR="005C79C2">
        <w:rPr>
          <w:rFonts w:cs="Times New Roman"/>
          <w:lang w:val="fr-CA"/>
        </w:rPr>
        <w:t>intitulé</w:t>
      </w:r>
      <w:r w:rsidR="00460821" w:rsidRPr="00B35658">
        <w:rPr>
          <w:rFonts w:cs="Times New Roman"/>
          <w:lang w:val="fr-CA"/>
        </w:rPr>
        <w:t xml:space="preserve"> « Succession des lois pénales », </w:t>
      </w:r>
      <w:r w:rsidR="002B126D">
        <w:rPr>
          <w:rFonts w:cs="Times New Roman"/>
          <w:lang w:val="fr-CA"/>
        </w:rPr>
        <w:t>se lit comme suit</w:t>
      </w:r>
      <w:r w:rsidR="00460821" w:rsidRPr="00B35658">
        <w:rPr>
          <w:rFonts w:cs="Times New Roman"/>
          <w:lang w:val="fr-CA"/>
        </w:rPr>
        <w:t> :</w:t>
      </w:r>
    </w:p>
    <w:p w:rsidR="00460821" w:rsidRPr="00B35658" w:rsidRDefault="002B126D" w:rsidP="00460821">
      <w:pPr>
        <w:pStyle w:val="ContinueParaSuitedupar-AltP"/>
        <w:tabs>
          <w:tab w:val="left" w:pos="1440"/>
          <w:tab w:val="left" w:pos="4500"/>
        </w:tabs>
        <w:spacing w:before="0" w:after="240" w:line="240" w:lineRule="auto"/>
        <w:ind w:left="4507" w:hanging="360"/>
        <w:rPr>
          <w:rFonts w:cs="Times New Roman"/>
          <w:lang w:val="fr-CA"/>
        </w:rPr>
      </w:pPr>
      <w:r>
        <w:rPr>
          <w:rFonts w:cs="Times New Roman"/>
          <w:lang w:val="fr-CA"/>
        </w:rPr>
        <w:tab/>
      </w:r>
      <w:r w:rsidR="000F7124" w:rsidRPr="00B35658">
        <w:rPr>
          <w:rFonts w:cs="Times New Roman"/>
          <w:lang w:val="fr-CA"/>
        </w:rPr>
        <w:t>. . .</w:t>
      </w:r>
    </w:p>
    <w:p w:rsidR="00460821" w:rsidRDefault="00460821" w:rsidP="00FB0BF5">
      <w:pPr>
        <w:tabs>
          <w:tab w:val="left" w:pos="1980"/>
        </w:tabs>
        <w:ind w:left="1980" w:hanging="360"/>
        <w:jc w:val="both"/>
        <w:rPr>
          <w:lang w:val="fr-CA"/>
        </w:rPr>
      </w:pPr>
      <w:r w:rsidRPr="00B35658">
        <w:rPr>
          <w:lang w:val="fr-CA"/>
        </w:rPr>
        <w:t xml:space="preserve">3. </w:t>
      </w:r>
      <w:r w:rsidR="00FB0BF5">
        <w:rPr>
          <w:lang w:val="fr-CA"/>
        </w:rPr>
        <w:tab/>
      </w:r>
      <w:r w:rsidRPr="00B35658">
        <w:rPr>
          <w:lang w:val="fr-CA"/>
        </w:rPr>
        <w:t xml:space="preserve">Si la </w:t>
      </w:r>
      <w:r w:rsidRPr="00FB0BF5">
        <w:rPr>
          <w:lang w:val="fr-CA"/>
        </w:rPr>
        <w:t>loi</w:t>
      </w:r>
      <w:r w:rsidRPr="00B35658">
        <w:rPr>
          <w:lang w:val="fr-CA"/>
        </w:rPr>
        <w:t xml:space="preserve"> en vigueur au moment où l’infraction a été commise et les [lois] postérieures sont différentes, </w:t>
      </w:r>
      <w:r w:rsidRPr="00B35658">
        <w:rPr>
          <w:u w:val="single"/>
          <w:lang w:val="fr-CA"/>
        </w:rPr>
        <w:t>on applique celle dont les dispositions sont les plus favorables à l’accusé</w:t>
      </w:r>
      <w:r w:rsidRPr="00B35658">
        <w:rPr>
          <w:lang w:val="fr-CA"/>
        </w:rPr>
        <w:t>, sauf s’il y a eu prononcé d’un jugement définitif. [Je souligne</w:t>
      </w:r>
      <w:r w:rsidR="009C280E">
        <w:rPr>
          <w:lang w:val="fr-CA"/>
        </w:rPr>
        <w:t>.</w:t>
      </w:r>
      <w:r w:rsidRPr="00B35658">
        <w:rPr>
          <w:lang w:val="fr-CA"/>
        </w:rPr>
        <w:t>]</w:t>
      </w:r>
    </w:p>
    <w:p w:rsidR="00FB0BF5" w:rsidRPr="00B35658" w:rsidRDefault="00FB0BF5" w:rsidP="00FB0BF5">
      <w:pPr>
        <w:tabs>
          <w:tab w:val="left" w:pos="1980"/>
        </w:tabs>
        <w:jc w:val="both"/>
        <w:rPr>
          <w:lang w:val="fr-CA"/>
        </w:rPr>
      </w:pPr>
    </w:p>
    <w:p w:rsidR="00460821" w:rsidRPr="00B35658" w:rsidRDefault="00460821" w:rsidP="002B126D">
      <w:pPr>
        <w:pStyle w:val="Citation-AltC"/>
        <w:ind w:left="0"/>
        <w:rPr>
          <w:lang w:val="fr-CA"/>
        </w:rPr>
      </w:pPr>
      <w:r w:rsidRPr="00B35658">
        <w:rPr>
          <w:lang w:val="fr-CA"/>
        </w:rPr>
        <w:t>(</w:t>
      </w:r>
      <w:proofErr w:type="spellStart"/>
      <w:r w:rsidRPr="00B35658">
        <w:rPr>
          <w:i/>
          <w:lang w:val="fr-CA"/>
        </w:rPr>
        <w:t>Scoppola</w:t>
      </w:r>
      <w:proofErr w:type="spellEnd"/>
      <w:r w:rsidRPr="00B35658">
        <w:rPr>
          <w:lang w:val="fr-CA"/>
        </w:rPr>
        <w:t>, par. 32; voir aussi les par. 106 et 108</w:t>
      </w:r>
      <w:r w:rsidR="00B342CE">
        <w:rPr>
          <w:lang w:val="fr-CA"/>
        </w:rPr>
        <w:t>.</w:t>
      </w:r>
      <w:r w:rsidRPr="00B35658">
        <w:rPr>
          <w:lang w:val="fr-CA"/>
        </w:rPr>
        <w:t>)</w:t>
      </w:r>
    </w:p>
    <w:p w:rsidR="00460821" w:rsidRPr="00B35658" w:rsidRDefault="00E564B3" w:rsidP="00460821">
      <w:pPr>
        <w:pStyle w:val="ContinueParaSuitedupar-AltP"/>
        <w:spacing w:before="0"/>
        <w:rPr>
          <w:rFonts w:cs="Times New Roman"/>
          <w:lang w:val="fr-CA"/>
        </w:rPr>
      </w:pPr>
      <w:r>
        <w:rPr>
          <w:rFonts w:cs="Times New Roman"/>
          <w:lang w:val="fr-CA"/>
        </w:rPr>
        <w:t xml:space="preserve">Ensuite, les faits de l’affaire </w:t>
      </w:r>
      <w:proofErr w:type="spellStart"/>
      <w:r w:rsidR="00460821" w:rsidRPr="00B35658">
        <w:rPr>
          <w:rFonts w:cs="Times New Roman"/>
          <w:i/>
          <w:lang w:val="fr-CA"/>
        </w:rPr>
        <w:t>Scoppola</w:t>
      </w:r>
      <w:proofErr w:type="spellEnd"/>
      <w:r w:rsidR="00460821" w:rsidRPr="00B35658">
        <w:rPr>
          <w:rFonts w:cs="Times New Roman"/>
          <w:i/>
          <w:lang w:val="fr-CA"/>
        </w:rPr>
        <w:t xml:space="preserve"> </w:t>
      </w:r>
      <w:r w:rsidR="00460821" w:rsidRPr="00B35658">
        <w:rPr>
          <w:rFonts w:cs="Times New Roman"/>
          <w:lang w:val="fr-CA"/>
        </w:rPr>
        <w:t>étaient tels qu’une interprétation globale du par. 7(1) accordait à M. </w:t>
      </w:r>
      <w:proofErr w:type="spellStart"/>
      <w:r w:rsidR="00460821" w:rsidRPr="00B35658">
        <w:rPr>
          <w:rFonts w:cs="Times New Roman"/>
          <w:lang w:val="fr-CA"/>
        </w:rPr>
        <w:t>Scoppola</w:t>
      </w:r>
      <w:proofErr w:type="spellEnd"/>
      <w:r w:rsidR="00460821" w:rsidRPr="00B35658">
        <w:rPr>
          <w:rFonts w:cs="Times New Roman"/>
          <w:lang w:val="fr-CA"/>
        </w:rPr>
        <w:t xml:space="preserve"> le droit au bénéfice de la peine la moins sévère sur laquelle il s’était expressément </w:t>
      </w:r>
      <w:r w:rsidR="00460821" w:rsidRPr="00B35658">
        <w:rPr>
          <w:rFonts w:cs="Times New Roman"/>
          <w:i/>
          <w:lang w:val="fr-CA"/>
        </w:rPr>
        <w:t>appuyé</w:t>
      </w:r>
      <w:r w:rsidR="00460821" w:rsidRPr="00B35658">
        <w:rPr>
          <w:rFonts w:cs="Times New Roman"/>
          <w:lang w:val="fr-CA"/>
        </w:rPr>
        <w:t xml:space="preserve"> pour assurer sa défense. Au moment où il a commis ses infractions, celles</w:t>
      </w:r>
      <w:r w:rsidR="00460821" w:rsidRPr="00B35658">
        <w:rPr>
          <w:rFonts w:cs="Times New Roman"/>
          <w:lang w:val="fr-CA"/>
        </w:rPr>
        <w:noBreakHyphen/>
        <w:t>ci étaient passibles de l’emprisonnement à perpétuité et inadmissibles à un procès sommaire. Quelques mois après que M. </w:t>
      </w:r>
      <w:proofErr w:type="spellStart"/>
      <w:r w:rsidR="00460821" w:rsidRPr="00B35658">
        <w:rPr>
          <w:rFonts w:cs="Times New Roman"/>
          <w:lang w:val="fr-CA"/>
        </w:rPr>
        <w:t>Scoppola</w:t>
      </w:r>
      <w:proofErr w:type="spellEnd"/>
      <w:r w:rsidR="00460821" w:rsidRPr="00B35658">
        <w:rPr>
          <w:rFonts w:cs="Times New Roman"/>
          <w:lang w:val="fr-CA"/>
        </w:rPr>
        <w:t xml:space="preserve"> eut commis ses infractions (en janvier 2000), une modification législative a rendu possible le recours à la procédure sommaire dans le cas des infractions de M. </w:t>
      </w:r>
      <w:proofErr w:type="spellStart"/>
      <w:r w:rsidR="00460821" w:rsidRPr="00B35658">
        <w:rPr>
          <w:rFonts w:cs="Times New Roman"/>
          <w:lang w:val="fr-CA"/>
        </w:rPr>
        <w:t>Scoppola</w:t>
      </w:r>
      <w:proofErr w:type="spellEnd"/>
      <w:r w:rsidR="00460821" w:rsidRPr="00B35658">
        <w:rPr>
          <w:rFonts w:cs="Times New Roman"/>
          <w:lang w:val="fr-CA"/>
        </w:rPr>
        <w:t xml:space="preserve">. Cette modification prévoyait qu’une personne reconnue coupable de ces infractions par suite </w:t>
      </w:r>
      <w:r w:rsidR="00460821" w:rsidRPr="00B35658">
        <w:rPr>
          <w:rFonts w:cs="Times New Roman"/>
          <w:lang w:val="fr-CA"/>
        </w:rPr>
        <w:lastRenderedPageBreak/>
        <w:t>d’une procédure sommaire devenait passible d’une peine d’emprisonnement de 30 ans, mais pas d’une peine d’emprisonnement à perpétuité. La procédure sommaire représentait un compromis pour l’accusé qui la choisissait; elle entraînait une réduction de peine au moment de la condamnation, mais cette réduction était offerte au détriment d’importantes garanties procédurales, notamment la possibilité de présenter des éléments de preuve en réponse à la preuve de la poursuite (par. 134). S’appuyant sur cette modification, M. </w:t>
      </w:r>
      <w:proofErr w:type="spellStart"/>
      <w:r w:rsidR="00460821" w:rsidRPr="00B35658">
        <w:rPr>
          <w:rFonts w:cs="Times New Roman"/>
          <w:lang w:val="fr-CA"/>
        </w:rPr>
        <w:t>Scoppola</w:t>
      </w:r>
      <w:proofErr w:type="spellEnd"/>
      <w:r w:rsidR="00460821" w:rsidRPr="00B35658">
        <w:rPr>
          <w:rFonts w:cs="Times New Roman"/>
          <w:lang w:val="fr-CA"/>
        </w:rPr>
        <w:t xml:space="preserve"> a choisi de subir un procès sommaire. Mais quelques mois plus tard, le jour même où il a été reconnu coupable et condamné, une autre modification législative est entrée en vigueur, ramenant la peine prévue pour les infractions commises par M. </w:t>
      </w:r>
      <w:proofErr w:type="spellStart"/>
      <w:r w:rsidR="00460821" w:rsidRPr="00B35658">
        <w:rPr>
          <w:rFonts w:cs="Times New Roman"/>
          <w:lang w:val="fr-CA"/>
        </w:rPr>
        <w:t>Scoppola</w:t>
      </w:r>
      <w:proofErr w:type="spellEnd"/>
      <w:r w:rsidR="00460821" w:rsidRPr="00B35658">
        <w:rPr>
          <w:rFonts w:cs="Times New Roman"/>
          <w:lang w:val="fr-CA"/>
        </w:rPr>
        <w:t xml:space="preserve"> à l’emprisonnement à perpétuité. C’est dans ces circonstances que la Cour européenne des droits de l’homme a reconnu que la peine d’emprisonnement à perpétuité infligée à M. </w:t>
      </w:r>
      <w:proofErr w:type="spellStart"/>
      <w:r w:rsidR="00460821" w:rsidRPr="00B35658">
        <w:rPr>
          <w:rFonts w:cs="Times New Roman"/>
          <w:lang w:val="fr-CA"/>
        </w:rPr>
        <w:t>Scoppola</w:t>
      </w:r>
      <w:proofErr w:type="spellEnd"/>
      <w:r w:rsidR="00460821" w:rsidRPr="00B35658">
        <w:rPr>
          <w:rFonts w:cs="Times New Roman"/>
          <w:lang w:val="fr-CA"/>
        </w:rPr>
        <w:t xml:space="preserve"> violait l’art. 7.</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À mon avis, il est significatif que la Cour européenne des droits de l’homme ait semblé donner son aval à un droit global au vu des faits relatés ci</w:t>
      </w:r>
      <w:r w:rsidRPr="00B35658">
        <w:rPr>
          <w:rFonts w:cs="Times New Roman"/>
          <w:lang w:val="fr-CA"/>
        </w:rPr>
        <w:noBreakHyphen/>
        <w:t>dessus. La Cour n’a pas adopté une interprétation globale dans le but de donner à un contrevenant l’accès à une peine n’ayant aucun rapport avec sa conduite ou la poursuite engagée contre lui. Elle a adopté une interprétation globale en réponse à une situation où le contrevenant s’était raisonnablement fondé, à son détriment, sur une disposition entrée en vigueur dans l’intervalle.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Étant donné le contexte juridique et factuel dans lequel l’arrêt </w:t>
      </w:r>
      <w:proofErr w:type="spellStart"/>
      <w:r w:rsidRPr="00B35658">
        <w:rPr>
          <w:rFonts w:cs="Times New Roman"/>
          <w:i/>
          <w:lang w:val="fr-CA"/>
        </w:rPr>
        <w:t>Scoppola</w:t>
      </w:r>
      <w:proofErr w:type="spellEnd"/>
      <w:r w:rsidRPr="00B35658">
        <w:rPr>
          <w:rFonts w:cs="Times New Roman"/>
          <w:i/>
          <w:lang w:val="fr-CA"/>
        </w:rPr>
        <w:t xml:space="preserve"> </w:t>
      </w:r>
      <w:r w:rsidRPr="00B35658">
        <w:rPr>
          <w:rFonts w:cs="Times New Roman"/>
          <w:lang w:val="fr-CA"/>
        </w:rPr>
        <w:t xml:space="preserve">a été rendu, et vu l’absence de tout examen de la distinction entre une interprétation </w:t>
      </w:r>
      <w:r w:rsidRPr="00B35658">
        <w:rPr>
          <w:rFonts w:cs="Times New Roman"/>
          <w:lang w:val="fr-CA"/>
        </w:rPr>
        <w:lastRenderedPageBreak/>
        <w:t>binaire et une interprétation globale dans les motifs des juges majoritaires, j’estime que la décision des juges majoritaires n’appuie pas une interprétation globale de l’al. 11</w:t>
      </w:r>
      <w:r w:rsidRPr="00B35658">
        <w:rPr>
          <w:rFonts w:cs="Times New Roman"/>
          <w:i/>
          <w:lang w:val="fr-CA"/>
        </w:rPr>
        <w:t>i</w:t>
      </w:r>
      <w:r w:rsidRPr="00B35658">
        <w:rPr>
          <w:rFonts w:cs="Times New Roman"/>
          <w:lang w:val="fr-CA"/>
        </w:rPr>
        <w:t>).</w:t>
      </w:r>
    </w:p>
    <w:p w:rsidR="00460821" w:rsidRPr="00F708ED" w:rsidRDefault="00460821" w:rsidP="00F708ED">
      <w:pPr>
        <w:pStyle w:val="ParaNoNdepar-AltN"/>
        <w:numPr>
          <w:ilvl w:val="4"/>
          <w:numId w:val="6"/>
        </w:numPr>
        <w:spacing w:before="0" w:after="720" w:line="240" w:lineRule="auto"/>
        <w:ind w:left="1152" w:hanging="576"/>
        <w:rPr>
          <w:rFonts w:cs="Times New Roman"/>
          <w:i/>
          <w:lang w:val="fr-CA"/>
        </w:rPr>
      </w:pPr>
      <w:bookmarkStart w:id="28" w:name="_Toc12005423"/>
      <w:bookmarkStart w:id="29" w:name="_Toc14423821"/>
      <w:bookmarkStart w:id="30" w:name="_Toc14427789"/>
      <w:r w:rsidRPr="00F708ED">
        <w:rPr>
          <w:rFonts w:cs="Times New Roman"/>
          <w:i/>
          <w:lang w:val="fr-CA"/>
        </w:rPr>
        <w:t>Au</w:t>
      </w:r>
      <w:r w:rsidRPr="00F708ED">
        <w:rPr>
          <w:rFonts w:cs="Times New Roman"/>
          <w:i/>
          <w:lang w:val="fr-CA"/>
        </w:rPr>
        <w:noBreakHyphen/>
        <w:t>delà de l’interprétation binaire de l’al. 11i)</w:t>
      </w:r>
      <w:bookmarkEnd w:id="28"/>
      <w:bookmarkEnd w:id="29"/>
      <w:bookmarkEnd w:id="30"/>
    </w:p>
    <w:p w:rsidR="00460821" w:rsidRPr="00B35658" w:rsidRDefault="00C54883" w:rsidP="00460821">
      <w:pPr>
        <w:pStyle w:val="ParaNoNdepar-AltN"/>
        <w:numPr>
          <w:ilvl w:val="0"/>
          <w:numId w:val="15"/>
        </w:numPr>
        <w:spacing w:before="0"/>
        <w:rPr>
          <w:rFonts w:cs="Times New Roman"/>
          <w:lang w:val="fr-CA"/>
        </w:rPr>
      </w:pPr>
      <w:r>
        <w:rPr>
          <w:rFonts w:cs="Times New Roman"/>
          <w:lang w:val="fr-CA"/>
        </w:rPr>
        <w:t xml:space="preserve">Bien que l’arrêt </w:t>
      </w:r>
      <w:proofErr w:type="spellStart"/>
      <w:r w:rsidR="00460821" w:rsidRPr="00B35658">
        <w:rPr>
          <w:rFonts w:cs="Times New Roman"/>
          <w:i/>
          <w:lang w:val="fr-CA"/>
        </w:rPr>
        <w:t>Scoppola</w:t>
      </w:r>
      <w:proofErr w:type="spellEnd"/>
      <w:r w:rsidR="00460821" w:rsidRPr="00B35658">
        <w:rPr>
          <w:rFonts w:cs="Times New Roman"/>
          <w:i/>
          <w:lang w:val="fr-CA"/>
        </w:rPr>
        <w:t xml:space="preserve"> </w:t>
      </w:r>
      <w:r w:rsidR="00460821" w:rsidRPr="00B35658">
        <w:rPr>
          <w:rFonts w:cs="Times New Roman"/>
          <w:lang w:val="fr-CA"/>
        </w:rPr>
        <w:t>ne justifie pas de reconnaître que l’al. 11</w:t>
      </w:r>
      <w:r w:rsidR="00460821" w:rsidRPr="00B35658">
        <w:rPr>
          <w:rFonts w:cs="Times New Roman"/>
          <w:i/>
          <w:lang w:val="fr-CA"/>
        </w:rPr>
        <w:t>i</w:t>
      </w:r>
      <w:r w:rsidR="00460821" w:rsidRPr="00B35658">
        <w:rPr>
          <w:rFonts w:cs="Times New Roman"/>
          <w:lang w:val="fr-CA"/>
        </w:rPr>
        <w:t xml:space="preserve">) de la </w:t>
      </w:r>
      <w:r w:rsidR="00460821" w:rsidRPr="00B35658">
        <w:rPr>
          <w:rFonts w:cs="Times New Roman"/>
          <w:i/>
          <w:lang w:val="fr-CA"/>
        </w:rPr>
        <w:t>Charte</w:t>
      </w:r>
      <w:r w:rsidR="00460821" w:rsidRPr="00B35658">
        <w:rPr>
          <w:rFonts w:cs="Times New Roman"/>
          <w:lang w:val="fr-CA"/>
        </w:rPr>
        <w:t xml:space="preserve"> confère un droit global, il fait ressortir une caractéristique potentiellement attrayante de la conception globale de l’al. 11</w:t>
      </w:r>
      <w:r w:rsidR="00460821" w:rsidRPr="00B35658">
        <w:rPr>
          <w:rFonts w:cs="Times New Roman"/>
          <w:i/>
          <w:lang w:val="fr-CA"/>
        </w:rPr>
        <w:t>i</w:t>
      </w:r>
      <w:r w:rsidR="00460821" w:rsidRPr="00B35658">
        <w:rPr>
          <w:rFonts w:cs="Times New Roman"/>
          <w:lang w:val="fr-CA"/>
        </w:rPr>
        <w:t>) : cette conception garantit que le contrevenant aura accès aux peines les moins sévères qui se sont appliquées antérieurement et sur lesquelles il s’est appuyé pour prendre des décisions ayant une incidence sur sa liberté. Selon une interprétation strictement binaire de l’al. 11</w:t>
      </w:r>
      <w:r w:rsidR="00460821" w:rsidRPr="00B35658">
        <w:rPr>
          <w:rFonts w:cs="Times New Roman"/>
          <w:i/>
          <w:lang w:val="fr-CA"/>
        </w:rPr>
        <w:t>i</w:t>
      </w:r>
      <w:r w:rsidR="00460821" w:rsidRPr="00B35658">
        <w:rPr>
          <w:rFonts w:cs="Times New Roman"/>
          <w:lang w:val="fr-CA"/>
        </w:rPr>
        <w:t>), le contrevenant n’a droit qu’à la moins sévère des peines prévues par les lois en vigueur au moment de la perpétration de l’infraction et à celui de la sentence. Une telle interprétation empêche le contrevenant de bénéficier d’une peine moins sévère qui s’appliquait, par exemple, au moment où il a coopéré avec la police ou au moment où il a enregistré un plaidoyer.</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En l’espèce, soucieux de cette possibilité, le ministère public est disposé à accepter qu’en plus d’avoir le droit de bénéficier de la moins sévère des deux peines mentionnées à l’al. 11</w:t>
      </w:r>
      <w:r w:rsidRPr="00B35658">
        <w:rPr>
          <w:rFonts w:cs="Times New Roman"/>
          <w:i/>
          <w:lang w:val="fr-CA"/>
        </w:rPr>
        <w:t>i</w:t>
      </w:r>
      <w:r w:rsidRPr="00B35658">
        <w:rPr>
          <w:rFonts w:cs="Times New Roman"/>
          <w:lang w:val="fr-CA"/>
        </w:rPr>
        <w:t xml:space="preserve">), un contrevenant devrait aussi pouvoir bénéficier de toute peine moins sévère qui se serait appliquée entre le moment de l’inculpation et le moment de la sentence. De l’avis du ministère public, il serait préjudiciable aux contrevenants de ne pas pouvoir bénéficier des peines les moins sévères sur lesquelles ils se sont appuyés (à leur détriment) pour assurer leur défense. Bien que le ministère public ne soit disposé </w:t>
      </w:r>
      <w:r w:rsidRPr="00B35658">
        <w:rPr>
          <w:rFonts w:cs="Times New Roman"/>
          <w:lang w:val="fr-CA"/>
        </w:rPr>
        <w:lastRenderedPageBreak/>
        <w:t>qu’à étendre la portée de l’expression « moment de la sentence » jusqu’au « moment de l’inculpation », il me semble que, selon la logique du ministère public, les contrevenants devraient aussi pouvoir bénéficier de toute peine moins sévère qui s’appliquait au moment où ils se sont rendus à la police, au moment où ils ont avoué ou à tout autre moment où ils se sont, à leur détriment, appuyé</w:t>
      </w:r>
      <w:r w:rsidR="00322A2A">
        <w:rPr>
          <w:rFonts w:cs="Times New Roman"/>
          <w:lang w:val="fr-CA"/>
        </w:rPr>
        <w:t>s</w:t>
      </w:r>
      <w:r w:rsidR="0052133F">
        <w:rPr>
          <w:rFonts w:cs="Times New Roman"/>
          <w:lang w:val="fr-CA"/>
        </w:rPr>
        <w:t xml:space="preserve"> sur la loi pour s’incriminer </w:t>
      </w:r>
      <w:r w:rsidRPr="00B35658">
        <w:rPr>
          <w:rFonts w:cs="Times New Roman"/>
          <w:lang w:val="fr-CA"/>
        </w:rPr>
        <w:t>— même avant l’inculpation.</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La question de savoir s’il existe, ou s’il devrait exister, une règle autorisant les contrevenants à bénéficier des peines les moins sévères sur lesquelles ils se sont </w:t>
      </w:r>
      <w:r w:rsidRPr="00B35658">
        <w:rPr>
          <w:rFonts w:cs="Times New Roman"/>
          <w:i/>
          <w:lang w:val="fr-CA"/>
        </w:rPr>
        <w:t>appuyés</w:t>
      </w:r>
      <w:r w:rsidRPr="00B35658">
        <w:rPr>
          <w:rFonts w:cs="Times New Roman"/>
          <w:lang w:val="fr-CA"/>
        </w:rPr>
        <w:t xml:space="preserve"> pour assurer le</w:t>
      </w:r>
      <w:r w:rsidR="00105E21" w:rsidRPr="00B35658">
        <w:rPr>
          <w:rFonts w:cs="Times New Roman"/>
          <w:lang w:val="fr-CA"/>
        </w:rPr>
        <w:t xml:space="preserve">ur défense ou pour s’incriminer </w:t>
      </w:r>
      <w:r w:rsidRPr="00B35658">
        <w:rPr>
          <w:rFonts w:cs="Times New Roman"/>
          <w:lang w:val="fr-CA"/>
        </w:rPr>
        <w:t>— que ce soit au titre de l’al. 11</w:t>
      </w:r>
      <w:r w:rsidRPr="00B35658">
        <w:rPr>
          <w:rFonts w:cs="Times New Roman"/>
          <w:i/>
          <w:lang w:val="fr-CA"/>
        </w:rPr>
        <w:t>i</w:t>
      </w:r>
      <w:r w:rsidRPr="00B35658">
        <w:rPr>
          <w:rFonts w:cs="Times New Roman"/>
          <w:lang w:val="fr-CA"/>
        </w:rPr>
        <w:t xml:space="preserve">), d’un autre article de la </w:t>
      </w:r>
      <w:r w:rsidRPr="00B35658">
        <w:rPr>
          <w:rFonts w:cs="Times New Roman"/>
          <w:i/>
          <w:lang w:val="fr-CA"/>
        </w:rPr>
        <w:t>Charte</w:t>
      </w:r>
      <w:r w:rsidR="00105E21" w:rsidRPr="00B35658">
        <w:rPr>
          <w:rFonts w:cs="Times New Roman"/>
          <w:lang w:val="fr-CA"/>
        </w:rPr>
        <w:t xml:space="preserve"> ou de principes de </w:t>
      </w:r>
      <w:proofErr w:type="spellStart"/>
      <w:r w:rsidR="00105E21" w:rsidRPr="00B35658">
        <w:rPr>
          <w:rFonts w:cs="Times New Roman"/>
          <w:lang w:val="fr-CA"/>
        </w:rPr>
        <w:t>common</w:t>
      </w:r>
      <w:proofErr w:type="spellEnd"/>
      <w:r w:rsidR="00105E21" w:rsidRPr="00B35658">
        <w:rPr>
          <w:rFonts w:cs="Times New Roman"/>
          <w:lang w:val="fr-CA"/>
        </w:rPr>
        <w:t xml:space="preserve"> </w:t>
      </w:r>
      <w:proofErr w:type="spellStart"/>
      <w:r w:rsidR="00105E21" w:rsidRPr="00B35658">
        <w:rPr>
          <w:rFonts w:cs="Times New Roman"/>
          <w:lang w:val="fr-CA"/>
        </w:rPr>
        <w:t>law</w:t>
      </w:r>
      <w:proofErr w:type="spellEnd"/>
      <w:r w:rsidR="00105E21" w:rsidRPr="00B35658">
        <w:rPr>
          <w:rFonts w:cs="Times New Roman"/>
          <w:lang w:val="fr-CA"/>
        </w:rPr>
        <w:t xml:space="preserve"> </w:t>
      </w:r>
      <w:r w:rsidRPr="00B35658">
        <w:rPr>
          <w:rFonts w:cs="Times New Roman"/>
          <w:lang w:val="fr-CA"/>
        </w:rPr>
        <w:t>— en est une qu’il vaudrait mieux traiter dans une autre affaire. Cette question ne se pose pas en l’espèce; rien dans le dossier n’indique, et les parties ne l’ont pas laissé entendre, que durant la période où une peine d’emprisonnement avec sursis s’appliquait à ses infractions, M. Poulin se soit appuyé sur cette peine pour prendre des décisions mettant en jeu sa liberté. Puisque les faits de l’espèce ne soulèvent pas cette question, les parties n’ont pas formulé les observations nécessaires pour permettre à notre Cour de l’examiner judicieusement.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Ce qui est clair, c’est que l’al. 11</w:t>
      </w:r>
      <w:r w:rsidRPr="00B35658">
        <w:rPr>
          <w:rFonts w:cs="Times New Roman"/>
          <w:i/>
          <w:lang w:val="fr-CA"/>
        </w:rPr>
        <w:t>i</w:t>
      </w:r>
      <w:r w:rsidRPr="00B35658">
        <w:rPr>
          <w:rFonts w:cs="Times New Roman"/>
          <w:lang w:val="fr-CA"/>
        </w:rPr>
        <w:t xml:space="preserve">) ne garantit pas à chaque contrevenant le bénéfice de </w:t>
      </w:r>
      <w:r w:rsidRPr="00B35658">
        <w:rPr>
          <w:rFonts w:cs="Times New Roman"/>
          <w:i/>
          <w:lang w:val="fr-CA"/>
        </w:rPr>
        <w:t>chaque</w:t>
      </w:r>
      <w:r w:rsidRPr="00B35658">
        <w:rPr>
          <w:rFonts w:cs="Times New Roman"/>
          <w:lang w:val="fr-CA"/>
        </w:rPr>
        <w:t xml:space="preserve"> modification apportée à la peine dans l’intervalle entre la perpétration de l’infraction et la sentence. Un contrevenant n’a pas droit au bénéfice des peines les moins sévères qui sont complètement sans rapport avec les principaux </w:t>
      </w:r>
      <w:r w:rsidRPr="00B35658">
        <w:rPr>
          <w:rFonts w:cs="Times New Roman"/>
          <w:lang w:val="fr-CA"/>
        </w:rPr>
        <w:lastRenderedPageBreak/>
        <w:t>événements juridiques de la poursuite engagée contre lui. Une préoccupation légitime concernant le fait d’accorder à un contrevenant l’accès à une peine sur laquelle il s’est appuyé ne justifie pas une interprétation globale de l’al. 11</w:t>
      </w:r>
      <w:r w:rsidRPr="00B35658">
        <w:rPr>
          <w:rFonts w:cs="Times New Roman"/>
          <w:i/>
          <w:lang w:val="fr-CA"/>
        </w:rPr>
        <w:t>i</w:t>
      </w:r>
      <w:r w:rsidRPr="00B35658">
        <w:rPr>
          <w:rFonts w:cs="Times New Roman"/>
          <w:lang w:val="fr-CA"/>
        </w:rPr>
        <w:t>). Comme il a été expliqué tout au long des présents motifs, une interprétation globale de l’al. 11</w:t>
      </w:r>
      <w:r w:rsidRPr="00B35658">
        <w:rPr>
          <w:rFonts w:cs="Times New Roman"/>
          <w:i/>
          <w:lang w:val="fr-CA"/>
        </w:rPr>
        <w:t>i</w:t>
      </w:r>
      <w:r w:rsidR="00AE24A2">
        <w:rPr>
          <w:rFonts w:cs="Times New Roman"/>
          <w:lang w:val="fr-CA"/>
        </w:rPr>
        <w:t>) irait largement au</w:t>
      </w:r>
      <w:r w:rsidR="00AE24A2" w:rsidRPr="00B35658">
        <w:rPr>
          <w:lang w:val="fr-CA"/>
        </w:rPr>
        <w:noBreakHyphen/>
      </w:r>
      <w:r w:rsidRPr="00B35658">
        <w:rPr>
          <w:rFonts w:cs="Times New Roman"/>
          <w:lang w:val="fr-CA"/>
        </w:rPr>
        <w:t>delà des objets de cet alinéa. Ce ne sont pas tous les contrevenants qui devraient jouir du droit constitutionnel à la peine la moins sévère s’étant appliquée à leur infraction depuis qu’ils l’ont commise de sorte que les quelques contrevenants qui se sont appuyés sur ces peines les moins sévères puissent en bénéficier. Interpréter l’al. 11</w:t>
      </w:r>
      <w:r w:rsidRPr="00B35658">
        <w:rPr>
          <w:rFonts w:cs="Times New Roman"/>
          <w:i/>
          <w:lang w:val="fr-CA"/>
        </w:rPr>
        <w:t>i</w:t>
      </w:r>
      <w:r w:rsidRPr="00B35658">
        <w:rPr>
          <w:rFonts w:cs="Times New Roman"/>
          <w:lang w:val="fr-CA"/>
        </w:rPr>
        <w:t>) de façon globale au profit de ces quelques contrevenants reviendrait à utiliser un couperet alors qu’un simple scalpel suffirait. La situation de ces quelques contrevenants pourrait, dans une affaire subséquente, nécessiter une réponse adaptée, mais en l’espèce, elle ne commande pas une interprétation de l’al. 11</w:t>
      </w:r>
      <w:r w:rsidRPr="00B35658">
        <w:rPr>
          <w:rFonts w:cs="Times New Roman"/>
          <w:i/>
          <w:lang w:val="fr-CA"/>
        </w:rPr>
        <w:t>i</w:t>
      </w:r>
      <w:r w:rsidRPr="00B35658">
        <w:rPr>
          <w:rFonts w:cs="Times New Roman"/>
          <w:lang w:val="fr-CA"/>
        </w:rPr>
        <w:t>) qui ne serait ni justifiée ni téléologique.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Par conséquent, je vais laisser à un autre juge, dans une affaire qui s’y prêtera mieux, le soin de trancher la question de savoir si un contrevenant a légalement droit au bénéfice de la peine la moins sévère sur laquelle il s’est réellement appuyé. Dans une telle affaire, les principes de la primauté du droit et de l’équité pourraient donner naissance à un droit et à un recours au titre de cette disposition, ou de toute autre disposition, de la </w:t>
      </w:r>
      <w:r w:rsidRPr="00B35658">
        <w:rPr>
          <w:rFonts w:cs="Times New Roman"/>
          <w:i/>
          <w:lang w:val="fr-CA"/>
        </w:rPr>
        <w:t>Charte</w:t>
      </w:r>
      <w:r w:rsidRPr="00B35658">
        <w:rPr>
          <w:rFonts w:cs="Times New Roman"/>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J’estime certes que cette question doit être tranchée dans une autre affaire, mais je suis consciente que, dans l’arrêt </w:t>
      </w:r>
      <w:r w:rsidRPr="00B35658">
        <w:rPr>
          <w:rFonts w:cs="Times New Roman"/>
          <w:i/>
          <w:lang w:val="fr-CA"/>
        </w:rPr>
        <w:t>K.R.J.</w:t>
      </w:r>
      <w:r w:rsidRPr="000B4CD8">
        <w:rPr>
          <w:rFonts w:cs="Times New Roman"/>
          <w:lang w:val="fr-CA"/>
        </w:rPr>
        <w:t xml:space="preserve">, </w:t>
      </w:r>
      <w:r w:rsidRPr="00B35658">
        <w:rPr>
          <w:rFonts w:cs="Times New Roman"/>
          <w:lang w:val="fr-CA"/>
        </w:rPr>
        <w:t>les juges majoritaires de la Cour ont déclaré ce qui suit :</w:t>
      </w:r>
    </w:p>
    <w:p w:rsidR="00460821" w:rsidRPr="00B35658" w:rsidRDefault="00460821" w:rsidP="00460821">
      <w:pPr>
        <w:pStyle w:val="Citation-AltC"/>
        <w:contextualSpacing w:val="0"/>
        <w:rPr>
          <w:lang w:val="fr-CA"/>
        </w:rPr>
      </w:pPr>
      <w:r w:rsidRPr="00B35658">
        <w:rPr>
          <w:lang w:val="fr-CA"/>
        </w:rPr>
        <w:tab/>
        <w:t>Dans le même ordre d’idées, la disposition d’application rétrospective met en cause l’équité. [</w:t>
      </w:r>
      <w:r w:rsidRPr="00B35658">
        <w:rPr>
          <w:smallCaps/>
          <w:lang w:val="fr-CA"/>
        </w:rPr>
        <w:t>traduction</w:t>
      </w:r>
      <w:r w:rsidRPr="00B35658">
        <w:rPr>
          <w:lang w:val="fr-CA"/>
        </w:rPr>
        <w:t>] « Il est injuste de fixer des règles, d’inviter les gens à s’y fier puis de les modifier en cours de route, surtout lorsqu’il en résulte des conséquences négatives » (R. Sullivan, </w:t>
      </w:r>
      <w:r w:rsidRPr="00B35658">
        <w:rPr>
          <w:i/>
          <w:lang w:val="fr-CA"/>
        </w:rPr>
        <w:t xml:space="preserve">Sullivan on the Construction of </w:t>
      </w:r>
      <w:proofErr w:type="spellStart"/>
      <w:r w:rsidRPr="00B35658">
        <w:rPr>
          <w:i/>
          <w:lang w:val="fr-CA"/>
        </w:rPr>
        <w:t>Statutes</w:t>
      </w:r>
      <w:proofErr w:type="spellEnd"/>
      <w:r w:rsidRPr="00B35658">
        <w:rPr>
          <w:lang w:val="fr-CA"/>
        </w:rPr>
        <w:t> (6</w:t>
      </w:r>
      <w:r w:rsidRPr="00B35658">
        <w:rPr>
          <w:vertAlign w:val="superscript"/>
          <w:lang w:val="fr-CA"/>
        </w:rPr>
        <w:t>e</w:t>
      </w:r>
      <w:r w:rsidRPr="00B35658">
        <w:rPr>
          <w:lang w:val="fr-CA"/>
        </w:rPr>
        <w:t xml:space="preserve"> éd. 2014), p. 754). </w:t>
      </w:r>
      <w:r w:rsidRPr="00B35658">
        <w:rPr>
          <w:u w:val="single"/>
          <w:lang w:val="fr-CA"/>
        </w:rPr>
        <w:t>Par exemple, l’accusé qui refuse d’inscrire un plaidoyer de culpabilité et qui est disposé à courir le risque de subir un procès ne devrait pas ensuite se trouver pris au piège par l’accroissement de la peine minimale ou maximale dont est passible l’auteur de l’infraction</w:t>
      </w:r>
      <w:r w:rsidRPr="00625791">
        <w:rPr>
          <w:u w:val="single"/>
          <w:lang w:val="fr-CA"/>
        </w:rPr>
        <w:t>.</w:t>
      </w:r>
      <w:r w:rsidRPr="00B35658">
        <w:rPr>
          <w:lang w:val="fr-CA"/>
        </w:rPr>
        <w:t xml:space="preserve"> Un tel effet rétrospectif pourrait non seulement causer une injustice dans certains cas, mais aussi miner la confiance du public dans le système de justice criminelle. L’équité de la sanction pénale commande plutôt que les règles soient claires et </w:t>
      </w:r>
      <w:proofErr w:type="gramStart"/>
      <w:r w:rsidRPr="00B35658">
        <w:rPr>
          <w:lang w:val="fr-CA"/>
        </w:rPr>
        <w:t>certai</w:t>
      </w:r>
      <w:r w:rsidR="00625791">
        <w:rPr>
          <w:lang w:val="fr-CA"/>
        </w:rPr>
        <w:t>n</w:t>
      </w:r>
      <w:r w:rsidR="00DF213E">
        <w:rPr>
          <w:lang w:val="fr-CA"/>
        </w:rPr>
        <w:t>es</w:t>
      </w:r>
      <w:r w:rsidR="00984C7C">
        <w:rPr>
          <w:lang w:val="fr-CA"/>
        </w:rPr>
        <w:t> </w:t>
      </w:r>
      <w:r w:rsidR="00DF213E">
        <w:rPr>
          <w:lang w:val="fr-CA"/>
        </w:rPr>
        <w:t>.</w:t>
      </w:r>
      <w:proofErr w:type="gramEnd"/>
      <w:r w:rsidR="00DF213E">
        <w:rPr>
          <w:lang w:val="fr-CA"/>
        </w:rPr>
        <w:t> . .</w:t>
      </w:r>
      <w:r w:rsidRPr="00B35658">
        <w:rPr>
          <w:lang w:val="fr-CA"/>
        </w:rPr>
        <w:t xml:space="preserve"> [Je souligne; par. 25</w:t>
      </w:r>
      <w:r w:rsidR="00625791">
        <w:rPr>
          <w:lang w:val="fr-CA"/>
        </w:rPr>
        <w:t>.</w:t>
      </w:r>
      <w:r w:rsidRPr="00B35658">
        <w:rPr>
          <w:lang w:val="fr-CA"/>
        </w:rPr>
        <w: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Or, je ne crois pas que cet énoncé ait indiqué quoi que ce soit de concluant au sujet du débat entourant l’interprétation binaire ou globale, ni sur la question de savoir si les contrevenants ont droit au bénéfice des peines sur lesquelles ils se sont appuyés, et ce, pour deux raisons. D’abord, l’arrêt </w:t>
      </w:r>
      <w:r w:rsidRPr="00B35658">
        <w:rPr>
          <w:rFonts w:cs="Times New Roman"/>
          <w:i/>
          <w:lang w:val="fr-CA"/>
        </w:rPr>
        <w:t xml:space="preserve">K.R.J. </w:t>
      </w:r>
      <w:r w:rsidRPr="00B35658">
        <w:rPr>
          <w:rFonts w:cs="Times New Roman"/>
          <w:lang w:val="fr-CA"/>
        </w:rPr>
        <w:t>ne portait pas sur les peines intermédiaires prévues par les lois en vigueur dans l’intervalle entre la perpétration de l’infraction et la sentence. Dans cet arrêt, la Cour a simplement comparé des dispositions consécutives sur la détermination de la peine (voir par. 9</w:t>
      </w:r>
      <w:r w:rsidR="003D41CD" w:rsidRPr="00B35658">
        <w:rPr>
          <w:rFonts w:cs="Times New Roman"/>
          <w:lang w:val="fr-CA"/>
        </w:rPr>
        <w:noBreakHyphen/>
      </w:r>
      <w:r w:rsidR="003D41CD">
        <w:rPr>
          <w:rFonts w:cs="Times New Roman"/>
          <w:lang w:val="fr-CA"/>
        </w:rPr>
        <w:t>1</w:t>
      </w:r>
      <w:r w:rsidRPr="00B35658">
        <w:rPr>
          <w:rFonts w:cs="Times New Roman"/>
          <w:lang w:val="fr-CA"/>
        </w:rPr>
        <w:t>1). Elle ne s’est penchée ni sur le débat entourant l’interprétation binaire ou globale ni sur la question de savoir si le contrevenant s’est appuyé sur une disposition particulière. Ensuite, et c’est ce qui est le plus révélateur, la Cour a fait cette affirmation en expliquant pourquoi l’al. 11</w:t>
      </w:r>
      <w:r w:rsidRPr="00B35658">
        <w:rPr>
          <w:rFonts w:cs="Times New Roman"/>
          <w:i/>
          <w:lang w:val="fr-CA"/>
        </w:rPr>
        <w:t>i</w:t>
      </w:r>
      <w:r w:rsidRPr="00B35658">
        <w:rPr>
          <w:rFonts w:cs="Times New Roman"/>
          <w:lang w:val="fr-CA"/>
        </w:rPr>
        <w:t xml:space="preserve">) accorde aux contrevenants le bénéfice de la peine la moins sévère applicable </w:t>
      </w:r>
      <w:r w:rsidRPr="00B35658">
        <w:rPr>
          <w:rFonts w:cs="Times New Roman"/>
          <w:lang w:val="fr-CA"/>
        </w:rPr>
        <w:lastRenderedPageBreak/>
        <w:t>au moment où ils ont commis leur infraction. L’énoncé envisage une situation où la peine demeurerait la même du moment de la perpétration de l’infraction jusqu’au moment du plaidoyer du contrevenant, mais s’aggraverait par la suite. Ainsi, l’énoncé ne porte pas sur les diverses peines qui se sont appliquées entre le moment de la perpétration de l’infraction et celui de la sentence, ni sur la question de savoir si les contrevenants devraient pouvoir bénéficier de l’une ou l’autre de ces peines.</w:t>
      </w:r>
    </w:p>
    <w:p w:rsidR="00460821" w:rsidRPr="00B35658" w:rsidRDefault="00460821" w:rsidP="00460821">
      <w:pPr>
        <w:pStyle w:val="Title4LevelTitre4Niveau"/>
        <w:numPr>
          <w:ilvl w:val="3"/>
          <w:numId w:val="12"/>
        </w:numPr>
        <w:spacing w:before="0"/>
        <w:rPr>
          <w:rFonts w:cs="Times New Roman"/>
          <w:lang w:val="fr-CA"/>
        </w:rPr>
      </w:pPr>
      <w:bookmarkStart w:id="31" w:name="_Toc14423822"/>
      <w:bookmarkStart w:id="32" w:name="_Toc14427790"/>
      <w:r w:rsidRPr="00B35658">
        <w:rPr>
          <w:rFonts w:cs="Times New Roman"/>
          <w:lang w:val="fr-CA"/>
        </w:rPr>
        <w:t xml:space="preserve">Résumé de l’analyse </w:t>
      </w:r>
      <w:bookmarkEnd w:id="31"/>
      <w:bookmarkEnd w:id="32"/>
      <w:r w:rsidRPr="00B35658">
        <w:rPr>
          <w:rFonts w:cs="Times New Roman"/>
          <w:lang w:val="fr-CA"/>
        </w:rPr>
        <w:t>téléologique</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Une analyse téléologique de l’al. 11</w:t>
      </w:r>
      <w:r w:rsidRPr="00B35658">
        <w:rPr>
          <w:rFonts w:cs="Times New Roman"/>
          <w:i/>
          <w:lang w:val="fr-CA"/>
        </w:rPr>
        <w:t>i</w:t>
      </w:r>
      <w:r w:rsidRPr="00B35658">
        <w:rPr>
          <w:rFonts w:cs="Times New Roman"/>
          <w:lang w:val="fr-CA"/>
        </w:rPr>
        <w:t>) m’amène à conclure que celui</w:t>
      </w:r>
      <w:r w:rsidRPr="00B35658">
        <w:rPr>
          <w:rFonts w:cs="Times New Roman"/>
          <w:lang w:val="fr-CA"/>
        </w:rPr>
        <w:noBreakHyphen/>
        <w:t>ci confère un droit binaire et non un droit global. Plus particulièrement, j’estime que tant le libellé que les origines de l’al. 11</w:t>
      </w:r>
      <w:r w:rsidRPr="00B35658">
        <w:rPr>
          <w:rFonts w:cs="Times New Roman"/>
          <w:i/>
          <w:lang w:val="fr-CA"/>
        </w:rPr>
        <w:t>i</w:t>
      </w:r>
      <w:r w:rsidRPr="00B35658">
        <w:rPr>
          <w:rFonts w:cs="Times New Roman"/>
          <w:lang w:val="fr-CA"/>
        </w:rPr>
        <w:t>) confirment les objectifs qui le sous</w:t>
      </w:r>
      <w:r w:rsidRPr="00B35658">
        <w:rPr>
          <w:rFonts w:cs="Times New Roman"/>
          <w:lang w:val="fr-CA"/>
        </w:rPr>
        <w:noBreakHyphen/>
        <w:t>tendent, lesquels sont é</w:t>
      </w:r>
      <w:r w:rsidR="002542D7" w:rsidRPr="00B35658">
        <w:rPr>
          <w:rFonts w:cs="Times New Roman"/>
          <w:lang w:val="fr-CA"/>
        </w:rPr>
        <w:t xml:space="preserve">noncés dans l’arrêt </w:t>
      </w:r>
      <w:r w:rsidRPr="00B35658">
        <w:rPr>
          <w:rFonts w:cs="Times New Roman"/>
          <w:i/>
          <w:lang w:val="fr-CA"/>
        </w:rPr>
        <w:t>K.R.J.</w:t>
      </w:r>
      <w:r w:rsidR="002542D7" w:rsidRPr="00B35658">
        <w:rPr>
          <w:rFonts w:cs="Times New Roman"/>
          <w:i/>
          <w:lang w:val="fr-CA"/>
        </w:rPr>
        <w:t xml:space="preserve"> </w:t>
      </w:r>
      <w:r w:rsidRPr="00B35658">
        <w:rPr>
          <w:rFonts w:cs="Times New Roman"/>
          <w:lang w:val="fr-CA"/>
        </w:rPr>
        <w:t>— soit l</w:t>
      </w:r>
      <w:r w:rsidR="002542D7" w:rsidRPr="00B35658">
        <w:rPr>
          <w:rFonts w:cs="Times New Roman"/>
          <w:lang w:val="fr-CA"/>
        </w:rPr>
        <w:t xml:space="preserve">a primauté du droit et l’équité </w:t>
      </w:r>
      <w:r w:rsidRPr="00B35658">
        <w:rPr>
          <w:rFonts w:cs="Times New Roman"/>
          <w:lang w:val="fr-CA"/>
        </w:rPr>
        <w:t>— et indiquent que l’al. 11</w:t>
      </w:r>
      <w:r w:rsidRPr="00B35658">
        <w:rPr>
          <w:rFonts w:cs="Times New Roman"/>
          <w:i/>
          <w:lang w:val="fr-CA"/>
        </w:rPr>
        <w:t>i</w:t>
      </w:r>
      <w:r w:rsidRPr="00B35658">
        <w:rPr>
          <w:rFonts w:cs="Times New Roman"/>
          <w:lang w:val="fr-CA"/>
        </w:rPr>
        <w:t>) vise à conférer un droit binaire qui s’accorde avec ces objectifs. Une interprétation globale du droit en question ne respecterait pas les objectifs de l’al. 11</w:t>
      </w:r>
      <w:r w:rsidRPr="00B35658">
        <w:rPr>
          <w:rFonts w:cs="Times New Roman"/>
          <w:i/>
          <w:lang w:val="fr-CA"/>
        </w:rPr>
        <w:t>i</w:t>
      </w:r>
      <w:r w:rsidRPr="00B35658">
        <w:rPr>
          <w:rFonts w:cs="Times New Roman"/>
          <w:lang w:val="fr-CA"/>
        </w:rPr>
        <w:t>). Elle ne respecterait pas non plus le rôle du législateur d’adapter les dispositions sur la détermination de la peine, ni le rôle des tribunaux de fixer des peines proportionnelles au titre de ces dispositions. Bien que l’al. 11</w:t>
      </w:r>
      <w:r w:rsidRPr="00B35658">
        <w:rPr>
          <w:rFonts w:cs="Times New Roman"/>
          <w:i/>
          <w:lang w:val="fr-CA"/>
        </w:rPr>
        <w:t>i</w:t>
      </w:r>
      <w:r w:rsidRPr="00B35658">
        <w:rPr>
          <w:rFonts w:cs="Times New Roman"/>
          <w:lang w:val="fr-CA"/>
        </w:rPr>
        <w:t xml:space="preserve">) prévoie un certain degré de </w:t>
      </w:r>
      <w:proofErr w:type="spellStart"/>
      <w:r w:rsidRPr="00B35658">
        <w:rPr>
          <w:rFonts w:cs="Times New Roman"/>
          <w:lang w:val="fr-CA"/>
        </w:rPr>
        <w:t>rétrospectivité</w:t>
      </w:r>
      <w:proofErr w:type="spellEnd"/>
      <w:r w:rsidRPr="00B35658">
        <w:rPr>
          <w:rFonts w:cs="Times New Roman"/>
          <w:lang w:val="fr-CA"/>
        </w:rPr>
        <w:t xml:space="preserve"> (en permettant que la peine actuelle moins sévère remplace la peine plus sévère applicable au moment de la perpétration de l’infraction), cette </w:t>
      </w:r>
      <w:proofErr w:type="spellStart"/>
      <w:r w:rsidRPr="00B35658">
        <w:rPr>
          <w:rFonts w:cs="Times New Roman"/>
          <w:lang w:val="fr-CA"/>
        </w:rPr>
        <w:t>rétrospectivité</w:t>
      </w:r>
      <w:proofErr w:type="spellEnd"/>
      <w:r w:rsidRPr="00B35658">
        <w:rPr>
          <w:rFonts w:cs="Times New Roman"/>
          <w:lang w:val="fr-CA"/>
        </w:rPr>
        <w:t xml:space="preserve"> téléologique, fondée sur des principes, n’appuie pas une interprétation de l’al.</w:t>
      </w:r>
      <w:r w:rsidR="002542D7" w:rsidRPr="00B35658">
        <w:rPr>
          <w:rFonts w:cs="Times New Roman"/>
          <w:lang w:val="fr-CA"/>
        </w:rPr>
        <w:t> </w:t>
      </w:r>
      <w:r w:rsidRPr="00B35658">
        <w:rPr>
          <w:rFonts w:cs="Times New Roman"/>
          <w:lang w:val="fr-CA"/>
        </w:rPr>
        <w:t>11</w:t>
      </w:r>
      <w:r w:rsidRPr="00B35658">
        <w:rPr>
          <w:rFonts w:cs="Times New Roman"/>
          <w:i/>
          <w:lang w:val="fr-CA"/>
        </w:rPr>
        <w:t>i</w:t>
      </w:r>
      <w:r w:rsidRPr="00B35658">
        <w:rPr>
          <w:rFonts w:cs="Times New Roman"/>
          <w:lang w:val="fr-CA"/>
        </w:rPr>
        <w:t xml:space="preserve">) qui prévoit une </w:t>
      </w:r>
      <w:proofErr w:type="spellStart"/>
      <w:r w:rsidRPr="00B35658">
        <w:rPr>
          <w:rFonts w:cs="Times New Roman"/>
          <w:lang w:val="fr-CA"/>
        </w:rPr>
        <w:t>rétrospectivité</w:t>
      </w:r>
      <w:proofErr w:type="spellEnd"/>
      <w:r w:rsidRPr="00B35658">
        <w:rPr>
          <w:rFonts w:cs="Times New Roman"/>
          <w:lang w:val="fr-CA"/>
        </w:rPr>
        <w:t xml:space="preserve"> en termes larges.</w:t>
      </w:r>
    </w:p>
    <w:p w:rsidR="00460821" w:rsidRPr="005B3039" w:rsidRDefault="00C660BD" w:rsidP="00B143CD">
      <w:pPr>
        <w:pStyle w:val="ParaNoNdepar-AltN"/>
        <w:numPr>
          <w:ilvl w:val="3"/>
          <w:numId w:val="9"/>
        </w:numPr>
        <w:spacing w:before="0"/>
        <w:ind w:left="1152" w:hanging="576"/>
        <w:rPr>
          <w:rFonts w:cs="Times New Roman"/>
          <w:u w:val="single"/>
          <w:lang w:val="fr-CA"/>
        </w:rPr>
      </w:pPr>
      <w:bookmarkStart w:id="33" w:name="_Toc12005424"/>
      <w:bookmarkStart w:id="34" w:name="_Toc14423823"/>
      <w:bookmarkStart w:id="35" w:name="_Toc14427791"/>
      <w:r w:rsidRPr="005B3039">
        <w:rPr>
          <w:rFonts w:cs="Times New Roman"/>
          <w:u w:val="single"/>
          <w:lang w:val="fr-CA"/>
        </w:rPr>
        <w:t>Application de l’al.</w:t>
      </w:r>
      <w:r w:rsidR="00460821" w:rsidRPr="005B3039">
        <w:rPr>
          <w:rFonts w:cs="Times New Roman"/>
          <w:u w:val="single"/>
          <w:lang w:val="fr-CA"/>
        </w:rPr>
        <w:t> 11</w:t>
      </w:r>
      <w:r w:rsidR="00460821" w:rsidRPr="005B3039">
        <w:rPr>
          <w:rFonts w:cs="Times New Roman"/>
          <w:i/>
          <w:u w:val="single"/>
          <w:lang w:val="fr-CA"/>
        </w:rPr>
        <w:t>i</w:t>
      </w:r>
      <w:r w:rsidR="00460821" w:rsidRPr="005B3039">
        <w:rPr>
          <w:rFonts w:cs="Times New Roman"/>
          <w:u w:val="single"/>
          <w:lang w:val="fr-CA"/>
        </w:rPr>
        <w:t>) à l’intimé, M. Poulin</w:t>
      </w:r>
      <w:bookmarkEnd w:id="33"/>
      <w:bookmarkEnd w:id="34"/>
      <w:bookmarkEnd w:id="35"/>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lastRenderedPageBreak/>
        <w:t>Étant donné que les parties conviennent qu’une peine d’emprisonnement avec sursis ne s’appliquait pas suivant les dispositions sur la détermination de la peine en vigueur au moment où M. Poulin a commis ses actes de grossière indécence (de 1979</w:t>
      </w:r>
      <w:r w:rsidR="00857393" w:rsidRPr="00B35658">
        <w:rPr>
          <w:rFonts w:cs="Times New Roman"/>
          <w:lang w:val="fr-CA"/>
        </w:rPr>
        <w:t xml:space="preserve"> </w:t>
      </w:r>
      <w:r w:rsidRPr="00B35658">
        <w:rPr>
          <w:rFonts w:cs="Times New Roman"/>
          <w:lang w:val="fr-CA"/>
        </w:rPr>
        <w:t>à</w:t>
      </w:r>
      <w:r w:rsidR="00857393" w:rsidRPr="00B35658">
        <w:rPr>
          <w:rFonts w:cs="Times New Roman"/>
          <w:lang w:val="fr-CA"/>
        </w:rPr>
        <w:t xml:space="preserve"> </w:t>
      </w:r>
      <w:r w:rsidRPr="00B35658">
        <w:rPr>
          <w:rFonts w:cs="Times New Roman"/>
          <w:lang w:val="fr-CA"/>
        </w:rPr>
        <w:t>1983) ou au moment de sa sentence (mai 2017), M. Poulin n’avait pas droit à cette peine au titre de l’al. 11</w:t>
      </w:r>
      <w:r w:rsidRPr="00B35658">
        <w:rPr>
          <w:rFonts w:cs="Times New Roman"/>
          <w:i/>
          <w:lang w:val="fr-CA"/>
        </w:rPr>
        <w:t>i</w:t>
      </w:r>
      <w:r w:rsidRPr="00B35658">
        <w:rPr>
          <w:rFonts w:cs="Times New Roman"/>
          <w:lang w:val="fr-CA"/>
        </w:rPr>
        <w:t xml:space="preserve">) de la </w:t>
      </w:r>
      <w:r w:rsidRPr="00B35658">
        <w:rPr>
          <w:rFonts w:cs="Times New Roman"/>
          <w:i/>
          <w:lang w:val="fr-CA"/>
        </w:rPr>
        <w:t>Charte</w:t>
      </w:r>
      <w:r w:rsidRPr="00B35658">
        <w:rPr>
          <w:rFonts w:cs="Times New Roman"/>
          <w:lang w:val="fr-CA"/>
        </w:rPr>
        <w:t>. Les juridictions inférieures ont donc erré en l’infligeant.</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Le tribunal était tenu d’infliger une peine correspondant à la peine la moins sévère entre celle qui s’appliquait au moment de la perpétration de l’infraction et celle qui s’appliquait au moment de la sentence. À cet égard, je souligne que la disposition sur la détermination de la peine qui était en vigueur au moment où M. Poulin a commis ses actes de grossière indécence aurait offert au juge qui déterminait la peine toute la latitude voulue pour infliger une peine qui aurait permis d’atteindre les mêmes objectifs que la peine d’emprisonnement avec sursis qu’il a ordonnée. Au moment où M. Poulin a commis ses infractions, la peine applicable à une infraction de grossière indécence était une peine maximale de cinq ans d’emprisonnement (</w:t>
      </w:r>
      <w:r w:rsidRPr="00B35658">
        <w:rPr>
          <w:rFonts w:cs="Times New Roman"/>
          <w:i/>
          <w:lang w:val="fr-CA"/>
        </w:rPr>
        <w:t>Code criminel</w:t>
      </w:r>
      <w:r w:rsidRPr="006D3F10">
        <w:rPr>
          <w:rFonts w:cs="Times New Roman"/>
          <w:lang w:val="fr-CA"/>
        </w:rPr>
        <w:t xml:space="preserve">, </w:t>
      </w:r>
      <w:r w:rsidR="006D3F10">
        <w:rPr>
          <w:rFonts w:cs="Times New Roman"/>
          <w:lang w:val="fr-CA"/>
        </w:rPr>
        <w:t>S</w:t>
      </w:r>
      <w:r w:rsidRPr="00B35658">
        <w:rPr>
          <w:rFonts w:cs="Times New Roman"/>
          <w:lang w:val="fr-CA"/>
        </w:rPr>
        <w:t>.R.C.</w:t>
      </w:r>
      <w:r w:rsidR="00DF4EFA">
        <w:rPr>
          <w:rFonts w:cs="Times New Roman"/>
          <w:lang w:val="fr-CA"/>
        </w:rPr>
        <w:t xml:space="preserve"> </w:t>
      </w:r>
      <w:r w:rsidRPr="00B35658">
        <w:rPr>
          <w:rFonts w:cs="Times New Roman"/>
          <w:lang w:val="fr-CA"/>
        </w:rPr>
        <w:t>1970, c. C</w:t>
      </w:r>
      <w:r w:rsidRPr="00B35658">
        <w:rPr>
          <w:rFonts w:cs="Times New Roman"/>
          <w:lang w:val="fr-CA"/>
        </w:rPr>
        <w:noBreakHyphen/>
        <w:t>34, art. 157).</w:t>
      </w:r>
    </w:p>
    <w:p w:rsidR="00460821" w:rsidRPr="00B35658" w:rsidRDefault="00460821" w:rsidP="00460821">
      <w:pPr>
        <w:pStyle w:val="ParaNoNdepar-AltN"/>
        <w:numPr>
          <w:ilvl w:val="0"/>
          <w:numId w:val="15"/>
        </w:numPr>
        <w:spacing w:before="0"/>
        <w:rPr>
          <w:rFonts w:cs="Times New Roman"/>
          <w:lang w:val="fr-CA"/>
        </w:rPr>
      </w:pPr>
      <w:r w:rsidRPr="00B35658">
        <w:rPr>
          <w:rFonts w:cs="Times New Roman"/>
          <w:lang w:val="fr-CA"/>
        </w:rPr>
        <w:t xml:space="preserve">Puisque M. Poulin est maintenant décédé, il n’est plus nécessaire de le condamner de nouveau. Il est inutile de déterminer une nouvelle peine que le contrevenant ne peut purger (voir, dans la même veine, </w:t>
      </w:r>
      <w:r w:rsidRPr="00B35658">
        <w:rPr>
          <w:rFonts w:cs="Times New Roman"/>
          <w:i/>
          <w:lang w:val="fr-CA"/>
        </w:rPr>
        <w:t>R. c. R.N.S.</w:t>
      </w:r>
      <w:r w:rsidRPr="00B35658">
        <w:rPr>
          <w:rFonts w:cs="Times New Roman"/>
          <w:lang w:val="fr-CA"/>
        </w:rPr>
        <w:t xml:space="preserve">, 2000 CSC 7, [2000] 1 R.C.S. 149, par. 22; </w:t>
      </w:r>
      <w:r w:rsidRPr="00B35658">
        <w:rPr>
          <w:rFonts w:cs="Times New Roman"/>
          <w:i/>
          <w:lang w:val="fr-CA"/>
        </w:rPr>
        <w:t>R.A.R.</w:t>
      </w:r>
      <w:r w:rsidRPr="00B35658">
        <w:rPr>
          <w:rFonts w:cs="Times New Roman"/>
          <w:lang w:val="fr-CA"/>
        </w:rPr>
        <w:t>, par. 34).</w:t>
      </w:r>
    </w:p>
    <w:p w:rsidR="00460821" w:rsidRPr="00B35658" w:rsidRDefault="00460821" w:rsidP="00460821">
      <w:pPr>
        <w:pStyle w:val="Title1LevelTitre1Niveau-AltL"/>
        <w:numPr>
          <w:ilvl w:val="0"/>
          <w:numId w:val="14"/>
        </w:numPr>
        <w:spacing w:before="0"/>
        <w:rPr>
          <w:rFonts w:cs="Times New Roman"/>
          <w:lang w:val="fr-CA"/>
        </w:rPr>
      </w:pPr>
      <w:bookmarkStart w:id="36" w:name="_Toc12005425"/>
      <w:bookmarkStart w:id="37" w:name="_Toc14423824"/>
      <w:bookmarkStart w:id="38" w:name="_Toc14427792"/>
      <w:r w:rsidRPr="00B35658">
        <w:rPr>
          <w:rFonts w:cs="Times New Roman"/>
          <w:lang w:val="fr-CA"/>
        </w:rPr>
        <w:t>Conclusion</w:t>
      </w:r>
      <w:bookmarkEnd w:id="36"/>
      <w:bookmarkEnd w:id="37"/>
      <w:bookmarkEnd w:id="38"/>
    </w:p>
    <w:p w:rsidR="00460821" w:rsidRPr="00163C5C" w:rsidRDefault="00460821" w:rsidP="00460821">
      <w:pPr>
        <w:pStyle w:val="ParaNoNdepar-AltN"/>
        <w:numPr>
          <w:ilvl w:val="0"/>
          <w:numId w:val="15"/>
        </w:numPr>
        <w:spacing w:before="0"/>
        <w:rPr>
          <w:rStyle w:val="SCCCounselPartyRoleChar"/>
          <w:rFonts w:cs="Times New Roman"/>
          <w:lang w:val="fr-CA"/>
        </w:rPr>
      </w:pPr>
      <w:r w:rsidRPr="00B35658">
        <w:rPr>
          <w:rFonts w:cs="Times New Roman"/>
          <w:lang w:val="fr-CA"/>
        </w:rPr>
        <w:lastRenderedPageBreak/>
        <w:t>Un contrevenant n’a pas droit au bénéfice d’un adoucissement temporaire de la peine survenu dans l’intervalle entre le moment de la perpétration de l’infraction et celui de la sentence. Le juge qui a déterminé la peine et la Cour d’appel ont commis une erreur en condamnant M. Poulin à une peine applicable selon les lois en vigueur uniquement au cours de cet intervalle et sur laquelle M. Poulin ne s’est pas appuyé. J’accueillerais donc le pourvoi. Toutefois, vu le récent décès de M. Poulin, je m’abstiendrais de renvoyer l’affaire au tribunal chargé de la détermination de la peine ou d’infliger une peine différente. Les parties n’ont pas demandé les dépens, et je n’en adjugerais aucuns.</w:t>
      </w:r>
    </w:p>
    <w:p w:rsidR="00460821" w:rsidRPr="00B35658" w:rsidRDefault="005B3039" w:rsidP="005B3039">
      <w:pPr>
        <w:tabs>
          <w:tab w:val="left" w:pos="1170"/>
        </w:tabs>
        <w:spacing w:after="480" w:line="480" w:lineRule="auto"/>
        <w:rPr>
          <w:lang w:val="fr-CA"/>
        </w:rPr>
      </w:pPr>
      <w:r>
        <w:rPr>
          <w:lang w:val="fr-CA"/>
        </w:rPr>
        <w:tab/>
      </w:r>
      <w:r w:rsidR="00460821" w:rsidRPr="00B35658">
        <w:rPr>
          <w:lang w:val="fr-CA"/>
        </w:rPr>
        <w:t xml:space="preserve">Les motifs des juges Abella, </w:t>
      </w:r>
      <w:proofErr w:type="spellStart"/>
      <w:r w:rsidR="00460821" w:rsidRPr="00B35658">
        <w:rPr>
          <w:lang w:val="fr-CA"/>
        </w:rPr>
        <w:t>Karakatsa</w:t>
      </w:r>
      <w:r w:rsidR="00163C5C">
        <w:rPr>
          <w:lang w:val="fr-CA"/>
        </w:rPr>
        <w:t>nis</w:t>
      </w:r>
      <w:proofErr w:type="spellEnd"/>
      <w:r w:rsidR="00163C5C">
        <w:rPr>
          <w:lang w:val="fr-CA"/>
        </w:rPr>
        <w:t xml:space="preserve"> et Brown ont été rendus par</w:t>
      </w:r>
    </w:p>
    <w:p w:rsidR="00460821" w:rsidRPr="00B35658" w:rsidRDefault="00732BE5" w:rsidP="00460821">
      <w:pPr>
        <w:pStyle w:val="ParaNoNdepar-AltN"/>
        <w:numPr>
          <w:ilvl w:val="0"/>
          <w:numId w:val="33"/>
        </w:numPr>
        <w:rPr>
          <w:rFonts w:cs="Times New Roman"/>
          <w:lang w:val="fr-CA"/>
        </w:rPr>
      </w:pPr>
      <w:r w:rsidRPr="00732BE5">
        <w:rPr>
          <w:smallCaps/>
          <w:lang w:val="fr-CA"/>
        </w:rPr>
        <w:t xml:space="preserve">La juge </w:t>
      </w:r>
      <w:proofErr w:type="spellStart"/>
      <w:r w:rsidRPr="00732BE5">
        <w:rPr>
          <w:smallCaps/>
          <w:lang w:val="fr-CA"/>
        </w:rPr>
        <w:t>Karakatsanis</w:t>
      </w:r>
      <w:proofErr w:type="spellEnd"/>
      <w:r w:rsidRPr="00B35658">
        <w:rPr>
          <w:lang w:val="fr-CA"/>
        </w:rPr>
        <w:t xml:space="preserve"> </w:t>
      </w:r>
      <w:r w:rsidR="00354A0A">
        <w:rPr>
          <w:lang w:val="fr-CA"/>
        </w:rPr>
        <w:t xml:space="preserve">(dissidente) </w:t>
      </w:r>
      <w:r w:rsidRPr="00B35658">
        <w:rPr>
          <w:lang w:val="fr-CA"/>
        </w:rPr>
        <w:t xml:space="preserve">— </w:t>
      </w:r>
      <w:r w:rsidR="00460821" w:rsidRPr="00B35658">
        <w:rPr>
          <w:rFonts w:cs="Times New Roman"/>
          <w:lang w:val="fr-CA"/>
        </w:rPr>
        <w:t>L’alinéa 11</w:t>
      </w:r>
      <w:r w:rsidR="00460821" w:rsidRPr="00B35658">
        <w:rPr>
          <w:rFonts w:cs="Times New Roman"/>
          <w:i/>
          <w:lang w:val="fr-CA"/>
        </w:rPr>
        <w:t>i</w:t>
      </w:r>
      <w:r w:rsidR="00460821" w:rsidRPr="00B35658">
        <w:rPr>
          <w:rFonts w:cs="Times New Roman"/>
          <w:lang w:val="fr-CA"/>
        </w:rPr>
        <w:t xml:space="preserve">) de la </w:t>
      </w:r>
      <w:r w:rsidR="00460821" w:rsidRPr="00B35658">
        <w:rPr>
          <w:rFonts w:cs="Times New Roman"/>
          <w:i/>
          <w:lang w:val="fr-CA"/>
        </w:rPr>
        <w:t>Charte canadienne des droits et libertés</w:t>
      </w:r>
      <w:r w:rsidR="00460821" w:rsidRPr="00B35658">
        <w:rPr>
          <w:rFonts w:cs="Times New Roman"/>
          <w:lang w:val="fr-CA"/>
        </w:rPr>
        <w:t xml:space="preserve"> garantit à toute personne déclarée coupable d’une infraction le droit de bénéficier de la peine la moins sévère lorsque la peine qui sanctionne l’infraction « est modifiée entre le moment de la perpétration de l’infraction et celui de la sentence ».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En l’espèce, l’emprisonnement avec sursis n’existait pas lors de la perpétration par l’intimé des gestes criminels concernés. En effet, ce type de peine sera introduit par le Parlement un peu moins d’une dizaine d’années après les derniers gestes reprochés. Elle restera applicable à ce genre de crimes pendant une certaine période, puis sera abrogée pour ce genre de crimes avant que l’intimé </w:t>
      </w:r>
      <w:r w:rsidR="0049082E">
        <w:rPr>
          <w:rFonts w:cs="Times New Roman"/>
          <w:lang w:val="fr-CA"/>
        </w:rPr>
        <w:t xml:space="preserve">ne </w:t>
      </w:r>
      <w:r w:rsidRPr="00B35658">
        <w:rPr>
          <w:rFonts w:cs="Times New Roman"/>
          <w:lang w:val="fr-CA"/>
        </w:rPr>
        <w:t>soit inculpé.</w:t>
      </w:r>
      <w:r w:rsidR="00EA094F">
        <w:rPr>
          <w:rFonts w:cs="Times New Roman"/>
          <w:lang w:val="fr-CA"/>
        </w:rPr>
        <w:t xml:space="preserve"> En conséquence, l’intimé avait</w:t>
      </w:r>
      <w:r w:rsidR="00EA094F" w:rsidRPr="00B35658">
        <w:rPr>
          <w:lang w:val="fr-CA"/>
        </w:rPr>
        <w:noBreakHyphen/>
      </w:r>
      <w:r w:rsidRPr="00B35658">
        <w:rPr>
          <w:rFonts w:cs="Times New Roman"/>
          <w:lang w:val="fr-CA"/>
        </w:rPr>
        <w:t xml:space="preserve">il le droit de bénéficier de ce type de peine? La </w:t>
      </w:r>
      <w:r w:rsidRPr="00B35658">
        <w:rPr>
          <w:rFonts w:cs="Times New Roman"/>
          <w:lang w:val="fr-CA"/>
        </w:rPr>
        <w:lastRenderedPageBreak/>
        <w:t>jurisprudence canadienne répond de façon constante par l’affirmative à cette question. Contrairement à mes collègues, je ne vois aucune raison d’autoriser la poursuite de l’instance malgré son caractère théorique vu le décès de l’intimé, ou de nous écarter de cette jurisprudence constante. Voici pourquoi.</w:t>
      </w:r>
    </w:p>
    <w:p w:rsidR="00460821" w:rsidRPr="00B35658" w:rsidRDefault="00460821" w:rsidP="00E45825">
      <w:pPr>
        <w:pStyle w:val="Title1LevelTitre1Niveau-AltL"/>
        <w:numPr>
          <w:ilvl w:val="0"/>
          <w:numId w:val="35"/>
        </w:numPr>
        <w:rPr>
          <w:rFonts w:cs="Times New Roman"/>
          <w:lang w:val="fr-CA"/>
        </w:rPr>
      </w:pPr>
      <w:r w:rsidRPr="00B35658">
        <w:rPr>
          <w:rFonts w:cs="Times New Roman"/>
          <w:lang w:val="fr-CA"/>
        </w:rPr>
        <w:t>Faits et procédures</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Entre 1979 et 1987, l’intimé s’est livré à des gestes à caractère sexuel sur la personne de son jeune parent. Ces gestes, qui ont d’abord commencé par des attouchements aux parties génitales du jeune enfant, ont progressé jusqu’à la sodomie quand ce dernier est devenu un adolescent. L’intimé est inculpé de ces gestes en 2014, dont il n’est déclaré coupable qu’en 2016, avant de recevoir sa peine en 2017. Dans l’intervalle de presque 40 ans qui sépare la perpétration de la première infraction reprochée et le prononcé de la peine, le cadre juridique applicable à ce genre de crimes évolue de façon considérable.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Au moment de la perpétration des infractions, les gestes criminels de l’intimé étaient visés par l’infraction de grossière indécence : </w:t>
      </w:r>
      <w:r w:rsidRPr="00B35658">
        <w:rPr>
          <w:rFonts w:cs="Times New Roman"/>
          <w:i/>
          <w:lang w:val="fr-CA"/>
        </w:rPr>
        <w:t>Code criminel</w:t>
      </w:r>
      <w:r w:rsidR="00DF4EFA">
        <w:rPr>
          <w:rFonts w:cs="Times New Roman"/>
          <w:lang w:val="fr-CA"/>
        </w:rPr>
        <w:t>, S</w:t>
      </w:r>
      <w:r w:rsidR="0088660F">
        <w:rPr>
          <w:rFonts w:cs="Times New Roman"/>
          <w:lang w:val="fr-CA"/>
        </w:rPr>
        <w:t>.R.C. 1970, c. C</w:t>
      </w:r>
      <w:r w:rsidR="0088660F" w:rsidRPr="00B35658">
        <w:rPr>
          <w:lang w:val="fr-CA"/>
        </w:rPr>
        <w:noBreakHyphen/>
      </w:r>
      <w:r w:rsidRPr="00B35658">
        <w:rPr>
          <w:rFonts w:cs="Times New Roman"/>
          <w:lang w:val="fr-CA"/>
        </w:rPr>
        <w:t>34, art. 157. Cette infraction ne comportait aucune peine minimale. L’emprisonnement avec sursis (aussi appelé « emprisonnement dans la collectivité ») n’existait pas.</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Vers la fin des années 1980, l’infraction de grossière indécence est abrogée et, éventuellement, elle est remplacée par des infractions équivalentes contemporaines, </w:t>
      </w:r>
      <w:r w:rsidRPr="00B35658">
        <w:rPr>
          <w:rFonts w:cs="Times New Roman"/>
          <w:lang w:val="fr-CA"/>
        </w:rPr>
        <w:lastRenderedPageBreak/>
        <w:t>tel</w:t>
      </w:r>
      <w:r w:rsidR="005D348B">
        <w:rPr>
          <w:rFonts w:cs="Times New Roman"/>
          <w:lang w:val="fr-CA"/>
        </w:rPr>
        <w:t>le</w:t>
      </w:r>
      <w:r w:rsidRPr="00B35658">
        <w:rPr>
          <w:rFonts w:cs="Times New Roman"/>
          <w:lang w:val="fr-CA"/>
        </w:rPr>
        <w:t xml:space="preserve">s que l’agression sexuelle et le contact sexuel illicite : </w:t>
      </w:r>
      <w:r w:rsidRPr="00B35658">
        <w:rPr>
          <w:rFonts w:cs="Times New Roman"/>
          <w:i/>
          <w:lang w:val="fr-CA"/>
        </w:rPr>
        <w:t>Loi modifiant le Code criminel et la Loi sur la preuve au Canada</w:t>
      </w:r>
      <w:r w:rsidRPr="00B35658">
        <w:rPr>
          <w:rFonts w:cs="Times New Roman"/>
          <w:lang w:val="fr-CA"/>
        </w:rPr>
        <w:t>, L.R.C. 1985, c. 19 (3</w:t>
      </w:r>
      <w:r w:rsidRPr="00B35658">
        <w:rPr>
          <w:rFonts w:cs="Times New Roman"/>
          <w:vertAlign w:val="superscript"/>
          <w:lang w:val="fr-CA"/>
        </w:rPr>
        <w:t>e</w:t>
      </w:r>
      <w:r w:rsidRPr="00B35658">
        <w:rPr>
          <w:rFonts w:cs="Times New Roman"/>
          <w:lang w:val="fr-CA"/>
        </w:rPr>
        <w:t> suppl.), art.</w:t>
      </w:r>
      <w:r w:rsidR="003D1472">
        <w:rPr>
          <w:rFonts w:cs="Times New Roman"/>
          <w:lang w:val="fr-CA"/>
        </w:rPr>
        <w:t> </w:t>
      </w:r>
      <w:r w:rsidRPr="00B35658">
        <w:rPr>
          <w:rFonts w:cs="Times New Roman"/>
          <w:lang w:val="fr-CA"/>
        </w:rPr>
        <w:t>4; voir aussi :</w:t>
      </w:r>
      <w:r w:rsidR="003D1472">
        <w:rPr>
          <w:rFonts w:cs="Times New Roman"/>
          <w:i/>
          <w:lang w:val="fr-CA"/>
        </w:rPr>
        <w:t xml:space="preserve"> R. </w:t>
      </w:r>
      <w:r w:rsidR="0088660F">
        <w:rPr>
          <w:rFonts w:cs="Times New Roman"/>
          <w:i/>
          <w:lang w:val="fr-CA"/>
        </w:rPr>
        <w:t>c.</w:t>
      </w:r>
      <w:r w:rsidR="003D1472">
        <w:rPr>
          <w:rFonts w:cs="Times New Roman"/>
          <w:i/>
          <w:lang w:val="fr-CA"/>
        </w:rPr>
        <w:t> </w:t>
      </w:r>
      <w:r w:rsidR="0088660F">
        <w:rPr>
          <w:rFonts w:cs="Times New Roman"/>
          <w:i/>
          <w:lang w:val="fr-CA"/>
        </w:rPr>
        <w:t>L. (J.</w:t>
      </w:r>
      <w:r w:rsidR="0088660F" w:rsidRPr="0088660F">
        <w:rPr>
          <w:lang w:val="fr-CA"/>
        </w:rPr>
        <w:t xml:space="preserve"> </w:t>
      </w:r>
      <w:r w:rsidR="0088660F" w:rsidRPr="0088660F">
        <w:rPr>
          <w:i/>
          <w:lang w:val="fr-CA"/>
        </w:rPr>
        <w:noBreakHyphen/>
      </w:r>
      <w:r w:rsidRPr="00B35658">
        <w:rPr>
          <w:rFonts w:cs="Times New Roman"/>
          <w:i/>
          <w:lang w:val="fr-CA"/>
        </w:rPr>
        <w:t>J.)</w:t>
      </w:r>
      <w:r w:rsidRPr="00B35658">
        <w:rPr>
          <w:rFonts w:cs="Times New Roman"/>
          <w:lang w:val="fr-CA"/>
        </w:rPr>
        <w:t>, [1998] R.J.Q.</w:t>
      </w:r>
      <w:r w:rsidR="00447F07">
        <w:rPr>
          <w:rFonts w:cs="Times New Roman"/>
          <w:lang w:val="fr-CA"/>
        </w:rPr>
        <w:t xml:space="preserve"> </w:t>
      </w:r>
      <w:r w:rsidRPr="00B35658">
        <w:rPr>
          <w:rFonts w:cs="Times New Roman"/>
          <w:lang w:val="fr-CA"/>
        </w:rPr>
        <w:t xml:space="preserve">971 (C.A. </w:t>
      </w:r>
      <w:proofErr w:type="spellStart"/>
      <w:r w:rsidRPr="00B35658">
        <w:rPr>
          <w:rFonts w:cs="Times New Roman"/>
          <w:lang w:val="fr-CA"/>
        </w:rPr>
        <w:t>Qc</w:t>
      </w:r>
      <w:proofErr w:type="spellEnd"/>
      <w:r w:rsidRPr="00B35658">
        <w:rPr>
          <w:rFonts w:cs="Times New Roman"/>
          <w:lang w:val="fr-CA"/>
        </w:rPr>
        <w:t>).</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En 1996, le Parlement instaure des peines d’emprisonnement avec sursis</w:t>
      </w:r>
      <w:r w:rsidR="00F24E85">
        <w:rPr>
          <w:rFonts w:cs="Times New Roman"/>
          <w:lang w:val="fr-CA"/>
        </w:rPr>
        <w:t> </w:t>
      </w:r>
      <w:r w:rsidRPr="00B35658">
        <w:rPr>
          <w:rFonts w:cs="Times New Roman"/>
          <w:lang w:val="fr-CA"/>
        </w:rPr>
        <w:t xml:space="preserve">: </w:t>
      </w:r>
      <w:r w:rsidRPr="00B35658">
        <w:rPr>
          <w:rFonts w:cs="Times New Roman"/>
          <w:i/>
          <w:lang w:val="fr-CA"/>
        </w:rPr>
        <w:t>Loi modifiant le Code criminel (détermination de la peine) et d’autres lois en conséquence</w:t>
      </w:r>
      <w:r w:rsidRPr="00B35658">
        <w:rPr>
          <w:rFonts w:cs="Times New Roman"/>
          <w:lang w:val="fr-CA"/>
        </w:rPr>
        <w:t>, L.C. 1995, c. 22, art. 6. Le nouvel art</w:t>
      </w:r>
      <w:r w:rsidR="004B79F0">
        <w:rPr>
          <w:rFonts w:cs="Times New Roman"/>
          <w:lang w:val="fr-CA"/>
        </w:rPr>
        <w:t>.</w:t>
      </w:r>
      <w:r w:rsidRPr="00B35658">
        <w:rPr>
          <w:rFonts w:cs="Times New Roman"/>
          <w:lang w:val="fr-CA"/>
        </w:rPr>
        <w:t xml:space="preserve"> 742.1 du </w:t>
      </w:r>
      <w:r w:rsidRPr="00B35658">
        <w:rPr>
          <w:rFonts w:cs="Times New Roman"/>
          <w:i/>
          <w:lang w:val="fr-CA"/>
        </w:rPr>
        <w:t>Code criminel</w:t>
      </w:r>
      <w:r w:rsidR="00447F07">
        <w:rPr>
          <w:rFonts w:cs="Times New Roman"/>
          <w:lang w:val="fr-CA"/>
        </w:rPr>
        <w:t>, L.R.C. 1985, c.</w:t>
      </w:r>
      <w:r w:rsidR="003E233A">
        <w:rPr>
          <w:rFonts w:cs="Times New Roman"/>
          <w:lang w:val="fr-CA"/>
        </w:rPr>
        <w:t> </w:t>
      </w:r>
      <w:r w:rsidR="00447F07">
        <w:rPr>
          <w:rFonts w:cs="Times New Roman"/>
          <w:lang w:val="fr-CA"/>
        </w:rPr>
        <w:t>C</w:t>
      </w:r>
      <w:r w:rsidR="00447F07" w:rsidRPr="00B35658">
        <w:rPr>
          <w:lang w:val="fr-CA"/>
        </w:rPr>
        <w:noBreakHyphen/>
      </w:r>
      <w:r w:rsidRPr="00B35658">
        <w:rPr>
          <w:rFonts w:cs="Times New Roman"/>
          <w:lang w:val="fr-CA"/>
        </w:rPr>
        <w:t>46, qui régit l’emprisonnement avec sursis,</w:t>
      </w:r>
      <w:r w:rsidRPr="00B35658">
        <w:rPr>
          <w:rFonts w:cs="Times New Roman"/>
          <w:i/>
          <w:lang w:val="fr-CA"/>
        </w:rPr>
        <w:t xml:space="preserve"> </w:t>
      </w:r>
      <w:r w:rsidRPr="00B35658">
        <w:rPr>
          <w:rFonts w:cs="Times New Roman"/>
          <w:lang w:val="fr-CA"/>
        </w:rPr>
        <w:t>prévoit alors que ce type de peine peut être appliqué à l’égard de toute infraction qui ne comporte pas de peine minimale, ce qui comprend alors l’agression sexuelle</w:t>
      </w:r>
      <w:r w:rsidR="006056FA">
        <w:rPr>
          <w:rFonts w:cs="Times New Roman"/>
          <w:lang w:val="fr-CA"/>
        </w:rPr>
        <w:t xml:space="preserve"> et le contact sexuel illicite.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En 2005, le Parlement impose pour la première fois une peine minimale d’emprisonnement à l’égard de l’infraction de contact sexuel illicite : </w:t>
      </w:r>
      <w:r w:rsidRPr="00B35658">
        <w:rPr>
          <w:rFonts w:cs="Times New Roman"/>
          <w:i/>
          <w:lang w:val="fr-CA"/>
        </w:rPr>
        <w:t>Loi modifiant le Code criminel (protection des enfants et d’autres personnes vulnérables) et la Loi sur la preuve au Canada</w:t>
      </w:r>
      <w:r w:rsidRPr="00B35658">
        <w:rPr>
          <w:rFonts w:cs="Times New Roman"/>
          <w:lang w:val="fr-CA"/>
        </w:rPr>
        <w:t xml:space="preserve">, L.C. 2005, c. 32, art. 3. Sept ans plus tard, il modifie l’art. 742.1 afin de soustraire à son application l’infraction d’agression sexuelle : </w:t>
      </w:r>
      <w:r w:rsidRPr="00B35658">
        <w:rPr>
          <w:rFonts w:cs="Times New Roman"/>
          <w:i/>
          <w:lang w:val="fr-CA"/>
        </w:rPr>
        <w:t>Loi sur la sécurité des rues et des communautés</w:t>
      </w:r>
      <w:r w:rsidRPr="00B35658">
        <w:rPr>
          <w:rFonts w:cs="Times New Roman"/>
          <w:lang w:val="fr-CA"/>
        </w:rPr>
        <w:t>, L.C. 2012, c. 1, art. 34. Ainsi, lors de l’inculpation de l’intimé en 2014, puis de sa déclaration de culpabilité en 2016 et du prononcé de sa peine en 2017, l’emprisonnement avec sursis ne fait plus partie des peines possibles à l’égard des infractions qui correspondent à celles commises par l’intimé.</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En 2017, à l’audience de détermination de la peine, la procureure de la Couronne suggère que la peine appropriée est une peine d’emprisonnement de trois ans et demi à cinq ans. Le procureur de la défense est d’accord pour dire qu’une peine de </w:t>
      </w:r>
      <w:r w:rsidRPr="00B35658">
        <w:rPr>
          <w:rFonts w:cs="Times New Roman"/>
          <w:lang w:val="fr-CA"/>
        </w:rPr>
        <w:lastRenderedPageBreak/>
        <w:t xml:space="preserve">trois ans et demi serait appropriée. Or, comme son état de santé est précaire, l’intimé demande, à titre de mesure exceptionnelle, une peine d’emprisonnement dans la collectivité. Au soutien de sa demande, il dépose un rapport médical indiquant qu’il souffre de diverses difficultés physiques ainsi que d’une maladie dégénérative neurologique. Le juge conclut que l’intimé, qui n’a plus de réelle autonomie, se dirige vers une cessation des traitements et la mort à court ou à moyen terme.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Tout en reconnaissant que le mauvais état de santé d’un délinquant ne constitue pas en soi un facteur décisif pour déterminer la peine à lui infliger, le juge constate qu’en l’espèce l’intimé représentera un très lourd fardeau pour les institutions pénitentiaires. Quoique les autorités carcérales se disent capables d’assumer cette charge, le juge fait observer que la situation de l’intimé sera « exactement la même », qu’il soit à l’infirmerie du pénitencier ou dans le centre de soins qui l’héberge alors.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Le juge reconnaît que l’emprisonnement avec sursis n’existait pas au moment de la perpétration des infractions. Lors de l’audience, il pose des questions aux procureurs quant à la possibilité d’infliger une telle peine qui, de l’aveu de tous, n’est pas une peine qui pourrait être imposée sans la protection qu’offre l’al. 11</w:t>
      </w:r>
      <w:r w:rsidRPr="00B35658">
        <w:rPr>
          <w:rFonts w:cs="Times New Roman"/>
          <w:i/>
          <w:lang w:val="fr-CA"/>
        </w:rPr>
        <w:t>i</w:t>
      </w:r>
      <w:r w:rsidRPr="00B35658">
        <w:rPr>
          <w:rFonts w:cs="Times New Roman"/>
          <w:lang w:val="fr-CA"/>
        </w:rPr>
        <w:t>). De part et d’autre, les procureurs esquivent dans leurs observations la question de l’aspect temporel de l’application de l’al. 11</w:t>
      </w:r>
      <w:r w:rsidRPr="00B35658">
        <w:rPr>
          <w:rFonts w:cs="Times New Roman"/>
          <w:i/>
          <w:lang w:val="fr-CA"/>
        </w:rPr>
        <w:t>i</w:t>
      </w:r>
      <w:r w:rsidRPr="00B35658">
        <w:rPr>
          <w:rFonts w:cs="Times New Roman"/>
          <w:lang w:val="fr-CA"/>
        </w:rPr>
        <w:t>), et s’attachent plutôt aux multiples moutures des infractions et de l’art. 742.1 lui</w:t>
      </w:r>
      <w:r w:rsidR="00D52DBD" w:rsidRPr="00B35658">
        <w:rPr>
          <w:lang w:val="fr-CA"/>
        </w:rPr>
        <w:noBreakHyphen/>
      </w:r>
      <w:r w:rsidR="00D52DBD">
        <w:rPr>
          <w:rFonts w:cs="Times New Roman"/>
          <w:lang w:val="fr-CA"/>
        </w:rPr>
        <w:t>même.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Finalement, le juge tranche en faveur de l’intimé. Il estime que tout contrevenant a le droit de bénéficier de la peine la moins sévère qui ait été applicable </w:t>
      </w:r>
      <w:r w:rsidRPr="00B35658">
        <w:rPr>
          <w:rFonts w:cs="Times New Roman"/>
          <w:lang w:val="fr-CA"/>
        </w:rPr>
        <w:lastRenderedPageBreak/>
        <w:t xml:space="preserve">entre le moment de la perpétration de l’infraction et celui de l’infliction de la peine. En conséquence, l’emprisonnement avec sursis fait partie des peines pouvant être infligées. Étant d’avis que le cas exceptionnel dont il est saisi appelle une solution exceptionnelle, le juge condamne l’intimé à une peine d’emprisonnement de deux ans moins un jour à être purgée dans la collectivité.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La Cour d’appel confirme ce jugement à l’unanimité. La juge </w:t>
      </w:r>
      <w:proofErr w:type="spellStart"/>
      <w:r w:rsidRPr="00B35658">
        <w:rPr>
          <w:rFonts w:cs="Times New Roman"/>
          <w:lang w:val="fr-CA"/>
        </w:rPr>
        <w:t>Dutil</w:t>
      </w:r>
      <w:proofErr w:type="spellEnd"/>
      <w:r w:rsidRPr="00B35658">
        <w:rPr>
          <w:rFonts w:cs="Times New Roman"/>
          <w:lang w:val="fr-CA"/>
        </w:rPr>
        <w:t xml:space="preserve"> souligne avec justesse la grande déférence dont font montre les cours d’appel envers les décisions sur la peine prononcées en première instance. Elle reconnaît que le juge d</w:t>
      </w:r>
      <w:r w:rsidR="00ED0EA1">
        <w:rPr>
          <w:rFonts w:cs="Times New Roman"/>
          <w:lang w:val="fr-CA"/>
        </w:rPr>
        <w:t>e première instance a conclu au</w:t>
      </w:r>
      <w:r w:rsidR="00ED0EA1" w:rsidRPr="00B35658">
        <w:rPr>
          <w:lang w:val="fr-CA"/>
        </w:rPr>
        <w:noBreakHyphen/>
      </w:r>
      <w:r w:rsidRPr="00B35658">
        <w:rPr>
          <w:rFonts w:cs="Times New Roman"/>
          <w:lang w:val="fr-CA"/>
        </w:rPr>
        <w:t xml:space="preserve">delà de ce que lui permettait la preuve quant à l’état de santé de l’intimé. Toutefois, selon elle, cette erreur n’est pas déterminante. Citant l’arrêt </w:t>
      </w:r>
      <w:r w:rsidRPr="00B35658">
        <w:rPr>
          <w:rFonts w:cs="Times New Roman"/>
          <w:i/>
          <w:lang w:val="fr-CA"/>
        </w:rPr>
        <w:t xml:space="preserve">R. c. </w:t>
      </w:r>
      <w:proofErr w:type="spellStart"/>
      <w:r w:rsidRPr="00B35658">
        <w:rPr>
          <w:rFonts w:cs="Times New Roman"/>
          <w:i/>
          <w:lang w:val="fr-CA"/>
        </w:rPr>
        <w:t>Belzil</w:t>
      </w:r>
      <w:proofErr w:type="spellEnd"/>
      <w:r w:rsidRPr="00B35658">
        <w:rPr>
          <w:rFonts w:cs="Times New Roman"/>
          <w:lang w:val="fr-CA"/>
        </w:rPr>
        <w:t xml:space="preserve">, [1989] R.J.Q. 1117 (C.A. </w:t>
      </w:r>
      <w:proofErr w:type="spellStart"/>
      <w:r w:rsidRPr="00B35658">
        <w:rPr>
          <w:rFonts w:cs="Times New Roman"/>
          <w:lang w:val="fr-CA"/>
        </w:rPr>
        <w:t>Qc</w:t>
      </w:r>
      <w:proofErr w:type="spellEnd"/>
      <w:r w:rsidRPr="00B35658">
        <w:rPr>
          <w:rFonts w:cs="Times New Roman"/>
          <w:lang w:val="fr-CA"/>
        </w:rPr>
        <w:t xml:space="preserve">), la juge </w:t>
      </w:r>
      <w:proofErr w:type="spellStart"/>
      <w:r w:rsidRPr="00B35658">
        <w:rPr>
          <w:rFonts w:cs="Times New Roman"/>
          <w:lang w:val="fr-CA"/>
        </w:rPr>
        <w:t>Dutil</w:t>
      </w:r>
      <w:proofErr w:type="spellEnd"/>
      <w:r w:rsidRPr="00B35658">
        <w:rPr>
          <w:rFonts w:cs="Times New Roman"/>
          <w:lang w:val="fr-CA"/>
        </w:rPr>
        <w:t xml:space="preserve"> rejette l’argument du procureur de la Couronne voulant que l’al. 11</w:t>
      </w:r>
      <w:r w:rsidRPr="00B35658">
        <w:rPr>
          <w:rFonts w:cs="Times New Roman"/>
          <w:i/>
          <w:lang w:val="fr-CA"/>
        </w:rPr>
        <w:t>i</w:t>
      </w:r>
      <w:r w:rsidRPr="00B35658">
        <w:rPr>
          <w:rFonts w:cs="Times New Roman"/>
          <w:lang w:val="fr-CA"/>
        </w:rPr>
        <w:t xml:space="preserve">) ne garantisse que le bénéfice des peines applicables à deux moments précis, soit celui de la perpétration de l’infraction et celui du prononcé de la peine — un argument qui n’avait pas fait l’objet d’un débat approfondi en première instance. De l’avis de la juge </w:t>
      </w:r>
      <w:proofErr w:type="spellStart"/>
      <w:r w:rsidRPr="00B35658">
        <w:rPr>
          <w:rFonts w:cs="Times New Roman"/>
          <w:lang w:val="fr-CA"/>
        </w:rPr>
        <w:t>Dutil</w:t>
      </w:r>
      <w:proofErr w:type="spellEnd"/>
      <w:r w:rsidRPr="00B35658">
        <w:rPr>
          <w:rFonts w:cs="Times New Roman"/>
          <w:lang w:val="fr-CA"/>
        </w:rPr>
        <w:t xml:space="preserve">, l’arrêt </w:t>
      </w:r>
      <w:proofErr w:type="spellStart"/>
      <w:r w:rsidRPr="00B35658">
        <w:rPr>
          <w:rFonts w:cs="Times New Roman"/>
          <w:i/>
          <w:lang w:val="fr-CA"/>
        </w:rPr>
        <w:t>Belzil</w:t>
      </w:r>
      <w:proofErr w:type="spellEnd"/>
      <w:r w:rsidRPr="00B35658">
        <w:rPr>
          <w:rFonts w:cs="Times New Roman"/>
          <w:lang w:val="fr-CA"/>
        </w:rPr>
        <w:t xml:space="preserve"> confirme plutôt l’interprétation selon laquelle l’al. 11</w:t>
      </w:r>
      <w:r w:rsidRPr="00B35658">
        <w:rPr>
          <w:rFonts w:cs="Times New Roman"/>
          <w:i/>
          <w:lang w:val="fr-CA"/>
        </w:rPr>
        <w:t>i</w:t>
      </w:r>
      <w:r w:rsidRPr="00B35658">
        <w:rPr>
          <w:rFonts w:cs="Times New Roman"/>
          <w:lang w:val="fr-CA"/>
        </w:rPr>
        <w:t xml:space="preserve">) garantit à l’accusé le droit de bénéficier de toute peine applicable </w:t>
      </w:r>
      <w:r w:rsidRPr="00B35658">
        <w:rPr>
          <w:rFonts w:cs="Times New Roman"/>
          <w:i/>
          <w:lang w:val="fr-CA"/>
        </w:rPr>
        <w:t>entre</w:t>
      </w:r>
      <w:r w:rsidRPr="00B35658">
        <w:rPr>
          <w:rFonts w:cs="Times New Roman"/>
          <w:lang w:val="fr-CA"/>
        </w:rPr>
        <w:t xml:space="preserve"> ces deux moments, « même s’il n’y a eu qu’un adoucissement temporaire de la peine survenu entre le moment de l’infraction et celui de l’imposition de la peine » : 2018 Q</w:t>
      </w:r>
      <w:r w:rsidR="004162F5" w:rsidRPr="00B35658">
        <w:rPr>
          <w:rFonts w:cs="Times New Roman"/>
          <w:lang w:val="fr-CA"/>
        </w:rPr>
        <w:t>CCA 21, 43 C.R. (7th) 216, par. </w:t>
      </w:r>
      <w:r w:rsidRPr="00B35658">
        <w:rPr>
          <w:rFonts w:cs="Times New Roman"/>
          <w:lang w:val="fr-CA"/>
        </w:rPr>
        <w:t xml:space="preserve">33. Par conséquent, il était loisible au premier juge d’infliger une peine d’emprisonnement avec sursis.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lastRenderedPageBreak/>
        <w:t>En octobre 2018, notre Cour accueille la demande d’autorisation d’appel de la Couronne. L’intimé décède le 22 février 2019, sans avoir déposé son mémoire. Il lui reste toujours une partie de sa peine à purger, la requête sollicitant la suspension de l’exécution de sa peine ayant été rejetée par le juge Doyon de la Cour d’appel en juillet 2017 : 2017 QCCA 1137, par.</w:t>
      </w:r>
      <w:r w:rsidR="00036534" w:rsidRPr="00B35658">
        <w:rPr>
          <w:rFonts w:cs="Times New Roman"/>
          <w:lang w:val="fr-CA"/>
        </w:rPr>
        <w:t> </w:t>
      </w:r>
      <w:r w:rsidRPr="00B35658">
        <w:rPr>
          <w:rFonts w:cs="Times New Roman"/>
          <w:lang w:val="fr-CA"/>
        </w:rPr>
        <w:t>12 (</w:t>
      </w:r>
      <w:proofErr w:type="spellStart"/>
      <w:r w:rsidRPr="00B35658">
        <w:rPr>
          <w:rFonts w:cs="Times New Roman"/>
          <w:lang w:val="fr-CA"/>
        </w:rPr>
        <w:t>CanLII</w:t>
      </w:r>
      <w:proofErr w:type="spellEnd"/>
      <w:r w:rsidRPr="00B35658">
        <w:rPr>
          <w:rFonts w:cs="Times New Roman"/>
          <w:lang w:val="fr-CA"/>
        </w:rPr>
        <w:t>).</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Une semaine plus tard, le procureur de la Couronne dépose une requête en autorisation de poursuivre l’instance malgré le décès de l’intimé. Bien qu’il reconnaisse que la Cour dispose du pouvoir discrétionnaire de refuser de statuer sur la présente affaire, le procureur de la Couronne prétend que l’intérêt de la justice commande la poursuite de l’instance. À son avis, la question de droit en litige échappe souvent à l’examen des tribunaux d’appel et transcende le cas individuel de l’intimé. Selon lui, refuser la poursuite de l’instance ne ferait que repousser à plus tard l’inévitable examen de la question par notre Cour, tout en gaspillant les ressources judic</w:t>
      </w:r>
      <w:r w:rsidR="00ED0EA1">
        <w:rPr>
          <w:rFonts w:cs="Times New Roman"/>
          <w:lang w:val="fr-CA"/>
        </w:rPr>
        <w:t>iaires déjà affectées par celle</w:t>
      </w:r>
      <w:r w:rsidR="00ED0EA1" w:rsidRPr="00B35658">
        <w:rPr>
          <w:lang w:val="fr-CA"/>
        </w:rPr>
        <w:noBreakHyphen/>
      </w:r>
      <w:r w:rsidR="00ED0EA1">
        <w:rPr>
          <w:rFonts w:cs="Times New Roman"/>
          <w:lang w:val="fr-CA"/>
        </w:rPr>
        <w:t>ci au présent pourvoi.</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Quelques jours plus tard, les procureurs de l’intimé déposent leur réponse à la requête de l’appelante. Ils y indiquent que l’exécutrice testamentaire du défunt intimé, sa fille, ne souhaite pas poursuivre l’instance, mais leur a néanmoins confié le mandat de défendre la position avancée par l’intimé de son vivant, advenant que la Cour accepte d’entendre l’affaire.  </w:t>
      </w:r>
    </w:p>
    <w:p w:rsidR="00460821" w:rsidRPr="00B35658" w:rsidRDefault="00460821" w:rsidP="00460821">
      <w:pPr>
        <w:pStyle w:val="Title1LevelTitre1Niveau-AltL"/>
        <w:numPr>
          <w:ilvl w:val="0"/>
          <w:numId w:val="25"/>
        </w:numPr>
        <w:rPr>
          <w:rFonts w:cs="Times New Roman"/>
          <w:lang w:val="fr-CA"/>
        </w:rPr>
      </w:pPr>
      <w:r w:rsidRPr="00B35658">
        <w:rPr>
          <w:rFonts w:cs="Times New Roman"/>
          <w:lang w:val="fr-CA"/>
        </w:rPr>
        <w:t>Questions en litige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lastRenderedPageBreak/>
        <w:t>Il y a deux questions en litige dans le présent appel</w:t>
      </w:r>
      <w:r w:rsidR="00ED0EA1">
        <w:rPr>
          <w:rFonts w:cs="Times New Roman"/>
          <w:lang w:val="fr-CA"/>
        </w:rPr>
        <w:t>. Premièrement, la Cour devrait</w:t>
      </w:r>
      <w:r w:rsidR="00ED0EA1" w:rsidRPr="00B35658">
        <w:rPr>
          <w:lang w:val="fr-CA"/>
        </w:rPr>
        <w:noBreakHyphen/>
      </w:r>
      <w:r w:rsidRPr="00B35658">
        <w:rPr>
          <w:rFonts w:cs="Times New Roman"/>
          <w:lang w:val="fr-CA"/>
        </w:rPr>
        <w:t>elle exercer son pouvoir discrétionnaire et accepter d’entendre cet appel, devenu théorique par suite du décès de l’intimé</w:t>
      </w:r>
      <w:r w:rsidR="00ED0EA1">
        <w:rPr>
          <w:rFonts w:cs="Times New Roman"/>
          <w:lang w:val="fr-CA"/>
        </w:rPr>
        <w:t>? Deuxièmement, la Cour devrait</w:t>
      </w:r>
      <w:r w:rsidR="00ED0EA1" w:rsidRPr="00B35658">
        <w:rPr>
          <w:lang w:val="fr-CA"/>
        </w:rPr>
        <w:noBreakHyphen/>
      </w:r>
      <w:r w:rsidRPr="00B35658">
        <w:rPr>
          <w:rFonts w:cs="Times New Roman"/>
          <w:lang w:val="fr-CA"/>
        </w:rPr>
        <w:t>elle renverser 30 ans de jurisprudence constante sur l’interprétation de l’al. 11</w:t>
      </w:r>
      <w:r w:rsidRPr="00B35658">
        <w:rPr>
          <w:rFonts w:cs="Times New Roman"/>
          <w:i/>
          <w:lang w:val="fr-CA"/>
        </w:rPr>
        <w:t>i</w:t>
      </w:r>
      <w:r w:rsidRPr="00B35658">
        <w:rPr>
          <w:rFonts w:cs="Times New Roman"/>
          <w:lang w:val="fr-CA"/>
        </w:rPr>
        <w:t xml:space="preserve">) de la </w:t>
      </w:r>
      <w:r w:rsidRPr="00B35658">
        <w:rPr>
          <w:rFonts w:cs="Times New Roman"/>
          <w:i/>
          <w:lang w:val="fr-CA"/>
        </w:rPr>
        <w:t>Charte</w:t>
      </w:r>
      <w:r w:rsidRPr="00B35658">
        <w:rPr>
          <w:rFonts w:cs="Times New Roman"/>
          <w:lang w:val="fr-CA"/>
        </w:rPr>
        <w:t>? Je réponds à ces deux questions par la négative.</w:t>
      </w:r>
    </w:p>
    <w:p w:rsidR="00460821" w:rsidRPr="00B35658" w:rsidRDefault="00460821" w:rsidP="00460821">
      <w:pPr>
        <w:pStyle w:val="Title1LevelTitre1Niveau-AltL"/>
        <w:numPr>
          <w:ilvl w:val="0"/>
          <w:numId w:val="25"/>
        </w:numPr>
        <w:rPr>
          <w:rFonts w:cs="Times New Roman"/>
          <w:lang w:val="fr-CA"/>
        </w:rPr>
      </w:pPr>
      <w:r w:rsidRPr="00B35658">
        <w:rPr>
          <w:rFonts w:cs="Times New Roman"/>
          <w:lang w:val="fr-CA"/>
        </w:rPr>
        <w:t>Le caractère théorique de l’appel</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Dans l’arrêt </w:t>
      </w:r>
      <w:r w:rsidRPr="00B35658">
        <w:rPr>
          <w:rFonts w:cs="Times New Roman"/>
          <w:i/>
          <w:lang w:val="fr-CA"/>
        </w:rPr>
        <w:t>Smith</w:t>
      </w:r>
      <w:r w:rsidRPr="00B35658">
        <w:rPr>
          <w:rFonts w:cs="Times New Roman"/>
          <w:lang w:val="fr-CA"/>
        </w:rPr>
        <w:t xml:space="preserve">, la Cour souligne que « [c]e n’est que rarement et à titre exceptionnel qu’il sera opportun d’exercer le pouvoir d’entendre un appel théorique en matière criminelle » : </w:t>
      </w:r>
      <w:r w:rsidRPr="00B35658">
        <w:rPr>
          <w:rFonts w:cs="Times New Roman"/>
          <w:i/>
          <w:lang w:val="fr-CA"/>
        </w:rPr>
        <w:t>R. c. Smith</w:t>
      </w:r>
      <w:r w:rsidRPr="00B35658">
        <w:rPr>
          <w:rFonts w:cs="Times New Roman"/>
          <w:lang w:val="fr-CA"/>
        </w:rPr>
        <w:t>, 2004 CS</w:t>
      </w:r>
      <w:r w:rsidR="00036534" w:rsidRPr="00B35658">
        <w:rPr>
          <w:rFonts w:cs="Times New Roman"/>
          <w:lang w:val="fr-CA"/>
        </w:rPr>
        <w:t>C 14, [2004] 1 R.C.S. 385, par. </w:t>
      </w:r>
      <w:r w:rsidRPr="00B35658">
        <w:rPr>
          <w:rFonts w:cs="Times New Roman"/>
          <w:lang w:val="fr-CA"/>
        </w:rPr>
        <w:t>10. Elle y dresse une liste de cinq facteurs « plutôt utiles qu’exhaustifs » qui peuvent être pris en considération afin de décider si des circonstances spéciales font en sorte qu’il est dans « l’intérêt de la justice » de poursuivre une instance devenue théorique : par.</w:t>
      </w:r>
      <w:r w:rsidR="00036534" w:rsidRPr="00B35658">
        <w:rPr>
          <w:rFonts w:cs="Times New Roman"/>
          <w:lang w:val="fr-CA"/>
        </w:rPr>
        <w:t> </w:t>
      </w:r>
      <w:r w:rsidRPr="00B35658">
        <w:rPr>
          <w:rFonts w:cs="Times New Roman"/>
          <w:lang w:val="fr-CA"/>
        </w:rPr>
        <w:t xml:space="preserve">50. Ces cinq facteurs sont les suivants : </w:t>
      </w:r>
    </w:p>
    <w:p w:rsidR="00460821" w:rsidRPr="00B35658" w:rsidRDefault="00460821" w:rsidP="00460821">
      <w:pPr>
        <w:pStyle w:val="Citation-AltC"/>
        <w:numPr>
          <w:ilvl w:val="6"/>
          <w:numId w:val="33"/>
        </w:numPr>
        <w:ind w:left="1620"/>
        <w:rPr>
          <w:lang w:val="fr-CA"/>
        </w:rPr>
      </w:pPr>
      <w:r w:rsidRPr="00B35658">
        <w:rPr>
          <w:lang w:val="fr-CA"/>
        </w:rPr>
        <w:t>l’existence d’un débat contradictoire approprié à la poursuite de l’instance en appel;</w:t>
      </w:r>
    </w:p>
    <w:p w:rsidR="00460821" w:rsidRPr="00B35658" w:rsidRDefault="00460821" w:rsidP="00460821">
      <w:pPr>
        <w:pStyle w:val="Citation-AltC"/>
        <w:ind w:left="1620"/>
        <w:rPr>
          <w:lang w:val="fr-CA"/>
        </w:rPr>
      </w:pPr>
    </w:p>
    <w:p w:rsidR="00460821" w:rsidRPr="00B35658" w:rsidRDefault="00460821" w:rsidP="00460821">
      <w:pPr>
        <w:pStyle w:val="Citation-AltC"/>
        <w:numPr>
          <w:ilvl w:val="6"/>
          <w:numId w:val="33"/>
        </w:numPr>
        <w:ind w:left="1620"/>
        <w:rPr>
          <w:lang w:val="fr-CA"/>
        </w:rPr>
      </w:pPr>
      <w:r w:rsidRPr="00B35658">
        <w:rPr>
          <w:lang w:val="fr-CA"/>
        </w:rPr>
        <w:t>le sérieux des motifs d’appel;</w:t>
      </w:r>
    </w:p>
    <w:p w:rsidR="00460821" w:rsidRPr="00B35658" w:rsidRDefault="00460821" w:rsidP="00460821">
      <w:pPr>
        <w:pStyle w:val="Citation-AltC"/>
        <w:ind w:left="1620"/>
        <w:rPr>
          <w:lang w:val="fr-CA"/>
        </w:rPr>
      </w:pPr>
    </w:p>
    <w:p w:rsidR="00460821" w:rsidRPr="00B35658" w:rsidRDefault="00460821" w:rsidP="00460821">
      <w:pPr>
        <w:pStyle w:val="Citation-AltC"/>
        <w:numPr>
          <w:ilvl w:val="6"/>
          <w:numId w:val="33"/>
        </w:numPr>
        <w:ind w:left="1620"/>
        <w:rPr>
          <w:lang w:val="fr-CA"/>
        </w:rPr>
      </w:pPr>
      <w:r w:rsidRPr="00B35658">
        <w:rPr>
          <w:lang w:val="fr-CA"/>
        </w:rPr>
        <w:t>l’existence de circonstances spéciales qui transcendent le décès de l’appelant ou de l’intimé, dont</w:t>
      </w:r>
      <w:r w:rsidR="00F24E85">
        <w:rPr>
          <w:lang w:val="fr-CA"/>
        </w:rPr>
        <w:t> </w:t>
      </w:r>
      <w:r w:rsidRPr="00B35658">
        <w:rPr>
          <w:lang w:val="fr-CA"/>
        </w:rPr>
        <w:t>:</w:t>
      </w:r>
    </w:p>
    <w:p w:rsidR="00460821" w:rsidRPr="00B35658" w:rsidRDefault="00460821" w:rsidP="00460821">
      <w:pPr>
        <w:pStyle w:val="Citation-AltC"/>
        <w:ind w:left="1620"/>
        <w:rPr>
          <w:lang w:val="fr-CA"/>
        </w:rPr>
      </w:pPr>
    </w:p>
    <w:p w:rsidR="00460821" w:rsidRPr="00B35658" w:rsidRDefault="00460821" w:rsidP="00460821">
      <w:pPr>
        <w:pStyle w:val="Citation-AltC"/>
        <w:numPr>
          <w:ilvl w:val="0"/>
          <w:numId w:val="32"/>
        </w:numPr>
        <w:ind w:left="1980"/>
        <w:rPr>
          <w:lang w:val="fr-CA"/>
        </w:rPr>
      </w:pPr>
      <w:r w:rsidRPr="00B35658">
        <w:rPr>
          <w:lang w:val="fr-CA"/>
        </w:rPr>
        <w:t>une question de droit d’intérêt général, particulièrement s’il s’agit d’une question qui échappe ordinairement à l’examen en appel;</w:t>
      </w:r>
    </w:p>
    <w:p w:rsidR="00460821" w:rsidRPr="00B35658" w:rsidRDefault="00460821" w:rsidP="00460821">
      <w:pPr>
        <w:pStyle w:val="Citation-AltC"/>
        <w:ind w:left="1980"/>
        <w:rPr>
          <w:lang w:val="fr-CA"/>
        </w:rPr>
      </w:pPr>
    </w:p>
    <w:p w:rsidR="00460821" w:rsidRPr="00B35658" w:rsidRDefault="00460821" w:rsidP="00460821">
      <w:pPr>
        <w:pStyle w:val="Citation-AltC"/>
        <w:numPr>
          <w:ilvl w:val="0"/>
          <w:numId w:val="32"/>
        </w:numPr>
        <w:ind w:left="1980"/>
        <w:rPr>
          <w:lang w:val="fr-CA"/>
        </w:rPr>
      </w:pPr>
      <w:r w:rsidRPr="00B35658">
        <w:rPr>
          <w:lang w:val="fr-CA"/>
        </w:rPr>
        <w:t>une question de nature systémique ayant trait à l’administration de la justice;</w:t>
      </w:r>
    </w:p>
    <w:p w:rsidR="00460821" w:rsidRPr="00B35658" w:rsidRDefault="00460821" w:rsidP="00460821">
      <w:pPr>
        <w:pStyle w:val="Citation-AltC"/>
        <w:ind w:left="1980"/>
        <w:rPr>
          <w:lang w:val="fr-CA"/>
        </w:rPr>
      </w:pPr>
    </w:p>
    <w:p w:rsidR="00460821" w:rsidRPr="00B35658" w:rsidRDefault="00460821" w:rsidP="00460821">
      <w:pPr>
        <w:pStyle w:val="Citation-AltC"/>
        <w:numPr>
          <w:ilvl w:val="0"/>
          <w:numId w:val="32"/>
        </w:numPr>
        <w:ind w:left="1980"/>
        <w:rPr>
          <w:lang w:val="fr-CA"/>
        </w:rPr>
      </w:pPr>
      <w:r w:rsidRPr="00B35658">
        <w:rPr>
          <w:lang w:val="fr-CA"/>
        </w:rPr>
        <w:lastRenderedPageBreak/>
        <w:t>les conséquences accessoires pour la famille du défunt, tout autre intéressé ou le public;</w:t>
      </w:r>
    </w:p>
    <w:p w:rsidR="00460821" w:rsidRPr="00B35658" w:rsidRDefault="00460821" w:rsidP="00460821">
      <w:pPr>
        <w:pStyle w:val="Citation-AltC"/>
        <w:ind w:left="1620"/>
        <w:rPr>
          <w:lang w:val="fr-CA"/>
        </w:rPr>
      </w:pPr>
    </w:p>
    <w:p w:rsidR="00460821" w:rsidRPr="00B35658" w:rsidRDefault="00460821" w:rsidP="00460821">
      <w:pPr>
        <w:pStyle w:val="Citation-AltC"/>
        <w:numPr>
          <w:ilvl w:val="6"/>
          <w:numId w:val="33"/>
        </w:numPr>
        <w:ind w:left="1620"/>
        <w:rPr>
          <w:lang w:val="fr-CA"/>
        </w:rPr>
      </w:pPr>
      <w:r w:rsidRPr="00B35658">
        <w:rPr>
          <w:lang w:val="fr-CA"/>
        </w:rPr>
        <w:t>la question de savoir si la nature de l’ordonnance que pourrait rendre la cour d’appel justifie l’affectation de ses ressources limitées au règlement d’un appel théorique;</w:t>
      </w:r>
    </w:p>
    <w:p w:rsidR="00460821" w:rsidRPr="00B35658" w:rsidRDefault="00460821" w:rsidP="00460821">
      <w:pPr>
        <w:pStyle w:val="Citation-AltC"/>
        <w:ind w:left="1620"/>
        <w:rPr>
          <w:lang w:val="fr-CA"/>
        </w:rPr>
      </w:pPr>
    </w:p>
    <w:p w:rsidR="00460821" w:rsidRPr="00B35658" w:rsidRDefault="00460821" w:rsidP="00460821">
      <w:pPr>
        <w:pStyle w:val="Citation-AltC"/>
        <w:numPr>
          <w:ilvl w:val="6"/>
          <w:numId w:val="33"/>
        </w:numPr>
        <w:ind w:left="1620"/>
        <w:rPr>
          <w:lang w:val="fr-CA"/>
        </w:rPr>
      </w:pPr>
      <w:r w:rsidRPr="00B35658">
        <w:rPr>
          <w:lang w:val="fr-CA"/>
        </w:rPr>
        <w:t>la question de savoir si, en poursuivant l’instance en appel, la cour n’excède pas la fonction judiciaire, qui est de trancher des différends concrets, et est amenée à se prononcer sur des questions de type législatif autonomes qu’il vaut mieux laisser au législateur. [par.</w:t>
      </w:r>
      <w:r w:rsidR="00B75D93" w:rsidRPr="00B35658">
        <w:rPr>
          <w:lang w:val="fr-CA"/>
        </w:rPr>
        <w:t> </w:t>
      </w:r>
      <w:r w:rsidRPr="00B35658">
        <w:rPr>
          <w:lang w:val="fr-CA"/>
        </w:rPr>
        <w:t>50]</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Je suis d’avis que la présente affaire fait partie de la « très grande majorité des cas » dans lesquels la poursuite de l’instance ne serait pas d</w:t>
      </w:r>
      <w:r w:rsidR="001E7102">
        <w:rPr>
          <w:rFonts w:cs="Times New Roman"/>
          <w:lang w:val="fr-CA"/>
        </w:rPr>
        <w:t xml:space="preserve">ans </w:t>
      </w:r>
      <w:r w:rsidR="00B73E99">
        <w:rPr>
          <w:rFonts w:cs="Times New Roman"/>
          <w:lang w:val="fr-CA"/>
        </w:rPr>
        <w:t>l’</w:t>
      </w:r>
      <w:r w:rsidR="001E7102">
        <w:rPr>
          <w:rFonts w:cs="Times New Roman"/>
          <w:lang w:val="fr-CA"/>
        </w:rPr>
        <w:t>« intérêt de la justice </w:t>
      </w:r>
      <w:r w:rsidR="00876622">
        <w:rPr>
          <w:rFonts w:cs="Times New Roman"/>
          <w:lang w:val="fr-CA"/>
        </w:rPr>
        <w:t>» </w:t>
      </w:r>
      <w:r w:rsidRPr="00B35658">
        <w:rPr>
          <w:rFonts w:cs="Times New Roman"/>
          <w:lang w:val="fr-CA"/>
        </w:rPr>
        <w:t xml:space="preserve">: </w:t>
      </w:r>
      <w:r w:rsidRPr="00B35658">
        <w:rPr>
          <w:rFonts w:cs="Times New Roman"/>
          <w:i/>
          <w:lang w:val="fr-CA"/>
        </w:rPr>
        <w:t>Smith</w:t>
      </w:r>
      <w:r w:rsidRPr="00B35658">
        <w:rPr>
          <w:rFonts w:cs="Times New Roman"/>
          <w:lang w:val="fr-CA"/>
        </w:rPr>
        <w:t>, par.</w:t>
      </w:r>
      <w:r w:rsidR="00B75D93" w:rsidRPr="00B35658">
        <w:rPr>
          <w:rFonts w:cs="Times New Roman"/>
          <w:lang w:val="fr-CA"/>
        </w:rPr>
        <w:t> </w:t>
      </w:r>
      <w:r w:rsidRPr="00B35658">
        <w:rPr>
          <w:rFonts w:cs="Times New Roman"/>
          <w:lang w:val="fr-CA"/>
        </w:rPr>
        <w:t>46.</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Premièrement, j’ai de la difficulté à conclure à l’existence d’un véritable débat contradictoire. Bien que le juge de première instance ait soulevé la question de l’application de l’al. 11</w:t>
      </w:r>
      <w:r w:rsidRPr="00B35658">
        <w:rPr>
          <w:rFonts w:cs="Times New Roman"/>
          <w:i/>
          <w:lang w:val="fr-CA"/>
        </w:rPr>
        <w:t>i</w:t>
      </w:r>
      <w:r w:rsidRPr="00B35658">
        <w:rPr>
          <w:rFonts w:cs="Times New Roman"/>
          <w:lang w:val="fr-CA"/>
        </w:rPr>
        <w:t xml:space="preserve">), l’aspect temporel de l’application de cette disposition n’a pas été débattu lors de l’audience de détermination de la peine. Les motifs du premier juge sur cette question sont des plus brefs et ne font état d’aucune source faisant autorité. Pour sa part, la Cour d’appel effleure elle aussi la question de l’interprétation de ce droit garanti par la </w:t>
      </w:r>
      <w:r w:rsidRPr="00B35658">
        <w:rPr>
          <w:rFonts w:cs="Times New Roman"/>
          <w:i/>
          <w:lang w:val="fr-CA"/>
        </w:rPr>
        <w:t>Charte</w:t>
      </w:r>
      <w:r w:rsidRPr="00B35658">
        <w:rPr>
          <w:rFonts w:cs="Times New Roman"/>
          <w:lang w:val="fr-CA"/>
        </w:rPr>
        <w:t xml:space="preserve"> à la fin de son jugement, mais elle ne se livre pas elle non plus à une analyse fouillée de cette question.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D’ailleurs, ceci n’est guère surprenant si l’on considère qu’environ une quinzaine de décisions judiciaires rendues depuis 1989 — dont cinq qui émanent de cours d’appel — ont appliqué une seule interprétation de l’al. 11</w:t>
      </w:r>
      <w:r w:rsidRPr="00B35658">
        <w:rPr>
          <w:rFonts w:cs="Times New Roman"/>
          <w:i/>
          <w:lang w:val="fr-CA"/>
        </w:rPr>
        <w:t>i</w:t>
      </w:r>
      <w:r w:rsidRPr="00B35658">
        <w:rPr>
          <w:rFonts w:cs="Times New Roman"/>
          <w:lang w:val="fr-CA"/>
        </w:rPr>
        <w:t xml:space="preserve">), soit celle retenue par les tribunaux québécois dans la présente instance. Lorsque les tribunaux inférieurs </w:t>
      </w:r>
      <w:r w:rsidRPr="00B35658">
        <w:rPr>
          <w:rFonts w:cs="Times New Roman"/>
          <w:lang w:val="fr-CA"/>
        </w:rPr>
        <w:lastRenderedPageBreak/>
        <w:t xml:space="preserve">ont suivi un courant jurisprudentiel non seulement majoritaire, mais unanime, il me semble que la déférence est de mise en appel. Pour les raisons que j’expose plus loin, le sérieux des motifs d’appel invoqués par le procureur de la Couronne est </w:t>
      </w:r>
      <w:proofErr w:type="gramStart"/>
      <w:r w:rsidRPr="00B35658">
        <w:rPr>
          <w:rFonts w:cs="Times New Roman"/>
          <w:lang w:val="fr-CA"/>
        </w:rPr>
        <w:t>affaibli</w:t>
      </w:r>
      <w:proofErr w:type="gramEnd"/>
      <w:r w:rsidRPr="00B35658">
        <w:rPr>
          <w:rFonts w:cs="Times New Roman"/>
          <w:lang w:val="fr-CA"/>
        </w:rPr>
        <w:t xml:space="preserve"> par le solide raisonnement qui étaye cette jurisprudence.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Deuxièmement, bien qu’une question portant sur l’interprétation d’une disposition de la </w:t>
      </w:r>
      <w:r w:rsidRPr="00B35658">
        <w:rPr>
          <w:rFonts w:cs="Times New Roman"/>
          <w:i/>
          <w:lang w:val="fr-CA"/>
        </w:rPr>
        <w:t>Charte</w:t>
      </w:r>
      <w:r w:rsidRPr="00B35658">
        <w:rPr>
          <w:rFonts w:cs="Times New Roman"/>
          <w:lang w:val="fr-CA"/>
        </w:rPr>
        <w:t xml:space="preserve"> soit toujours d’une grande importance, il n’existe pas en l’espèce de circonstances spéciales qui transcendent le décès de l’intimé. Notre Cour a fréquemment exercé son pouvoir discrétionnaire et accepté d’entendre un appel théorique lorsque la question en litige échappe ordinairement à l’examen des tribunaux ou fait l’objet d’une in</w:t>
      </w:r>
      <w:r w:rsidR="00531EC6">
        <w:rPr>
          <w:rFonts w:cs="Times New Roman"/>
          <w:lang w:val="fr-CA"/>
        </w:rPr>
        <w:t>certitude dans la jurisprudence </w:t>
      </w:r>
      <w:r w:rsidRPr="00B35658">
        <w:rPr>
          <w:rFonts w:cs="Times New Roman"/>
          <w:lang w:val="fr-CA"/>
        </w:rPr>
        <w:t xml:space="preserve">: voir, p. ex., </w:t>
      </w:r>
      <w:proofErr w:type="spellStart"/>
      <w:r w:rsidRPr="00B35658">
        <w:rPr>
          <w:rFonts w:cs="Times New Roman"/>
          <w:i/>
          <w:lang w:val="fr-CA"/>
        </w:rPr>
        <w:t>Borowski</w:t>
      </w:r>
      <w:proofErr w:type="spellEnd"/>
      <w:r w:rsidRPr="00B35658">
        <w:rPr>
          <w:rFonts w:cs="Times New Roman"/>
          <w:i/>
          <w:lang w:val="fr-CA"/>
        </w:rPr>
        <w:t xml:space="preserve"> c. Canada (Procureur général)</w:t>
      </w:r>
      <w:r w:rsidR="00B73E99">
        <w:rPr>
          <w:rFonts w:cs="Times New Roman"/>
          <w:lang w:val="fr-CA"/>
        </w:rPr>
        <w:t xml:space="preserve">, [1989] 1 </w:t>
      </w:r>
      <w:r w:rsidR="00ED0EA1">
        <w:rPr>
          <w:rFonts w:cs="Times New Roman"/>
          <w:lang w:val="fr-CA"/>
        </w:rPr>
        <w:t>R.C.S.</w:t>
      </w:r>
      <w:r w:rsidR="00B73E99">
        <w:rPr>
          <w:rFonts w:cs="Times New Roman"/>
          <w:lang w:val="fr-CA"/>
        </w:rPr>
        <w:t xml:space="preserve"> </w:t>
      </w:r>
      <w:r w:rsidR="00ED0EA1">
        <w:rPr>
          <w:rFonts w:cs="Times New Roman"/>
          <w:lang w:val="fr-CA"/>
        </w:rPr>
        <w:t>342, p. 360</w:t>
      </w:r>
      <w:r w:rsidR="00ED0EA1" w:rsidRPr="00B35658">
        <w:rPr>
          <w:lang w:val="fr-CA"/>
        </w:rPr>
        <w:noBreakHyphen/>
      </w:r>
      <w:r w:rsidRPr="00B35658">
        <w:rPr>
          <w:rFonts w:cs="Times New Roman"/>
          <w:lang w:val="fr-CA"/>
        </w:rPr>
        <w:t xml:space="preserve">361. Or, face à 30 ans de jurisprudence constante sur la question en litige, je ne peux pas me rallier aux arguments selon lesquels nous serions en présence d’une controverse jurisprudentielle ou d’une question qui échappe ordinairement à l’examen des tribunaux d’appel. L’absence de toute controverse jurisprudentielle est devenue évidente lorsque le seul intervenant qui appuie l’interprétation de l’appelante — à savoir le seul procureur général qui a jugé bon d’intervenir — s’est avéré incapable de faire état d’une seule autorité canadienne au soutien de l’interprétation proposée par l’appelante. </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Enfin, l’</w:t>
      </w:r>
      <w:proofErr w:type="spellStart"/>
      <w:r w:rsidRPr="00B35658">
        <w:rPr>
          <w:rFonts w:cs="Times New Roman"/>
          <w:lang w:val="fr-CA"/>
        </w:rPr>
        <w:t>inéquité</w:t>
      </w:r>
      <w:proofErr w:type="spellEnd"/>
      <w:r w:rsidRPr="00B35658">
        <w:rPr>
          <w:rFonts w:cs="Times New Roman"/>
          <w:lang w:val="fr-CA"/>
        </w:rPr>
        <w:t xml:space="preserve"> du fait de poursuivre une instance contre un délinquant décédé, malgré l’opposition de sa famille, me semble évidente. Le caractère démesuré de cette démarche ressort clairement des conclusions recherchées dans la requête de la </w:t>
      </w:r>
      <w:r w:rsidRPr="00B35658">
        <w:rPr>
          <w:rFonts w:cs="Times New Roman"/>
          <w:lang w:val="fr-CA"/>
        </w:rPr>
        <w:lastRenderedPageBreak/>
        <w:t>Couronne. Au lieu de solliciter une déclaration quant à l’interprétation de l’al. 11</w:t>
      </w:r>
      <w:r w:rsidRPr="00B35658">
        <w:rPr>
          <w:rFonts w:cs="Times New Roman"/>
          <w:i/>
          <w:lang w:val="fr-CA"/>
        </w:rPr>
        <w:t>i</w:t>
      </w:r>
      <w:r w:rsidRPr="00B35658">
        <w:rPr>
          <w:rFonts w:cs="Times New Roman"/>
          <w:lang w:val="fr-CA"/>
        </w:rPr>
        <w:t>), cette dernière demande à la Cour d’infirmer la peine qui a été infligée à un homme décédé et d’y substituer la peine qu’elle estime appropriée seulement pour surseoir à cette dernière. Le présent appel n’aurait pas dû être entendu.</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Pour les motifs qui précèdent, je rejetterais la requête en poursuite de l’instance. </w:t>
      </w:r>
    </w:p>
    <w:p w:rsidR="00460821" w:rsidRPr="00B35658" w:rsidRDefault="00460821" w:rsidP="00460821">
      <w:pPr>
        <w:pStyle w:val="Title1LevelTitre1Niveau-AltL"/>
        <w:numPr>
          <w:ilvl w:val="0"/>
          <w:numId w:val="25"/>
        </w:numPr>
        <w:rPr>
          <w:rFonts w:cs="Times New Roman"/>
          <w:lang w:val="fr-CA"/>
        </w:rPr>
      </w:pPr>
      <w:r w:rsidRPr="00B35658">
        <w:rPr>
          <w:rFonts w:cs="Times New Roman"/>
          <w:lang w:val="fr-CA"/>
        </w:rPr>
        <w:t>Interprétation de l’al. 11</w:t>
      </w:r>
      <w:r w:rsidRPr="00B35658">
        <w:rPr>
          <w:rFonts w:cs="Times New Roman"/>
          <w:i/>
          <w:lang w:val="fr-CA"/>
        </w:rPr>
        <w:t>i</w:t>
      </w:r>
      <w:r w:rsidRPr="00B35658">
        <w:rPr>
          <w:rFonts w:cs="Times New Roman"/>
          <w:lang w:val="fr-CA"/>
        </w:rPr>
        <w:t xml:space="preserve">) de la </w:t>
      </w:r>
      <w:r w:rsidRPr="008B6173">
        <w:rPr>
          <w:rFonts w:cs="Times New Roman"/>
          <w:i/>
          <w:lang w:val="fr-CA"/>
        </w:rPr>
        <w:t>Charte</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La Couronne prétend que la Cour d’appel a mal interprété l’al. 11</w:t>
      </w:r>
      <w:r w:rsidRPr="00B35658">
        <w:rPr>
          <w:rFonts w:cs="Times New Roman"/>
          <w:i/>
          <w:lang w:val="fr-CA"/>
        </w:rPr>
        <w:t>i</w:t>
      </w:r>
      <w:r w:rsidRPr="00B35658">
        <w:rPr>
          <w:rFonts w:cs="Times New Roman"/>
          <w:lang w:val="fr-CA"/>
        </w:rPr>
        <w:t xml:space="preserve">). Selon la Couronne, cet alinéa signifie que tout contrevenant a droit au bénéfice de la peine la moins sévère, mais </w:t>
      </w:r>
      <w:r w:rsidRPr="00B35658">
        <w:rPr>
          <w:rFonts w:cs="Times New Roman"/>
          <w:i/>
          <w:lang w:val="fr-CA"/>
        </w:rPr>
        <w:t>seulement</w:t>
      </w:r>
      <w:r w:rsidRPr="00B35658">
        <w:rPr>
          <w:rFonts w:cs="Times New Roman"/>
          <w:lang w:val="fr-CA"/>
        </w:rPr>
        <w:t xml:space="preserve"> parmi deux peines, soit la peine applicable au moment de la perpétration de l’infraction et celle qui s’appliquait au moment du prononcé de la sentence. À son avis, l’interprétation adoptée par la jurisprudence est contraire aux trois objets de l’al. 11</w:t>
      </w:r>
      <w:r w:rsidRPr="00B35658">
        <w:rPr>
          <w:rFonts w:cs="Times New Roman"/>
          <w:i/>
          <w:lang w:val="fr-CA"/>
        </w:rPr>
        <w:t>i</w:t>
      </w:r>
      <w:r w:rsidRPr="00B35658">
        <w:rPr>
          <w:rFonts w:cs="Times New Roman"/>
          <w:lang w:val="fr-CA"/>
        </w:rPr>
        <w:t>), à savoir : (1) la protection contre l’infliction rétrospective d’une peine plus sévère que celle qui était applicable au moment de la perpétration de l’infraction; (2) la préservation du principe d’équité qui permet à l’inculpé de prendre des décisions concernant sa responsabilité criminelle sur la foi du droit en vigueur</w:t>
      </w:r>
      <w:r w:rsidRPr="00B35658">
        <w:rPr>
          <w:rFonts w:cs="Times New Roman"/>
          <w:i/>
          <w:lang w:val="fr-CA"/>
        </w:rPr>
        <w:t xml:space="preserve"> </w:t>
      </w:r>
      <w:r w:rsidRPr="00B35658">
        <w:rPr>
          <w:rFonts w:cs="Times New Roman"/>
          <w:lang w:val="fr-CA"/>
        </w:rPr>
        <w:t>— que la Couronne limite aux moments de la perpétration de l’infraction, de l’inculpation et de la sentence; et (3) le principe selon lequel les tribunaux canadiens infligent des peines qui correspondent au degré de réprobation sociale contemporaine associé à l’infraction.</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lastRenderedPageBreak/>
        <w:t>L’intimé avance que l’interprétation retenue par l’ensemble de la jurisprudence canadienne est la bonne. Selon lui, le texte de l’alinéa est limpide</w:t>
      </w:r>
      <w:r w:rsidR="008A66D4">
        <w:rPr>
          <w:rFonts w:cs="Times New Roman"/>
          <w:lang w:val="fr-CA"/>
        </w:rPr>
        <w:t> </w:t>
      </w:r>
      <w:r w:rsidRPr="00B35658">
        <w:rPr>
          <w:rFonts w:cs="Times New Roman"/>
          <w:lang w:val="fr-CA"/>
        </w:rPr>
        <w:t xml:space="preserve">: c’est la peine la plus clémente qui ait été applicable dans l’intervalle </w:t>
      </w:r>
      <w:r w:rsidRPr="00B35658">
        <w:rPr>
          <w:rFonts w:cs="Times New Roman"/>
          <w:i/>
          <w:lang w:val="fr-CA"/>
        </w:rPr>
        <w:t>entre</w:t>
      </w:r>
      <w:r w:rsidRPr="00B35658">
        <w:rPr>
          <w:rFonts w:cs="Times New Roman"/>
          <w:lang w:val="fr-CA"/>
        </w:rPr>
        <w:t xml:space="preserve"> (« </w:t>
      </w:r>
      <w:proofErr w:type="spellStart"/>
      <w:r w:rsidRPr="00B35658">
        <w:rPr>
          <w:rFonts w:cs="Times New Roman"/>
          <w:i/>
          <w:lang w:val="fr-CA"/>
        </w:rPr>
        <w:t>between</w:t>
      </w:r>
      <w:proofErr w:type="spellEnd"/>
      <w:r w:rsidRPr="00B35658">
        <w:rPr>
          <w:rFonts w:cs="Times New Roman"/>
          <w:lang w:val="fr-CA"/>
        </w:rPr>
        <w:t xml:space="preserve"> ») le moment de la perpétration de l’infraction et celui de la sentence qui est garantie au contrevenant. Le libellé ne suggère aucune limite quant au nombre de variations de la peine pouvant survenir dans cet intervalle — ce qui aurait été facile à indiquer en remplaçant le mot « entre » par le mot « ou » : « la peine en vigueur au moment de la commission de l’infraction </w:t>
      </w:r>
      <w:r w:rsidRPr="00B35658">
        <w:rPr>
          <w:rFonts w:cs="Times New Roman"/>
          <w:u w:val="single"/>
          <w:lang w:val="fr-CA"/>
        </w:rPr>
        <w:t>ou</w:t>
      </w:r>
      <w:r w:rsidRPr="00B35658">
        <w:rPr>
          <w:rFonts w:cs="Times New Roman"/>
          <w:lang w:val="fr-CA"/>
        </w:rPr>
        <w:t xml:space="preserve"> celle en vigueur au moment de l’imposition de la peine » (</w:t>
      </w:r>
      <w:proofErr w:type="spellStart"/>
      <w:r w:rsidRPr="00B35658">
        <w:rPr>
          <w:rFonts w:cs="Times New Roman"/>
          <w:lang w:val="fr-CA"/>
        </w:rPr>
        <w:t>m.i</w:t>
      </w:r>
      <w:proofErr w:type="spellEnd"/>
      <w:r w:rsidRPr="00B35658">
        <w:rPr>
          <w:rFonts w:cs="Times New Roman"/>
          <w:lang w:val="fr-CA"/>
        </w:rPr>
        <w:t>.</w:t>
      </w:r>
      <w:r w:rsidR="0027240C" w:rsidRPr="00B35658">
        <w:rPr>
          <w:rFonts w:cs="Times New Roman"/>
          <w:lang w:val="fr-CA"/>
        </w:rPr>
        <w:t>, par. </w:t>
      </w:r>
      <w:r w:rsidRPr="00B35658">
        <w:rPr>
          <w:rFonts w:cs="Times New Roman"/>
          <w:lang w:val="fr-CA"/>
        </w:rPr>
        <w:t>49 (souligné dans l’original)). L’intimé qualifie de peu pratique l’interprétation proposée par l’appelante, qui a pour effet de morceler de manière injustifiée les différentes étapes du processus pénal pour l’application de l’al.</w:t>
      </w:r>
      <w:r w:rsidR="0027240C" w:rsidRPr="00B35658">
        <w:rPr>
          <w:rFonts w:cs="Times New Roman"/>
          <w:lang w:val="fr-CA"/>
        </w:rPr>
        <w:t> </w:t>
      </w:r>
      <w:r w:rsidRPr="00B35658">
        <w:rPr>
          <w:rFonts w:cs="Times New Roman"/>
          <w:lang w:val="fr-CA"/>
        </w:rPr>
        <w:t>11</w:t>
      </w:r>
      <w:r w:rsidRPr="00B35658">
        <w:rPr>
          <w:rFonts w:cs="Times New Roman"/>
          <w:i/>
          <w:lang w:val="fr-CA"/>
        </w:rPr>
        <w:t>i</w:t>
      </w:r>
      <w:r w:rsidRPr="00B35658">
        <w:rPr>
          <w:rFonts w:cs="Times New Roman"/>
          <w:lang w:val="fr-CA"/>
        </w:rPr>
        <w:t>).</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Pendant 30 ans, les tribunaux canadiens ont interprété l’al. 11</w:t>
      </w:r>
      <w:r w:rsidRPr="00B35658">
        <w:rPr>
          <w:rFonts w:cs="Times New Roman"/>
          <w:i/>
          <w:lang w:val="fr-CA"/>
        </w:rPr>
        <w:t>i</w:t>
      </w:r>
      <w:r w:rsidRPr="00B35658">
        <w:rPr>
          <w:rFonts w:cs="Times New Roman"/>
          <w:lang w:val="fr-CA"/>
        </w:rPr>
        <w:t xml:space="preserve">) de façon constante, concluant que cette disposition garantit à tout contrevenant le bénéfice de la peine la moins sévère qui ait été applicable entre le moment de la perpétration de l’infraction et celui de la sentence. Dans cinq décisions, le tribunal est arrivé à cette conclusion après s’être penché directement sur la question soulevée par le présent appel, soit celle de la possibilité d’infliger une peine d’emprisonnement avec sursis pour une agression sexuelle dite « historique » : voir </w:t>
      </w:r>
      <w:r w:rsidRPr="00B35658">
        <w:rPr>
          <w:rFonts w:cs="Times New Roman"/>
          <w:i/>
          <w:lang w:val="fr-CA"/>
        </w:rPr>
        <w:t xml:space="preserve">R. c. </w:t>
      </w:r>
      <w:proofErr w:type="spellStart"/>
      <w:r w:rsidRPr="00B35658">
        <w:rPr>
          <w:rFonts w:cs="Times New Roman"/>
          <w:i/>
          <w:lang w:val="fr-CA"/>
        </w:rPr>
        <w:t>Cadman</w:t>
      </w:r>
      <w:proofErr w:type="spellEnd"/>
      <w:r w:rsidRPr="00B35658">
        <w:rPr>
          <w:rFonts w:cs="Times New Roman"/>
          <w:lang w:val="fr-CA"/>
        </w:rPr>
        <w:t xml:space="preserve">, 2018 BCCA 100, 359 C.C.C. (3d) 427; </w:t>
      </w:r>
      <w:r w:rsidRPr="00B35658">
        <w:rPr>
          <w:rFonts w:cs="Times New Roman"/>
          <w:i/>
          <w:lang w:val="fr-CA"/>
        </w:rPr>
        <w:t>R. c. A.E.S.</w:t>
      </w:r>
      <w:r w:rsidRPr="00B35658">
        <w:rPr>
          <w:rFonts w:cs="Times New Roman"/>
          <w:lang w:val="fr-CA"/>
        </w:rPr>
        <w:t xml:space="preserve">, 2018 BCCA 478, 369 C.C.C. (3d) 92; </w:t>
      </w:r>
      <w:r w:rsidRPr="00B35658">
        <w:rPr>
          <w:rFonts w:cs="Times New Roman"/>
          <w:i/>
          <w:lang w:val="fr-CA"/>
        </w:rPr>
        <w:t>R. c. Yusuf</w:t>
      </w:r>
      <w:r w:rsidRPr="00B35658">
        <w:rPr>
          <w:rFonts w:cs="Times New Roman"/>
          <w:lang w:val="fr-CA"/>
        </w:rPr>
        <w:t xml:space="preserve">, 2011 BCSC 626; </w:t>
      </w:r>
      <w:r w:rsidRPr="00B35658">
        <w:rPr>
          <w:rFonts w:cs="Times New Roman"/>
          <w:i/>
          <w:lang w:val="fr-CA"/>
        </w:rPr>
        <w:t>R. c. G.C.D.</w:t>
      </w:r>
      <w:r w:rsidRPr="00B35658">
        <w:rPr>
          <w:rFonts w:cs="Times New Roman"/>
          <w:lang w:val="fr-CA"/>
        </w:rPr>
        <w:t xml:space="preserve">, 2011 MBQB 235, 271 Man. R. (2d) 41; </w:t>
      </w:r>
      <w:r w:rsidRPr="00B35658">
        <w:rPr>
          <w:rFonts w:cs="Times New Roman"/>
          <w:i/>
          <w:lang w:val="fr-CA"/>
        </w:rPr>
        <w:t xml:space="preserve">R. c. </w:t>
      </w:r>
      <w:proofErr w:type="spellStart"/>
      <w:r w:rsidRPr="00B35658">
        <w:rPr>
          <w:rFonts w:cs="Times New Roman"/>
          <w:i/>
          <w:lang w:val="fr-CA"/>
        </w:rPr>
        <w:t>Mehanmal</w:t>
      </w:r>
      <w:proofErr w:type="spellEnd"/>
      <w:r w:rsidRPr="00B35658">
        <w:rPr>
          <w:rFonts w:cs="Times New Roman"/>
          <w:lang w:val="fr-CA"/>
        </w:rPr>
        <w:t xml:space="preserve">, 2012 ONCJ 681, 270 C.R.R. (2d) 271. Dans certaines décisions, le tribunal a adopté le même raisonnement de façon implicite : </w:t>
      </w:r>
      <w:r w:rsidRPr="00B35658">
        <w:rPr>
          <w:rFonts w:cs="Times New Roman"/>
          <w:i/>
          <w:lang w:val="fr-CA"/>
        </w:rPr>
        <w:t>R. c. Leroux</w:t>
      </w:r>
      <w:r w:rsidRPr="00B35658">
        <w:rPr>
          <w:rFonts w:cs="Times New Roman"/>
          <w:lang w:val="fr-CA"/>
        </w:rPr>
        <w:t xml:space="preserve">, 2015 SKCA 48, 460 </w:t>
      </w:r>
      <w:proofErr w:type="spellStart"/>
      <w:r w:rsidRPr="00B35658">
        <w:rPr>
          <w:rFonts w:cs="Times New Roman"/>
          <w:lang w:val="fr-CA"/>
        </w:rPr>
        <w:t>Sask</w:t>
      </w:r>
      <w:proofErr w:type="spellEnd"/>
      <w:r w:rsidRPr="00B35658">
        <w:rPr>
          <w:rFonts w:cs="Times New Roman"/>
          <w:lang w:val="fr-CA"/>
        </w:rPr>
        <w:t>. R.</w:t>
      </w:r>
      <w:r w:rsidR="0048498C">
        <w:rPr>
          <w:rFonts w:cs="Times New Roman"/>
          <w:lang w:val="fr-CA"/>
        </w:rPr>
        <w:t xml:space="preserve"> </w:t>
      </w:r>
      <w:r w:rsidRPr="00B35658">
        <w:rPr>
          <w:rFonts w:cs="Times New Roman"/>
          <w:lang w:val="fr-CA"/>
        </w:rPr>
        <w:t xml:space="preserve">1; </w:t>
      </w:r>
      <w:r w:rsidR="0048498C">
        <w:rPr>
          <w:rFonts w:cs="Times New Roman"/>
          <w:i/>
          <w:lang w:val="fr-CA"/>
        </w:rPr>
        <w:lastRenderedPageBreak/>
        <w:t>R. c. E.</w:t>
      </w:r>
      <w:r w:rsidRPr="00B35658">
        <w:rPr>
          <w:rFonts w:cs="Times New Roman"/>
          <w:i/>
          <w:lang w:val="fr-CA"/>
        </w:rPr>
        <w:t>H.</w:t>
      </w:r>
      <w:r w:rsidRPr="00B35658">
        <w:rPr>
          <w:rFonts w:cs="Times New Roman"/>
          <w:lang w:val="fr-CA"/>
        </w:rPr>
        <w:t xml:space="preserve">, 2009 NLTD 62, 285 </w:t>
      </w:r>
      <w:proofErr w:type="spellStart"/>
      <w:r w:rsidRPr="00B35658">
        <w:rPr>
          <w:rFonts w:cs="Times New Roman"/>
          <w:lang w:val="fr-CA"/>
        </w:rPr>
        <w:t>Nfld</w:t>
      </w:r>
      <w:proofErr w:type="spellEnd"/>
      <w:r w:rsidRPr="00B35658">
        <w:rPr>
          <w:rFonts w:cs="Times New Roman"/>
          <w:lang w:val="fr-CA"/>
        </w:rPr>
        <w:t xml:space="preserve">. &amp; P.E.I.R. 78; </w:t>
      </w:r>
      <w:r w:rsidRPr="00B35658">
        <w:rPr>
          <w:rFonts w:cs="Times New Roman"/>
          <w:i/>
          <w:lang w:val="fr-CA"/>
        </w:rPr>
        <w:t xml:space="preserve">R. c. </w:t>
      </w:r>
      <w:proofErr w:type="spellStart"/>
      <w:r w:rsidRPr="00B35658">
        <w:rPr>
          <w:rFonts w:cs="Times New Roman"/>
          <w:i/>
          <w:lang w:val="fr-CA"/>
        </w:rPr>
        <w:t>Palacios</w:t>
      </w:r>
      <w:proofErr w:type="spellEnd"/>
      <w:r w:rsidRPr="00B35658">
        <w:rPr>
          <w:rFonts w:cs="Times New Roman"/>
          <w:lang w:val="fr-CA"/>
        </w:rPr>
        <w:t xml:space="preserve">, 2012 ONCJ 195. Dans d’autres encore, le tribunal a appliqué la </w:t>
      </w:r>
      <w:r w:rsidRPr="00B35658">
        <w:rPr>
          <w:rFonts w:cs="Times New Roman"/>
          <w:i/>
          <w:lang w:val="fr-CA"/>
        </w:rPr>
        <w:t>même</w:t>
      </w:r>
      <w:r w:rsidRPr="00B35658">
        <w:rPr>
          <w:rFonts w:cs="Times New Roman"/>
          <w:lang w:val="fr-CA"/>
        </w:rPr>
        <w:t xml:space="preserve"> interprétation dans des contextes aussi variés que l’admissibilité à une libération conditionnelle suivant une déclaration de culpabilité pour meurtre :</w:t>
      </w:r>
      <w:r w:rsidRPr="00B35658">
        <w:rPr>
          <w:rFonts w:cs="Times New Roman"/>
          <w:i/>
          <w:lang w:val="fr-CA"/>
        </w:rPr>
        <w:t xml:space="preserve"> </w:t>
      </w:r>
      <w:proofErr w:type="spellStart"/>
      <w:r w:rsidRPr="00B35658">
        <w:rPr>
          <w:rFonts w:cs="Times New Roman"/>
          <w:i/>
          <w:lang w:val="fr-CA"/>
        </w:rPr>
        <w:t>Belzil</w:t>
      </w:r>
      <w:proofErr w:type="spellEnd"/>
      <w:r w:rsidRPr="00B35658">
        <w:rPr>
          <w:rFonts w:cs="Times New Roman"/>
          <w:lang w:val="fr-CA"/>
        </w:rPr>
        <w:t>; l’application de nouvelles règles à des demandes dites [</w:t>
      </w:r>
      <w:r w:rsidRPr="00B35658">
        <w:rPr>
          <w:rFonts w:cs="Times New Roman"/>
          <w:smallCaps/>
          <w:lang w:val="fr-CA"/>
        </w:rPr>
        <w:t>traduction</w:t>
      </w:r>
      <w:r w:rsidRPr="00B35658">
        <w:rPr>
          <w:rFonts w:cs="Times New Roman"/>
          <w:lang w:val="fr-CA"/>
        </w:rPr>
        <w:t xml:space="preserve">] « du faible espoir » : </w:t>
      </w:r>
      <w:r w:rsidRPr="00B35658">
        <w:rPr>
          <w:rFonts w:cs="Times New Roman"/>
          <w:i/>
          <w:lang w:val="fr-CA"/>
        </w:rPr>
        <w:t xml:space="preserve">R. c. </w:t>
      </w:r>
      <w:proofErr w:type="spellStart"/>
      <w:r w:rsidRPr="00B35658">
        <w:rPr>
          <w:rFonts w:cs="Times New Roman"/>
          <w:i/>
          <w:lang w:val="fr-CA"/>
        </w:rPr>
        <w:t>Simmonds</w:t>
      </w:r>
      <w:proofErr w:type="spellEnd"/>
      <w:r w:rsidRPr="00B35658">
        <w:rPr>
          <w:rFonts w:cs="Times New Roman"/>
          <w:lang w:val="fr-CA"/>
        </w:rPr>
        <w:t xml:space="preserve">, 2018 BCCA 205, 415 C.R.R. (2d) 88; et la modification des règles applicables aux délinquants dangereux : </w:t>
      </w:r>
      <w:r w:rsidRPr="00B35658">
        <w:rPr>
          <w:rFonts w:cs="Times New Roman"/>
          <w:i/>
          <w:lang w:val="fr-CA"/>
        </w:rPr>
        <w:t>R. c. F.C.</w:t>
      </w:r>
      <w:r w:rsidRPr="00B35658">
        <w:rPr>
          <w:rFonts w:cs="Times New Roman"/>
          <w:lang w:val="fr-CA"/>
        </w:rPr>
        <w:t xml:space="preserve">, 2018 ONSC 561. Sans compter, enfin, une série de décisions ontariennes dans lesquelles les procureurs de la Couronne ont </w:t>
      </w:r>
      <w:r w:rsidRPr="00B35658">
        <w:rPr>
          <w:rFonts w:cs="Times New Roman"/>
          <w:i/>
          <w:lang w:val="fr-CA"/>
        </w:rPr>
        <w:t>concédé</w:t>
      </w:r>
      <w:r w:rsidRPr="00B35658">
        <w:rPr>
          <w:rFonts w:cs="Times New Roman"/>
          <w:lang w:val="fr-CA"/>
        </w:rPr>
        <w:t xml:space="preserve"> l’interprétation opposée à celle avancée par la Couronne dans la présente instance : </w:t>
      </w:r>
      <w:r w:rsidRPr="00B35658">
        <w:rPr>
          <w:rFonts w:cs="Times New Roman"/>
          <w:i/>
          <w:lang w:val="fr-CA"/>
        </w:rPr>
        <w:t>R. c. Boudreau</w:t>
      </w:r>
      <w:r w:rsidR="00371ABE" w:rsidRPr="00B35658">
        <w:rPr>
          <w:rFonts w:cs="Times New Roman"/>
          <w:lang w:val="fr-CA"/>
        </w:rPr>
        <w:t>, 2012 ONCJ 322, par. </w:t>
      </w:r>
      <w:r w:rsidRPr="00B35658">
        <w:rPr>
          <w:rFonts w:cs="Times New Roman"/>
          <w:lang w:val="fr-CA"/>
        </w:rPr>
        <w:t>50 (</w:t>
      </w:r>
      <w:proofErr w:type="spellStart"/>
      <w:r w:rsidRPr="00B35658">
        <w:rPr>
          <w:rFonts w:cs="Times New Roman"/>
          <w:lang w:val="fr-CA"/>
        </w:rPr>
        <w:t>CanLII</w:t>
      </w:r>
      <w:proofErr w:type="spellEnd"/>
      <w:r w:rsidRPr="00B35658">
        <w:rPr>
          <w:rFonts w:cs="Times New Roman"/>
          <w:lang w:val="fr-CA"/>
        </w:rPr>
        <w:t xml:space="preserve">); </w:t>
      </w:r>
      <w:r w:rsidRPr="00B35658">
        <w:rPr>
          <w:rFonts w:cs="Times New Roman"/>
          <w:i/>
          <w:lang w:val="fr-CA"/>
        </w:rPr>
        <w:t>R. c. D.P.</w:t>
      </w:r>
      <w:r w:rsidR="00371ABE" w:rsidRPr="00B35658">
        <w:rPr>
          <w:rFonts w:cs="Times New Roman"/>
          <w:lang w:val="fr-CA"/>
        </w:rPr>
        <w:t>, 2014 ONSC 386, par. </w:t>
      </w:r>
      <w:r w:rsidRPr="00B35658">
        <w:rPr>
          <w:rFonts w:cs="Times New Roman"/>
          <w:lang w:val="fr-CA"/>
        </w:rPr>
        <w:t>10 (</w:t>
      </w:r>
      <w:proofErr w:type="spellStart"/>
      <w:r w:rsidRPr="00B35658">
        <w:rPr>
          <w:rFonts w:cs="Times New Roman"/>
          <w:lang w:val="fr-CA"/>
        </w:rPr>
        <w:t>CanLII</w:t>
      </w:r>
      <w:proofErr w:type="spellEnd"/>
      <w:r w:rsidRPr="00B35658">
        <w:rPr>
          <w:rFonts w:cs="Times New Roman"/>
          <w:lang w:val="fr-CA"/>
        </w:rPr>
        <w:t xml:space="preserve">); </w:t>
      </w:r>
      <w:r w:rsidRPr="00B35658">
        <w:rPr>
          <w:rFonts w:cs="Times New Roman"/>
          <w:i/>
          <w:lang w:val="fr-CA"/>
        </w:rPr>
        <w:t xml:space="preserve">R. c. </w:t>
      </w:r>
      <w:proofErr w:type="spellStart"/>
      <w:r w:rsidRPr="00B35658">
        <w:rPr>
          <w:rFonts w:cs="Times New Roman"/>
          <w:i/>
          <w:lang w:val="fr-CA"/>
        </w:rPr>
        <w:t>Bent</w:t>
      </w:r>
      <w:proofErr w:type="spellEnd"/>
      <w:r w:rsidRPr="00B35658">
        <w:rPr>
          <w:rFonts w:cs="Times New Roman"/>
          <w:lang w:val="fr-CA"/>
        </w:rPr>
        <w:t>,</w:t>
      </w:r>
      <w:r w:rsidRPr="00B35658">
        <w:rPr>
          <w:rFonts w:cs="Times New Roman"/>
          <w:i/>
          <w:lang w:val="fr-CA"/>
        </w:rPr>
        <w:t xml:space="preserve"> </w:t>
      </w:r>
      <w:r w:rsidR="00371ABE" w:rsidRPr="00B35658">
        <w:rPr>
          <w:rFonts w:cs="Times New Roman"/>
          <w:lang w:val="fr-CA"/>
        </w:rPr>
        <w:t>2017 ONSC 3189, 383 C.R.R. (2d) 161, par. </w:t>
      </w:r>
      <w:r w:rsidRPr="00B35658">
        <w:rPr>
          <w:rFonts w:cs="Times New Roman"/>
          <w:lang w:val="fr-CA"/>
        </w:rPr>
        <w:t>47.</w:t>
      </w:r>
    </w:p>
    <w:p w:rsidR="00460821" w:rsidRDefault="00460821" w:rsidP="007944BC">
      <w:pPr>
        <w:pStyle w:val="ParaNoNdepar-AltN"/>
        <w:numPr>
          <w:ilvl w:val="0"/>
          <w:numId w:val="33"/>
        </w:numPr>
        <w:rPr>
          <w:rFonts w:cs="Times New Roman"/>
          <w:lang w:val="fr-CA"/>
        </w:rPr>
      </w:pPr>
      <w:r w:rsidRPr="00B35658">
        <w:rPr>
          <w:rFonts w:cs="Times New Roman"/>
          <w:lang w:val="fr-CA"/>
        </w:rPr>
        <w:t>L’approche adoptée dans les décisions précitées est amplement appuyée par le texte de l’al. 11</w:t>
      </w:r>
      <w:r w:rsidRPr="00B35658">
        <w:rPr>
          <w:rFonts w:cs="Times New Roman"/>
          <w:i/>
          <w:lang w:val="fr-CA"/>
        </w:rPr>
        <w:t>i</w:t>
      </w:r>
      <w:r w:rsidRPr="00B35658">
        <w:rPr>
          <w:rFonts w:cs="Times New Roman"/>
          <w:lang w:val="fr-CA"/>
        </w:rPr>
        <w:t xml:space="preserve">), dont la formulation suggère un continuum </w:t>
      </w:r>
      <w:r w:rsidRPr="00B35658">
        <w:rPr>
          <w:rFonts w:cs="Times New Roman"/>
          <w:i/>
          <w:lang w:val="fr-CA"/>
        </w:rPr>
        <w:t>entre</w:t>
      </w:r>
      <w:r w:rsidRPr="00B35658">
        <w:rPr>
          <w:rFonts w:cs="Times New Roman"/>
          <w:lang w:val="fr-CA"/>
        </w:rPr>
        <w:t xml:space="preserve"> le moment de la perpétration de l’infraction et celui de la sentence : voir, notamment, </w:t>
      </w:r>
      <w:proofErr w:type="spellStart"/>
      <w:r w:rsidRPr="00B35658">
        <w:rPr>
          <w:rFonts w:cs="Times New Roman"/>
          <w:i/>
          <w:lang w:val="fr-CA"/>
        </w:rPr>
        <w:t>Cadman</w:t>
      </w:r>
      <w:proofErr w:type="spellEnd"/>
      <w:r w:rsidRPr="00B35658">
        <w:rPr>
          <w:rFonts w:cs="Times New Roman"/>
          <w:lang w:val="fr-CA"/>
        </w:rPr>
        <w:t>, par.</w:t>
      </w:r>
      <w:r w:rsidR="00523E63" w:rsidRPr="00B35658">
        <w:rPr>
          <w:rFonts w:cs="Times New Roman"/>
          <w:lang w:val="fr-CA"/>
        </w:rPr>
        <w:t> </w:t>
      </w:r>
      <w:r w:rsidR="00ED0EA1">
        <w:rPr>
          <w:rFonts w:cs="Times New Roman"/>
          <w:lang w:val="fr-CA"/>
        </w:rPr>
        <w:t>31</w:t>
      </w:r>
      <w:r w:rsidR="00ED0EA1" w:rsidRPr="00B35658">
        <w:rPr>
          <w:lang w:val="fr-CA"/>
        </w:rPr>
        <w:noBreakHyphen/>
      </w:r>
      <w:r w:rsidRPr="00B35658">
        <w:rPr>
          <w:rFonts w:cs="Times New Roman"/>
          <w:lang w:val="fr-CA"/>
        </w:rPr>
        <w:t xml:space="preserve">46. Voir aussi : M. </w:t>
      </w:r>
      <w:proofErr w:type="spellStart"/>
      <w:r w:rsidRPr="00B35658">
        <w:rPr>
          <w:rFonts w:cs="Times New Roman"/>
          <w:lang w:val="fr-CA"/>
        </w:rPr>
        <w:t>Vauclair</w:t>
      </w:r>
      <w:proofErr w:type="spellEnd"/>
      <w:r w:rsidRPr="00B35658">
        <w:rPr>
          <w:rFonts w:cs="Times New Roman"/>
          <w:lang w:val="fr-CA"/>
        </w:rPr>
        <w:t xml:space="preserve"> et T. Desjardins, </w:t>
      </w:r>
      <w:r w:rsidRPr="00B35658">
        <w:rPr>
          <w:rFonts w:cs="Times New Roman"/>
          <w:i/>
          <w:lang w:val="fr-CA"/>
        </w:rPr>
        <w:t>Traité général de preuve et de procédure pénales</w:t>
      </w:r>
      <w:r w:rsidRPr="00B35658">
        <w:rPr>
          <w:rFonts w:cs="Times New Roman"/>
          <w:lang w:val="fr-CA"/>
        </w:rPr>
        <w:t xml:space="preserve"> (26</w:t>
      </w:r>
      <w:r w:rsidRPr="00B35658">
        <w:rPr>
          <w:rFonts w:cs="Times New Roman"/>
          <w:vertAlign w:val="superscript"/>
          <w:lang w:val="fr-CA"/>
        </w:rPr>
        <w:t>e</w:t>
      </w:r>
      <w:r w:rsidR="0001143E" w:rsidRPr="00B35658">
        <w:rPr>
          <w:rFonts w:cs="Times New Roman"/>
          <w:lang w:val="fr-CA"/>
        </w:rPr>
        <w:t xml:space="preserve"> éd. 2019), par. </w:t>
      </w:r>
      <w:r w:rsidRPr="00B35658">
        <w:rPr>
          <w:rFonts w:cs="Times New Roman"/>
          <w:lang w:val="fr-CA"/>
        </w:rPr>
        <w:t xml:space="preserve">2743. À mon avis, tant la </w:t>
      </w:r>
      <w:proofErr w:type="gramStart"/>
      <w:r w:rsidRPr="00B35658">
        <w:rPr>
          <w:rFonts w:cs="Times New Roman"/>
          <w:lang w:val="fr-CA"/>
        </w:rPr>
        <w:t>version anglaise</w:t>
      </w:r>
      <w:proofErr w:type="gramEnd"/>
      <w:r w:rsidRPr="00B35658">
        <w:rPr>
          <w:rFonts w:cs="Times New Roman"/>
          <w:lang w:val="fr-CA"/>
        </w:rPr>
        <w:t xml:space="preserve"> que la version française de l’al. 11</w:t>
      </w:r>
      <w:r w:rsidRPr="007944BC">
        <w:rPr>
          <w:rFonts w:cs="Times New Roman"/>
          <w:lang w:val="fr-CA"/>
        </w:rPr>
        <w:t>i</w:t>
      </w:r>
      <w:r w:rsidRPr="00B35658">
        <w:rPr>
          <w:rFonts w:cs="Times New Roman"/>
          <w:lang w:val="fr-CA"/>
        </w:rPr>
        <w:t>) exigent cette interprétation :</w:t>
      </w:r>
    </w:p>
    <w:p w:rsidR="005B3039" w:rsidRPr="00B35658" w:rsidRDefault="00EE6F89" w:rsidP="00EE6F89">
      <w:pPr>
        <w:pStyle w:val="Citation-AltC"/>
        <w:tabs>
          <w:tab w:val="left" w:pos="1530"/>
        </w:tabs>
        <w:spacing w:after="240"/>
        <w:ind w:left="990"/>
        <w:contextualSpacing w:val="0"/>
        <w:rPr>
          <w:lang w:val="fr-CA"/>
        </w:rPr>
      </w:pPr>
      <w:r>
        <w:rPr>
          <w:b/>
          <w:lang w:val="fr-CA"/>
        </w:rPr>
        <w:tab/>
      </w:r>
      <w:r w:rsidR="005B3039" w:rsidRPr="007944BC">
        <w:rPr>
          <w:b/>
          <w:lang w:val="fr-CA"/>
        </w:rPr>
        <w:t>11.</w:t>
      </w:r>
      <w:r w:rsidR="005B3039" w:rsidRPr="00B35658">
        <w:rPr>
          <w:lang w:val="fr-CA"/>
        </w:rPr>
        <w:t xml:space="preserve"> Tout </w:t>
      </w:r>
      <w:r w:rsidR="005B3039" w:rsidRPr="007944BC">
        <w:rPr>
          <w:lang w:val="fr-CA"/>
        </w:rPr>
        <w:t>inculpé</w:t>
      </w:r>
      <w:r w:rsidR="005B3039" w:rsidRPr="00B35658">
        <w:rPr>
          <w:lang w:val="fr-CA"/>
        </w:rPr>
        <w:t xml:space="preserve"> a le droit :</w:t>
      </w:r>
    </w:p>
    <w:p w:rsidR="005B3039" w:rsidRPr="00EE6F89" w:rsidRDefault="005B3039" w:rsidP="00EE6F89">
      <w:pPr>
        <w:pStyle w:val="Citation-AltC"/>
        <w:tabs>
          <w:tab w:val="left" w:pos="4500"/>
        </w:tabs>
        <w:spacing w:after="240"/>
        <w:ind w:left="4500" w:hanging="360"/>
        <w:contextualSpacing w:val="0"/>
        <w:rPr>
          <w:lang w:val="fr-CA"/>
        </w:rPr>
      </w:pPr>
      <w:r w:rsidRPr="00EE6F89">
        <w:rPr>
          <w:lang w:val="fr-CA"/>
        </w:rPr>
        <w:t>. . .</w:t>
      </w:r>
    </w:p>
    <w:p w:rsidR="005B3039" w:rsidRPr="00B35658" w:rsidRDefault="005B3039" w:rsidP="00EE6F89">
      <w:pPr>
        <w:pStyle w:val="Citation-AltC"/>
        <w:spacing w:after="480"/>
        <w:ind w:left="1530"/>
        <w:contextualSpacing w:val="0"/>
        <w:rPr>
          <w:lang w:val="fr-CA"/>
        </w:rPr>
      </w:pPr>
      <w:r w:rsidRPr="00B35658">
        <w:rPr>
          <w:i/>
          <w:iCs/>
          <w:lang w:val="fr-CA"/>
        </w:rPr>
        <w:t>i</w:t>
      </w:r>
      <w:r w:rsidRPr="00B35658">
        <w:rPr>
          <w:lang w:val="fr-CA"/>
        </w:rPr>
        <w:t xml:space="preserve">) de bénéficier de la peine </w:t>
      </w:r>
      <w:r w:rsidRPr="00B35658">
        <w:rPr>
          <w:u w:val="single"/>
          <w:lang w:val="fr-CA"/>
        </w:rPr>
        <w:t>la moins sévère</w:t>
      </w:r>
      <w:r w:rsidRPr="00B35658">
        <w:rPr>
          <w:lang w:val="fr-CA"/>
        </w:rPr>
        <w:t xml:space="preserve">, lorsque la peine qui sanctionne l’infraction dont il est déclaré coupable est modifiée </w:t>
      </w:r>
      <w:r w:rsidRPr="00B35658">
        <w:rPr>
          <w:u w:val="single"/>
          <w:lang w:val="fr-CA"/>
        </w:rPr>
        <w:t>entre</w:t>
      </w:r>
      <w:r w:rsidRPr="00B35658">
        <w:rPr>
          <w:lang w:val="fr-CA"/>
        </w:rPr>
        <w:t xml:space="preserve"> le moment de la perpétration de l’infraction et celui de la sentence.</w:t>
      </w:r>
    </w:p>
    <w:p w:rsidR="005B3039" w:rsidRPr="001E258E" w:rsidRDefault="00EE6F89" w:rsidP="00EE6F89">
      <w:pPr>
        <w:pStyle w:val="Citation-AltC"/>
        <w:tabs>
          <w:tab w:val="left" w:pos="1530"/>
        </w:tabs>
        <w:spacing w:after="240"/>
        <w:ind w:left="990"/>
        <w:contextualSpacing w:val="0"/>
        <w:rPr>
          <w:lang w:val="en-US"/>
        </w:rPr>
      </w:pPr>
      <w:r w:rsidRPr="00D04B26">
        <w:rPr>
          <w:b/>
          <w:bCs/>
          <w:lang w:val="fr-CA"/>
        </w:rPr>
        <w:lastRenderedPageBreak/>
        <w:tab/>
      </w:r>
      <w:r w:rsidR="005B3039" w:rsidRPr="001E258E">
        <w:rPr>
          <w:b/>
          <w:bCs/>
          <w:lang w:val="en-US"/>
        </w:rPr>
        <w:t>11.</w:t>
      </w:r>
      <w:r w:rsidR="005B3039" w:rsidRPr="001E258E">
        <w:rPr>
          <w:lang w:val="en-US"/>
        </w:rPr>
        <w:t xml:space="preserve"> Any </w:t>
      </w:r>
      <w:r w:rsidR="005B3039" w:rsidRPr="00002F1E">
        <w:rPr>
          <w:lang w:val="en-US"/>
        </w:rPr>
        <w:t>person</w:t>
      </w:r>
      <w:r w:rsidR="005B3039" w:rsidRPr="001E258E">
        <w:rPr>
          <w:lang w:val="en-US"/>
        </w:rPr>
        <w:t xml:space="preserve"> </w:t>
      </w:r>
      <w:r w:rsidR="005B3039" w:rsidRPr="00D04B26">
        <w:rPr>
          <w:lang w:val="en-US"/>
        </w:rPr>
        <w:t>charged</w:t>
      </w:r>
      <w:r w:rsidR="005B3039" w:rsidRPr="001E258E">
        <w:rPr>
          <w:lang w:val="en-US"/>
        </w:rPr>
        <w:t xml:space="preserve"> with an offence has the right</w:t>
      </w:r>
    </w:p>
    <w:p w:rsidR="005B3039" w:rsidRPr="00EE6F89" w:rsidRDefault="005B3039" w:rsidP="00EE6F89">
      <w:pPr>
        <w:pStyle w:val="Citation-AltC"/>
        <w:spacing w:after="480"/>
        <w:ind w:left="1530"/>
        <w:contextualSpacing w:val="0"/>
        <w:jc w:val="center"/>
        <w:rPr>
          <w:lang w:val="en-US"/>
        </w:rPr>
      </w:pPr>
      <w:r w:rsidRPr="00EE6F89">
        <w:rPr>
          <w:lang w:val="en-US"/>
        </w:rPr>
        <w:t>. . .</w:t>
      </w:r>
    </w:p>
    <w:p w:rsidR="005B3039" w:rsidRPr="001E258E" w:rsidRDefault="005B3039" w:rsidP="00EE6F89">
      <w:pPr>
        <w:pStyle w:val="Citation-AltC"/>
        <w:ind w:left="1526"/>
        <w:contextualSpacing w:val="0"/>
        <w:rPr>
          <w:lang w:val="en-US"/>
        </w:rPr>
      </w:pPr>
      <w:r w:rsidRPr="00EE6F89">
        <w:rPr>
          <w:lang w:val="en-US"/>
        </w:rPr>
        <w:t>(</w:t>
      </w:r>
      <w:proofErr w:type="spellStart"/>
      <w:r w:rsidRPr="00EE6F89">
        <w:rPr>
          <w:i/>
          <w:lang w:val="en-US"/>
        </w:rPr>
        <w:t>i</w:t>
      </w:r>
      <w:proofErr w:type="spellEnd"/>
      <w:r w:rsidRPr="00EE6F89">
        <w:rPr>
          <w:lang w:val="en-US"/>
        </w:rPr>
        <w:t>) </w:t>
      </w:r>
      <w:proofErr w:type="gramStart"/>
      <w:r w:rsidRPr="00EE6F89">
        <w:rPr>
          <w:lang w:val="en-US"/>
        </w:rPr>
        <w:t>if</w:t>
      </w:r>
      <w:proofErr w:type="gramEnd"/>
      <w:r w:rsidRPr="00EE6F89">
        <w:rPr>
          <w:lang w:val="en-US"/>
        </w:rPr>
        <w:t xml:space="preserve"> found guilty of the offence and if the punishment for the offence has</w:t>
      </w:r>
      <w:r w:rsidRPr="001E258E">
        <w:rPr>
          <w:lang w:val="en-US"/>
        </w:rPr>
        <w:t xml:space="preserve"> been varied </w:t>
      </w:r>
      <w:r w:rsidRPr="001E258E">
        <w:rPr>
          <w:u w:val="single"/>
          <w:lang w:val="en-US"/>
        </w:rPr>
        <w:t>between</w:t>
      </w:r>
      <w:r w:rsidRPr="001E258E">
        <w:rPr>
          <w:lang w:val="en-US"/>
        </w:rPr>
        <w:t xml:space="preserve"> the time of commission and the time of sentencing, to the benefit of the </w:t>
      </w:r>
      <w:r w:rsidRPr="001E258E">
        <w:rPr>
          <w:u w:val="single"/>
          <w:lang w:val="en-US"/>
        </w:rPr>
        <w:t>lesser</w:t>
      </w:r>
      <w:r w:rsidRPr="001E258E">
        <w:rPr>
          <w:lang w:val="en-US"/>
        </w:rPr>
        <w:t xml:space="preserve"> punishment.</w:t>
      </w:r>
    </w:p>
    <w:p w:rsidR="00460821" w:rsidRPr="00B35658" w:rsidRDefault="00460821" w:rsidP="00460821">
      <w:pPr>
        <w:pStyle w:val="ParaNoNdepar-AltN"/>
        <w:numPr>
          <w:ilvl w:val="0"/>
          <w:numId w:val="33"/>
        </w:numPr>
        <w:rPr>
          <w:rFonts w:cs="Times New Roman"/>
          <w:lang w:val="fr-CA"/>
        </w:rPr>
      </w:pPr>
      <w:r w:rsidRPr="001E258E">
        <w:rPr>
          <w:rFonts w:cs="Times New Roman"/>
        </w:rPr>
        <w:t xml:space="preserve">Je ne </w:t>
      </w:r>
      <w:proofErr w:type="spellStart"/>
      <w:r w:rsidRPr="001E258E">
        <w:rPr>
          <w:rFonts w:cs="Times New Roman"/>
        </w:rPr>
        <w:t>suis</w:t>
      </w:r>
      <w:proofErr w:type="spellEnd"/>
      <w:r w:rsidRPr="001E258E">
        <w:rPr>
          <w:rFonts w:cs="Times New Roman"/>
        </w:rPr>
        <w:t xml:space="preserve"> pas </w:t>
      </w:r>
      <w:proofErr w:type="spellStart"/>
      <w:r w:rsidRPr="001E258E">
        <w:rPr>
          <w:rFonts w:cs="Times New Roman"/>
        </w:rPr>
        <w:t>convaincue</w:t>
      </w:r>
      <w:proofErr w:type="spellEnd"/>
      <w:r w:rsidRPr="001E258E">
        <w:rPr>
          <w:rFonts w:cs="Times New Roman"/>
        </w:rPr>
        <w:t xml:space="preserve"> que le mot </w:t>
      </w:r>
      <w:proofErr w:type="spellStart"/>
      <w:r w:rsidRPr="001E258E">
        <w:rPr>
          <w:rFonts w:cs="Times New Roman"/>
        </w:rPr>
        <w:t>anglais</w:t>
      </w:r>
      <w:proofErr w:type="spellEnd"/>
      <w:r w:rsidRPr="001E258E">
        <w:rPr>
          <w:rFonts w:cs="Times New Roman"/>
        </w:rPr>
        <w:t xml:space="preserve"> « </w:t>
      </w:r>
      <w:r w:rsidRPr="001E258E">
        <w:rPr>
          <w:rFonts w:cs="Times New Roman"/>
          <w:i/>
        </w:rPr>
        <w:t>lesser</w:t>
      </w:r>
      <w:r w:rsidRPr="001E258E">
        <w:rPr>
          <w:rFonts w:cs="Times New Roman"/>
        </w:rPr>
        <w:t xml:space="preserve"> » </w:t>
      </w:r>
      <w:proofErr w:type="spellStart"/>
      <w:r w:rsidRPr="001E258E">
        <w:rPr>
          <w:rFonts w:cs="Times New Roman"/>
        </w:rPr>
        <w:t>commande</w:t>
      </w:r>
      <w:proofErr w:type="spellEnd"/>
      <w:r w:rsidRPr="001E258E">
        <w:rPr>
          <w:rFonts w:cs="Times New Roman"/>
        </w:rPr>
        <w:t xml:space="preserve"> </w:t>
      </w:r>
      <w:proofErr w:type="spellStart"/>
      <w:r w:rsidRPr="001E258E">
        <w:rPr>
          <w:rFonts w:cs="Times New Roman"/>
        </w:rPr>
        <w:t>une</w:t>
      </w:r>
      <w:proofErr w:type="spellEnd"/>
      <w:r w:rsidRPr="001E258E">
        <w:rPr>
          <w:rFonts w:cs="Times New Roman"/>
        </w:rPr>
        <w:t xml:space="preserve"> </w:t>
      </w:r>
      <w:proofErr w:type="spellStart"/>
      <w:r w:rsidR="005F6E39" w:rsidRPr="001E258E">
        <w:rPr>
          <w:rFonts w:cs="Times New Roman"/>
        </w:rPr>
        <w:t>interprétation</w:t>
      </w:r>
      <w:proofErr w:type="spellEnd"/>
      <w:r w:rsidR="005F6E39" w:rsidRPr="001E258E">
        <w:rPr>
          <w:rFonts w:cs="Times New Roman"/>
        </w:rPr>
        <w:t xml:space="preserve"> </w:t>
      </w:r>
      <w:proofErr w:type="spellStart"/>
      <w:r w:rsidR="005F6E39" w:rsidRPr="001E258E">
        <w:rPr>
          <w:rFonts w:cs="Times New Roman"/>
        </w:rPr>
        <w:t>dite</w:t>
      </w:r>
      <w:proofErr w:type="spellEnd"/>
      <w:r w:rsidR="005F6E39" w:rsidRPr="001E258E">
        <w:rPr>
          <w:rFonts w:cs="Times New Roman"/>
        </w:rPr>
        <w:t xml:space="preserve"> « </w:t>
      </w:r>
      <w:proofErr w:type="spellStart"/>
      <w:r w:rsidR="005F6E39" w:rsidRPr="001E258E">
        <w:rPr>
          <w:rFonts w:cs="Times New Roman"/>
        </w:rPr>
        <w:t>binaire</w:t>
      </w:r>
      <w:proofErr w:type="spellEnd"/>
      <w:r w:rsidR="005F6E39" w:rsidRPr="001E258E">
        <w:rPr>
          <w:rFonts w:cs="Times New Roman"/>
        </w:rPr>
        <w:t> </w:t>
      </w:r>
      <w:proofErr w:type="gramStart"/>
      <w:r w:rsidR="008A66D4" w:rsidRPr="001E258E">
        <w:rPr>
          <w:rFonts w:cs="Times New Roman"/>
        </w:rPr>
        <w:t>» </w:t>
      </w:r>
      <w:r w:rsidRPr="001E258E">
        <w:rPr>
          <w:rFonts w:cs="Times New Roman"/>
        </w:rPr>
        <w:t>:</w:t>
      </w:r>
      <w:proofErr w:type="gramEnd"/>
      <w:r w:rsidRPr="001E258E">
        <w:rPr>
          <w:rFonts w:cs="Times New Roman"/>
        </w:rPr>
        <w:t xml:space="preserve"> </w:t>
      </w:r>
      <w:proofErr w:type="spellStart"/>
      <w:r w:rsidRPr="001E258E">
        <w:rPr>
          <w:rFonts w:cs="Times New Roman"/>
        </w:rPr>
        <w:t>voir</w:t>
      </w:r>
      <w:proofErr w:type="spellEnd"/>
      <w:r w:rsidRPr="001E258E">
        <w:rPr>
          <w:rFonts w:cs="Times New Roman"/>
        </w:rPr>
        <w:t xml:space="preserve">, p. ex., </w:t>
      </w:r>
      <w:r w:rsidRPr="001E258E">
        <w:rPr>
          <w:rFonts w:cs="Times New Roman"/>
          <w:i/>
        </w:rPr>
        <w:t>Collins Canadian Dictionary</w:t>
      </w:r>
      <w:r w:rsidRPr="001E258E">
        <w:rPr>
          <w:rFonts w:cs="Times New Roman"/>
        </w:rPr>
        <w:t xml:space="preserve"> (2010), </w:t>
      </w:r>
      <w:r w:rsidRPr="001E258E">
        <w:rPr>
          <w:rFonts w:cs="Times New Roman"/>
          <w:i/>
        </w:rPr>
        <w:t xml:space="preserve">sub </w:t>
      </w:r>
      <w:proofErr w:type="spellStart"/>
      <w:r w:rsidRPr="001E258E">
        <w:rPr>
          <w:rFonts w:cs="Times New Roman"/>
          <w:i/>
        </w:rPr>
        <w:t>verbo</w:t>
      </w:r>
      <w:proofErr w:type="spellEnd"/>
      <w:r w:rsidRPr="001E258E">
        <w:rPr>
          <w:rFonts w:cs="Times New Roman"/>
        </w:rPr>
        <w:t xml:space="preserve"> « </w:t>
      </w:r>
      <w:r w:rsidRPr="001E258E">
        <w:rPr>
          <w:rFonts w:cs="Times New Roman"/>
          <w:i/>
        </w:rPr>
        <w:t>lesser</w:t>
      </w:r>
      <w:r w:rsidR="005C212D" w:rsidRPr="001E258E">
        <w:rPr>
          <w:rFonts w:cs="Times New Roman"/>
        </w:rPr>
        <w:t> » </w:t>
      </w:r>
      <w:r w:rsidR="005F6E39" w:rsidRPr="001E258E">
        <w:rPr>
          <w:rFonts w:cs="Times New Roman"/>
        </w:rPr>
        <w:t>: « </w:t>
      </w:r>
      <w:r w:rsidRPr="001E258E">
        <w:rPr>
          <w:rFonts w:cs="Times New Roman"/>
          <w:i/>
        </w:rPr>
        <w:t>not as great in quantity, size, or worth</w:t>
      </w:r>
      <w:r w:rsidR="005F6E39" w:rsidRPr="001E258E">
        <w:rPr>
          <w:rFonts w:cs="Times New Roman"/>
        </w:rPr>
        <w:t> </w:t>
      </w:r>
      <w:r w:rsidR="00405CEE" w:rsidRPr="001E258E">
        <w:rPr>
          <w:rFonts w:cs="Times New Roman"/>
        </w:rPr>
        <w:t>»</w:t>
      </w:r>
      <w:r w:rsidRPr="001E258E">
        <w:rPr>
          <w:rFonts w:cs="Times New Roman"/>
        </w:rPr>
        <w:t xml:space="preserve">; </w:t>
      </w:r>
      <w:r w:rsidRPr="001E258E">
        <w:rPr>
          <w:rFonts w:cs="Times New Roman"/>
          <w:i/>
        </w:rPr>
        <w:t>Canadian Oxford Dictionary</w:t>
      </w:r>
      <w:r w:rsidRPr="001E258E">
        <w:rPr>
          <w:rFonts w:cs="Times New Roman"/>
        </w:rPr>
        <w:t xml:space="preserve"> (2</w:t>
      </w:r>
      <w:r w:rsidRPr="001E258E">
        <w:rPr>
          <w:rFonts w:cs="Times New Roman"/>
          <w:vertAlign w:val="superscript"/>
        </w:rPr>
        <w:t>e</w:t>
      </w:r>
      <w:r w:rsidRPr="001E258E">
        <w:rPr>
          <w:rFonts w:cs="Times New Roman"/>
        </w:rPr>
        <w:t xml:space="preserve"> </w:t>
      </w:r>
      <w:proofErr w:type="spellStart"/>
      <w:r w:rsidRPr="001E258E">
        <w:rPr>
          <w:rFonts w:cs="Times New Roman"/>
        </w:rPr>
        <w:t>éd</w:t>
      </w:r>
      <w:proofErr w:type="spellEnd"/>
      <w:r w:rsidRPr="001E258E">
        <w:rPr>
          <w:rFonts w:cs="Times New Roman"/>
        </w:rPr>
        <w:t>. 2004)</w:t>
      </w:r>
      <w:r w:rsidR="00AA5AD7" w:rsidRPr="001E258E">
        <w:rPr>
          <w:rFonts w:cs="Times New Roman"/>
        </w:rPr>
        <w:t>,</w:t>
      </w:r>
      <w:r w:rsidRPr="001E258E">
        <w:rPr>
          <w:rFonts w:cs="Times New Roman"/>
        </w:rPr>
        <w:t xml:space="preserve"> </w:t>
      </w:r>
      <w:r w:rsidRPr="001E258E">
        <w:rPr>
          <w:rFonts w:cs="Times New Roman"/>
          <w:i/>
        </w:rPr>
        <w:t xml:space="preserve">sub </w:t>
      </w:r>
      <w:proofErr w:type="spellStart"/>
      <w:r w:rsidRPr="001E258E">
        <w:rPr>
          <w:rFonts w:cs="Times New Roman"/>
          <w:i/>
        </w:rPr>
        <w:t>verbo</w:t>
      </w:r>
      <w:proofErr w:type="spellEnd"/>
      <w:r w:rsidR="005F6E39" w:rsidRPr="001E258E">
        <w:rPr>
          <w:rFonts w:cs="Times New Roman"/>
        </w:rPr>
        <w:t xml:space="preserve"> « </w:t>
      </w:r>
      <w:r w:rsidRPr="001E258E">
        <w:rPr>
          <w:rFonts w:cs="Times New Roman"/>
          <w:i/>
        </w:rPr>
        <w:t>lesser</w:t>
      </w:r>
      <w:r w:rsidR="005F6E39" w:rsidRPr="001E258E">
        <w:rPr>
          <w:rFonts w:cs="Times New Roman"/>
        </w:rPr>
        <w:t> </w:t>
      </w:r>
      <w:r w:rsidRPr="001E258E">
        <w:rPr>
          <w:rFonts w:cs="Times New Roman"/>
        </w:rPr>
        <w:t>» : «</w:t>
      </w:r>
      <w:r w:rsidR="005F6E39" w:rsidRPr="001E258E">
        <w:rPr>
          <w:rFonts w:cs="Times New Roman"/>
        </w:rPr>
        <w:t> </w:t>
      </w:r>
      <w:r w:rsidRPr="001E258E">
        <w:rPr>
          <w:rFonts w:cs="Times New Roman"/>
          <w:i/>
        </w:rPr>
        <w:t xml:space="preserve">not so great or much as the other </w:t>
      </w:r>
      <w:r w:rsidRPr="001E258E">
        <w:rPr>
          <w:rFonts w:cs="Times New Roman"/>
          <w:i/>
          <w:u w:val="single"/>
        </w:rPr>
        <w:t>or</w:t>
      </w:r>
      <w:r w:rsidR="005F6E39" w:rsidRPr="001E258E">
        <w:rPr>
          <w:rFonts w:cs="Times New Roman"/>
          <w:i/>
        </w:rPr>
        <w:t xml:space="preserve"> the rest </w:t>
      </w:r>
      <w:r w:rsidR="005F6E39" w:rsidRPr="001E258E">
        <w:rPr>
          <w:rFonts w:cs="Times New Roman"/>
        </w:rPr>
        <w:t>»</w:t>
      </w:r>
      <w:r w:rsidRPr="001E258E">
        <w:rPr>
          <w:rFonts w:cs="Times New Roman"/>
        </w:rPr>
        <w:t xml:space="preserve"> (je </w:t>
      </w:r>
      <w:proofErr w:type="spellStart"/>
      <w:r w:rsidRPr="001E258E">
        <w:rPr>
          <w:rFonts w:cs="Times New Roman"/>
        </w:rPr>
        <w:t>souligne</w:t>
      </w:r>
      <w:proofErr w:type="spellEnd"/>
      <w:r w:rsidRPr="001E258E">
        <w:rPr>
          <w:rFonts w:cs="Times New Roman"/>
        </w:rPr>
        <w:t xml:space="preserve">). </w:t>
      </w:r>
      <w:r w:rsidRPr="00B35658">
        <w:rPr>
          <w:rFonts w:cs="Times New Roman"/>
          <w:lang w:val="fr-CA"/>
        </w:rPr>
        <w:t>Une interprétation non binaire de « </w:t>
      </w:r>
      <w:proofErr w:type="spellStart"/>
      <w:r w:rsidRPr="00B35658">
        <w:rPr>
          <w:rFonts w:cs="Times New Roman"/>
          <w:i/>
          <w:lang w:val="fr-CA"/>
        </w:rPr>
        <w:t>lesser</w:t>
      </w:r>
      <w:proofErr w:type="spellEnd"/>
      <w:r w:rsidR="00405CEE">
        <w:rPr>
          <w:rFonts w:cs="Times New Roman"/>
          <w:lang w:val="fr-CA"/>
        </w:rPr>
        <w:t xml:space="preserve"> » </w:t>
      </w:r>
      <w:r w:rsidRPr="00B35658">
        <w:rPr>
          <w:rFonts w:cs="Times New Roman"/>
          <w:lang w:val="fr-CA"/>
        </w:rPr>
        <w:t>correspond à la version française, «</w:t>
      </w:r>
      <w:r w:rsidR="005F6E39">
        <w:rPr>
          <w:rFonts w:cs="Times New Roman"/>
          <w:lang w:val="fr-CA"/>
        </w:rPr>
        <w:t> la peine la moins sévère </w:t>
      </w:r>
      <w:r w:rsidRPr="00B35658">
        <w:rPr>
          <w:rFonts w:cs="Times New Roman"/>
          <w:lang w:val="fr-CA"/>
        </w:rPr>
        <w:t xml:space="preserve">» qui n’est aucunement limitée à une comparaison duale : </w:t>
      </w:r>
      <w:r w:rsidRPr="00B35658">
        <w:rPr>
          <w:rFonts w:cs="Times New Roman"/>
          <w:i/>
          <w:lang w:val="fr-CA"/>
        </w:rPr>
        <w:t xml:space="preserve">Le Petit Robert </w:t>
      </w:r>
      <w:r w:rsidRPr="00B35658">
        <w:rPr>
          <w:rFonts w:cs="Times New Roman"/>
          <w:lang w:val="fr-CA"/>
        </w:rPr>
        <w:t xml:space="preserve">(nouvelle éd. 2012), </w:t>
      </w:r>
      <w:proofErr w:type="spellStart"/>
      <w:r w:rsidRPr="00B35658">
        <w:rPr>
          <w:rFonts w:cs="Times New Roman"/>
          <w:i/>
          <w:lang w:val="fr-CA"/>
        </w:rPr>
        <w:t>sub</w:t>
      </w:r>
      <w:proofErr w:type="spellEnd"/>
      <w:r w:rsidRPr="00B35658">
        <w:rPr>
          <w:rFonts w:cs="Times New Roman"/>
          <w:i/>
          <w:lang w:val="fr-CA"/>
        </w:rPr>
        <w:t xml:space="preserve"> </w:t>
      </w:r>
      <w:proofErr w:type="spellStart"/>
      <w:r w:rsidRPr="00B35658">
        <w:rPr>
          <w:rFonts w:cs="Times New Roman"/>
          <w:i/>
          <w:lang w:val="fr-CA"/>
        </w:rPr>
        <w:t>verbo</w:t>
      </w:r>
      <w:proofErr w:type="spellEnd"/>
      <w:r w:rsidRPr="00B35658">
        <w:rPr>
          <w:rFonts w:cs="Times New Roman"/>
          <w:i/>
          <w:lang w:val="fr-CA"/>
        </w:rPr>
        <w:t xml:space="preserve"> </w:t>
      </w:r>
      <w:r w:rsidRPr="00B35658">
        <w:rPr>
          <w:rFonts w:cs="Times New Roman"/>
          <w:lang w:val="fr-CA"/>
        </w:rPr>
        <w:t>« le m</w:t>
      </w:r>
      <w:r w:rsidR="00664D5F">
        <w:rPr>
          <w:rFonts w:cs="Times New Roman"/>
          <w:lang w:val="fr-CA"/>
        </w:rPr>
        <w:t>oins »,</w:t>
      </w:r>
      <w:r w:rsidR="00405CEE">
        <w:rPr>
          <w:rFonts w:cs="Times New Roman"/>
          <w:lang w:val="fr-CA"/>
        </w:rPr>
        <w:t xml:space="preserve"> « superlatif de </w:t>
      </w:r>
      <w:r w:rsidR="00405CEE" w:rsidRPr="002F3B8C">
        <w:rPr>
          <w:rFonts w:cs="Times New Roman"/>
          <w:i/>
          <w:lang w:val="fr-CA"/>
        </w:rPr>
        <w:t>peu</w:t>
      </w:r>
      <w:r w:rsidR="00405CEE">
        <w:rPr>
          <w:rFonts w:cs="Times New Roman"/>
          <w:lang w:val="fr-CA"/>
        </w:rPr>
        <w:t> </w:t>
      </w:r>
      <w:r w:rsidR="00725267">
        <w:rPr>
          <w:rFonts w:cs="Times New Roman"/>
          <w:lang w:val="fr-CA"/>
        </w:rPr>
        <w:t>».</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Si le législateur avait voulu codifier l’interprétation restreinte proposée par l’appelante, une formulation plus précise aurait été nécessaire. Les observations de l’appelante montrent bien que les exemples de formulations plus précises ne manquaient pas : voir, p. ex., </w:t>
      </w:r>
      <w:r w:rsidRPr="00B35658">
        <w:rPr>
          <w:rFonts w:cs="Times New Roman"/>
          <w:i/>
          <w:lang w:val="fr-CA"/>
        </w:rPr>
        <w:t xml:space="preserve">R. c. </w:t>
      </w:r>
      <w:proofErr w:type="spellStart"/>
      <w:r w:rsidRPr="00B35658">
        <w:rPr>
          <w:rFonts w:cs="Times New Roman"/>
          <w:i/>
          <w:lang w:val="fr-CA"/>
        </w:rPr>
        <w:t>Docherty</w:t>
      </w:r>
      <w:proofErr w:type="spellEnd"/>
      <w:r w:rsidRPr="00B35658">
        <w:rPr>
          <w:rFonts w:cs="Times New Roman"/>
          <w:lang w:val="fr-CA"/>
        </w:rPr>
        <w:t>, [2016] UKSC 62, [2017] 4 All E.R. 263, par.</w:t>
      </w:r>
      <w:r w:rsidR="00612CE3" w:rsidRPr="00B35658">
        <w:rPr>
          <w:rFonts w:cs="Times New Roman"/>
          <w:lang w:val="fr-CA"/>
        </w:rPr>
        <w:t> </w:t>
      </w:r>
      <w:r w:rsidRPr="00B35658">
        <w:rPr>
          <w:rFonts w:cs="Times New Roman"/>
          <w:lang w:val="fr-CA"/>
        </w:rPr>
        <w:t xml:space="preserve">29 et </w:t>
      </w:r>
      <w:proofErr w:type="spellStart"/>
      <w:r w:rsidRPr="00B35658">
        <w:rPr>
          <w:rFonts w:cs="Times New Roman"/>
          <w:lang w:val="fr-CA"/>
        </w:rPr>
        <w:t>suiv</w:t>
      </w:r>
      <w:proofErr w:type="spellEnd"/>
      <w:r w:rsidRPr="00B35658">
        <w:rPr>
          <w:rFonts w:cs="Times New Roman"/>
          <w:lang w:val="fr-CA"/>
        </w:rPr>
        <w:t>.</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L’application d’une interprétation formaliste comme celle avancée par l’appelante va à l’encontre des enseignements de notre Cour voulant que les droits garantis par la </w:t>
      </w:r>
      <w:r w:rsidRPr="00B35658">
        <w:rPr>
          <w:rFonts w:cs="Times New Roman"/>
          <w:i/>
          <w:lang w:val="fr-CA"/>
        </w:rPr>
        <w:t>Charte</w:t>
      </w:r>
      <w:r w:rsidRPr="00B35658">
        <w:rPr>
          <w:rFonts w:cs="Times New Roman"/>
          <w:lang w:val="fr-CA"/>
        </w:rPr>
        <w:t xml:space="preserve"> doivent être interprétés de façon libérale </w:t>
      </w:r>
      <w:r w:rsidRPr="00B35658">
        <w:rPr>
          <w:rFonts w:cs="Times New Roman"/>
          <w:i/>
          <w:lang w:val="fr-CA"/>
        </w:rPr>
        <w:t>et</w:t>
      </w:r>
      <w:r w:rsidRPr="00B35658">
        <w:rPr>
          <w:rFonts w:cs="Times New Roman"/>
          <w:lang w:val="fr-CA"/>
        </w:rPr>
        <w:t xml:space="preserve"> en fonction de l’objet </w:t>
      </w:r>
      <w:r w:rsidRPr="00B35658">
        <w:rPr>
          <w:rFonts w:cs="Times New Roman"/>
          <w:lang w:val="fr-CA"/>
        </w:rPr>
        <w:lastRenderedPageBreak/>
        <w:t xml:space="preserve">visé : </w:t>
      </w:r>
      <w:r w:rsidRPr="00B35658">
        <w:rPr>
          <w:rFonts w:cs="Times New Roman"/>
          <w:i/>
          <w:lang w:val="fr-CA"/>
        </w:rPr>
        <w:t xml:space="preserve">Hunter c. </w:t>
      </w:r>
      <w:proofErr w:type="spellStart"/>
      <w:r w:rsidRPr="00B35658">
        <w:rPr>
          <w:rFonts w:cs="Times New Roman"/>
          <w:i/>
          <w:lang w:val="fr-CA"/>
        </w:rPr>
        <w:t>Southam</w:t>
      </w:r>
      <w:proofErr w:type="spellEnd"/>
      <w:r w:rsidRPr="00B35658">
        <w:rPr>
          <w:rFonts w:cs="Times New Roman"/>
          <w:i/>
          <w:lang w:val="fr-CA"/>
        </w:rPr>
        <w:t xml:space="preserve"> Inc.</w:t>
      </w:r>
      <w:r w:rsidRPr="00B35658">
        <w:rPr>
          <w:rFonts w:cs="Times New Roman"/>
          <w:lang w:val="fr-CA"/>
        </w:rPr>
        <w:t>, [1984] 2 R.C.S. 145, p. 155</w:t>
      </w:r>
      <w:r w:rsidR="00ED0EA1" w:rsidRPr="00B35658">
        <w:rPr>
          <w:lang w:val="fr-CA"/>
        </w:rPr>
        <w:noBreakHyphen/>
      </w:r>
      <w:r w:rsidRPr="00B35658">
        <w:rPr>
          <w:rFonts w:cs="Times New Roman"/>
          <w:lang w:val="fr-CA"/>
        </w:rPr>
        <w:t xml:space="preserve">156; </w:t>
      </w:r>
      <w:r w:rsidRPr="00B35658">
        <w:rPr>
          <w:rFonts w:cs="Times New Roman"/>
          <w:i/>
          <w:lang w:val="fr-CA"/>
        </w:rPr>
        <w:t xml:space="preserve">R. c. </w:t>
      </w:r>
      <w:proofErr w:type="spellStart"/>
      <w:r w:rsidRPr="00B35658">
        <w:rPr>
          <w:rFonts w:cs="Times New Roman"/>
          <w:i/>
          <w:lang w:val="fr-CA"/>
        </w:rPr>
        <w:t>Big</w:t>
      </w:r>
      <w:proofErr w:type="spellEnd"/>
      <w:r w:rsidRPr="00B35658">
        <w:rPr>
          <w:rFonts w:cs="Times New Roman"/>
          <w:i/>
          <w:lang w:val="fr-CA"/>
        </w:rPr>
        <w:t xml:space="preserve"> M Drug </w:t>
      </w:r>
      <w:proofErr w:type="spellStart"/>
      <w:r w:rsidRPr="00B35658">
        <w:rPr>
          <w:rFonts w:cs="Times New Roman"/>
          <w:i/>
          <w:lang w:val="fr-CA"/>
        </w:rPr>
        <w:t>Mart</w:t>
      </w:r>
      <w:proofErr w:type="spellEnd"/>
      <w:r w:rsidRPr="00B35658">
        <w:rPr>
          <w:rFonts w:cs="Times New Roman"/>
          <w:i/>
          <w:lang w:val="fr-CA"/>
        </w:rPr>
        <w:t xml:space="preserve"> Ltd.</w:t>
      </w:r>
      <w:r w:rsidRPr="00B35658">
        <w:rPr>
          <w:rFonts w:cs="Times New Roman"/>
          <w:lang w:val="fr-CA"/>
        </w:rPr>
        <w:t xml:space="preserve">, [1985] 1 R.C.S. 295, p. 344; </w:t>
      </w:r>
      <w:r w:rsidRPr="00B35658">
        <w:rPr>
          <w:rFonts w:cs="Times New Roman"/>
          <w:i/>
          <w:lang w:val="fr-CA"/>
        </w:rPr>
        <w:t>R. c. Grant</w:t>
      </w:r>
      <w:r w:rsidRPr="00B35658">
        <w:rPr>
          <w:rFonts w:cs="Times New Roman"/>
          <w:lang w:val="fr-CA"/>
        </w:rPr>
        <w:t xml:space="preserve">, 2009 CSC 32, [2009] 2 R.C.S. 353, par. 17. De plus, la Cour a déjà statué que le sens d’une disposition de la </w:t>
      </w:r>
      <w:r w:rsidRPr="00B35658">
        <w:rPr>
          <w:rFonts w:cs="Times New Roman"/>
          <w:i/>
          <w:lang w:val="fr-CA"/>
        </w:rPr>
        <w:t>Charte</w:t>
      </w:r>
      <w:r w:rsidRPr="00B35658">
        <w:rPr>
          <w:rFonts w:cs="Times New Roman"/>
          <w:lang w:val="fr-CA"/>
        </w:rPr>
        <w:t xml:space="preserve"> ne saurait être limité aux droits et libertés qui existaient antérieurement à l’édiction de la </w:t>
      </w:r>
      <w:r w:rsidRPr="00B35658">
        <w:rPr>
          <w:rFonts w:cs="Times New Roman"/>
          <w:i/>
          <w:lang w:val="fr-CA"/>
        </w:rPr>
        <w:t>Charte</w:t>
      </w:r>
      <w:r w:rsidRPr="00B35658">
        <w:rPr>
          <w:rFonts w:cs="Times New Roman"/>
          <w:lang w:val="fr-CA"/>
        </w:rPr>
        <w:t xml:space="preserve">, que ce soit en vertu de la </w:t>
      </w:r>
      <w:proofErr w:type="spellStart"/>
      <w:r w:rsidRPr="00B35658">
        <w:rPr>
          <w:rFonts w:cs="Times New Roman"/>
          <w:lang w:val="fr-CA"/>
        </w:rPr>
        <w:t>common</w:t>
      </w:r>
      <w:proofErr w:type="spellEnd"/>
      <w:r w:rsidRPr="00B35658">
        <w:rPr>
          <w:rFonts w:cs="Times New Roman"/>
          <w:lang w:val="fr-CA"/>
        </w:rPr>
        <w:t xml:space="preserve"> </w:t>
      </w:r>
      <w:proofErr w:type="spellStart"/>
      <w:r w:rsidRPr="00B35658">
        <w:rPr>
          <w:rFonts w:cs="Times New Roman"/>
          <w:lang w:val="fr-CA"/>
        </w:rPr>
        <w:t>law</w:t>
      </w:r>
      <w:proofErr w:type="spellEnd"/>
      <w:r w:rsidRPr="00B35658">
        <w:rPr>
          <w:rFonts w:cs="Times New Roman"/>
          <w:lang w:val="fr-CA"/>
        </w:rPr>
        <w:t xml:space="preserve">, du droit international ou autrement : </w:t>
      </w:r>
      <w:r w:rsidRPr="00B35658">
        <w:rPr>
          <w:rFonts w:cs="Times New Roman"/>
          <w:i/>
          <w:lang w:val="fr-CA"/>
        </w:rPr>
        <w:t xml:space="preserve">Renvoi relatif à la Public Service </w:t>
      </w:r>
      <w:proofErr w:type="spellStart"/>
      <w:r w:rsidRPr="00B35658">
        <w:rPr>
          <w:rFonts w:cs="Times New Roman"/>
          <w:i/>
          <w:lang w:val="fr-CA"/>
        </w:rPr>
        <w:t>Employee</w:t>
      </w:r>
      <w:proofErr w:type="spellEnd"/>
      <w:r w:rsidRPr="00B35658">
        <w:rPr>
          <w:rFonts w:cs="Times New Roman"/>
          <w:i/>
          <w:lang w:val="fr-CA"/>
        </w:rPr>
        <w:t xml:space="preserve"> Relations </w:t>
      </w:r>
      <w:proofErr w:type="spellStart"/>
      <w:r w:rsidRPr="00B35658">
        <w:rPr>
          <w:rFonts w:cs="Times New Roman"/>
          <w:i/>
          <w:lang w:val="fr-CA"/>
        </w:rPr>
        <w:t>Act</w:t>
      </w:r>
      <w:proofErr w:type="spellEnd"/>
      <w:r w:rsidRPr="00B35658">
        <w:rPr>
          <w:rFonts w:cs="Times New Roman"/>
          <w:i/>
          <w:lang w:val="fr-CA"/>
        </w:rPr>
        <w:t xml:space="preserve"> (</w:t>
      </w:r>
      <w:proofErr w:type="spellStart"/>
      <w:r w:rsidRPr="00B35658">
        <w:rPr>
          <w:rFonts w:cs="Times New Roman"/>
          <w:i/>
          <w:lang w:val="fr-CA"/>
        </w:rPr>
        <w:t>Alb</w:t>
      </w:r>
      <w:proofErr w:type="spellEnd"/>
      <w:r w:rsidRPr="00B35658">
        <w:rPr>
          <w:rFonts w:cs="Times New Roman"/>
          <w:i/>
          <w:lang w:val="fr-CA"/>
        </w:rPr>
        <w:t>.)</w:t>
      </w:r>
      <w:r w:rsidR="00221725">
        <w:rPr>
          <w:rFonts w:cs="Times New Roman"/>
          <w:lang w:val="fr-CA"/>
        </w:rPr>
        <w:t xml:space="preserve">, [1987] 1 R.C.S. </w:t>
      </w:r>
      <w:r w:rsidRPr="00B35658">
        <w:rPr>
          <w:rFonts w:cs="Times New Roman"/>
          <w:lang w:val="fr-CA"/>
        </w:rPr>
        <w:t xml:space="preserve">313, p. 360; </w:t>
      </w:r>
      <w:r w:rsidRPr="00B35658">
        <w:rPr>
          <w:rFonts w:cs="Times New Roman"/>
          <w:i/>
          <w:lang w:val="fr-CA"/>
        </w:rPr>
        <w:t xml:space="preserve">Manitoba (Procureur général) c. </w:t>
      </w:r>
      <w:proofErr w:type="spellStart"/>
      <w:r w:rsidRPr="00B35658">
        <w:rPr>
          <w:rFonts w:cs="Times New Roman"/>
          <w:i/>
          <w:lang w:val="fr-CA"/>
        </w:rPr>
        <w:t>Metropolitan</w:t>
      </w:r>
      <w:proofErr w:type="spellEnd"/>
      <w:r w:rsidRPr="00B35658">
        <w:rPr>
          <w:rFonts w:cs="Times New Roman"/>
          <w:i/>
          <w:lang w:val="fr-CA"/>
        </w:rPr>
        <w:t xml:space="preserve"> Stores Ltd.</w:t>
      </w:r>
      <w:r w:rsidRPr="00B35658">
        <w:rPr>
          <w:rFonts w:cs="Times New Roman"/>
          <w:lang w:val="fr-CA"/>
        </w:rPr>
        <w:t xml:space="preserve">, [1987] </w:t>
      </w:r>
      <w:r w:rsidR="00221725">
        <w:rPr>
          <w:rFonts w:cs="Times New Roman"/>
          <w:lang w:val="fr-CA"/>
        </w:rPr>
        <w:t xml:space="preserve">1 R.C.S. </w:t>
      </w:r>
      <w:r w:rsidRPr="00B35658">
        <w:rPr>
          <w:rFonts w:cs="Times New Roman"/>
          <w:lang w:val="fr-CA"/>
        </w:rPr>
        <w:t xml:space="preserve">110, p. 123; </w:t>
      </w:r>
      <w:proofErr w:type="spellStart"/>
      <w:r w:rsidRPr="00B35658">
        <w:rPr>
          <w:rFonts w:cs="Times New Roman"/>
          <w:i/>
          <w:lang w:val="fr-CA"/>
        </w:rPr>
        <w:t>Big</w:t>
      </w:r>
      <w:proofErr w:type="spellEnd"/>
      <w:r w:rsidRPr="00B35658">
        <w:rPr>
          <w:rFonts w:cs="Times New Roman"/>
          <w:i/>
          <w:lang w:val="fr-CA"/>
        </w:rPr>
        <w:t xml:space="preserve"> M Drug </w:t>
      </w:r>
      <w:proofErr w:type="spellStart"/>
      <w:r w:rsidRPr="00B35658">
        <w:rPr>
          <w:rFonts w:cs="Times New Roman"/>
          <w:i/>
          <w:lang w:val="fr-CA"/>
        </w:rPr>
        <w:t>Mart</w:t>
      </w:r>
      <w:proofErr w:type="spellEnd"/>
      <w:r w:rsidRPr="00B35658">
        <w:rPr>
          <w:rFonts w:cs="Times New Roman"/>
          <w:i/>
          <w:lang w:val="fr-CA"/>
        </w:rPr>
        <w:t xml:space="preserve"> Ltd.</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L’interprétation adoptée par les autres cours canadiennes reflète deux objets de l’al. 11</w:t>
      </w:r>
      <w:r w:rsidRPr="00B35658">
        <w:rPr>
          <w:rFonts w:cs="Times New Roman"/>
          <w:i/>
          <w:lang w:val="fr-CA"/>
        </w:rPr>
        <w:t>i</w:t>
      </w:r>
      <w:r w:rsidRPr="00B35658">
        <w:rPr>
          <w:rFonts w:cs="Times New Roman"/>
          <w:lang w:val="fr-CA"/>
        </w:rPr>
        <w:t>) dégagés par notre Cour</w:t>
      </w:r>
      <w:r w:rsidR="005C212D">
        <w:rPr>
          <w:rFonts w:cs="Times New Roman"/>
          <w:lang w:val="fr-CA"/>
        </w:rPr>
        <w:t> </w:t>
      </w:r>
      <w:r w:rsidRPr="00B35658">
        <w:rPr>
          <w:rFonts w:cs="Times New Roman"/>
          <w:lang w:val="fr-CA"/>
        </w:rPr>
        <w:t>: la primauté du droit et la garantie de l’équité des procédures criminelles (</w:t>
      </w:r>
      <w:r w:rsidRPr="00B35658">
        <w:rPr>
          <w:rFonts w:cs="Times New Roman"/>
          <w:i/>
          <w:lang w:val="fr-CA"/>
        </w:rPr>
        <w:t>R. c. K.R.J.</w:t>
      </w:r>
      <w:r w:rsidR="00F527BE" w:rsidRPr="00B35658">
        <w:rPr>
          <w:rFonts w:cs="Times New Roman"/>
          <w:lang w:val="fr-CA"/>
        </w:rPr>
        <w:t>, 2016</w:t>
      </w:r>
      <w:r w:rsidR="008F5F25">
        <w:rPr>
          <w:rFonts w:cs="Times New Roman"/>
          <w:lang w:val="fr-CA"/>
        </w:rPr>
        <w:t> CSC </w:t>
      </w:r>
      <w:r w:rsidRPr="00B35658">
        <w:rPr>
          <w:rFonts w:cs="Times New Roman"/>
          <w:lang w:val="fr-CA"/>
        </w:rPr>
        <w:t>31, [2016] 1</w:t>
      </w:r>
      <w:r w:rsidR="00F527BE" w:rsidRPr="00B35658">
        <w:rPr>
          <w:rFonts w:cs="Times New Roman"/>
          <w:lang w:val="fr-CA"/>
        </w:rPr>
        <w:t xml:space="preserve"> R.C.S. 906, par. </w:t>
      </w:r>
      <w:r w:rsidRPr="00B35658">
        <w:rPr>
          <w:rFonts w:cs="Times New Roman"/>
          <w:lang w:val="fr-CA"/>
        </w:rPr>
        <w:t>27)</w:t>
      </w:r>
      <w:r w:rsidR="005338FD">
        <w:rPr>
          <w:rFonts w:cs="Times New Roman"/>
          <w:lang w:val="fr-CA"/>
        </w:rPr>
        <w:t xml:space="preserve">. </w:t>
      </w:r>
      <w:r w:rsidRPr="00B35658">
        <w:rPr>
          <w:rFonts w:cs="Times New Roman"/>
          <w:lang w:val="fr-CA"/>
        </w:rPr>
        <w:t xml:space="preserve">Comme le dit lord </w:t>
      </w:r>
      <w:proofErr w:type="spellStart"/>
      <w:r w:rsidRPr="00B35658">
        <w:rPr>
          <w:rFonts w:cs="Times New Roman"/>
          <w:lang w:val="fr-CA"/>
        </w:rPr>
        <w:t>Diplock</w:t>
      </w:r>
      <w:proofErr w:type="spellEnd"/>
      <w:r w:rsidRPr="00B35658">
        <w:rPr>
          <w:rFonts w:cs="Times New Roman"/>
          <w:lang w:val="fr-CA"/>
        </w:rPr>
        <w:t>, [</w:t>
      </w:r>
      <w:r w:rsidRPr="00B35658">
        <w:rPr>
          <w:rFonts w:cs="Times New Roman"/>
          <w:smallCaps/>
          <w:lang w:val="fr-CA"/>
        </w:rPr>
        <w:t>traduction</w:t>
      </w:r>
      <w:r w:rsidRPr="00B35658">
        <w:rPr>
          <w:rFonts w:cs="Times New Roman"/>
          <w:lang w:val="fr-CA"/>
        </w:rPr>
        <w:t>] «</w:t>
      </w:r>
      <w:r w:rsidR="00F84689">
        <w:rPr>
          <w:rFonts w:cs="Times New Roman"/>
          <w:lang w:val="fr-CA"/>
        </w:rPr>
        <w:t> </w:t>
      </w:r>
      <w:r w:rsidRPr="00B35658">
        <w:rPr>
          <w:rFonts w:cs="Times New Roman"/>
          <w:lang w:val="fr-CA"/>
        </w:rPr>
        <w:t>l’acceptation de la primauté du droit en tant que principe constitutionnel exige qu’un citoyen, avant d’adopter une ligne de conduite, puisse connaître à l’avance les conséquences qui en dé</w:t>
      </w:r>
      <w:r w:rsidR="00F84689">
        <w:rPr>
          <w:rFonts w:cs="Times New Roman"/>
          <w:lang w:val="fr-CA"/>
        </w:rPr>
        <w:t>couleront sur le plan juridique </w:t>
      </w:r>
      <w:r w:rsidRPr="00B35658">
        <w:rPr>
          <w:rFonts w:cs="Times New Roman"/>
          <w:lang w:val="fr-CA"/>
        </w:rPr>
        <w:t>» (</w:t>
      </w:r>
      <w:r w:rsidRPr="00B35658">
        <w:rPr>
          <w:rFonts w:cs="Times New Roman"/>
          <w:i/>
          <w:lang w:val="fr-CA"/>
        </w:rPr>
        <w:t>Black</w:t>
      </w:r>
      <w:r w:rsidR="007E273D" w:rsidRPr="007E273D">
        <w:rPr>
          <w:i/>
          <w:lang w:val="fr-CA"/>
        </w:rPr>
        <w:noBreakHyphen/>
      </w:r>
      <w:proofErr w:type="spellStart"/>
      <w:r w:rsidRPr="00B35658">
        <w:rPr>
          <w:rFonts w:cs="Times New Roman"/>
          <w:i/>
          <w:lang w:val="fr-CA"/>
        </w:rPr>
        <w:t>Clawson</w:t>
      </w:r>
      <w:proofErr w:type="spellEnd"/>
      <w:r w:rsidRPr="00B35658">
        <w:rPr>
          <w:rFonts w:cs="Times New Roman"/>
          <w:i/>
          <w:lang w:val="fr-CA"/>
        </w:rPr>
        <w:t xml:space="preserve"> Internatio</w:t>
      </w:r>
      <w:r w:rsidR="007E273D">
        <w:rPr>
          <w:rFonts w:cs="Times New Roman"/>
          <w:i/>
          <w:lang w:val="fr-CA"/>
        </w:rPr>
        <w:t xml:space="preserve">nal Ltd. c. </w:t>
      </w:r>
      <w:proofErr w:type="spellStart"/>
      <w:r w:rsidR="007E273D">
        <w:rPr>
          <w:rFonts w:cs="Times New Roman"/>
          <w:i/>
          <w:lang w:val="fr-CA"/>
        </w:rPr>
        <w:t>Papierwerke</w:t>
      </w:r>
      <w:proofErr w:type="spellEnd"/>
      <w:r w:rsidR="007E273D">
        <w:rPr>
          <w:rFonts w:cs="Times New Roman"/>
          <w:i/>
          <w:lang w:val="fr-CA"/>
        </w:rPr>
        <w:t xml:space="preserve"> </w:t>
      </w:r>
      <w:proofErr w:type="spellStart"/>
      <w:r w:rsidR="007E273D">
        <w:rPr>
          <w:rFonts w:cs="Times New Roman"/>
          <w:i/>
          <w:lang w:val="fr-CA"/>
        </w:rPr>
        <w:t>Waldhof</w:t>
      </w:r>
      <w:proofErr w:type="spellEnd"/>
      <w:r w:rsidR="007E273D" w:rsidRPr="007E273D">
        <w:rPr>
          <w:i/>
          <w:lang w:val="fr-CA"/>
        </w:rPr>
        <w:noBreakHyphen/>
      </w:r>
      <w:r w:rsidRPr="00B35658">
        <w:rPr>
          <w:rFonts w:cs="Times New Roman"/>
          <w:i/>
          <w:lang w:val="fr-CA"/>
        </w:rPr>
        <w:t>Aschaffenburg A.G</w:t>
      </w:r>
      <w:r w:rsidRPr="002B5C64">
        <w:rPr>
          <w:rFonts w:cs="Times New Roman"/>
          <w:i/>
          <w:lang w:val="fr-CA"/>
        </w:rPr>
        <w:t>.</w:t>
      </w:r>
      <w:r w:rsidRPr="00B35658">
        <w:rPr>
          <w:rFonts w:cs="Times New Roman"/>
          <w:lang w:val="fr-CA"/>
        </w:rPr>
        <w:t xml:space="preserve">, [1975] A.C. 591 (H.L.), p. 638). Un changement aux conséquences qui découleraient d’une telle ligne de conduite pourrait non seulement donner lieu à une injustice dans certains cas, mais pourrait aussi miner la confiance du public dans le système de justice criminelle : </w:t>
      </w:r>
      <w:r w:rsidRPr="00B35658">
        <w:rPr>
          <w:rFonts w:cs="Times New Roman"/>
          <w:i/>
          <w:lang w:val="fr-CA"/>
        </w:rPr>
        <w:t>K.R.J.</w:t>
      </w:r>
      <w:r w:rsidRPr="00B35658">
        <w:rPr>
          <w:rFonts w:cs="Times New Roman"/>
          <w:lang w:val="fr-CA"/>
        </w:rPr>
        <w:t>, par.</w:t>
      </w:r>
      <w:r w:rsidR="00595D06" w:rsidRPr="00B35658">
        <w:rPr>
          <w:rFonts w:cs="Times New Roman"/>
          <w:lang w:val="fr-CA"/>
        </w:rPr>
        <w:t> </w:t>
      </w:r>
      <w:r w:rsidR="00F45601" w:rsidRPr="00B35658">
        <w:rPr>
          <w:rFonts w:cs="Times New Roman"/>
          <w:lang w:val="fr-CA"/>
        </w:rPr>
        <w:t>23 et 25.</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 xml:space="preserve">L’interprétation préconisée par l’appelante restreindrait l’application de ces objets à deux étapes du processus pénal. À mon avis, aucun argument fondé sur des </w:t>
      </w:r>
      <w:r w:rsidRPr="00B35658">
        <w:rPr>
          <w:rFonts w:cs="Times New Roman"/>
          <w:lang w:val="fr-CA"/>
        </w:rPr>
        <w:lastRenderedPageBreak/>
        <w:t xml:space="preserve">principes ne justifie une telle restriction, qui est affaiblie, entre autres, par la concession de l’appelante portant que le moment de la sentence comprend — possiblement — la période qui suit l’inculpation. L’exemple fourni dans </w:t>
      </w:r>
      <w:r w:rsidRPr="00B35658">
        <w:rPr>
          <w:rFonts w:cs="Times New Roman"/>
          <w:i/>
          <w:lang w:val="fr-CA"/>
        </w:rPr>
        <w:t xml:space="preserve">K.R.J. </w:t>
      </w:r>
      <w:r w:rsidRPr="00B35658">
        <w:rPr>
          <w:rFonts w:cs="Times New Roman"/>
          <w:lang w:val="fr-CA"/>
        </w:rPr>
        <w:t xml:space="preserve">— celui de l’accusé qui, sur la foi d’une peine existante, refuse d’inscrire un plaidoyer de culpabilité et est prêt à courir le risque de subir un procès — n’était aucunement limitatif. Au contraire, il y a, au cours des enquêtes et poursuites pénales — avant l’infliction de la peine —, </w:t>
      </w:r>
      <w:r w:rsidRPr="00B35658">
        <w:rPr>
          <w:rFonts w:cs="Times New Roman"/>
          <w:i/>
          <w:lang w:val="fr-CA"/>
        </w:rPr>
        <w:t>plusieurs</w:t>
      </w:r>
      <w:r w:rsidRPr="00B35658">
        <w:rPr>
          <w:rFonts w:cs="Times New Roman"/>
          <w:lang w:val="fr-CA"/>
        </w:rPr>
        <w:t xml:space="preserve"> moments où un individu peut être appelé à faire des choix sur la foi des peines alors applicables. À titre d’exemple, on peut penser à la décision de coopérer ou non lors d’une enquête, d’exercer ou non son droit de garder le silence, d’inscrire ou non un plaidoyer, de soumettre ou non une suggestion commune au juge de la peine, et j’en passe. Avec égards, il m’apparaît artificiel de fixer à deux points précis dans le temps le moment où la connaissance des règles du jeu serait plus importante pour une personne inculpée ou susceptible de l’être. Car, en effet, c’est précisément la possibilité qu’un inculpé ait, à plusieurs moments du processus pénal, à effectuer des choix sur la foi du droit en vigueur qui est à la base de c</w:t>
      </w:r>
      <w:r w:rsidR="00001E41" w:rsidRPr="00B35658">
        <w:rPr>
          <w:rFonts w:cs="Times New Roman"/>
          <w:lang w:val="fr-CA"/>
        </w:rPr>
        <w:t>e droit. La protection de l’al. </w:t>
      </w:r>
      <w:r w:rsidRPr="00B35658">
        <w:rPr>
          <w:rFonts w:cs="Times New Roman"/>
          <w:lang w:val="fr-CA"/>
        </w:rPr>
        <w:t>11</w:t>
      </w:r>
      <w:r w:rsidRPr="00B35658">
        <w:rPr>
          <w:rFonts w:cs="Times New Roman"/>
          <w:i/>
          <w:lang w:val="fr-CA"/>
        </w:rPr>
        <w:t>i</w:t>
      </w:r>
      <w:r w:rsidRPr="00B35658">
        <w:rPr>
          <w:rFonts w:cs="Times New Roman"/>
          <w:lang w:val="fr-CA"/>
        </w:rPr>
        <w:t xml:space="preserve">) ne saurait être conditionnelle à une preuve que l’inculpé s’est </w:t>
      </w:r>
      <w:proofErr w:type="spellStart"/>
      <w:r w:rsidRPr="00B35658">
        <w:rPr>
          <w:rFonts w:cs="Times New Roman"/>
          <w:lang w:val="fr-CA"/>
        </w:rPr>
        <w:t>fié</w:t>
      </w:r>
      <w:proofErr w:type="spellEnd"/>
      <w:r w:rsidRPr="00B35658">
        <w:rPr>
          <w:rFonts w:cs="Times New Roman"/>
          <w:lang w:val="fr-CA"/>
        </w:rPr>
        <w:t xml:space="preserve"> au droit en vig</w:t>
      </w:r>
      <w:r w:rsidR="00561FC2" w:rsidRPr="00B35658">
        <w:rPr>
          <w:rFonts w:cs="Times New Roman"/>
          <w:lang w:val="fr-CA"/>
        </w:rPr>
        <w:t>ueur.</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Je ne suis pas davantage persuadée que la possibilité que l’interprétation retenue par la jurisprudence alourdisse l’analyse des peines applicables devrait militer contre celle</w:t>
      </w:r>
      <w:r w:rsidR="007E273D" w:rsidRPr="00B35658">
        <w:rPr>
          <w:lang w:val="fr-CA"/>
        </w:rPr>
        <w:noBreakHyphen/>
      </w:r>
      <w:r w:rsidRPr="00B35658">
        <w:rPr>
          <w:rFonts w:cs="Times New Roman"/>
          <w:lang w:val="fr-CA"/>
        </w:rPr>
        <w:t>ci. D’une part, l’avocat de l’intervenant le procureur général de l’Ontario n’était au fait d’aucun problème que soulève le droit actuel conce</w:t>
      </w:r>
      <w:r w:rsidR="00706090" w:rsidRPr="00B35658">
        <w:rPr>
          <w:rFonts w:cs="Times New Roman"/>
          <w:lang w:val="fr-CA"/>
        </w:rPr>
        <w:t>rnant l’interprétation de l’al. </w:t>
      </w:r>
      <w:r w:rsidRPr="00B35658">
        <w:rPr>
          <w:rFonts w:cs="Times New Roman"/>
          <w:lang w:val="fr-CA"/>
        </w:rPr>
        <w:t>11</w:t>
      </w:r>
      <w:r w:rsidRPr="00B35658">
        <w:rPr>
          <w:rFonts w:cs="Times New Roman"/>
          <w:i/>
          <w:lang w:val="fr-CA"/>
        </w:rPr>
        <w:t>i</w:t>
      </w:r>
      <w:r w:rsidRPr="00B35658">
        <w:rPr>
          <w:rFonts w:cs="Times New Roman"/>
          <w:lang w:val="fr-CA"/>
        </w:rPr>
        <w:t xml:space="preserve">), interprétation qui s’applique </w:t>
      </w:r>
      <w:r w:rsidR="006B72FC">
        <w:rPr>
          <w:rFonts w:cs="Times New Roman"/>
          <w:lang w:val="fr-CA"/>
        </w:rPr>
        <w:t xml:space="preserve">depuis </w:t>
      </w:r>
      <w:r w:rsidRPr="00B35658">
        <w:rPr>
          <w:rFonts w:cs="Times New Roman"/>
          <w:lang w:val="fr-CA"/>
        </w:rPr>
        <w:t xml:space="preserve">au moins 30 ans. D’autre part, les tribunaux canadiens sont habitués à examiner la possibilité de sanctions moins </w:t>
      </w:r>
      <w:r w:rsidRPr="00B35658">
        <w:rPr>
          <w:rFonts w:cs="Times New Roman"/>
          <w:lang w:val="fr-CA"/>
        </w:rPr>
        <w:lastRenderedPageBreak/>
        <w:t xml:space="preserve">contraignantes </w:t>
      </w:r>
      <w:r w:rsidR="000B0B76" w:rsidRPr="00B35658">
        <w:rPr>
          <w:rFonts w:cs="Times New Roman"/>
          <w:lang w:val="fr-CA"/>
        </w:rPr>
        <w:t>—</w:t>
      </w:r>
      <w:r w:rsidRPr="00B35658">
        <w:rPr>
          <w:rFonts w:cs="Times New Roman"/>
          <w:lang w:val="fr-CA"/>
        </w:rPr>
        <w:t xml:space="preserve"> en effet, c’est ce qu</w:t>
      </w:r>
      <w:r w:rsidR="005F6AAB">
        <w:rPr>
          <w:rFonts w:cs="Times New Roman"/>
          <w:lang w:val="fr-CA"/>
        </w:rPr>
        <w:t>e</w:t>
      </w:r>
      <w:r w:rsidRPr="00B35658">
        <w:rPr>
          <w:rFonts w:cs="Times New Roman"/>
          <w:lang w:val="fr-CA"/>
        </w:rPr>
        <w:t xml:space="preserve"> leur exige le </w:t>
      </w:r>
      <w:r w:rsidRPr="00B35658">
        <w:rPr>
          <w:rFonts w:cs="Times New Roman"/>
          <w:i/>
          <w:lang w:val="fr-CA"/>
        </w:rPr>
        <w:t>Code criminel </w:t>
      </w:r>
      <w:r w:rsidR="00D645F6" w:rsidRPr="00B35658">
        <w:rPr>
          <w:rFonts w:cs="Times New Roman"/>
          <w:lang w:val="fr-CA"/>
        </w:rPr>
        <w:t>: al. </w:t>
      </w:r>
      <w:r w:rsidRPr="00B35658">
        <w:rPr>
          <w:rFonts w:cs="Times New Roman"/>
          <w:lang w:val="fr-CA"/>
        </w:rPr>
        <w:t>718.2d) et e). Au demeurant, dans la plupart des cas, le moment de la perpétration de l’infraction et celui de la sentence seront moins éloignés dans le temps que dans les affaires d’agressions sexuelles historiques. La possibilité qu’une peine soit modifiée plusieurs fois dans l’intervalle s’en trouve donc aussi amoindrie. Il me semble téméraire d’écarter une interprétation qui offre une protection plus importante aux contrevenants en l’absence de toute preuve de l’existence des difficultés, surtout à la lumière du libellé exprès de la disposition.</w:t>
      </w:r>
    </w:p>
    <w:p w:rsidR="00460821" w:rsidRPr="00B35658" w:rsidRDefault="00460821" w:rsidP="00460821">
      <w:pPr>
        <w:pStyle w:val="ParaNoNdepar-AltN"/>
        <w:numPr>
          <w:ilvl w:val="0"/>
          <w:numId w:val="33"/>
        </w:numPr>
        <w:rPr>
          <w:rFonts w:cs="Times New Roman"/>
          <w:lang w:val="fr-CA"/>
        </w:rPr>
      </w:pPr>
      <w:r w:rsidRPr="00B35658">
        <w:rPr>
          <w:rFonts w:cs="Times New Roman"/>
          <w:lang w:val="fr-CA"/>
        </w:rPr>
        <w:t>Enfin, suivant l’appelante, l’al. 11</w:t>
      </w:r>
      <w:r w:rsidRPr="00B35658">
        <w:rPr>
          <w:rFonts w:cs="Times New Roman"/>
          <w:i/>
          <w:lang w:val="fr-CA"/>
        </w:rPr>
        <w:t>i</w:t>
      </w:r>
      <w:r w:rsidRPr="00B35658">
        <w:rPr>
          <w:rFonts w:cs="Times New Roman"/>
          <w:lang w:val="fr-CA"/>
        </w:rPr>
        <w:t>) a un troisième objet, garantir que la peine infligée corresponde au degré</w:t>
      </w:r>
      <w:r w:rsidR="006B72FC">
        <w:rPr>
          <w:rFonts w:cs="Times New Roman"/>
          <w:lang w:val="fr-CA"/>
        </w:rPr>
        <w:t xml:space="preserve"> de réprobation sociale associé</w:t>
      </w:r>
      <w:r w:rsidRPr="00B35658">
        <w:rPr>
          <w:rFonts w:cs="Times New Roman"/>
          <w:lang w:val="fr-CA"/>
        </w:rPr>
        <w:t xml:space="preserve"> à l’infraction au moment où la peine est infligée. Avec égards, cette proposition semble confondre la question de la </w:t>
      </w:r>
      <w:r w:rsidRPr="00B35658">
        <w:rPr>
          <w:rFonts w:cs="Times New Roman"/>
          <w:i/>
          <w:lang w:val="fr-CA"/>
        </w:rPr>
        <w:t>disponibilité</w:t>
      </w:r>
      <w:r w:rsidRPr="00B35658">
        <w:rPr>
          <w:rFonts w:cs="Times New Roman"/>
          <w:lang w:val="fr-CA"/>
        </w:rPr>
        <w:t xml:space="preserve"> d’une peine et la natu</w:t>
      </w:r>
      <w:r w:rsidR="007E273D">
        <w:rPr>
          <w:rFonts w:cs="Times New Roman"/>
          <w:lang w:val="fr-CA"/>
        </w:rPr>
        <w:t>re juste et appropriée de celle</w:t>
      </w:r>
      <w:r w:rsidR="007E273D" w:rsidRPr="00B35658">
        <w:rPr>
          <w:lang w:val="fr-CA"/>
        </w:rPr>
        <w:noBreakHyphen/>
      </w:r>
      <w:r w:rsidRPr="00B35658">
        <w:rPr>
          <w:rFonts w:cs="Times New Roman"/>
          <w:lang w:val="fr-CA"/>
        </w:rPr>
        <w:t>ci. La détermination d’une peine juste et appropriée est un exercice éminemment individualisé, qui fait appel à une panoplie de facteurs dont la gravité de l’infraction, le degré de responsabilité du délinquant et les circonstances particulières de chaque cas :</w:t>
      </w:r>
      <w:r w:rsidRPr="00B35658">
        <w:rPr>
          <w:rFonts w:cs="Times New Roman"/>
          <w:i/>
          <w:lang w:val="fr-CA"/>
        </w:rPr>
        <w:t xml:space="preserve"> R. c. </w:t>
      </w:r>
      <w:proofErr w:type="spellStart"/>
      <w:r w:rsidRPr="00B35658">
        <w:rPr>
          <w:rFonts w:cs="Times New Roman"/>
          <w:i/>
          <w:lang w:val="fr-CA"/>
        </w:rPr>
        <w:t>Lacasse</w:t>
      </w:r>
      <w:proofErr w:type="spellEnd"/>
      <w:r w:rsidRPr="00B35658">
        <w:rPr>
          <w:rFonts w:cs="Times New Roman"/>
          <w:lang w:val="fr-CA"/>
        </w:rPr>
        <w:t>, 2015</w:t>
      </w:r>
      <w:r w:rsidR="00883CC8" w:rsidRPr="00B35658">
        <w:rPr>
          <w:rFonts w:cs="Times New Roman"/>
          <w:lang w:val="fr-CA"/>
        </w:rPr>
        <w:t xml:space="preserve"> </w:t>
      </w:r>
      <w:r w:rsidRPr="00B35658">
        <w:rPr>
          <w:rFonts w:cs="Times New Roman"/>
          <w:lang w:val="fr-CA"/>
        </w:rPr>
        <w:t>CSC</w:t>
      </w:r>
      <w:r w:rsidR="00883CC8" w:rsidRPr="00B35658">
        <w:rPr>
          <w:rFonts w:cs="Times New Roman"/>
          <w:lang w:val="fr-CA"/>
        </w:rPr>
        <w:t xml:space="preserve"> 64, [2015] 3 R.C.S. 1089, par. </w:t>
      </w:r>
      <w:r w:rsidRPr="00B35658">
        <w:rPr>
          <w:rFonts w:cs="Times New Roman"/>
          <w:lang w:val="fr-CA"/>
        </w:rPr>
        <w:t>58. Cependant, la disponibilité d’une peine n’indique aucunement que son infliction sera juste et appropriée dans le cas en question. Dans une affaire concernant de multiples abus sexuels sérieux contre un jeune parent, il se peut que l’emprisonnement avec sursis ne soit pas une peine juste et appropriée. Or, ceci n’est pas la question dont nous sommes saisis.</w:t>
      </w:r>
    </w:p>
    <w:p w:rsidR="00460821" w:rsidRPr="00DA05D1" w:rsidRDefault="00460821" w:rsidP="00460821">
      <w:pPr>
        <w:pStyle w:val="ParaNoNdepar-AltN"/>
        <w:numPr>
          <w:ilvl w:val="0"/>
          <w:numId w:val="33"/>
        </w:numPr>
        <w:rPr>
          <w:rFonts w:cs="Times New Roman"/>
          <w:lang w:val="fr-CA"/>
        </w:rPr>
      </w:pPr>
      <w:r w:rsidRPr="00B35658">
        <w:rPr>
          <w:rFonts w:cs="Times New Roman"/>
          <w:lang w:val="fr-CA"/>
        </w:rPr>
        <w:t>Pour ces motifs, je rejetterais l’appel sur le fond.</w:t>
      </w:r>
    </w:p>
    <w:p w:rsidR="004D7D95" w:rsidRPr="00B35658" w:rsidRDefault="004D7D95" w:rsidP="00295AF0">
      <w:pPr>
        <w:pStyle w:val="SCCNormalDoubleSpacing"/>
        <w:spacing w:after="480"/>
        <w:rPr>
          <w:i/>
          <w:lang w:val="fr-CA"/>
        </w:rPr>
      </w:pPr>
      <w:r w:rsidRPr="00B35658">
        <w:rPr>
          <w:lang w:val="fr-CA"/>
        </w:rPr>
        <w:lastRenderedPageBreak/>
        <w:tab/>
      </w:r>
      <w:r w:rsidR="000005D0" w:rsidRPr="00B35658">
        <w:rPr>
          <w:i/>
          <w:lang w:val="fr-CA"/>
        </w:rPr>
        <w:t>Pourvoi</w:t>
      </w:r>
      <w:r w:rsidR="008E459E" w:rsidRPr="00B35658">
        <w:rPr>
          <w:i/>
          <w:lang w:val="fr-CA"/>
        </w:rPr>
        <w:t xml:space="preserve"> accueilli</w:t>
      </w:r>
      <w:r w:rsidR="00C471E0" w:rsidRPr="00B35658">
        <w:rPr>
          <w:i/>
          <w:lang w:val="fr-CA"/>
        </w:rPr>
        <w:t xml:space="preserve">, </w:t>
      </w:r>
      <w:r w:rsidR="00C471E0" w:rsidRPr="00B35658">
        <w:rPr>
          <w:i/>
          <w:iCs/>
          <w:lang w:val="fr-CA"/>
        </w:rPr>
        <w:t xml:space="preserve">les juges </w:t>
      </w:r>
      <w:r w:rsidR="00C471E0" w:rsidRPr="00B35658">
        <w:rPr>
          <w:smallCaps/>
          <w:lang w:val="fr-CA"/>
        </w:rPr>
        <w:t>Abella</w:t>
      </w:r>
      <w:r w:rsidR="00C471E0" w:rsidRPr="00B35658">
        <w:rPr>
          <w:i/>
          <w:iCs/>
          <w:lang w:val="fr-CA"/>
        </w:rPr>
        <w:t xml:space="preserve">, </w:t>
      </w:r>
      <w:proofErr w:type="spellStart"/>
      <w:r w:rsidR="00C471E0" w:rsidRPr="00B35658">
        <w:rPr>
          <w:smallCaps/>
          <w:lang w:val="fr-CA"/>
        </w:rPr>
        <w:t>Karakatsanis</w:t>
      </w:r>
      <w:proofErr w:type="spellEnd"/>
      <w:r w:rsidR="00C471E0" w:rsidRPr="00B35658">
        <w:rPr>
          <w:i/>
          <w:iCs/>
          <w:lang w:val="fr-CA"/>
        </w:rPr>
        <w:t xml:space="preserve"> et </w:t>
      </w:r>
      <w:r w:rsidR="00C471E0" w:rsidRPr="00B35658">
        <w:rPr>
          <w:smallCaps/>
          <w:lang w:val="fr-CA"/>
        </w:rPr>
        <w:t xml:space="preserve">Brown </w:t>
      </w:r>
      <w:r w:rsidR="00C471E0" w:rsidRPr="00B35658">
        <w:rPr>
          <w:i/>
          <w:iCs/>
          <w:lang w:val="fr-CA"/>
        </w:rPr>
        <w:t>sont dissidents.</w:t>
      </w:r>
    </w:p>
    <w:p w:rsidR="000F4163" w:rsidRPr="00B35658" w:rsidRDefault="000005D0" w:rsidP="00295AF0">
      <w:pPr>
        <w:pStyle w:val="SCCLawFirm"/>
        <w:spacing w:after="480"/>
        <w:rPr>
          <w:lang w:val="fr-CA"/>
        </w:rPr>
      </w:pPr>
      <w:r w:rsidRPr="00B35658">
        <w:rPr>
          <w:lang w:val="fr-CA"/>
        </w:rPr>
        <w:tab/>
        <w:t>Procureur</w:t>
      </w:r>
      <w:r w:rsidR="004D6A1C" w:rsidRPr="00B35658">
        <w:rPr>
          <w:lang w:val="fr-CA"/>
        </w:rPr>
        <w:t xml:space="preserve"> de l</w:t>
      </w:r>
      <w:r w:rsidR="00926DDA" w:rsidRPr="00B35658">
        <w:rPr>
          <w:lang w:val="fr-CA"/>
        </w:rPr>
        <w:t>’</w:t>
      </w:r>
      <w:r w:rsidRPr="00B35658">
        <w:rPr>
          <w:lang w:val="fr-CA"/>
        </w:rPr>
        <w:t>appelant</w:t>
      </w:r>
      <w:r w:rsidR="004D6A1C" w:rsidRPr="00B35658">
        <w:rPr>
          <w:lang w:val="fr-CA"/>
        </w:rPr>
        <w:t>e</w:t>
      </w:r>
      <w:r w:rsidR="00295AF0" w:rsidRPr="00B35658">
        <w:rPr>
          <w:lang w:val="fr-CA"/>
        </w:rPr>
        <w:t> </w:t>
      </w:r>
      <w:r w:rsidR="00B20B99" w:rsidRPr="00B35658">
        <w:rPr>
          <w:lang w:val="fr-CA"/>
        </w:rPr>
        <w:t>: </w:t>
      </w:r>
      <w:r w:rsidR="004D6A1C" w:rsidRPr="00B35658">
        <w:rPr>
          <w:lang w:val="fr-CA"/>
        </w:rPr>
        <w:t xml:space="preserve">Directeur des poursuites </w:t>
      </w:r>
      <w:r w:rsidR="00470013" w:rsidRPr="00B35658">
        <w:rPr>
          <w:lang w:val="fr-CA"/>
        </w:rPr>
        <w:t>criminelles et pénales</w:t>
      </w:r>
      <w:r w:rsidR="004D6A1C" w:rsidRPr="00B35658">
        <w:rPr>
          <w:lang w:val="fr-CA"/>
        </w:rPr>
        <w:t>, Longueuil.</w:t>
      </w:r>
    </w:p>
    <w:p w:rsidR="000F4163" w:rsidRPr="00B35658" w:rsidRDefault="000005D0" w:rsidP="00295AF0">
      <w:pPr>
        <w:pStyle w:val="SCCLawFirm"/>
        <w:spacing w:after="480"/>
        <w:rPr>
          <w:lang w:val="fr-CA"/>
        </w:rPr>
      </w:pPr>
      <w:r w:rsidRPr="00B35658">
        <w:rPr>
          <w:lang w:val="fr-CA"/>
        </w:rPr>
        <w:tab/>
        <w:t>Procureurs</w:t>
      </w:r>
      <w:r w:rsidR="004D6A1C" w:rsidRPr="00B35658">
        <w:rPr>
          <w:lang w:val="fr-CA"/>
        </w:rPr>
        <w:t xml:space="preserve"> de l</w:t>
      </w:r>
      <w:r w:rsidR="00926DDA" w:rsidRPr="00B35658">
        <w:rPr>
          <w:lang w:val="fr-CA"/>
        </w:rPr>
        <w:t>’</w:t>
      </w:r>
      <w:r w:rsidR="004D6A1C" w:rsidRPr="00B35658">
        <w:rPr>
          <w:lang w:val="fr-CA"/>
        </w:rPr>
        <w:t>intimé</w:t>
      </w:r>
      <w:r w:rsidR="00295AF0" w:rsidRPr="00B35658">
        <w:rPr>
          <w:lang w:val="fr-CA"/>
        </w:rPr>
        <w:t> </w:t>
      </w:r>
      <w:r w:rsidR="00B20B99" w:rsidRPr="00B35658">
        <w:rPr>
          <w:lang w:val="fr-CA"/>
        </w:rPr>
        <w:t>: </w:t>
      </w:r>
      <w:proofErr w:type="spellStart"/>
      <w:r w:rsidR="004D6A1C" w:rsidRPr="00B35658">
        <w:rPr>
          <w:lang w:val="fr-CA"/>
        </w:rPr>
        <w:t>Poitras</w:t>
      </w:r>
      <w:proofErr w:type="spellEnd"/>
      <w:r w:rsidR="004D6A1C" w:rsidRPr="00B35658">
        <w:rPr>
          <w:lang w:val="fr-CA"/>
        </w:rPr>
        <w:t>, Fournier, Cossette, Granby</w:t>
      </w:r>
      <w:r w:rsidRPr="00B35658">
        <w:rPr>
          <w:lang w:val="fr-CA"/>
        </w:rPr>
        <w:t xml:space="preserve">; Desrosiers, </w:t>
      </w:r>
      <w:proofErr w:type="spellStart"/>
      <w:r w:rsidRPr="00B35658">
        <w:rPr>
          <w:lang w:val="fr-CA"/>
        </w:rPr>
        <w:t>Joncas</w:t>
      </w:r>
      <w:proofErr w:type="spellEnd"/>
      <w:r w:rsidRPr="00B35658">
        <w:rPr>
          <w:lang w:val="fr-CA"/>
        </w:rPr>
        <w:t xml:space="preserve">, </w:t>
      </w:r>
      <w:proofErr w:type="spellStart"/>
      <w:r w:rsidRPr="00B35658">
        <w:rPr>
          <w:lang w:val="fr-CA"/>
        </w:rPr>
        <w:t>Nouraie</w:t>
      </w:r>
      <w:proofErr w:type="spellEnd"/>
      <w:r w:rsidRPr="00B35658">
        <w:rPr>
          <w:lang w:val="fr-CA"/>
        </w:rPr>
        <w:t xml:space="preserve">, </w:t>
      </w:r>
      <w:proofErr w:type="spellStart"/>
      <w:r w:rsidRPr="00B35658">
        <w:rPr>
          <w:lang w:val="fr-CA"/>
        </w:rPr>
        <w:t>Massicotte</w:t>
      </w:r>
      <w:proofErr w:type="spellEnd"/>
      <w:r w:rsidRPr="00B35658">
        <w:rPr>
          <w:lang w:val="fr-CA"/>
        </w:rPr>
        <w:t>, Montréal</w:t>
      </w:r>
      <w:r w:rsidR="004D6A1C" w:rsidRPr="00B35658">
        <w:rPr>
          <w:lang w:val="fr-CA"/>
        </w:rPr>
        <w:t>.</w:t>
      </w:r>
    </w:p>
    <w:p w:rsidR="000F4163" w:rsidRPr="00B35658" w:rsidRDefault="004D6A1C" w:rsidP="00295AF0">
      <w:pPr>
        <w:pStyle w:val="SCCLawFirm"/>
        <w:spacing w:after="480"/>
        <w:rPr>
          <w:lang w:val="fr-CA"/>
        </w:rPr>
      </w:pPr>
      <w:r w:rsidRPr="00B35658">
        <w:rPr>
          <w:lang w:val="fr-CA"/>
        </w:rPr>
        <w:tab/>
      </w:r>
      <w:r w:rsidR="000005D0" w:rsidRPr="00B35658">
        <w:rPr>
          <w:lang w:val="fr-CA"/>
        </w:rPr>
        <w:t>Procureur</w:t>
      </w:r>
      <w:r w:rsidRPr="00B35658">
        <w:rPr>
          <w:lang w:val="fr-CA"/>
        </w:rPr>
        <w:t xml:space="preserve"> de l</w:t>
      </w:r>
      <w:r w:rsidR="00926DDA" w:rsidRPr="00B35658">
        <w:rPr>
          <w:lang w:val="fr-CA"/>
        </w:rPr>
        <w:t>’</w:t>
      </w:r>
      <w:r w:rsidR="00470013" w:rsidRPr="00B35658">
        <w:rPr>
          <w:lang w:val="fr-CA"/>
        </w:rPr>
        <w:t>intervenant le</w:t>
      </w:r>
      <w:r w:rsidR="00F75E2E" w:rsidRPr="00B35658">
        <w:rPr>
          <w:lang w:val="fr-CA"/>
        </w:rPr>
        <w:t xml:space="preserve"> p</w:t>
      </w:r>
      <w:r w:rsidRPr="00B35658">
        <w:rPr>
          <w:lang w:val="fr-CA"/>
        </w:rPr>
        <w:t>rocureur général de l</w:t>
      </w:r>
      <w:r w:rsidR="00926DDA" w:rsidRPr="00B35658">
        <w:rPr>
          <w:lang w:val="fr-CA"/>
        </w:rPr>
        <w:t>’</w:t>
      </w:r>
      <w:r w:rsidRPr="00B35658">
        <w:rPr>
          <w:lang w:val="fr-CA"/>
        </w:rPr>
        <w:t>Ontario</w:t>
      </w:r>
      <w:r w:rsidR="00295AF0" w:rsidRPr="00B35658">
        <w:rPr>
          <w:lang w:val="fr-CA"/>
        </w:rPr>
        <w:t> </w:t>
      </w:r>
      <w:r w:rsidR="00B20B99" w:rsidRPr="00B35658">
        <w:rPr>
          <w:lang w:val="fr-CA"/>
        </w:rPr>
        <w:t>: </w:t>
      </w:r>
      <w:r w:rsidR="000005D0" w:rsidRPr="00B35658">
        <w:rPr>
          <w:lang w:val="fr-CA"/>
        </w:rPr>
        <w:t>P</w:t>
      </w:r>
      <w:r w:rsidR="00470013" w:rsidRPr="00B35658">
        <w:rPr>
          <w:lang w:val="fr-CA"/>
        </w:rPr>
        <w:t>rocureur général de l’Ontario</w:t>
      </w:r>
      <w:r w:rsidRPr="00B35658">
        <w:rPr>
          <w:lang w:val="fr-CA"/>
        </w:rPr>
        <w:t>, Toronto.</w:t>
      </w:r>
    </w:p>
    <w:p w:rsidR="000F4163" w:rsidRPr="00B35658" w:rsidRDefault="004D6A1C" w:rsidP="00295AF0">
      <w:pPr>
        <w:pStyle w:val="SCCLawFirm"/>
        <w:spacing w:after="480"/>
        <w:rPr>
          <w:lang w:val="fr-CA"/>
        </w:rPr>
      </w:pPr>
      <w:r w:rsidRPr="00B35658">
        <w:rPr>
          <w:lang w:val="fr-CA"/>
        </w:rPr>
        <w:tab/>
      </w:r>
      <w:r w:rsidR="000005D0" w:rsidRPr="00B35658">
        <w:rPr>
          <w:lang w:val="fr-CA"/>
        </w:rPr>
        <w:t>Procureurs</w:t>
      </w:r>
      <w:r w:rsidRPr="00B35658">
        <w:rPr>
          <w:lang w:val="fr-CA"/>
        </w:rPr>
        <w:t xml:space="preserve"> de l</w:t>
      </w:r>
      <w:r w:rsidR="00926DDA" w:rsidRPr="00B35658">
        <w:rPr>
          <w:lang w:val="fr-CA"/>
        </w:rPr>
        <w:t>’</w:t>
      </w:r>
      <w:r w:rsidRPr="00B35658">
        <w:rPr>
          <w:lang w:val="fr-CA"/>
        </w:rPr>
        <w:t>intervenante</w:t>
      </w:r>
      <w:r w:rsidR="000005D0" w:rsidRPr="00B35658">
        <w:rPr>
          <w:lang w:val="fr-CA"/>
        </w:rPr>
        <w:t xml:space="preserve"> l’</w:t>
      </w:r>
      <w:r w:rsidRPr="00B35658">
        <w:rPr>
          <w:lang w:val="fr-CA"/>
        </w:rPr>
        <w:t>Association québécoise des avocats et avocates de la dé</w:t>
      </w:r>
      <w:r w:rsidR="000005D0" w:rsidRPr="00B35658">
        <w:rPr>
          <w:lang w:val="fr-CA"/>
        </w:rPr>
        <w:t>fense</w:t>
      </w:r>
      <w:r w:rsidR="00295AF0" w:rsidRPr="00B35658">
        <w:rPr>
          <w:lang w:val="fr-CA"/>
        </w:rPr>
        <w:t> </w:t>
      </w:r>
      <w:r w:rsidR="00B20B99" w:rsidRPr="00B35658">
        <w:rPr>
          <w:lang w:val="fr-CA"/>
        </w:rPr>
        <w:t>: </w:t>
      </w:r>
      <w:r w:rsidR="000005D0" w:rsidRPr="00B35658">
        <w:rPr>
          <w:lang w:val="fr-CA"/>
        </w:rPr>
        <w:t>Carette Desjardins</w:t>
      </w:r>
      <w:r w:rsidRPr="00B35658">
        <w:rPr>
          <w:lang w:val="fr-CA"/>
        </w:rPr>
        <w:t>, Montréal.</w:t>
      </w:r>
    </w:p>
    <w:p w:rsidR="009B57B3" w:rsidRPr="00B35658" w:rsidRDefault="004D6A1C" w:rsidP="004D6A1C">
      <w:pPr>
        <w:pStyle w:val="SCCLawFirm"/>
        <w:rPr>
          <w:lang w:val="fr-CA"/>
        </w:rPr>
      </w:pPr>
      <w:r w:rsidRPr="00B35658">
        <w:rPr>
          <w:lang w:val="fr-CA"/>
        </w:rPr>
        <w:tab/>
      </w:r>
      <w:r w:rsidR="000005D0" w:rsidRPr="00B35658">
        <w:rPr>
          <w:lang w:val="fr-CA"/>
        </w:rPr>
        <w:t>Procureur</w:t>
      </w:r>
      <w:r w:rsidRPr="00B35658">
        <w:rPr>
          <w:lang w:val="fr-CA"/>
        </w:rPr>
        <w:t>s de l</w:t>
      </w:r>
      <w:r w:rsidR="00926DDA" w:rsidRPr="00B35658">
        <w:rPr>
          <w:lang w:val="fr-CA"/>
        </w:rPr>
        <w:t>’</w:t>
      </w:r>
      <w:r w:rsidRPr="00B35658">
        <w:rPr>
          <w:lang w:val="fr-CA"/>
        </w:rPr>
        <w:t xml:space="preserve">intervenante </w:t>
      </w:r>
      <w:proofErr w:type="spellStart"/>
      <w:r w:rsidRPr="00B35658">
        <w:rPr>
          <w:lang w:val="fr-CA"/>
        </w:rPr>
        <w:t>Criminal</w:t>
      </w:r>
      <w:proofErr w:type="spellEnd"/>
      <w:r w:rsidRPr="00B35658">
        <w:rPr>
          <w:lang w:val="fr-CA"/>
        </w:rPr>
        <w:t xml:space="preserve"> </w:t>
      </w:r>
      <w:proofErr w:type="spellStart"/>
      <w:r w:rsidRPr="00B35658">
        <w:rPr>
          <w:lang w:val="fr-CA"/>
        </w:rPr>
        <w:t>Lawyers</w:t>
      </w:r>
      <w:proofErr w:type="spellEnd"/>
      <w:r w:rsidR="00926DDA" w:rsidRPr="00B35658">
        <w:rPr>
          <w:lang w:val="fr-CA"/>
        </w:rPr>
        <w:t>’</w:t>
      </w:r>
      <w:r w:rsidRPr="00B35658">
        <w:rPr>
          <w:lang w:val="fr-CA"/>
        </w:rPr>
        <w:t xml:space="preserve"> Association</w:t>
      </w:r>
      <w:r w:rsidR="00295AF0" w:rsidRPr="00B35658">
        <w:rPr>
          <w:lang w:val="fr-CA"/>
        </w:rPr>
        <w:t> </w:t>
      </w:r>
      <w:r w:rsidR="00B20B99" w:rsidRPr="00B35658">
        <w:rPr>
          <w:lang w:val="fr-CA"/>
        </w:rPr>
        <w:t>: </w:t>
      </w:r>
      <w:proofErr w:type="spellStart"/>
      <w:r w:rsidRPr="00B35658">
        <w:rPr>
          <w:lang w:val="fr-CA"/>
        </w:rPr>
        <w:t>Rusonik</w:t>
      </w:r>
      <w:proofErr w:type="spellEnd"/>
      <w:r w:rsidRPr="00B35658">
        <w:rPr>
          <w:lang w:val="fr-CA"/>
        </w:rPr>
        <w:t xml:space="preserve">, </w:t>
      </w:r>
      <w:proofErr w:type="spellStart"/>
      <w:r w:rsidRPr="00B35658">
        <w:rPr>
          <w:lang w:val="fr-CA"/>
        </w:rPr>
        <w:t>O</w:t>
      </w:r>
      <w:r w:rsidR="00926DDA" w:rsidRPr="00B35658">
        <w:rPr>
          <w:lang w:val="fr-CA"/>
        </w:rPr>
        <w:t>’</w:t>
      </w:r>
      <w:r w:rsidR="000005D0" w:rsidRPr="00B35658">
        <w:rPr>
          <w:lang w:val="fr-CA"/>
        </w:rPr>
        <w:t>Connor</w:t>
      </w:r>
      <w:proofErr w:type="spellEnd"/>
      <w:r w:rsidRPr="00B35658">
        <w:rPr>
          <w:lang w:val="fr-CA"/>
        </w:rPr>
        <w:t xml:space="preserve">, Ross, </w:t>
      </w:r>
      <w:proofErr w:type="spellStart"/>
      <w:r w:rsidRPr="00B35658">
        <w:rPr>
          <w:lang w:val="fr-CA"/>
        </w:rPr>
        <w:t>Gorham</w:t>
      </w:r>
      <w:proofErr w:type="spellEnd"/>
      <w:r w:rsidRPr="00B35658">
        <w:rPr>
          <w:lang w:val="fr-CA"/>
        </w:rPr>
        <w:t xml:space="preserve"> &amp; </w:t>
      </w:r>
      <w:proofErr w:type="spellStart"/>
      <w:r w:rsidRPr="00B35658">
        <w:rPr>
          <w:lang w:val="fr-CA"/>
        </w:rPr>
        <w:t>Angelini</w:t>
      </w:r>
      <w:proofErr w:type="spellEnd"/>
      <w:r w:rsidRPr="00B35658">
        <w:rPr>
          <w:lang w:val="fr-CA"/>
        </w:rPr>
        <w:t>, Toronto</w:t>
      </w:r>
      <w:r w:rsidR="000005D0" w:rsidRPr="00B35658">
        <w:rPr>
          <w:lang w:val="fr-CA"/>
        </w:rPr>
        <w:t xml:space="preserve">; Edward </w:t>
      </w:r>
      <w:proofErr w:type="spellStart"/>
      <w:r w:rsidR="000005D0" w:rsidRPr="00B35658">
        <w:rPr>
          <w:lang w:val="fr-CA"/>
        </w:rPr>
        <w:t>Royle</w:t>
      </w:r>
      <w:proofErr w:type="spellEnd"/>
      <w:r w:rsidR="000005D0" w:rsidRPr="00B35658">
        <w:rPr>
          <w:lang w:val="fr-CA"/>
        </w:rPr>
        <w:t xml:space="preserve"> &amp; </w:t>
      </w:r>
      <w:proofErr w:type="spellStart"/>
      <w:r w:rsidR="000005D0" w:rsidRPr="00B35658">
        <w:rPr>
          <w:lang w:val="fr-CA"/>
        </w:rPr>
        <w:t>Partners</w:t>
      </w:r>
      <w:proofErr w:type="spellEnd"/>
      <w:r w:rsidR="000005D0" w:rsidRPr="00B35658">
        <w:rPr>
          <w:lang w:val="fr-CA"/>
        </w:rPr>
        <w:t>, Toronto.</w:t>
      </w:r>
    </w:p>
    <w:sectPr w:rsidR="009B57B3" w:rsidRPr="00B3565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75" w:rsidRDefault="00946575">
      <w:r>
        <w:separator/>
      </w:r>
    </w:p>
  </w:endnote>
  <w:endnote w:type="continuationSeparator" w:id="0">
    <w:p w:rsidR="00946575" w:rsidRDefault="0094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Default="005D6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Default="005D6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Default="005D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75" w:rsidRDefault="00946575">
      <w:r>
        <w:separator/>
      </w:r>
    </w:p>
  </w:footnote>
  <w:footnote w:type="continuationSeparator" w:id="0">
    <w:p w:rsidR="00946575" w:rsidRDefault="0094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Default="005D6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Pr="00450352" w:rsidRDefault="005D652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8" w:rsidRDefault="005D6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453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5D2D"/>
    <w:multiLevelType w:val="hybridMultilevel"/>
    <w:tmpl w:val="5EB255C2"/>
    <w:lvl w:ilvl="0" w:tplc="74F69FA8">
      <w:start w:val="1"/>
      <w:numFmt w:val="upperRoman"/>
      <w:pStyle w:val="TOC1"/>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70BF5"/>
    <w:multiLevelType w:val="hybridMultilevel"/>
    <w:tmpl w:val="DD8E3362"/>
    <w:lvl w:ilvl="0" w:tplc="9ED25E4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A07E27"/>
    <w:multiLevelType w:val="hybridMultilevel"/>
    <w:tmpl w:val="08E81434"/>
    <w:lvl w:ilvl="0" w:tplc="25047178">
      <w:numFmt w:val="bullet"/>
      <w:lvlText w:val="-"/>
      <w:lvlJc w:val="left"/>
      <w:pPr>
        <w:ind w:left="789" w:hanging="360"/>
      </w:pPr>
      <w:rPr>
        <w:rFonts w:ascii="Calibri" w:eastAsiaTheme="minorHAnsi" w:hAnsi="Calibri" w:cs="Calibri"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0E062C74"/>
    <w:multiLevelType w:val="multilevel"/>
    <w:tmpl w:val="46B62F18"/>
    <w:lvl w:ilvl="0">
      <w:start w:val="7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rPr>
    </w:lvl>
    <w:lvl w:ilvl="2">
      <w:start w:val="1"/>
      <w:numFmt w:val="lowerRoman"/>
      <w:lvlText w:val="%3)"/>
      <w:lvlJc w:val="left"/>
      <w:pPr>
        <w:ind w:left="1151" w:hanging="57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51" w:hanging="573"/>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76F41"/>
    <w:multiLevelType w:val="multilevel"/>
    <w:tmpl w:val="19705C10"/>
    <w:lvl w:ilvl="0">
      <w:start w:val="122"/>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rPr>
    </w:lvl>
    <w:lvl w:ilvl="2">
      <w:start w:val="1"/>
      <w:numFmt w:val="lowerRoman"/>
      <w:lvlText w:val="%3)"/>
      <w:lvlJc w:val="left"/>
      <w:pPr>
        <w:ind w:left="1151" w:hanging="57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51" w:hanging="573"/>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A0487"/>
    <w:multiLevelType w:val="hybridMultilevel"/>
    <w:tmpl w:val="D6FE5BCE"/>
    <w:lvl w:ilvl="0" w:tplc="D95C3970">
      <w:numFmt w:val="bullet"/>
      <w:lvlText w:val="-"/>
      <w:lvlJc w:val="left"/>
      <w:pPr>
        <w:ind w:left="3150" w:hanging="360"/>
      </w:pPr>
      <w:rPr>
        <w:rFonts w:ascii="Times New Roman" w:eastAsia="Times New Roman" w:hAnsi="Times New Roman" w:cs="Times New Roman"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38BA6F99"/>
    <w:multiLevelType w:val="hybridMultilevel"/>
    <w:tmpl w:val="A9BAC302"/>
    <w:lvl w:ilvl="0" w:tplc="66A67608">
      <w:start w:val="3"/>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0" w15:restartNumberingAfterBreak="0">
    <w:nsid w:val="436361BF"/>
    <w:multiLevelType w:val="hybridMultilevel"/>
    <w:tmpl w:val="0C9AE180"/>
    <w:lvl w:ilvl="0" w:tplc="915C17E0">
      <w:start w:val="1"/>
      <w:numFmt w:val="upperLetter"/>
      <w:lvlText w:val="%1."/>
      <w:lvlJc w:val="left"/>
      <w:pPr>
        <w:ind w:left="720" w:firstLine="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03130A"/>
    <w:multiLevelType w:val="multilevel"/>
    <w:tmpl w:val="E1DC6446"/>
    <w:lvl w:ilvl="0">
      <w:start w:val="2"/>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8285D79"/>
    <w:multiLevelType w:val="multilevel"/>
    <w:tmpl w:val="7BC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52798"/>
    <w:multiLevelType w:val="hybridMultilevel"/>
    <w:tmpl w:val="AC8E6A7A"/>
    <w:lvl w:ilvl="0" w:tplc="D9D8E070">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4A0AB12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rPr>
    </w:lvl>
    <w:lvl w:ilvl="2">
      <w:start w:val="1"/>
      <w:numFmt w:val="lowerRoman"/>
      <w:lvlText w:val="%3)"/>
      <w:lvlJc w:val="left"/>
      <w:pPr>
        <w:ind w:left="1151" w:hanging="573"/>
      </w:pPr>
      <w:rPr>
        <w:rFonts w:hint="default"/>
      </w:rPr>
    </w:lvl>
    <w:lvl w:ilvl="3">
      <w:start w:val="1"/>
      <w:numFmt w:val="decimal"/>
      <w:lvlText w:val="(%4)"/>
      <w:lvlJc w:val="left"/>
      <w:pPr>
        <w:ind w:left="1440" w:hanging="360"/>
      </w:pPr>
      <w:rPr>
        <w:rFonts w:hint="default"/>
      </w:rPr>
    </w:lvl>
    <w:lvl w:ilvl="4">
      <w:start w:val="1"/>
      <w:numFmt w:val="lowerLetter"/>
      <w:lvlRestart w:val="0"/>
      <w:lvlText w:val="%5)"/>
      <w:lvlJc w:val="left"/>
      <w:pPr>
        <w:ind w:left="1151" w:hanging="573"/>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907CB8"/>
    <w:multiLevelType w:val="multilevel"/>
    <w:tmpl w:val="04B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841DA"/>
    <w:multiLevelType w:val="hybridMultilevel"/>
    <w:tmpl w:val="38CAEC0A"/>
    <w:lvl w:ilvl="0" w:tplc="CDDC1BAE">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9" w15:restartNumberingAfterBreak="0">
    <w:nsid w:val="5DF001F3"/>
    <w:multiLevelType w:val="hybridMultilevel"/>
    <w:tmpl w:val="93A00604"/>
    <w:lvl w:ilvl="0" w:tplc="CF381052">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FB62DC"/>
    <w:multiLevelType w:val="hybridMultilevel"/>
    <w:tmpl w:val="77986528"/>
    <w:lvl w:ilvl="0" w:tplc="7A6CE936">
      <w:start w:val="6"/>
      <w:numFmt w:val="lowerLetter"/>
      <w:lvlText w:val="(%1)"/>
      <w:lvlJc w:val="left"/>
      <w:pPr>
        <w:ind w:left="938" w:hanging="360"/>
      </w:pPr>
      <w:rPr>
        <w:rFonts w:hint="default"/>
        <w:i w:val="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2" w15:restartNumberingAfterBreak="0">
    <w:nsid w:val="6CB77BF3"/>
    <w:multiLevelType w:val="multilevel"/>
    <w:tmpl w:val="4C2CA2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151" w:hanging="573"/>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245265"/>
    <w:multiLevelType w:val="multilevel"/>
    <w:tmpl w:val="326240F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rPr>
    </w:lvl>
    <w:lvl w:ilvl="2">
      <w:start w:val="1"/>
      <w:numFmt w:val="lowerRoman"/>
      <w:lvlText w:val="%3)"/>
      <w:lvlJc w:val="left"/>
      <w:pPr>
        <w:ind w:left="1151" w:hanging="573"/>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151" w:hanging="573"/>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CE0BC0"/>
    <w:multiLevelType w:val="multilevel"/>
    <w:tmpl w:val="19D429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151" w:hanging="57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1"/>
  </w:num>
  <w:num w:numId="3">
    <w:abstractNumId w:val="4"/>
  </w:num>
  <w:num w:numId="4">
    <w:abstractNumId w:val="2"/>
  </w:num>
  <w:num w:numId="5">
    <w:abstractNumId w:val="8"/>
  </w:num>
  <w:num w:numId="6">
    <w:abstractNumId w:val="16"/>
  </w:num>
  <w:num w:numId="7">
    <w:abstractNumId w:val="16"/>
    <w:lvlOverride w:ilvl="0">
      <w:startOverride w:val="3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3"/>
  </w:num>
  <w:num w:numId="11">
    <w:abstractNumId w:val="23"/>
    <w:lvlOverride w:ilvl="0">
      <w:startOverride w:val="6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71"/>
    </w:lvlOverride>
    <w:lvlOverride w:ilvl="1">
      <w:startOverride w:val="1"/>
    </w:lvlOverride>
    <w:lvlOverride w:ilvl="2">
      <w:startOverride w:val="1"/>
    </w:lvlOverride>
    <w:lvlOverride w:ilvl="3">
      <w:startOverride w:val="3"/>
    </w:lvlOverride>
  </w:num>
  <w:num w:numId="14">
    <w:abstractNumId w:val="11"/>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0"/>
  </w:num>
  <w:num w:numId="18">
    <w:abstractNumId w:val="21"/>
  </w:num>
  <w:num w:numId="19">
    <w:abstractNumId w:val="11"/>
    <w:lvlOverride w:ilvl="0">
      <w:startOverride w:val="4"/>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3"/>
  </w:num>
  <w:num w:numId="23">
    <w:abstractNumId w:val="14"/>
  </w:num>
  <w:num w:numId="24">
    <w:abstractNumId w:val="15"/>
  </w:num>
  <w:num w:numId="25">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0"/>
  </w:num>
  <w:num w:numId="27">
    <w:abstractNumId w:val="9"/>
  </w:num>
  <w:num w:numId="28">
    <w:abstractNumId w:val="19"/>
  </w:num>
  <w:num w:numId="29">
    <w:abstractNumId w:val="17"/>
  </w:num>
  <w:num w:numId="30">
    <w:abstractNumId w:val="12"/>
  </w:num>
  <w:num w:numId="31">
    <w:abstractNumId w:val="13"/>
  </w:num>
  <w:num w:numId="32">
    <w:abstractNumId w:val="18"/>
  </w:num>
  <w:num w:numId="33">
    <w:abstractNumId w:val="6"/>
  </w:num>
  <w:num w:numId="34">
    <w:abstractNumId w:val="11"/>
    <w:lvlOverride w:ilvl="0">
      <w:lvl w:ilvl="0">
        <w:start w:val="2"/>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1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6">
    <w:abstractNumId w:val="23"/>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5D0"/>
    <w:rsid w:val="00000ED4"/>
    <w:rsid w:val="00001CD7"/>
    <w:rsid w:val="00001E41"/>
    <w:rsid w:val="000023C8"/>
    <w:rsid w:val="00002ADA"/>
    <w:rsid w:val="00002F1E"/>
    <w:rsid w:val="000072BE"/>
    <w:rsid w:val="0001046A"/>
    <w:rsid w:val="0001143E"/>
    <w:rsid w:val="000138BA"/>
    <w:rsid w:val="00014923"/>
    <w:rsid w:val="00023FC7"/>
    <w:rsid w:val="00025198"/>
    <w:rsid w:val="00036534"/>
    <w:rsid w:val="00036C20"/>
    <w:rsid w:val="000409F2"/>
    <w:rsid w:val="000501E5"/>
    <w:rsid w:val="0005101E"/>
    <w:rsid w:val="000578A3"/>
    <w:rsid w:val="000648CC"/>
    <w:rsid w:val="0007349C"/>
    <w:rsid w:val="000809D1"/>
    <w:rsid w:val="0009098F"/>
    <w:rsid w:val="00093ED0"/>
    <w:rsid w:val="00094274"/>
    <w:rsid w:val="0009446F"/>
    <w:rsid w:val="000A09E9"/>
    <w:rsid w:val="000B0B76"/>
    <w:rsid w:val="000B13D2"/>
    <w:rsid w:val="000B2CB5"/>
    <w:rsid w:val="000B4CD8"/>
    <w:rsid w:val="000B58AB"/>
    <w:rsid w:val="000C24D8"/>
    <w:rsid w:val="000C2996"/>
    <w:rsid w:val="000C46A7"/>
    <w:rsid w:val="000C59B8"/>
    <w:rsid w:val="000C6AF0"/>
    <w:rsid w:val="000D09DA"/>
    <w:rsid w:val="000D0A77"/>
    <w:rsid w:val="000E35A9"/>
    <w:rsid w:val="000F4163"/>
    <w:rsid w:val="000F7124"/>
    <w:rsid w:val="000F7993"/>
    <w:rsid w:val="00102944"/>
    <w:rsid w:val="00104F33"/>
    <w:rsid w:val="00105E21"/>
    <w:rsid w:val="00111DE2"/>
    <w:rsid w:val="00116B38"/>
    <w:rsid w:val="001309B3"/>
    <w:rsid w:val="00135406"/>
    <w:rsid w:val="00135972"/>
    <w:rsid w:val="001426A9"/>
    <w:rsid w:val="00142DD0"/>
    <w:rsid w:val="00154D7C"/>
    <w:rsid w:val="00155177"/>
    <w:rsid w:val="00156145"/>
    <w:rsid w:val="00156AA9"/>
    <w:rsid w:val="001570B0"/>
    <w:rsid w:val="0015752C"/>
    <w:rsid w:val="00157737"/>
    <w:rsid w:val="00163C5C"/>
    <w:rsid w:val="00165277"/>
    <w:rsid w:val="00167A4F"/>
    <w:rsid w:val="00170592"/>
    <w:rsid w:val="001714B4"/>
    <w:rsid w:val="001720F7"/>
    <w:rsid w:val="00182946"/>
    <w:rsid w:val="00184135"/>
    <w:rsid w:val="00194D92"/>
    <w:rsid w:val="00195D83"/>
    <w:rsid w:val="001A00C1"/>
    <w:rsid w:val="001A2735"/>
    <w:rsid w:val="001A5693"/>
    <w:rsid w:val="001A665E"/>
    <w:rsid w:val="001B33E0"/>
    <w:rsid w:val="001B446B"/>
    <w:rsid w:val="001B4573"/>
    <w:rsid w:val="001B45AC"/>
    <w:rsid w:val="001C2047"/>
    <w:rsid w:val="001C779F"/>
    <w:rsid w:val="001D2AC1"/>
    <w:rsid w:val="001D469D"/>
    <w:rsid w:val="001D4E88"/>
    <w:rsid w:val="001D6B0C"/>
    <w:rsid w:val="001E258E"/>
    <w:rsid w:val="001E7102"/>
    <w:rsid w:val="001E71C1"/>
    <w:rsid w:val="001F282B"/>
    <w:rsid w:val="001F3D9D"/>
    <w:rsid w:val="001F7051"/>
    <w:rsid w:val="00210A25"/>
    <w:rsid w:val="00213254"/>
    <w:rsid w:val="00217BCA"/>
    <w:rsid w:val="00220FC2"/>
    <w:rsid w:val="00221725"/>
    <w:rsid w:val="002222F4"/>
    <w:rsid w:val="002231F2"/>
    <w:rsid w:val="00224FC0"/>
    <w:rsid w:val="00225EA4"/>
    <w:rsid w:val="00226EAF"/>
    <w:rsid w:val="00231F3A"/>
    <w:rsid w:val="002406EE"/>
    <w:rsid w:val="00241D20"/>
    <w:rsid w:val="00243EC8"/>
    <w:rsid w:val="00247A76"/>
    <w:rsid w:val="002542D7"/>
    <w:rsid w:val="0025510A"/>
    <w:rsid w:val="00261208"/>
    <w:rsid w:val="00266324"/>
    <w:rsid w:val="00270D93"/>
    <w:rsid w:val="0027240C"/>
    <w:rsid w:val="002745CC"/>
    <w:rsid w:val="0028017A"/>
    <w:rsid w:val="00280882"/>
    <w:rsid w:val="002835FA"/>
    <w:rsid w:val="00283BB9"/>
    <w:rsid w:val="00285548"/>
    <w:rsid w:val="002950A4"/>
    <w:rsid w:val="00295508"/>
    <w:rsid w:val="00295AF0"/>
    <w:rsid w:val="0029604C"/>
    <w:rsid w:val="002B05CF"/>
    <w:rsid w:val="002B126D"/>
    <w:rsid w:val="002B52EE"/>
    <w:rsid w:val="002B5C64"/>
    <w:rsid w:val="002B6FBE"/>
    <w:rsid w:val="002B7924"/>
    <w:rsid w:val="002C10A6"/>
    <w:rsid w:val="002C464D"/>
    <w:rsid w:val="002D0C9C"/>
    <w:rsid w:val="002D28C3"/>
    <w:rsid w:val="002D39A4"/>
    <w:rsid w:val="002E54F1"/>
    <w:rsid w:val="002E6705"/>
    <w:rsid w:val="002E7589"/>
    <w:rsid w:val="002F3844"/>
    <w:rsid w:val="002F3B8C"/>
    <w:rsid w:val="00300783"/>
    <w:rsid w:val="0030329A"/>
    <w:rsid w:val="00306610"/>
    <w:rsid w:val="0030725F"/>
    <w:rsid w:val="00307BBE"/>
    <w:rsid w:val="0031086F"/>
    <w:rsid w:val="0031414C"/>
    <w:rsid w:val="00314E01"/>
    <w:rsid w:val="0032032F"/>
    <w:rsid w:val="0032089D"/>
    <w:rsid w:val="00322A2A"/>
    <w:rsid w:val="003310DE"/>
    <w:rsid w:val="003323B0"/>
    <w:rsid w:val="003343CF"/>
    <w:rsid w:val="0033500D"/>
    <w:rsid w:val="0033520D"/>
    <w:rsid w:val="00340A49"/>
    <w:rsid w:val="0034141C"/>
    <w:rsid w:val="003426CE"/>
    <w:rsid w:val="0035169A"/>
    <w:rsid w:val="0035259D"/>
    <w:rsid w:val="00354102"/>
    <w:rsid w:val="00354A0A"/>
    <w:rsid w:val="00354A3A"/>
    <w:rsid w:val="00356E15"/>
    <w:rsid w:val="00364B18"/>
    <w:rsid w:val="00371ABE"/>
    <w:rsid w:val="00371FD6"/>
    <w:rsid w:val="00372C04"/>
    <w:rsid w:val="00375CBD"/>
    <w:rsid w:val="0037732F"/>
    <w:rsid w:val="003774AA"/>
    <w:rsid w:val="00381C28"/>
    <w:rsid w:val="00382145"/>
    <w:rsid w:val="003839A5"/>
    <w:rsid w:val="0038459F"/>
    <w:rsid w:val="00391295"/>
    <w:rsid w:val="003A125D"/>
    <w:rsid w:val="003A4C70"/>
    <w:rsid w:val="003B215F"/>
    <w:rsid w:val="003C799C"/>
    <w:rsid w:val="003D0399"/>
    <w:rsid w:val="003D0741"/>
    <w:rsid w:val="003D1472"/>
    <w:rsid w:val="003D41CD"/>
    <w:rsid w:val="003D6AEE"/>
    <w:rsid w:val="003E1C71"/>
    <w:rsid w:val="003E233A"/>
    <w:rsid w:val="003E5134"/>
    <w:rsid w:val="003F327B"/>
    <w:rsid w:val="003F62F7"/>
    <w:rsid w:val="003F68E3"/>
    <w:rsid w:val="004013C2"/>
    <w:rsid w:val="00401A4E"/>
    <w:rsid w:val="00405CEE"/>
    <w:rsid w:val="00406166"/>
    <w:rsid w:val="004068E8"/>
    <w:rsid w:val="0040704B"/>
    <w:rsid w:val="00410A55"/>
    <w:rsid w:val="00411300"/>
    <w:rsid w:val="0041178D"/>
    <w:rsid w:val="00413F17"/>
    <w:rsid w:val="00415417"/>
    <w:rsid w:val="004162F5"/>
    <w:rsid w:val="00417BB8"/>
    <w:rsid w:val="0042343F"/>
    <w:rsid w:val="00426659"/>
    <w:rsid w:val="00427CCF"/>
    <w:rsid w:val="00435127"/>
    <w:rsid w:val="004447DE"/>
    <w:rsid w:val="0044716F"/>
    <w:rsid w:val="00447F07"/>
    <w:rsid w:val="00450352"/>
    <w:rsid w:val="00453112"/>
    <w:rsid w:val="00454BDB"/>
    <w:rsid w:val="00454DBE"/>
    <w:rsid w:val="004552EE"/>
    <w:rsid w:val="00460821"/>
    <w:rsid w:val="00465132"/>
    <w:rsid w:val="004675C6"/>
    <w:rsid w:val="00470013"/>
    <w:rsid w:val="00470B4B"/>
    <w:rsid w:val="004779D5"/>
    <w:rsid w:val="00480C90"/>
    <w:rsid w:val="0048396F"/>
    <w:rsid w:val="0048498C"/>
    <w:rsid w:val="0049082E"/>
    <w:rsid w:val="004934E8"/>
    <w:rsid w:val="00493C18"/>
    <w:rsid w:val="004A0B5E"/>
    <w:rsid w:val="004A13AE"/>
    <w:rsid w:val="004A5C25"/>
    <w:rsid w:val="004A600C"/>
    <w:rsid w:val="004A6118"/>
    <w:rsid w:val="004B79F0"/>
    <w:rsid w:val="004C2134"/>
    <w:rsid w:val="004C478D"/>
    <w:rsid w:val="004D2A4F"/>
    <w:rsid w:val="004D35AC"/>
    <w:rsid w:val="004D6A1C"/>
    <w:rsid w:val="004D7899"/>
    <w:rsid w:val="004D7D95"/>
    <w:rsid w:val="004E2ABA"/>
    <w:rsid w:val="004E2C26"/>
    <w:rsid w:val="004E5CFA"/>
    <w:rsid w:val="004E66EE"/>
    <w:rsid w:val="004F3243"/>
    <w:rsid w:val="004F4E7F"/>
    <w:rsid w:val="004F7D38"/>
    <w:rsid w:val="00504A9E"/>
    <w:rsid w:val="005125A8"/>
    <w:rsid w:val="00514BAF"/>
    <w:rsid w:val="00517549"/>
    <w:rsid w:val="00520ABC"/>
    <w:rsid w:val="0052133F"/>
    <w:rsid w:val="00521AE8"/>
    <w:rsid w:val="00523E63"/>
    <w:rsid w:val="005254A3"/>
    <w:rsid w:val="00526D99"/>
    <w:rsid w:val="00527180"/>
    <w:rsid w:val="00531EC6"/>
    <w:rsid w:val="00532764"/>
    <w:rsid w:val="005338FD"/>
    <w:rsid w:val="00533DB7"/>
    <w:rsid w:val="00534EC5"/>
    <w:rsid w:val="00535802"/>
    <w:rsid w:val="00544DE4"/>
    <w:rsid w:val="0055377A"/>
    <w:rsid w:val="00555291"/>
    <w:rsid w:val="00561FC2"/>
    <w:rsid w:val="00563332"/>
    <w:rsid w:val="00566AD1"/>
    <w:rsid w:val="00567CC8"/>
    <w:rsid w:val="00574CA2"/>
    <w:rsid w:val="00582837"/>
    <w:rsid w:val="00583ED2"/>
    <w:rsid w:val="00583EDE"/>
    <w:rsid w:val="00586C25"/>
    <w:rsid w:val="00593506"/>
    <w:rsid w:val="00595D06"/>
    <w:rsid w:val="005A6079"/>
    <w:rsid w:val="005B0983"/>
    <w:rsid w:val="005B3039"/>
    <w:rsid w:val="005B5BEF"/>
    <w:rsid w:val="005C212D"/>
    <w:rsid w:val="005C4B67"/>
    <w:rsid w:val="005C505E"/>
    <w:rsid w:val="005C58E2"/>
    <w:rsid w:val="005C79C2"/>
    <w:rsid w:val="005C7B56"/>
    <w:rsid w:val="005D348B"/>
    <w:rsid w:val="005D3AC3"/>
    <w:rsid w:val="005D6528"/>
    <w:rsid w:val="005D6DA1"/>
    <w:rsid w:val="005E252A"/>
    <w:rsid w:val="005E2C31"/>
    <w:rsid w:val="005E4698"/>
    <w:rsid w:val="005E5BBC"/>
    <w:rsid w:val="005E758D"/>
    <w:rsid w:val="005F02A8"/>
    <w:rsid w:val="005F150D"/>
    <w:rsid w:val="005F2560"/>
    <w:rsid w:val="005F3834"/>
    <w:rsid w:val="005F67FE"/>
    <w:rsid w:val="005F6AAB"/>
    <w:rsid w:val="005F6E39"/>
    <w:rsid w:val="00603924"/>
    <w:rsid w:val="006056FA"/>
    <w:rsid w:val="006073D1"/>
    <w:rsid w:val="00610539"/>
    <w:rsid w:val="00612CE3"/>
    <w:rsid w:val="00613969"/>
    <w:rsid w:val="00617340"/>
    <w:rsid w:val="00617836"/>
    <w:rsid w:val="00617A15"/>
    <w:rsid w:val="0062473D"/>
    <w:rsid w:val="00625791"/>
    <w:rsid w:val="00625C35"/>
    <w:rsid w:val="00636BFB"/>
    <w:rsid w:val="0064099C"/>
    <w:rsid w:val="00640D8D"/>
    <w:rsid w:val="00644F5E"/>
    <w:rsid w:val="00647E49"/>
    <w:rsid w:val="00656313"/>
    <w:rsid w:val="006565F4"/>
    <w:rsid w:val="00664D5F"/>
    <w:rsid w:val="00671774"/>
    <w:rsid w:val="00684920"/>
    <w:rsid w:val="00684EEA"/>
    <w:rsid w:val="00694088"/>
    <w:rsid w:val="0069689B"/>
    <w:rsid w:val="006A0198"/>
    <w:rsid w:val="006A089E"/>
    <w:rsid w:val="006B5FF5"/>
    <w:rsid w:val="006B72FC"/>
    <w:rsid w:val="006C439C"/>
    <w:rsid w:val="006D3F10"/>
    <w:rsid w:val="006D7578"/>
    <w:rsid w:val="006D7AA8"/>
    <w:rsid w:val="006E79ED"/>
    <w:rsid w:val="006F30AF"/>
    <w:rsid w:val="006F41C0"/>
    <w:rsid w:val="0070119B"/>
    <w:rsid w:val="00701759"/>
    <w:rsid w:val="00705911"/>
    <w:rsid w:val="00705AEE"/>
    <w:rsid w:val="00705C15"/>
    <w:rsid w:val="00706090"/>
    <w:rsid w:val="007110F6"/>
    <w:rsid w:val="0071216E"/>
    <w:rsid w:val="0071295D"/>
    <w:rsid w:val="007208D1"/>
    <w:rsid w:val="00721292"/>
    <w:rsid w:val="00725267"/>
    <w:rsid w:val="00725950"/>
    <w:rsid w:val="00732BE5"/>
    <w:rsid w:val="0074042F"/>
    <w:rsid w:val="00743856"/>
    <w:rsid w:val="00744518"/>
    <w:rsid w:val="00747288"/>
    <w:rsid w:val="00747DD3"/>
    <w:rsid w:val="007549C8"/>
    <w:rsid w:val="00760A0D"/>
    <w:rsid w:val="00761120"/>
    <w:rsid w:val="00762277"/>
    <w:rsid w:val="00763251"/>
    <w:rsid w:val="00766D14"/>
    <w:rsid w:val="00767A0F"/>
    <w:rsid w:val="00772A00"/>
    <w:rsid w:val="00781F6E"/>
    <w:rsid w:val="007850F3"/>
    <w:rsid w:val="00791272"/>
    <w:rsid w:val="007944BC"/>
    <w:rsid w:val="007A05F6"/>
    <w:rsid w:val="007A527F"/>
    <w:rsid w:val="007A6B57"/>
    <w:rsid w:val="007A7BAF"/>
    <w:rsid w:val="007B3201"/>
    <w:rsid w:val="007B6161"/>
    <w:rsid w:val="007B6F4A"/>
    <w:rsid w:val="007D08EC"/>
    <w:rsid w:val="007D5D9C"/>
    <w:rsid w:val="007E1C47"/>
    <w:rsid w:val="007E25F8"/>
    <w:rsid w:val="007E273D"/>
    <w:rsid w:val="007E337A"/>
    <w:rsid w:val="007E4BB7"/>
    <w:rsid w:val="007E4D1F"/>
    <w:rsid w:val="007E5C70"/>
    <w:rsid w:val="007E73D5"/>
    <w:rsid w:val="007F0EF9"/>
    <w:rsid w:val="007F2FF5"/>
    <w:rsid w:val="007F3F08"/>
    <w:rsid w:val="007F4843"/>
    <w:rsid w:val="00804CC6"/>
    <w:rsid w:val="00817190"/>
    <w:rsid w:val="00820C46"/>
    <w:rsid w:val="00821ABF"/>
    <w:rsid w:val="008260E2"/>
    <w:rsid w:val="0082627C"/>
    <w:rsid w:val="00826FDD"/>
    <w:rsid w:val="008322BD"/>
    <w:rsid w:val="008330F4"/>
    <w:rsid w:val="008341D7"/>
    <w:rsid w:val="00834F73"/>
    <w:rsid w:val="00836134"/>
    <w:rsid w:val="00841B1E"/>
    <w:rsid w:val="0085092E"/>
    <w:rsid w:val="00857393"/>
    <w:rsid w:val="00860FC9"/>
    <w:rsid w:val="008616D9"/>
    <w:rsid w:val="00864C8A"/>
    <w:rsid w:val="00864CCF"/>
    <w:rsid w:val="00864CF8"/>
    <w:rsid w:val="00865852"/>
    <w:rsid w:val="008661F5"/>
    <w:rsid w:val="00867872"/>
    <w:rsid w:val="00867A9D"/>
    <w:rsid w:val="008720E1"/>
    <w:rsid w:val="0087256D"/>
    <w:rsid w:val="00874914"/>
    <w:rsid w:val="00874E0E"/>
    <w:rsid w:val="0087503E"/>
    <w:rsid w:val="00875EB2"/>
    <w:rsid w:val="00876622"/>
    <w:rsid w:val="00881271"/>
    <w:rsid w:val="00883115"/>
    <w:rsid w:val="00883CC8"/>
    <w:rsid w:val="0088660F"/>
    <w:rsid w:val="00887337"/>
    <w:rsid w:val="008912BB"/>
    <w:rsid w:val="00891422"/>
    <w:rsid w:val="00891C2B"/>
    <w:rsid w:val="00892E1A"/>
    <w:rsid w:val="00894869"/>
    <w:rsid w:val="00894AFE"/>
    <w:rsid w:val="008A1215"/>
    <w:rsid w:val="008A30BA"/>
    <w:rsid w:val="008A66D4"/>
    <w:rsid w:val="008B29D9"/>
    <w:rsid w:val="008B46B2"/>
    <w:rsid w:val="008B6173"/>
    <w:rsid w:val="008B660A"/>
    <w:rsid w:val="008C01DA"/>
    <w:rsid w:val="008C0EB2"/>
    <w:rsid w:val="008C1BC4"/>
    <w:rsid w:val="008C794F"/>
    <w:rsid w:val="008D5267"/>
    <w:rsid w:val="008D7242"/>
    <w:rsid w:val="008E081F"/>
    <w:rsid w:val="008E459E"/>
    <w:rsid w:val="008F2674"/>
    <w:rsid w:val="008F5F25"/>
    <w:rsid w:val="008F78E9"/>
    <w:rsid w:val="00901F4F"/>
    <w:rsid w:val="009062D3"/>
    <w:rsid w:val="00906939"/>
    <w:rsid w:val="009126B2"/>
    <w:rsid w:val="00916062"/>
    <w:rsid w:val="009179F9"/>
    <w:rsid w:val="00917C7A"/>
    <w:rsid w:val="00922CE6"/>
    <w:rsid w:val="009257E8"/>
    <w:rsid w:val="00926DDA"/>
    <w:rsid w:val="00933E5E"/>
    <w:rsid w:val="00935218"/>
    <w:rsid w:val="00936406"/>
    <w:rsid w:val="00936EAB"/>
    <w:rsid w:val="00937C21"/>
    <w:rsid w:val="00937C52"/>
    <w:rsid w:val="009403F3"/>
    <w:rsid w:val="00941C3B"/>
    <w:rsid w:val="00944A3F"/>
    <w:rsid w:val="00946575"/>
    <w:rsid w:val="009555B7"/>
    <w:rsid w:val="009567AA"/>
    <w:rsid w:val="009602C9"/>
    <w:rsid w:val="009606A1"/>
    <w:rsid w:val="009646BA"/>
    <w:rsid w:val="0096613C"/>
    <w:rsid w:val="00967374"/>
    <w:rsid w:val="00974B3A"/>
    <w:rsid w:val="00975112"/>
    <w:rsid w:val="00977950"/>
    <w:rsid w:val="00984C7C"/>
    <w:rsid w:val="0098508D"/>
    <w:rsid w:val="009A343A"/>
    <w:rsid w:val="009B2B4F"/>
    <w:rsid w:val="009B2F23"/>
    <w:rsid w:val="009B46DB"/>
    <w:rsid w:val="009B57B3"/>
    <w:rsid w:val="009C1BBD"/>
    <w:rsid w:val="009C280E"/>
    <w:rsid w:val="009C2D68"/>
    <w:rsid w:val="009D0E40"/>
    <w:rsid w:val="009D240F"/>
    <w:rsid w:val="009D2920"/>
    <w:rsid w:val="009D47BC"/>
    <w:rsid w:val="009D5AEB"/>
    <w:rsid w:val="009E1020"/>
    <w:rsid w:val="009F0E33"/>
    <w:rsid w:val="00A149DF"/>
    <w:rsid w:val="00A15CEC"/>
    <w:rsid w:val="00A16C60"/>
    <w:rsid w:val="00A1755C"/>
    <w:rsid w:val="00A2068B"/>
    <w:rsid w:val="00A21B90"/>
    <w:rsid w:val="00A21F09"/>
    <w:rsid w:val="00A22AAC"/>
    <w:rsid w:val="00A27B34"/>
    <w:rsid w:val="00A41805"/>
    <w:rsid w:val="00A51882"/>
    <w:rsid w:val="00A52AFB"/>
    <w:rsid w:val="00A548CB"/>
    <w:rsid w:val="00A5521C"/>
    <w:rsid w:val="00A56A6B"/>
    <w:rsid w:val="00A57199"/>
    <w:rsid w:val="00A643E7"/>
    <w:rsid w:val="00A679AC"/>
    <w:rsid w:val="00A72017"/>
    <w:rsid w:val="00A73C38"/>
    <w:rsid w:val="00A85A7B"/>
    <w:rsid w:val="00A9028F"/>
    <w:rsid w:val="00A921A7"/>
    <w:rsid w:val="00A931D8"/>
    <w:rsid w:val="00A93ED5"/>
    <w:rsid w:val="00A9504E"/>
    <w:rsid w:val="00A97B4E"/>
    <w:rsid w:val="00AA27A3"/>
    <w:rsid w:val="00AA5AD7"/>
    <w:rsid w:val="00AA7EE1"/>
    <w:rsid w:val="00AB52AA"/>
    <w:rsid w:val="00AB670D"/>
    <w:rsid w:val="00AB6EA1"/>
    <w:rsid w:val="00AC013C"/>
    <w:rsid w:val="00AD2E20"/>
    <w:rsid w:val="00AE24A2"/>
    <w:rsid w:val="00AF03C5"/>
    <w:rsid w:val="00AF4F9E"/>
    <w:rsid w:val="00B000D8"/>
    <w:rsid w:val="00B00BC5"/>
    <w:rsid w:val="00B00F75"/>
    <w:rsid w:val="00B06B22"/>
    <w:rsid w:val="00B07626"/>
    <w:rsid w:val="00B13D7C"/>
    <w:rsid w:val="00B143CD"/>
    <w:rsid w:val="00B145B6"/>
    <w:rsid w:val="00B15DC5"/>
    <w:rsid w:val="00B2082F"/>
    <w:rsid w:val="00B20B99"/>
    <w:rsid w:val="00B279EB"/>
    <w:rsid w:val="00B342CE"/>
    <w:rsid w:val="00B35658"/>
    <w:rsid w:val="00B400B1"/>
    <w:rsid w:val="00B44229"/>
    <w:rsid w:val="00B45E93"/>
    <w:rsid w:val="00B50C81"/>
    <w:rsid w:val="00B51046"/>
    <w:rsid w:val="00B54F1A"/>
    <w:rsid w:val="00B557F8"/>
    <w:rsid w:val="00B66B24"/>
    <w:rsid w:val="00B673F3"/>
    <w:rsid w:val="00B73E99"/>
    <w:rsid w:val="00B75D93"/>
    <w:rsid w:val="00B77F68"/>
    <w:rsid w:val="00B815FC"/>
    <w:rsid w:val="00B93FBC"/>
    <w:rsid w:val="00BA1857"/>
    <w:rsid w:val="00BA3D8B"/>
    <w:rsid w:val="00BA7DA0"/>
    <w:rsid w:val="00BB2EE4"/>
    <w:rsid w:val="00BB4C92"/>
    <w:rsid w:val="00BC2108"/>
    <w:rsid w:val="00BC34CA"/>
    <w:rsid w:val="00BC40E6"/>
    <w:rsid w:val="00BD0E9E"/>
    <w:rsid w:val="00BD1BEC"/>
    <w:rsid w:val="00BD32FF"/>
    <w:rsid w:val="00BE06FC"/>
    <w:rsid w:val="00BE2D06"/>
    <w:rsid w:val="00BF118F"/>
    <w:rsid w:val="00BF3943"/>
    <w:rsid w:val="00BF3F5B"/>
    <w:rsid w:val="00BF6FE9"/>
    <w:rsid w:val="00BF75F1"/>
    <w:rsid w:val="00C01475"/>
    <w:rsid w:val="00C02092"/>
    <w:rsid w:val="00C159B0"/>
    <w:rsid w:val="00C16625"/>
    <w:rsid w:val="00C22E79"/>
    <w:rsid w:val="00C24D91"/>
    <w:rsid w:val="00C26DB2"/>
    <w:rsid w:val="00C32E97"/>
    <w:rsid w:val="00C33DC3"/>
    <w:rsid w:val="00C35AF3"/>
    <w:rsid w:val="00C44F04"/>
    <w:rsid w:val="00C471E0"/>
    <w:rsid w:val="00C473EC"/>
    <w:rsid w:val="00C53F14"/>
    <w:rsid w:val="00C54883"/>
    <w:rsid w:val="00C55634"/>
    <w:rsid w:val="00C600CF"/>
    <w:rsid w:val="00C6084F"/>
    <w:rsid w:val="00C62A66"/>
    <w:rsid w:val="00C660BD"/>
    <w:rsid w:val="00C66359"/>
    <w:rsid w:val="00C71458"/>
    <w:rsid w:val="00C744E3"/>
    <w:rsid w:val="00C77613"/>
    <w:rsid w:val="00C81928"/>
    <w:rsid w:val="00C828E7"/>
    <w:rsid w:val="00C85C79"/>
    <w:rsid w:val="00C86719"/>
    <w:rsid w:val="00C91D1A"/>
    <w:rsid w:val="00C921DD"/>
    <w:rsid w:val="00C929FB"/>
    <w:rsid w:val="00C97215"/>
    <w:rsid w:val="00CA0AA0"/>
    <w:rsid w:val="00CA59FF"/>
    <w:rsid w:val="00CA61E3"/>
    <w:rsid w:val="00CA6391"/>
    <w:rsid w:val="00CA7EDE"/>
    <w:rsid w:val="00CB0140"/>
    <w:rsid w:val="00CB79B5"/>
    <w:rsid w:val="00CC7881"/>
    <w:rsid w:val="00CC7F65"/>
    <w:rsid w:val="00CD0DDB"/>
    <w:rsid w:val="00CD112D"/>
    <w:rsid w:val="00CD16FA"/>
    <w:rsid w:val="00CD1728"/>
    <w:rsid w:val="00CD71A5"/>
    <w:rsid w:val="00CE036E"/>
    <w:rsid w:val="00CE3171"/>
    <w:rsid w:val="00CE47A0"/>
    <w:rsid w:val="00CE4C25"/>
    <w:rsid w:val="00CE5242"/>
    <w:rsid w:val="00CF1601"/>
    <w:rsid w:val="00D0172F"/>
    <w:rsid w:val="00D01E33"/>
    <w:rsid w:val="00D04B26"/>
    <w:rsid w:val="00D06081"/>
    <w:rsid w:val="00D068A7"/>
    <w:rsid w:val="00D1622A"/>
    <w:rsid w:val="00D16AF6"/>
    <w:rsid w:val="00D17476"/>
    <w:rsid w:val="00D17B0E"/>
    <w:rsid w:val="00D32086"/>
    <w:rsid w:val="00D331C2"/>
    <w:rsid w:val="00D35F21"/>
    <w:rsid w:val="00D37A3F"/>
    <w:rsid w:val="00D41952"/>
    <w:rsid w:val="00D4431D"/>
    <w:rsid w:val="00D4667A"/>
    <w:rsid w:val="00D52DBD"/>
    <w:rsid w:val="00D63A1C"/>
    <w:rsid w:val="00D645F6"/>
    <w:rsid w:val="00D65DEE"/>
    <w:rsid w:val="00D7516F"/>
    <w:rsid w:val="00D75362"/>
    <w:rsid w:val="00D806C5"/>
    <w:rsid w:val="00D831AA"/>
    <w:rsid w:val="00D844C7"/>
    <w:rsid w:val="00D94A1A"/>
    <w:rsid w:val="00D95A95"/>
    <w:rsid w:val="00D95F8E"/>
    <w:rsid w:val="00DA0590"/>
    <w:rsid w:val="00DA05D1"/>
    <w:rsid w:val="00DA3CBD"/>
    <w:rsid w:val="00DA793F"/>
    <w:rsid w:val="00DB1854"/>
    <w:rsid w:val="00DB3E72"/>
    <w:rsid w:val="00DC1739"/>
    <w:rsid w:val="00DC1788"/>
    <w:rsid w:val="00DC48FE"/>
    <w:rsid w:val="00DC4926"/>
    <w:rsid w:val="00DD3E54"/>
    <w:rsid w:val="00DD6DA8"/>
    <w:rsid w:val="00DE319C"/>
    <w:rsid w:val="00DF0CA8"/>
    <w:rsid w:val="00DF213E"/>
    <w:rsid w:val="00DF2B48"/>
    <w:rsid w:val="00DF3278"/>
    <w:rsid w:val="00DF49A7"/>
    <w:rsid w:val="00DF4EFA"/>
    <w:rsid w:val="00E04B83"/>
    <w:rsid w:val="00E06AC0"/>
    <w:rsid w:val="00E07EE2"/>
    <w:rsid w:val="00E07FD1"/>
    <w:rsid w:val="00E15B74"/>
    <w:rsid w:val="00E177AB"/>
    <w:rsid w:val="00E24573"/>
    <w:rsid w:val="00E25E1E"/>
    <w:rsid w:val="00E27EE7"/>
    <w:rsid w:val="00E31539"/>
    <w:rsid w:val="00E349D9"/>
    <w:rsid w:val="00E35404"/>
    <w:rsid w:val="00E369E9"/>
    <w:rsid w:val="00E421B2"/>
    <w:rsid w:val="00E45109"/>
    <w:rsid w:val="00E45825"/>
    <w:rsid w:val="00E46315"/>
    <w:rsid w:val="00E47B7A"/>
    <w:rsid w:val="00E564B3"/>
    <w:rsid w:val="00E56A44"/>
    <w:rsid w:val="00E60269"/>
    <w:rsid w:val="00E71D84"/>
    <w:rsid w:val="00E741D1"/>
    <w:rsid w:val="00E92B24"/>
    <w:rsid w:val="00E95740"/>
    <w:rsid w:val="00E97830"/>
    <w:rsid w:val="00EA094F"/>
    <w:rsid w:val="00EA275B"/>
    <w:rsid w:val="00EB1B06"/>
    <w:rsid w:val="00EB3F36"/>
    <w:rsid w:val="00EB4E44"/>
    <w:rsid w:val="00EC411E"/>
    <w:rsid w:val="00ED0ACF"/>
    <w:rsid w:val="00ED0EA1"/>
    <w:rsid w:val="00ED5D3F"/>
    <w:rsid w:val="00EE0830"/>
    <w:rsid w:val="00EE0FD8"/>
    <w:rsid w:val="00EE35AC"/>
    <w:rsid w:val="00EE6CB8"/>
    <w:rsid w:val="00EE6F89"/>
    <w:rsid w:val="00EE7A81"/>
    <w:rsid w:val="00EE7F0D"/>
    <w:rsid w:val="00EF0683"/>
    <w:rsid w:val="00EF3DD7"/>
    <w:rsid w:val="00EF67D2"/>
    <w:rsid w:val="00F0070C"/>
    <w:rsid w:val="00F00EB7"/>
    <w:rsid w:val="00F06405"/>
    <w:rsid w:val="00F22FFD"/>
    <w:rsid w:val="00F24E85"/>
    <w:rsid w:val="00F26CF8"/>
    <w:rsid w:val="00F3696E"/>
    <w:rsid w:val="00F36AB6"/>
    <w:rsid w:val="00F37A09"/>
    <w:rsid w:val="00F409CE"/>
    <w:rsid w:val="00F4379D"/>
    <w:rsid w:val="00F45601"/>
    <w:rsid w:val="00F505FB"/>
    <w:rsid w:val="00F50D2D"/>
    <w:rsid w:val="00F527BE"/>
    <w:rsid w:val="00F56C8B"/>
    <w:rsid w:val="00F62639"/>
    <w:rsid w:val="00F66810"/>
    <w:rsid w:val="00F708ED"/>
    <w:rsid w:val="00F75E2E"/>
    <w:rsid w:val="00F77B88"/>
    <w:rsid w:val="00F82B14"/>
    <w:rsid w:val="00F84689"/>
    <w:rsid w:val="00F84DF4"/>
    <w:rsid w:val="00F85C97"/>
    <w:rsid w:val="00F85C9A"/>
    <w:rsid w:val="00F94F18"/>
    <w:rsid w:val="00F965E2"/>
    <w:rsid w:val="00FA5FAE"/>
    <w:rsid w:val="00FB0BF5"/>
    <w:rsid w:val="00FB37D2"/>
    <w:rsid w:val="00FB4E96"/>
    <w:rsid w:val="00FB572D"/>
    <w:rsid w:val="00FC0146"/>
    <w:rsid w:val="00FC019F"/>
    <w:rsid w:val="00FC0D10"/>
    <w:rsid w:val="00FC146D"/>
    <w:rsid w:val="00FC358C"/>
    <w:rsid w:val="00FC4EFB"/>
    <w:rsid w:val="00FC700A"/>
    <w:rsid w:val="00FD068D"/>
    <w:rsid w:val="00FD2B77"/>
    <w:rsid w:val="00FD350B"/>
    <w:rsid w:val="00FD4F28"/>
    <w:rsid w:val="00FE6784"/>
    <w:rsid w:val="00FE7A8B"/>
    <w:rsid w:val="00FF422B"/>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0821"/>
    <w:pPr>
      <w:keepNext/>
      <w:keepLines/>
      <w:spacing w:before="40"/>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093ED0"/>
  </w:style>
  <w:style w:type="paragraph" w:customStyle="1" w:styleId="SCCLsocOtherPartyRoleSeparator">
    <w:name w:val="SCC.Lsoc.OtherPartyRoleSeparator"/>
    <w:basedOn w:val="Normal"/>
    <w:next w:val="Normal"/>
    <w:link w:val="SCCLsocOtherPartyRoleSeparatorChar"/>
    <w:rsid w:val="00460821"/>
    <w:pPr>
      <w:spacing w:after="480"/>
    </w:pPr>
    <w:rPr>
      <w:rFonts w:eastAsiaTheme="minorHAnsi" w:cstheme="minorBidi"/>
      <w:szCs w:val="22"/>
      <w:lang w:eastAsia="en-US"/>
    </w:rPr>
  </w:style>
  <w:style w:type="paragraph" w:customStyle="1" w:styleId="SCCCoram">
    <w:name w:val="SCC.Coram"/>
    <w:basedOn w:val="Normal"/>
    <w:next w:val="Normal"/>
    <w:link w:val="SCCCoramChar"/>
    <w:rsid w:val="0046082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608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60821"/>
    <w:rPr>
      <w:rFonts w:eastAsiaTheme="minorHAnsi" w:cstheme="minorBidi"/>
      <w:sz w:val="24"/>
      <w:szCs w:val="22"/>
      <w:lang w:eastAsia="en-US"/>
    </w:rPr>
  </w:style>
  <w:style w:type="character" w:customStyle="1" w:styleId="SCCBanSummaryChar">
    <w:name w:val="SCC.BanSummary Char"/>
    <w:basedOn w:val="DefaultParagraphFont"/>
    <w:link w:val="SCCBanSummary"/>
    <w:rsid w:val="00460821"/>
    <w:rPr>
      <w:b/>
      <w:sz w:val="24"/>
    </w:rPr>
  </w:style>
  <w:style w:type="table" w:styleId="TableGrid">
    <w:name w:val="Table Grid"/>
    <w:basedOn w:val="TableNormal"/>
    <w:uiPriority w:val="59"/>
    <w:rsid w:val="0046082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6082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6082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60821"/>
    <w:pPr>
      <w:tabs>
        <w:tab w:val="left" w:pos="1166"/>
      </w:tabs>
      <w:spacing w:after="480" w:line="480" w:lineRule="auto"/>
    </w:pPr>
    <w:rPr>
      <w:smallCaps/>
      <w:sz w:val="24"/>
      <w:szCs w:val="24"/>
    </w:rPr>
  </w:style>
  <w:style w:type="paragraph" w:customStyle="1" w:styleId="ParaNoNdepar-AltN">
    <w:name w:val="Para. No. / Nº de par. - Alt N"/>
    <w:qFormat/>
    <w:rsid w:val="00460821"/>
    <w:pPr>
      <w:numPr>
        <w:numId w:val="10"/>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60821"/>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6082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60821"/>
    <w:pPr>
      <w:numPr>
        <w:ilvl w:val="2"/>
      </w:numPr>
      <w:outlineLvl w:val="2"/>
    </w:pPr>
  </w:style>
  <w:style w:type="paragraph" w:customStyle="1" w:styleId="Title4LevelTitre4Niveau">
    <w:name w:val="Title 4 Level / Titre 4 Niveau"/>
    <w:basedOn w:val="Title3LevelTitre3Niveau"/>
    <w:next w:val="ParaNoNdepar-AltN"/>
    <w:uiPriority w:val="4"/>
    <w:qFormat/>
    <w:rsid w:val="0046082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60821"/>
    <w:pPr>
      <w:numPr>
        <w:ilvl w:val="4"/>
      </w:numPr>
      <w:outlineLvl w:val="4"/>
    </w:pPr>
  </w:style>
  <w:style w:type="paragraph" w:styleId="TOC1">
    <w:name w:val="toc 1"/>
    <w:basedOn w:val="Normal"/>
    <w:next w:val="Normal"/>
    <w:autoRedefine/>
    <w:uiPriority w:val="39"/>
    <w:unhideWhenUsed/>
    <w:rsid w:val="00460821"/>
    <w:pPr>
      <w:numPr>
        <w:numId w:val="16"/>
      </w:numPr>
      <w:tabs>
        <w:tab w:val="left" w:pos="360"/>
        <w:tab w:val="right" w:leader="dot" w:pos="8270"/>
      </w:tabs>
      <w:spacing w:after="720"/>
      <w:ind w:left="720"/>
    </w:pPr>
    <w:rPr>
      <w:noProof/>
      <w:u w:val="single"/>
    </w:rPr>
  </w:style>
  <w:style w:type="paragraph" w:styleId="TOC2">
    <w:name w:val="toc 2"/>
    <w:basedOn w:val="Normal"/>
    <w:next w:val="Normal"/>
    <w:autoRedefine/>
    <w:uiPriority w:val="39"/>
    <w:unhideWhenUsed/>
    <w:rsid w:val="00460821"/>
    <w:pPr>
      <w:tabs>
        <w:tab w:val="left" w:pos="720"/>
        <w:tab w:val="right" w:leader="dot" w:pos="8270"/>
      </w:tabs>
      <w:spacing w:before="120" w:after="120"/>
      <w:ind w:left="792" w:hanging="432"/>
    </w:pPr>
    <w:rPr>
      <w:i/>
      <w:szCs w:val="24"/>
    </w:rPr>
  </w:style>
  <w:style w:type="paragraph" w:styleId="TOC3">
    <w:name w:val="toc 3"/>
    <w:basedOn w:val="Normal"/>
    <w:next w:val="Normal"/>
    <w:autoRedefine/>
    <w:uiPriority w:val="39"/>
    <w:unhideWhenUsed/>
    <w:rsid w:val="00460821"/>
    <w:pPr>
      <w:tabs>
        <w:tab w:val="left" w:pos="1080"/>
        <w:tab w:val="right" w:leader="dot" w:pos="8270"/>
      </w:tabs>
      <w:spacing w:before="120" w:after="120"/>
      <w:ind w:left="1152" w:hanging="432"/>
    </w:pPr>
    <w:rPr>
      <w:noProof/>
      <w:u w:val="single"/>
    </w:rPr>
  </w:style>
  <w:style w:type="paragraph" w:styleId="TOC4">
    <w:name w:val="toc 4"/>
    <w:basedOn w:val="Normal"/>
    <w:next w:val="Normal"/>
    <w:autoRedefine/>
    <w:uiPriority w:val="39"/>
    <w:unhideWhenUsed/>
    <w:rsid w:val="00460821"/>
    <w:pPr>
      <w:tabs>
        <w:tab w:val="left" w:pos="900"/>
        <w:tab w:val="right" w:leader="dot" w:pos="8270"/>
      </w:tabs>
      <w:spacing w:before="120" w:after="120"/>
      <w:ind w:left="1526" w:hanging="446"/>
    </w:pPr>
    <w:rPr>
      <w:rFonts w:eastAsiaTheme="minorEastAsia" w:cstheme="minorBidi"/>
      <w:i/>
      <w:noProof/>
      <w:szCs w:val="22"/>
    </w:rPr>
  </w:style>
  <w:style w:type="paragraph" w:styleId="TOC5">
    <w:name w:val="toc 5"/>
    <w:basedOn w:val="Normal"/>
    <w:next w:val="Normal"/>
    <w:autoRedefine/>
    <w:uiPriority w:val="39"/>
    <w:unhideWhenUsed/>
    <w:rsid w:val="00460821"/>
    <w:pPr>
      <w:tabs>
        <w:tab w:val="left" w:pos="1440"/>
        <w:tab w:val="right" w:leader="dot" w:pos="8270"/>
      </w:tabs>
      <w:spacing w:before="120" w:after="120"/>
      <w:ind w:left="1987" w:hanging="547"/>
    </w:pPr>
    <w:rPr>
      <w:noProof/>
      <w:u w:val="single"/>
    </w:rPr>
  </w:style>
  <w:style w:type="paragraph" w:styleId="TOC6">
    <w:name w:val="toc 6"/>
    <w:basedOn w:val="Normal"/>
    <w:next w:val="Normal"/>
    <w:autoRedefine/>
    <w:uiPriority w:val="39"/>
    <w:unhideWhenUsed/>
    <w:rsid w:val="00460821"/>
    <w:pPr>
      <w:tabs>
        <w:tab w:val="left" w:pos="2160"/>
        <w:tab w:val="right" w:leader="dot" w:pos="8270"/>
      </w:tabs>
      <w:spacing w:after="100"/>
      <w:ind w:left="1800"/>
    </w:pPr>
    <w:rPr>
      <w:noProof/>
    </w:rPr>
  </w:style>
  <w:style w:type="table" w:customStyle="1" w:styleId="TableGrid1">
    <w:name w:val="Table Grid1"/>
    <w:basedOn w:val="TableNormal"/>
    <w:uiPriority w:val="59"/>
    <w:rsid w:val="0046082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6082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60821"/>
    <w:pPr>
      <w:numPr>
        <w:ilvl w:val="5"/>
      </w:numPr>
      <w:outlineLvl w:val="5"/>
    </w:pPr>
    <w:rPr>
      <w:i/>
      <w:u w:val="none"/>
    </w:rPr>
  </w:style>
  <w:style w:type="paragraph" w:styleId="FootnoteText">
    <w:name w:val="footnote text"/>
    <w:basedOn w:val="Normal"/>
    <w:link w:val="FootnoteTextChar"/>
    <w:uiPriority w:val="99"/>
    <w:unhideWhenUsed/>
    <w:rsid w:val="0046082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60821"/>
  </w:style>
  <w:style w:type="character" w:styleId="FootnoteReference">
    <w:name w:val="footnote reference"/>
    <w:basedOn w:val="DefaultParagraphFont"/>
    <w:uiPriority w:val="99"/>
    <w:semiHidden/>
    <w:unhideWhenUsed/>
    <w:rsid w:val="00460821"/>
    <w:rPr>
      <w:vertAlign w:val="superscript"/>
    </w:rPr>
  </w:style>
  <w:style w:type="character" w:styleId="Hyperlink">
    <w:name w:val="Hyperlink"/>
    <w:basedOn w:val="DefaultParagraphFont"/>
    <w:uiPriority w:val="99"/>
    <w:unhideWhenUsed/>
    <w:rsid w:val="00460821"/>
    <w:rPr>
      <w:color w:val="0000FF" w:themeColor="hyperlink"/>
      <w:u w:val="single"/>
    </w:rPr>
  </w:style>
  <w:style w:type="character" w:customStyle="1" w:styleId="decisia-reflex2-icon">
    <w:name w:val="decisia-reflex2-icon"/>
    <w:basedOn w:val="DefaultParagraphFont"/>
    <w:rsid w:val="00460821"/>
    <w:rPr>
      <w:sz w:val="19"/>
      <w:szCs w:val="19"/>
    </w:rPr>
  </w:style>
  <w:style w:type="character" w:styleId="CommentReference">
    <w:name w:val="annotation reference"/>
    <w:basedOn w:val="DefaultParagraphFont"/>
    <w:uiPriority w:val="99"/>
    <w:semiHidden/>
    <w:unhideWhenUsed/>
    <w:rsid w:val="00460821"/>
    <w:rPr>
      <w:sz w:val="16"/>
      <w:szCs w:val="16"/>
    </w:rPr>
  </w:style>
  <w:style w:type="paragraph" w:styleId="CommentText">
    <w:name w:val="annotation text"/>
    <w:basedOn w:val="Normal"/>
    <w:link w:val="CommentTextChar"/>
    <w:uiPriority w:val="99"/>
    <w:unhideWhenUsed/>
    <w:rsid w:val="00460821"/>
    <w:rPr>
      <w:sz w:val="20"/>
      <w:lang w:val="fr-CA"/>
    </w:rPr>
  </w:style>
  <w:style w:type="character" w:customStyle="1" w:styleId="CommentTextChar">
    <w:name w:val="Comment Text Char"/>
    <w:basedOn w:val="DefaultParagraphFont"/>
    <w:link w:val="CommentText"/>
    <w:uiPriority w:val="99"/>
    <w:rsid w:val="00460821"/>
    <w:rPr>
      <w:lang w:val="fr-CA"/>
    </w:rPr>
  </w:style>
  <w:style w:type="paragraph" w:styleId="CommentSubject">
    <w:name w:val="annotation subject"/>
    <w:basedOn w:val="CommentText"/>
    <w:next w:val="CommentText"/>
    <w:link w:val="CommentSubjectChar"/>
    <w:uiPriority w:val="99"/>
    <w:semiHidden/>
    <w:unhideWhenUsed/>
    <w:rsid w:val="00460821"/>
    <w:rPr>
      <w:b/>
      <w:bCs/>
    </w:rPr>
  </w:style>
  <w:style w:type="character" w:customStyle="1" w:styleId="CommentSubjectChar">
    <w:name w:val="Comment Subject Char"/>
    <w:basedOn w:val="CommentTextChar"/>
    <w:link w:val="CommentSubject"/>
    <w:uiPriority w:val="99"/>
    <w:semiHidden/>
    <w:rsid w:val="00460821"/>
    <w:rPr>
      <w:b/>
      <w:bCs/>
      <w:lang w:val="fr-CA"/>
    </w:rPr>
  </w:style>
  <w:style w:type="paragraph" w:customStyle="1" w:styleId="Style1">
    <w:name w:val="Style1"/>
    <w:basedOn w:val="CommentText"/>
    <w:uiPriority w:val="5"/>
    <w:qFormat/>
    <w:rsid w:val="00460821"/>
  </w:style>
  <w:style w:type="character" w:customStyle="1" w:styleId="sectionlabel">
    <w:name w:val="sectionlabel"/>
    <w:basedOn w:val="DefaultParagraphFont"/>
    <w:rsid w:val="00460821"/>
  </w:style>
  <w:style w:type="character" w:styleId="Emphasis">
    <w:name w:val="Emphasis"/>
    <w:basedOn w:val="DefaultParagraphFont"/>
    <w:uiPriority w:val="20"/>
    <w:qFormat/>
    <w:rsid w:val="00460821"/>
    <w:rPr>
      <w:i/>
      <w:iCs/>
    </w:rPr>
  </w:style>
  <w:style w:type="paragraph" w:styleId="Revision">
    <w:name w:val="Revision"/>
    <w:hidden/>
    <w:uiPriority w:val="99"/>
    <w:semiHidden/>
    <w:rsid w:val="00460821"/>
    <w:rPr>
      <w:sz w:val="24"/>
      <w:szCs w:val="24"/>
    </w:rPr>
  </w:style>
  <w:style w:type="character" w:customStyle="1" w:styleId="ssbf">
    <w:name w:val="ss_bf"/>
    <w:basedOn w:val="DefaultParagraphFont"/>
    <w:rsid w:val="00460821"/>
  </w:style>
  <w:style w:type="character" w:customStyle="1" w:styleId="sh3210004783">
    <w:name w:val="sh_3210004783"/>
    <w:basedOn w:val="DefaultParagraphFont"/>
    <w:rsid w:val="00460821"/>
  </w:style>
  <w:style w:type="paragraph" w:customStyle="1" w:styleId="section">
    <w:name w:val="section"/>
    <w:basedOn w:val="Normal"/>
    <w:rsid w:val="00460821"/>
    <w:pPr>
      <w:spacing w:before="100" w:beforeAutospacing="1" w:after="100" w:afterAutospacing="1"/>
    </w:pPr>
    <w:rPr>
      <w:szCs w:val="24"/>
      <w:lang w:val="fr-CA" w:eastAsia="fr-CA"/>
    </w:rPr>
  </w:style>
  <w:style w:type="paragraph" w:customStyle="1" w:styleId="paragraph">
    <w:name w:val="paragraph"/>
    <w:basedOn w:val="Normal"/>
    <w:rsid w:val="00460821"/>
    <w:pPr>
      <w:spacing w:before="100" w:beforeAutospacing="1" w:after="100" w:afterAutospacing="1"/>
    </w:pPr>
    <w:rPr>
      <w:szCs w:val="24"/>
      <w:lang w:val="fr-CA" w:eastAsia="fr-CA"/>
    </w:rPr>
  </w:style>
  <w:style w:type="character" w:styleId="FollowedHyperlink">
    <w:name w:val="FollowedHyperlink"/>
    <w:basedOn w:val="DefaultParagraphFont"/>
    <w:uiPriority w:val="99"/>
    <w:semiHidden/>
    <w:unhideWhenUsed/>
    <w:rsid w:val="00460821"/>
    <w:rPr>
      <w:color w:val="800080" w:themeColor="followedHyperlink"/>
      <w:u w:val="single"/>
    </w:rPr>
  </w:style>
  <w:style w:type="paragraph" w:styleId="ListParagraph">
    <w:name w:val="List Paragraph"/>
    <w:basedOn w:val="Normal"/>
    <w:uiPriority w:val="34"/>
    <w:qFormat/>
    <w:rsid w:val="00460821"/>
    <w:pPr>
      <w:ind w:left="720"/>
      <w:contextualSpacing/>
    </w:pPr>
    <w:rPr>
      <w:szCs w:val="24"/>
    </w:rPr>
  </w:style>
  <w:style w:type="paragraph" w:styleId="ListBullet">
    <w:name w:val="List Bullet"/>
    <w:basedOn w:val="Normal"/>
    <w:uiPriority w:val="99"/>
    <w:unhideWhenUsed/>
    <w:rsid w:val="00460821"/>
    <w:pPr>
      <w:numPr>
        <w:numId w:val="17"/>
      </w:numPr>
      <w:contextualSpacing/>
    </w:pPr>
    <w:rPr>
      <w:szCs w:val="24"/>
    </w:rPr>
  </w:style>
  <w:style w:type="character" w:customStyle="1" w:styleId="Heading3Char">
    <w:name w:val="Heading 3 Char"/>
    <w:basedOn w:val="DefaultParagraphFont"/>
    <w:link w:val="Heading3"/>
    <w:uiPriority w:val="9"/>
    <w:semiHidden/>
    <w:rsid w:val="00460821"/>
    <w:rPr>
      <w:rFonts w:asciiTheme="majorHAnsi" w:eastAsiaTheme="majorEastAsia" w:hAnsiTheme="majorHAnsi" w:cstheme="majorBidi"/>
      <w:color w:val="243F60" w:themeColor="accent1" w:themeShade="7F"/>
      <w:sz w:val="24"/>
      <w:szCs w:val="24"/>
      <w:lang w:val="fr-CA"/>
    </w:rPr>
  </w:style>
  <w:style w:type="paragraph" w:styleId="NoSpacing">
    <w:name w:val="No Spacing"/>
    <w:uiPriority w:val="1"/>
    <w:qFormat/>
    <w:rsid w:val="00460821"/>
    <w:rPr>
      <w:sz w:val="24"/>
    </w:rPr>
  </w:style>
  <w:style w:type="paragraph" w:customStyle="1" w:styleId="Leg">
    <w:name w:val="Leg"/>
    <w:basedOn w:val="Normal"/>
    <w:uiPriority w:val="2"/>
    <w:qFormat/>
    <w:rsid w:val="00460821"/>
    <w:pPr>
      <w:keepNext/>
      <w:keepLines/>
      <w:spacing w:before="60" w:after="60"/>
    </w:pPr>
    <w:rPr>
      <w:sz w:val="22"/>
      <w:szCs w:val="22"/>
      <w:lang w:val="fr-CA"/>
    </w:rPr>
  </w:style>
  <w:style w:type="paragraph" w:customStyle="1" w:styleId="Leg-Sub1">
    <w:name w:val="Leg - Sub 1"/>
    <w:basedOn w:val="Leg"/>
    <w:uiPriority w:val="2"/>
    <w:qFormat/>
    <w:rsid w:val="00460821"/>
    <w:pPr>
      <w:ind w:left="706" w:hanging="346"/>
    </w:pPr>
  </w:style>
  <w:style w:type="character" w:customStyle="1" w:styleId="apple-converted-space">
    <w:name w:val="apple-converted-space"/>
    <w:basedOn w:val="DefaultParagraphFont"/>
    <w:rsid w:val="00460821"/>
  </w:style>
  <w:style w:type="character" w:customStyle="1" w:styleId="formecanonique">
    <w:name w:val="formecanonique"/>
    <w:basedOn w:val="DefaultParagraphFont"/>
    <w:rsid w:val="00460821"/>
  </w:style>
  <w:style w:type="character" w:customStyle="1" w:styleId="categorie">
    <w:name w:val="categorie"/>
    <w:basedOn w:val="DefaultParagraphFont"/>
    <w:rsid w:val="00460821"/>
  </w:style>
  <w:style w:type="character" w:customStyle="1" w:styleId="exemple">
    <w:name w:val="exemple"/>
    <w:basedOn w:val="DefaultParagraphFont"/>
    <w:rsid w:val="00460821"/>
  </w:style>
  <w:style w:type="character" w:customStyle="1" w:styleId="surlignay">
    <w:name w:val="surlignay"/>
    <w:basedOn w:val="DefaultParagraphFont"/>
    <w:rsid w:val="00460821"/>
  </w:style>
  <w:style w:type="character" w:customStyle="1" w:styleId="reflex">
    <w:name w:val="reflex"/>
    <w:basedOn w:val="DefaultParagraphFont"/>
    <w:rsid w:val="00460821"/>
  </w:style>
  <w:style w:type="character" w:customStyle="1" w:styleId="reflex3-block">
    <w:name w:val="reflex3-block"/>
    <w:basedOn w:val="DefaultParagraphFont"/>
    <w:rsid w:val="00460821"/>
  </w:style>
  <w:style w:type="character" w:customStyle="1" w:styleId="reflex3-alt">
    <w:name w:val="reflex3-alt"/>
    <w:basedOn w:val="DefaultParagraphFont"/>
    <w:rsid w:val="00460821"/>
  </w:style>
  <w:style w:type="table" w:customStyle="1" w:styleId="TableGrid2">
    <w:name w:val="Table Grid2"/>
    <w:basedOn w:val="TableNormal"/>
    <w:next w:val="TableGrid"/>
    <w:uiPriority w:val="59"/>
    <w:rsid w:val="0046082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60A0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60A0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0F73-99CA-4458-8426-F362977E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26922</Words>
  <Characters>137015</Characters>
  <Application>Microsoft Office Word</Application>
  <DocSecurity>0</DocSecurity>
  <Lines>1141</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2019-10-11T11:41:00Z</dcterms:created>
  <dcterms:modified xsi:type="dcterms:W3CDTF">2022-02-09T19:34:00Z</dcterms:modified>
</cp:coreProperties>
</file>