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450"/>
      </w:tblGrid>
      <w:tr w:rsidR="00E77B99" w:rsidTr="00374332">
        <w:trPr>
          <w:trHeight w:val="1786"/>
        </w:trPr>
        <w:tc>
          <w:tcPr>
            <w:tcW w:w="5000" w:type="pct"/>
          </w:tcPr>
          <w:p w:rsidR="00E77B99" w:rsidRDefault="00E77B99" w:rsidP="00374332">
            <w:pPr>
              <w:jc w:val="center"/>
            </w:pPr>
            <w:r w:rsidRPr="00C22905">
              <w:rPr>
                <w:rFonts w:eastAsia="Calibr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5.4pt" o:ole="">
                  <v:imagedata r:id="rId7" o:title=""/>
                </v:shape>
                <o:OLEObject Type="Embed" ProgID="Presentations.Drawing.15" ShapeID="_x0000_i1025" DrawAspect="Content" ObjectID="_1705908147" r:id="rId8"/>
              </w:object>
            </w:r>
          </w:p>
          <w:p w:rsidR="00E77B99" w:rsidRDefault="00E77B99" w:rsidP="00374332">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bl>
    <w:tbl>
      <w:tblPr>
        <w:tblStyle w:val="TableGrid"/>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50"/>
        <w:gridCol w:w="1261"/>
        <w:gridCol w:w="4139"/>
      </w:tblGrid>
      <w:tr w:rsidR="00E77B99" w:rsidRPr="005539EF" w:rsidTr="00E77B99">
        <w:tc>
          <w:tcPr>
            <w:tcW w:w="2143" w:type="pct"/>
            <w:tcMar>
              <w:top w:w="284" w:type="dxa"/>
            </w:tcMar>
          </w:tcPr>
          <w:p w:rsidR="00E77B99" w:rsidRPr="000248BB" w:rsidRDefault="00E77B99" w:rsidP="00374332">
            <w:pPr>
              <w:spacing w:before="100" w:beforeAutospacing="1"/>
              <w:rPr>
                <w:rFonts w:eastAsia="Calibri"/>
              </w:rPr>
            </w:pPr>
            <w:r w:rsidRPr="00CB5B04">
              <w:rPr>
                <w:b/>
                <w:smallCaps/>
              </w:rPr>
              <w:t>Référence :</w:t>
            </w:r>
            <w:r w:rsidRPr="00CB5B04">
              <w:t xml:space="preserve"> </w:t>
            </w:r>
            <w:r w:rsidRPr="000C507F">
              <w:rPr>
                <w:rStyle w:val="SCCAppellantForRunningHeadChar"/>
                <w:rFonts w:eastAsiaTheme="minorHAnsi"/>
                <w:smallCaps w:val="0"/>
                <w:lang w:val="fr-CA"/>
              </w:rPr>
              <w:t>R.</w:t>
            </w:r>
            <w:r w:rsidRPr="000248BB">
              <w:t xml:space="preserve"> </w:t>
            </w:r>
            <w:r w:rsidRPr="000248BB">
              <w:rPr>
                <w:i/>
              </w:rPr>
              <w:t>c.</w:t>
            </w:r>
            <w:r w:rsidRPr="000248BB">
              <w:t xml:space="preserve"> </w:t>
            </w:r>
            <w:r w:rsidRPr="000C507F">
              <w:rPr>
                <w:rStyle w:val="SCCRespondentForRunningHeadChar"/>
                <w:rFonts w:eastAsiaTheme="minorHAnsi"/>
                <w:smallCaps w:val="0"/>
                <w:lang w:val="fr-CA"/>
              </w:rPr>
              <w:t>M.R.H.</w:t>
            </w:r>
            <w:r>
              <w:rPr>
                <w:rStyle w:val="SCCRespondentForRunningHeadChar"/>
                <w:rFonts w:eastAsiaTheme="minorHAnsi"/>
                <w:smallCaps w:val="0"/>
                <w:lang w:val="fr-CA"/>
              </w:rPr>
              <w:t xml:space="preserve">, </w:t>
            </w:r>
            <w:r w:rsidRPr="0086437B">
              <w:t>2019 CSC </w:t>
            </w:r>
            <w:r>
              <w:t>46</w:t>
            </w:r>
            <w:r w:rsidRPr="000248BB">
              <w:t>, [2019] 3 R.C.S. 563</w:t>
            </w:r>
          </w:p>
        </w:tc>
        <w:tc>
          <w:tcPr>
            <w:tcW w:w="667" w:type="pct"/>
          </w:tcPr>
          <w:p w:rsidR="00E77B99" w:rsidRPr="00CB5B04" w:rsidRDefault="00E77B99" w:rsidP="00374332">
            <w:pPr>
              <w:rPr>
                <w:b/>
                <w:smallCaps/>
              </w:rPr>
            </w:pPr>
          </w:p>
        </w:tc>
        <w:tc>
          <w:tcPr>
            <w:tcW w:w="2190" w:type="pct"/>
            <w:tcMar>
              <w:top w:w="284" w:type="dxa"/>
            </w:tcMar>
          </w:tcPr>
          <w:p w:rsidR="00E77B99" w:rsidRPr="000248BB" w:rsidRDefault="00E77B99" w:rsidP="00374332">
            <w:r w:rsidRPr="000248BB">
              <w:rPr>
                <w:b/>
                <w:smallCaps/>
              </w:rPr>
              <w:t>Appel entendu :</w:t>
            </w:r>
            <w:r w:rsidRPr="000248BB">
              <w:t xml:space="preserve"> 9 octobre 2019</w:t>
            </w:r>
          </w:p>
          <w:p w:rsidR="00E77B99" w:rsidRPr="000248BB" w:rsidRDefault="00E77B99" w:rsidP="00374332">
            <w:pPr>
              <w:rPr>
                <w:b/>
                <w:smallCaps/>
              </w:rPr>
            </w:pPr>
            <w:r w:rsidRPr="000248BB">
              <w:rPr>
                <w:b/>
                <w:smallCaps/>
              </w:rPr>
              <w:t>Jugement rendu :</w:t>
            </w:r>
            <w:r w:rsidRPr="000248BB">
              <w:t xml:space="preserve"> 9 octobre 2019</w:t>
            </w:r>
          </w:p>
          <w:p w:rsidR="00E77B99" w:rsidRPr="00A9085B" w:rsidRDefault="00E77B99" w:rsidP="00374332">
            <w:pPr>
              <w:ind w:firstLine="24"/>
              <w:rPr>
                <w:rFonts w:eastAsia="Calibri"/>
              </w:rPr>
            </w:pPr>
            <w:r w:rsidRPr="001E12E2">
              <w:rPr>
                <w:b/>
                <w:smallCaps/>
              </w:rPr>
              <w:t>Do</w:t>
            </w:r>
            <w:r>
              <w:rPr>
                <w:b/>
                <w:smallCaps/>
              </w:rPr>
              <w:t>ssier :</w:t>
            </w:r>
            <w:r w:rsidRPr="001E12E2">
              <w:t xml:space="preserve"> </w:t>
            </w:r>
            <w:r>
              <w:t>38547</w:t>
            </w:r>
          </w:p>
        </w:tc>
      </w:tr>
      <w:tr w:rsidR="00E77B99" w:rsidTr="00E7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765"/>
        </w:trPr>
        <w:tc>
          <w:tcPr>
            <w:tcW w:w="5000" w:type="pct"/>
            <w:gridSpan w:val="3"/>
            <w:tcBorders>
              <w:top w:val="nil"/>
              <w:left w:val="nil"/>
              <w:bottom w:val="nil"/>
              <w:right w:val="nil"/>
            </w:tcBorders>
          </w:tcPr>
          <w:p w:rsidR="00E77B99" w:rsidRPr="001E12E2" w:rsidRDefault="00E77B99" w:rsidP="00374332"/>
          <w:p w:rsidR="00E77B99" w:rsidRDefault="00E77B99" w:rsidP="00374332">
            <w:pPr>
              <w:pStyle w:val="SCCLsocPrefix"/>
            </w:pPr>
            <w:r>
              <w:t>Entre</w:t>
            </w:r>
            <w:r>
              <w:t> </w:t>
            </w:r>
            <w:bookmarkStart w:id="0" w:name="_GoBack"/>
            <w:bookmarkEnd w:id="0"/>
            <w:r>
              <w:t>:</w:t>
            </w:r>
          </w:p>
          <w:p w:rsidR="00E77B99" w:rsidRPr="00E77B99" w:rsidRDefault="00E77B99" w:rsidP="00E77B99"/>
          <w:p w:rsidR="00E77B99" w:rsidRPr="00441159" w:rsidRDefault="00E77B99" w:rsidP="00374332">
            <w:pPr>
              <w:pStyle w:val="SCCLsocParty"/>
            </w:pPr>
            <w:r>
              <w:t>Sa Majesté la Reine</w:t>
            </w:r>
          </w:p>
          <w:p w:rsidR="00E77B99" w:rsidRDefault="00E77B99" w:rsidP="00374332">
            <w:pPr>
              <w:pStyle w:val="SCCLsocPartyRole"/>
            </w:pPr>
            <w:r>
              <w:t>Appelante</w:t>
            </w:r>
          </w:p>
          <w:p w:rsidR="00E77B99" w:rsidRPr="00375C1D" w:rsidRDefault="00E77B99" w:rsidP="00374332"/>
          <w:p w:rsidR="00E77B99" w:rsidRDefault="00E77B99" w:rsidP="00374332">
            <w:pPr>
              <w:pStyle w:val="SCCLsocVersus"/>
            </w:pPr>
            <w:r>
              <w:t>et</w:t>
            </w:r>
          </w:p>
          <w:p w:rsidR="00E77B99" w:rsidRPr="00375C1D" w:rsidRDefault="00E77B99" w:rsidP="00374332"/>
          <w:p w:rsidR="00E77B99" w:rsidRDefault="00E77B99" w:rsidP="00374332">
            <w:pPr>
              <w:pStyle w:val="SCCLsocParty"/>
            </w:pPr>
            <w:r>
              <w:t>M.R.H.</w:t>
            </w:r>
          </w:p>
          <w:p w:rsidR="00E77B99" w:rsidRDefault="00E77B99" w:rsidP="00374332">
            <w:pPr>
              <w:pStyle w:val="SCCLsocPartyRole"/>
            </w:pPr>
            <w:r>
              <w:t>Intimé</w:t>
            </w:r>
          </w:p>
          <w:p w:rsidR="00E77B99" w:rsidRDefault="00E77B99" w:rsidP="00374332"/>
          <w:p w:rsidR="00E77B99" w:rsidRDefault="00E77B99" w:rsidP="00374332"/>
          <w:p w:rsidR="00E77B99" w:rsidRPr="00BC0C40" w:rsidRDefault="00E77B99" w:rsidP="00374332"/>
          <w:p w:rsidR="00E77B99" w:rsidRPr="001E12E2" w:rsidRDefault="00E77B99" w:rsidP="00374332">
            <w:pPr>
              <w:jc w:val="center"/>
              <w:rPr>
                <w:b/>
                <w:smallCaps/>
              </w:rPr>
            </w:pPr>
            <w:r>
              <w:rPr>
                <w:b/>
                <w:smallCaps/>
              </w:rPr>
              <w:t>Traduction française o</w:t>
            </w:r>
            <w:r w:rsidRPr="001E12E2">
              <w:rPr>
                <w:b/>
                <w:smallCaps/>
              </w:rPr>
              <w:t>ffici</w:t>
            </w:r>
            <w:r>
              <w:rPr>
                <w:b/>
                <w:smallCaps/>
              </w:rPr>
              <w:t>elle</w:t>
            </w:r>
          </w:p>
          <w:p w:rsidR="00E77B99" w:rsidRPr="001E12E2" w:rsidRDefault="00E77B99" w:rsidP="00374332"/>
          <w:p w:rsidR="00E77B99" w:rsidRDefault="00E77B99" w:rsidP="00374332"/>
        </w:tc>
      </w:tr>
      <w:tr w:rsidR="00E77B99" w:rsidTr="00E7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85"/>
        </w:trPr>
        <w:tc>
          <w:tcPr>
            <w:tcW w:w="5000" w:type="pct"/>
            <w:gridSpan w:val="3"/>
            <w:tcBorders>
              <w:top w:val="nil"/>
              <w:left w:val="nil"/>
              <w:bottom w:val="nil"/>
              <w:right w:val="nil"/>
            </w:tcBorders>
          </w:tcPr>
          <w:p w:rsidR="00E77B99" w:rsidRDefault="00E77B99" w:rsidP="00374332">
            <w:pPr>
              <w:rPr>
                <w:b/>
                <w:smallCaps/>
              </w:rPr>
            </w:pPr>
          </w:p>
          <w:p w:rsidR="00E77B99" w:rsidRDefault="00E77B99" w:rsidP="00374332">
            <w:r w:rsidRPr="001E12E2">
              <w:rPr>
                <w:b/>
                <w:smallCaps/>
              </w:rPr>
              <w:t>Coram</w:t>
            </w:r>
            <w:r>
              <w:rPr>
                <w:b/>
                <w:smallCaps/>
              </w:rPr>
              <w:t> :</w:t>
            </w:r>
            <w:r w:rsidRPr="001E12E2">
              <w:t xml:space="preserve"> </w:t>
            </w:r>
            <w:r>
              <w:t>Les juges Karakatsanis, Côté, Brown, Martin et Kasirer</w:t>
            </w:r>
          </w:p>
          <w:p w:rsidR="00E77B99" w:rsidRDefault="00E77B99" w:rsidP="00374332">
            <w:pPr>
              <w:rPr>
                <w:b/>
                <w:smallCaps/>
              </w:rPr>
            </w:pPr>
          </w:p>
        </w:tc>
      </w:tr>
    </w:tbl>
    <w:tbl>
      <w:tblPr>
        <w:tblStyle w:val="TableGrid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150"/>
        <w:gridCol w:w="6300"/>
      </w:tblGrid>
      <w:tr w:rsidR="00E77B99" w:rsidRPr="001E12E2" w:rsidTr="00374332">
        <w:trPr>
          <w:cantSplit/>
          <w:trHeight w:val="686"/>
        </w:trPr>
        <w:tc>
          <w:tcPr>
            <w:tcW w:w="3150" w:type="dxa"/>
          </w:tcPr>
          <w:p w:rsidR="00E77B99" w:rsidRDefault="00E77B99" w:rsidP="00374332">
            <w:pPr>
              <w:rPr>
                <w:b/>
                <w:smallCaps/>
              </w:rPr>
            </w:pPr>
          </w:p>
          <w:p w:rsidR="00E77B99" w:rsidRDefault="00E77B99" w:rsidP="00374332">
            <w:pPr>
              <w:ind w:left="-58" w:firstLine="90"/>
              <w:rPr>
                <w:b/>
                <w:smallCaps/>
              </w:rPr>
            </w:pPr>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Pr>
                <w:b/>
                <w:smallCaps/>
              </w:rPr>
              <w:t> :</w:t>
            </w:r>
          </w:p>
          <w:p w:rsidR="00E77B99" w:rsidRPr="0097746B" w:rsidRDefault="00E77B99" w:rsidP="00374332">
            <w:pPr>
              <w:ind w:left="-58" w:firstLine="90"/>
            </w:pPr>
            <w:r w:rsidRPr="0097746B">
              <w:t>(par. 1</w:t>
            </w:r>
            <w:r>
              <w:t xml:space="preserve"> </w:t>
            </w:r>
            <w:r w:rsidRPr="00B51B1A">
              <w:t>à 6)</w:t>
            </w:r>
          </w:p>
        </w:tc>
        <w:tc>
          <w:tcPr>
            <w:tcW w:w="6300" w:type="dxa"/>
          </w:tcPr>
          <w:p w:rsidR="00E77B99" w:rsidRDefault="00E77B99" w:rsidP="00374332"/>
          <w:p w:rsidR="00E77B99" w:rsidRPr="001E12E2" w:rsidRDefault="00E77B99" w:rsidP="00374332">
            <w:r>
              <w:t>La juge Karakatsanis (</w:t>
            </w:r>
            <w:r w:rsidRPr="0097746B">
              <w:t>avec l’accord des juges</w:t>
            </w:r>
            <w:r>
              <w:t xml:space="preserve"> Côté, Brown, Martin et Kasirer)</w:t>
            </w:r>
          </w:p>
        </w:tc>
      </w:tr>
    </w:tbl>
    <w:p w:rsidR="00E77B99" w:rsidRDefault="00E77B99" w:rsidP="00E77B99">
      <w:pPr>
        <w:rPr>
          <w:b/>
          <w:smallCaps/>
        </w:rPr>
      </w:pPr>
    </w:p>
    <w:p w:rsidR="00E77B99" w:rsidRPr="001E12E2" w:rsidRDefault="00E77B99" w:rsidP="00E77B9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E77B99" w:rsidRPr="00C7392B" w:rsidTr="00374332">
        <w:tc>
          <w:tcPr>
            <w:tcW w:w="1500" w:type="pct"/>
            <w:tcMar>
              <w:top w:w="284" w:type="dxa"/>
            </w:tcMar>
          </w:tcPr>
          <w:p w:rsidR="00E77B99" w:rsidRPr="009D6DBE" w:rsidRDefault="00E77B99" w:rsidP="00374332">
            <w:pPr>
              <w:rPr>
                <w:rFonts w:eastAsia="Calibri"/>
              </w:rPr>
            </w:pPr>
          </w:p>
        </w:tc>
        <w:tc>
          <w:tcPr>
            <w:tcW w:w="2000" w:type="pct"/>
            <w:tcBorders>
              <w:bottom w:val="single" w:sz="4" w:space="0" w:color="auto"/>
            </w:tcBorders>
            <w:tcMar>
              <w:top w:w="284" w:type="dxa"/>
            </w:tcMar>
          </w:tcPr>
          <w:p w:rsidR="00E77B99" w:rsidRPr="009D6DBE" w:rsidRDefault="00E77B99" w:rsidP="00374332">
            <w:pPr>
              <w:rPr>
                <w:rFonts w:eastAsia="Calibri"/>
              </w:rPr>
            </w:pPr>
          </w:p>
        </w:tc>
        <w:tc>
          <w:tcPr>
            <w:tcW w:w="1500" w:type="pct"/>
            <w:tcMar>
              <w:top w:w="284" w:type="dxa"/>
            </w:tcMar>
          </w:tcPr>
          <w:p w:rsidR="00E77B99" w:rsidRPr="009D6DBE" w:rsidRDefault="00E77B99" w:rsidP="00374332">
            <w:pPr>
              <w:rPr>
                <w:rFonts w:eastAsia="Calibri"/>
              </w:rPr>
            </w:pPr>
          </w:p>
        </w:tc>
      </w:tr>
    </w:tbl>
    <w:p w:rsidR="00E77B99" w:rsidRPr="00E77B99" w:rsidRDefault="00E77B99" w:rsidP="00570CE6">
      <w:pPr>
        <w:spacing w:before="480" w:after="480" w:line="480" w:lineRule="auto"/>
        <w:jc w:val="both"/>
        <w:rPr>
          <w:rStyle w:val="SCCAppellantForRunningHeadChar"/>
          <w:rFonts w:eastAsiaTheme="minorHAnsi"/>
          <w:smallCaps w:val="0"/>
          <w:lang w:val="fr-CA"/>
        </w:rPr>
      </w:pPr>
    </w:p>
    <w:p w:rsidR="00570CE6" w:rsidRPr="0086437B" w:rsidRDefault="000C507F" w:rsidP="00570CE6">
      <w:pPr>
        <w:spacing w:before="480" w:after="480" w:line="480" w:lineRule="auto"/>
        <w:jc w:val="both"/>
      </w:pPr>
      <w:r w:rsidRPr="000C507F">
        <w:rPr>
          <w:rStyle w:val="SCCAppellantForRunningHeadChar"/>
          <w:rFonts w:eastAsiaTheme="minorHAnsi"/>
          <w:smallCaps w:val="0"/>
          <w:lang w:val="fr-CA"/>
        </w:rPr>
        <w:t>R.</w:t>
      </w:r>
      <w:r w:rsidR="00570CE6" w:rsidRPr="0086437B">
        <w:t xml:space="preserve"> </w:t>
      </w:r>
      <w:r w:rsidR="00570CE6" w:rsidRPr="0086437B">
        <w:rPr>
          <w:i/>
        </w:rPr>
        <w:t>c.</w:t>
      </w:r>
      <w:r w:rsidR="00570CE6" w:rsidRPr="0086437B">
        <w:t xml:space="preserve"> </w:t>
      </w:r>
      <w:r w:rsidRPr="000C507F">
        <w:rPr>
          <w:rStyle w:val="SCCRespondentForRunningHeadChar"/>
          <w:rFonts w:eastAsiaTheme="minorHAnsi"/>
          <w:smallCaps w:val="0"/>
          <w:lang w:val="fr-CA"/>
        </w:rPr>
        <w:t>M.R.H.</w:t>
      </w:r>
      <w:r>
        <w:rPr>
          <w:rStyle w:val="SCCRespondentForRunningHeadChar"/>
          <w:rFonts w:eastAsiaTheme="minorHAnsi"/>
          <w:smallCaps w:val="0"/>
          <w:lang w:val="fr-CA"/>
        </w:rPr>
        <w:t xml:space="preserve">, </w:t>
      </w:r>
      <w:r w:rsidRPr="0086437B">
        <w:t>2019 CSC </w:t>
      </w:r>
      <w:r>
        <w:t>46</w:t>
      </w:r>
      <w:r>
        <w:t xml:space="preserve">, </w:t>
      </w:r>
      <w:r>
        <w:t xml:space="preserve">[2019] 3 </w:t>
      </w:r>
      <w:r>
        <w:t>R.C.</w:t>
      </w:r>
      <w:r>
        <w:t>S. 563</w:t>
      </w:r>
    </w:p>
    <w:p w:rsidR="00570CE6" w:rsidRPr="0086437B" w:rsidRDefault="00570CE6" w:rsidP="00570CE6">
      <w:pPr>
        <w:pStyle w:val="SCCLsocLastPartyInRole"/>
        <w:spacing w:before="480" w:after="480" w:line="480" w:lineRule="auto"/>
        <w:rPr>
          <w:lang w:val="fr-CA"/>
        </w:rPr>
      </w:pPr>
      <w:r w:rsidRPr="0086437B">
        <w:rPr>
          <w:lang w:val="fr-CA"/>
        </w:rPr>
        <w:lastRenderedPageBreak/>
        <w:t>Sa Majesté la Reine</w:t>
      </w:r>
      <w:r>
        <w:rPr>
          <w:lang w:val="fr-CA"/>
        </w:rPr>
        <w:tab/>
      </w:r>
      <w:r w:rsidRPr="00BC0C40">
        <w:rPr>
          <w:b w:val="0"/>
          <w:i/>
          <w:lang w:val="fr-CA"/>
        </w:rPr>
        <w:t>Appelante</w:t>
      </w:r>
    </w:p>
    <w:p w:rsidR="00570CE6" w:rsidRPr="00BC0C40" w:rsidRDefault="00570CE6" w:rsidP="00570CE6">
      <w:pPr>
        <w:pStyle w:val="SCCLsocVersus"/>
        <w:spacing w:before="480" w:after="480" w:line="480" w:lineRule="auto"/>
        <w:jc w:val="left"/>
        <w:rPr>
          <w:i/>
        </w:rPr>
      </w:pPr>
      <w:r w:rsidRPr="00BC0C40">
        <w:rPr>
          <w:i/>
        </w:rPr>
        <w:t>c.</w:t>
      </w:r>
    </w:p>
    <w:p w:rsidR="00570CE6" w:rsidRPr="0086437B" w:rsidRDefault="00570CE6" w:rsidP="00570CE6">
      <w:pPr>
        <w:pStyle w:val="SCCLsocLastPartyInRole"/>
        <w:spacing w:before="480" w:after="480" w:line="480" w:lineRule="auto"/>
        <w:rPr>
          <w:lang w:val="fr-CA"/>
        </w:rPr>
      </w:pPr>
      <w:r w:rsidRPr="0086437B">
        <w:rPr>
          <w:lang w:val="fr-CA"/>
        </w:rPr>
        <w:t>M.R.H.</w:t>
      </w:r>
      <w:r w:rsidRPr="0086437B">
        <w:rPr>
          <w:lang w:val="fr-CA"/>
        </w:rPr>
        <w:tab/>
      </w:r>
      <w:r w:rsidRPr="00BC0C40">
        <w:rPr>
          <w:b w:val="0"/>
          <w:i/>
          <w:lang w:val="fr-CA"/>
        </w:rPr>
        <w:t>Intimé</w:t>
      </w:r>
    </w:p>
    <w:p w:rsidR="00570CE6" w:rsidRPr="0086437B" w:rsidRDefault="00570CE6" w:rsidP="00570CE6">
      <w:pPr>
        <w:spacing w:before="480" w:after="480" w:line="480" w:lineRule="auto"/>
        <w:jc w:val="both"/>
        <w:rPr>
          <w:b/>
        </w:rPr>
      </w:pPr>
      <w:r>
        <w:rPr>
          <w:b/>
        </w:rPr>
        <w:t>Répertorié : </w:t>
      </w:r>
      <w:r w:rsidRPr="00570CE6">
        <w:rPr>
          <w:rStyle w:val="SCCAppellantForIndexChar"/>
          <w:rFonts w:eastAsiaTheme="minorHAnsi"/>
          <w:lang w:val="fr-CA"/>
        </w:rPr>
        <w:t>R.</w:t>
      </w:r>
      <w:r w:rsidRPr="00BB4C92">
        <w:rPr>
          <w:b/>
        </w:rPr>
        <w:t xml:space="preserve"> </w:t>
      </w:r>
      <w:r w:rsidRPr="00BB4C92">
        <w:rPr>
          <w:b/>
          <w:i/>
        </w:rPr>
        <w:t>c.</w:t>
      </w:r>
      <w:r w:rsidRPr="00BB4C92">
        <w:rPr>
          <w:b/>
        </w:rPr>
        <w:t xml:space="preserve"> </w:t>
      </w:r>
      <w:r w:rsidRPr="00570CE6">
        <w:rPr>
          <w:rStyle w:val="SCCRespondentForIndexChar"/>
          <w:rFonts w:eastAsiaTheme="minorHAnsi"/>
          <w:lang w:val="fr-CA"/>
        </w:rPr>
        <w:t>M.R.H.</w:t>
      </w:r>
    </w:p>
    <w:p w:rsidR="00570CE6" w:rsidRPr="0086437B" w:rsidRDefault="00570CE6" w:rsidP="00570CE6">
      <w:pPr>
        <w:pStyle w:val="SCCSystemYear"/>
        <w:spacing w:before="480" w:after="480" w:line="480" w:lineRule="auto"/>
        <w:jc w:val="both"/>
        <w:rPr>
          <w:lang w:val="fr-CA"/>
        </w:rPr>
      </w:pPr>
      <w:r w:rsidRPr="0086437B">
        <w:rPr>
          <w:lang w:val="fr-CA"/>
        </w:rPr>
        <w:t>2019 CSC </w:t>
      </w:r>
      <w:r>
        <w:rPr>
          <w:lang w:val="fr-CA"/>
        </w:rPr>
        <w:t>46</w:t>
      </w:r>
    </w:p>
    <w:p w:rsidR="00570CE6" w:rsidRPr="0086437B" w:rsidRDefault="00570CE6" w:rsidP="00570CE6">
      <w:pPr>
        <w:spacing w:before="480" w:after="480" w:line="480" w:lineRule="auto"/>
        <w:jc w:val="both"/>
      </w:pPr>
      <w:r w:rsidRPr="0086437B">
        <w:t>N</w:t>
      </w:r>
      <w:r w:rsidRPr="0086437B">
        <w:rPr>
          <w:vertAlign w:val="superscript"/>
        </w:rPr>
        <w:t>o</w:t>
      </w:r>
      <w:r w:rsidRPr="0086437B">
        <w:t xml:space="preserve"> du greffe : 38547.</w:t>
      </w:r>
    </w:p>
    <w:p w:rsidR="00570CE6" w:rsidRPr="0086437B" w:rsidRDefault="00570CE6" w:rsidP="00570CE6">
      <w:pPr>
        <w:spacing w:before="480" w:after="480" w:line="480" w:lineRule="auto"/>
        <w:jc w:val="both"/>
      </w:pPr>
      <w:r w:rsidRPr="0086437B">
        <w:t>2019</w:t>
      </w:r>
      <w:r>
        <w:t> </w:t>
      </w:r>
      <w:r w:rsidRPr="0086437B">
        <w:t>: 9 octobre</w:t>
      </w:r>
      <w:r>
        <w:t>.</w:t>
      </w:r>
    </w:p>
    <w:p w:rsidR="00570CE6" w:rsidRPr="0086437B" w:rsidRDefault="00570CE6" w:rsidP="00570CE6">
      <w:pPr>
        <w:spacing w:before="480" w:after="480" w:line="480" w:lineRule="auto"/>
        <w:jc w:val="both"/>
      </w:pPr>
      <w:r w:rsidRPr="0086437B">
        <w:t>Présents : Les juges Karakatsanis, Côté, Brown, Martin et Kasirer.</w:t>
      </w:r>
    </w:p>
    <w:p w:rsidR="00570CE6" w:rsidRPr="00EC15E4" w:rsidRDefault="00570CE6" w:rsidP="00570CE6">
      <w:pPr>
        <w:spacing w:before="480" w:after="480" w:line="480" w:lineRule="auto"/>
        <w:jc w:val="both"/>
        <w:rPr>
          <w:smallCaps/>
        </w:rPr>
      </w:pPr>
      <w:r w:rsidRPr="00EC15E4">
        <w:rPr>
          <w:smallCaps/>
        </w:rPr>
        <w:t>en appel de la cour d’appel de la colombie-britannique</w:t>
      </w:r>
    </w:p>
    <w:p w:rsidR="00570CE6" w:rsidRPr="00590577" w:rsidRDefault="00570CE6" w:rsidP="00570CE6">
      <w:pPr>
        <w:pStyle w:val="SCCNormalDoubleSpacing"/>
        <w:spacing w:before="480" w:after="480"/>
        <w:rPr>
          <w:i/>
          <w:lang w:val="fr-CA"/>
        </w:rPr>
      </w:pPr>
      <w:r w:rsidRPr="00BB4C92">
        <w:rPr>
          <w:lang w:val="fr-CA"/>
        </w:rPr>
        <w:tab/>
      </w:r>
      <w:r w:rsidRPr="00590577">
        <w:rPr>
          <w:i/>
          <w:lang w:val="fr-CA"/>
        </w:rPr>
        <w:t xml:space="preserve">Droit criminel — Exposé au jury — Accusé inculpé d’agression sexuelle et de contacts sexuels — </w:t>
      </w:r>
      <w:r w:rsidRPr="00F70F8A">
        <w:rPr>
          <w:i/>
          <w:lang w:val="fr-CA"/>
        </w:rPr>
        <w:t>Acte d’accusation reprochant les deux infractions et couvrant la période au cours de laquelle deux incidents distincts auraient eu lieu</w:t>
      </w:r>
      <w:r w:rsidRPr="00590577">
        <w:rPr>
          <w:i/>
          <w:lang w:val="fr-CA"/>
        </w:rPr>
        <w:t xml:space="preserve">— Question adressée au juge du procès par les jurés pendant les délibérations afin de savoir s’ils pouvaient déclarer l’accusé coupable des deux infractions sur la base du premier incident seulement — Accusé déclaré coupable des deux infractions par le jury — </w:t>
      </w:r>
      <w:r w:rsidRPr="00F70F8A">
        <w:rPr>
          <w:i/>
          <w:lang w:val="fr-CA"/>
        </w:rPr>
        <w:t>Décision des juges majoritaires de la Cour d’appel portant que le juge du procès avait commis des erreurs en faisant un exposé confus au ju</w:t>
      </w:r>
      <w:r>
        <w:rPr>
          <w:i/>
          <w:lang w:val="fr-CA"/>
        </w:rPr>
        <w:t xml:space="preserve">ry quant à l’acte </w:t>
      </w:r>
      <w:r>
        <w:rPr>
          <w:i/>
          <w:lang w:val="fr-CA"/>
        </w:rPr>
        <w:lastRenderedPageBreak/>
        <w:t>d’accusation</w:t>
      </w:r>
      <w:r w:rsidRPr="00590577">
        <w:rPr>
          <w:i/>
          <w:lang w:val="fr-CA"/>
        </w:rPr>
        <w:t>, en formulant sa réponse à la question du jury et en omettant de donner des directives additionnelles sur la question de la crédibilité — Nouveau procès ordonné par les juges majoritaires — Conclusion du juge dissident portant que tant l’exposé du juge du procès aux jurés que la réponse de celui-ci à leur question avaient été adéquats — Déclarations de culpabilité rétablies.</w:t>
      </w:r>
    </w:p>
    <w:p w:rsidR="00570CE6" w:rsidRPr="004D7D95" w:rsidRDefault="00570CE6" w:rsidP="00570CE6">
      <w:pPr>
        <w:pStyle w:val="SCCNormalDoubleSpacing"/>
        <w:keepNext/>
        <w:keepLines/>
        <w:spacing w:before="480" w:after="480"/>
        <w:rPr>
          <w:b/>
          <w:lang w:val="fr-CA"/>
        </w:rPr>
      </w:pPr>
      <w:r w:rsidRPr="004D7D95">
        <w:rPr>
          <w:b/>
          <w:lang w:val="fr-CA"/>
        </w:rPr>
        <w:t>Jurisprudence</w:t>
      </w:r>
    </w:p>
    <w:p w:rsidR="00570CE6" w:rsidRPr="004D7D95" w:rsidRDefault="00570CE6" w:rsidP="00570CE6">
      <w:pPr>
        <w:pStyle w:val="SCCNormalDoubleSpacing"/>
        <w:keepNext/>
        <w:keepLines/>
        <w:spacing w:before="480" w:after="480"/>
        <w:rPr>
          <w:b/>
          <w:lang w:val="fr-CA"/>
        </w:rPr>
      </w:pPr>
      <w:r w:rsidRPr="004D7D95">
        <w:rPr>
          <w:lang w:val="fr-CA"/>
        </w:rPr>
        <w:tab/>
      </w:r>
      <w:r>
        <w:rPr>
          <w:b/>
          <w:lang w:val="fr-CA"/>
        </w:rPr>
        <w:t>Arrêt</w:t>
      </w:r>
      <w:r w:rsidRPr="004D7D95">
        <w:rPr>
          <w:b/>
          <w:lang w:val="fr-CA"/>
        </w:rPr>
        <w:t xml:space="preserve"> mentionné :</w:t>
      </w:r>
      <w:r w:rsidRPr="004D7D95">
        <w:rPr>
          <w:lang w:val="fr-CA"/>
        </w:rPr>
        <w:t xml:space="preserve"> </w:t>
      </w:r>
      <w:r w:rsidRPr="00BB4E6A">
        <w:rPr>
          <w:i/>
          <w:lang w:val="fr-CA"/>
        </w:rPr>
        <w:t>Guindon c. Canada</w:t>
      </w:r>
      <w:r w:rsidRPr="00BB4E6A">
        <w:rPr>
          <w:lang w:val="fr-CA"/>
        </w:rPr>
        <w:t>, 2015 CSC 41, [2015] 3 R.C.S. 3</w:t>
      </w:r>
      <w:r>
        <w:rPr>
          <w:lang w:val="fr-CA"/>
        </w:rPr>
        <w:t>.</w:t>
      </w:r>
    </w:p>
    <w:p w:rsidR="00570CE6" w:rsidRPr="00BB4E6A" w:rsidRDefault="00570CE6" w:rsidP="00570CE6">
      <w:pPr>
        <w:pStyle w:val="SCCNormalDoubleSpacing"/>
        <w:spacing w:before="480" w:after="480"/>
        <w:rPr>
          <w:b/>
          <w:lang w:val="fr-CA"/>
        </w:rPr>
      </w:pPr>
      <w:r w:rsidRPr="004D7D95">
        <w:rPr>
          <w:b/>
          <w:lang w:val="fr-CA"/>
        </w:rPr>
        <w:t>Lois et règlements cités</w:t>
      </w:r>
    </w:p>
    <w:p w:rsidR="00570CE6" w:rsidRPr="004D7D95" w:rsidRDefault="00570CE6" w:rsidP="00570CE6">
      <w:pPr>
        <w:pStyle w:val="SCCNormalDoubleSpacing"/>
        <w:spacing w:after="720" w:line="240" w:lineRule="auto"/>
        <w:ind w:left="547" w:hanging="547"/>
        <w:rPr>
          <w:lang w:val="fr-CA"/>
        </w:rPr>
      </w:pPr>
      <w:r w:rsidRPr="00BB4E6A">
        <w:rPr>
          <w:i/>
          <w:lang w:val="fr-CA"/>
        </w:rPr>
        <w:t>Code criminel</w:t>
      </w:r>
      <w:r w:rsidRPr="00BB4E6A">
        <w:rPr>
          <w:lang w:val="fr-CA"/>
        </w:rPr>
        <w:t>, L.R.C. 1985, c. C-46</w:t>
      </w:r>
      <w:r>
        <w:rPr>
          <w:lang w:val="fr-CA"/>
        </w:rPr>
        <w:t>, art. 581(1).</w:t>
      </w:r>
    </w:p>
    <w:p w:rsidR="00570CE6" w:rsidRPr="004D7D95" w:rsidRDefault="00570CE6" w:rsidP="00570CE6">
      <w:pPr>
        <w:pStyle w:val="SCCNormalDoubleSpacing"/>
        <w:spacing w:before="480" w:after="480"/>
        <w:rPr>
          <w:lang w:val="fr-CA"/>
        </w:rPr>
      </w:pPr>
      <w:r>
        <w:rPr>
          <w:lang w:val="fr-CA"/>
        </w:rPr>
        <w:tab/>
      </w:r>
      <w:r w:rsidRPr="004D7D95">
        <w:rPr>
          <w:lang w:val="fr-CA"/>
        </w:rPr>
        <w:t xml:space="preserve">POURVOI contre un arrêt de la </w:t>
      </w:r>
      <w:r w:rsidRPr="0086437B">
        <w:rPr>
          <w:lang w:val="fr-CA"/>
        </w:rPr>
        <w:t>Cour d’appel de la Colombie-Britannique</w:t>
      </w:r>
      <w:r>
        <w:rPr>
          <w:lang w:val="fr-CA"/>
        </w:rPr>
        <w:t xml:space="preserve"> (les juges Garson, Harris et Savage), 2019 BCCA 39, 373 C.C.C. (3d) 464, [2019] B.C.J. No. 144 (QL), 2019 CarswellBC 202 (WL Can.), qui a annulé les déclarations de culpabilité prononcées contre l’accusé pour agression sexuelle et contacts sexuels et ordonné la tenue d’un nouveau procès. Pourvoi accueilli.</w:t>
      </w:r>
    </w:p>
    <w:p w:rsidR="00570CE6" w:rsidRPr="0086437B" w:rsidRDefault="00570CE6" w:rsidP="00570CE6">
      <w:pPr>
        <w:pStyle w:val="SCCNormalDoubleSpacing"/>
        <w:spacing w:before="480" w:after="480"/>
        <w:rPr>
          <w:lang w:val="fr-CA"/>
        </w:rPr>
      </w:pPr>
      <w:r>
        <w:rPr>
          <w:rStyle w:val="SCCCounselNameChar"/>
          <w:lang w:val="fr-CA"/>
        </w:rPr>
        <w:tab/>
        <w:t xml:space="preserve">Matthew </w:t>
      </w:r>
      <w:r w:rsidRPr="0086437B">
        <w:rPr>
          <w:rStyle w:val="SCCCounselNameChar"/>
          <w:lang w:val="fr-CA"/>
        </w:rPr>
        <w:t>Scott</w:t>
      </w:r>
      <w:r>
        <w:rPr>
          <w:rStyle w:val="SCCCounselPartyRoleChar"/>
          <w:lang w:val="fr-CA"/>
        </w:rPr>
        <w:t xml:space="preserve"> et </w:t>
      </w:r>
      <w:r w:rsidRPr="006E5544">
        <w:rPr>
          <w:rStyle w:val="SCCCounselPartyRoleChar"/>
          <w:i/>
          <w:lang w:val="fr-CA"/>
        </w:rPr>
        <w:t>Mary T. Ainslie</w:t>
      </w:r>
      <w:r>
        <w:rPr>
          <w:rStyle w:val="SCCCounselPartyRoleChar"/>
          <w:lang w:val="fr-CA"/>
        </w:rPr>
        <w:t xml:space="preserve">, </w:t>
      </w:r>
      <w:r>
        <w:rPr>
          <w:rStyle w:val="SCCCounselPartyRoleChar"/>
          <w:i/>
          <w:lang w:val="fr-CA"/>
        </w:rPr>
        <w:t>c.r</w:t>
      </w:r>
      <w:r w:rsidRPr="006E5544">
        <w:rPr>
          <w:rStyle w:val="SCCCounselPartyRoleChar"/>
          <w:i/>
          <w:lang w:val="fr-CA"/>
        </w:rPr>
        <w:t>.</w:t>
      </w:r>
      <w:r>
        <w:rPr>
          <w:rStyle w:val="SCCCounselPartyRoleChar"/>
          <w:lang w:val="fr-CA"/>
        </w:rPr>
        <w:t>,</w:t>
      </w:r>
      <w:r w:rsidRPr="0086437B">
        <w:rPr>
          <w:rStyle w:val="SCCCounselPartyRoleChar"/>
          <w:lang w:val="fr-CA"/>
        </w:rPr>
        <w:t xml:space="preserve"> pour </w:t>
      </w:r>
      <w:r>
        <w:rPr>
          <w:rStyle w:val="SCCCounselPartyRoleChar"/>
          <w:lang w:val="fr-CA"/>
        </w:rPr>
        <w:t>l’appelante</w:t>
      </w:r>
      <w:r w:rsidRPr="0086437B">
        <w:rPr>
          <w:rStyle w:val="SCCCounselPartyRoleChar"/>
          <w:lang w:val="fr-CA"/>
        </w:rPr>
        <w:t>.</w:t>
      </w:r>
    </w:p>
    <w:p w:rsidR="00570CE6" w:rsidRPr="00DF044B" w:rsidRDefault="00570CE6" w:rsidP="00570CE6">
      <w:pPr>
        <w:pStyle w:val="SCCNormalDoubleSpacing"/>
        <w:spacing w:before="480" w:after="480"/>
        <w:rPr>
          <w:lang w:val="fr-CA"/>
        </w:rPr>
      </w:pPr>
      <w:r w:rsidRPr="0086437B">
        <w:rPr>
          <w:rStyle w:val="SCCCounselNameChar"/>
          <w:lang w:val="fr-CA"/>
        </w:rPr>
        <w:tab/>
      </w:r>
      <w:r w:rsidRPr="00DF044B">
        <w:rPr>
          <w:rStyle w:val="SCCCounselNameChar"/>
          <w:lang w:val="fr-CA"/>
        </w:rPr>
        <w:t>Brent V. Bagnall</w:t>
      </w:r>
      <w:r w:rsidRPr="00DF044B">
        <w:rPr>
          <w:rStyle w:val="SCCCounselPartyRoleChar"/>
          <w:lang w:val="fr-CA"/>
        </w:rPr>
        <w:t xml:space="preserve">, </w:t>
      </w:r>
      <w:r w:rsidRPr="00DF044B">
        <w:rPr>
          <w:rStyle w:val="SCCCounselPartyRoleChar"/>
          <w:i/>
          <w:lang w:val="fr-CA"/>
        </w:rPr>
        <w:t>Roger P. Thirkell</w:t>
      </w:r>
      <w:r w:rsidRPr="00DF044B">
        <w:rPr>
          <w:rStyle w:val="SCCCounselPartyRoleChar"/>
          <w:lang w:val="fr-CA"/>
        </w:rPr>
        <w:t xml:space="preserve"> et </w:t>
      </w:r>
      <w:r w:rsidRPr="00DF044B">
        <w:rPr>
          <w:rStyle w:val="SCCCounselPartyRoleChar"/>
          <w:i/>
          <w:lang w:val="fr-CA"/>
        </w:rPr>
        <w:t>Joseph M. Doyle</w:t>
      </w:r>
      <w:r w:rsidRPr="00DF044B">
        <w:rPr>
          <w:rStyle w:val="SCCCounselPartyRoleChar"/>
          <w:lang w:val="fr-CA"/>
        </w:rPr>
        <w:t>, pour l’intimé.</w:t>
      </w:r>
    </w:p>
    <w:p w:rsidR="00570CE6" w:rsidRPr="00BB4E6A" w:rsidRDefault="00570CE6" w:rsidP="00570CE6">
      <w:pPr>
        <w:pStyle w:val="SCCNormalDoubleSpacing"/>
        <w:spacing w:before="480" w:after="480"/>
        <w:rPr>
          <w:lang w:val="fr-CA"/>
        </w:rPr>
      </w:pPr>
      <w:r w:rsidRPr="00DF044B">
        <w:rPr>
          <w:rStyle w:val="SCCCounselPartyRoleChar"/>
          <w:lang w:val="fr-CA"/>
        </w:rPr>
        <w:tab/>
      </w:r>
      <w:r w:rsidRPr="00E73D36">
        <w:rPr>
          <w:rStyle w:val="SCCCounselPartyRoleChar"/>
          <w:lang w:val="fr-CA"/>
        </w:rPr>
        <w:t>Version</w:t>
      </w:r>
      <w:r>
        <w:rPr>
          <w:lang w:val="fr-CA"/>
        </w:rPr>
        <w:t xml:space="preserve"> française du jugement de la Cour rendu oralement par</w:t>
      </w:r>
    </w:p>
    <w:p w:rsidR="00570CE6" w:rsidRPr="00BB4E6A" w:rsidRDefault="00570CE6" w:rsidP="00570CE6">
      <w:pPr>
        <w:pStyle w:val="SCCLawFirm"/>
        <w:numPr>
          <w:ilvl w:val="0"/>
          <w:numId w:val="1"/>
        </w:numPr>
        <w:spacing w:before="480" w:after="480"/>
        <w:ind w:left="0" w:firstLine="0"/>
        <w:rPr>
          <w:i w:val="0"/>
          <w:lang w:val="fr-CA"/>
        </w:rPr>
      </w:pPr>
      <w:r w:rsidRPr="00BB4E6A">
        <w:rPr>
          <w:i w:val="0"/>
          <w:smallCaps/>
          <w:lang w:val="fr-CA"/>
        </w:rPr>
        <w:lastRenderedPageBreak/>
        <w:t>La juge Karakatsanis</w:t>
      </w:r>
      <w:r w:rsidRPr="00BB4E6A">
        <w:rPr>
          <w:i w:val="0"/>
          <w:lang w:val="fr-CA"/>
        </w:rPr>
        <w:t xml:space="preserve"> — Le pourvoi est accueilli, essentiellement pour les motifs exposés par le juge Savage (2019 BCCA 39, 373 C.C.C. (3d) 464).</w:t>
      </w:r>
    </w:p>
    <w:p w:rsidR="00570CE6" w:rsidRPr="00BB4E6A" w:rsidRDefault="00570CE6" w:rsidP="00570CE6">
      <w:pPr>
        <w:pStyle w:val="SCCLawFirm"/>
        <w:numPr>
          <w:ilvl w:val="0"/>
          <w:numId w:val="1"/>
        </w:numPr>
        <w:spacing w:before="480" w:after="480"/>
        <w:ind w:left="0" w:firstLine="0"/>
        <w:rPr>
          <w:i w:val="0"/>
          <w:lang w:val="fr-CA"/>
        </w:rPr>
      </w:pPr>
      <w:r w:rsidRPr="00BB4E6A">
        <w:rPr>
          <w:i w:val="0"/>
          <w:lang w:val="fr-CA"/>
        </w:rPr>
        <w:t xml:space="preserve">Pour ce qui est des trois autres questions soulevées par l’intimé pour la première fois devant notre Cour, nous ne sommes pas convaincus qu’elles requièrent la tenue d’un nouveau procès. </w:t>
      </w:r>
    </w:p>
    <w:p w:rsidR="00570CE6" w:rsidRPr="00BB4E6A" w:rsidRDefault="00570CE6" w:rsidP="00570CE6">
      <w:pPr>
        <w:pStyle w:val="SCCLawFirm"/>
        <w:numPr>
          <w:ilvl w:val="0"/>
          <w:numId w:val="1"/>
        </w:numPr>
        <w:spacing w:before="480" w:after="480"/>
        <w:ind w:left="0" w:firstLine="0"/>
        <w:rPr>
          <w:i w:val="0"/>
          <w:lang w:val="fr-CA"/>
        </w:rPr>
      </w:pPr>
      <w:r w:rsidRPr="00BB4E6A">
        <w:rPr>
          <w:i w:val="0"/>
          <w:lang w:val="fr-CA"/>
        </w:rPr>
        <w:t>Premièrement, nous sommes convaincus qu’aucune directive restrictive n’était nécessaire relativement à la question de la preuve de moralité, car il n’y avait aucun risque réel de raisonnement fondé sur la propension dans la présente affaire.</w:t>
      </w:r>
    </w:p>
    <w:p w:rsidR="00570CE6" w:rsidRPr="00BB4E6A" w:rsidRDefault="00570CE6" w:rsidP="00570CE6">
      <w:pPr>
        <w:pStyle w:val="SCCLawFirm"/>
        <w:numPr>
          <w:ilvl w:val="0"/>
          <w:numId w:val="1"/>
        </w:numPr>
        <w:spacing w:before="480" w:after="480"/>
        <w:ind w:left="0" w:firstLine="0"/>
        <w:rPr>
          <w:i w:val="0"/>
          <w:lang w:val="fr-CA"/>
        </w:rPr>
      </w:pPr>
      <w:r w:rsidRPr="00BB4E6A">
        <w:rPr>
          <w:i w:val="0"/>
          <w:lang w:val="fr-CA"/>
        </w:rPr>
        <w:t>Deuxièmement, nous sommes d’avis qu’aucune directive restrictive n’était nécessaire quant aux déclarations antérieures compatibles, étant donné que les déclarations ont été obtenues peu après le début du procès, elles ont été invoquées par la défense et non par la Couronne et il n’y avait aucun risque réel dans les circonstances de la présente affaire qu’elles soient utilisées à titre d’autocorroboration.</w:t>
      </w:r>
    </w:p>
    <w:p w:rsidR="00570CE6" w:rsidRPr="00BB4E6A" w:rsidRDefault="00570CE6" w:rsidP="00570CE6">
      <w:pPr>
        <w:pStyle w:val="SCCLawFirm"/>
        <w:numPr>
          <w:ilvl w:val="0"/>
          <w:numId w:val="1"/>
        </w:numPr>
        <w:spacing w:before="480" w:after="480"/>
        <w:ind w:left="0" w:firstLine="0"/>
        <w:rPr>
          <w:i w:val="0"/>
          <w:lang w:val="fr-CA"/>
        </w:rPr>
      </w:pPr>
      <w:r w:rsidRPr="00BB4E6A">
        <w:rPr>
          <w:i w:val="0"/>
          <w:lang w:val="fr-CA"/>
        </w:rPr>
        <w:t xml:space="preserve">Enfin, pour ce qui est de l’interprétation de l’expression « une seule affaire » au par. 581(1) du </w:t>
      </w:r>
      <w:r w:rsidRPr="00BB4E6A">
        <w:rPr>
          <w:lang w:val="fr-CA"/>
        </w:rPr>
        <w:t>Code criminel</w:t>
      </w:r>
      <w:r w:rsidRPr="00BB4E6A">
        <w:rPr>
          <w:i w:val="0"/>
          <w:lang w:val="fr-CA"/>
        </w:rPr>
        <w:t xml:space="preserve">, L.R.C. 1985, c. C-46, nous reconnaissons que la pratique de la Couronne qui consiste à formuler dans un acte d’accusation un seul chef à l’égard de multiples incidents distincts crée le risque que l’accusé soit déclaré coupable sans l’accord unanime des jurés à l’égard de l’un des incidents sous-jacents. Nous remettons à plus tard la question de savoir si le droit appuie une telle pratique et si l’unanimité du jury est requise dans de telles circonstances. Essentiellement, dans le cas qui nous occupe, le jury a demandé si l’unanimité à l’égard du premier </w:t>
      </w:r>
      <w:r w:rsidRPr="00BB4E6A">
        <w:rPr>
          <w:i w:val="0"/>
          <w:lang w:val="fr-CA"/>
        </w:rPr>
        <w:lastRenderedPageBreak/>
        <w:t>incident était suffisante pour prononcer une déclaration de culpabilité. Il n’est pas nécessaire de trancher la question en l’espèce, car il ressort clairement de la question qui a été posée par les jurés et de la réponse qu’ils ont reçue que ceux-ci ont unanimement conclu que le premier incident avait été prouvé. Dans le présent cas, il n’y a pas de risque d’injustice et la question n’a pas à être examinée (</w:t>
      </w:r>
      <w:r w:rsidRPr="00BB4E6A">
        <w:rPr>
          <w:lang w:val="fr-CA"/>
        </w:rPr>
        <w:t>Guindon c. Canada</w:t>
      </w:r>
      <w:r w:rsidRPr="00BB4E6A">
        <w:rPr>
          <w:i w:val="0"/>
          <w:lang w:val="fr-CA"/>
        </w:rPr>
        <w:t xml:space="preserve">, 2015 CSC 41, [2015] 3 R.C.S. 3, par. 22). </w:t>
      </w:r>
    </w:p>
    <w:p w:rsidR="00570CE6" w:rsidRPr="00BB4E6A" w:rsidRDefault="00570CE6" w:rsidP="00570CE6">
      <w:pPr>
        <w:pStyle w:val="SCCLawFirm"/>
        <w:numPr>
          <w:ilvl w:val="0"/>
          <w:numId w:val="1"/>
        </w:numPr>
        <w:spacing w:before="480" w:after="480"/>
        <w:ind w:left="0" w:firstLine="0"/>
        <w:rPr>
          <w:i w:val="0"/>
          <w:lang w:val="fr-CA"/>
        </w:rPr>
      </w:pPr>
      <w:r w:rsidRPr="00BB4E6A">
        <w:rPr>
          <w:i w:val="0"/>
          <w:lang w:val="fr-CA"/>
        </w:rPr>
        <w:t xml:space="preserve">Par conséquent, le pourvoi est accueilli. L’ordonnance de la Cour d’appel est annulée. Nous rétablissons la déclaration de culpabilité de l’intimé pour agression sexuelle et l’arrêt des procédures prononcée par le tribunal relativement à l’accusation de contacts sexuels. </w:t>
      </w:r>
    </w:p>
    <w:p w:rsidR="00570CE6" w:rsidRPr="00435791" w:rsidRDefault="00570CE6" w:rsidP="00570CE6">
      <w:pPr>
        <w:pStyle w:val="SCCNormalDoubleSpacing"/>
        <w:spacing w:before="480" w:after="480"/>
        <w:rPr>
          <w:i/>
          <w:lang w:val="fr-CA"/>
        </w:rPr>
      </w:pPr>
      <w:r w:rsidRPr="0086437B">
        <w:rPr>
          <w:lang w:val="fr-CA"/>
        </w:rPr>
        <w:tab/>
      </w:r>
      <w:r w:rsidRPr="00435791">
        <w:rPr>
          <w:i/>
          <w:lang w:val="fr-CA"/>
        </w:rPr>
        <w:t>Jugement en conséquence.</w:t>
      </w:r>
    </w:p>
    <w:p w:rsidR="00570CE6" w:rsidRPr="00DF044B" w:rsidRDefault="00570CE6" w:rsidP="00570CE6">
      <w:pPr>
        <w:pStyle w:val="SCCLawFirm"/>
        <w:spacing w:before="480" w:after="480"/>
        <w:rPr>
          <w:lang w:val="fr-CA"/>
        </w:rPr>
      </w:pPr>
      <w:r>
        <w:rPr>
          <w:lang w:val="fr-CA"/>
        </w:rPr>
        <w:tab/>
      </w:r>
      <w:r w:rsidRPr="00DF044B">
        <w:rPr>
          <w:lang w:val="fr-CA"/>
        </w:rPr>
        <w:t>Procureur de l’appelante : Procureur général de la Colombie-Br</w:t>
      </w:r>
      <w:r>
        <w:rPr>
          <w:lang w:val="fr-CA"/>
        </w:rPr>
        <w:t>itannique</w:t>
      </w:r>
      <w:r w:rsidRPr="00DF044B">
        <w:rPr>
          <w:lang w:val="fr-CA"/>
        </w:rPr>
        <w:t>, Vancouver.</w:t>
      </w:r>
    </w:p>
    <w:p w:rsidR="00570CE6" w:rsidRPr="007B6AD4" w:rsidRDefault="00570CE6" w:rsidP="00570CE6">
      <w:pPr>
        <w:pStyle w:val="SCCLawFirm"/>
        <w:spacing w:before="480" w:after="480"/>
        <w:rPr>
          <w:lang w:val="fr-CA"/>
        </w:rPr>
      </w:pPr>
      <w:r w:rsidRPr="00DF044B">
        <w:rPr>
          <w:lang w:val="fr-CA"/>
        </w:rPr>
        <w:tab/>
      </w:r>
      <w:r w:rsidRPr="0086437B">
        <w:rPr>
          <w:lang w:val="fr-CA"/>
        </w:rPr>
        <w:t>Procureur</w:t>
      </w:r>
      <w:r>
        <w:rPr>
          <w:lang w:val="fr-CA"/>
        </w:rPr>
        <w:t xml:space="preserve"> de l’</w:t>
      </w:r>
      <w:r w:rsidRPr="0086437B">
        <w:rPr>
          <w:lang w:val="fr-CA"/>
        </w:rPr>
        <w:t>intimé</w:t>
      </w:r>
      <w:r>
        <w:rPr>
          <w:lang w:val="fr-CA"/>
        </w:rPr>
        <w:t> </w:t>
      </w:r>
      <w:r w:rsidRPr="0086437B">
        <w:rPr>
          <w:lang w:val="fr-CA"/>
        </w:rPr>
        <w:t>:</w:t>
      </w:r>
      <w:r>
        <w:rPr>
          <w:lang w:val="fr-CA"/>
        </w:rPr>
        <w:t xml:space="preserve"> Legal Services Society, Vancouver.</w:t>
      </w:r>
    </w:p>
    <w:p w:rsidR="00570CE6" w:rsidRDefault="00570CE6" w:rsidP="00570CE6"/>
    <w:p w:rsidR="00BD74C2" w:rsidRPr="00570CE6" w:rsidRDefault="00BD74C2" w:rsidP="00570CE6"/>
    <w:sectPr w:rsidR="00BD74C2" w:rsidRPr="00570CE6"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ADE"/>
    <w:multiLevelType w:val="hybridMultilevel"/>
    <w:tmpl w:val="C0D0A732"/>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A779F"/>
    <w:rsid w:val="000C507F"/>
    <w:rsid w:val="000D55A2"/>
    <w:rsid w:val="000F4467"/>
    <w:rsid w:val="001311DA"/>
    <w:rsid w:val="00196882"/>
    <w:rsid w:val="001D6B8C"/>
    <w:rsid w:val="001E12E2"/>
    <w:rsid w:val="001E3006"/>
    <w:rsid w:val="001E5B5A"/>
    <w:rsid w:val="001F1F83"/>
    <w:rsid w:val="00256B56"/>
    <w:rsid w:val="0028675F"/>
    <w:rsid w:val="002F0B6C"/>
    <w:rsid w:val="00355967"/>
    <w:rsid w:val="0036772A"/>
    <w:rsid w:val="00375C1D"/>
    <w:rsid w:val="00384384"/>
    <w:rsid w:val="003B2BE1"/>
    <w:rsid w:val="003B3C63"/>
    <w:rsid w:val="003C032D"/>
    <w:rsid w:val="00441159"/>
    <w:rsid w:val="00460AFC"/>
    <w:rsid w:val="004A2D9C"/>
    <w:rsid w:val="004E69EC"/>
    <w:rsid w:val="004F090E"/>
    <w:rsid w:val="00535189"/>
    <w:rsid w:val="00570CE6"/>
    <w:rsid w:val="00576C8A"/>
    <w:rsid w:val="00582136"/>
    <w:rsid w:val="0058383C"/>
    <w:rsid w:val="005C0397"/>
    <w:rsid w:val="006034F1"/>
    <w:rsid w:val="00634FC2"/>
    <w:rsid w:val="006936F1"/>
    <w:rsid w:val="006D697E"/>
    <w:rsid w:val="00701ABD"/>
    <w:rsid w:val="007533FB"/>
    <w:rsid w:val="007740CA"/>
    <w:rsid w:val="00803557"/>
    <w:rsid w:val="00842677"/>
    <w:rsid w:val="008714CB"/>
    <w:rsid w:val="00880B14"/>
    <w:rsid w:val="008B5797"/>
    <w:rsid w:val="008C75A4"/>
    <w:rsid w:val="008F4691"/>
    <w:rsid w:val="00904937"/>
    <w:rsid w:val="009552DA"/>
    <w:rsid w:val="00996510"/>
    <w:rsid w:val="009F0F2D"/>
    <w:rsid w:val="00A30118"/>
    <w:rsid w:val="00A51D10"/>
    <w:rsid w:val="00AB2201"/>
    <w:rsid w:val="00B51B1A"/>
    <w:rsid w:val="00B57131"/>
    <w:rsid w:val="00BD4217"/>
    <w:rsid w:val="00BD74C2"/>
    <w:rsid w:val="00CA3730"/>
    <w:rsid w:val="00CD42BC"/>
    <w:rsid w:val="00D030DA"/>
    <w:rsid w:val="00D751FC"/>
    <w:rsid w:val="00D76BDF"/>
    <w:rsid w:val="00E25AA8"/>
    <w:rsid w:val="00E356C7"/>
    <w:rsid w:val="00E53ED9"/>
    <w:rsid w:val="00E64FA7"/>
    <w:rsid w:val="00E770CB"/>
    <w:rsid w:val="00E77B99"/>
    <w:rsid w:val="00F01FC5"/>
    <w:rsid w:val="00F25646"/>
    <w:rsid w:val="00F72014"/>
    <w:rsid w:val="00F77471"/>
    <w:rsid w:val="00F855E3"/>
    <w:rsid w:val="00F9518C"/>
    <w:rsid w:val="00FA59EF"/>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82"/>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table" w:customStyle="1" w:styleId="TableGrid1">
    <w:name w:val="Table Grid1"/>
    <w:basedOn w:val="TableNormal"/>
    <w:next w:val="TableGrid"/>
    <w:uiPriority w:val="59"/>
    <w:rsid w:val="004411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CounselName">
    <w:name w:val="SCC.CounselName"/>
    <w:basedOn w:val="Normal"/>
    <w:next w:val="Normal"/>
    <w:link w:val="SCCCounselNameChar"/>
    <w:rsid w:val="00634FC2"/>
    <w:pPr>
      <w:tabs>
        <w:tab w:val="left" w:pos="1168"/>
      </w:tabs>
      <w:spacing w:line="480" w:lineRule="auto"/>
      <w:jc w:val="both"/>
    </w:pPr>
    <w:rPr>
      <w:rFonts w:eastAsia="Times New Roman" w:cs="Times New Roman"/>
      <w:i/>
      <w:szCs w:val="20"/>
      <w:lang w:val="en-CA" w:eastAsia="en-CA"/>
    </w:rPr>
  </w:style>
  <w:style w:type="character" w:customStyle="1" w:styleId="SCCCounselNameChar">
    <w:name w:val="SCC.CounselName Char"/>
    <w:basedOn w:val="DefaultParagraphFont"/>
    <w:link w:val="SCCCounselName"/>
    <w:rsid w:val="00634FC2"/>
    <w:rPr>
      <w:rFonts w:eastAsia="Times New Roman" w:cs="Times New Roman"/>
      <w:i/>
      <w:szCs w:val="20"/>
      <w:lang w:val="en-CA" w:eastAsia="en-CA"/>
    </w:rPr>
  </w:style>
  <w:style w:type="paragraph" w:customStyle="1" w:styleId="SCCCounselPartyRole">
    <w:name w:val="SCC.CounselPartyRole"/>
    <w:basedOn w:val="Normal"/>
    <w:next w:val="Normal"/>
    <w:link w:val="SCCCounselPartyRoleChar"/>
    <w:rsid w:val="00634FC2"/>
    <w:pPr>
      <w:tabs>
        <w:tab w:val="left" w:pos="1168"/>
      </w:tabs>
      <w:spacing w:line="480" w:lineRule="auto"/>
      <w:jc w:val="both"/>
    </w:pPr>
    <w:rPr>
      <w:rFonts w:eastAsia="Times New Roman" w:cs="Times New Roman"/>
      <w:szCs w:val="20"/>
      <w:lang w:val="en-CA" w:eastAsia="en-CA"/>
    </w:rPr>
  </w:style>
  <w:style w:type="character" w:customStyle="1" w:styleId="SCCCounselPartyRoleChar">
    <w:name w:val="SCC.CounselPartyRole Char"/>
    <w:basedOn w:val="DefaultParagraphFont"/>
    <w:link w:val="SCCCounselPartyRole"/>
    <w:rsid w:val="00634FC2"/>
    <w:rPr>
      <w:rFonts w:eastAsia="Times New Roman" w:cs="Times New Roman"/>
      <w:szCs w:val="20"/>
      <w:lang w:val="en-CA" w:eastAsia="en-CA"/>
    </w:rPr>
  </w:style>
  <w:style w:type="paragraph" w:customStyle="1" w:styleId="SCCNormalDoubleSpacing">
    <w:name w:val="SCC.Normal.DoubleSpacing"/>
    <w:basedOn w:val="Normal"/>
    <w:link w:val="SCCNormalDoubleSpacingChar"/>
    <w:rsid w:val="00570CE6"/>
    <w:pPr>
      <w:tabs>
        <w:tab w:val="left" w:pos="1168"/>
      </w:tabs>
      <w:spacing w:line="480" w:lineRule="auto"/>
      <w:jc w:val="both"/>
    </w:pPr>
    <w:rPr>
      <w:rFonts w:eastAsia="Times New Roman" w:cs="Times New Roman"/>
      <w:szCs w:val="20"/>
      <w:lang w:val="en-CA" w:eastAsia="en-CA"/>
    </w:rPr>
  </w:style>
  <w:style w:type="character" w:customStyle="1" w:styleId="SCCNormalDoubleSpacingChar">
    <w:name w:val="SCC.Normal.DoubleSpacing Char"/>
    <w:basedOn w:val="DefaultParagraphFont"/>
    <w:link w:val="SCCNormalDoubleSpacing"/>
    <w:rsid w:val="00570CE6"/>
    <w:rPr>
      <w:rFonts w:eastAsia="Times New Roman" w:cs="Times New Roman"/>
      <w:szCs w:val="20"/>
      <w:lang w:val="en-CA" w:eastAsia="en-CA"/>
    </w:rPr>
  </w:style>
  <w:style w:type="paragraph" w:customStyle="1" w:styleId="SCCAppellantForRunningHead">
    <w:name w:val="SCC.AppellantForRunningHead"/>
    <w:basedOn w:val="Normal"/>
    <w:next w:val="Normal"/>
    <w:link w:val="SCCAppellantForRunningHeadChar"/>
    <w:rsid w:val="00570CE6"/>
    <w:rPr>
      <w:rFonts w:eastAsia="Times New Roman" w:cs="Times New Roman"/>
      <w:smallCaps/>
      <w:szCs w:val="20"/>
      <w:lang w:val="en-CA" w:eastAsia="en-CA"/>
    </w:rPr>
  </w:style>
  <w:style w:type="character" w:customStyle="1" w:styleId="SCCAppellantForRunningHeadChar">
    <w:name w:val="SCC.AppellantForRunningHead Char"/>
    <w:basedOn w:val="DefaultParagraphFont"/>
    <w:link w:val="SCCAppellantForRunningHead"/>
    <w:rsid w:val="00570CE6"/>
    <w:rPr>
      <w:rFonts w:eastAsia="Times New Roman" w:cs="Times New Roman"/>
      <w:smallCaps/>
      <w:szCs w:val="20"/>
      <w:lang w:val="en-CA" w:eastAsia="en-CA"/>
    </w:rPr>
  </w:style>
  <w:style w:type="paragraph" w:customStyle="1" w:styleId="SCCRespondentForRunningHead">
    <w:name w:val="SCC.RespondentForRunningHead"/>
    <w:basedOn w:val="Normal"/>
    <w:next w:val="Normal"/>
    <w:link w:val="SCCRespondentForRunningHeadChar"/>
    <w:rsid w:val="00570CE6"/>
    <w:rPr>
      <w:rFonts w:eastAsia="Times New Roman" w:cs="Times New Roman"/>
      <w:smallCaps/>
      <w:szCs w:val="20"/>
      <w:lang w:val="en-CA" w:eastAsia="en-CA"/>
    </w:rPr>
  </w:style>
  <w:style w:type="character" w:customStyle="1" w:styleId="SCCRespondentForRunningHeadChar">
    <w:name w:val="SCC.RespondentForRunningHead Char"/>
    <w:basedOn w:val="DefaultParagraphFont"/>
    <w:link w:val="SCCRespondentForRunningHead"/>
    <w:rsid w:val="00570CE6"/>
    <w:rPr>
      <w:rFonts w:eastAsia="Times New Roman" w:cs="Times New Roman"/>
      <w:smallCaps/>
      <w:szCs w:val="20"/>
      <w:lang w:val="en-CA" w:eastAsia="en-CA"/>
    </w:rPr>
  </w:style>
  <w:style w:type="paragraph" w:customStyle="1" w:styleId="SCCAppellantForIndex">
    <w:name w:val="SCC.AppellantForIndex"/>
    <w:basedOn w:val="Normal"/>
    <w:next w:val="Normal"/>
    <w:link w:val="SCCAppellantForIndexChar"/>
    <w:rsid w:val="00570CE6"/>
    <w:rPr>
      <w:rFonts w:eastAsia="Times New Roman" w:cs="Times New Roman"/>
      <w:b/>
      <w:szCs w:val="20"/>
      <w:lang w:val="en-CA" w:eastAsia="en-CA"/>
    </w:rPr>
  </w:style>
  <w:style w:type="character" w:customStyle="1" w:styleId="SCCAppellantForIndexChar">
    <w:name w:val="SCC.AppellantForIndex Char"/>
    <w:basedOn w:val="DefaultParagraphFont"/>
    <w:link w:val="SCCAppellantForIndex"/>
    <w:rsid w:val="00570CE6"/>
    <w:rPr>
      <w:rFonts w:eastAsia="Times New Roman" w:cs="Times New Roman"/>
      <w:b/>
      <w:szCs w:val="20"/>
      <w:lang w:val="en-CA" w:eastAsia="en-CA"/>
    </w:rPr>
  </w:style>
  <w:style w:type="paragraph" w:customStyle="1" w:styleId="SCCRespondentForIndex">
    <w:name w:val="SCC.RespondentForIndex"/>
    <w:basedOn w:val="Normal"/>
    <w:next w:val="Normal"/>
    <w:link w:val="SCCRespondentForIndexChar"/>
    <w:rsid w:val="00570CE6"/>
    <w:rPr>
      <w:rFonts w:eastAsia="Times New Roman" w:cs="Times New Roman"/>
      <w:b/>
      <w:szCs w:val="20"/>
      <w:lang w:val="en-CA" w:eastAsia="en-CA"/>
    </w:rPr>
  </w:style>
  <w:style w:type="character" w:customStyle="1" w:styleId="SCCRespondentForIndexChar">
    <w:name w:val="SCC.RespondentForIndex Char"/>
    <w:basedOn w:val="DefaultParagraphFont"/>
    <w:link w:val="SCCRespondentForIndex"/>
    <w:rsid w:val="00570CE6"/>
    <w:rPr>
      <w:rFonts w:eastAsia="Times New Roman" w:cs="Times New Roman"/>
      <w:b/>
      <w:szCs w:val="20"/>
      <w:lang w:val="en-CA" w:eastAsia="en-CA"/>
    </w:rPr>
  </w:style>
  <w:style w:type="paragraph" w:customStyle="1" w:styleId="SCCSystemYear">
    <w:name w:val="SCC.SystemYear"/>
    <w:basedOn w:val="Normal"/>
    <w:next w:val="Normal"/>
    <w:link w:val="SCCSystemYearChar"/>
    <w:rsid w:val="00570CE6"/>
    <w:rPr>
      <w:rFonts w:eastAsia="Times New Roman" w:cs="Times New Roman"/>
      <w:b/>
      <w:szCs w:val="20"/>
      <w:lang w:val="en-CA" w:eastAsia="en-CA"/>
    </w:rPr>
  </w:style>
  <w:style w:type="character" w:customStyle="1" w:styleId="SCCSystemYearChar">
    <w:name w:val="SCC.SystemYear Char"/>
    <w:basedOn w:val="DefaultParagraphFont"/>
    <w:link w:val="SCCSystemYear"/>
    <w:rsid w:val="00570CE6"/>
    <w:rPr>
      <w:rFonts w:eastAsia="Times New Roman" w:cs="Times New Roman"/>
      <w:b/>
      <w:szCs w:val="20"/>
      <w:lang w:val="en-CA" w:eastAsia="en-CA"/>
    </w:rPr>
  </w:style>
  <w:style w:type="paragraph" w:customStyle="1" w:styleId="SCCLawFirm">
    <w:name w:val="SCC.LawFirm"/>
    <w:basedOn w:val="SCCNormalDoubleSpacing"/>
    <w:next w:val="SCCNormalDoubleSpacing"/>
    <w:link w:val="SCCLawFirmChar"/>
    <w:rsid w:val="00570CE6"/>
    <w:rPr>
      <w:i/>
    </w:rPr>
  </w:style>
  <w:style w:type="character" w:customStyle="1" w:styleId="SCCLawFirmChar">
    <w:name w:val="SCC.LawFirm Char"/>
    <w:basedOn w:val="SCCNormalDoubleSpacingChar"/>
    <w:link w:val="SCCLawFirm"/>
    <w:rsid w:val="00570CE6"/>
    <w:rPr>
      <w:rFonts w:eastAsia="Times New Roman" w:cs="Times New Roman"/>
      <w:i/>
      <w:szCs w:val="20"/>
      <w:lang w:val="en-CA" w:eastAsia="en-CA"/>
    </w:rPr>
  </w:style>
  <w:style w:type="paragraph" w:customStyle="1" w:styleId="SCCLsocLastPartyInRole">
    <w:name w:val="SCC.Lsoc.LastPartyInRole"/>
    <w:basedOn w:val="Normal"/>
    <w:next w:val="Normal"/>
    <w:link w:val="SCCLsocLastPartyInRoleChar"/>
    <w:qFormat/>
    <w:rsid w:val="00570CE6"/>
    <w:pPr>
      <w:tabs>
        <w:tab w:val="right" w:pos="8222"/>
      </w:tabs>
      <w:spacing w:after="720"/>
    </w:pPr>
    <w:rPr>
      <w:rFonts w:eastAsia="Times New Roman" w:cs="Times New Roman"/>
      <w:b/>
      <w:szCs w:val="20"/>
      <w:lang w:val="en-CA" w:eastAsia="en-CA"/>
    </w:rPr>
  </w:style>
  <w:style w:type="character" w:customStyle="1" w:styleId="SCCLsocLastPartyInRoleChar">
    <w:name w:val="SCC.Lsoc.LastPartyInRole Char"/>
    <w:basedOn w:val="SCCLsocPartyChar"/>
    <w:link w:val="SCCLsocLastPartyInRole"/>
    <w:rsid w:val="00570CE6"/>
    <w:rPr>
      <w:rFonts w:eastAsia="Times New Roman" w:cs="Times New Roman"/>
      <w:b/>
      <w:szCs w:val="20"/>
      <w:lang w:val="en-CA" w:eastAsia="en-CA"/>
    </w:rPr>
  </w:style>
  <w:style w:type="table" w:customStyle="1" w:styleId="TableGrid2">
    <w:name w:val="Table Grid2"/>
    <w:basedOn w:val="TableNormal"/>
    <w:next w:val="TableGrid"/>
    <w:uiPriority w:val="59"/>
    <w:rsid w:val="00E77B99"/>
    <w:rPr>
      <w:rFonts w:eastAsia="Times New Roman" w:cs="Times New Roman"/>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2021-05-20T12:59:00Z</dcterms:created>
  <dcterms:modified xsi:type="dcterms:W3CDTF">2022-02-09T15:36:00Z</dcterms:modified>
</cp:coreProperties>
</file>