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D4" w:rsidRPr="00CF11D4" w:rsidRDefault="00CF11D4" w:rsidP="00CF11D4">
      <w:pPr>
        <w:tabs>
          <w:tab w:val="center" w:pos="4680"/>
          <w:tab w:val="right" w:pos="9360"/>
        </w:tabs>
      </w:pPr>
      <w:r w:rsidRPr="00CF11D4">
        <w:ptab w:relativeTo="margin" w:alignment="center" w:leader="none"/>
      </w:r>
      <w:r w:rsidRPr="00CF11D4">
        <w:t xml:space="preserve"> </w:t>
      </w:r>
      <w:r w:rsidRPr="00CF11D4">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64.4pt" o:ole="">
            <v:imagedata r:id="rId7" o:title=""/>
          </v:shape>
          <o:OLEObject Type="Embed" ProgID="Presentations.Drawing.13" ShapeID="_x0000_i1025" DrawAspect="Content" ObjectID="_1709814179" r:id="rId8"/>
        </w:object>
      </w:r>
      <w:r w:rsidRPr="00CF11D4">
        <w:t xml:space="preserve"> </w:t>
      </w:r>
      <w:r w:rsidRPr="00CF11D4">
        <w:ptab w:relativeTo="margin" w:alignment="right" w:leader="none"/>
      </w:r>
    </w:p>
    <w:p w:rsidR="00CF11D4" w:rsidRPr="00CF11D4" w:rsidRDefault="00CF11D4" w:rsidP="00CF11D4">
      <w:pPr>
        <w:tabs>
          <w:tab w:val="center" w:pos="4680"/>
          <w:tab w:val="right" w:pos="9360"/>
        </w:tabs>
      </w:pPr>
    </w:p>
    <w:p w:rsidR="00CF11D4" w:rsidRPr="00CF11D4" w:rsidRDefault="00CF11D4" w:rsidP="00CF11D4">
      <w:pPr>
        <w:jc w:val="center"/>
        <w:rPr>
          <w:b/>
        </w:rPr>
      </w:pPr>
      <w:r w:rsidRPr="00CF11D4">
        <w:rPr>
          <w:b/>
        </w:rPr>
        <w:t>COUR SUPRÊME DU CANADA</w:t>
      </w:r>
    </w:p>
    <w:p w:rsidR="00CF11D4" w:rsidRPr="00CF11D4" w:rsidRDefault="00CF11D4" w:rsidP="00CF11D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410"/>
      </w:tblGrid>
      <w:tr w:rsidR="00CF11D4" w:rsidRPr="00CF11D4" w:rsidTr="0033225A">
        <w:trPr>
          <w:cantSplit/>
        </w:trPr>
        <w:tc>
          <w:tcPr>
            <w:tcW w:w="5220" w:type="dxa"/>
          </w:tcPr>
          <w:p w:rsidR="00CF11D4" w:rsidRPr="00CF11D4" w:rsidRDefault="00CF11D4" w:rsidP="00CF11D4">
            <w:pPr>
              <w:ind w:left="-58"/>
            </w:pPr>
            <w:r w:rsidRPr="00CF11D4">
              <w:rPr>
                <w:b/>
                <w:smallCaps/>
              </w:rPr>
              <w:t>Référence :</w:t>
            </w:r>
            <w:r w:rsidRPr="00CF11D4">
              <w:t xml:space="preserve"> R. </w:t>
            </w:r>
            <w:r w:rsidRPr="00CF11D4">
              <w:rPr>
                <w:i/>
              </w:rPr>
              <w:t>c</w:t>
            </w:r>
            <w:r w:rsidRPr="00CF11D4">
              <w:t xml:space="preserve">. </w:t>
            </w:r>
            <w:proofErr w:type="spellStart"/>
            <w:r w:rsidRPr="00CF11D4">
              <w:t>Shlah</w:t>
            </w:r>
            <w:proofErr w:type="spellEnd"/>
            <w:r w:rsidRPr="00CF11D4">
              <w:t>, 2019 CSC 56,</w:t>
            </w:r>
          </w:p>
          <w:p w:rsidR="00CF11D4" w:rsidRPr="00CF11D4" w:rsidRDefault="00CF11D4" w:rsidP="00CF11D4">
            <w:pPr>
              <w:ind w:left="-58"/>
            </w:pPr>
            <w:r w:rsidRPr="00CF11D4">
              <w:rPr>
                <w:smallCaps/>
              </w:rPr>
              <w:t>[2019] 4 R.</w:t>
            </w:r>
            <w:r w:rsidRPr="00CF11D4">
              <w:t xml:space="preserve">C.S. 136 </w:t>
            </w:r>
          </w:p>
        </w:tc>
        <w:tc>
          <w:tcPr>
            <w:tcW w:w="4410" w:type="dxa"/>
          </w:tcPr>
          <w:p w:rsidR="00CF11D4" w:rsidRPr="00CF11D4" w:rsidRDefault="00CF11D4" w:rsidP="00CF11D4">
            <w:r w:rsidRPr="00CF11D4">
              <w:rPr>
                <w:b/>
                <w:smallCaps/>
              </w:rPr>
              <w:t>Appels entendus :</w:t>
            </w:r>
            <w:r w:rsidRPr="00CF11D4">
              <w:t xml:space="preserve"> 15 novembre 2019</w:t>
            </w:r>
          </w:p>
          <w:p w:rsidR="00CF11D4" w:rsidRPr="00CF11D4" w:rsidRDefault="00CF11D4" w:rsidP="00CF11D4">
            <w:r w:rsidRPr="00CF11D4">
              <w:rPr>
                <w:b/>
                <w:smallCaps/>
              </w:rPr>
              <w:t>Jugement rendu :</w:t>
            </w:r>
            <w:r w:rsidRPr="00CF11D4">
              <w:t xml:space="preserve"> 15 novembre 2019</w:t>
            </w:r>
          </w:p>
          <w:p w:rsidR="00CF11D4" w:rsidRPr="00CF11D4" w:rsidRDefault="00CF11D4" w:rsidP="00CF11D4">
            <w:r w:rsidRPr="00CF11D4">
              <w:rPr>
                <w:b/>
                <w:smallCaps/>
              </w:rPr>
              <w:t>Dossiers :</w:t>
            </w:r>
            <w:r w:rsidRPr="00CF11D4">
              <w:t xml:space="preserve"> 38661, 38677</w:t>
            </w:r>
          </w:p>
        </w:tc>
      </w:tr>
    </w:tbl>
    <w:p w:rsidR="00CF11D4" w:rsidRPr="00CF11D4" w:rsidRDefault="00CF11D4" w:rsidP="00CF11D4"/>
    <w:p w:rsidR="00CF11D4" w:rsidRDefault="00CF11D4" w:rsidP="00CF11D4">
      <w:pPr>
        <w:rPr>
          <w:b/>
          <w:smallCaps/>
        </w:rPr>
      </w:pPr>
      <w:r w:rsidRPr="00CF11D4">
        <w:rPr>
          <w:b/>
          <w:smallCaps/>
        </w:rPr>
        <w:t>Entre :</w:t>
      </w:r>
    </w:p>
    <w:p w:rsidR="00CF11D4" w:rsidRPr="00CF11D4" w:rsidRDefault="00CF11D4" w:rsidP="00CF11D4">
      <w:pPr>
        <w:rPr>
          <w:b/>
          <w:smallCaps/>
        </w:rPr>
      </w:pPr>
      <w:bookmarkStart w:id="0" w:name="_GoBack"/>
      <w:bookmarkEnd w:id="0"/>
    </w:p>
    <w:p w:rsidR="00CF11D4" w:rsidRPr="00CF11D4" w:rsidRDefault="00CF11D4" w:rsidP="00CF11D4">
      <w:pPr>
        <w:jc w:val="center"/>
        <w:rPr>
          <w:b/>
        </w:rPr>
      </w:pPr>
      <w:proofErr w:type="spellStart"/>
      <w:r w:rsidRPr="00CF11D4">
        <w:rPr>
          <w:b/>
        </w:rPr>
        <w:t>Assmar</w:t>
      </w:r>
      <w:proofErr w:type="spellEnd"/>
      <w:r w:rsidRPr="00CF11D4">
        <w:rPr>
          <w:b/>
        </w:rPr>
        <w:t xml:space="preserve"> </w:t>
      </w:r>
      <w:proofErr w:type="spellStart"/>
      <w:r w:rsidRPr="00CF11D4">
        <w:rPr>
          <w:b/>
        </w:rPr>
        <w:t>Ryiad</w:t>
      </w:r>
      <w:proofErr w:type="spellEnd"/>
      <w:r w:rsidRPr="00CF11D4">
        <w:rPr>
          <w:b/>
        </w:rPr>
        <w:t xml:space="preserve"> </w:t>
      </w:r>
      <w:proofErr w:type="spellStart"/>
      <w:r w:rsidRPr="00CF11D4">
        <w:rPr>
          <w:b/>
        </w:rPr>
        <w:t>Shlah</w:t>
      </w:r>
      <w:proofErr w:type="spellEnd"/>
    </w:p>
    <w:p w:rsidR="00CF11D4" w:rsidRPr="00CF11D4" w:rsidRDefault="00CF11D4" w:rsidP="00CF11D4">
      <w:pPr>
        <w:jc w:val="center"/>
      </w:pPr>
      <w:r w:rsidRPr="00CF11D4">
        <w:t>Appelant</w:t>
      </w:r>
    </w:p>
    <w:p w:rsidR="00CF11D4" w:rsidRPr="00CF11D4" w:rsidRDefault="00CF11D4" w:rsidP="00CF11D4"/>
    <w:p w:rsidR="00CF11D4" w:rsidRPr="00CF11D4" w:rsidRDefault="00CF11D4" w:rsidP="00CF11D4">
      <w:pPr>
        <w:jc w:val="center"/>
      </w:pPr>
      <w:proofErr w:type="gramStart"/>
      <w:r w:rsidRPr="00CF11D4">
        <w:t>et</w:t>
      </w:r>
      <w:proofErr w:type="gramEnd"/>
    </w:p>
    <w:p w:rsidR="00CF11D4" w:rsidRPr="00CF11D4" w:rsidRDefault="00CF11D4" w:rsidP="00CF11D4"/>
    <w:p w:rsidR="00CF11D4" w:rsidRPr="00CF11D4" w:rsidRDefault="00CF11D4" w:rsidP="00CF11D4">
      <w:pPr>
        <w:jc w:val="center"/>
        <w:rPr>
          <w:b/>
        </w:rPr>
      </w:pPr>
      <w:r w:rsidRPr="00CF11D4">
        <w:rPr>
          <w:b/>
        </w:rPr>
        <w:t>Sa Majesté la Reine</w:t>
      </w:r>
    </w:p>
    <w:p w:rsidR="00CF11D4" w:rsidRPr="00CF11D4" w:rsidRDefault="00CF11D4" w:rsidP="00CF11D4">
      <w:pPr>
        <w:jc w:val="center"/>
      </w:pPr>
      <w:r w:rsidRPr="00CF11D4">
        <w:t>Intimée</w:t>
      </w:r>
    </w:p>
    <w:p w:rsidR="00CF11D4" w:rsidRPr="00CF11D4" w:rsidRDefault="00CF11D4" w:rsidP="00CF11D4">
      <w:pPr>
        <w:jc w:val="center"/>
      </w:pPr>
      <w:r w:rsidRPr="00CF11D4">
        <w:br/>
      </w:r>
    </w:p>
    <w:p w:rsidR="00CF11D4" w:rsidRPr="00CF11D4" w:rsidRDefault="00CF11D4" w:rsidP="00CF11D4">
      <w:pPr>
        <w:rPr>
          <w:b/>
          <w:smallCaps/>
        </w:rPr>
      </w:pPr>
      <w:r w:rsidRPr="00CF11D4">
        <w:rPr>
          <w:b/>
          <w:smallCaps/>
        </w:rPr>
        <w:t>Et entre :</w:t>
      </w:r>
    </w:p>
    <w:p w:rsidR="00CF11D4" w:rsidRPr="00CF11D4" w:rsidRDefault="00CF11D4" w:rsidP="00CF11D4">
      <w:pPr>
        <w:jc w:val="center"/>
        <w:rPr>
          <w:b/>
        </w:rPr>
      </w:pPr>
      <w:r w:rsidRPr="00CF11D4">
        <w:rPr>
          <w:b/>
        </w:rPr>
        <w:t xml:space="preserve">Franz </w:t>
      </w:r>
      <w:proofErr w:type="spellStart"/>
      <w:r w:rsidRPr="00CF11D4">
        <w:rPr>
          <w:b/>
        </w:rPr>
        <w:t>Emir</w:t>
      </w:r>
      <w:proofErr w:type="spellEnd"/>
      <w:r w:rsidRPr="00CF11D4">
        <w:rPr>
          <w:b/>
        </w:rPr>
        <w:t xml:space="preserve"> Cabrera</w:t>
      </w:r>
    </w:p>
    <w:p w:rsidR="00CF11D4" w:rsidRPr="00CF11D4" w:rsidRDefault="00CF11D4" w:rsidP="00CF11D4">
      <w:pPr>
        <w:jc w:val="center"/>
      </w:pPr>
      <w:r w:rsidRPr="00CF11D4">
        <w:t>Appelant</w:t>
      </w:r>
    </w:p>
    <w:p w:rsidR="00CF11D4" w:rsidRPr="00CF11D4" w:rsidRDefault="00CF11D4" w:rsidP="00CF11D4"/>
    <w:p w:rsidR="00CF11D4" w:rsidRPr="00CF11D4" w:rsidRDefault="00CF11D4" w:rsidP="00CF11D4">
      <w:pPr>
        <w:jc w:val="center"/>
      </w:pPr>
      <w:proofErr w:type="gramStart"/>
      <w:r w:rsidRPr="00CF11D4">
        <w:t>et</w:t>
      </w:r>
      <w:proofErr w:type="gramEnd"/>
    </w:p>
    <w:p w:rsidR="00CF11D4" w:rsidRPr="00CF11D4" w:rsidRDefault="00CF11D4" w:rsidP="00CF11D4"/>
    <w:p w:rsidR="00CF11D4" w:rsidRPr="00CF11D4" w:rsidRDefault="00CF11D4" w:rsidP="00CF11D4">
      <w:pPr>
        <w:jc w:val="center"/>
        <w:rPr>
          <w:b/>
        </w:rPr>
      </w:pPr>
      <w:r w:rsidRPr="00CF11D4">
        <w:rPr>
          <w:b/>
        </w:rPr>
        <w:t>Sa Majesté la Reine</w:t>
      </w:r>
    </w:p>
    <w:p w:rsidR="00CF11D4" w:rsidRPr="00CF11D4" w:rsidRDefault="00CF11D4" w:rsidP="00CF11D4">
      <w:pPr>
        <w:jc w:val="center"/>
      </w:pPr>
      <w:r w:rsidRPr="00CF11D4">
        <w:t>Intimée</w:t>
      </w:r>
    </w:p>
    <w:p w:rsidR="00CF11D4" w:rsidRPr="00CF11D4" w:rsidRDefault="00CF11D4" w:rsidP="00CF11D4"/>
    <w:p w:rsidR="00CF11D4" w:rsidRPr="00CF11D4" w:rsidRDefault="00CF11D4" w:rsidP="00CF11D4"/>
    <w:p w:rsidR="00CF11D4" w:rsidRPr="00CF11D4" w:rsidRDefault="00CF11D4" w:rsidP="00CF11D4">
      <w:pPr>
        <w:jc w:val="center"/>
        <w:rPr>
          <w:b/>
          <w:smallCaps/>
        </w:rPr>
      </w:pPr>
      <w:r w:rsidRPr="00CF11D4">
        <w:rPr>
          <w:b/>
          <w:smallCaps/>
        </w:rPr>
        <w:t>Traduction française officielle</w:t>
      </w:r>
    </w:p>
    <w:p w:rsidR="00CF11D4" w:rsidRPr="00CF11D4" w:rsidRDefault="00CF11D4" w:rsidP="00CF11D4"/>
    <w:p w:rsidR="00CF11D4" w:rsidRPr="00CF11D4" w:rsidRDefault="00CF11D4" w:rsidP="00CF11D4">
      <w:r w:rsidRPr="00CF11D4">
        <w:rPr>
          <w:b/>
          <w:smallCaps/>
        </w:rPr>
        <w:t>Coram :</w:t>
      </w:r>
      <w:r w:rsidRPr="00CF11D4">
        <w:t xml:space="preserve"> Les juges Abella, </w:t>
      </w:r>
      <w:proofErr w:type="spellStart"/>
      <w:r w:rsidRPr="00CF11D4">
        <w:t>Moldaver</w:t>
      </w:r>
      <w:proofErr w:type="spellEnd"/>
      <w:r w:rsidRPr="00CF11D4">
        <w:t xml:space="preserve">, </w:t>
      </w:r>
      <w:proofErr w:type="spellStart"/>
      <w:r w:rsidRPr="00CF11D4">
        <w:t>Karakatsanis</w:t>
      </w:r>
      <w:proofErr w:type="spellEnd"/>
      <w:r w:rsidRPr="00CF11D4">
        <w:t xml:space="preserve">, Côté, Brown, Rowe et </w:t>
      </w:r>
      <w:proofErr w:type="spellStart"/>
      <w:r w:rsidRPr="00CF11D4">
        <w:t>Kasirer</w:t>
      </w:r>
      <w:proofErr w:type="spellEnd"/>
    </w:p>
    <w:p w:rsidR="00CF11D4" w:rsidRPr="00CF11D4" w:rsidRDefault="00CF11D4" w:rsidP="00CF11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F11D4" w:rsidRPr="00CF11D4" w:rsidTr="0033225A">
        <w:trPr>
          <w:cantSplit/>
        </w:trPr>
        <w:tc>
          <w:tcPr>
            <w:tcW w:w="3618" w:type="dxa"/>
          </w:tcPr>
          <w:p w:rsidR="00CF11D4" w:rsidRPr="00CF11D4" w:rsidRDefault="00CF11D4" w:rsidP="00CF11D4">
            <w:pPr>
              <w:ind w:left="-58"/>
              <w:rPr>
                <w:b/>
                <w:smallCaps/>
              </w:rPr>
            </w:pPr>
            <w:r w:rsidRPr="00CF11D4">
              <w:rPr>
                <w:b/>
                <w:smallCaps/>
              </w:rPr>
              <w:t>Motifs de jugement :</w:t>
            </w:r>
          </w:p>
          <w:p w:rsidR="00CF11D4" w:rsidRPr="00CF11D4" w:rsidRDefault="00CF11D4" w:rsidP="00CF11D4">
            <w:pPr>
              <w:ind w:left="-58"/>
            </w:pPr>
            <w:r w:rsidRPr="00CF11D4">
              <w:rPr>
                <w:smallCaps/>
              </w:rPr>
              <w:t>(</w:t>
            </w:r>
            <w:r w:rsidRPr="00CF11D4">
              <w:t>par. 1 à 2</w:t>
            </w:r>
            <w:r w:rsidRPr="00CF11D4">
              <w:rPr>
                <w:smallCaps/>
              </w:rPr>
              <w:t>)</w:t>
            </w:r>
          </w:p>
        </w:tc>
        <w:tc>
          <w:tcPr>
            <w:tcW w:w="5958" w:type="dxa"/>
          </w:tcPr>
          <w:p w:rsidR="00CF11D4" w:rsidRPr="00CF11D4" w:rsidRDefault="00CF11D4" w:rsidP="00CF11D4">
            <w:r w:rsidRPr="00CF11D4">
              <w:t xml:space="preserve">Le juge </w:t>
            </w:r>
            <w:proofErr w:type="spellStart"/>
            <w:r w:rsidRPr="00CF11D4">
              <w:t>Moldaver</w:t>
            </w:r>
            <w:proofErr w:type="spellEnd"/>
            <w:r w:rsidRPr="00CF11D4">
              <w:t xml:space="preserve"> (avec l’accord des juges Abella, </w:t>
            </w:r>
            <w:proofErr w:type="spellStart"/>
            <w:r w:rsidRPr="00CF11D4">
              <w:t>Karakatsanis</w:t>
            </w:r>
            <w:proofErr w:type="spellEnd"/>
            <w:r w:rsidRPr="00CF11D4">
              <w:t xml:space="preserve">, Côté, Brown, Rowe et </w:t>
            </w:r>
            <w:proofErr w:type="spellStart"/>
            <w:r w:rsidRPr="00CF11D4">
              <w:t>Kasirer</w:t>
            </w:r>
            <w:proofErr w:type="spellEnd"/>
            <w:r w:rsidRPr="00CF11D4">
              <w:t>)</w:t>
            </w:r>
          </w:p>
          <w:p w:rsidR="00CF11D4" w:rsidRPr="00CF11D4" w:rsidRDefault="00CF11D4" w:rsidP="00CF11D4"/>
        </w:tc>
      </w:tr>
    </w:tbl>
    <w:p w:rsidR="00CF11D4" w:rsidRPr="00CF11D4" w:rsidRDefault="00CF11D4" w:rsidP="00CF11D4"/>
    <w:p w:rsidR="00CF11D4" w:rsidRPr="00CF11D4" w:rsidRDefault="00CF11D4" w:rsidP="00CF11D4"/>
    <w:p w:rsidR="00CF11D4" w:rsidRPr="00CF11D4" w:rsidRDefault="00CF11D4" w:rsidP="00CF11D4">
      <w:r w:rsidRPr="00CF11D4">
        <w:rPr>
          <w:noProof/>
          <w:lang w:val="en-US"/>
        </w:rPr>
        <mc:AlternateContent>
          <mc:Choice Requires="wps">
            <w:drawing>
              <wp:anchor distT="0" distB="0" distL="114300" distR="114300" simplePos="0" relativeHeight="251659264" behindDoc="0" locked="0" layoutInCell="1" allowOverlap="1" wp14:anchorId="17F8DF55" wp14:editId="419C7BA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9105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F11D4" w:rsidRPr="00CF11D4" w:rsidRDefault="00CF11D4">
      <w:pPr>
        <w:rPr>
          <w:rFonts w:eastAsia="Times New Roman" w:cs="Times New Roman"/>
          <w:smallCaps/>
          <w:szCs w:val="20"/>
          <w:lang w:eastAsia="en-CA"/>
        </w:rPr>
      </w:pPr>
      <w:r w:rsidRPr="00CF11D4">
        <w:rPr>
          <w:rFonts w:eastAsia="Times New Roman" w:cs="Times New Roman"/>
          <w:smallCaps/>
          <w:szCs w:val="20"/>
          <w:lang w:eastAsia="en-CA"/>
        </w:rPr>
        <w:br w:type="page"/>
      </w:r>
    </w:p>
    <w:p w:rsidR="009C5406" w:rsidRPr="00D66303" w:rsidRDefault="009C5406" w:rsidP="009C5406">
      <w:pPr>
        <w:spacing w:after="720"/>
        <w:jc w:val="both"/>
        <w:rPr>
          <w:rFonts w:eastAsia="Times New Roman" w:cs="Times New Roman"/>
          <w:szCs w:val="20"/>
          <w:lang w:val="en-US" w:eastAsia="en-CA"/>
        </w:rPr>
      </w:pPr>
      <w:r w:rsidRPr="00D66303">
        <w:rPr>
          <w:rFonts w:eastAsia="Times New Roman" w:cs="Times New Roman"/>
          <w:smallCaps/>
          <w:szCs w:val="20"/>
          <w:lang w:val="en-US" w:eastAsia="en-CA"/>
        </w:rPr>
        <w:lastRenderedPageBreak/>
        <w:t>r.</w:t>
      </w:r>
      <w:r w:rsidRPr="00D66303">
        <w:rPr>
          <w:rFonts w:eastAsia="Times New Roman" w:cs="Times New Roman"/>
          <w:szCs w:val="20"/>
          <w:lang w:val="en-US" w:eastAsia="en-CA"/>
        </w:rPr>
        <w:t xml:space="preserve"> </w:t>
      </w:r>
      <w:r w:rsidRPr="00D66303">
        <w:rPr>
          <w:rFonts w:eastAsia="Times New Roman" w:cs="Times New Roman"/>
          <w:i/>
          <w:szCs w:val="20"/>
          <w:lang w:val="en-US" w:eastAsia="en-CA"/>
        </w:rPr>
        <w:t>c.</w:t>
      </w:r>
      <w:r w:rsidRPr="00D66303">
        <w:rPr>
          <w:rFonts w:eastAsia="Times New Roman" w:cs="Times New Roman"/>
          <w:szCs w:val="20"/>
          <w:lang w:val="en-US" w:eastAsia="en-CA"/>
        </w:rPr>
        <w:t xml:space="preserve"> </w:t>
      </w:r>
      <w:proofErr w:type="spellStart"/>
      <w:r w:rsidRPr="00D66303">
        <w:rPr>
          <w:rFonts w:eastAsia="Times New Roman" w:cs="Times New Roman"/>
          <w:smallCaps/>
          <w:szCs w:val="20"/>
          <w:lang w:val="en-US" w:eastAsia="en-CA"/>
        </w:rPr>
        <w:t>shlah</w:t>
      </w:r>
      <w:proofErr w:type="spellEnd"/>
    </w:p>
    <w:p w:rsidR="009C5406" w:rsidRPr="00D66303" w:rsidRDefault="009C5406" w:rsidP="009C5406">
      <w:pPr>
        <w:tabs>
          <w:tab w:val="right" w:pos="8222"/>
        </w:tabs>
        <w:spacing w:after="720"/>
        <w:rPr>
          <w:rFonts w:eastAsia="Times New Roman" w:cs="Times New Roman"/>
          <w:b/>
          <w:szCs w:val="20"/>
          <w:lang w:val="en-US" w:eastAsia="en-CA"/>
        </w:rPr>
      </w:pPr>
      <w:proofErr w:type="spellStart"/>
      <w:r w:rsidRPr="00D66303">
        <w:rPr>
          <w:rFonts w:eastAsia="Times New Roman" w:cs="Times New Roman"/>
          <w:b/>
          <w:szCs w:val="20"/>
          <w:lang w:val="en-US" w:eastAsia="en-CA"/>
        </w:rPr>
        <w:t>Assmar</w:t>
      </w:r>
      <w:proofErr w:type="spellEnd"/>
      <w:r w:rsidRPr="00D66303">
        <w:rPr>
          <w:rFonts w:eastAsia="Times New Roman" w:cs="Times New Roman"/>
          <w:b/>
          <w:szCs w:val="20"/>
          <w:lang w:val="en-US" w:eastAsia="en-CA"/>
        </w:rPr>
        <w:t xml:space="preserve"> </w:t>
      </w:r>
      <w:proofErr w:type="spellStart"/>
      <w:r w:rsidRPr="00D66303">
        <w:rPr>
          <w:rFonts w:eastAsia="Times New Roman" w:cs="Times New Roman"/>
          <w:b/>
          <w:szCs w:val="20"/>
          <w:lang w:val="en-US" w:eastAsia="en-CA"/>
        </w:rPr>
        <w:t>Ryiad</w:t>
      </w:r>
      <w:proofErr w:type="spellEnd"/>
      <w:r w:rsidRPr="00D66303">
        <w:rPr>
          <w:rFonts w:eastAsia="Times New Roman" w:cs="Times New Roman"/>
          <w:b/>
          <w:szCs w:val="20"/>
          <w:lang w:val="en-US" w:eastAsia="en-CA"/>
        </w:rPr>
        <w:t xml:space="preserve"> </w:t>
      </w:r>
      <w:proofErr w:type="spellStart"/>
      <w:r w:rsidRPr="00D66303">
        <w:rPr>
          <w:rFonts w:eastAsia="Times New Roman" w:cs="Times New Roman"/>
          <w:b/>
          <w:szCs w:val="20"/>
          <w:lang w:val="en-US" w:eastAsia="en-CA"/>
        </w:rPr>
        <w:t>Shlah</w:t>
      </w:r>
      <w:proofErr w:type="spellEnd"/>
      <w:r w:rsidRPr="00D66303">
        <w:rPr>
          <w:rFonts w:eastAsia="Times New Roman" w:cs="Times New Roman"/>
          <w:i/>
          <w:szCs w:val="20"/>
          <w:lang w:val="en-US" w:eastAsia="en-CA"/>
        </w:rPr>
        <w:tab/>
      </w:r>
      <w:proofErr w:type="spellStart"/>
      <w:r w:rsidRPr="00D66303">
        <w:rPr>
          <w:rFonts w:eastAsia="Times New Roman" w:cs="Times New Roman"/>
          <w:i/>
          <w:szCs w:val="20"/>
          <w:lang w:val="en-US" w:eastAsia="en-CA"/>
        </w:rPr>
        <w:t>Appelant</w:t>
      </w:r>
      <w:proofErr w:type="spellEnd"/>
    </w:p>
    <w:p w:rsidR="009C5406" w:rsidRPr="00D66303" w:rsidRDefault="009C5406" w:rsidP="009C5406">
      <w:pPr>
        <w:spacing w:after="720"/>
        <w:rPr>
          <w:rFonts w:eastAsia="Times New Roman" w:cs="Times New Roman"/>
          <w:i/>
          <w:szCs w:val="20"/>
          <w:lang w:eastAsia="en-CA"/>
        </w:rPr>
      </w:pPr>
      <w:proofErr w:type="gramStart"/>
      <w:r w:rsidRPr="00D66303">
        <w:rPr>
          <w:rFonts w:eastAsia="Times New Roman" w:cs="Times New Roman"/>
          <w:i/>
          <w:szCs w:val="20"/>
          <w:lang w:eastAsia="en-CA"/>
        </w:rPr>
        <w:t>c</w:t>
      </w:r>
      <w:proofErr w:type="gramEnd"/>
      <w:r w:rsidRPr="00D66303">
        <w:rPr>
          <w:rFonts w:eastAsia="Times New Roman" w:cs="Times New Roman"/>
          <w:i/>
          <w:szCs w:val="20"/>
          <w:lang w:eastAsia="en-CA"/>
        </w:rPr>
        <w:t>.</w:t>
      </w:r>
    </w:p>
    <w:p w:rsidR="009C5406" w:rsidRPr="00D66303" w:rsidRDefault="009C5406" w:rsidP="009C5406">
      <w:pPr>
        <w:tabs>
          <w:tab w:val="right" w:pos="8222"/>
        </w:tabs>
        <w:spacing w:after="720"/>
        <w:rPr>
          <w:rFonts w:eastAsia="Times New Roman" w:cs="Times New Roman"/>
          <w:b/>
          <w:szCs w:val="20"/>
          <w:lang w:eastAsia="en-CA"/>
        </w:rPr>
      </w:pPr>
      <w:r w:rsidRPr="00D66303">
        <w:rPr>
          <w:rFonts w:eastAsia="Times New Roman" w:cs="Times New Roman"/>
          <w:b/>
          <w:szCs w:val="20"/>
          <w:lang w:eastAsia="en-CA"/>
        </w:rPr>
        <w:t>Sa Majesté la Reine</w:t>
      </w:r>
      <w:r w:rsidRPr="00D66303">
        <w:rPr>
          <w:rFonts w:eastAsia="Times New Roman" w:cs="Times New Roman"/>
          <w:i/>
          <w:szCs w:val="20"/>
          <w:lang w:eastAsia="en-CA"/>
        </w:rPr>
        <w:tab/>
        <w:t>Intimée</w:t>
      </w:r>
    </w:p>
    <w:p w:rsidR="009C5406" w:rsidRPr="00D66303" w:rsidRDefault="009C5406" w:rsidP="009C5406">
      <w:pPr>
        <w:spacing w:after="720"/>
        <w:rPr>
          <w:rFonts w:eastAsia="Times New Roman" w:cs="Times New Roman"/>
          <w:szCs w:val="20"/>
          <w:lang w:eastAsia="en-CA"/>
        </w:rPr>
      </w:pPr>
      <w:r w:rsidRPr="00D66303">
        <w:rPr>
          <w:rFonts w:eastAsia="Times New Roman" w:cs="Times New Roman"/>
          <w:szCs w:val="20"/>
          <w:lang w:eastAsia="en-CA"/>
        </w:rPr>
        <w:t>- et -</w:t>
      </w:r>
    </w:p>
    <w:p w:rsidR="009C5406" w:rsidRPr="00D66303" w:rsidRDefault="009C5406" w:rsidP="009C5406">
      <w:pPr>
        <w:tabs>
          <w:tab w:val="right" w:pos="8222"/>
        </w:tabs>
        <w:spacing w:after="720"/>
        <w:rPr>
          <w:rFonts w:eastAsia="Times New Roman" w:cs="Times New Roman"/>
          <w:b/>
          <w:szCs w:val="20"/>
          <w:lang w:eastAsia="en-CA"/>
        </w:rPr>
      </w:pPr>
      <w:r w:rsidRPr="00D66303">
        <w:rPr>
          <w:rFonts w:eastAsia="Times New Roman" w:cs="Times New Roman"/>
          <w:b/>
          <w:szCs w:val="20"/>
          <w:lang w:eastAsia="en-CA"/>
        </w:rPr>
        <w:t xml:space="preserve">Franz </w:t>
      </w:r>
      <w:proofErr w:type="spellStart"/>
      <w:r w:rsidRPr="00D66303">
        <w:rPr>
          <w:rFonts w:eastAsia="Times New Roman" w:cs="Times New Roman"/>
          <w:b/>
          <w:szCs w:val="20"/>
          <w:lang w:eastAsia="en-CA"/>
        </w:rPr>
        <w:t>Emir</w:t>
      </w:r>
      <w:proofErr w:type="spellEnd"/>
      <w:r w:rsidRPr="00D66303">
        <w:rPr>
          <w:rFonts w:eastAsia="Times New Roman" w:cs="Times New Roman"/>
          <w:b/>
          <w:szCs w:val="20"/>
          <w:lang w:eastAsia="en-CA"/>
        </w:rPr>
        <w:t xml:space="preserve"> Cabrera</w:t>
      </w:r>
      <w:r w:rsidRPr="00D66303">
        <w:rPr>
          <w:rFonts w:eastAsia="Times New Roman" w:cs="Times New Roman"/>
          <w:i/>
          <w:szCs w:val="20"/>
          <w:lang w:eastAsia="en-CA"/>
        </w:rPr>
        <w:tab/>
        <w:t>Appelant</w:t>
      </w:r>
    </w:p>
    <w:p w:rsidR="009C5406" w:rsidRPr="00D66303" w:rsidRDefault="009C5406" w:rsidP="009C5406">
      <w:pPr>
        <w:spacing w:after="720"/>
        <w:rPr>
          <w:rFonts w:eastAsia="Times New Roman" w:cs="Times New Roman"/>
          <w:i/>
          <w:szCs w:val="20"/>
          <w:lang w:eastAsia="en-CA"/>
        </w:rPr>
      </w:pPr>
      <w:proofErr w:type="gramStart"/>
      <w:r w:rsidRPr="00D66303">
        <w:rPr>
          <w:rFonts w:eastAsia="Times New Roman" w:cs="Times New Roman"/>
          <w:i/>
          <w:szCs w:val="20"/>
          <w:lang w:eastAsia="en-CA"/>
        </w:rPr>
        <w:t>c</w:t>
      </w:r>
      <w:proofErr w:type="gramEnd"/>
      <w:r w:rsidRPr="00D66303">
        <w:rPr>
          <w:rFonts w:eastAsia="Times New Roman" w:cs="Times New Roman"/>
          <w:i/>
          <w:szCs w:val="20"/>
          <w:lang w:eastAsia="en-CA"/>
        </w:rPr>
        <w:t>.</w:t>
      </w:r>
    </w:p>
    <w:p w:rsidR="009C5406" w:rsidRPr="00D66303" w:rsidRDefault="009C5406" w:rsidP="009C5406">
      <w:pPr>
        <w:tabs>
          <w:tab w:val="right" w:pos="8222"/>
        </w:tabs>
        <w:spacing w:after="720"/>
        <w:rPr>
          <w:rFonts w:eastAsia="Times New Roman" w:cs="Times New Roman"/>
          <w:b/>
          <w:szCs w:val="20"/>
          <w:lang w:eastAsia="en-CA"/>
        </w:rPr>
      </w:pPr>
      <w:r w:rsidRPr="00D66303">
        <w:rPr>
          <w:rFonts w:eastAsia="Times New Roman" w:cs="Times New Roman"/>
          <w:b/>
          <w:szCs w:val="20"/>
          <w:lang w:eastAsia="en-CA"/>
        </w:rPr>
        <w:t>Sa Majesté la Reine</w:t>
      </w:r>
      <w:r w:rsidRPr="00D66303">
        <w:rPr>
          <w:rFonts w:eastAsia="Times New Roman" w:cs="Times New Roman"/>
          <w:i/>
          <w:szCs w:val="20"/>
          <w:lang w:eastAsia="en-CA"/>
        </w:rPr>
        <w:tab/>
        <w:t>Intimée</w:t>
      </w:r>
    </w:p>
    <w:p w:rsidR="009C5406" w:rsidRPr="00D66303" w:rsidRDefault="009C5406" w:rsidP="009C5406">
      <w:pPr>
        <w:spacing w:after="720"/>
        <w:jc w:val="both"/>
        <w:rPr>
          <w:rFonts w:eastAsia="Times New Roman" w:cs="Times New Roman"/>
          <w:szCs w:val="20"/>
          <w:lang w:eastAsia="en-CA"/>
        </w:rPr>
      </w:pPr>
      <w:r w:rsidRPr="00D66303">
        <w:rPr>
          <w:rFonts w:eastAsia="Times New Roman" w:cs="Times New Roman"/>
          <w:b/>
          <w:szCs w:val="20"/>
          <w:lang w:eastAsia="en-CA"/>
        </w:rPr>
        <w:t xml:space="preserve">Répertorié : R. </w:t>
      </w:r>
      <w:r w:rsidRPr="00D66303">
        <w:rPr>
          <w:rFonts w:eastAsia="Times New Roman" w:cs="Times New Roman"/>
          <w:b/>
          <w:i/>
          <w:szCs w:val="20"/>
          <w:lang w:eastAsia="en-CA"/>
        </w:rPr>
        <w:t>c.</w:t>
      </w:r>
      <w:r w:rsidRPr="00D66303">
        <w:rPr>
          <w:rFonts w:eastAsia="Times New Roman" w:cs="Times New Roman"/>
          <w:b/>
          <w:szCs w:val="20"/>
          <w:lang w:eastAsia="en-CA"/>
        </w:rPr>
        <w:t xml:space="preserve"> </w:t>
      </w:r>
      <w:proofErr w:type="spellStart"/>
      <w:r w:rsidRPr="00D66303">
        <w:rPr>
          <w:rFonts w:eastAsia="Times New Roman" w:cs="Times New Roman"/>
          <w:b/>
          <w:szCs w:val="20"/>
          <w:lang w:eastAsia="en-CA"/>
        </w:rPr>
        <w:t>Shlah</w:t>
      </w:r>
      <w:proofErr w:type="spellEnd"/>
    </w:p>
    <w:p w:rsidR="009C5406" w:rsidRPr="00D66303" w:rsidRDefault="009C5406" w:rsidP="009C5406">
      <w:pPr>
        <w:spacing w:after="720"/>
        <w:jc w:val="both"/>
        <w:rPr>
          <w:rFonts w:eastAsia="Times New Roman" w:cs="Times New Roman"/>
          <w:b/>
          <w:szCs w:val="20"/>
          <w:lang w:eastAsia="en-CA"/>
        </w:rPr>
      </w:pPr>
      <w:r w:rsidRPr="00D66303">
        <w:rPr>
          <w:rFonts w:eastAsia="Times New Roman" w:cs="Times New Roman"/>
          <w:b/>
          <w:szCs w:val="20"/>
          <w:lang w:eastAsia="en-CA"/>
        </w:rPr>
        <w:t>2019 CSC 56</w:t>
      </w:r>
    </w:p>
    <w:p w:rsidR="009C5406" w:rsidRPr="00D66303" w:rsidRDefault="009C5406" w:rsidP="009C5406">
      <w:pPr>
        <w:spacing w:after="720"/>
        <w:jc w:val="both"/>
        <w:rPr>
          <w:rFonts w:eastAsia="Times New Roman" w:cs="Times New Roman"/>
          <w:szCs w:val="20"/>
          <w:lang w:eastAsia="en-CA"/>
        </w:rPr>
      </w:pPr>
      <w:r w:rsidRPr="00D66303">
        <w:rPr>
          <w:rFonts w:eastAsia="Times New Roman" w:cs="Times New Roman"/>
          <w:szCs w:val="20"/>
          <w:lang w:eastAsia="en-CA"/>
        </w:rPr>
        <w:t>N</w:t>
      </w:r>
      <w:r w:rsidRPr="00D66303">
        <w:rPr>
          <w:rFonts w:eastAsia="Times New Roman" w:cs="Times New Roman"/>
          <w:szCs w:val="20"/>
          <w:vertAlign w:val="superscript"/>
          <w:lang w:eastAsia="en-CA"/>
        </w:rPr>
        <w:t>os</w:t>
      </w:r>
      <w:r w:rsidRPr="00D66303">
        <w:rPr>
          <w:rFonts w:eastAsia="Times New Roman" w:cs="Times New Roman"/>
          <w:szCs w:val="20"/>
          <w:lang w:eastAsia="en-CA"/>
        </w:rPr>
        <w:t xml:space="preserve"> du greffe : 38661, 38677.</w:t>
      </w:r>
    </w:p>
    <w:p w:rsidR="009C5406" w:rsidRPr="00D66303" w:rsidRDefault="009C5406" w:rsidP="009C5406">
      <w:pPr>
        <w:spacing w:after="720"/>
        <w:jc w:val="both"/>
        <w:rPr>
          <w:rFonts w:eastAsia="Times New Roman" w:cs="Times New Roman"/>
          <w:szCs w:val="20"/>
          <w:lang w:eastAsia="en-CA"/>
        </w:rPr>
      </w:pPr>
      <w:r>
        <w:rPr>
          <w:rFonts w:eastAsia="Times New Roman" w:cs="Times New Roman"/>
          <w:szCs w:val="20"/>
          <w:lang w:eastAsia="en-CA"/>
        </w:rPr>
        <w:t>2019 </w:t>
      </w:r>
      <w:r w:rsidRPr="00D66303">
        <w:rPr>
          <w:rFonts w:eastAsia="Times New Roman" w:cs="Times New Roman"/>
          <w:szCs w:val="20"/>
          <w:lang w:eastAsia="en-CA"/>
        </w:rPr>
        <w:t>: 15 novembre.</w:t>
      </w:r>
    </w:p>
    <w:p w:rsidR="009C5406" w:rsidRPr="00D66303" w:rsidRDefault="009C5406" w:rsidP="009C5406">
      <w:pPr>
        <w:spacing w:after="720"/>
        <w:jc w:val="both"/>
        <w:rPr>
          <w:rFonts w:eastAsia="Times New Roman" w:cs="Times New Roman"/>
          <w:szCs w:val="20"/>
          <w:lang w:eastAsia="en-CA"/>
        </w:rPr>
      </w:pPr>
      <w:r w:rsidRPr="00D66303">
        <w:rPr>
          <w:rFonts w:eastAsia="Times New Roman" w:cs="Times New Roman"/>
          <w:szCs w:val="20"/>
          <w:lang w:eastAsia="en-CA"/>
        </w:rPr>
        <w:t xml:space="preserve">Présents : Les juges Abella, </w:t>
      </w:r>
      <w:proofErr w:type="spellStart"/>
      <w:r w:rsidRPr="00D66303">
        <w:rPr>
          <w:rFonts w:eastAsia="Times New Roman" w:cs="Times New Roman"/>
          <w:szCs w:val="20"/>
          <w:lang w:eastAsia="en-CA"/>
        </w:rPr>
        <w:t>Moldaver</w:t>
      </w:r>
      <w:proofErr w:type="spellEnd"/>
      <w:r w:rsidRPr="00D66303">
        <w:rPr>
          <w:rFonts w:eastAsia="Times New Roman" w:cs="Times New Roman"/>
          <w:szCs w:val="20"/>
          <w:lang w:eastAsia="en-CA"/>
        </w:rPr>
        <w:t xml:space="preserve">, </w:t>
      </w:r>
      <w:proofErr w:type="spellStart"/>
      <w:r w:rsidRPr="00D66303">
        <w:rPr>
          <w:rFonts w:eastAsia="Times New Roman" w:cs="Times New Roman"/>
          <w:szCs w:val="20"/>
          <w:lang w:eastAsia="en-CA"/>
        </w:rPr>
        <w:t>Karakatsanis</w:t>
      </w:r>
      <w:proofErr w:type="spellEnd"/>
      <w:r w:rsidRPr="00D66303">
        <w:rPr>
          <w:rFonts w:eastAsia="Times New Roman" w:cs="Times New Roman"/>
          <w:szCs w:val="20"/>
          <w:lang w:eastAsia="en-CA"/>
        </w:rPr>
        <w:t xml:space="preserve">, Côté, Brown, Rowe et </w:t>
      </w:r>
      <w:proofErr w:type="spellStart"/>
      <w:r w:rsidRPr="00D66303">
        <w:rPr>
          <w:rFonts w:eastAsia="Times New Roman" w:cs="Times New Roman"/>
          <w:szCs w:val="20"/>
          <w:lang w:eastAsia="en-CA"/>
        </w:rPr>
        <w:t>Kasirer</w:t>
      </w:r>
      <w:proofErr w:type="spellEnd"/>
      <w:r w:rsidRPr="00D66303">
        <w:rPr>
          <w:rFonts w:eastAsia="Times New Roman" w:cs="Times New Roman"/>
          <w:szCs w:val="20"/>
          <w:lang w:eastAsia="en-CA"/>
        </w:rPr>
        <w:t>.</w:t>
      </w:r>
    </w:p>
    <w:p w:rsidR="009C5406" w:rsidRPr="00D66303" w:rsidRDefault="009C5406" w:rsidP="009C5406">
      <w:pPr>
        <w:tabs>
          <w:tab w:val="left" w:pos="1168"/>
        </w:tabs>
        <w:spacing w:after="720"/>
        <w:jc w:val="both"/>
        <w:rPr>
          <w:rFonts w:eastAsia="Times New Roman" w:cs="Times New Roman"/>
          <w:smallCaps/>
          <w:szCs w:val="20"/>
          <w:lang w:eastAsia="en-CA"/>
        </w:rPr>
      </w:pPr>
      <w:r w:rsidRPr="00D66303">
        <w:rPr>
          <w:rFonts w:eastAsia="Times New Roman" w:cs="Times New Roman"/>
          <w:smallCaps/>
          <w:szCs w:val="20"/>
          <w:lang w:eastAsia="en-CA"/>
        </w:rPr>
        <w:lastRenderedPageBreak/>
        <w:t xml:space="preserve">en appel de la cour d’appel de </w:t>
      </w:r>
      <w:proofErr w:type="spellStart"/>
      <w:r w:rsidRPr="00D66303">
        <w:rPr>
          <w:rFonts w:eastAsia="Times New Roman" w:cs="Times New Roman"/>
          <w:smallCaps/>
          <w:szCs w:val="20"/>
          <w:lang w:eastAsia="en-CA"/>
        </w:rPr>
        <w:t>l’alberta</w:t>
      </w:r>
      <w:proofErr w:type="spellEnd"/>
    </w:p>
    <w:p w:rsidR="009C5406" w:rsidRPr="00D66303" w:rsidRDefault="009C5406" w:rsidP="009C5406">
      <w:pPr>
        <w:tabs>
          <w:tab w:val="left" w:pos="1168"/>
        </w:tabs>
        <w:spacing w:line="480" w:lineRule="auto"/>
        <w:jc w:val="both"/>
        <w:rPr>
          <w:rFonts w:eastAsia="Times New Roman" w:cs="Times New Roman"/>
          <w:szCs w:val="20"/>
          <w:lang w:eastAsia="en-CA"/>
        </w:rPr>
      </w:pPr>
      <w:r w:rsidRPr="00D66303">
        <w:rPr>
          <w:rFonts w:eastAsia="Times New Roman" w:cs="Times New Roman"/>
          <w:szCs w:val="20"/>
          <w:lang w:eastAsia="en-CA"/>
        </w:rPr>
        <w:tab/>
      </w:r>
      <w:r w:rsidRPr="00D66303">
        <w:rPr>
          <w:rFonts w:eastAsia="Times New Roman" w:cs="Times New Roman"/>
          <w:i/>
          <w:szCs w:val="20"/>
          <w:lang w:eastAsia="en-CA"/>
        </w:rPr>
        <w:t>Droit criminel — Exposé au jury — Responsabilité en tant que coauteur de l’infraction — Verdict déraisonnable — Victime battue et poignardée à mort par un groupe de personnes — Accusés déclarés tous deux coupables par le jury de meurtre au second degré en raison de leur participation à l’agression — Conclusion de la Cour d’appel portant que l’exposé au jury ne comportait pas d’erreur donnant ouverture à révision car il exposait adéquatement les différentes voies pouvant mener à la responsabilité — Conclusion de la Cour d’appel portant qu’il était loisible au jury de conclure que les accusés étaient responsables en quant qu’auteurs ou coauteurs de l’agression et qu’ils avaient agi en ayant l’intention requise à l’égard de l’infraction de meurtre — Verdicts non déraisonnables — Déclarations de culpabilité confirmées.</w:t>
      </w:r>
    </w:p>
    <w:p w:rsidR="009C5406" w:rsidRPr="00D66303" w:rsidRDefault="009C5406" w:rsidP="009C5406">
      <w:pPr>
        <w:tabs>
          <w:tab w:val="left" w:pos="1168"/>
        </w:tabs>
        <w:spacing w:line="480" w:lineRule="auto"/>
        <w:jc w:val="both"/>
        <w:rPr>
          <w:rFonts w:eastAsia="Times New Roman" w:cs="Times New Roman"/>
          <w:szCs w:val="20"/>
          <w:lang w:eastAsia="en-CA"/>
        </w:rPr>
      </w:pPr>
    </w:p>
    <w:p w:rsidR="009C5406" w:rsidRPr="00D66303" w:rsidRDefault="009C5406" w:rsidP="009C5406">
      <w:pPr>
        <w:tabs>
          <w:tab w:val="left" w:pos="1168"/>
        </w:tabs>
        <w:spacing w:line="480" w:lineRule="auto"/>
        <w:jc w:val="both"/>
        <w:rPr>
          <w:rFonts w:eastAsia="Times New Roman" w:cs="Times New Roman"/>
          <w:szCs w:val="20"/>
          <w:lang w:eastAsia="en-CA"/>
        </w:rPr>
      </w:pPr>
      <w:r w:rsidRPr="00D66303">
        <w:rPr>
          <w:rFonts w:eastAsia="Times New Roman" w:cs="Times New Roman"/>
          <w:szCs w:val="20"/>
          <w:lang w:eastAsia="en-CA"/>
        </w:rPr>
        <w:tab/>
        <w:t xml:space="preserve">POURVOIS contre un arrêt de la Cour d’appel de l’Alberta (la juge en chef Fraser et les juges Veldhuis et Schutz), 2019 ABCA 184, 442 D.L.R. (4th) 368, 95 Alta. L.R. (6th) 258, [2019] A.J. No. 614 (QL), 2019 </w:t>
      </w:r>
      <w:proofErr w:type="spellStart"/>
      <w:r w:rsidRPr="00D66303">
        <w:rPr>
          <w:rFonts w:eastAsia="Times New Roman" w:cs="Times New Roman"/>
          <w:szCs w:val="20"/>
          <w:lang w:eastAsia="en-CA"/>
        </w:rPr>
        <w:t>CarswellAlta</w:t>
      </w:r>
      <w:proofErr w:type="spellEnd"/>
      <w:r w:rsidRPr="00D66303">
        <w:rPr>
          <w:rFonts w:eastAsia="Times New Roman" w:cs="Times New Roman"/>
          <w:szCs w:val="20"/>
          <w:lang w:eastAsia="en-CA"/>
        </w:rPr>
        <w:t xml:space="preserve"> 914 (WL Can.), </w:t>
      </w:r>
      <w:r w:rsidRPr="00D66303">
        <w:rPr>
          <w:rFonts w:eastAsia="Times New Roman" w:cs="Times New Roman"/>
          <w:szCs w:val="20"/>
          <w:lang w:val="fr-FR" w:eastAsia="en-CA"/>
        </w:rPr>
        <w:t>qui a confirmé les déclarations de culpabilité pour meurtre au second degré prononcées contre les accusés. Pourvois rejetés.</w:t>
      </w:r>
    </w:p>
    <w:p w:rsidR="009C5406" w:rsidRPr="00D66303" w:rsidRDefault="009C5406" w:rsidP="009C5406">
      <w:pPr>
        <w:tabs>
          <w:tab w:val="left" w:pos="1168"/>
        </w:tabs>
        <w:spacing w:line="480" w:lineRule="auto"/>
        <w:jc w:val="both"/>
        <w:rPr>
          <w:rFonts w:eastAsia="Times New Roman" w:cs="Times New Roman"/>
          <w:szCs w:val="20"/>
          <w:lang w:eastAsia="en-CA"/>
        </w:rPr>
      </w:pPr>
    </w:p>
    <w:p w:rsidR="009C5406" w:rsidRPr="00D66303" w:rsidRDefault="009C5406" w:rsidP="009C5406">
      <w:pPr>
        <w:tabs>
          <w:tab w:val="left" w:pos="1168"/>
        </w:tabs>
        <w:spacing w:line="480" w:lineRule="auto"/>
        <w:jc w:val="both"/>
        <w:rPr>
          <w:rFonts w:eastAsia="Times New Roman" w:cs="Times New Roman"/>
          <w:szCs w:val="20"/>
          <w:lang w:eastAsia="en-CA"/>
        </w:rPr>
      </w:pPr>
      <w:r w:rsidRPr="00D66303">
        <w:rPr>
          <w:rFonts w:eastAsia="Times New Roman" w:cs="Times New Roman"/>
          <w:szCs w:val="20"/>
          <w:lang w:eastAsia="en-CA"/>
        </w:rPr>
        <w:tab/>
      </w:r>
      <w:r w:rsidRPr="00D66303">
        <w:rPr>
          <w:rFonts w:eastAsia="Times New Roman" w:cs="Times New Roman"/>
          <w:i/>
          <w:szCs w:val="20"/>
          <w:lang w:eastAsia="en-CA"/>
        </w:rPr>
        <w:t>Balfour Q. H. Der</w:t>
      </w:r>
      <w:r w:rsidRPr="00D66303">
        <w:rPr>
          <w:rFonts w:eastAsia="Times New Roman" w:cs="Times New Roman"/>
          <w:szCs w:val="20"/>
          <w:lang w:eastAsia="en-CA"/>
        </w:rPr>
        <w:t xml:space="preserve">, </w:t>
      </w:r>
      <w:proofErr w:type="spellStart"/>
      <w:proofErr w:type="gramStart"/>
      <w:r w:rsidRPr="00D66303">
        <w:rPr>
          <w:rFonts w:eastAsia="Times New Roman" w:cs="Times New Roman"/>
          <w:i/>
          <w:szCs w:val="20"/>
          <w:lang w:eastAsia="en-CA"/>
        </w:rPr>
        <w:t>c.r</w:t>
      </w:r>
      <w:proofErr w:type="spellEnd"/>
      <w:r w:rsidRPr="00D66303">
        <w:rPr>
          <w:rFonts w:eastAsia="Times New Roman" w:cs="Times New Roman"/>
          <w:i/>
          <w:szCs w:val="20"/>
          <w:lang w:eastAsia="en-CA"/>
        </w:rPr>
        <w:t>.</w:t>
      </w:r>
      <w:r w:rsidRPr="00D66303">
        <w:rPr>
          <w:rFonts w:eastAsia="Times New Roman" w:cs="Times New Roman"/>
          <w:szCs w:val="20"/>
          <w:lang w:eastAsia="en-CA"/>
        </w:rPr>
        <w:t>,</w:t>
      </w:r>
      <w:proofErr w:type="gramEnd"/>
      <w:r w:rsidRPr="00D66303">
        <w:rPr>
          <w:rFonts w:eastAsia="Times New Roman" w:cs="Times New Roman"/>
          <w:szCs w:val="20"/>
          <w:lang w:eastAsia="en-CA"/>
        </w:rPr>
        <w:t xml:space="preserve"> et </w:t>
      </w:r>
      <w:r w:rsidRPr="00D66303">
        <w:rPr>
          <w:rFonts w:eastAsia="Times New Roman" w:cs="Times New Roman"/>
          <w:i/>
          <w:szCs w:val="20"/>
          <w:lang w:eastAsia="en-CA"/>
        </w:rPr>
        <w:t xml:space="preserve">James O. </w:t>
      </w:r>
      <w:proofErr w:type="spellStart"/>
      <w:r w:rsidRPr="00D66303">
        <w:rPr>
          <w:rFonts w:eastAsia="Times New Roman" w:cs="Times New Roman"/>
          <w:i/>
          <w:szCs w:val="20"/>
          <w:lang w:eastAsia="en-CA"/>
        </w:rPr>
        <w:t>Wyman</w:t>
      </w:r>
      <w:proofErr w:type="spellEnd"/>
      <w:r w:rsidRPr="00D66303">
        <w:rPr>
          <w:rFonts w:eastAsia="Times New Roman" w:cs="Times New Roman"/>
          <w:szCs w:val="20"/>
          <w:lang w:eastAsia="en-CA"/>
        </w:rPr>
        <w:t xml:space="preserve">, pour l’appelant </w:t>
      </w:r>
      <w:proofErr w:type="spellStart"/>
      <w:r w:rsidRPr="00D66303">
        <w:rPr>
          <w:rFonts w:eastAsia="Times New Roman" w:cs="Times New Roman"/>
          <w:szCs w:val="20"/>
          <w:lang w:eastAsia="en-CA"/>
        </w:rPr>
        <w:t>Assmar</w:t>
      </w:r>
      <w:proofErr w:type="spellEnd"/>
      <w:r w:rsidRPr="00D66303">
        <w:rPr>
          <w:rFonts w:eastAsia="Times New Roman" w:cs="Times New Roman"/>
          <w:szCs w:val="20"/>
          <w:lang w:eastAsia="en-CA"/>
        </w:rPr>
        <w:t xml:space="preserve"> </w:t>
      </w:r>
      <w:proofErr w:type="spellStart"/>
      <w:r w:rsidRPr="00D66303">
        <w:rPr>
          <w:rFonts w:eastAsia="Times New Roman" w:cs="Times New Roman"/>
          <w:szCs w:val="20"/>
          <w:lang w:eastAsia="en-CA"/>
        </w:rPr>
        <w:t>Ryiad</w:t>
      </w:r>
      <w:proofErr w:type="spellEnd"/>
      <w:r w:rsidRPr="00D66303">
        <w:rPr>
          <w:rFonts w:eastAsia="Times New Roman" w:cs="Times New Roman"/>
          <w:szCs w:val="20"/>
          <w:lang w:eastAsia="en-CA"/>
        </w:rPr>
        <w:t xml:space="preserve"> </w:t>
      </w:r>
      <w:proofErr w:type="spellStart"/>
      <w:r w:rsidRPr="00D66303">
        <w:rPr>
          <w:rFonts w:eastAsia="Times New Roman" w:cs="Times New Roman"/>
          <w:szCs w:val="20"/>
          <w:lang w:eastAsia="en-CA"/>
        </w:rPr>
        <w:t>Shlah</w:t>
      </w:r>
      <w:proofErr w:type="spellEnd"/>
      <w:r w:rsidRPr="00D66303">
        <w:rPr>
          <w:rFonts w:eastAsia="Times New Roman" w:cs="Times New Roman"/>
          <w:szCs w:val="20"/>
          <w:lang w:eastAsia="en-CA"/>
        </w:rPr>
        <w:t>.</w:t>
      </w:r>
    </w:p>
    <w:p w:rsidR="009C5406" w:rsidRPr="00D66303" w:rsidRDefault="009C5406" w:rsidP="009C5406">
      <w:pPr>
        <w:tabs>
          <w:tab w:val="left" w:pos="1168"/>
        </w:tabs>
        <w:spacing w:line="480" w:lineRule="auto"/>
        <w:jc w:val="both"/>
        <w:rPr>
          <w:rFonts w:eastAsia="Times New Roman" w:cs="Times New Roman"/>
          <w:i/>
          <w:szCs w:val="20"/>
          <w:lang w:eastAsia="en-CA"/>
        </w:rPr>
      </w:pPr>
    </w:p>
    <w:p w:rsidR="009C5406" w:rsidRPr="00D66303" w:rsidRDefault="009C5406" w:rsidP="009C5406">
      <w:pPr>
        <w:tabs>
          <w:tab w:val="left" w:pos="1168"/>
        </w:tabs>
        <w:spacing w:line="480" w:lineRule="auto"/>
        <w:jc w:val="both"/>
        <w:rPr>
          <w:rFonts w:eastAsia="Times New Roman" w:cs="Times New Roman"/>
          <w:szCs w:val="20"/>
          <w:lang w:eastAsia="en-CA"/>
        </w:rPr>
      </w:pPr>
      <w:r w:rsidRPr="00D66303">
        <w:rPr>
          <w:rFonts w:eastAsia="Times New Roman" w:cs="Times New Roman"/>
          <w:i/>
          <w:szCs w:val="20"/>
          <w:lang w:eastAsia="en-CA"/>
        </w:rPr>
        <w:tab/>
        <w:t xml:space="preserve">Gavin </w:t>
      </w:r>
      <w:proofErr w:type="spellStart"/>
      <w:r w:rsidRPr="00D66303">
        <w:rPr>
          <w:rFonts w:eastAsia="Times New Roman" w:cs="Times New Roman"/>
          <w:i/>
          <w:szCs w:val="20"/>
          <w:lang w:eastAsia="en-CA"/>
        </w:rPr>
        <w:t>Wolch</w:t>
      </w:r>
      <w:proofErr w:type="spellEnd"/>
      <w:r w:rsidRPr="00D66303">
        <w:rPr>
          <w:rFonts w:eastAsia="Times New Roman" w:cs="Times New Roman"/>
          <w:szCs w:val="20"/>
          <w:lang w:eastAsia="en-CA"/>
        </w:rPr>
        <w:t xml:space="preserve"> et </w:t>
      </w:r>
      <w:proofErr w:type="spellStart"/>
      <w:r w:rsidRPr="00D66303">
        <w:rPr>
          <w:rFonts w:eastAsia="Times New Roman" w:cs="Times New Roman"/>
          <w:i/>
          <w:szCs w:val="20"/>
          <w:lang w:eastAsia="en-CA"/>
        </w:rPr>
        <w:t>Agathon</w:t>
      </w:r>
      <w:proofErr w:type="spellEnd"/>
      <w:r w:rsidRPr="00D66303">
        <w:rPr>
          <w:rFonts w:eastAsia="Times New Roman" w:cs="Times New Roman"/>
          <w:i/>
          <w:szCs w:val="20"/>
          <w:lang w:eastAsia="en-CA"/>
        </w:rPr>
        <w:t xml:space="preserve"> Fric</w:t>
      </w:r>
      <w:r w:rsidRPr="00D66303">
        <w:rPr>
          <w:rFonts w:eastAsia="Times New Roman" w:cs="Times New Roman"/>
          <w:szCs w:val="20"/>
          <w:lang w:eastAsia="en-CA"/>
        </w:rPr>
        <w:t xml:space="preserve">, pour l’appelant Franz </w:t>
      </w:r>
      <w:proofErr w:type="spellStart"/>
      <w:r w:rsidRPr="00D66303">
        <w:rPr>
          <w:rFonts w:eastAsia="Times New Roman" w:cs="Times New Roman"/>
          <w:szCs w:val="20"/>
          <w:lang w:eastAsia="en-CA"/>
        </w:rPr>
        <w:t>Emir</w:t>
      </w:r>
      <w:proofErr w:type="spellEnd"/>
      <w:r w:rsidRPr="00D66303">
        <w:rPr>
          <w:rFonts w:eastAsia="Times New Roman" w:cs="Times New Roman"/>
          <w:szCs w:val="20"/>
          <w:lang w:eastAsia="en-CA"/>
        </w:rPr>
        <w:t xml:space="preserve"> Cabrera.</w:t>
      </w:r>
    </w:p>
    <w:p w:rsidR="009C5406" w:rsidRPr="00D66303" w:rsidRDefault="009C5406" w:rsidP="009C5406">
      <w:pPr>
        <w:tabs>
          <w:tab w:val="left" w:pos="1168"/>
        </w:tabs>
        <w:spacing w:line="480" w:lineRule="auto"/>
        <w:jc w:val="both"/>
        <w:rPr>
          <w:rFonts w:eastAsia="Times New Roman" w:cs="Times New Roman"/>
          <w:szCs w:val="20"/>
          <w:lang w:eastAsia="en-CA"/>
        </w:rPr>
      </w:pPr>
    </w:p>
    <w:p w:rsidR="009C5406" w:rsidRPr="00D66303" w:rsidRDefault="009C5406" w:rsidP="009C5406">
      <w:pPr>
        <w:tabs>
          <w:tab w:val="left" w:pos="1168"/>
        </w:tabs>
        <w:spacing w:line="480" w:lineRule="auto"/>
        <w:jc w:val="both"/>
        <w:rPr>
          <w:rFonts w:eastAsia="Times New Roman" w:cs="Times New Roman"/>
          <w:szCs w:val="20"/>
          <w:lang w:eastAsia="en-CA"/>
        </w:rPr>
      </w:pPr>
      <w:r w:rsidRPr="00D66303">
        <w:rPr>
          <w:rFonts w:eastAsia="Times New Roman" w:cs="Times New Roman"/>
          <w:i/>
          <w:szCs w:val="20"/>
          <w:lang w:eastAsia="en-CA"/>
        </w:rPr>
        <w:tab/>
      </w:r>
      <w:proofErr w:type="spellStart"/>
      <w:r w:rsidRPr="00D66303">
        <w:rPr>
          <w:rFonts w:eastAsia="Times New Roman" w:cs="Times New Roman"/>
          <w:i/>
          <w:szCs w:val="20"/>
          <w:lang w:eastAsia="en-CA"/>
        </w:rPr>
        <w:t>Iwona</w:t>
      </w:r>
      <w:proofErr w:type="spellEnd"/>
      <w:r w:rsidRPr="00D66303">
        <w:rPr>
          <w:rFonts w:eastAsia="Times New Roman" w:cs="Times New Roman"/>
          <w:i/>
          <w:szCs w:val="20"/>
          <w:lang w:eastAsia="en-CA"/>
        </w:rPr>
        <w:t xml:space="preserve"> </w:t>
      </w:r>
      <w:proofErr w:type="spellStart"/>
      <w:r w:rsidRPr="00D66303">
        <w:rPr>
          <w:rFonts w:eastAsia="Times New Roman" w:cs="Times New Roman"/>
          <w:i/>
          <w:szCs w:val="20"/>
          <w:lang w:eastAsia="en-CA"/>
        </w:rPr>
        <w:t>Kuklicz</w:t>
      </w:r>
      <w:proofErr w:type="spellEnd"/>
      <w:r w:rsidRPr="00D66303">
        <w:rPr>
          <w:rFonts w:eastAsia="Times New Roman" w:cs="Times New Roman"/>
          <w:szCs w:val="20"/>
          <w:lang w:eastAsia="en-CA"/>
        </w:rPr>
        <w:t xml:space="preserve">, </w:t>
      </w:r>
      <w:r w:rsidRPr="00D66303">
        <w:rPr>
          <w:rFonts w:eastAsia="Times New Roman" w:cs="Times New Roman"/>
          <w:i/>
          <w:szCs w:val="20"/>
          <w:lang w:eastAsia="en-CA"/>
        </w:rPr>
        <w:t>Brian Graff</w:t>
      </w:r>
      <w:r w:rsidRPr="00D66303">
        <w:rPr>
          <w:rFonts w:eastAsia="Times New Roman" w:cs="Times New Roman"/>
          <w:szCs w:val="20"/>
          <w:lang w:eastAsia="en-CA"/>
        </w:rPr>
        <w:t xml:space="preserve"> et </w:t>
      </w:r>
      <w:proofErr w:type="spellStart"/>
      <w:r w:rsidRPr="00D66303">
        <w:rPr>
          <w:rFonts w:eastAsia="Times New Roman" w:cs="Times New Roman"/>
          <w:i/>
          <w:szCs w:val="20"/>
          <w:lang w:eastAsia="en-CA"/>
        </w:rPr>
        <w:t>Rajbir</w:t>
      </w:r>
      <w:proofErr w:type="spellEnd"/>
      <w:r w:rsidRPr="00D66303">
        <w:rPr>
          <w:rFonts w:eastAsia="Times New Roman" w:cs="Times New Roman"/>
          <w:i/>
          <w:szCs w:val="20"/>
          <w:lang w:eastAsia="en-CA"/>
        </w:rPr>
        <w:t xml:space="preserve"> Dhillon</w:t>
      </w:r>
      <w:r w:rsidRPr="00D66303">
        <w:rPr>
          <w:rFonts w:eastAsia="Times New Roman" w:cs="Times New Roman"/>
          <w:szCs w:val="20"/>
          <w:lang w:eastAsia="en-CA"/>
        </w:rPr>
        <w:t>, pour l’intimée.</w:t>
      </w:r>
    </w:p>
    <w:p w:rsidR="009C5406" w:rsidRPr="00D66303" w:rsidRDefault="009C5406" w:rsidP="009C5406">
      <w:pPr>
        <w:tabs>
          <w:tab w:val="left" w:pos="1168"/>
        </w:tabs>
        <w:spacing w:before="480" w:after="480" w:line="480" w:lineRule="auto"/>
        <w:jc w:val="both"/>
        <w:rPr>
          <w:rFonts w:eastAsia="Times New Roman" w:cs="Times New Roman"/>
          <w:szCs w:val="20"/>
          <w:lang w:eastAsia="en-CA"/>
        </w:rPr>
      </w:pPr>
      <w:r w:rsidRPr="00D66303">
        <w:rPr>
          <w:rFonts w:eastAsia="Times New Roman" w:cs="Times New Roman"/>
          <w:szCs w:val="20"/>
          <w:lang w:eastAsia="en-CA"/>
        </w:rPr>
        <w:tab/>
        <w:t>Version française du jugement de la Cour rendu oralement par</w:t>
      </w:r>
    </w:p>
    <w:p w:rsidR="009C5406" w:rsidRPr="00B72613" w:rsidRDefault="009C5406" w:rsidP="009C5406">
      <w:pPr>
        <w:pStyle w:val="SCCNormalDoubleSpacing"/>
        <w:numPr>
          <w:ilvl w:val="0"/>
          <w:numId w:val="1"/>
        </w:numPr>
        <w:spacing w:before="480" w:after="480"/>
        <w:ind w:left="0" w:firstLine="0"/>
        <w:rPr>
          <w:lang w:val="fr-CA"/>
        </w:rPr>
      </w:pPr>
      <w:r>
        <w:rPr>
          <w:smallCaps/>
          <w:lang w:val="fr-CA"/>
        </w:rPr>
        <w:lastRenderedPageBreak/>
        <w:t>Le j</w:t>
      </w:r>
      <w:r w:rsidRPr="00B72613">
        <w:rPr>
          <w:smallCaps/>
          <w:lang w:val="fr-CA"/>
        </w:rPr>
        <w:t xml:space="preserve">uge </w:t>
      </w:r>
      <w:proofErr w:type="spellStart"/>
      <w:r w:rsidRPr="00B72613">
        <w:rPr>
          <w:smallCaps/>
          <w:lang w:val="fr-CA"/>
        </w:rPr>
        <w:t>Moldaver</w:t>
      </w:r>
      <w:proofErr w:type="spellEnd"/>
      <w:r w:rsidRPr="00B72613">
        <w:rPr>
          <w:lang w:val="fr-CA"/>
        </w:rPr>
        <w:t xml:space="preserve"> </w:t>
      </w:r>
      <w:r w:rsidRPr="00707F83">
        <w:rPr>
          <w:lang w:val="fr-CA"/>
        </w:rPr>
        <w:t>— Les pourvois sont rejetés,</w:t>
      </w:r>
      <w:r>
        <w:rPr>
          <w:lang w:val="fr-CA"/>
        </w:rPr>
        <w:t xml:space="preserve"> essentiellement pour les motifs de la juge en chef Fraser. À l’instar des juges majoritaires de la Cour d’appel, nous sommes d’avis que l’exposé au jury n’est entaché d’aucune erreur donnant ouverture à révision, et que les verdicts du jury ne sont pas déraisonnables.</w:t>
      </w:r>
    </w:p>
    <w:p w:rsidR="009C5406" w:rsidRPr="006772DB" w:rsidRDefault="009C5406" w:rsidP="009C5406">
      <w:pPr>
        <w:pStyle w:val="SCCNormalDoubleSpacing"/>
        <w:numPr>
          <w:ilvl w:val="0"/>
          <w:numId w:val="1"/>
        </w:numPr>
        <w:spacing w:before="480" w:after="480"/>
        <w:ind w:left="0" w:firstLine="0"/>
        <w:rPr>
          <w:lang w:val="fr-CA"/>
        </w:rPr>
      </w:pPr>
      <w:r w:rsidRPr="00CF441D">
        <w:rPr>
          <w:lang w:val="fr-CA"/>
        </w:rPr>
        <w:t xml:space="preserve">Toutefois, nous ne pouvons souscrire aux motifs exposés au </w:t>
      </w:r>
      <w:proofErr w:type="spellStart"/>
      <w:r w:rsidRPr="00CF441D">
        <w:rPr>
          <w:lang w:val="fr-CA"/>
        </w:rPr>
        <w:t>par</w:t>
      </w:r>
      <w:proofErr w:type="spellEnd"/>
      <w:r w:rsidRPr="00CF441D">
        <w:rPr>
          <w:lang w:val="fr-CA"/>
        </w:rPr>
        <w:t xml:space="preserve">. 27 de l’opinion de la majorité, dans la mesure où ils peuvent être considérés comme ayant pour effet d’exiger que, pour être autorisé à conclure au caractère déraisonnable du verdict prononcé par un jury, le tribunal de révision doit au préalable </w:t>
      </w:r>
      <w:r w:rsidRPr="00612C39">
        <w:rPr>
          <w:lang w:val="fr-CA"/>
        </w:rPr>
        <w:t>déceler une erreur isolable. Le fait que le verdict du jury est déraisonnable constitue en soi une erreur de droit justifiant une cour d’appel d’intervenir.</w:t>
      </w:r>
    </w:p>
    <w:p w:rsidR="009C5406" w:rsidRPr="00D66303" w:rsidRDefault="009C5406" w:rsidP="009C5406">
      <w:pPr>
        <w:tabs>
          <w:tab w:val="left" w:pos="1168"/>
        </w:tabs>
        <w:spacing w:line="480" w:lineRule="auto"/>
        <w:jc w:val="both"/>
        <w:rPr>
          <w:rFonts w:eastAsia="Times New Roman" w:cs="Times New Roman"/>
          <w:i/>
          <w:szCs w:val="20"/>
          <w:lang w:eastAsia="en-CA"/>
        </w:rPr>
      </w:pPr>
      <w:r w:rsidRPr="00D66303">
        <w:rPr>
          <w:rFonts w:eastAsia="Times New Roman" w:cs="Times New Roman"/>
          <w:szCs w:val="20"/>
          <w:lang w:eastAsia="en-CA"/>
        </w:rPr>
        <w:tab/>
      </w:r>
      <w:r w:rsidRPr="00D66303">
        <w:rPr>
          <w:rFonts w:eastAsia="Times New Roman" w:cs="Times New Roman"/>
          <w:i/>
          <w:szCs w:val="20"/>
          <w:lang w:eastAsia="en-CA"/>
        </w:rPr>
        <w:t>Jugement en conséquence.</w:t>
      </w:r>
    </w:p>
    <w:p w:rsidR="009C5406" w:rsidRPr="00D66303" w:rsidRDefault="009C5406" w:rsidP="009C5406">
      <w:pPr>
        <w:tabs>
          <w:tab w:val="left" w:pos="1168"/>
        </w:tabs>
        <w:spacing w:line="480" w:lineRule="auto"/>
        <w:jc w:val="both"/>
        <w:rPr>
          <w:rFonts w:eastAsia="Times New Roman" w:cs="Times New Roman"/>
          <w:i/>
          <w:szCs w:val="20"/>
          <w:lang w:eastAsia="en-CA"/>
        </w:rPr>
      </w:pPr>
    </w:p>
    <w:p w:rsidR="009C5406" w:rsidRPr="00D66303" w:rsidRDefault="009C5406" w:rsidP="009C5406">
      <w:pPr>
        <w:tabs>
          <w:tab w:val="left" w:pos="1168"/>
        </w:tabs>
        <w:spacing w:line="480" w:lineRule="auto"/>
        <w:jc w:val="both"/>
        <w:rPr>
          <w:rFonts w:eastAsia="Times New Roman" w:cs="Times New Roman"/>
          <w:i/>
          <w:szCs w:val="20"/>
          <w:lang w:eastAsia="en-CA"/>
        </w:rPr>
      </w:pPr>
      <w:r w:rsidRPr="00D66303">
        <w:rPr>
          <w:rFonts w:eastAsia="Times New Roman" w:cs="Times New Roman"/>
          <w:szCs w:val="20"/>
          <w:lang w:eastAsia="en-CA"/>
        </w:rPr>
        <w:tab/>
      </w:r>
      <w:r w:rsidRPr="00D66303">
        <w:rPr>
          <w:rFonts w:eastAsia="Times New Roman" w:cs="Times New Roman"/>
          <w:i/>
          <w:szCs w:val="20"/>
          <w:lang w:eastAsia="en-CA"/>
        </w:rPr>
        <w:t xml:space="preserve">Procureurs de l’appelant </w:t>
      </w:r>
      <w:proofErr w:type="spellStart"/>
      <w:r w:rsidRPr="00D66303">
        <w:rPr>
          <w:rFonts w:eastAsia="Times New Roman" w:cs="Times New Roman"/>
          <w:i/>
          <w:szCs w:val="20"/>
          <w:lang w:eastAsia="en-CA"/>
        </w:rPr>
        <w:t>Assmar</w:t>
      </w:r>
      <w:proofErr w:type="spellEnd"/>
      <w:r w:rsidRPr="00D66303">
        <w:rPr>
          <w:rFonts w:eastAsia="Times New Roman" w:cs="Times New Roman"/>
          <w:i/>
          <w:szCs w:val="20"/>
          <w:lang w:eastAsia="en-CA"/>
        </w:rPr>
        <w:t xml:space="preserve"> </w:t>
      </w:r>
      <w:proofErr w:type="spellStart"/>
      <w:r w:rsidRPr="00D66303">
        <w:rPr>
          <w:rFonts w:eastAsia="Times New Roman" w:cs="Times New Roman"/>
          <w:i/>
          <w:szCs w:val="20"/>
          <w:lang w:eastAsia="en-CA"/>
        </w:rPr>
        <w:t>Ryiad</w:t>
      </w:r>
      <w:proofErr w:type="spellEnd"/>
      <w:r w:rsidRPr="00D66303">
        <w:rPr>
          <w:rFonts w:eastAsia="Times New Roman" w:cs="Times New Roman"/>
          <w:i/>
          <w:szCs w:val="20"/>
          <w:lang w:eastAsia="en-CA"/>
        </w:rPr>
        <w:t xml:space="preserve"> </w:t>
      </w:r>
      <w:proofErr w:type="spellStart"/>
      <w:r w:rsidRPr="00D66303">
        <w:rPr>
          <w:rFonts w:eastAsia="Times New Roman" w:cs="Times New Roman"/>
          <w:i/>
          <w:szCs w:val="20"/>
          <w:lang w:eastAsia="en-CA"/>
        </w:rPr>
        <w:t>Shlah</w:t>
      </w:r>
      <w:proofErr w:type="spellEnd"/>
      <w:r w:rsidRPr="00D66303">
        <w:rPr>
          <w:rFonts w:eastAsia="Times New Roman" w:cs="Times New Roman"/>
          <w:i/>
          <w:szCs w:val="20"/>
          <w:lang w:eastAsia="en-CA"/>
        </w:rPr>
        <w:t xml:space="preserve"> : Der </w:t>
      </w:r>
      <w:proofErr w:type="spellStart"/>
      <w:r w:rsidRPr="00D66303">
        <w:rPr>
          <w:rFonts w:eastAsia="Times New Roman" w:cs="Times New Roman"/>
          <w:i/>
          <w:szCs w:val="20"/>
          <w:lang w:eastAsia="en-CA"/>
        </w:rPr>
        <w:t>Barristers</w:t>
      </w:r>
      <w:proofErr w:type="spellEnd"/>
      <w:r w:rsidRPr="00D66303">
        <w:rPr>
          <w:rFonts w:eastAsia="Times New Roman" w:cs="Times New Roman"/>
          <w:i/>
          <w:szCs w:val="20"/>
          <w:lang w:eastAsia="en-CA"/>
        </w:rPr>
        <w:t>, Calgary.</w:t>
      </w:r>
    </w:p>
    <w:p w:rsidR="009C5406" w:rsidRPr="00D66303" w:rsidRDefault="009C5406" w:rsidP="009C5406">
      <w:pPr>
        <w:tabs>
          <w:tab w:val="left" w:pos="1168"/>
        </w:tabs>
        <w:spacing w:line="480" w:lineRule="auto"/>
        <w:jc w:val="both"/>
        <w:rPr>
          <w:rFonts w:eastAsia="Times New Roman" w:cs="Times New Roman"/>
          <w:i/>
          <w:szCs w:val="20"/>
          <w:lang w:eastAsia="en-CA"/>
        </w:rPr>
      </w:pPr>
    </w:p>
    <w:p w:rsidR="009C5406" w:rsidRPr="00D66303" w:rsidRDefault="009C5406" w:rsidP="009C5406">
      <w:pPr>
        <w:tabs>
          <w:tab w:val="left" w:pos="1168"/>
        </w:tabs>
        <w:spacing w:line="480" w:lineRule="auto"/>
        <w:jc w:val="both"/>
        <w:rPr>
          <w:rFonts w:eastAsia="Times New Roman" w:cs="Times New Roman"/>
          <w:i/>
          <w:szCs w:val="20"/>
          <w:lang w:eastAsia="en-CA"/>
        </w:rPr>
      </w:pPr>
      <w:r w:rsidRPr="00D66303">
        <w:rPr>
          <w:rFonts w:eastAsia="Times New Roman" w:cs="Times New Roman"/>
          <w:i/>
          <w:szCs w:val="20"/>
          <w:lang w:eastAsia="en-CA"/>
        </w:rPr>
        <w:tab/>
        <w:t xml:space="preserve">Procureurs de l’appelant Franz </w:t>
      </w:r>
      <w:proofErr w:type="spellStart"/>
      <w:r w:rsidRPr="00D66303">
        <w:rPr>
          <w:rFonts w:eastAsia="Times New Roman" w:cs="Times New Roman"/>
          <w:i/>
          <w:szCs w:val="20"/>
          <w:lang w:eastAsia="en-CA"/>
        </w:rPr>
        <w:t>Emir</w:t>
      </w:r>
      <w:proofErr w:type="spellEnd"/>
      <w:r w:rsidRPr="00D66303">
        <w:rPr>
          <w:rFonts w:eastAsia="Times New Roman" w:cs="Times New Roman"/>
          <w:i/>
          <w:szCs w:val="20"/>
          <w:lang w:eastAsia="en-CA"/>
        </w:rPr>
        <w:t xml:space="preserve"> Cabrera : </w:t>
      </w:r>
      <w:proofErr w:type="spellStart"/>
      <w:r w:rsidRPr="00D66303">
        <w:rPr>
          <w:rFonts w:eastAsia="Times New Roman" w:cs="Times New Roman"/>
          <w:i/>
          <w:szCs w:val="20"/>
          <w:lang w:eastAsia="en-CA"/>
        </w:rPr>
        <w:t>Wolch</w:t>
      </w:r>
      <w:proofErr w:type="spellEnd"/>
      <w:r w:rsidRPr="00D66303">
        <w:rPr>
          <w:rFonts w:eastAsia="Times New Roman" w:cs="Times New Roman"/>
          <w:i/>
          <w:szCs w:val="20"/>
          <w:lang w:eastAsia="en-CA"/>
        </w:rPr>
        <w:t xml:space="preserve"> Watts Wilson &amp; </w:t>
      </w:r>
      <w:proofErr w:type="spellStart"/>
      <w:r w:rsidRPr="00D66303">
        <w:rPr>
          <w:rFonts w:eastAsia="Times New Roman" w:cs="Times New Roman"/>
          <w:i/>
          <w:szCs w:val="20"/>
          <w:lang w:eastAsia="en-CA"/>
        </w:rPr>
        <w:t>Jugnauth</w:t>
      </w:r>
      <w:proofErr w:type="spellEnd"/>
      <w:r w:rsidRPr="00D66303">
        <w:rPr>
          <w:rFonts w:eastAsia="Times New Roman" w:cs="Times New Roman"/>
          <w:i/>
          <w:szCs w:val="20"/>
          <w:lang w:eastAsia="en-CA"/>
        </w:rPr>
        <w:t>, Calgary.</w:t>
      </w:r>
    </w:p>
    <w:p w:rsidR="009C5406" w:rsidRPr="00D66303" w:rsidRDefault="009C5406" w:rsidP="009C5406">
      <w:pPr>
        <w:tabs>
          <w:tab w:val="left" w:pos="1168"/>
        </w:tabs>
        <w:spacing w:line="480" w:lineRule="auto"/>
        <w:jc w:val="both"/>
        <w:rPr>
          <w:rFonts w:eastAsia="Times New Roman" w:cs="Times New Roman"/>
          <w:i/>
          <w:szCs w:val="20"/>
          <w:lang w:eastAsia="en-CA"/>
        </w:rPr>
      </w:pPr>
    </w:p>
    <w:p w:rsidR="009C5406" w:rsidRPr="00D66303" w:rsidRDefault="009C5406" w:rsidP="009C5406">
      <w:pPr>
        <w:tabs>
          <w:tab w:val="left" w:pos="1168"/>
        </w:tabs>
        <w:spacing w:line="480" w:lineRule="auto"/>
        <w:jc w:val="both"/>
        <w:rPr>
          <w:rFonts w:eastAsia="Times New Roman" w:cs="Times New Roman"/>
          <w:i/>
          <w:szCs w:val="20"/>
          <w:lang w:eastAsia="en-CA"/>
        </w:rPr>
      </w:pPr>
      <w:r w:rsidRPr="00D66303">
        <w:rPr>
          <w:rFonts w:eastAsia="Times New Roman" w:cs="Times New Roman"/>
          <w:i/>
          <w:szCs w:val="20"/>
          <w:lang w:eastAsia="en-CA"/>
        </w:rPr>
        <w:tab/>
        <w:t>Procureur de l’intimée : Procureur général de l’Alberta, Calgary.</w:t>
      </w:r>
    </w:p>
    <w:p w:rsidR="002E0C54" w:rsidRPr="009C5406" w:rsidRDefault="002E0C54" w:rsidP="009C5406"/>
    <w:sectPr w:rsidR="002E0C54" w:rsidRPr="009C5406" w:rsidSect="00F72014">
      <w:headerReference w:type="default" r:id="rId9"/>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D1" w:rsidRDefault="00056BD1" w:rsidP="00F72014">
      <w:r>
        <w:separator/>
      </w:r>
    </w:p>
  </w:endnote>
  <w:endnote w:type="continuationSeparator" w:id="0">
    <w:p w:rsidR="00056BD1" w:rsidRDefault="00056BD1"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D1" w:rsidRDefault="00056BD1" w:rsidP="00F72014">
      <w:r>
        <w:separator/>
      </w:r>
    </w:p>
  </w:footnote>
  <w:footnote w:type="continuationSeparator" w:id="0">
    <w:p w:rsidR="00056BD1" w:rsidRDefault="00056BD1"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675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30D40"/>
    <w:rsid w:val="00056BD1"/>
    <w:rsid w:val="000F14A4"/>
    <w:rsid w:val="000F4467"/>
    <w:rsid w:val="001311DA"/>
    <w:rsid w:val="0017314D"/>
    <w:rsid w:val="00196882"/>
    <w:rsid w:val="001D6B8C"/>
    <w:rsid w:val="001E12E2"/>
    <w:rsid w:val="001E5B5A"/>
    <w:rsid w:val="001F1F83"/>
    <w:rsid w:val="00256B56"/>
    <w:rsid w:val="0028675F"/>
    <w:rsid w:val="002E0C54"/>
    <w:rsid w:val="002F0B6C"/>
    <w:rsid w:val="00355967"/>
    <w:rsid w:val="0036772A"/>
    <w:rsid w:val="00384384"/>
    <w:rsid w:val="003B2BE1"/>
    <w:rsid w:val="003B3C63"/>
    <w:rsid w:val="003B5B1B"/>
    <w:rsid w:val="00460AFC"/>
    <w:rsid w:val="004E69EC"/>
    <w:rsid w:val="004F090E"/>
    <w:rsid w:val="00500B6C"/>
    <w:rsid w:val="00535189"/>
    <w:rsid w:val="00582136"/>
    <w:rsid w:val="0058383C"/>
    <w:rsid w:val="005C0397"/>
    <w:rsid w:val="006034F1"/>
    <w:rsid w:val="006936F1"/>
    <w:rsid w:val="006A21CB"/>
    <w:rsid w:val="006D697E"/>
    <w:rsid w:val="00701ABD"/>
    <w:rsid w:val="007740CA"/>
    <w:rsid w:val="00790B16"/>
    <w:rsid w:val="007915A4"/>
    <w:rsid w:val="007D3F1D"/>
    <w:rsid w:val="00803557"/>
    <w:rsid w:val="00842677"/>
    <w:rsid w:val="008714CB"/>
    <w:rsid w:val="00880B14"/>
    <w:rsid w:val="008B5797"/>
    <w:rsid w:val="008C75A4"/>
    <w:rsid w:val="008F4691"/>
    <w:rsid w:val="00904937"/>
    <w:rsid w:val="00916090"/>
    <w:rsid w:val="00996510"/>
    <w:rsid w:val="009C5406"/>
    <w:rsid w:val="009F0F2D"/>
    <w:rsid w:val="00A503FB"/>
    <w:rsid w:val="00A51D10"/>
    <w:rsid w:val="00AB2201"/>
    <w:rsid w:val="00B1332B"/>
    <w:rsid w:val="00BD4217"/>
    <w:rsid w:val="00C8108B"/>
    <w:rsid w:val="00CA3730"/>
    <w:rsid w:val="00CF11D4"/>
    <w:rsid w:val="00D030DA"/>
    <w:rsid w:val="00D5352F"/>
    <w:rsid w:val="00D751FC"/>
    <w:rsid w:val="00D76BDF"/>
    <w:rsid w:val="00E1045C"/>
    <w:rsid w:val="00E132A7"/>
    <w:rsid w:val="00E356C7"/>
    <w:rsid w:val="00E53ED9"/>
    <w:rsid w:val="00E64FA7"/>
    <w:rsid w:val="00E770CB"/>
    <w:rsid w:val="00E87935"/>
    <w:rsid w:val="00E943C0"/>
    <w:rsid w:val="00F01FC5"/>
    <w:rsid w:val="00F25646"/>
    <w:rsid w:val="00F72014"/>
    <w:rsid w:val="00F9518C"/>
    <w:rsid w:val="00FA59EF"/>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8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semiHidden/>
    <w:unhideWhenUsed/>
    <w:rsid w:val="00F72014"/>
    <w:pPr>
      <w:tabs>
        <w:tab w:val="center" w:pos="4680"/>
        <w:tab w:val="right" w:pos="9360"/>
      </w:tabs>
    </w:pPr>
  </w:style>
  <w:style w:type="character" w:customStyle="1" w:styleId="HeaderChar">
    <w:name w:val="Header Char"/>
    <w:basedOn w:val="DefaultParagraphFont"/>
    <w:link w:val="Header"/>
    <w:uiPriority w:val="99"/>
    <w:semiHidden/>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D5352F"/>
    <w:pPr>
      <w:tabs>
        <w:tab w:val="left" w:pos="1168"/>
      </w:tabs>
      <w:spacing w:line="480" w:lineRule="auto"/>
      <w:jc w:val="both"/>
    </w:pPr>
    <w:rPr>
      <w:rFonts w:eastAsia="Times New Roman" w:cs="Times New Roman"/>
      <w:i/>
      <w:szCs w:val="20"/>
      <w:lang w:val="en-CA" w:eastAsia="en-CA"/>
    </w:rPr>
  </w:style>
  <w:style w:type="character" w:customStyle="1" w:styleId="SCCCounselNameChar">
    <w:name w:val="SCC.CounselName Char"/>
    <w:basedOn w:val="DefaultParagraphFont"/>
    <w:link w:val="SCCCounselName"/>
    <w:rsid w:val="00D5352F"/>
    <w:rPr>
      <w:rFonts w:eastAsia="Times New Roman" w:cs="Times New Roman"/>
      <w:i/>
      <w:szCs w:val="20"/>
      <w:lang w:val="en-CA" w:eastAsia="en-CA"/>
    </w:rPr>
  </w:style>
  <w:style w:type="paragraph" w:customStyle="1" w:styleId="SCCCounselPartyRole">
    <w:name w:val="SCC.CounselPartyRole"/>
    <w:basedOn w:val="Normal"/>
    <w:next w:val="Normal"/>
    <w:link w:val="SCCCounselPartyRoleChar"/>
    <w:rsid w:val="00D5352F"/>
    <w:pPr>
      <w:tabs>
        <w:tab w:val="left" w:pos="1168"/>
      </w:tabs>
      <w:spacing w:line="480" w:lineRule="auto"/>
      <w:jc w:val="both"/>
    </w:pPr>
    <w:rPr>
      <w:rFonts w:eastAsia="Times New Roman" w:cs="Times New Roman"/>
      <w:szCs w:val="20"/>
      <w:lang w:val="en-CA" w:eastAsia="en-CA"/>
    </w:rPr>
  </w:style>
  <w:style w:type="character" w:customStyle="1" w:styleId="SCCCounselPartyRoleChar">
    <w:name w:val="SCC.CounselPartyRole Char"/>
    <w:basedOn w:val="DefaultParagraphFont"/>
    <w:link w:val="SCCCounselPartyRole"/>
    <w:rsid w:val="00D5352F"/>
    <w:rPr>
      <w:rFonts w:eastAsia="Times New Roman" w:cs="Times New Roman"/>
      <w:szCs w:val="20"/>
      <w:lang w:val="en-CA" w:eastAsia="en-CA"/>
    </w:rPr>
  </w:style>
  <w:style w:type="paragraph" w:customStyle="1" w:styleId="SCCNormalDoubleSpacing">
    <w:name w:val="SCC.Normal.DoubleSpacing"/>
    <w:basedOn w:val="Normal"/>
    <w:link w:val="SCCNormalDoubleSpacingChar"/>
    <w:rsid w:val="009C5406"/>
    <w:pPr>
      <w:tabs>
        <w:tab w:val="left" w:pos="1168"/>
      </w:tabs>
      <w:spacing w:line="480" w:lineRule="auto"/>
      <w:jc w:val="both"/>
    </w:pPr>
    <w:rPr>
      <w:rFonts w:eastAsia="Times New Roman" w:cs="Times New Roman"/>
      <w:szCs w:val="20"/>
      <w:lang w:val="en-CA" w:eastAsia="en-CA"/>
    </w:rPr>
  </w:style>
  <w:style w:type="character" w:customStyle="1" w:styleId="SCCNormalDoubleSpacingChar">
    <w:name w:val="SCC.Normal.DoubleSpacing Char"/>
    <w:basedOn w:val="DefaultParagraphFont"/>
    <w:link w:val="SCCNormalDoubleSpacing"/>
    <w:rsid w:val="009C5406"/>
    <w:rPr>
      <w:rFonts w:eastAsia="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2021-05-20T13:09:00Z</dcterms:created>
  <dcterms:modified xsi:type="dcterms:W3CDTF">2022-03-26T19:36:00Z</dcterms:modified>
</cp:coreProperties>
</file>