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6300"/>
        <w:gridCol w:w="3786"/>
      </w:tblGrid>
      <w:tr w:rsidR="00307304" w:rsidTr="00B2492D">
        <w:tc>
          <w:tcPr>
            <w:tcW w:w="5000" w:type="pct"/>
            <w:gridSpan w:val="2"/>
          </w:tcPr>
          <w:p w:rsidR="00307304" w:rsidRDefault="00307304" w:rsidP="00B2492D">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05pt;height:64.4pt" o:ole="">
                  <v:imagedata r:id="rId7" o:title=""/>
                </v:shape>
                <o:OLEObject Type="Embed" ProgID="Presentations.Drawing.15" ShapeID="_x0000_i1025" DrawAspect="Content" ObjectID="_1709888314" r:id="rId8"/>
              </w:object>
            </w:r>
          </w:p>
          <w:p w:rsidR="00307304" w:rsidRDefault="00307304" w:rsidP="00B2492D">
            <w:pPr>
              <w:spacing w:before="100" w:beforeAutospacing="1" w:after="100" w:afterAutospacing="1"/>
              <w:jc w:val="center"/>
              <w:rPr>
                <w:rFonts w:eastAsia="Calibri"/>
              </w:rPr>
            </w:pPr>
            <w:r>
              <w:rPr>
                <w:rFonts w:eastAsia="Calibri"/>
                <w:b/>
                <w:szCs w:val="24"/>
                <w:lang w:eastAsia="en-US"/>
              </w:rPr>
              <w:t>COUR SUPRÊ</w:t>
            </w:r>
            <w:r w:rsidRPr="00C22905">
              <w:rPr>
                <w:rFonts w:eastAsia="Calibri"/>
                <w:b/>
                <w:szCs w:val="24"/>
                <w:lang w:eastAsia="en-US"/>
              </w:rPr>
              <w:t>ME</w:t>
            </w:r>
            <w:r>
              <w:rPr>
                <w:rFonts w:eastAsia="Calibri"/>
                <w:b/>
                <w:szCs w:val="24"/>
                <w:lang w:eastAsia="en-US"/>
              </w:rPr>
              <w:t xml:space="preserve"> DU</w:t>
            </w:r>
            <w:r w:rsidRPr="00C22905">
              <w:rPr>
                <w:rFonts w:eastAsia="Calibri"/>
                <w:b/>
                <w:szCs w:val="24"/>
                <w:lang w:eastAsia="en-US"/>
              </w:rPr>
              <w:t xml:space="preserve"> CANADA</w:t>
            </w:r>
          </w:p>
        </w:tc>
      </w:tr>
      <w:tr w:rsidR="00307304" w:rsidTr="00B2492D">
        <w:tc>
          <w:tcPr>
            <w:tcW w:w="3123" w:type="pct"/>
            <w:tcMar>
              <w:top w:w="284" w:type="dxa"/>
            </w:tcMar>
          </w:tcPr>
          <w:p w:rsidR="00307304" w:rsidRPr="00FB4B6B" w:rsidRDefault="00307304" w:rsidP="00B2492D">
            <w:pPr>
              <w:spacing w:before="100" w:beforeAutospacing="1"/>
              <w:rPr>
                <w:rFonts w:eastAsia="Calibri"/>
                <w:lang w:val="fr-CA"/>
              </w:rPr>
            </w:pPr>
            <w:r w:rsidRPr="00FB4B6B">
              <w:rPr>
                <w:b/>
                <w:smallCaps/>
                <w:lang w:val="fr-CA"/>
              </w:rPr>
              <w:t>Référence :</w:t>
            </w:r>
            <w:r w:rsidRPr="00FB4B6B">
              <w:rPr>
                <w:lang w:val="fr-CA"/>
              </w:rPr>
              <w:t xml:space="preserve"> R. </w:t>
            </w:r>
            <w:r>
              <w:rPr>
                <w:i/>
                <w:lang w:val="fr-CA"/>
              </w:rPr>
              <w:t>c</w:t>
            </w:r>
            <w:r w:rsidRPr="00FB4B6B">
              <w:rPr>
                <w:i/>
                <w:lang w:val="fr-CA"/>
              </w:rPr>
              <w:t>.</w:t>
            </w:r>
            <w:r w:rsidRPr="00FB4B6B">
              <w:rPr>
                <w:lang w:val="fr-CA"/>
              </w:rPr>
              <w:t xml:space="preserve"> Collin, 2019 </w:t>
            </w:r>
            <w:r>
              <w:rPr>
                <w:lang w:val="fr-CA"/>
              </w:rPr>
              <w:t>C</w:t>
            </w:r>
            <w:r w:rsidRPr="00FB4B6B">
              <w:rPr>
                <w:lang w:val="fr-CA"/>
              </w:rPr>
              <w:t>SC 64</w:t>
            </w:r>
            <w:r>
              <w:rPr>
                <w:lang w:val="fr-CA"/>
              </w:rPr>
              <w:t>, [2019] 4 R.C.S. 650</w:t>
            </w:r>
          </w:p>
        </w:tc>
        <w:tc>
          <w:tcPr>
            <w:tcW w:w="1877" w:type="pct"/>
            <w:tcMar>
              <w:top w:w="284" w:type="dxa"/>
            </w:tcMar>
          </w:tcPr>
          <w:p w:rsidR="00307304" w:rsidRPr="00BF476D" w:rsidRDefault="00307304" w:rsidP="00B2492D">
            <w:pPr>
              <w:rPr>
                <w:b/>
                <w:smallCaps/>
                <w:lang w:val="fr-CA"/>
              </w:rPr>
            </w:pPr>
            <w:r w:rsidRPr="00BF476D">
              <w:rPr>
                <w:b/>
                <w:smallCaps/>
                <w:lang w:val="fr-CA"/>
              </w:rPr>
              <w:t xml:space="preserve">Appel entendu : </w:t>
            </w:r>
            <w:r w:rsidRPr="00BF476D">
              <w:rPr>
                <w:lang w:val="fr-CA"/>
              </w:rPr>
              <w:t>13 décembr</w:t>
            </w:r>
            <w:r>
              <w:rPr>
                <w:lang w:val="fr-CA"/>
              </w:rPr>
              <w:t>e</w:t>
            </w:r>
            <w:r w:rsidRPr="00BF476D">
              <w:rPr>
                <w:lang w:val="fr-CA"/>
              </w:rPr>
              <w:t xml:space="preserve"> 2019</w:t>
            </w:r>
            <w:r w:rsidRPr="00BF476D">
              <w:rPr>
                <w:b/>
                <w:smallCaps/>
                <w:lang w:val="fr-CA"/>
              </w:rPr>
              <w:t xml:space="preserve"> </w:t>
            </w:r>
          </w:p>
          <w:p w:rsidR="00307304" w:rsidRPr="00BF476D" w:rsidRDefault="00307304" w:rsidP="00B2492D">
            <w:pPr>
              <w:rPr>
                <w:lang w:val="fr-CA"/>
              </w:rPr>
            </w:pPr>
            <w:r w:rsidRPr="00BF476D">
              <w:rPr>
                <w:b/>
                <w:smallCaps/>
                <w:lang w:val="fr-CA"/>
              </w:rPr>
              <w:t xml:space="preserve">Jugement rendu </w:t>
            </w:r>
            <w:r w:rsidRPr="00BF476D">
              <w:rPr>
                <w:b/>
                <w:lang w:val="fr-CA"/>
              </w:rPr>
              <w:t>:</w:t>
            </w:r>
            <w:r w:rsidRPr="00BF476D">
              <w:rPr>
                <w:lang w:val="fr-CA"/>
              </w:rPr>
              <w:t xml:space="preserve"> </w:t>
            </w:r>
            <w:r>
              <w:rPr>
                <w:lang w:val="fr-CA"/>
              </w:rPr>
              <w:t xml:space="preserve">13 décembre </w:t>
            </w:r>
            <w:r w:rsidRPr="00BF476D">
              <w:rPr>
                <w:lang w:val="fr-CA"/>
              </w:rPr>
              <w:t>2019</w:t>
            </w:r>
          </w:p>
          <w:p w:rsidR="00307304" w:rsidRDefault="00307304" w:rsidP="00B2492D">
            <w:pPr>
              <w:rPr>
                <w:rFonts w:eastAsia="Calibri"/>
              </w:rPr>
            </w:pPr>
            <w:r w:rsidRPr="00C22905">
              <w:rPr>
                <w:b/>
                <w:smallCaps/>
              </w:rPr>
              <w:t>Do</w:t>
            </w:r>
            <w:r>
              <w:rPr>
                <w:b/>
                <w:smallCaps/>
              </w:rPr>
              <w:t xml:space="preserve">ssier </w:t>
            </w:r>
            <w:r w:rsidRPr="00C22905">
              <w:rPr>
                <w:b/>
                <w:smallCaps/>
              </w:rPr>
              <w:t>:</w:t>
            </w:r>
            <w:r w:rsidRPr="00C22905">
              <w:t xml:space="preserve"> 38</w:t>
            </w:r>
            <w:r>
              <w:t>681</w:t>
            </w:r>
          </w:p>
        </w:tc>
      </w:tr>
      <w:tr w:rsidR="00307304" w:rsidTr="00B2492D">
        <w:tc>
          <w:tcPr>
            <w:tcW w:w="5000" w:type="pct"/>
            <w:gridSpan w:val="2"/>
            <w:tcMar>
              <w:top w:w="284" w:type="dxa"/>
            </w:tcMar>
          </w:tcPr>
          <w:p w:rsidR="00307304" w:rsidRDefault="00307304" w:rsidP="00B2492D">
            <w:pPr>
              <w:rPr>
                <w:rFonts w:eastAsia="Calibri"/>
                <w:b/>
                <w:smallCaps/>
                <w:szCs w:val="24"/>
                <w:lang w:val="fr-CA" w:eastAsia="en-US"/>
              </w:rPr>
            </w:pPr>
            <w:r w:rsidRPr="00BF476D">
              <w:rPr>
                <w:rFonts w:eastAsia="Calibri"/>
                <w:b/>
                <w:smallCaps/>
                <w:szCs w:val="24"/>
                <w:lang w:val="fr-CA" w:eastAsia="en-US"/>
              </w:rPr>
              <w:t>Entre :</w:t>
            </w:r>
          </w:p>
          <w:p w:rsidR="00307304" w:rsidRPr="00BF476D" w:rsidRDefault="00307304" w:rsidP="00B2492D">
            <w:pPr>
              <w:rPr>
                <w:rFonts w:eastAsia="Calibri"/>
                <w:b/>
                <w:szCs w:val="24"/>
                <w:lang w:val="fr-CA" w:eastAsia="en-US"/>
              </w:rPr>
            </w:pPr>
          </w:p>
          <w:p w:rsidR="00307304" w:rsidRPr="00BF476D" w:rsidRDefault="00307304" w:rsidP="00B2492D">
            <w:pPr>
              <w:jc w:val="center"/>
              <w:rPr>
                <w:rFonts w:eastAsia="Calibri"/>
                <w:b/>
                <w:szCs w:val="24"/>
                <w:lang w:val="fr-CA" w:eastAsia="en-US"/>
              </w:rPr>
            </w:pPr>
            <w:r w:rsidRPr="00BF476D">
              <w:rPr>
                <w:rFonts w:eastAsia="Calibri"/>
                <w:b/>
                <w:szCs w:val="24"/>
                <w:lang w:val="fr-CA" w:eastAsia="en-US"/>
              </w:rPr>
              <w:t>Alexandre Collin</w:t>
            </w:r>
          </w:p>
          <w:p w:rsidR="00307304" w:rsidRPr="00BF476D" w:rsidRDefault="00307304" w:rsidP="00B2492D">
            <w:pPr>
              <w:jc w:val="center"/>
              <w:rPr>
                <w:rFonts w:eastAsia="Calibri"/>
                <w:szCs w:val="24"/>
                <w:lang w:val="fr-CA" w:eastAsia="en-US"/>
              </w:rPr>
            </w:pPr>
            <w:r w:rsidRPr="00BF476D">
              <w:rPr>
                <w:rFonts w:eastAsia="Calibri"/>
                <w:szCs w:val="24"/>
                <w:lang w:val="fr-CA" w:eastAsia="en-US"/>
              </w:rPr>
              <w:t>Appelant</w:t>
            </w:r>
          </w:p>
          <w:p w:rsidR="00307304" w:rsidRPr="00BF476D" w:rsidRDefault="00307304" w:rsidP="00B2492D">
            <w:pPr>
              <w:jc w:val="center"/>
              <w:rPr>
                <w:rFonts w:eastAsia="Calibri"/>
                <w:szCs w:val="24"/>
                <w:lang w:val="fr-CA" w:eastAsia="en-US"/>
              </w:rPr>
            </w:pPr>
          </w:p>
          <w:p w:rsidR="00307304" w:rsidRPr="00BF476D" w:rsidRDefault="00307304" w:rsidP="00B2492D">
            <w:pPr>
              <w:jc w:val="center"/>
              <w:rPr>
                <w:rFonts w:eastAsia="Calibri"/>
                <w:szCs w:val="24"/>
                <w:lang w:val="fr-CA" w:eastAsia="en-US"/>
              </w:rPr>
            </w:pPr>
            <w:r w:rsidRPr="00BF476D">
              <w:rPr>
                <w:rFonts w:eastAsia="Calibri"/>
                <w:szCs w:val="24"/>
                <w:lang w:val="fr-CA" w:eastAsia="en-US"/>
              </w:rPr>
              <w:t>et</w:t>
            </w:r>
          </w:p>
          <w:p w:rsidR="00307304" w:rsidRPr="00BF476D" w:rsidRDefault="00307304" w:rsidP="00B2492D">
            <w:pPr>
              <w:jc w:val="center"/>
              <w:rPr>
                <w:rFonts w:eastAsia="Calibri"/>
                <w:szCs w:val="24"/>
                <w:lang w:val="fr-CA" w:eastAsia="en-US"/>
              </w:rPr>
            </w:pPr>
          </w:p>
          <w:p w:rsidR="00307304" w:rsidRPr="00BF476D" w:rsidRDefault="00307304" w:rsidP="00B2492D">
            <w:pPr>
              <w:jc w:val="center"/>
              <w:rPr>
                <w:rFonts w:eastAsia="Calibri"/>
                <w:b/>
                <w:szCs w:val="24"/>
                <w:lang w:val="fr-CA" w:eastAsia="en-US"/>
              </w:rPr>
            </w:pPr>
            <w:r>
              <w:rPr>
                <w:rFonts w:eastAsia="Calibri"/>
                <w:b/>
                <w:szCs w:val="24"/>
                <w:lang w:val="fr-CA" w:eastAsia="en-US"/>
              </w:rPr>
              <w:t>Sa M</w:t>
            </w:r>
            <w:r w:rsidRPr="00BF476D">
              <w:rPr>
                <w:rFonts w:eastAsia="Calibri"/>
                <w:b/>
                <w:szCs w:val="24"/>
                <w:lang w:val="fr-CA" w:eastAsia="en-US"/>
              </w:rPr>
              <w:t>ajesté la Reine</w:t>
            </w:r>
          </w:p>
          <w:p w:rsidR="00307304" w:rsidRDefault="00307304" w:rsidP="00B2492D">
            <w:pPr>
              <w:jc w:val="center"/>
              <w:rPr>
                <w:rFonts w:eastAsia="Calibri"/>
                <w:szCs w:val="24"/>
                <w:lang w:val="en-US" w:eastAsia="en-US"/>
              </w:rPr>
            </w:pPr>
            <w:r>
              <w:rPr>
                <w:rFonts w:eastAsia="Calibri"/>
                <w:szCs w:val="24"/>
                <w:lang w:val="en-US" w:eastAsia="en-US"/>
              </w:rPr>
              <w:t>Intimée</w:t>
            </w:r>
          </w:p>
          <w:p w:rsidR="00307304" w:rsidRDefault="00307304" w:rsidP="00B2492D">
            <w:pPr>
              <w:jc w:val="center"/>
              <w:rPr>
                <w:rFonts w:eastAsia="Calibri"/>
                <w:szCs w:val="24"/>
                <w:lang w:val="en-US" w:eastAsia="en-US"/>
              </w:rPr>
            </w:pPr>
          </w:p>
          <w:p w:rsidR="00307304" w:rsidRPr="00C22905" w:rsidRDefault="00307304" w:rsidP="00B2492D">
            <w:pPr>
              <w:rPr>
                <w:b/>
                <w:smallCaps/>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034"/>
        <w:gridCol w:w="6052"/>
      </w:tblGrid>
      <w:tr w:rsidR="00307304" w:rsidRPr="001E65F6" w:rsidTr="00B2492D">
        <w:trPr>
          <w:cantSplit/>
          <w:trHeight w:val="508"/>
        </w:trPr>
        <w:tc>
          <w:tcPr>
            <w:tcW w:w="5000" w:type="pct"/>
            <w:gridSpan w:val="2"/>
            <w:tcMar>
              <w:top w:w="284" w:type="dxa"/>
              <w:bottom w:w="57" w:type="dxa"/>
            </w:tcMar>
            <w:vAlign w:val="center"/>
          </w:tcPr>
          <w:p w:rsidR="00307304" w:rsidRPr="00BF476D" w:rsidRDefault="00307304" w:rsidP="00B2492D">
            <w:pPr>
              <w:spacing w:before="100" w:beforeAutospacing="1"/>
              <w:rPr>
                <w:lang w:val="fr-CA"/>
              </w:rPr>
            </w:pPr>
            <w:r w:rsidRPr="00BF476D">
              <w:rPr>
                <w:b/>
                <w:smallCaps/>
                <w:lang w:val="fr-CA"/>
              </w:rPr>
              <w:t>Coram:</w:t>
            </w:r>
            <w:r w:rsidRPr="00BF476D">
              <w:rPr>
                <w:lang w:val="fr-CA"/>
              </w:rPr>
              <w:t xml:space="preserve"> Les juges Karakatsanis, Côté, Brown, Rowe et Martin.</w:t>
            </w:r>
          </w:p>
        </w:tc>
      </w:tr>
      <w:tr w:rsidR="00307304" w:rsidRPr="001E65F6" w:rsidTr="00B2492D">
        <w:trPr>
          <w:cantSplit/>
        </w:trPr>
        <w:tc>
          <w:tcPr>
            <w:tcW w:w="2000" w:type="pct"/>
            <w:tcMar>
              <w:top w:w="284" w:type="dxa"/>
              <w:bottom w:w="57" w:type="dxa"/>
            </w:tcMar>
            <w:vAlign w:val="center"/>
          </w:tcPr>
          <w:p w:rsidR="00307304" w:rsidRPr="00A70339" w:rsidRDefault="00307304" w:rsidP="00B2492D">
            <w:pPr>
              <w:rPr>
                <w:b/>
                <w:smallCaps/>
                <w:lang w:val="fr-CA"/>
              </w:rPr>
            </w:pPr>
            <w:r>
              <w:rPr>
                <w:b/>
                <w:smallCaps/>
                <w:lang w:val="fr-CA"/>
              </w:rPr>
              <w:t xml:space="preserve">Motifs de </w:t>
            </w:r>
            <w:r w:rsidRPr="00A70339">
              <w:rPr>
                <w:b/>
                <w:smallCaps/>
                <w:lang w:val="fr-CA"/>
              </w:rPr>
              <w:t>jugement</w:t>
            </w:r>
            <w:r>
              <w:rPr>
                <w:b/>
                <w:smallCaps/>
                <w:lang w:val="fr-CA"/>
              </w:rPr>
              <w:t xml:space="preserve"> </w:t>
            </w:r>
            <w:r w:rsidRPr="00A70339">
              <w:rPr>
                <w:b/>
                <w:smallCaps/>
                <w:lang w:val="fr-CA"/>
              </w:rPr>
              <w:t>:</w:t>
            </w:r>
          </w:p>
          <w:p w:rsidR="00307304" w:rsidRPr="00A70339" w:rsidRDefault="00307304" w:rsidP="00B2492D">
            <w:pPr>
              <w:rPr>
                <w:lang w:val="fr-CA"/>
              </w:rPr>
            </w:pPr>
            <w:r w:rsidRPr="003C3F40">
              <w:rPr>
                <w:lang w:val="fr-CA"/>
              </w:rPr>
              <w:t>(par. 1)</w:t>
            </w:r>
          </w:p>
        </w:tc>
        <w:tc>
          <w:tcPr>
            <w:tcW w:w="3000" w:type="pct"/>
            <w:tcMar>
              <w:top w:w="284" w:type="dxa"/>
              <w:bottom w:w="57" w:type="dxa"/>
            </w:tcMar>
            <w:vAlign w:val="center"/>
          </w:tcPr>
          <w:p w:rsidR="00307304" w:rsidRPr="00A70339" w:rsidRDefault="00307304" w:rsidP="00B2492D">
            <w:pPr>
              <w:rPr>
                <w:lang w:val="fr-CA"/>
              </w:rPr>
            </w:pPr>
            <w:r>
              <w:rPr>
                <w:lang w:val="fr-CA"/>
              </w:rPr>
              <w:t>La</w:t>
            </w:r>
            <w:r w:rsidRPr="00A70339">
              <w:rPr>
                <w:lang w:val="fr-CA"/>
              </w:rPr>
              <w:t xml:space="preserve"> juge Karakatsanis (avec l’accord des juges Côté, Brown, Rowe </w:t>
            </w:r>
            <w:r>
              <w:rPr>
                <w:lang w:val="fr-CA"/>
              </w:rPr>
              <w:t>et</w:t>
            </w:r>
            <w:r w:rsidRPr="00A70339">
              <w:rPr>
                <w:lang w:val="fr-CA"/>
              </w:rPr>
              <w:t xml:space="preserve"> Martin)</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4034"/>
        <w:gridCol w:w="3026"/>
      </w:tblGrid>
      <w:tr w:rsidR="00307304" w:rsidRPr="001E65F6" w:rsidTr="00B2492D">
        <w:tc>
          <w:tcPr>
            <w:tcW w:w="1500" w:type="pct"/>
            <w:tcMar>
              <w:top w:w="284" w:type="dxa"/>
            </w:tcMar>
          </w:tcPr>
          <w:p w:rsidR="00307304" w:rsidRPr="001E65F6" w:rsidRDefault="00307304" w:rsidP="00B2492D">
            <w:pPr>
              <w:rPr>
                <w:rFonts w:eastAsia="Calibri"/>
                <w:szCs w:val="24"/>
                <w:lang w:val="fr-CA" w:eastAsia="en-US"/>
              </w:rPr>
            </w:pPr>
          </w:p>
        </w:tc>
        <w:tc>
          <w:tcPr>
            <w:tcW w:w="2000" w:type="pct"/>
            <w:tcBorders>
              <w:bottom w:val="single" w:sz="4" w:space="0" w:color="auto"/>
            </w:tcBorders>
            <w:tcMar>
              <w:top w:w="284" w:type="dxa"/>
            </w:tcMar>
          </w:tcPr>
          <w:p w:rsidR="00307304" w:rsidRPr="001E65F6" w:rsidRDefault="00307304" w:rsidP="00B2492D">
            <w:pPr>
              <w:rPr>
                <w:rFonts w:eastAsia="Calibri"/>
                <w:szCs w:val="24"/>
                <w:lang w:val="fr-CA" w:eastAsia="en-US"/>
              </w:rPr>
            </w:pPr>
          </w:p>
        </w:tc>
        <w:tc>
          <w:tcPr>
            <w:tcW w:w="1500" w:type="pct"/>
            <w:tcMar>
              <w:top w:w="284" w:type="dxa"/>
            </w:tcMar>
          </w:tcPr>
          <w:p w:rsidR="00307304" w:rsidRPr="001E65F6" w:rsidRDefault="00307304" w:rsidP="00B2492D">
            <w:pPr>
              <w:rPr>
                <w:rFonts w:eastAsia="Calibri"/>
                <w:szCs w:val="24"/>
                <w:lang w:val="fr-CA" w:eastAsia="en-US"/>
              </w:rPr>
            </w:pPr>
          </w:p>
        </w:tc>
      </w:tr>
    </w:tbl>
    <w:p w:rsidR="00307304" w:rsidRPr="00A70339" w:rsidRDefault="00307304" w:rsidP="00307304">
      <w:pPr>
        <w:spacing w:before="100" w:beforeAutospacing="1"/>
        <w:rPr>
          <w:rFonts w:eastAsia="Calibri"/>
          <w:szCs w:val="24"/>
          <w:lang w:val="fr-CA" w:eastAsia="en-US"/>
        </w:rPr>
        <w:sectPr w:rsidR="00307304" w:rsidRPr="00A70339" w:rsidSect="00E92347">
          <w:pgSz w:w="12240" w:h="15840"/>
          <w:pgMar w:top="1134" w:right="1077" w:bottom="1134" w:left="1077" w:header="1803" w:footer="720" w:gutter="0"/>
          <w:cols w:space="720"/>
          <w:docGrid w:linePitch="326"/>
        </w:sectPr>
      </w:pPr>
    </w:p>
    <w:p w:rsidR="004C5D98" w:rsidRPr="004C5D98" w:rsidRDefault="004C5D98" w:rsidP="004C5D98">
      <w:pPr>
        <w:rPr>
          <w:smallCaps/>
          <w:lang w:val="fr-CA"/>
        </w:rPr>
      </w:pPr>
      <w:bookmarkStart w:id="0" w:name="_GoBack"/>
      <w:bookmarkEnd w:id="0"/>
      <w:r w:rsidRPr="004C5D98">
        <w:rPr>
          <w:smallCaps/>
          <w:lang w:val="fr-CA"/>
        </w:rPr>
        <w:lastRenderedPageBreak/>
        <w:t xml:space="preserve">r. </w:t>
      </w:r>
      <w:r w:rsidRPr="004C5D98">
        <w:rPr>
          <w:i/>
          <w:lang w:val="fr-CA"/>
        </w:rPr>
        <w:t>c.</w:t>
      </w:r>
      <w:r w:rsidRPr="004C5D98">
        <w:rPr>
          <w:smallCaps/>
          <w:lang w:val="fr-CA"/>
        </w:rPr>
        <w:t xml:space="preserve"> collin</w:t>
      </w:r>
    </w:p>
    <w:p w:rsidR="004D7D95" w:rsidRPr="006A731F" w:rsidRDefault="004D7D95" w:rsidP="004D7D95">
      <w:pPr>
        <w:jc w:val="both"/>
        <w:rPr>
          <w:lang w:val="fr-CA"/>
        </w:rPr>
      </w:pPr>
    </w:p>
    <w:p w:rsidR="004D7D95" w:rsidRPr="006A731F" w:rsidRDefault="004D7D95" w:rsidP="004D7D95">
      <w:pPr>
        <w:jc w:val="both"/>
        <w:rPr>
          <w:lang w:val="fr-CA"/>
        </w:rPr>
      </w:pPr>
    </w:p>
    <w:p w:rsidR="004D7D95" w:rsidRPr="006A731F" w:rsidRDefault="004D7D95" w:rsidP="004D7D95">
      <w:pPr>
        <w:jc w:val="both"/>
        <w:rPr>
          <w:lang w:val="fr-CA"/>
        </w:rPr>
      </w:pPr>
    </w:p>
    <w:p w:rsidR="00FF477B" w:rsidRPr="006A731F" w:rsidRDefault="00375A23">
      <w:pPr>
        <w:pStyle w:val="SCCLsocLastPartyInRole"/>
        <w:rPr>
          <w:lang w:val="fr-CA"/>
        </w:rPr>
      </w:pPr>
      <w:r w:rsidRPr="006A731F">
        <w:rPr>
          <w:lang w:val="fr-CA"/>
        </w:rPr>
        <w:t>Alexandre Collin</w:t>
      </w:r>
      <w:r w:rsidR="00BE166E">
        <w:rPr>
          <w:rStyle w:val="SCCLsocPartyRole"/>
          <w:lang w:val="fr-CA"/>
        </w:rPr>
        <w:tab/>
        <w:t>Appelant</w:t>
      </w:r>
    </w:p>
    <w:p w:rsidR="00FF477B" w:rsidRPr="006A731F" w:rsidRDefault="00375A23">
      <w:pPr>
        <w:pStyle w:val="SCCLsocVersus"/>
        <w:rPr>
          <w:lang w:val="fr-CA"/>
        </w:rPr>
      </w:pPr>
      <w:r w:rsidRPr="006A731F">
        <w:rPr>
          <w:lang w:val="fr-CA"/>
        </w:rPr>
        <w:t>c.</w:t>
      </w:r>
    </w:p>
    <w:p w:rsidR="00FF477B" w:rsidRPr="006A731F" w:rsidRDefault="00375A23">
      <w:pPr>
        <w:pStyle w:val="SCCLsocLastPartyInRole"/>
        <w:rPr>
          <w:lang w:val="fr-CA"/>
        </w:rPr>
      </w:pPr>
      <w:r w:rsidRPr="006A731F">
        <w:rPr>
          <w:lang w:val="fr-CA"/>
        </w:rPr>
        <w:t>Sa Majesté la Reine</w:t>
      </w:r>
      <w:r w:rsidR="00BE166E">
        <w:rPr>
          <w:rStyle w:val="SCCLsocPartyRole"/>
          <w:lang w:val="fr-CA"/>
        </w:rPr>
        <w:tab/>
        <w:t>Intimée</w:t>
      </w:r>
    </w:p>
    <w:p w:rsidR="004D7D95" w:rsidRPr="006A731F" w:rsidRDefault="004D7D95" w:rsidP="004D7D95">
      <w:pPr>
        <w:jc w:val="both"/>
        <w:rPr>
          <w:lang w:val="fr-CA"/>
        </w:rPr>
      </w:pPr>
    </w:p>
    <w:p w:rsidR="004D7D95" w:rsidRPr="006A731F" w:rsidRDefault="00BE166E" w:rsidP="004D7D95">
      <w:pPr>
        <w:jc w:val="both"/>
        <w:rPr>
          <w:b/>
          <w:lang w:val="fr-CA"/>
        </w:rPr>
      </w:pPr>
      <w:r>
        <w:rPr>
          <w:b/>
          <w:lang w:val="fr-CA"/>
        </w:rPr>
        <w:t xml:space="preserve">Répertorié : R. </w:t>
      </w:r>
      <w:r w:rsidRPr="00BE166E">
        <w:rPr>
          <w:b/>
          <w:i/>
          <w:lang w:val="fr-CA"/>
        </w:rPr>
        <w:t>c.</w:t>
      </w:r>
      <w:r>
        <w:rPr>
          <w:b/>
          <w:lang w:val="fr-CA"/>
        </w:rPr>
        <w:t xml:space="preserve"> Collin</w:t>
      </w:r>
    </w:p>
    <w:p w:rsidR="004D7D95" w:rsidRPr="006A731F" w:rsidRDefault="004D7D95" w:rsidP="004D7D95">
      <w:pPr>
        <w:jc w:val="both"/>
        <w:rPr>
          <w:lang w:val="fr-CA"/>
        </w:rPr>
      </w:pPr>
    </w:p>
    <w:p w:rsidR="004D7D95" w:rsidRPr="006A731F" w:rsidRDefault="00BE166E" w:rsidP="004D7D95">
      <w:pPr>
        <w:pStyle w:val="SCCSystemYear"/>
        <w:jc w:val="both"/>
        <w:rPr>
          <w:lang w:val="fr-CA"/>
        </w:rPr>
      </w:pPr>
      <w:r>
        <w:rPr>
          <w:lang w:val="fr-CA"/>
        </w:rPr>
        <w:t>2019 CSC 64</w:t>
      </w:r>
    </w:p>
    <w:p w:rsidR="004D7D95" w:rsidRPr="006A731F" w:rsidRDefault="004D7D95" w:rsidP="004D7D95">
      <w:pPr>
        <w:jc w:val="both"/>
        <w:rPr>
          <w:lang w:val="fr-CA"/>
        </w:rPr>
      </w:pPr>
    </w:p>
    <w:p w:rsidR="004D7D95" w:rsidRPr="006A731F" w:rsidRDefault="004D7D95" w:rsidP="004D7D95">
      <w:pPr>
        <w:jc w:val="both"/>
        <w:rPr>
          <w:lang w:val="fr-CA"/>
        </w:rPr>
      </w:pPr>
      <w:r w:rsidRPr="006A731F">
        <w:rPr>
          <w:lang w:val="fr-CA"/>
        </w:rPr>
        <w:t>N</w:t>
      </w:r>
      <w:r w:rsidRPr="006A731F">
        <w:rPr>
          <w:vertAlign w:val="superscript"/>
          <w:lang w:val="fr-CA"/>
        </w:rPr>
        <w:t>o</w:t>
      </w:r>
      <w:r w:rsidRPr="006A731F">
        <w:rPr>
          <w:lang w:val="fr-CA"/>
        </w:rPr>
        <w:t xml:space="preserve"> du greffe : 38681.</w:t>
      </w:r>
    </w:p>
    <w:p w:rsidR="004D7D95" w:rsidRPr="006A731F" w:rsidRDefault="004D7D95" w:rsidP="004D7D95">
      <w:pPr>
        <w:jc w:val="both"/>
        <w:rPr>
          <w:lang w:val="fr-CA"/>
        </w:rPr>
      </w:pPr>
    </w:p>
    <w:p w:rsidR="004D7D95" w:rsidRPr="006A731F" w:rsidRDefault="00D17B0E" w:rsidP="004D7D95">
      <w:pPr>
        <w:jc w:val="both"/>
        <w:rPr>
          <w:lang w:val="fr-CA"/>
        </w:rPr>
      </w:pPr>
      <w:r w:rsidRPr="006A731F">
        <w:rPr>
          <w:lang w:val="fr-CA"/>
        </w:rPr>
        <w:t>2019 : 13 décembre</w:t>
      </w:r>
      <w:r w:rsidR="004D7D95" w:rsidRPr="006A731F">
        <w:rPr>
          <w:lang w:val="fr-CA"/>
        </w:rPr>
        <w:t>.</w:t>
      </w:r>
    </w:p>
    <w:p w:rsidR="004D7D95" w:rsidRPr="006A731F" w:rsidRDefault="004D7D95" w:rsidP="004D7D95">
      <w:pPr>
        <w:jc w:val="both"/>
        <w:rPr>
          <w:lang w:val="fr-CA"/>
        </w:rPr>
      </w:pPr>
    </w:p>
    <w:p w:rsidR="004D7D95" w:rsidRPr="006A731F" w:rsidRDefault="004D7D95" w:rsidP="004D7D95">
      <w:pPr>
        <w:jc w:val="both"/>
        <w:rPr>
          <w:lang w:val="fr-CA"/>
        </w:rPr>
      </w:pPr>
      <w:r w:rsidRPr="006A731F">
        <w:rPr>
          <w:lang w:val="fr-CA"/>
        </w:rPr>
        <w:t>Présents : Les juges Karakatsanis, Côté, Brown, Rowe et Martin.</w:t>
      </w:r>
    </w:p>
    <w:p w:rsidR="004D7D95" w:rsidRPr="006A731F" w:rsidRDefault="004D7D95" w:rsidP="004D7D95">
      <w:pPr>
        <w:jc w:val="both"/>
        <w:rPr>
          <w:lang w:val="fr-CA"/>
        </w:rPr>
      </w:pPr>
    </w:p>
    <w:p w:rsidR="00EE0830" w:rsidRPr="006A731F" w:rsidRDefault="00EE0830" w:rsidP="004D7D95">
      <w:pPr>
        <w:jc w:val="both"/>
        <w:rPr>
          <w:lang w:val="fr-CA"/>
        </w:rPr>
      </w:pPr>
    </w:p>
    <w:p w:rsidR="00FF477B" w:rsidRPr="006A731F" w:rsidRDefault="00FF477B">
      <w:pPr>
        <w:rPr>
          <w:lang w:val="fr-CA"/>
        </w:rPr>
      </w:pPr>
    </w:p>
    <w:p w:rsidR="004D7D95" w:rsidRPr="00641D42" w:rsidRDefault="004D7D95" w:rsidP="00436591">
      <w:pPr>
        <w:spacing w:line="480" w:lineRule="auto"/>
        <w:jc w:val="both"/>
        <w:rPr>
          <w:smallCaps/>
          <w:lang w:val="fr-CA"/>
        </w:rPr>
      </w:pPr>
      <w:r w:rsidRPr="00641D42">
        <w:rPr>
          <w:smallCaps/>
          <w:lang w:val="fr-CA"/>
        </w:rPr>
        <w:t xml:space="preserve">en appel de la cour d’appel du québec </w:t>
      </w:r>
    </w:p>
    <w:p w:rsidR="00436591" w:rsidRPr="00BB4C92" w:rsidRDefault="00436591" w:rsidP="00436591">
      <w:pPr>
        <w:pStyle w:val="SCCNormalDoubleSpacing"/>
        <w:rPr>
          <w:lang w:val="fr-CA"/>
        </w:rPr>
      </w:pPr>
    </w:p>
    <w:p w:rsidR="004D7D95" w:rsidRPr="009E4C35" w:rsidRDefault="004D7D95" w:rsidP="00436591">
      <w:pPr>
        <w:pStyle w:val="SCCNormalDoubleSpacing"/>
        <w:rPr>
          <w:i/>
          <w:lang w:val="fr-CA"/>
        </w:rPr>
      </w:pPr>
      <w:r w:rsidRPr="00BB4C92">
        <w:rPr>
          <w:lang w:val="fr-CA"/>
        </w:rPr>
        <w:tab/>
      </w:r>
      <w:r w:rsidR="00C442DD">
        <w:rPr>
          <w:i/>
          <w:lang w:val="fr-CA"/>
        </w:rPr>
        <w:t xml:space="preserve">Droit criminel — </w:t>
      </w:r>
      <w:r w:rsidR="00EA4D20">
        <w:rPr>
          <w:i/>
          <w:lang w:val="fr-CA"/>
        </w:rPr>
        <w:t xml:space="preserve">Conduite dangereuse causant des lésions corporelles — Lien de causalité </w:t>
      </w:r>
      <w:r w:rsidR="00EA4D20" w:rsidRPr="00EA4D20">
        <w:rPr>
          <w:i/>
          <w:lang w:val="fr-CA"/>
        </w:rPr>
        <w:t xml:space="preserve">— </w:t>
      </w:r>
      <w:r w:rsidR="000B158C">
        <w:rPr>
          <w:i/>
          <w:lang w:val="fr-CA"/>
        </w:rPr>
        <w:t>Accusé acquitté</w:t>
      </w:r>
      <w:r w:rsidR="000B158C" w:rsidRPr="000B158C">
        <w:rPr>
          <w:i/>
          <w:lang w:val="fr-CA"/>
        </w:rPr>
        <w:t xml:space="preserve"> de conduite dangereuse </w:t>
      </w:r>
      <w:r w:rsidR="000B158C">
        <w:rPr>
          <w:i/>
          <w:lang w:val="fr-CA"/>
        </w:rPr>
        <w:t>causant des lésions corporelles</w:t>
      </w:r>
      <w:r w:rsidR="00BB4357">
        <w:rPr>
          <w:i/>
          <w:lang w:val="fr-CA"/>
        </w:rPr>
        <w:t xml:space="preserve">, </w:t>
      </w:r>
      <w:r w:rsidR="000B158C" w:rsidRPr="000B158C">
        <w:rPr>
          <w:i/>
          <w:lang w:val="fr-CA"/>
        </w:rPr>
        <w:t xml:space="preserve">mais </w:t>
      </w:r>
      <w:r w:rsidR="000B158C">
        <w:rPr>
          <w:i/>
          <w:lang w:val="fr-CA"/>
        </w:rPr>
        <w:t>déclaré</w:t>
      </w:r>
      <w:r w:rsidR="000B158C" w:rsidRPr="000B158C">
        <w:rPr>
          <w:i/>
          <w:lang w:val="fr-CA"/>
        </w:rPr>
        <w:t xml:space="preserve"> coupable de l’infraction incluse de conduite dangereuse</w:t>
      </w:r>
      <w:r w:rsidR="000B158C">
        <w:rPr>
          <w:i/>
          <w:lang w:val="fr-CA"/>
        </w:rPr>
        <w:t xml:space="preserve"> </w:t>
      </w:r>
      <w:r w:rsidR="000B158C" w:rsidRPr="00EA4D20">
        <w:rPr>
          <w:i/>
          <w:lang w:val="fr-CA"/>
        </w:rPr>
        <w:t>—</w:t>
      </w:r>
      <w:r w:rsidR="00AC26DF">
        <w:rPr>
          <w:i/>
          <w:lang w:val="fr-CA"/>
        </w:rPr>
        <w:t xml:space="preserve"> </w:t>
      </w:r>
      <w:r w:rsidR="008C4BC3">
        <w:rPr>
          <w:i/>
          <w:lang w:val="fr-CA"/>
        </w:rPr>
        <w:t>A</w:t>
      </w:r>
      <w:r w:rsidR="009E4C35">
        <w:rPr>
          <w:i/>
          <w:lang w:val="fr-CA"/>
        </w:rPr>
        <w:t xml:space="preserve">cquittement </w:t>
      </w:r>
      <w:r w:rsidR="008C4BC3">
        <w:rPr>
          <w:i/>
          <w:lang w:val="fr-CA"/>
        </w:rPr>
        <w:t>écarté par la Cour d’appel et</w:t>
      </w:r>
      <w:r w:rsidR="00577434">
        <w:rPr>
          <w:i/>
          <w:lang w:val="fr-CA"/>
        </w:rPr>
        <w:t xml:space="preserve"> verdict de culpabilité pour conduite dangereuse causant des lésions corporelles</w:t>
      </w:r>
      <w:r w:rsidR="008C4BC3">
        <w:rPr>
          <w:i/>
          <w:lang w:val="fr-CA"/>
        </w:rPr>
        <w:t xml:space="preserve"> inscrit</w:t>
      </w:r>
      <w:r w:rsidR="00BB4357">
        <w:rPr>
          <w:i/>
          <w:lang w:val="fr-CA"/>
        </w:rPr>
        <w:t xml:space="preserve"> </w:t>
      </w:r>
      <w:r w:rsidR="009E4C35" w:rsidRPr="00EA4D20">
        <w:rPr>
          <w:i/>
          <w:lang w:val="fr-CA"/>
        </w:rPr>
        <w:t>—</w:t>
      </w:r>
      <w:r w:rsidR="009E4C35">
        <w:rPr>
          <w:i/>
          <w:lang w:val="fr-CA"/>
        </w:rPr>
        <w:t xml:space="preserve"> </w:t>
      </w:r>
      <w:r w:rsidR="00521229" w:rsidRPr="00521229">
        <w:rPr>
          <w:i/>
          <w:lang w:val="fr-CA"/>
        </w:rPr>
        <w:t xml:space="preserve">Conclusion de la Cour d’appel portant que le juge de première instance a commis une erreur de droit en analysant le lien de causalité selon le mauvais critère juridique, </w:t>
      </w:r>
      <w:r w:rsidR="00175528">
        <w:rPr>
          <w:i/>
          <w:lang w:val="fr-CA"/>
        </w:rPr>
        <w:t>erreur qui</w:t>
      </w:r>
      <w:r w:rsidR="00521229" w:rsidRPr="00521229">
        <w:rPr>
          <w:i/>
          <w:lang w:val="fr-CA"/>
        </w:rPr>
        <w:t xml:space="preserve"> a eu une incidence significative sur le verdict d’acquittement</w:t>
      </w:r>
      <w:r w:rsidR="009E4C35">
        <w:rPr>
          <w:i/>
          <w:lang w:val="fr-CA"/>
        </w:rPr>
        <w:t xml:space="preserve"> </w:t>
      </w:r>
      <w:r w:rsidR="009E4C35" w:rsidRPr="00EA4D20">
        <w:rPr>
          <w:i/>
          <w:lang w:val="fr-CA"/>
        </w:rPr>
        <w:t>—</w:t>
      </w:r>
      <w:r w:rsidR="009E4C35">
        <w:rPr>
          <w:i/>
          <w:lang w:val="fr-CA"/>
        </w:rPr>
        <w:t xml:space="preserve"> </w:t>
      </w:r>
      <w:r w:rsidR="00577434">
        <w:rPr>
          <w:i/>
          <w:lang w:val="fr-CA"/>
        </w:rPr>
        <w:t xml:space="preserve">Déclaration de culpabilité pour </w:t>
      </w:r>
      <w:r w:rsidR="00577434" w:rsidRPr="000B158C">
        <w:rPr>
          <w:i/>
          <w:lang w:val="fr-CA"/>
        </w:rPr>
        <w:t xml:space="preserve">conduite dangereuse </w:t>
      </w:r>
      <w:r w:rsidR="00577434">
        <w:rPr>
          <w:i/>
          <w:lang w:val="fr-CA"/>
        </w:rPr>
        <w:t xml:space="preserve">causant des lésions corporelles confirmée. </w:t>
      </w:r>
    </w:p>
    <w:p w:rsidR="00A42AF7" w:rsidRPr="00A42AF7" w:rsidRDefault="004D7D95" w:rsidP="00A42AF7">
      <w:pPr>
        <w:pStyle w:val="SCCNormalDoubleSpacing"/>
        <w:rPr>
          <w:lang w:val="fr-CA"/>
        </w:rPr>
      </w:pPr>
      <w:r w:rsidRPr="004D7D95">
        <w:rPr>
          <w:lang w:val="fr-CA"/>
        </w:rPr>
        <w:lastRenderedPageBreak/>
        <w:tab/>
        <w:t xml:space="preserve">POURVOI contre un arrêt de la </w:t>
      </w:r>
      <w:r w:rsidRPr="006A731F">
        <w:rPr>
          <w:lang w:val="fr-CA"/>
        </w:rPr>
        <w:t xml:space="preserve">Cour d’appel du Québec </w:t>
      </w:r>
      <w:r w:rsidR="00193047">
        <w:rPr>
          <w:lang w:val="fr-CA"/>
        </w:rPr>
        <w:t>(les juges Bélanger, Vauclair et Mainville)</w:t>
      </w:r>
      <w:r w:rsidR="00A42AF7" w:rsidRPr="00A42AF7">
        <w:rPr>
          <w:lang w:val="fr-CA"/>
        </w:rPr>
        <w:t>, 2019 QCCA 88</w:t>
      </w:r>
      <w:r w:rsidR="00114C32">
        <w:rPr>
          <w:lang w:val="fr-CA"/>
        </w:rPr>
        <w:t xml:space="preserve">7, [2019] AZ-51598010, [2019] </w:t>
      </w:r>
      <w:r w:rsidR="00A42AF7" w:rsidRPr="00A42AF7">
        <w:rPr>
          <w:lang w:val="fr-CA"/>
        </w:rPr>
        <w:t>Q.</w:t>
      </w:r>
      <w:r w:rsidR="00114C32">
        <w:rPr>
          <w:lang w:val="fr-CA"/>
        </w:rPr>
        <w:t>J.</w:t>
      </w:r>
      <w:r w:rsidR="00A42AF7" w:rsidRPr="00A42AF7">
        <w:rPr>
          <w:lang w:val="fr-CA"/>
        </w:rPr>
        <w:t xml:space="preserve"> </w:t>
      </w:r>
      <w:r w:rsidR="00114C32">
        <w:rPr>
          <w:lang w:val="fr-CA"/>
        </w:rPr>
        <w:t>No.</w:t>
      </w:r>
      <w:r w:rsidR="00A42AF7" w:rsidRPr="00A42AF7">
        <w:rPr>
          <w:lang w:val="fr-CA"/>
        </w:rPr>
        <w:t xml:space="preserve"> 4127 (QL), 2019 CarswellQue 4307 (WL Can</w:t>
      </w:r>
      <w:r w:rsidR="00A42AF7" w:rsidRPr="00626668">
        <w:rPr>
          <w:lang w:val="fr-CA"/>
        </w:rPr>
        <w:t xml:space="preserve">.), qui a </w:t>
      </w:r>
      <w:r w:rsidR="00E5095B" w:rsidRPr="00626668">
        <w:rPr>
          <w:lang w:val="fr-CA"/>
        </w:rPr>
        <w:t>écarté</w:t>
      </w:r>
      <w:r w:rsidR="00A42AF7" w:rsidRPr="00626668">
        <w:rPr>
          <w:lang w:val="fr-CA"/>
        </w:rPr>
        <w:t xml:space="preserve"> l’acquittement </w:t>
      </w:r>
      <w:r w:rsidR="00E35F0F" w:rsidRPr="00626668">
        <w:rPr>
          <w:lang w:val="fr-CA"/>
        </w:rPr>
        <w:t>de</w:t>
      </w:r>
      <w:r w:rsidR="00A42AF7" w:rsidRPr="00626668">
        <w:rPr>
          <w:lang w:val="fr-CA"/>
        </w:rPr>
        <w:t xml:space="preserve"> l’accusé pour conduite dangereuse </w:t>
      </w:r>
      <w:r w:rsidR="00E35F0F" w:rsidRPr="00626668">
        <w:rPr>
          <w:lang w:val="fr-CA"/>
        </w:rPr>
        <w:t>causant des lésions corporelles</w:t>
      </w:r>
      <w:r w:rsidR="00E5095B" w:rsidRPr="00626668">
        <w:rPr>
          <w:lang w:val="fr-CA"/>
        </w:rPr>
        <w:t xml:space="preserve"> et inscrit une déclaration de culpabilité</w:t>
      </w:r>
      <w:r w:rsidR="00E35F0F" w:rsidRPr="00626668">
        <w:rPr>
          <w:lang w:val="fr-CA"/>
        </w:rPr>
        <w:t>. P</w:t>
      </w:r>
      <w:r w:rsidR="007E7A84" w:rsidRPr="00626668">
        <w:rPr>
          <w:lang w:val="fr-CA"/>
        </w:rPr>
        <w:t>ourvoi rejeté.</w:t>
      </w:r>
    </w:p>
    <w:p w:rsidR="004D7D95" w:rsidRPr="004D7D95" w:rsidRDefault="004D7D95" w:rsidP="004D7D95">
      <w:pPr>
        <w:pStyle w:val="SCCNormalDoubleSpacing"/>
        <w:rPr>
          <w:lang w:val="fr-CA"/>
        </w:rPr>
      </w:pPr>
    </w:p>
    <w:p w:rsidR="00FF477B" w:rsidRPr="006A731F" w:rsidRDefault="00375A23">
      <w:pPr>
        <w:pStyle w:val="SCCNormalDoubleSpacing"/>
        <w:rPr>
          <w:lang w:val="fr-CA"/>
        </w:rPr>
      </w:pPr>
      <w:r w:rsidRPr="006A731F">
        <w:rPr>
          <w:rStyle w:val="SCCCounselNameChar"/>
          <w:lang w:val="fr-CA"/>
        </w:rPr>
        <w:tab/>
        <w:t>Karl-Emmanuel Harrison</w:t>
      </w:r>
      <w:r w:rsidR="00F83106" w:rsidRPr="00F83106">
        <w:rPr>
          <w:rStyle w:val="SCCCounselNameChar"/>
          <w:i w:val="0"/>
          <w:lang w:val="fr-CA"/>
        </w:rPr>
        <w:t xml:space="preserve"> et</w:t>
      </w:r>
      <w:r w:rsidR="00F83106">
        <w:rPr>
          <w:rStyle w:val="SCCCounselNameChar"/>
          <w:lang w:val="fr-CA"/>
        </w:rPr>
        <w:t xml:space="preserve"> Rita Magloé Francis</w:t>
      </w:r>
      <w:r w:rsidR="00F505E7">
        <w:rPr>
          <w:rStyle w:val="SCCCounselPartyRoleChar"/>
          <w:lang w:val="fr-CA"/>
        </w:rPr>
        <w:t>, pour l’</w:t>
      </w:r>
      <w:r w:rsidR="00F83106">
        <w:rPr>
          <w:rStyle w:val="SCCCounselPartyRoleChar"/>
          <w:lang w:val="fr-CA"/>
        </w:rPr>
        <w:t>appelant</w:t>
      </w:r>
      <w:r w:rsidRPr="006A731F">
        <w:rPr>
          <w:rStyle w:val="SCCCounselPartyRoleChar"/>
          <w:lang w:val="fr-CA"/>
        </w:rPr>
        <w:t>.</w:t>
      </w:r>
    </w:p>
    <w:p w:rsidR="00FF477B" w:rsidRPr="006A731F" w:rsidRDefault="00FF477B">
      <w:pPr>
        <w:pStyle w:val="SCCNormalDoubleSpacing"/>
        <w:rPr>
          <w:lang w:val="fr-CA"/>
        </w:rPr>
      </w:pPr>
    </w:p>
    <w:p w:rsidR="00F83106" w:rsidRDefault="00375A23" w:rsidP="007E7A84">
      <w:pPr>
        <w:pStyle w:val="SCCNormalDoubleSpacing"/>
        <w:spacing w:after="480"/>
        <w:rPr>
          <w:rStyle w:val="SCCCounselPartyRoleChar"/>
          <w:lang w:val="fr-CA"/>
        </w:rPr>
      </w:pPr>
      <w:r w:rsidRPr="006A731F">
        <w:rPr>
          <w:rStyle w:val="SCCCounselNameChar"/>
          <w:lang w:val="fr-CA"/>
        </w:rPr>
        <w:tab/>
        <w:t>Éric Bernier</w:t>
      </w:r>
      <w:r w:rsidRPr="006A731F">
        <w:rPr>
          <w:rStyle w:val="SCCCounselSeparatorChar"/>
          <w:lang w:val="fr-CA"/>
        </w:rPr>
        <w:t xml:space="preserve"> et </w:t>
      </w:r>
      <w:r w:rsidRPr="006A731F">
        <w:rPr>
          <w:rStyle w:val="SCCCounselNameChar"/>
          <w:lang w:val="fr-CA"/>
        </w:rPr>
        <w:t>Ariane Lacasse</w:t>
      </w:r>
      <w:r w:rsidR="00F505E7">
        <w:rPr>
          <w:rStyle w:val="SCCCounselPartyRoleChar"/>
          <w:lang w:val="fr-CA"/>
        </w:rPr>
        <w:t>, pour l’</w:t>
      </w:r>
      <w:r w:rsidR="00F83106">
        <w:rPr>
          <w:rStyle w:val="SCCCounselPartyRoleChar"/>
          <w:lang w:val="fr-CA"/>
        </w:rPr>
        <w:t>intimée</w:t>
      </w:r>
      <w:r w:rsidRPr="006A731F">
        <w:rPr>
          <w:rStyle w:val="SCCCounselPartyRoleChar"/>
          <w:lang w:val="fr-CA"/>
        </w:rPr>
        <w:t>.</w:t>
      </w:r>
    </w:p>
    <w:p w:rsidR="007E7A84" w:rsidRPr="00F83106" w:rsidRDefault="007E7A84" w:rsidP="007E7A84">
      <w:pPr>
        <w:pStyle w:val="SCCNormalDoubleSpacing"/>
        <w:spacing w:after="480"/>
        <w:rPr>
          <w:lang w:val="fr-CA"/>
        </w:rPr>
      </w:pPr>
      <w:r>
        <w:rPr>
          <w:rStyle w:val="SCCCounselPartyRoleChar"/>
          <w:lang w:val="fr-CA"/>
        </w:rPr>
        <w:tab/>
        <w:t>Le jugement de la Cour a été rendu oralement par</w:t>
      </w:r>
    </w:p>
    <w:p w:rsidR="00F83106" w:rsidRPr="007E7A84" w:rsidRDefault="00F83106" w:rsidP="007E7A84">
      <w:pPr>
        <w:pStyle w:val="SCCNormalDoubleSpacing"/>
        <w:numPr>
          <w:ilvl w:val="0"/>
          <w:numId w:val="1"/>
        </w:numPr>
        <w:spacing w:before="480" w:after="480"/>
        <w:ind w:left="0" w:firstLine="0"/>
        <w:rPr>
          <w:lang w:val="fr-CA"/>
        </w:rPr>
      </w:pPr>
      <w:r w:rsidRPr="00F83106">
        <w:rPr>
          <w:smallCaps/>
          <w:lang w:val="fr-CA"/>
        </w:rPr>
        <w:t>La juge</w:t>
      </w:r>
      <w:r w:rsidRPr="00F83106">
        <w:rPr>
          <w:lang w:val="fr-CA"/>
        </w:rPr>
        <w:t xml:space="preserve"> </w:t>
      </w:r>
      <w:r w:rsidRPr="00F83106">
        <w:rPr>
          <w:smallCaps/>
          <w:lang w:val="fr-CA"/>
        </w:rPr>
        <w:t>Karakatsanis</w:t>
      </w:r>
      <w:r w:rsidRPr="00F83106">
        <w:rPr>
          <w:lang w:val="fr-CA"/>
        </w:rPr>
        <w:t xml:space="preserve"> — </w:t>
      </w:r>
      <w:r w:rsidRPr="00C442DD">
        <w:rPr>
          <w:lang w:val="fr-CA"/>
        </w:rPr>
        <w:t>Nous</w:t>
      </w:r>
      <w:r w:rsidRPr="00F83106">
        <w:rPr>
          <w:lang w:val="fr-CA"/>
        </w:rPr>
        <w:t xml:space="preserve"> sommes d’avis que le juge de première instance a commis une erreur de droit quant au test applicable dans son analyse du lien de causalité. Nous sommes également convaincus que les conclusions factuelles retenues par le juge démontrent que la conduite dangereuse de l’accusé a contribué de façon appréciable aux lésions corporelles qu’a subies la victime. Comme la Cour d’appel, nous sommes d’avis qu’il faut inscrire une déclaration de culpabilité pour le chef de conduite dangereuse causant des lésions corporelles. L’appel est donc rejeté et l’arrêt de la Cour d’appel du Québec est confirmé.</w:t>
      </w:r>
    </w:p>
    <w:p w:rsidR="004D7D95" w:rsidRPr="00856872" w:rsidRDefault="004D7D95" w:rsidP="004D7D95">
      <w:pPr>
        <w:pStyle w:val="SCCNormalDoubleSpacing"/>
        <w:rPr>
          <w:i/>
          <w:lang w:val="fr-CA"/>
        </w:rPr>
      </w:pPr>
      <w:r w:rsidRPr="007E7A84">
        <w:rPr>
          <w:lang w:val="fr-CA"/>
        </w:rPr>
        <w:tab/>
      </w:r>
      <w:r w:rsidR="00856872" w:rsidRPr="00856872">
        <w:rPr>
          <w:i/>
          <w:lang w:val="fr-CA"/>
        </w:rPr>
        <w:t>Jugement en conséquence.</w:t>
      </w:r>
    </w:p>
    <w:p w:rsidR="004D7D95" w:rsidRPr="006A731F" w:rsidRDefault="004D7D95" w:rsidP="004D7D95">
      <w:pPr>
        <w:pStyle w:val="SCCNormalDoubleSpacing"/>
        <w:rPr>
          <w:lang w:val="fr-CA"/>
        </w:rPr>
      </w:pPr>
    </w:p>
    <w:p w:rsidR="00FF477B" w:rsidRPr="006A731F" w:rsidRDefault="00856872">
      <w:pPr>
        <w:pStyle w:val="SCCLawFirm"/>
        <w:rPr>
          <w:lang w:val="fr-CA"/>
        </w:rPr>
      </w:pPr>
      <w:r>
        <w:rPr>
          <w:lang w:val="fr-CA"/>
        </w:rPr>
        <w:tab/>
        <w:t>Procureur de l’appelant</w:t>
      </w:r>
      <w:r w:rsidR="00375A23" w:rsidRPr="006A731F">
        <w:rPr>
          <w:lang w:val="fr-CA"/>
        </w:rPr>
        <w:t> : Karl-Emmanuel Harrison, Longueuil.</w:t>
      </w:r>
    </w:p>
    <w:p w:rsidR="00FF477B" w:rsidRPr="006A731F" w:rsidRDefault="00FF477B">
      <w:pPr>
        <w:pStyle w:val="SCCLawFirm"/>
        <w:rPr>
          <w:lang w:val="fr-CA"/>
        </w:rPr>
      </w:pPr>
    </w:p>
    <w:p w:rsidR="00FF477B" w:rsidRPr="006A731F" w:rsidRDefault="000F501B">
      <w:pPr>
        <w:pStyle w:val="SCCLawFirm"/>
        <w:rPr>
          <w:lang w:val="fr-CA"/>
        </w:rPr>
      </w:pPr>
      <w:r>
        <w:rPr>
          <w:lang w:val="fr-CA"/>
        </w:rPr>
        <w:lastRenderedPageBreak/>
        <w:tab/>
        <w:t>Procureur de l’intimée</w:t>
      </w:r>
      <w:r w:rsidR="00375A23" w:rsidRPr="006A731F">
        <w:rPr>
          <w:lang w:val="fr-CA"/>
        </w:rPr>
        <w:t xml:space="preserve"> : Directeur des poursuites criminelles et pénales, </w:t>
      </w:r>
      <w:r w:rsidR="000B158C" w:rsidRPr="006A731F">
        <w:rPr>
          <w:lang w:val="fr-CA"/>
        </w:rPr>
        <w:t>Saint-Jérôme</w:t>
      </w:r>
      <w:r w:rsidR="00375A23" w:rsidRPr="006A731F">
        <w:rPr>
          <w:lang w:val="fr-CA"/>
        </w:rPr>
        <w:t>.</w:t>
      </w:r>
    </w:p>
    <w:p w:rsidR="00FF477B" w:rsidRPr="006A731F" w:rsidRDefault="00FF477B">
      <w:pPr>
        <w:pStyle w:val="SCCLawFirm"/>
        <w:rPr>
          <w:lang w:val="fr-CA"/>
        </w:rPr>
      </w:pPr>
    </w:p>
    <w:sectPr w:rsidR="00FF477B" w:rsidRPr="006A731F"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80A" w:rsidRDefault="0017380A">
      <w:r>
        <w:separator/>
      </w:r>
    </w:p>
  </w:endnote>
  <w:endnote w:type="continuationSeparator" w:id="0">
    <w:p w:rsidR="0017380A" w:rsidRDefault="0017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80A" w:rsidRDefault="0017380A">
      <w:r>
        <w:separator/>
      </w:r>
    </w:p>
  </w:footnote>
  <w:footnote w:type="continuationSeparator" w:id="0">
    <w:p w:rsidR="0017380A" w:rsidRDefault="00173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05F0A"/>
    <w:multiLevelType w:val="hybridMultilevel"/>
    <w:tmpl w:val="87DC71A6"/>
    <w:lvl w:ilvl="0" w:tplc="BD564518">
      <w:start w:val="1"/>
      <w:numFmt w:val="decimal"/>
      <w:lvlText w:val="[%1]"/>
      <w:lvlJc w:val="left"/>
      <w:pPr>
        <w:ind w:left="819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78A3"/>
    <w:rsid w:val="000648CC"/>
    <w:rsid w:val="000B158C"/>
    <w:rsid w:val="000C59B8"/>
    <w:rsid w:val="000C6AF0"/>
    <w:rsid w:val="000D0A77"/>
    <w:rsid w:val="000F501B"/>
    <w:rsid w:val="000F7993"/>
    <w:rsid w:val="00104F33"/>
    <w:rsid w:val="00111DE2"/>
    <w:rsid w:val="00114C32"/>
    <w:rsid w:val="00116B38"/>
    <w:rsid w:val="00135406"/>
    <w:rsid w:val="00135972"/>
    <w:rsid w:val="001426A9"/>
    <w:rsid w:val="00154D7C"/>
    <w:rsid w:val="001570B0"/>
    <w:rsid w:val="0015752C"/>
    <w:rsid w:val="00157737"/>
    <w:rsid w:val="00165277"/>
    <w:rsid w:val="00170592"/>
    <w:rsid w:val="001720F7"/>
    <w:rsid w:val="0017380A"/>
    <w:rsid w:val="00174248"/>
    <w:rsid w:val="00175528"/>
    <w:rsid w:val="00193047"/>
    <w:rsid w:val="00195D83"/>
    <w:rsid w:val="001A00C1"/>
    <w:rsid w:val="001B33E0"/>
    <w:rsid w:val="001B4573"/>
    <w:rsid w:val="001C779F"/>
    <w:rsid w:val="001D2AC1"/>
    <w:rsid w:val="001D4E88"/>
    <w:rsid w:val="00220FC2"/>
    <w:rsid w:val="002222F4"/>
    <w:rsid w:val="00224FC0"/>
    <w:rsid w:val="00225EA4"/>
    <w:rsid w:val="00226EAF"/>
    <w:rsid w:val="00231F3A"/>
    <w:rsid w:val="002406EE"/>
    <w:rsid w:val="00243EC8"/>
    <w:rsid w:val="00270D93"/>
    <w:rsid w:val="002728C4"/>
    <w:rsid w:val="002745CC"/>
    <w:rsid w:val="002B6FBE"/>
    <w:rsid w:val="002B7924"/>
    <w:rsid w:val="002C10A6"/>
    <w:rsid w:val="002D28C3"/>
    <w:rsid w:val="002D39A4"/>
    <w:rsid w:val="002E6705"/>
    <w:rsid w:val="0030329A"/>
    <w:rsid w:val="00307304"/>
    <w:rsid w:val="0031086F"/>
    <w:rsid w:val="0031414C"/>
    <w:rsid w:val="00314E01"/>
    <w:rsid w:val="0032089D"/>
    <w:rsid w:val="003310DE"/>
    <w:rsid w:val="003323B0"/>
    <w:rsid w:val="00340A49"/>
    <w:rsid w:val="0035169A"/>
    <w:rsid w:val="0035259D"/>
    <w:rsid w:val="00364B18"/>
    <w:rsid w:val="00375A23"/>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36591"/>
    <w:rsid w:val="00450352"/>
    <w:rsid w:val="00454BDB"/>
    <w:rsid w:val="00465132"/>
    <w:rsid w:val="00480C90"/>
    <w:rsid w:val="0048396F"/>
    <w:rsid w:val="00493C18"/>
    <w:rsid w:val="004A600C"/>
    <w:rsid w:val="004A6118"/>
    <w:rsid w:val="004C478D"/>
    <w:rsid w:val="004C5D98"/>
    <w:rsid w:val="004D7D95"/>
    <w:rsid w:val="004E2C26"/>
    <w:rsid w:val="005125A8"/>
    <w:rsid w:val="00517549"/>
    <w:rsid w:val="00520ABC"/>
    <w:rsid w:val="00521229"/>
    <w:rsid w:val="00521AE8"/>
    <w:rsid w:val="00527180"/>
    <w:rsid w:val="00541112"/>
    <w:rsid w:val="00555291"/>
    <w:rsid w:val="00566AD1"/>
    <w:rsid w:val="00577434"/>
    <w:rsid w:val="00583EDE"/>
    <w:rsid w:val="005A6079"/>
    <w:rsid w:val="005E4698"/>
    <w:rsid w:val="00603924"/>
    <w:rsid w:val="00610539"/>
    <w:rsid w:val="00613969"/>
    <w:rsid w:val="00625C35"/>
    <w:rsid w:val="00626668"/>
    <w:rsid w:val="00641D42"/>
    <w:rsid w:val="00647E49"/>
    <w:rsid w:val="00656313"/>
    <w:rsid w:val="006565F4"/>
    <w:rsid w:val="00684EEA"/>
    <w:rsid w:val="0069689B"/>
    <w:rsid w:val="006A731F"/>
    <w:rsid w:val="006B5FF5"/>
    <w:rsid w:val="006F30AF"/>
    <w:rsid w:val="00701759"/>
    <w:rsid w:val="00705C15"/>
    <w:rsid w:val="007110F6"/>
    <w:rsid w:val="007208D1"/>
    <w:rsid w:val="00744518"/>
    <w:rsid w:val="00747288"/>
    <w:rsid w:val="00747DD3"/>
    <w:rsid w:val="007549C8"/>
    <w:rsid w:val="00766D14"/>
    <w:rsid w:val="00767A0F"/>
    <w:rsid w:val="00791272"/>
    <w:rsid w:val="007A05F6"/>
    <w:rsid w:val="007B6F4A"/>
    <w:rsid w:val="007E1C47"/>
    <w:rsid w:val="007E337A"/>
    <w:rsid w:val="007E5C70"/>
    <w:rsid w:val="007E7A84"/>
    <w:rsid w:val="007F2FF5"/>
    <w:rsid w:val="007F3F08"/>
    <w:rsid w:val="00804CC6"/>
    <w:rsid w:val="00817190"/>
    <w:rsid w:val="008260E2"/>
    <w:rsid w:val="008322BD"/>
    <w:rsid w:val="00834F73"/>
    <w:rsid w:val="00856872"/>
    <w:rsid w:val="00864C8A"/>
    <w:rsid w:val="00864CF8"/>
    <w:rsid w:val="00874914"/>
    <w:rsid w:val="00891422"/>
    <w:rsid w:val="00892E1A"/>
    <w:rsid w:val="008B660A"/>
    <w:rsid w:val="008C01DA"/>
    <w:rsid w:val="008C4BC3"/>
    <w:rsid w:val="008F2674"/>
    <w:rsid w:val="008F78E9"/>
    <w:rsid w:val="009179F9"/>
    <w:rsid w:val="00917C7A"/>
    <w:rsid w:val="00933E5E"/>
    <w:rsid w:val="00935218"/>
    <w:rsid w:val="00937C52"/>
    <w:rsid w:val="009403F3"/>
    <w:rsid w:val="009555B7"/>
    <w:rsid w:val="009567AA"/>
    <w:rsid w:val="009602C9"/>
    <w:rsid w:val="00967374"/>
    <w:rsid w:val="009A343A"/>
    <w:rsid w:val="009B2F23"/>
    <w:rsid w:val="009B57B3"/>
    <w:rsid w:val="009D2920"/>
    <w:rsid w:val="009D5AEB"/>
    <w:rsid w:val="009E4C35"/>
    <w:rsid w:val="009F0E33"/>
    <w:rsid w:val="00A149DF"/>
    <w:rsid w:val="00A1755C"/>
    <w:rsid w:val="00A21B90"/>
    <w:rsid w:val="00A22AAC"/>
    <w:rsid w:val="00A41805"/>
    <w:rsid w:val="00A42AF7"/>
    <w:rsid w:val="00A51882"/>
    <w:rsid w:val="00A52AFB"/>
    <w:rsid w:val="00A548CB"/>
    <w:rsid w:val="00A5521C"/>
    <w:rsid w:val="00A643E7"/>
    <w:rsid w:val="00A73C38"/>
    <w:rsid w:val="00A921A7"/>
    <w:rsid w:val="00AB670D"/>
    <w:rsid w:val="00AC26DF"/>
    <w:rsid w:val="00AF03C5"/>
    <w:rsid w:val="00B000D8"/>
    <w:rsid w:val="00B00F75"/>
    <w:rsid w:val="00B145B6"/>
    <w:rsid w:val="00B279EB"/>
    <w:rsid w:val="00B50C81"/>
    <w:rsid w:val="00B557F8"/>
    <w:rsid w:val="00B815FC"/>
    <w:rsid w:val="00B93FBC"/>
    <w:rsid w:val="00BA7DA0"/>
    <w:rsid w:val="00BB2EE4"/>
    <w:rsid w:val="00BB4357"/>
    <w:rsid w:val="00BB4C92"/>
    <w:rsid w:val="00BC2108"/>
    <w:rsid w:val="00BD0E9E"/>
    <w:rsid w:val="00BD1BEC"/>
    <w:rsid w:val="00BD32FF"/>
    <w:rsid w:val="00BE166E"/>
    <w:rsid w:val="00BF6FE9"/>
    <w:rsid w:val="00C02092"/>
    <w:rsid w:val="00C24D91"/>
    <w:rsid w:val="00C26DB2"/>
    <w:rsid w:val="00C442DD"/>
    <w:rsid w:val="00C53F14"/>
    <w:rsid w:val="00C600CF"/>
    <w:rsid w:val="00C6084F"/>
    <w:rsid w:val="00C62A66"/>
    <w:rsid w:val="00C66359"/>
    <w:rsid w:val="00C71458"/>
    <w:rsid w:val="00C77613"/>
    <w:rsid w:val="00C828E7"/>
    <w:rsid w:val="00C86719"/>
    <w:rsid w:val="00C921DD"/>
    <w:rsid w:val="00CA6391"/>
    <w:rsid w:val="00CE036E"/>
    <w:rsid w:val="00CE3171"/>
    <w:rsid w:val="00CF1601"/>
    <w:rsid w:val="00D0172F"/>
    <w:rsid w:val="00D01E33"/>
    <w:rsid w:val="00D068A7"/>
    <w:rsid w:val="00D17476"/>
    <w:rsid w:val="00D17B0E"/>
    <w:rsid w:val="00D32086"/>
    <w:rsid w:val="00D37A3F"/>
    <w:rsid w:val="00D4431D"/>
    <w:rsid w:val="00D4667A"/>
    <w:rsid w:val="00D63A1C"/>
    <w:rsid w:val="00D7516F"/>
    <w:rsid w:val="00D95F8E"/>
    <w:rsid w:val="00DA0590"/>
    <w:rsid w:val="00DC1739"/>
    <w:rsid w:val="00DC1788"/>
    <w:rsid w:val="00DE319C"/>
    <w:rsid w:val="00DF0CA8"/>
    <w:rsid w:val="00DF2B48"/>
    <w:rsid w:val="00DF49A7"/>
    <w:rsid w:val="00E07EE2"/>
    <w:rsid w:val="00E07FD1"/>
    <w:rsid w:val="00E24573"/>
    <w:rsid w:val="00E25E1E"/>
    <w:rsid w:val="00E27EE7"/>
    <w:rsid w:val="00E35404"/>
    <w:rsid w:val="00E35F0F"/>
    <w:rsid w:val="00E45109"/>
    <w:rsid w:val="00E47B7A"/>
    <w:rsid w:val="00E5095B"/>
    <w:rsid w:val="00E56A44"/>
    <w:rsid w:val="00E60269"/>
    <w:rsid w:val="00E97830"/>
    <w:rsid w:val="00EA4D20"/>
    <w:rsid w:val="00EE0830"/>
    <w:rsid w:val="00EE6CB8"/>
    <w:rsid w:val="00EF0683"/>
    <w:rsid w:val="00F0070C"/>
    <w:rsid w:val="00F00EB7"/>
    <w:rsid w:val="00F36AB6"/>
    <w:rsid w:val="00F37A09"/>
    <w:rsid w:val="00F409CE"/>
    <w:rsid w:val="00F4379D"/>
    <w:rsid w:val="00F505E7"/>
    <w:rsid w:val="00F50D2D"/>
    <w:rsid w:val="00F56C8B"/>
    <w:rsid w:val="00F62639"/>
    <w:rsid w:val="00F66810"/>
    <w:rsid w:val="00F83106"/>
    <w:rsid w:val="00F84DF4"/>
    <w:rsid w:val="00F85C97"/>
    <w:rsid w:val="00FB37D2"/>
    <w:rsid w:val="00FC4EFB"/>
    <w:rsid w:val="00FD068D"/>
    <w:rsid w:val="00FD4F28"/>
    <w:rsid w:val="00FE6784"/>
    <w:rsid w:val="00FE7A8B"/>
    <w:rsid w:val="00FF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table" w:styleId="TableGrid">
    <w:name w:val="Table Grid"/>
    <w:basedOn w:val="TableNormal"/>
    <w:uiPriority w:val="59"/>
    <w:rsid w:val="0030730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307304"/>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2020-06-05T14:56:00Z</dcterms:created>
  <dcterms:modified xsi:type="dcterms:W3CDTF">2022-03-27T16:12:00Z</dcterms:modified>
</cp:coreProperties>
</file>