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DA41C" w14:textId="2E6E9A7E" w:rsidR="002527C8" w:rsidRPr="002527C8" w:rsidRDefault="002527C8" w:rsidP="002527C8">
      <w:pPr>
        <w:tabs>
          <w:tab w:val="center" w:pos="4680"/>
          <w:tab w:val="right" w:pos="9360"/>
        </w:tabs>
        <w:rPr>
          <w:rFonts w:eastAsiaTheme="minorHAnsi" w:cstheme="minorBidi"/>
          <w:szCs w:val="24"/>
          <w:lang w:val="fr-CA" w:eastAsia="en-US"/>
        </w:rPr>
      </w:pPr>
      <w:r w:rsidRPr="002527C8">
        <w:rPr>
          <w:rFonts w:eastAsiaTheme="minorHAnsi" w:cstheme="minorBidi"/>
          <w:szCs w:val="24"/>
          <w:lang w:val="fr-CA" w:eastAsia="en-US"/>
        </w:rPr>
        <w:ptab w:relativeTo="margin" w:alignment="center" w:leader="none"/>
      </w:r>
      <w:r w:rsidRPr="002527C8">
        <w:rPr>
          <w:rFonts w:eastAsiaTheme="minorHAnsi" w:cstheme="minorBidi"/>
          <w:szCs w:val="24"/>
          <w:lang w:val="fr-CA" w:eastAsia="en-US"/>
        </w:rPr>
        <w:t xml:space="preserve"> </w:t>
      </w:r>
      <w:r w:rsidRPr="002527C8">
        <w:rPr>
          <w:rFonts w:eastAsiaTheme="minorHAnsi" w:cstheme="minorBidi"/>
          <w:szCs w:val="24"/>
          <w:lang w:val="fr-CA" w:eastAsia="en-US"/>
        </w:rPr>
        <w:object w:dxaOrig="1365" w:dyaOrig="1440" w14:anchorId="2E9D5048">
          <v:shape id="_x0000_i1027" type="#_x0000_t75" style="width:61.8pt;height:64.2pt" o:ole="">
            <v:imagedata r:id="rId8" o:title=""/>
          </v:shape>
          <o:OLEObject Type="Embed" ProgID="Presentations.Drawing.13" ShapeID="_x0000_i1027" DrawAspect="Content" ObjectID="_1767095570" r:id="rId9"/>
        </w:object>
      </w:r>
      <w:r w:rsidRPr="002527C8">
        <w:rPr>
          <w:rFonts w:eastAsiaTheme="minorHAnsi" w:cstheme="minorBidi"/>
          <w:szCs w:val="24"/>
          <w:lang w:val="fr-CA" w:eastAsia="en-US"/>
        </w:rPr>
        <w:t xml:space="preserve"> </w:t>
      </w:r>
      <w:r w:rsidRPr="002527C8">
        <w:rPr>
          <w:rFonts w:eastAsiaTheme="minorHAnsi" w:cstheme="minorBidi"/>
          <w:szCs w:val="24"/>
          <w:lang w:val="fr-CA" w:eastAsia="en-US"/>
        </w:rPr>
        <w:ptab w:relativeTo="margin" w:alignment="right" w:leader="none"/>
      </w:r>
    </w:p>
    <w:p w14:paraId="602DAAB9" w14:textId="77777777" w:rsidR="002527C8" w:rsidRPr="002527C8" w:rsidRDefault="002527C8" w:rsidP="002527C8">
      <w:pPr>
        <w:tabs>
          <w:tab w:val="center" w:pos="4680"/>
          <w:tab w:val="right" w:pos="9360"/>
        </w:tabs>
        <w:rPr>
          <w:rFonts w:eastAsiaTheme="minorHAnsi" w:cstheme="minorBidi"/>
          <w:szCs w:val="24"/>
          <w:lang w:val="fr-CA" w:eastAsia="en-US"/>
        </w:rPr>
      </w:pPr>
    </w:p>
    <w:p w14:paraId="52FB7244" w14:textId="77777777" w:rsidR="002527C8" w:rsidRPr="002527C8" w:rsidRDefault="002527C8" w:rsidP="002527C8">
      <w:pPr>
        <w:jc w:val="center"/>
        <w:rPr>
          <w:rFonts w:eastAsiaTheme="minorHAnsi" w:cstheme="minorBidi"/>
          <w:b/>
          <w:szCs w:val="24"/>
          <w:lang w:val="fr-CA" w:eastAsia="en-US"/>
        </w:rPr>
      </w:pPr>
      <w:r w:rsidRPr="002527C8">
        <w:rPr>
          <w:rFonts w:eastAsiaTheme="minorHAnsi" w:cstheme="minorBidi"/>
          <w:b/>
          <w:szCs w:val="24"/>
          <w:lang w:val="fr-CA" w:eastAsia="en-US"/>
        </w:rPr>
        <w:t>COUR SUPRÊME DU CANADA</w:t>
      </w:r>
    </w:p>
    <w:p w14:paraId="135B8C99" w14:textId="77777777" w:rsidR="002527C8" w:rsidRPr="002527C8" w:rsidRDefault="002527C8" w:rsidP="002527C8">
      <w:pPr>
        <w:rPr>
          <w:rFonts w:eastAsiaTheme="minorHAnsi" w:cstheme="minorBidi"/>
          <w:szCs w:val="24"/>
          <w:lang w:val="fr-CA" w:eastAsia="en-US"/>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90"/>
        <w:gridCol w:w="4086"/>
      </w:tblGrid>
      <w:tr w:rsidR="002527C8" w:rsidRPr="002527C8" w14:paraId="3C53B287" w14:textId="77777777" w:rsidTr="00B2492D">
        <w:trPr>
          <w:cantSplit/>
        </w:trPr>
        <w:tc>
          <w:tcPr>
            <w:tcW w:w="5490" w:type="dxa"/>
          </w:tcPr>
          <w:p w14:paraId="3A2D80A8" w14:textId="77777777" w:rsidR="002527C8" w:rsidRPr="002527C8" w:rsidRDefault="002527C8" w:rsidP="002527C8">
            <w:pPr>
              <w:rPr>
                <w:lang w:val="fr-CA"/>
              </w:rPr>
            </w:pPr>
            <w:r w:rsidRPr="002527C8">
              <w:rPr>
                <w:b/>
                <w:smallCaps/>
                <w:lang w:val="fr-CA"/>
              </w:rPr>
              <w:t>Référence :</w:t>
            </w:r>
            <w:r w:rsidRPr="002527C8">
              <w:rPr>
                <w:lang w:val="fr-CA"/>
              </w:rPr>
              <w:t xml:space="preserve"> Canada (Ministre de la Citoyenneté et de l’Immigration) </w:t>
            </w:r>
            <w:r w:rsidRPr="002527C8">
              <w:rPr>
                <w:i/>
                <w:lang w:val="fr-CA"/>
              </w:rPr>
              <w:t>c.</w:t>
            </w:r>
            <w:r w:rsidRPr="002527C8">
              <w:rPr>
                <w:lang w:val="fr-CA"/>
              </w:rPr>
              <w:t xml:space="preserve"> Vavilov, 2019 CSC 65, [2019] 4 R.C.S. 653</w:t>
            </w:r>
          </w:p>
        </w:tc>
        <w:tc>
          <w:tcPr>
            <w:tcW w:w="4086" w:type="dxa"/>
          </w:tcPr>
          <w:p w14:paraId="7EAD73E9" w14:textId="77777777" w:rsidR="002527C8" w:rsidRPr="002527C8" w:rsidRDefault="002527C8" w:rsidP="002527C8">
            <w:pPr>
              <w:rPr>
                <w:lang w:val="fr-CA"/>
              </w:rPr>
            </w:pPr>
            <w:r w:rsidRPr="002527C8">
              <w:rPr>
                <w:b/>
                <w:bCs/>
                <w:smallCaps/>
                <w:color w:val="000000"/>
                <w:lang w:val="fr-CA"/>
              </w:rPr>
              <w:t xml:space="preserve">Appel entendu : </w:t>
            </w:r>
            <w:r w:rsidRPr="002527C8">
              <w:rPr>
                <w:bCs/>
                <w:color w:val="000000"/>
                <w:lang w:val="fr-CA"/>
              </w:rPr>
              <w:t>4, 5, 6 décembre 2018</w:t>
            </w:r>
          </w:p>
          <w:p w14:paraId="5F44AB67" w14:textId="77777777" w:rsidR="002527C8" w:rsidRPr="002527C8" w:rsidRDefault="002527C8" w:rsidP="002527C8">
            <w:pPr>
              <w:rPr>
                <w:smallCaps/>
                <w:lang w:val="fr-CA"/>
              </w:rPr>
            </w:pPr>
            <w:r w:rsidRPr="002527C8">
              <w:rPr>
                <w:b/>
                <w:bCs/>
                <w:smallCaps/>
                <w:color w:val="000000"/>
                <w:lang w:val="fr-CA"/>
              </w:rPr>
              <w:t>Jugement rendu </w:t>
            </w:r>
            <w:r w:rsidRPr="002527C8">
              <w:rPr>
                <w:b/>
                <w:bCs/>
                <w:color w:val="000000"/>
                <w:lang w:val="fr-CA"/>
              </w:rPr>
              <w:t>:</w:t>
            </w:r>
            <w:r w:rsidRPr="002527C8">
              <w:rPr>
                <w:bCs/>
                <w:color w:val="000000"/>
                <w:lang w:val="fr-CA"/>
              </w:rPr>
              <w:t xml:space="preserve"> 19 décembre 2019</w:t>
            </w:r>
          </w:p>
          <w:p w14:paraId="68706EB3" w14:textId="77777777" w:rsidR="002527C8" w:rsidRPr="002527C8" w:rsidRDefault="002527C8" w:rsidP="002527C8">
            <w:pPr>
              <w:rPr>
                <w:lang w:val="fr-CA"/>
              </w:rPr>
            </w:pPr>
            <w:r w:rsidRPr="002527C8">
              <w:rPr>
                <w:b/>
                <w:smallCaps/>
                <w:lang w:val="fr-CA"/>
              </w:rPr>
              <w:t>Dossier :</w:t>
            </w:r>
            <w:r w:rsidRPr="002527C8">
              <w:rPr>
                <w:lang w:val="fr-CA"/>
              </w:rPr>
              <w:t xml:space="preserve"> 37748</w:t>
            </w:r>
          </w:p>
        </w:tc>
      </w:tr>
    </w:tbl>
    <w:p w14:paraId="71F4B54A" w14:textId="77777777" w:rsidR="002527C8" w:rsidRPr="002527C8" w:rsidRDefault="002527C8" w:rsidP="002527C8">
      <w:pPr>
        <w:rPr>
          <w:rFonts w:eastAsiaTheme="minorHAnsi" w:cstheme="minorBidi"/>
          <w:szCs w:val="24"/>
          <w:lang w:val="fr-CA" w:eastAsia="en-US"/>
        </w:rPr>
      </w:pPr>
    </w:p>
    <w:p w14:paraId="53DBC654" w14:textId="77777777" w:rsidR="002527C8" w:rsidRPr="002527C8" w:rsidRDefault="002527C8" w:rsidP="002527C8">
      <w:pPr>
        <w:rPr>
          <w:rFonts w:eastAsiaTheme="minorHAnsi" w:cstheme="minorBidi"/>
          <w:b/>
          <w:smallCaps/>
          <w:szCs w:val="24"/>
          <w:lang w:val="fr-CA" w:eastAsia="en-US"/>
        </w:rPr>
      </w:pPr>
      <w:r w:rsidRPr="002527C8">
        <w:rPr>
          <w:rFonts w:eastAsiaTheme="minorHAnsi" w:cstheme="minorBidi"/>
          <w:b/>
          <w:smallCaps/>
          <w:szCs w:val="24"/>
          <w:lang w:val="fr-CA" w:eastAsia="en-US"/>
        </w:rPr>
        <w:t>Entre :</w:t>
      </w:r>
    </w:p>
    <w:p w14:paraId="31545477" w14:textId="77777777" w:rsidR="002527C8" w:rsidRPr="002527C8" w:rsidRDefault="002527C8" w:rsidP="002527C8">
      <w:pPr>
        <w:jc w:val="center"/>
        <w:rPr>
          <w:rFonts w:eastAsiaTheme="minorHAnsi" w:cstheme="minorBidi"/>
          <w:b/>
          <w:szCs w:val="24"/>
          <w:lang w:val="fr-CA" w:eastAsia="en-US"/>
        </w:rPr>
      </w:pPr>
      <w:r w:rsidRPr="002527C8">
        <w:rPr>
          <w:rFonts w:eastAsiaTheme="minorHAnsi" w:cstheme="minorBidi"/>
          <w:b/>
          <w:szCs w:val="24"/>
          <w:lang w:val="fr-CA" w:eastAsia="en-US"/>
        </w:rPr>
        <w:t>Ministre de la Citoyenneté et de l’Immigration</w:t>
      </w:r>
    </w:p>
    <w:p w14:paraId="0B392BCE" w14:textId="77777777" w:rsidR="002527C8" w:rsidRPr="002527C8" w:rsidRDefault="002527C8" w:rsidP="002527C8">
      <w:pPr>
        <w:jc w:val="center"/>
        <w:rPr>
          <w:rFonts w:eastAsiaTheme="minorHAnsi" w:cstheme="minorBidi"/>
          <w:szCs w:val="24"/>
          <w:lang w:val="fr-CA" w:eastAsia="en-US"/>
        </w:rPr>
      </w:pPr>
      <w:r w:rsidRPr="002527C8">
        <w:rPr>
          <w:rFonts w:eastAsiaTheme="minorHAnsi" w:cstheme="minorBidi"/>
          <w:szCs w:val="24"/>
          <w:lang w:val="fr-CA" w:eastAsia="en-US"/>
        </w:rPr>
        <w:t>Appelant</w:t>
      </w:r>
    </w:p>
    <w:p w14:paraId="2B5237C2" w14:textId="77777777" w:rsidR="002527C8" w:rsidRPr="002527C8" w:rsidRDefault="002527C8" w:rsidP="002527C8">
      <w:pPr>
        <w:rPr>
          <w:rFonts w:eastAsiaTheme="minorHAnsi" w:cstheme="minorBidi"/>
          <w:szCs w:val="24"/>
          <w:lang w:val="fr-CA" w:eastAsia="en-US"/>
        </w:rPr>
      </w:pPr>
    </w:p>
    <w:p w14:paraId="0C31D09E" w14:textId="77777777" w:rsidR="002527C8" w:rsidRPr="002527C8" w:rsidRDefault="002527C8" w:rsidP="002527C8">
      <w:pPr>
        <w:jc w:val="center"/>
        <w:rPr>
          <w:rFonts w:eastAsiaTheme="minorHAnsi" w:cstheme="minorBidi"/>
          <w:szCs w:val="24"/>
          <w:lang w:val="fr-CA" w:eastAsia="en-US"/>
        </w:rPr>
      </w:pPr>
      <w:r w:rsidRPr="002527C8">
        <w:rPr>
          <w:rFonts w:eastAsiaTheme="minorHAnsi" w:cstheme="minorBidi"/>
          <w:szCs w:val="24"/>
          <w:lang w:val="fr-CA" w:eastAsia="en-US"/>
        </w:rPr>
        <w:t>et</w:t>
      </w:r>
    </w:p>
    <w:p w14:paraId="6E1CE748" w14:textId="77777777" w:rsidR="002527C8" w:rsidRPr="002527C8" w:rsidRDefault="002527C8" w:rsidP="002527C8">
      <w:pPr>
        <w:rPr>
          <w:rFonts w:eastAsiaTheme="minorHAnsi" w:cstheme="minorBidi"/>
          <w:szCs w:val="24"/>
          <w:lang w:val="fr-CA" w:eastAsia="en-US"/>
        </w:rPr>
      </w:pPr>
    </w:p>
    <w:p w14:paraId="65E1A399" w14:textId="77777777" w:rsidR="002527C8" w:rsidRPr="002527C8" w:rsidRDefault="002527C8" w:rsidP="002527C8">
      <w:pPr>
        <w:jc w:val="center"/>
        <w:rPr>
          <w:rFonts w:eastAsiaTheme="minorHAnsi" w:cstheme="minorBidi"/>
          <w:b/>
          <w:szCs w:val="24"/>
          <w:lang w:val="fr-CA" w:eastAsia="en-US"/>
        </w:rPr>
      </w:pPr>
      <w:r w:rsidRPr="002527C8">
        <w:rPr>
          <w:rFonts w:eastAsiaTheme="minorHAnsi" w:cstheme="minorBidi"/>
          <w:b/>
          <w:szCs w:val="24"/>
          <w:lang w:val="fr-CA" w:eastAsia="en-US"/>
        </w:rPr>
        <w:t>Alexander Vavilov</w:t>
      </w:r>
    </w:p>
    <w:p w14:paraId="1C4E1AE5" w14:textId="77777777" w:rsidR="002527C8" w:rsidRPr="002527C8" w:rsidRDefault="002527C8" w:rsidP="002527C8">
      <w:pPr>
        <w:jc w:val="center"/>
        <w:rPr>
          <w:rFonts w:eastAsiaTheme="minorHAnsi" w:cstheme="minorBidi"/>
          <w:szCs w:val="24"/>
          <w:lang w:val="fr-CA" w:eastAsia="en-US"/>
        </w:rPr>
      </w:pPr>
      <w:r w:rsidRPr="002527C8">
        <w:rPr>
          <w:rFonts w:eastAsiaTheme="minorHAnsi" w:cstheme="minorBidi"/>
          <w:szCs w:val="24"/>
          <w:lang w:val="fr-CA" w:eastAsia="en-US"/>
        </w:rPr>
        <w:t>Intimé</w:t>
      </w:r>
    </w:p>
    <w:p w14:paraId="7B6A95C2" w14:textId="77777777" w:rsidR="002527C8" w:rsidRPr="002527C8" w:rsidRDefault="002527C8" w:rsidP="002527C8">
      <w:pPr>
        <w:rPr>
          <w:rFonts w:eastAsiaTheme="minorHAnsi" w:cstheme="minorBidi"/>
          <w:szCs w:val="24"/>
          <w:lang w:val="fr-CA" w:eastAsia="en-US"/>
        </w:rPr>
      </w:pPr>
    </w:p>
    <w:p w14:paraId="43003A1F" w14:textId="77777777" w:rsidR="002527C8" w:rsidRPr="002527C8" w:rsidRDefault="002527C8" w:rsidP="002527C8">
      <w:pPr>
        <w:jc w:val="center"/>
        <w:rPr>
          <w:rFonts w:eastAsiaTheme="minorHAnsi" w:cstheme="minorBidi"/>
          <w:szCs w:val="24"/>
          <w:lang w:val="fr-CA" w:eastAsia="en-US"/>
        </w:rPr>
      </w:pPr>
      <w:r w:rsidRPr="002527C8">
        <w:rPr>
          <w:rFonts w:eastAsiaTheme="minorHAnsi" w:cstheme="minorBidi"/>
          <w:szCs w:val="24"/>
          <w:lang w:val="fr-CA" w:eastAsia="en-US"/>
        </w:rPr>
        <w:t>- et -</w:t>
      </w:r>
    </w:p>
    <w:p w14:paraId="7AC2A0D5" w14:textId="77777777" w:rsidR="002527C8" w:rsidRPr="002527C8" w:rsidRDefault="002527C8" w:rsidP="002527C8">
      <w:pPr>
        <w:rPr>
          <w:rFonts w:eastAsiaTheme="minorHAnsi" w:cstheme="minorBidi"/>
          <w:szCs w:val="24"/>
          <w:lang w:val="fr-CA" w:eastAsia="en-US"/>
        </w:rPr>
      </w:pPr>
    </w:p>
    <w:p w14:paraId="17A108F6" w14:textId="77777777" w:rsidR="002527C8" w:rsidRPr="002527C8" w:rsidRDefault="002527C8" w:rsidP="002527C8">
      <w:pPr>
        <w:jc w:val="center"/>
        <w:rPr>
          <w:rFonts w:eastAsiaTheme="minorHAnsi" w:cstheme="minorBidi"/>
          <w:b/>
          <w:szCs w:val="24"/>
          <w:lang w:val="fr-CA" w:eastAsia="en-US"/>
        </w:rPr>
      </w:pPr>
      <w:r w:rsidRPr="002527C8">
        <w:rPr>
          <w:rFonts w:eastAsiaTheme="minorHAnsi" w:cstheme="minorBidi"/>
          <w:b/>
          <w:szCs w:val="24"/>
          <w:lang w:val="fr-CA" w:eastAsia="en-US"/>
        </w:rPr>
        <w:t>Procureur général de l’Ontario, procureure générale du Québec, procureur général de la Colombie-Britannique, procureur général de la Saskatchewan, Conseil canadien pour les réfugiés, Centre ontarien de défense des droits des locataires - Programme d’avocats de service en droit du logement, Commission des valeurs mobilières de l’Ontario, British Columbia Securities Commission, Alberta Securities Commission, Ecojustice Canada Society, Tribunal d’appel de la sécurité professionnelle et de l’assurance contre les accidents du travail (Ontario), Workers’ Compensation Appeals Tribunal (Territoires du Nord-Ouest et Nunavut), Tribunal d’appel des décisions de la Commission des accidents du travail de la Nouvelle-Écosse, Appeals Commission for Alberta Workers’ Compensation, Tribunal d’appel des accidents au travail (Nouveau-Brunswick), British Columbia International Commercial Arbitration Centre Foundation, Conseil des tribunaux administratifs canadiens, National Academy of Arbitrators, Ontario Labour-Management Arbitrators’ Association, Conférence des arbitres du Québec, Congrès du travail du Canada, Association nationale des organismes de réglementation de la pharmacie, Queen’s Prison Law Clinic, Advocates for the Rule of Law, Parkdale Community Legal Services, Cambridge Comparative Administrative Law Forum, Clinique d’intérêt public et de politique d’internet du Canada Samuelson-Glushko, Association du Barreau canadien, Association canadienne des avocats et avocates en droit des réfugiés, Community &amp; Legal Aid Services Programme, Association québécoise des avocats et avocates en droit de l’immigration et Société de soutien à l’enfance et à la famille des Premières Nations du Canada</w:t>
      </w:r>
    </w:p>
    <w:p w14:paraId="17E18954" w14:textId="77777777" w:rsidR="002527C8" w:rsidRPr="002527C8" w:rsidRDefault="002527C8" w:rsidP="002527C8">
      <w:pPr>
        <w:jc w:val="center"/>
        <w:rPr>
          <w:rFonts w:eastAsiaTheme="minorHAnsi" w:cstheme="minorBidi"/>
          <w:szCs w:val="24"/>
          <w:lang w:val="fr-CA" w:eastAsia="en-US"/>
        </w:rPr>
      </w:pPr>
      <w:r w:rsidRPr="002527C8">
        <w:rPr>
          <w:rFonts w:eastAsiaTheme="minorHAnsi" w:cstheme="minorBidi"/>
          <w:szCs w:val="24"/>
          <w:lang w:val="fr-CA" w:eastAsia="en-US"/>
        </w:rPr>
        <w:t>Intervenants</w:t>
      </w:r>
      <w:r w:rsidRPr="002527C8">
        <w:rPr>
          <w:rFonts w:eastAsiaTheme="minorHAnsi" w:cstheme="minorBidi"/>
          <w:szCs w:val="24"/>
          <w:lang w:val="fr-CA" w:eastAsia="en-US"/>
        </w:rPr>
        <w:br/>
      </w:r>
    </w:p>
    <w:p w14:paraId="425E2BB0" w14:textId="77777777" w:rsidR="002527C8" w:rsidRPr="002527C8" w:rsidRDefault="002527C8" w:rsidP="002527C8">
      <w:pPr>
        <w:rPr>
          <w:rFonts w:eastAsiaTheme="minorHAnsi" w:cstheme="minorBidi"/>
          <w:szCs w:val="24"/>
          <w:lang w:val="fr-CA" w:eastAsia="en-US"/>
        </w:rPr>
      </w:pPr>
    </w:p>
    <w:p w14:paraId="31BEE66A" w14:textId="77777777" w:rsidR="002527C8" w:rsidRPr="002527C8" w:rsidRDefault="002527C8" w:rsidP="002527C8">
      <w:pPr>
        <w:rPr>
          <w:rFonts w:eastAsiaTheme="minorHAnsi" w:cstheme="minorBidi"/>
          <w:szCs w:val="24"/>
          <w:lang w:val="fr-CA" w:eastAsia="en-US"/>
        </w:rPr>
      </w:pPr>
    </w:p>
    <w:p w14:paraId="039A446E" w14:textId="77777777" w:rsidR="002527C8" w:rsidRPr="002527C8" w:rsidRDefault="002527C8" w:rsidP="002527C8">
      <w:pPr>
        <w:jc w:val="center"/>
        <w:rPr>
          <w:rFonts w:eastAsiaTheme="minorHAnsi" w:cstheme="minorBidi"/>
          <w:b/>
          <w:smallCaps/>
          <w:szCs w:val="24"/>
          <w:lang w:val="fr-CA" w:eastAsia="en-US"/>
        </w:rPr>
      </w:pPr>
      <w:r w:rsidRPr="002527C8">
        <w:rPr>
          <w:rFonts w:eastAsiaTheme="minorHAnsi" w:cstheme="minorBidi"/>
          <w:b/>
          <w:smallCaps/>
          <w:szCs w:val="24"/>
          <w:lang w:val="fr-CA" w:eastAsia="en-US"/>
        </w:rPr>
        <w:lastRenderedPageBreak/>
        <w:t>Traduction française officielle</w:t>
      </w:r>
    </w:p>
    <w:p w14:paraId="503FF438" w14:textId="77777777" w:rsidR="002527C8" w:rsidRPr="002527C8" w:rsidRDefault="002527C8" w:rsidP="002527C8">
      <w:pPr>
        <w:rPr>
          <w:rFonts w:eastAsiaTheme="minorHAnsi" w:cstheme="minorBidi"/>
          <w:szCs w:val="24"/>
          <w:lang w:val="fr-CA" w:eastAsia="en-US"/>
        </w:rPr>
      </w:pPr>
    </w:p>
    <w:p w14:paraId="4088F464" w14:textId="77777777" w:rsidR="002527C8" w:rsidRPr="002527C8" w:rsidRDefault="002527C8" w:rsidP="002527C8">
      <w:pPr>
        <w:rPr>
          <w:rFonts w:eastAsiaTheme="minorHAnsi" w:cstheme="minorBidi"/>
          <w:szCs w:val="24"/>
          <w:lang w:val="fr-CA" w:eastAsia="en-US"/>
        </w:rPr>
      </w:pPr>
      <w:r w:rsidRPr="002527C8">
        <w:rPr>
          <w:rFonts w:eastAsiaTheme="minorHAnsi" w:cstheme="minorBidi"/>
          <w:b/>
          <w:smallCaps/>
          <w:szCs w:val="24"/>
          <w:lang w:val="fr-CA" w:eastAsia="en-US"/>
        </w:rPr>
        <w:t>Coram :</w:t>
      </w:r>
      <w:r w:rsidRPr="002527C8">
        <w:rPr>
          <w:rFonts w:eastAsiaTheme="minorHAnsi" w:cstheme="minorBidi"/>
          <w:szCs w:val="24"/>
          <w:lang w:val="fr-CA" w:eastAsia="en-US"/>
        </w:rPr>
        <w:t xml:space="preserve"> Le juge en chef Wagner et les juges Abella, Moldaver, Karakatsanis, Gascon, Côté, Brown, Rowe et Martin</w:t>
      </w:r>
    </w:p>
    <w:p w14:paraId="61147751" w14:textId="77777777" w:rsidR="002527C8" w:rsidRPr="002527C8" w:rsidRDefault="002527C8" w:rsidP="002527C8">
      <w:pPr>
        <w:rPr>
          <w:rFonts w:eastAsiaTheme="minorHAnsi" w:cstheme="minorBidi"/>
          <w:szCs w:val="24"/>
          <w:lang w:val="fr-CA" w:eastAsia="en-US"/>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780"/>
        <w:gridCol w:w="5796"/>
      </w:tblGrid>
      <w:tr w:rsidR="002527C8" w:rsidRPr="00151C38" w14:paraId="64C100F9" w14:textId="77777777" w:rsidTr="00B2492D">
        <w:trPr>
          <w:cantSplit/>
        </w:trPr>
        <w:tc>
          <w:tcPr>
            <w:tcW w:w="3780" w:type="dxa"/>
          </w:tcPr>
          <w:p w14:paraId="69325A35" w14:textId="77777777" w:rsidR="002527C8" w:rsidRPr="002527C8" w:rsidRDefault="002527C8" w:rsidP="002527C8">
            <w:pPr>
              <w:rPr>
                <w:b/>
                <w:smallCaps/>
                <w:lang w:val="fr-CA"/>
              </w:rPr>
            </w:pPr>
            <w:r w:rsidRPr="002527C8">
              <w:rPr>
                <w:b/>
                <w:smallCaps/>
                <w:lang w:val="fr-CA"/>
              </w:rPr>
              <w:t>Motifs de jugement conjoints :</w:t>
            </w:r>
          </w:p>
          <w:p w14:paraId="4BBB7FCA" w14:textId="77777777" w:rsidR="002527C8" w:rsidRPr="002527C8" w:rsidRDefault="002527C8" w:rsidP="002527C8">
            <w:pPr>
              <w:rPr>
                <w:lang w:val="fr-CA"/>
              </w:rPr>
            </w:pPr>
            <w:r w:rsidRPr="002527C8">
              <w:rPr>
                <w:lang w:val="fr-CA"/>
              </w:rPr>
              <w:t>(par. 1 à 197)</w:t>
            </w:r>
          </w:p>
          <w:p w14:paraId="73224EBB" w14:textId="77777777" w:rsidR="002527C8" w:rsidRPr="002527C8" w:rsidRDefault="002527C8" w:rsidP="002527C8">
            <w:pPr>
              <w:rPr>
                <w:lang w:val="fr-CA"/>
              </w:rPr>
            </w:pPr>
          </w:p>
          <w:p w14:paraId="063360C9" w14:textId="77777777" w:rsidR="002527C8" w:rsidRPr="002527C8" w:rsidRDefault="002527C8" w:rsidP="002527C8">
            <w:pPr>
              <w:rPr>
                <w:b/>
                <w:bCs/>
                <w:smallCaps/>
                <w:color w:val="000000"/>
                <w:lang w:val="fr-CA"/>
              </w:rPr>
            </w:pPr>
            <w:r w:rsidRPr="002527C8">
              <w:rPr>
                <w:b/>
                <w:bCs/>
                <w:smallCaps/>
                <w:color w:val="000000"/>
                <w:lang w:val="fr-CA"/>
              </w:rPr>
              <w:t>Motifs conjoints concordants :</w:t>
            </w:r>
          </w:p>
          <w:p w14:paraId="7C14B471" w14:textId="77777777" w:rsidR="002527C8" w:rsidRPr="002527C8" w:rsidRDefault="002527C8" w:rsidP="002527C8">
            <w:pPr>
              <w:rPr>
                <w:lang w:val="fr-CA"/>
              </w:rPr>
            </w:pPr>
            <w:r w:rsidRPr="002527C8">
              <w:rPr>
                <w:lang w:val="fr-CA"/>
              </w:rPr>
              <w:t>(par. 198 à 343)</w:t>
            </w:r>
          </w:p>
        </w:tc>
        <w:tc>
          <w:tcPr>
            <w:tcW w:w="5796" w:type="dxa"/>
          </w:tcPr>
          <w:p w14:paraId="415B4072" w14:textId="77777777" w:rsidR="002527C8" w:rsidRPr="002527C8" w:rsidRDefault="002527C8" w:rsidP="002527C8">
            <w:pPr>
              <w:rPr>
                <w:lang w:val="fr-CA"/>
              </w:rPr>
            </w:pPr>
            <w:r w:rsidRPr="002527C8">
              <w:rPr>
                <w:lang w:val="fr-CA"/>
              </w:rPr>
              <w:t>Le juge en chef Wagner et les juges Moldaver, Gascon, Côté, Brown, Rowe et Martin</w:t>
            </w:r>
          </w:p>
          <w:p w14:paraId="64C436BE" w14:textId="77777777" w:rsidR="002527C8" w:rsidRPr="002527C8" w:rsidRDefault="002527C8" w:rsidP="002527C8">
            <w:pPr>
              <w:rPr>
                <w:lang w:val="fr-CA"/>
              </w:rPr>
            </w:pPr>
          </w:p>
          <w:p w14:paraId="5675155A" w14:textId="77777777" w:rsidR="002527C8" w:rsidRPr="002527C8" w:rsidRDefault="002527C8" w:rsidP="002527C8">
            <w:pPr>
              <w:rPr>
                <w:lang w:val="fr-CA"/>
              </w:rPr>
            </w:pPr>
            <w:r w:rsidRPr="002527C8">
              <w:rPr>
                <w:lang w:val="fr-CA"/>
              </w:rPr>
              <w:t>Les juges Abella et Karakatsanis</w:t>
            </w:r>
          </w:p>
        </w:tc>
      </w:tr>
    </w:tbl>
    <w:p w14:paraId="5B4F4425" w14:textId="77777777" w:rsidR="002527C8" w:rsidRPr="002527C8" w:rsidRDefault="002527C8" w:rsidP="002527C8">
      <w:pPr>
        <w:rPr>
          <w:rFonts w:eastAsiaTheme="minorHAnsi" w:cstheme="minorBidi"/>
          <w:szCs w:val="24"/>
          <w:lang w:val="fr-CA" w:eastAsia="en-US"/>
        </w:rPr>
      </w:pPr>
    </w:p>
    <w:p w14:paraId="0AF62AAB" w14:textId="77777777" w:rsidR="002527C8" w:rsidRPr="002527C8" w:rsidRDefault="002527C8" w:rsidP="002527C8">
      <w:pPr>
        <w:rPr>
          <w:rFonts w:eastAsiaTheme="minorHAnsi" w:cstheme="minorBidi"/>
          <w:szCs w:val="24"/>
          <w:lang w:val="fr-CA" w:eastAsia="en-US"/>
        </w:rPr>
      </w:pPr>
    </w:p>
    <w:p w14:paraId="20CF92D4" w14:textId="77777777" w:rsidR="002527C8" w:rsidRPr="002527C8" w:rsidRDefault="002527C8" w:rsidP="002527C8">
      <w:pPr>
        <w:rPr>
          <w:rFonts w:eastAsiaTheme="minorHAnsi" w:cstheme="minorBidi"/>
          <w:szCs w:val="24"/>
          <w:lang w:val="fr-CA" w:eastAsia="en-US"/>
        </w:rPr>
      </w:pPr>
      <w:r w:rsidRPr="002527C8">
        <w:rPr>
          <w:rFonts w:eastAsiaTheme="minorHAnsi" w:cstheme="minorBidi"/>
          <w:noProof/>
          <w:szCs w:val="24"/>
          <w:lang w:val="fr-CA" w:eastAsia="fr-CA"/>
        </w:rPr>
        <mc:AlternateContent>
          <mc:Choice Requires="wps">
            <w:drawing>
              <wp:anchor distT="0" distB="0" distL="114300" distR="114300" simplePos="0" relativeHeight="251659264" behindDoc="0" locked="0" layoutInCell="1" allowOverlap="1" wp14:anchorId="5640850A" wp14:editId="043CA90D">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402211"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14:paraId="17BD65F1" w14:textId="77777777" w:rsidR="002527C8" w:rsidRDefault="002527C8">
      <w:pPr>
        <w:rPr>
          <w:rStyle w:val="SCCRespondentForRunningHeadChar"/>
          <w:lang w:val="fr-CA"/>
        </w:rPr>
      </w:pPr>
      <w:r>
        <w:rPr>
          <w:rStyle w:val="SCCRespondentForRunningHeadChar"/>
          <w:lang w:val="fr-CA"/>
        </w:rPr>
        <w:br w:type="page"/>
      </w:r>
    </w:p>
    <w:p w14:paraId="789FB676" w14:textId="5BC7B6D1" w:rsidR="004D7D95" w:rsidRPr="00102521" w:rsidRDefault="00B32C66" w:rsidP="00067295">
      <w:pPr>
        <w:spacing w:after="720"/>
        <w:jc w:val="both"/>
        <w:rPr>
          <w:lang w:val="fr-CA"/>
        </w:rPr>
      </w:pPr>
      <w:r w:rsidRPr="00C1218B">
        <w:rPr>
          <w:rStyle w:val="SCCRespondentForRunningHeadChar"/>
          <w:lang w:val="fr-CA"/>
        </w:rPr>
        <w:lastRenderedPageBreak/>
        <w:t xml:space="preserve">canada </w:t>
      </w:r>
      <w:r w:rsidR="004D7D95" w:rsidRPr="00C1218B">
        <w:rPr>
          <w:i/>
          <w:lang w:val="fr-CA"/>
        </w:rPr>
        <w:t>c.</w:t>
      </w:r>
      <w:r w:rsidR="004D7D95" w:rsidRPr="00C1218B">
        <w:rPr>
          <w:lang w:val="fr-CA"/>
        </w:rPr>
        <w:t xml:space="preserve"> </w:t>
      </w:r>
      <w:r w:rsidRPr="00C1218B">
        <w:rPr>
          <w:rStyle w:val="SCCAppellantForRunningHeadChar"/>
          <w:lang w:val="fr-CA"/>
        </w:rPr>
        <w:t>vavilov</w:t>
      </w:r>
    </w:p>
    <w:p w14:paraId="2227B864" w14:textId="77777777" w:rsidR="00B32C66" w:rsidRPr="006C35AC" w:rsidRDefault="00B32C66" w:rsidP="00067295">
      <w:pPr>
        <w:pStyle w:val="SCCLsocLastPartyInRole"/>
        <w:rPr>
          <w:lang w:val="fr-CA"/>
        </w:rPr>
      </w:pPr>
      <w:r w:rsidRPr="006C35AC">
        <w:rPr>
          <w:lang w:val="fr-CA"/>
        </w:rPr>
        <w:t>Ministre de la Citoyenneté et de l</w:t>
      </w:r>
      <w:r w:rsidR="00356C64">
        <w:rPr>
          <w:lang w:val="fr-CA"/>
        </w:rPr>
        <w:t>’</w:t>
      </w:r>
      <w:r w:rsidRPr="006C35AC">
        <w:rPr>
          <w:lang w:val="fr-CA"/>
        </w:rPr>
        <w:t>Immigration</w:t>
      </w:r>
      <w:r>
        <w:rPr>
          <w:rStyle w:val="SCCLsocPartyRole"/>
          <w:lang w:val="fr-CA"/>
        </w:rPr>
        <w:tab/>
        <w:t>Appelan</w:t>
      </w:r>
      <w:r w:rsidRPr="006D0D81">
        <w:rPr>
          <w:rStyle w:val="SCCLsocPartyRole"/>
          <w:lang w:val="fr-CA"/>
        </w:rPr>
        <w:t>t</w:t>
      </w:r>
    </w:p>
    <w:p w14:paraId="68D9A0FA" w14:textId="77777777" w:rsidR="00B32C66" w:rsidRPr="006C35AC" w:rsidRDefault="00B32C66" w:rsidP="00067295">
      <w:pPr>
        <w:pStyle w:val="SCCLsocVersus"/>
        <w:rPr>
          <w:lang w:val="fr-CA"/>
        </w:rPr>
      </w:pPr>
      <w:r w:rsidRPr="006C35AC">
        <w:rPr>
          <w:lang w:val="fr-CA"/>
        </w:rPr>
        <w:t>c.</w:t>
      </w:r>
    </w:p>
    <w:p w14:paraId="0001900F" w14:textId="77777777" w:rsidR="00B32C66" w:rsidRPr="006C35AC" w:rsidRDefault="00B32C66" w:rsidP="00067295">
      <w:pPr>
        <w:pStyle w:val="SCCLsocLastPartyInRole"/>
        <w:rPr>
          <w:lang w:val="fr-CA"/>
        </w:rPr>
      </w:pPr>
      <w:r w:rsidRPr="006C35AC">
        <w:rPr>
          <w:lang w:val="fr-CA"/>
        </w:rPr>
        <w:t>Alexander Vavilov</w:t>
      </w:r>
      <w:r>
        <w:rPr>
          <w:rStyle w:val="SCCLsocPartyRole"/>
          <w:lang w:val="fr-CA"/>
        </w:rPr>
        <w:tab/>
        <w:t>Intimé</w:t>
      </w:r>
    </w:p>
    <w:p w14:paraId="57003EE1" w14:textId="77777777" w:rsidR="00B32C66" w:rsidRPr="006C35AC" w:rsidRDefault="00B32C66" w:rsidP="00067295">
      <w:pPr>
        <w:pStyle w:val="SCCLsocOtherPartySeparator"/>
        <w:rPr>
          <w:lang w:val="fr-CA"/>
        </w:rPr>
      </w:pPr>
      <w:r w:rsidRPr="006C35AC">
        <w:rPr>
          <w:lang w:val="fr-CA"/>
        </w:rPr>
        <w:t>et</w:t>
      </w:r>
    </w:p>
    <w:p w14:paraId="3F7916C1" w14:textId="77777777" w:rsidR="00B32C66" w:rsidRDefault="00260EF8" w:rsidP="00B32C66">
      <w:pPr>
        <w:pStyle w:val="SCCLsocLastPartyInRole"/>
        <w:spacing w:after="0"/>
        <w:rPr>
          <w:lang w:val="fr-CA"/>
        </w:rPr>
      </w:pPr>
      <w:r>
        <w:rPr>
          <w:lang w:val="fr-CA"/>
        </w:rPr>
        <w:t>Procureur général</w:t>
      </w:r>
      <w:r w:rsidR="00B32C66" w:rsidRPr="00102521">
        <w:rPr>
          <w:lang w:val="fr-CA"/>
        </w:rPr>
        <w:t xml:space="preserve"> de l</w:t>
      </w:r>
      <w:r w:rsidR="00356C64">
        <w:rPr>
          <w:lang w:val="fr-CA"/>
        </w:rPr>
        <w:t>’</w:t>
      </w:r>
      <w:r w:rsidR="00B32C66" w:rsidRPr="00102521">
        <w:rPr>
          <w:lang w:val="fr-CA"/>
        </w:rPr>
        <w:t>Ontario,</w:t>
      </w:r>
    </w:p>
    <w:p w14:paraId="236AC9B9" w14:textId="77777777" w:rsidR="00B32C66" w:rsidRPr="00102521" w:rsidRDefault="00B32C66" w:rsidP="00B32C66">
      <w:pPr>
        <w:pStyle w:val="SCCLsocLastPartyInRole"/>
        <w:spacing w:after="0"/>
        <w:rPr>
          <w:lang w:val="fr-CA"/>
        </w:rPr>
      </w:pPr>
      <w:r>
        <w:rPr>
          <w:lang w:val="fr-CA"/>
        </w:rPr>
        <w:t>p</w:t>
      </w:r>
      <w:r w:rsidRPr="00102521">
        <w:rPr>
          <w:lang w:val="fr-CA"/>
        </w:rPr>
        <w:t>rocureure générale du Québec,</w:t>
      </w:r>
    </w:p>
    <w:p w14:paraId="52C98F5B" w14:textId="77777777" w:rsidR="00B32C66" w:rsidRPr="00102521" w:rsidRDefault="00B32C66" w:rsidP="00B32C66">
      <w:pPr>
        <w:pStyle w:val="SCCLsocParty"/>
        <w:rPr>
          <w:lang w:val="fr-CA"/>
        </w:rPr>
      </w:pPr>
      <w:r>
        <w:rPr>
          <w:lang w:val="fr-CA"/>
        </w:rPr>
        <w:t>p</w:t>
      </w:r>
      <w:r w:rsidRPr="00102521">
        <w:rPr>
          <w:lang w:val="fr-CA"/>
        </w:rPr>
        <w:t>rocureur général de la Colombie-Britannique,</w:t>
      </w:r>
    </w:p>
    <w:p w14:paraId="198D6509" w14:textId="77777777" w:rsidR="00B32C66" w:rsidRDefault="00B32C66" w:rsidP="00B32C66">
      <w:pPr>
        <w:pStyle w:val="SCCLsocParty"/>
        <w:rPr>
          <w:lang w:val="fr-CA"/>
        </w:rPr>
      </w:pPr>
      <w:r>
        <w:rPr>
          <w:lang w:val="fr-CA"/>
        </w:rPr>
        <w:t>p</w:t>
      </w:r>
      <w:r w:rsidRPr="00102521">
        <w:rPr>
          <w:lang w:val="fr-CA"/>
        </w:rPr>
        <w:t>rocureur général de la Saskatchewan,</w:t>
      </w:r>
    </w:p>
    <w:p w14:paraId="6069CEFA" w14:textId="77777777" w:rsidR="00B32C66" w:rsidRPr="00B32C66" w:rsidRDefault="002A100D" w:rsidP="00B32C66">
      <w:pPr>
        <w:rPr>
          <w:b/>
          <w:lang w:val="fr-CA"/>
        </w:rPr>
      </w:pPr>
      <w:r w:rsidRPr="003837E2">
        <w:rPr>
          <w:b/>
          <w:lang w:val="fr-CA"/>
        </w:rPr>
        <w:t>Conseil canadien pour les réfugiés</w:t>
      </w:r>
      <w:r w:rsidR="00B32C66" w:rsidRPr="003837E2">
        <w:rPr>
          <w:b/>
          <w:lang w:val="fr-CA"/>
        </w:rPr>
        <w:t>,</w:t>
      </w:r>
    </w:p>
    <w:p w14:paraId="56363C50" w14:textId="035D81FD" w:rsidR="00B32C66" w:rsidRPr="00102521" w:rsidRDefault="00D33F51" w:rsidP="00B32C66">
      <w:pPr>
        <w:pStyle w:val="SCCLsocParty"/>
        <w:rPr>
          <w:lang w:val="fr-CA"/>
        </w:rPr>
      </w:pPr>
      <w:r>
        <w:rPr>
          <w:lang w:val="fr-CA"/>
        </w:rPr>
        <w:t xml:space="preserve">Centre </w:t>
      </w:r>
      <w:r w:rsidRPr="00E75D9B">
        <w:rPr>
          <w:lang w:val="fr-CA"/>
        </w:rPr>
        <w:t>ontarien de défense des droits des l</w:t>
      </w:r>
      <w:r w:rsidR="00B32C66" w:rsidRPr="00E75D9B">
        <w:rPr>
          <w:lang w:val="fr-CA"/>
        </w:rPr>
        <w:t>ocataires</w:t>
      </w:r>
      <w:r w:rsidR="005B61E0">
        <w:rPr>
          <w:lang w:val="fr-CA"/>
        </w:rPr>
        <w:t xml:space="preserve"> </w:t>
      </w:r>
      <w:r w:rsidR="0059132D">
        <w:rPr>
          <w:lang w:val="fr-CA"/>
        </w:rPr>
        <w:t>-</w:t>
      </w:r>
      <w:r w:rsidRPr="00E75D9B">
        <w:rPr>
          <w:lang w:val="fr-CA"/>
        </w:rPr>
        <w:t xml:space="preserve"> Programme d</w:t>
      </w:r>
      <w:r w:rsidR="00356C64">
        <w:rPr>
          <w:lang w:val="fr-CA"/>
        </w:rPr>
        <w:t>’</w:t>
      </w:r>
      <w:r w:rsidRPr="00E75D9B">
        <w:rPr>
          <w:lang w:val="fr-CA"/>
        </w:rPr>
        <w:t>avocats de service en droit du l</w:t>
      </w:r>
      <w:r w:rsidR="00EE5A62" w:rsidRPr="00E75D9B">
        <w:rPr>
          <w:lang w:val="fr-CA"/>
        </w:rPr>
        <w:t>ogement</w:t>
      </w:r>
      <w:r w:rsidR="00B32C66" w:rsidRPr="00E75D9B">
        <w:rPr>
          <w:lang w:val="fr-CA"/>
        </w:rPr>
        <w:t>,</w:t>
      </w:r>
    </w:p>
    <w:p w14:paraId="79B4ADB0" w14:textId="206D1952" w:rsidR="00B32C66" w:rsidRDefault="00B32C66" w:rsidP="00B32C66">
      <w:pPr>
        <w:pStyle w:val="SCCLsocParty"/>
        <w:rPr>
          <w:lang w:val="fr-CA"/>
        </w:rPr>
      </w:pPr>
      <w:r w:rsidRPr="00102521">
        <w:rPr>
          <w:lang w:val="fr-CA"/>
        </w:rPr>
        <w:t>Commission des valeurs mobilières de l</w:t>
      </w:r>
      <w:r w:rsidR="00356C64">
        <w:rPr>
          <w:lang w:val="fr-CA"/>
        </w:rPr>
        <w:t>’</w:t>
      </w:r>
      <w:r w:rsidR="005B61E0">
        <w:rPr>
          <w:lang w:val="fr-CA"/>
        </w:rPr>
        <w:t>Ontario,</w:t>
      </w:r>
    </w:p>
    <w:p w14:paraId="237836F8" w14:textId="77777777" w:rsidR="00B32C66" w:rsidRPr="00102521" w:rsidRDefault="00B32C66" w:rsidP="00B32C66">
      <w:pPr>
        <w:pStyle w:val="SCCLsocParty"/>
        <w:rPr>
          <w:lang w:val="en-US"/>
        </w:rPr>
      </w:pPr>
      <w:r w:rsidRPr="00102521">
        <w:rPr>
          <w:lang w:val="en-US"/>
        </w:rPr>
        <w:t>British Columbia Securities Commission,</w:t>
      </w:r>
    </w:p>
    <w:p w14:paraId="55E18FA6" w14:textId="77777777" w:rsidR="00B32C66" w:rsidRPr="00102521" w:rsidRDefault="00B32C66" w:rsidP="00B32C66">
      <w:pPr>
        <w:pStyle w:val="SCCLsocParty"/>
        <w:rPr>
          <w:lang w:val="en-US"/>
        </w:rPr>
      </w:pPr>
      <w:r w:rsidRPr="00102521">
        <w:rPr>
          <w:lang w:val="en-US"/>
        </w:rPr>
        <w:t>Alberta Securities Commission,</w:t>
      </w:r>
    </w:p>
    <w:p w14:paraId="4950BF0D" w14:textId="77777777" w:rsidR="00B32C66" w:rsidRPr="00102521" w:rsidRDefault="00B32C66" w:rsidP="00B32C66">
      <w:pPr>
        <w:pStyle w:val="SCCLsocParty"/>
        <w:rPr>
          <w:lang w:val="fr-CA"/>
        </w:rPr>
      </w:pPr>
      <w:r w:rsidRPr="00102521">
        <w:rPr>
          <w:lang w:val="fr-CA"/>
        </w:rPr>
        <w:t>Ecojustice Canada Society,</w:t>
      </w:r>
    </w:p>
    <w:p w14:paraId="39BE3734" w14:textId="5334968F" w:rsidR="00B32C66" w:rsidRDefault="00B32C66" w:rsidP="00B32C66">
      <w:pPr>
        <w:pStyle w:val="SCCLsocParty"/>
        <w:rPr>
          <w:lang w:val="fr-CA"/>
        </w:rPr>
      </w:pPr>
      <w:r w:rsidRPr="00102521">
        <w:rPr>
          <w:lang w:val="fr-CA"/>
        </w:rPr>
        <w:t>Tribunal d</w:t>
      </w:r>
      <w:r w:rsidR="00356C64">
        <w:rPr>
          <w:lang w:val="fr-CA"/>
        </w:rPr>
        <w:t>’</w:t>
      </w:r>
      <w:r w:rsidRPr="00102521">
        <w:rPr>
          <w:lang w:val="fr-CA"/>
        </w:rPr>
        <w:t>appel</w:t>
      </w:r>
      <w:r w:rsidR="005B61E0">
        <w:rPr>
          <w:lang w:val="fr-CA"/>
        </w:rPr>
        <w:t xml:space="preserve"> de la sécurité professionnelle</w:t>
      </w:r>
    </w:p>
    <w:p w14:paraId="5158ABCB" w14:textId="77777777" w:rsidR="00B32C66" w:rsidRPr="00102521" w:rsidRDefault="00B32C66" w:rsidP="00B32C66">
      <w:pPr>
        <w:pStyle w:val="SCCLsocParty"/>
        <w:rPr>
          <w:lang w:val="fr-CA"/>
        </w:rPr>
      </w:pPr>
      <w:r w:rsidRPr="00102521">
        <w:rPr>
          <w:lang w:val="fr-CA"/>
        </w:rPr>
        <w:t>et de l</w:t>
      </w:r>
      <w:r w:rsidR="00356C64">
        <w:rPr>
          <w:lang w:val="fr-CA"/>
        </w:rPr>
        <w:t>’</w:t>
      </w:r>
      <w:r w:rsidRPr="00102521">
        <w:rPr>
          <w:lang w:val="fr-CA"/>
        </w:rPr>
        <w:t xml:space="preserve">assurance contre les accidents du </w:t>
      </w:r>
      <w:r w:rsidRPr="007D654D">
        <w:rPr>
          <w:lang w:val="fr-CA"/>
        </w:rPr>
        <w:t>travail</w:t>
      </w:r>
      <w:r w:rsidR="0002239F" w:rsidRPr="007D654D">
        <w:rPr>
          <w:lang w:val="fr-CA"/>
        </w:rPr>
        <w:t xml:space="preserve"> (Ontario)</w:t>
      </w:r>
      <w:r w:rsidRPr="007D654D">
        <w:rPr>
          <w:lang w:val="fr-CA"/>
        </w:rPr>
        <w:t>,</w:t>
      </w:r>
    </w:p>
    <w:p w14:paraId="51C365C9" w14:textId="1FFC935D" w:rsidR="00B32C66" w:rsidRPr="00DD2F72" w:rsidRDefault="00B32C66" w:rsidP="00B32C66">
      <w:pPr>
        <w:pStyle w:val="SCCLsocParty"/>
        <w:rPr>
          <w:lang w:val="fr-CA"/>
        </w:rPr>
      </w:pPr>
      <w:r w:rsidRPr="00DD2F72">
        <w:rPr>
          <w:lang w:val="fr-CA"/>
        </w:rPr>
        <w:t>Workers</w:t>
      </w:r>
      <w:r w:rsidR="00356C64">
        <w:rPr>
          <w:lang w:val="fr-CA"/>
        </w:rPr>
        <w:t>’</w:t>
      </w:r>
      <w:r w:rsidR="005B61E0">
        <w:rPr>
          <w:lang w:val="fr-CA"/>
        </w:rPr>
        <w:t xml:space="preserve"> Compensation Appeals Tribunal</w:t>
      </w:r>
    </w:p>
    <w:p w14:paraId="50249E18" w14:textId="2F6708FD" w:rsidR="00B32C66" w:rsidRPr="00E03DBF" w:rsidRDefault="00B32C66" w:rsidP="00B32C66">
      <w:pPr>
        <w:pStyle w:val="SCCLsocParty"/>
        <w:rPr>
          <w:lang w:val="fr-CA"/>
        </w:rPr>
      </w:pPr>
      <w:r w:rsidRPr="00E03DBF">
        <w:rPr>
          <w:lang w:val="fr-CA"/>
        </w:rPr>
        <w:t>(</w:t>
      </w:r>
      <w:r w:rsidR="00E03DBF" w:rsidRPr="00E03DBF">
        <w:rPr>
          <w:lang w:val="fr-CA"/>
        </w:rPr>
        <w:t xml:space="preserve">Territoires du Nord-Ouest et </w:t>
      </w:r>
      <w:r w:rsidR="005B61E0">
        <w:rPr>
          <w:lang w:val="fr-CA"/>
        </w:rPr>
        <w:t>Nunavut),</w:t>
      </w:r>
    </w:p>
    <w:p w14:paraId="27D1E2E6" w14:textId="46093A0B" w:rsidR="00B32C66" w:rsidRDefault="00B32C66" w:rsidP="00B32C66">
      <w:pPr>
        <w:pStyle w:val="SCCLsocParty"/>
        <w:rPr>
          <w:lang w:val="fr-CA"/>
        </w:rPr>
      </w:pPr>
      <w:r w:rsidRPr="00102521">
        <w:rPr>
          <w:lang w:val="fr-CA"/>
        </w:rPr>
        <w:t>Tribunal d</w:t>
      </w:r>
      <w:r w:rsidR="00356C64">
        <w:rPr>
          <w:lang w:val="fr-CA"/>
        </w:rPr>
        <w:t>’</w:t>
      </w:r>
      <w:r w:rsidRPr="00102521">
        <w:rPr>
          <w:lang w:val="fr-CA"/>
        </w:rPr>
        <w:t>appel</w:t>
      </w:r>
      <w:r w:rsidR="005B61E0">
        <w:rPr>
          <w:lang w:val="fr-CA"/>
        </w:rPr>
        <w:t xml:space="preserve"> des décisions de la Commission</w:t>
      </w:r>
    </w:p>
    <w:p w14:paraId="39FA65C6" w14:textId="77777777" w:rsidR="00B32C66" w:rsidRPr="00102521" w:rsidRDefault="00B32C66" w:rsidP="00B32C66">
      <w:pPr>
        <w:pStyle w:val="SCCLsocParty"/>
        <w:rPr>
          <w:lang w:val="fr-CA"/>
        </w:rPr>
      </w:pPr>
      <w:r w:rsidRPr="00102521">
        <w:rPr>
          <w:lang w:val="fr-CA"/>
        </w:rPr>
        <w:t>des accidents du tra</w:t>
      </w:r>
      <w:r>
        <w:rPr>
          <w:lang w:val="fr-CA"/>
        </w:rPr>
        <w:t>vail de la Nouvelle-É</w:t>
      </w:r>
      <w:r w:rsidRPr="00102521">
        <w:rPr>
          <w:lang w:val="fr-CA"/>
        </w:rPr>
        <w:t>cosse,</w:t>
      </w:r>
    </w:p>
    <w:p w14:paraId="561F3D10" w14:textId="77777777" w:rsidR="00B32C66" w:rsidRPr="00102521" w:rsidRDefault="00B32C66" w:rsidP="00B32C66">
      <w:pPr>
        <w:pStyle w:val="SCCLsocParty"/>
        <w:rPr>
          <w:lang w:val="en-US"/>
        </w:rPr>
      </w:pPr>
      <w:r w:rsidRPr="00102521">
        <w:rPr>
          <w:lang w:val="en-US"/>
        </w:rPr>
        <w:t>Appeals Commission for Alberta Workers</w:t>
      </w:r>
      <w:r w:rsidR="00356C64">
        <w:rPr>
          <w:lang w:val="en-US"/>
        </w:rPr>
        <w:t>’</w:t>
      </w:r>
      <w:r w:rsidRPr="00102521">
        <w:rPr>
          <w:lang w:val="en-US"/>
        </w:rPr>
        <w:t xml:space="preserve"> Compensation,</w:t>
      </w:r>
    </w:p>
    <w:p w14:paraId="07766A61" w14:textId="77777777" w:rsidR="00B32C66" w:rsidRPr="00102521" w:rsidRDefault="00B32C66" w:rsidP="00B32C66">
      <w:pPr>
        <w:pStyle w:val="SCCLsocParty"/>
        <w:rPr>
          <w:lang w:val="fr-CA"/>
        </w:rPr>
      </w:pPr>
      <w:r w:rsidRPr="00102521">
        <w:rPr>
          <w:lang w:val="fr-CA"/>
        </w:rPr>
        <w:t>Tribunal d</w:t>
      </w:r>
      <w:r w:rsidR="00356C64">
        <w:rPr>
          <w:lang w:val="fr-CA"/>
        </w:rPr>
        <w:t>’</w:t>
      </w:r>
      <w:r w:rsidRPr="00102521">
        <w:rPr>
          <w:lang w:val="fr-CA"/>
        </w:rPr>
        <w:t xml:space="preserve">appel des accidents au </w:t>
      </w:r>
      <w:r w:rsidR="007D654D">
        <w:rPr>
          <w:lang w:val="fr-CA"/>
        </w:rPr>
        <w:t>travail (</w:t>
      </w:r>
      <w:r w:rsidRPr="00102521">
        <w:rPr>
          <w:lang w:val="fr-CA"/>
        </w:rPr>
        <w:t>Nouveau-Brunswick</w:t>
      </w:r>
      <w:r w:rsidR="007D654D">
        <w:rPr>
          <w:lang w:val="fr-CA"/>
        </w:rPr>
        <w:t>)</w:t>
      </w:r>
      <w:r w:rsidRPr="00102521">
        <w:rPr>
          <w:lang w:val="fr-CA"/>
        </w:rPr>
        <w:t>,</w:t>
      </w:r>
    </w:p>
    <w:p w14:paraId="64DBBD5D" w14:textId="77777777" w:rsidR="00B32C66" w:rsidRPr="00102521" w:rsidRDefault="00EE63BE" w:rsidP="00B32C66">
      <w:pPr>
        <w:pStyle w:val="SCCLsocParty"/>
        <w:rPr>
          <w:lang w:val="fr-CA"/>
        </w:rPr>
      </w:pPr>
      <w:r w:rsidRPr="00EE63BE">
        <w:rPr>
          <w:lang w:val="fr-CA"/>
        </w:rPr>
        <w:t>British Columbia International Commercial Arbitration Centre Foundation</w:t>
      </w:r>
      <w:r w:rsidR="00B32C66" w:rsidRPr="00102521">
        <w:rPr>
          <w:lang w:val="fr-CA"/>
        </w:rPr>
        <w:t>,</w:t>
      </w:r>
    </w:p>
    <w:p w14:paraId="5CFC867B" w14:textId="77777777" w:rsidR="00B32C66" w:rsidRPr="00102521" w:rsidRDefault="00B32C66" w:rsidP="00B32C66">
      <w:pPr>
        <w:pStyle w:val="SCCLsocParty"/>
        <w:rPr>
          <w:lang w:val="fr-CA"/>
        </w:rPr>
      </w:pPr>
      <w:r w:rsidRPr="00102521">
        <w:rPr>
          <w:lang w:val="fr-CA"/>
        </w:rPr>
        <w:t>Conseil des tribun</w:t>
      </w:r>
      <w:r>
        <w:rPr>
          <w:lang w:val="fr-CA"/>
        </w:rPr>
        <w:t>a</w:t>
      </w:r>
      <w:r w:rsidRPr="00102521">
        <w:rPr>
          <w:lang w:val="fr-CA"/>
        </w:rPr>
        <w:t>ux administratifs canadiens,</w:t>
      </w:r>
    </w:p>
    <w:p w14:paraId="5EBFF386" w14:textId="77777777" w:rsidR="00B32C66" w:rsidRPr="00102521" w:rsidRDefault="00B32C66" w:rsidP="00B32C66">
      <w:pPr>
        <w:pStyle w:val="SCCLsocParty"/>
        <w:rPr>
          <w:lang w:val="fr-CA"/>
        </w:rPr>
      </w:pPr>
      <w:r w:rsidRPr="00102521">
        <w:rPr>
          <w:lang w:val="fr-CA"/>
        </w:rPr>
        <w:t>National Academy of Arbitrators,</w:t>
      </w:r>
    </w:p>
    <w:p w14:paraId="04EE4987" w14:textId="77777777" w:rsidR="00B32C66" w:rsidRDefault="00B32C66" w:rsidP="00B32C66">
      <w:pPr>
        <w:pStyle w:val="SCCLsocParty"/>
        <w:rPr>
          <w:lang w:val="fr-CA"/>
        </w:rPr>
      </w:pPr>
      <w:r w:rsidRPr="00102521">
        <w:rPr>
          <w:lang w:val="fr-CA"/>
        </w:rPr>
        <w:t>Ontario Labour-Manageme</w:t>
      </w:r>
      <w:r>
        <w:rPr>
          <w:lang w:val="fr-CA"/>
        </w:rPr>
        <w:t>nt Arbitrators</w:t>
      </w:r>
      <w:r w:rsidR="00356C64">
        <w:rPr>
          <w:lang w:val="fr-CA"/>
        </w:rPr>
        <w:t>’</w:t>
      </w:r>
      <w:r>
        <w:rPr>
          <w:lang w:val="fr-CA"/>
        </w:rPr>
        <w:t xml:space="preserve"> Association,</w:t>
      </w:r>
    </w:p>
    <w:p w14:paraId="44877E75" w14:textId="77777777" w:rsidR="00B32C66" w:rsidRPr="00102521" w:rsidRDefault="00B32C66" w:rsidP="00B32C66">
      <w:pPr>
        <w:pStyle w:val="SCCLsocParty"/>
        <w:rPr>
          <w:lang w:val="fr-CA"/>
        </w:rPr>
      </w:pPr>
      <w:r w:rsidRPr="00102521">
        <w:rPr>
          <w:lang w:val="fr-CA"/>
        </w:rPr>
        <w:t>Conférence des arbitres du Québec,</w:t>
      </w:r>
    </w:p>
    <w:p w14:paraId="1D0B341C" w14:textId="77777777" w:rsidR="00B32C66" w:rsidRPr="00102521" w:rsidRDefault="00B32C66" w:rsidP="00B32C66">
      <w:pPr>
        <w:pStyle w:val="SCCLsocParty"/>
        <w:rPr>
          <w:lang w:val="fr-CA"/>
        </w:rPr>
      </w:pPr>
      <w:r>
        <w:rPr>
          <w:lang w:val="fr-CA"/>
        </w:rPr>
        <w:t>C</w:t>
      </w:r>
      <w:r w:rsidRPr="00102521">
        <w:rPr>
          <w:lang w:val="fr-CA"/>
        </w:rPr>
        <w:t>ongrès du travail du Canada,</w:t>
      </w:r>
    </w:p>
    <w:p w14:paraId="51DAD556" w14:textId="77777777" w:rsidR="00B32C66" w:rsidRPr="00102521" w:rsidRDefault="00B32C66" w:rsidP="00B32C66">
      <w:pPr>
        <w:pStyle w:val="SCCLsocParty"/>
        <w:rPr>
          <w:lang w:val="fr-CA"/>
        </w:rPr>
      </w:pPr>
      <w:r>
        <w:rPr>
          <w:lang w:val="fr-CA"/>
        </w:rPr>
        <w:t>Association nationale des o</w:t>
      </w:r>
      <w:r w:rsidRPr="00102521">
        <w:rPr>
          <w:lang w:val="fr-CA"/>
        </w:rPr>
        <w:t>rganisme</w:t>
      </w:r>
      <w:r>
        <w:rPr>
          <w:lang w:val="fr-CA"/>
        </w:rPr>
        <w:t>s de réglementation de la p</w:t>
      </w:r>
      <w:r w:rsidRPr="00102521">
        <w:rPr>
          <w:lang w:val="fr-CA"/>
        </w:rPr>
        <w:t>harmacie,</w:t>
      </w:r>
    </w:p>
    <w:p w14:paraId="533722CD" w14:textId="77777777" w:rsidR="00B32C66" w:rsidRDefault="00B32C66" w:rsidP="00B32C66">
      <w:pPr>
        <w:pStyle w:val="SCCLsocParty"/>
      </w:pPr>
      <w:r>
        <w:t>Queen</w:t>
      </w:r>
      <w:r w:rsidR="00356C64">
        <w:t>’</w:t>
      </w:r>
      <w:r>
        <w:t>s Prison Law Clinic,</w:t>
      </w:r>
    </w:p>
    <w:p w14:paraId="053EF528" w14:textId="77777777" w:rsidR="00B32C66" w:rsidRDefault="00B32C66" w:rsidP="00B32C66">
      <w:pPr>
        <w:pStyle w:val="SCCLsocParty"/>
      </w:pPr>
      <w:r>
        <w:t>Advocates for the Rule of Law,</w:t>
      </w:r>
    </w:p>
    <w:p w14:paraId="5B4FBB79" w14:textId="77777777" w:rsidR="00B32C66" w:rsidRPr="00CA0068" w:rsidRDefault="00B32C66" w:rsidP="00B32C66">
      <w:pPr>
        <w:pStyle w:val="SCCLsocParty"/>
      </w:pPr>
      <w:r>
        <w:t>Parkdale Community Legal Services,</w:t>
      </w:r>
    </w:p>
    <w:p w14:paraId="1CD7F6C9" w14:textId="77777777" w:rsidR="00B32C66" w:rsidRPr="00CA0068" w:rsidRDefault="00B32C66" w:rsidP="00B32C66">
      <w:pPr>
        <w:pStyle w:val="SCCLsocParty"/>
      </w:pPr>
      <w:r>
        <w:t>Cambridge Comparative Administrative Law Forum,</w:t>
      </w:r>
    </w:p>
    <w:p w14:paraId="24235117" w14:textId="2955D0AD" w:rsidR="00B32C66" w:rsidRDefault="00B32C66" w:rsidP="00B32C66">
      <w:pPr>
        <w:pStyle w:val="SCCLsocParty"/>
        <w:rPr>
          <w:lang w:val="fr-CA"/>
        </w:rPr>
      </w:pPr>
      <w:r w:rsidRPr="00102521">
        <w:rPr>
          <w:lang w:val="fr-CA"/>
        </w:rPr>
        <w:t>Clinique d</w:t>
      </w:r>
      <w:r w:rsidR="00356C64">
        <w:rPr>
          <w:lang w:val="fr-CA"/>
        </w:rPr>
        <w:t>’</w:t>
      </w:r>
      <w:r w:rsidR="00C251E3">
        <w:rPr>
          <w:lang w:val="fr-CA"/>
        </w:rPr>
        <w:t>intérêt public</w:t>
      </w:r>
      <w:r w:rsidR="005B61E0">
        <w:rPr>
          <w:lang w:val="fr-CA"/>
        </w:rPr>
        <w:t xml:space="preserve"> et de politique</w:t>
      </w:r>
    </w:p>
    <w:p w14:paraId="79EAB18C" w14:textId="77777777" w:rsidR="00B32C66" w:rsidRPr="00102521" w:rsidRDefault="00B32C66" w:rsidP="00B32C66">
      <w:pPr>
        <w:pStyle w:val="SCCLsocParty"/>
        <w:rPr>
          <w:lang w:val="fr-CA"/>
        </w:rPr>
      </w:pPr>
      <w:r w:rsidRPr="00102521">
        <w:rPr>
          <w:lang w:val="fr-CA"/>
        </w:rPr>
        <w:t>d</w:t>
      </w:r>
      <w:r w:rsidR="00356C64">
        <w:rPr>
          <w:lang w:val="fr-CA"/>
        </w:rPr>
        <w:t>’</w:t>
      </w:r>
      <w:r w:rsidRPr="00102521">
        <w:rPr>
          <w:lang w:val="fr-CA"/>
        </w:rPr>
        <w:t>internet du Canada Samuelson-Glushko,</w:t>
      </w:r>
    </w:p>
    <w:p w14:paraId="3BAA5207" w14:textId="77777777" w:rsidR="00B32C66" w:rsidRDefault="00682E67" w:rsidP="00B32C66">
      <w:pPr>
        <w:pStyle w:val="SCCLsocParty"/>
        <w:rPr>
          <w:lang w:val="fr-CA"/>
        </w:rPr>
      </w:pPr>
      <w:r>
        <w:rPr>
          <w:lang w:val="fr-CA"/>
        </w:rPr>
        <w:lastRenderedPageBreak/>
        <w:t xml:space="preserve">Association du </w:t>
      </w:r>
      <w:r w:rsidR="00054E2A" w:rsidRPr="00054E2A">
        <w:rPr>
          <w:lang w:val="fr-CA"/>
        </w:rPr>
        <w:t>B</w:t>
      </w:r>
      <w:r w:rsidR="00B32C66" w:rsidRPr="00054E2A">
        <w:rPr>
          <w:lang w:val="fr-CA"/>
        </w:rPr>
        <w:t>a</w:t>
      </w:r>
      <w:r w:rsidR="00B32C66" w:rsidRPr="00102521">
        <w:rPr>
          <w:lang w:val="fr-CA"/>
        </w:rPr>
        <w:t>rreau</w:t>
      </w:r>
      <w:r>
        <w:rPr>
          <w:lang w:val="fr-CA"/>
        </w:rPr>
        <w:t xml:space="preserve"> </w:t>
      </w:r>
      <w:r w:rsidRPr="00054E2A">
        <w:rPr>
          <w:lang w:val="fr-CA"/>
        </w:rPr>
        <w:t>c</w:t>
      </w:r>
      <w:r w:rsidR="00B32C66" w:rsidRPr="00054E2A">
        <w:rPr>
          <w:lang w:val="fr-CA"/>
        </w:rPr>
        <w:t>a</w:t>
      </w:r>
      <w:r w:rsidR="00B32C66">
        <w:rPr>
          <w:lang w:val="fr-CA"/>
        </w:rPr>
        <w:t>nadien,</w:t>
      </w:r>
    </w:p>
    <w:p w14:paraId="1019AE4A" w14:textId="77777777" w:rsidR="00B32C66" w:rsidRPr="006C35AC" w:rsidRDefault="00B32C66" w:rsidP="00B32C66">
      <w:pPr>
        <w:pStyle w:val="SCCLsocParty"/>
        <w:rPr>
          <w:lang w:val="fr-CA"/>
        </w:rPr>
      </w:pPr>
      <w:r w:rsidRPr="006C35AC">
        <w:rPr>
          <w:lang w:val="fr-CA"/>
        </w:rPr>
        <w:t>Association canadienne des avocats et avocates en droit des réfugiés,</w:t>
      </w:r>
    </w:p>
    <w:p w14:paraId="443FF4E5" w14:textId="77777777" w:rsidR="00B32C66" w:rsidRDefault="00B32C66" w:rsidP="00B32C66">
      <w:pPr>
        <w:pStyle w:val="SCCLsocParty"/>
      </w:pPr>
      <w:r>
        <w:t>Community &amp; Legal Aid Services Programme,</w:t>
      </w:r>
    </w:p>
    <w:p w14:paraId="64A2CEE1" w14:textId="77777777" w:rsidR="00B32C66" w:rsidRPr="00CA0068" w:rsidRDefault="00B32C66" w:rsidP="00B32C66">
      <w:pPr>
        <w:pStyle w:val="SCCLsocParty"/>
        <w:rPr>
          <w:lang w:val="fr-CA"/>
        </w:rPr>
      </w:pPr>
      <w:r w:rsidRPr="006C35AC">
        <w:rPr>
          <w:lang w:val="fr-CA"/>
        </w:rPr>
        <w:t>Association québécoise des avocats et avocates en droit de l</w:t>
      </w:r>
      <w:r w:rsidR="00356C64">
        <w:rPr>
          <w:lang w:val="fr-CA"/>
        </w:rPr>
        <w:t>’</w:t>
      </w:r>
      <w:r>
        <w:rPr>
          <w:lang w:val="fr-CA"/>
        </w:rPr>
        <w:t>immigration et</w:t>
      </w:r>
    </w:p>
    <w:p w14:paraId="33FCA460" w14:textId="77777777" w:rsidR="005B61E0" w:rsidRDefault="00B32C66" w:rsidP="005B61E0">
      <w:pPr>
        <w:pStyle w:val="SCCLsocLastPartyInRole"/>
        <w:spacing w:after="0"/>
        <w:rPr>
          <w:lang w:val="fr-CA"/>
        </w:rPr>
      </w:pPr>
      <w:r w:rsidRPr="00102521">
        <w:rPr>
          <w:lang w:val="fr-CA"/>
        </w:rPr>
        <w:t>Société de soutien à l</w:t>
      </w:r>
      <w:r w:rsidR="00356C64">
        <w:rPr>
          <w:lang w:val="fr-CA"/>
        </w:rPr>
        <w:t>’</w:t>
      </w:r>
      <w:r w:rsidRPr="00102521">
        <w:rPr>
          <w:lang w:val="fr-CA"/>
        </w:rPr>
        <w:t xml:space="preserve">enfance et à la </w:t>
      </w:r>
    </w:p>
    <w:p w14:paraId="54E777D6" w14:textId="7E3AC9AB" w:rsidR="00B32C66" w:rsidRPr="00102521" w:rsidRDefault="00B32C66" w:rsidP="00067295">
      <w:pPr>
        <w:pStyle w:val="SCCLsocLastPartyInRole"/>
        <w:rPr>
          <w:lang w:val="fr-CA"/>
        </w:rPr>
      </w:pPr>
      <w:r w:rsidRPr="00102521">
        <w:rPr>
          <w:lang w:val="fr-CA"/>
        </w:rPr>
        <w:t xml:space="preserve">famille des </w:t>
      </w:r>
      <w:r>
        <w:rPr>
          <w:lang w:val="fr-CA"/>
        </w:rPr>
        <w:t>P</w:t>
      </w:r>
      <w:r w:rsidRPr="00102521">
        <w:rPr>
          <w:lang w:val="fr-CA"/>
        </w:rPr>
        <w:t xml:space="preserve">remières </w:t>
      </w:r>
      <w:r>
        <w:rPr>
          <w:lang w:val="fr-CA"/>
        </w:rPr>
        <w:t>N</w:t>
      </w:r>
      <w:r w:rsidRPr="00102521">
        <w:rPr>
          <w:lang w:val="fr-CA"/>
        </w:rPr>
        <w:t>ations du Canada</w:t>
      </w:r>
      <w:r>
        <w:rPr>
          <w:rStyle w:val="SCCLsocPartyRole"/>
          <w:lang w:val="fr-CA"/>
        </w:rPr>
        <w:tab/>
        <w:t>Intervenant</w:t>
      </w:r>
      <w:r w:rsidRPr="00102521">
        <w:rPr>
          <w:rStyle w:val="SCCLsocPartyRole"/>
          <w:lang w:val="fr-CA"/>
        </w:rPr>
        <w:t>s</w:t>
      </w:r>
    </w:p>
    <w:p w14:paraId="4EED2E60" w14:textId="77777777" w:rsidR="00B32C66" w:rsidRPr="00B32C66" w:rsidRDefault="004D7D95" w:rsidP="00067295">
      <w:pPr>
        <w:spacing w:after="720"/>
        <w:jc w:val="both"/>
        <w:rPr>
          <w:b/>
          <w:lang w:val="fr-CA"/>
        </w:rPr>
      </w:pPr>
      <w:r w:rsidRPr="00BB4C92">
        <w:rPr>
          <w:b/>
          <w:lang w:val="fr-CA"/>
        </w:rPr>
        <w:t>Répertorié : </w:t>
      </w:r>
      <w:r w:rsidR="00B32C66">
        <w:rPr>
          <w:b/>
          <w:lang w:val="fr-CA"/>
        </w:rPr>
        <w:t>C</w:t>
      </w:r>
      <w:r w:rsidR="00B32C66" w:rsidRPr="00B32C66">
        <w:rPr>
          <w:b/>
          <w:lang w:val="fr-CA"/>
        </w:rPr>
        <w:t>anada (</w:t>
      </w:r>
      <w:r w:rsidR="00B32C66">
        <w:rPr>
          <w:b/>
          <w:lang w:val="fr-CA"/>
        </w:rPr>
        <w:t>M</w:t>
      </w:r>
      <w:r w:rsidR="00B32C66" w:rsidRPr="00B32C66">
        <w:rPr>
          <w:b/>
          <w:lang w:val="fr-CA"/>
        </w:rPr>
        <w:t xml:space="preserve">inistre de la </w:t>
      </w:r>
      <w:r w:rsidR="00B32C66">
        <w:rPr>
          <w:b/>
          <w:lang w:val="fr-CA"/>
        </w:rPr>
        <w:t>C</w:t>
      </w:r>
      <w:r w:rsidR="00B32C66" w:rsidRPr="00B32C66">
        <w:rPr>
          <w:b/>
          <w:lang w:val="fr-CA"/>
        </w:rPr>
        <w:t>itoyenneté et de l</w:t>
      </w:r>
      <w:r w:rsidR="00356C64">
        <w:rPr>
          <w:b/>
          <w:lang w:val="fr-CA"/>
        </w:rPr>
        <w:t>’</w:t>
      </w:r>
      <w:r w:rsidR="00B32C66">
        <w:rPr>
          <w:b/>
          <w:lang w:val="fr-CA"/>
        </w:rPr>
        <w:t>I</w:t>
      </w:r>
      <w:r w:rsidR="00B32C66" w:rsidRPr="00B32C66">
        <w:rPr>
          <w:b/>
          <w:lang w:val="fr-CA"/>
        </w:rPr>
        <w:t xml:space="preserve">mmigration) </w:t>
      </w:r>
      <w:r w:rsidR="00B32C66" w:rsidRPr="00B32C66">
        <w:rPr>
          <w:b/>
          <w:i/>
          <w:lang w:val="fr-CA"/>
        </w:rPr>
        <w:t>c.</w:t>
      </w:r>
      <w:r w:rsidR="00B32C66" w:rsidRPr="00B32C66">
        <w:rPr>
          <w:b/>
          <w:lang w:val="fr-CA"/>
        </w:rPr>
        <w:t xml:space="preserve"> </w:t>
      </w:r>
      <w:r w:rsidR="00B32C66">
        <w:rPr>
          <w:b/>
          <w:lang w:val="fr-CA"/>
        </w:rPr>
        <w:t>V</w:t>
      </w:r>
      <w:r w:rsidR="00B32C66" w:rsidRPr="00B32C66">
        <w:rPr>
          <w:b/>
          <w:lang w:val="fr-CA"/>
        </w:rPr>
        <w:t>avilov</w:t>
      </w:r>
    </w:p>
    <w:p w14:paraId="7C18E659" w14:textId="77777777" w:rsidR="004D7D95" w:rsidRPr="00102521" w:rsidRDefault="00D17B0E" w:rsidP="00067295">
      <w:pPr>
        <w:pStyle w:val="SCCSystemYear"/>
        <w:spacing w:after="720"/>
        <w:jc w:val="both"/>
        <w:rPr>
          <w:lang w:val="fr-CA"/>
        </w:rPr>
      </w:pPr>
      <w:r w:rsidRPr="00102521">
        <w:rPr>
          <w:lang w:val="fr-CA"/>
        </w:rPr>
        <w:t>2019</w:t>
      </w:r>
      <w:r w:rsidR="00F44DB3">
        <w:rPr>
          <w:lang w:val="fr-CA"/>
        </w:rPr>
        <w:t xml:space="preserve"> CSC 65</w:t>
      </w:r>
    </w:p>
    <w:p w14:paraId="6249DD7D" w14:textId="77777777" w:rsidR="004D7D95" w:rsidRPr="00102521" w:rsidRDefault="004D7D95" w:rsidP="00067295">
      <w:pPr>
        <w:spacing w:after="720"/>
        <w:jc w:val="both"/>
        <w:rPr>
          <w:lang w:val="fr-CA"/>
        </w:rPr>
      </w:pPr>
      <w:r w:rsidRPr="00102521">
        <w:rPr>
          <w:lang w:val="fr-CA"/>
        </w:rPr>
        <w:t>N</w:t>
      </w:r>
      <w:r w:rsidRPr="00102521">
        <w:rPr>
          <w:vertAlign w:val="superscript"/>
          <w:lang w:val="fr-CA"/>
        </w:rPr>
        <w:t>o</w:t>
      </w:r>
      <w:r w:rsidRPr="00102521">
        <w:rPr>
          <w:lang w:val="fr-CA"/>
        </w:rPr>
        <w:t xml:space="preserve"> du greffe : </w:t>
      </w:r>
      <w:r w:rsidR="00B32C66">
        <w:rPr>
          <w:lang w:val="fr-CA"/>
        </w:rPr>
        <w:t>37748</w:t>
      </w:r>
      <w:r w:rsidRPr="00102521">
        <w:rPr>
          <w:lang w:val="fr-CA"/>
        </w:rPr>
        <w:t>.</w:t>
      </w:r>
    </w:p>
    <w:p w14:paraId="46C2F9AC" w14:textId="18D2A5C3" w:rsidR="004D7D95" w:rsidRPr="00102521" w:rsidRDefault="00067295" w:rsidP="00067295">
      <w:pPr>
        <w:spacing w:after="720"/>
        <w:jc w:val="both"/>
        <w:rPr>
          <w:lang w:val="fr-CA"/>
        </w:rPr>
      </w:pPr>
      <w:r>
        <w:rPr>
          <w:lang w:val="fr-CA"/>
        </w:rPr>
        <w:t>2018</w:t>
      </w:r>
      <w:r w:rsidR="003C2DEE">
        <w:rPr>
          <w:lang w:val="fr-CA"/>
        </w:rPr>
        <w:t> </w:t>
      </w:r>
      <w:r>
        <w:rPr>
          <w:lang w:val="fr-CA"/>
        </w:rPr>
        <w:t>: </w:t>
      </w:r>
      <w:r w:rsidR="00D17B0E" w:rsidRPr="00617457">
        <w:rPr>
          <w:lang w:val="fr-CA"/>
        </w:rPr>
        <w:t>4</w:t>
      </w:r>
      <w:r w:rsidR="00EE63BE" w:rsidRPr="00617457">
        <w:rPr>
          <w:lang w:val="fr-CA"/>
        </w:rPr>
        <w:t>, 5, 6</w:t>
      </w:r>
      <w:r>
        <w:rPr>
          <w:lang w:val="fr-CA"/>
        </w:rPr>
        <w:t> </w:t>
      </w:r>
      <w:r w:rsidR="00D17B0E" w:rsidRPr="00617457">
        <w:rPr>
          <w:lang w:val="fr-CA"/>
        </w:rPr>
        <w:t>décembre</w:t>
      </w:r>
      <w:r w:rsidR="004D7D95" w:rsidRPr="00617457">
        <w:rPr>
          <w:lang w:val="fr-CA"/>
        </w:rPr>
        <w:t xml:space="preserve">; </w:t>
      </w:r>
      <w:r w:rsidR="0025783E" w:rsidRPr="00617457">
        <w:rPr>
          <w:lang w:val="fr-CA"/>
        </w:rPr>
        <w:t>2019</w:t>
      </w:r>
      <w:r>
        <w:rPr>
          <w:lang w:val="fr-CA"/>
        </w:rPr>
        <w:t> : 19 </w:t>
      </w:r>
      <w:r w:rsidR="0025783E" w:rsidRPr="0025783E">
        <w:rPr>
          <w:lang w:val="fr-CA"/>
        </w:rPr>
        <w:t>décembre.</w:t>
      </w:r>
    </w:p>
    <w:p w14:paraId="40F11F97" w14:textId="77777777" w:rsidR="004D7D95" w:rsidRPr="00102521" w:rsidRDefault="004D7D95" w:rsidP="00067295">
      <w:pPr>
        <w:spacing w:after="720"/>
        <w:jc w:val="both"/>
        <w:rPr>
          <w:lang w:val="fr-CA"/>
        </w:rPr>
      </w:pPr>
      <w:r w:rsidRPr="00102521">
        <w:rPr>
          <w:lang w:val="fr-CA"/>
        </w:rPr>
        <w:t>Présents : Le juge en chef Wagner et les juges Abella, Moldaver, Karakatsanis, Gascon, Côté, Brown, Rowe et Martin.</w:t>
      </w:r>
    </w:p>
    <w:p w14:paraId="7D55B11A" w14:textId="77777777" w:rsidR="004D7D95" w:rsidRPr="00B32C66" w:rsidRDefault="004D7D95" w:rsidP="00067295">
      <w:pPr>
        <w:spacing w:after="720"/>
        <w:jc w:val="both"/>
        <w:rPr>
          <w:smallCaps/>
          <w:lang w:val="fr-CA"/>
        </w:rPr>
      </w:pPr>
      <w:r w:rsidRPr="00B32C66">
        <w:rPr>
          <w:smallCaps/>
          <w:lang w:val="fr-CA"/>
        </w:rPr>
        <w:t>en appel de la cour d</w:t>
      </w:r>
      <w:r w:rsidR="00356C64">
        <w:rPr>
          <w:smallCaps/>
          <w:lang w:val="fr-CA"/>
        </w:rPr>
        <w:t>’</w:t>
      </w:r>
      <w:r w:rsidRPr="00B32C66">
        <w:rPr>
          <w:smallCaps/>
          <w:lang w:val="fr-CA"/>
        </w:rPr>
        <w:t>appel fédérale</w:t>
      </w:r>
    </w:p>
    <w:p w14:paraId="5291CCDF" w14:textId="0E546838" w:rsidR="00E2604B" w:rsidRPr="001A7798" w:rsidRDefault="004D7D95" w:rsidP="00A457C6">
      <w:pPr>
        <w:pStyle w:val="SCCNormalDoubleSpacing"/>
        <w:spacing w:after="480"/>
        <w:rPr>
          <w:rStyle w:val="QuoteChar"/>
          <w:color w:val="auto"/>
          <w:lang w:val="fr-CA"/>
        </w:rPr>
      </w:pPr>
      <w:r w:rsidRPr="00BB4C92">
        <w:rPr>
          <w:lang w:val="fr-CA"/>
        </w:rPr>
        <w:tab/>
      </w:r>
      <w:r w:rsidR="00E2604B" w:rsidRPr="001A7798">
        <w:rPr>
          <w:i/>
          <w:lang w:val="fr-CA"/>
        </w:rPr>
        <w:t>Droit a</w:t>
      </w:r>
      <w:r w:rsidR="00E2604B" w:rsidRPr="001A7798">
        <w:rPr>
          <w:rStyle w:val="QuoteChar"/>
          <w:color w:val="auto"/>
          <w:lang w:val="fr-CA"/>
        </w:rPr>
        <w:t>dministratif — Contrôle judiciaire — Norme de contrôle —</w:t>
      </w:r>
      <w:r w:rsidR="00ED0EF8">
        <w:rPr>
          <w:rStyle w:val="QuoteChar"/>
          <w:color w:val="auto"/>
          <w:lang w:val="fr-CA"/>
        </w:rPr>
        <w:t xml:space="preserve"> Démarche appropriée pour </w:t>
      </w:r>
      <w:r w:rsidR="00E2604B" w:rsidRPr="001A7798">
        <w:rPr>
          <w:i/>
          <w:noProof/>
          <w:lang w:val="fr-CA"/>
        </w:rPr>
        <w:t>le contrôle judiciaire des décisions administratives</w:t>
      </w:r>
      <w:r w:rsidR="00E2604B" w:rsidRPr="001A7798">
        <w:rPr>
          <w:rStyle w:val="QuoteChar"/>
          <w:color w:val="auto"/>
          <w:lang w:val="fr-CA"/>
        </w:rPr>
        <w:t xml:space="preserve"> —</w:t>
      </w:r>
      <w:r w:rsidR="004F2B0A">
        <w:rPr>
          <w:rStyle w:val="QuoteChar"/>
          <w:color w:val="auto"/>
          <w:lang w:val="fr-CA"/>
        </w:rPr>
        <w:t xml:space="preserve"> </w:t>
      </w:r>
      <w:r w:rsidR="00ED0EF8">
        <w:rPr>
          <w:rStyle w:val="QuoteChar"/>
          <w:color w:val="auto"/>
          <w:lang w:val="fr-CA"/>
        </w:rPr>
        <w:t xml:space="preserve">Démarche appropriée pour l’application de la norme </w:t>
      </w:r>
      <w:r w:rsidR="00E2604B" w:rsidRPr="001A7798">
        <w:rPr>
          <w:i/>
          <w:noProof/>
          <w:lang w:val="fr-CA"/>
        </w:rPr>
        <w:t>de la décision raisonnable</w:t>
      </w:r>
      <w:r w:rsidR="00E2604B" w:rsidRPr="001A7798">
        <w:rPr>
          <w:rStyle w:val="QuoteChar"/>
          <w:color w:val="auto"/>
          <w:lang w:val="fr-CA"/>
        </w:rPr>
        <w:t>.</w:t>
      </w:r>
    </w:p>
    <w:p w14:paraId="0623719F" w14:textId="695B44F0" w:rsidR="00E2604B" w:rsidRDefault="00E2604B" w:rsidP="00E2604B">
      <w:pPr>
        <w:pStyle w:val="SCCNormalDoubleSpacing"/>
        <w:spacing w:after="480"/>
        <w:rPr>
          <w:i/>
          <w:lang w:val="fr-CA"/>
        </w:rPr>
      </w:pPr>
      <w:r w:rsidRPr="001A7798">
        <w:rPr>
          <w:rStyle w:val="QuoteChar"/>
          <w:color w:val="auto"/>
          <w:lang w:val="fr-CA"/>
        </w:rPr>
        <w:tab/>
      </w:r>
      <w:r w:rsidRPr="00963522">
        <w:rPr>
          <w:rStyle w:val="QuoteChar"/>
          <w:color w:val="auto"/>
          <w:lang w:val="fr-CA"/>
        </w:rPr>
        <w:t xml:space="preserve">Citoyenneté — Citoyens canadiens </w:t>
      </w:r>
      <w:r w:rsidRPr="00963522">
        <w:rPr>
          <w:lang w:val="fr-CA"/>
        </w:rPr>
        <w:t>—</w:t>
      </w:r>
      <w:r w:rsidRPr="00963522">
        <w:rPr>
          <w:i/>
          <w:lang w:val="fr-CA"/>
        </w:rPr>
        <w:t xml:space="preserve"> Annulation par la greffière de la citoyenneté du certificat de citoyenneté canadienne délivré au fils né au Canada de parents qui se sont plus tard révélés être des espions russes — </w:t>
      </w:r>
      <w:r>
        <w:rPr>
          <w:i/>
          <w:lang w:val="fr-CA"/>
        </w:rPr>
        <w:t xml:space="preserve">Décision </w:t>
      </w:r>
      <w:r w:rsidR="00F56F23">
        <w:rPr>
          <w:i/>
          <w:lang w:val="fr-CA"/>
        </w:rPr>
        <w:t xml:space="preserve">rendue par </w:t>
      </w:r>
      <w:r>
        <w:rPr>
          <w:i/>
          <w:lang w:val="fr-CA"/>
        </w:rPr>
        <w:t xml:space="preserve">la greffière sur </w:t>
      </w:r>
      <w:r w:rsidR="00F56F23">
        <w:rPr>
          <w:i/>
          <w:lang w:val="fr-CA"/>
        </w:rPr>
        <w:t>son interprétation d</w:t>
      </w:r>
      <w:r>
        <w:rPr>
          <w:i/>
          <w:lang w:val="fr-CA"/>
        </w:rPr>
        <w:t xml:space="preserve">e </w:t>
      </w:r>
      <w:r w:rsidR="00F56F23">
        <w:rPr>
          <w:i/>
          <w:lang w:val="fr-CA"/>
        </w:rPr>
        <w:t>l’</w:t>
      </w:r>
      <w:r w:rsidR="004144A6">
        <w:rPr>
          <w:i/>
          <w:lang w:val="fr-CA"/>
        </w:rPr>
        <w:t>exception</w:t>
      </w:r>
      <w:r>
        <w:rPr>
          <w:i/>
          <w:lang w:val="fr-CA"/>
        </w:rPr>
        <w:t xml:space="preserve"> </w:t>
      </w:r>
      <w:r w:rsidR="00F56F23">
        <w:rPr>
          <w:i/>
          <w:lang w:val="fr-CA"/>
        </w:rPr>
        <w:t>prévue par la loi</w:t>
      </w:r>
      <w:r>
        <w:rPr>
          <w:i/>
          <w:lang w:val="fr-CA"/>
        </w:rPr>
        <w:t xml:space="preserve"> à </w:t>
      </w:r>
      <w:r w:rsidR="00F56F23">
        <w:rPr>
          <w:i/>
          <w:lang w:val="fr-CA"/>
        </w:rPr>
        <w:t xml:space="preserve">l’égard de </w:t>
      </w:r>
      <w:r>
        <w:rPr>
          <w:i/>
          <w:lang w:val="fr-CA"/>
        </w:rPr>
        <w:t>la rè</w:t>
      </w:r>
      <w:r w:rsidR="00F56F23">
        <w:rPr>
          <w:i/>
          <w:lang w:val="fr-CA"/>
        </w:rPr>
        <w:t>gle générale suivant laquelle les</w:t>
      </w:r>
      <w:r>
        <w:rPr>
          <w:i/>
          <w:lang w:val="fr-CA"/>
        </w:rPr>
        <w:t xml:space="preserve"> personne</w:t>
      </w:r>
      <w:r w:rsidR="00F56F23">
        <w:rPr>
          <w:i/>
          <w:lang w:val="fr-CA"/>
        </w:rPr>
        <w:t>s</w:t>
      </w:r>
      <w:r>
        <w:rPr>
          <w:i/>
          <w:lang w:val="fr-CA"/>
        </w:rPr>
        <w:t xml:space="preserve"> née</w:t>
      </w:r>
      <w:r w:rsidR="00F56F23">
        <w:rPr>
          <w:i/>
          <w:lang w:val="fr-CA"/>
        </w:rPr>
        <w:t>s au Canada ont</w:t>
      </w:r>
      <w:r>
        <w:rPr>
          <w:i/>
          <w:lang w:val="fr-CA"/>
        </w:rPr>
        <w:t xml:space="preserve"> la citoyenneté canadienne </w:t>
      </w:r>
      <w:r w:rsidRPr="00963522">
        <w:rPr>
          <w:i/>
          <w:lang w:val="fr-CA"/>
        </w:rPr>
        <w:t xml:space="preserve">— Exception </w:t>
      </w:r>
      <w:r w:rsidR="00F56F23">
        <w:rPr>
          <w:i/>
          <w:lang w:val="fr-CA"/>
        </w:rPr>
        <w:t xml:space="preserve">précisant qu’un enfant </w:t>
      </w:r>
      <w:r>
        <w:rPr>
          <w:i/>
          <w:lang w:val="fr-CA"/>
        </w:rPr>
        <w:t xml:space="preserve">né au Canada n’est pas citoyen canadien si, au </w:t>
      </w:r>
      <w:r>
        <w:rPr>
          <w:i/>
          <w:lang w:val="fr-CA"/>
        </w:rPr>
        <w:lastRenderedPageBreak/>
        <w:t>moment de sa naissance, son père ou sa mère était représentant ou au service au Canada d’un gouvernement étranger</w:t>
      </w:r>
      <w:r w:rsidRPr="00963522">
        <w:rPr>
          <w:i/>
          <w:lang w:val="fr-CA"/>
        </w:rPr>
        <w:t xml:space="preserve"> — La d</w:t>
      </w:r>
      <w:r>
        <w:rPr>
          <w:i/>
          <w:lang w:val="fr-CA"/>
        </w:rPr>
        <w:t>é</w:t>
      </w:r>
      <w:r w:rsidRPr="00963522">
        <w:rPr>
          <w:i/>
          <w:lang w:val="fr-CA"/>
        </w:rPr>
        <w:t>cision de la greffi</w:t>
      </w:r>
      <w:r>
        <w:rPr>
          <w:i/>
          <w:lang w:val="fr-CA"/>
        </w:rPr>
        <w:t xml:space="preserve">ère d’annuler le certificat de citoyenneté était-elle raisonnable? </w:t>
      </w:r>
      <w:r w:rsidRPr="00963522">
        <w:rPr>
          <w:i/>
          <w:lang w:val="fr-CA"/>
        </w:rPr>
        <w:t xml:space="preserve">— Loi sur </w:t>
      </w:r>
      <w:r w:rsidR="009F3C20">
        <w:rPr>
          <w:i/>
          <w:lang w:val="fr-CA"/>
        </w:rPr>
        <w:t>la citoyenneté, L.R.C. 1985, c. </w:t>
      </w:r>
      <w:r w:rsidR="003C7745">
        <w:rPr>
          <w:i/>
          <w:lang w:val="fr-CA"/>
        </w:rPr>
        <w:t>C-</w:t>
      </w:r>
      <w:r w:rsidRPr="00963522">
        <w:rPr>
          <w:i/>
          <w:lang w:val="fr-CA"/>
        </w:rPr>
        <w:t>29, art. 3(2)a).</w:t>
      </w:r>
    </w:p>
    <w:p w14:paraId="2ECB6A27" w14:textId="1717B683" w:rsidR="004D7D95" w:rsidRPr="004D7D95" w:rsidRDefault="00E2604B" w:rsidP="00067295">
      <w:pPr>
        <w:pStyle w:val="SCCNormalDoubleSpacing"/>
        <w:spacing w:after="480"/>
        <w:rPr>
          <w:lang w:val="fr-CA"/>
        </w:rPr>
      </w:pPr>
      <w:r w:rsidRPr="00A574E8">
        <w:rPr>
          <w:lang w:val="fr-CA"/>
        </w:rPr>
        <w:tab/>
      </w:r>
      <w:r w:rsidRPr="00790673">
        <w:rPr>
          <w:lang w:val="fr-CA"/>
        </w:rPr>
        <w:t xml:space="preserve">V est né à Toronto en </w:t>
      </w:r>
      <w:r>
        <w:rPr>
          <w:lang w:val="fr-CA"/>
        </w:rPr>
        <w:t>1</w:t>
      </w:r>
      <w:r w:rsidRPr="00790673">
        <w:rPr>
          <w:lang w:val="fr-CA"/>
        </w:rPr>
        <w:t xml:space="preserve">994. </w:t>
      </w:r>
      <w:r w:rsidRPr="00000DCC">
        <w:rPr>
          <w:noProof/>
          <w:lang w:val="fr-CA"/>
        </w:rPr>
        <w:t>Au moment de sa naissance, ses parents se font passer p</w:t>
      </w:r>
      <w:r>
        <w:rPr>
          <w:noProof/>
          <w:lang w:val="fr-CA"/>
        </w:rPr>
        <w:t>our des Canadiens en utilisant d</w:t>
      </w:r>
      <w:r w:rsidRPr="00000DCC">
        <w:rPr>
          <w:noProof/>
          <w:lang w:val="fr-CA"/>
        </w:rPr>
        <w:t>es noms d’emprunt</w:t>
      </w:r>
      <w:r w:rsidRPr="00790673">
        <w:rPr>
          <w:lang w:val="fr-CA"/>
        </w:rPr>
        <w:t xml:space="preserve">. </w:t>
      </w:r>
      <w:r w:rsidRPr="00000DCC">
        <w:rPr>
          <w:noProof/>
          <w:lang w:val="fr-CA"/>
        </w:rPr>
        <w:t xml:space="preserve">En fait, </w:t>
      </w:r>
      <w:r>
        <w:rPr>
          <w:noProof/>
          <w:lang w:val="fr-CA"/>
        </w:rPr>
        <w:t xml:space="preserve">ils </w:t>
      </w:r>
      <w:r w:rsidRPr="00000DCC">
        <w:rPr>
          <w:noProof/>
          <w:lang w:val="fr-CA"/>
        </w:rPr>
        <w:t xml:space="preserve">sont des étrangers en mission pour le </w:t>
      </w:r>
      <w:r w:rsidR="00D24B6A">
        <w:rPr>
          <w:noProof/>
          <w:lang w:val="fr-CA"/>
        </w:rPr>
        <w:t>s</w:t>
      </w:r>
      <w:r w:rsidRPr="00000DCC">
        <w:rPr>
          <w:noProof/>
          <w:lang w:val="fr-CA"/>
        </w:rPr>
        <w:t>ervice des renseignements étrangers de la Russie</w:t>
      </w:r>
      <w:r>
        <w:rPr>
          <w:noProof/>
          <w:lang w:val="fr-CA"/>
        </w:rPr>
        <w:t xml:space="preserve">. </w:t>
      </w:r>
      <w:r w:rsidRPr="00BF7DDD">
        <w:rPr>
          <w:lang w:val="fr-CA"/>
        </w:rPr>
        <w:t xml:space="preserve">V </w:t>
      </w:r>
      <w:r w:rsidRPr="00000DCC">
        <w:rPr>
          <w:noProof/>
          <w:lang w:val="fr-CA"/>
        </w:rPr>
        <w:t xml:space="preserve">ne sait pas que ses parents ne sont pas ceux qu’ils prétendent être. </w:t>
      </w:r>
      <w:r w:rsidRPr="00BF7DDD">
        <w:rPr>
          <w:noProof/>
          <w:lang w:val="fr-CA"/>
        </w:rPr>
        <w:t xml:space="preserve">Il croit être citoyen canadien de naissance, </w:t>
      </w:r>
      <w:r>
        <w:rPr>
          <w:noProof/>
          <w:lang w:val="fr-CA"/>
        </w:rPr>
        <w:t>i</w:t>
      </w:r>
      <w:r w:rsidRPr="00000DCC">
        <w:rPr>
          <w:noProof/>
          <w:lang w:val="fr-CA"/>
        </w:rPr>
        <w:t>l vit et s’identifie comme un Canadien, et il détient un passeport canadien</w:t>
      </w:r>
      <w:r w:rsidRPr="00BF7DDD">
        <w:rPr>
          <w:lang w:val="fr-CA"/>
        </w:rPr>
        <w:t xml:space="preserve">. </w:t>
      </w:r>
      <w:r w:rsidRPr="005B2D27">
        <w:rPr>
          <w:lang w:val="fr-CA"/>
        </w:rPr>
        <w:t xml:space="preserve">En 2010, les parents de V </w:t>
      </w:r>
      <w:r w:rsidRPr="00000DCC">
        <w:rPr>
          <w:noProof/>
          <w:lang w:val="fr-CA"/>
        </w:rPr>
        <w:t>sont arrêtés aux États</w:t>
      </w:r>
      <w:r w:rsidRPr="00000DCC">
        <w:rPr>
          <w:noProof/>
          <w:lang w:val="fr-CA"/>
        </w:rPr>
        <w:noBreakHyphen/>
        <w:t xml:space="preserve">Unis et accusés </w:t>
      </w:r>
      <w:r>
        <w:rPr>
          <w:noProof/>
          <w:lang w:val="fr-CA"/>
        </w:rPr>
        <w:t xml:space="preserve">d’espionnage. </w:t>
      </w:r>
      <w:r w:rsidRPr="005B2D27">
        <w:rPr>
          <w:lang w:val="fr-CA"/>
        </w:rPr>
        <w:t xml:space="preserve">Ils plaident coupables et sont renvoyés en Russie. Après leur arrestation, V </w:t>
      </w:r>
      <w:r w:rsidRPr="00000DCC">
        <w:rPr>
          <w:noProof/>
          <w:lang w:val="fr-CA"/>
        </w:rPr>
        <w:t>tente en vain de re</w:t>
      </w:r>
      <w:r>
        <w:rPr>
          <w:noProof/>
          <w:lang w:val="fr-CA"/>
        </w:rPr>
        <w:t xml:space="preserve">nouveler son passeport canadien. </w:t>
      </w:r>
      <w:r w:rsidRPr="005B2D27">
        <w:rPr>
          <w:lang w:val="fr-CA"/>
        </w:rPr>
        <w:t>On lui décerne toutefois en 2013 un certificat de citoyenneté canadienne.</w:t>
      </w:r>
    </w:p>
    <w:p w14:paraId="7DB31C65" w14:textId="4044F1E0" w:rsidR="00B543F4" w:rsidRPr="00190C51" w:rsidRDefault="004D7D95" w:rsidP="009F3C20">
      <w:pPr>
        <w:pStyle w:val="SCCNormalDoubleSpacing"/>
        <w:spacing w:after="480"/>
        <w:rPr>
          <w:lang w:val="fr-CA"/>
        </w:rPr>
      </w:pPr>
      <w:r w:rsidRPr="004D7D95">
        <w:rPr>
          <w:lang w:val="fr-CA"/>
        </w:rPr>
        <w:tab/>
      </w:r>
      <w:r w:rsidR="00B543F4" w:rsidRPr="005B2D27">
        <w:rPr>
          <w:lang w:val="fr-CA"/>
        </w:rPr>
        <w:t xml:space="preserve">Puis, en 2014, la greffière de la citoyenneté canadienne annule le certificat de V </w:t>
      </w:r>
      <w:r w:rsidR="00B543F4">
        <w:rPr>
          <w:lang w:val="fr-CA"/>
        </w:rPr>
        <w:t xml:space="preserve">en se fondant </w:t>
      </w:r>
      <w:r w:rsidR="009F3C20">
        <w:rPr>
          <w:lang w:val="fr-CA"/>
        </w:rPr>
        <w:t>sur son interprétation de l’al. </w:t>
      </w:r>
      <w:r w:rsidR="00B543F4" w:rsidRPr="005B2D27">
        <w:rPr>
          <w:lang w:val="fr-CA"/>
        </w:rPr>
        <w:t xml:space="preserve">3(2)a) </w:t>
      </w:r>
      <w:r w:rsidR="00B543F4">
        <w:rPr>
          <w:lang w:val="fr-CA"/>
        </w:rPr>
        <w:t xml:space="preserve">de la </w:t>
      </w:r>
      <w:r w:rsidR="00B543F4">
        <w:rPr>
          <w:i/>
          <w:lang w:val="fr-CA"/>
        </w:rPr>
        <w:t>Loi sur la citoyenneté</w:t>
      </w:r>
      <w:r w:rsidR="00B543F4" w:rsidRPr="005B2D27">
        <w:rPr>
          <w:lang w:val="fr-CA"/>
        </w:rPr>
        <w:t xml:space="preserve">. </w:t>
      </w:r>
      <w:r w:rsidR="00B543F4" w:rsidRPr="00604848">
        <w:rPr>
          <w:lang w:val="fr-CA"/>
        </w:rPr>
        <w:t xml:space="preserve">Cette disposition </w:t>
      </w:r>
      <w:r w:rsidR="00B543F4" w:rsidRPr="00000DCC">
        <w:rPr>
          <w:noProof/>
          <w:lang w:val="fr-CA"/>
        </w:rPr>
        <w:t>exempt</w:t>
      </w:r>
      <w:r w:rsidR="00B543F4">
        <w:rPr>
          <w:noProof/>
          <w:lang w:val="fr-CA"/>
        </w:rPr>
        <w:t xml:space="preserve">e </w:t>
      </w:r>
      <w:r w:rsidR="00B543F4" w:rsidRPr="00000DCC">
        <w:rPr>
          <w:noProof/>
          <w:lang w:val="fr-CA"/>
        </w:rPr>
        <w:t>les enfants d’un « agent diplomatique ou consulaire, représentant à un autre titre ou au service au Canada d’un gouvernement étranger » de l’ap</w:t>
      </w:r>
      <w:r w:rsidR="00B543F4">
        <w:rPr>
          <w:noProof/>
          <w:lang w:val="fr-CA"/>
        </w:rPr>
        <w:t xml:space="preserve">plication de la règle générale </w:t>
      </w:r>
      <w:r w:rsidR="00B543F4" w:rsidRPr="00000DCC">
        <w:rPr>
          <w:noProof/>
          <w:lang w:val="fr-CA"/>
        </w:rPr>
        <w:t xml:space="preserve">selon laquelle les personnes nées au Canada </w:t>
      </w:r>
      <w:r w:rsidR="00B543F4">
        <w:rPr>
          <w:noProof/>
          <w:lang w:val="fr-CA"/>
        </w:rPr>
        <w:t>o</w:t>
      </w:r>
      <w:r w:rsidR="00B543F4" w:rsidRPr="00000DCC">
        <w:rPr>
          <w:noProof/>
          <w:lang w:val="fr-CA"/>
        </w:rPr>
        <w:t>nt la citoyenneté canadienne de naissance</w:t>
      </w:r>
      <w:r w:rsidR="00B543F4">
        <w:rPr>
          <w:noProof/>
          <w:lang w:val="fr-CA"/>
        </w:rPr>
        <w:t xml:space="preserve">. </w:t>
      </w:r>
      <w:r w:rsidR="00B543F4" w:rsidRPr="00D71B3C">
        <w:rPr>
          <w:lang w:val="fr-CA"/>
        </w:rPr>
        <w:t xml:space="preserve">La greffière conclut que, comme les parents de V étaient </w:t>
      </w:r>
      <w:r w:rsidR="00B543F4" w:rsidRPr="00D71B3C">
        <w:rPr>
          <w:noProof/>
          <w:lang w:val="fr-CA" w:bidi="en-US"/>
        </w:rPr>
        <w:t xml:space="preserve">des employés ou représentants de la Russie au moment de la naissance de V, </w:t>
      </w:r>
      <w:r w:rsidR="00E1297A">
        <w:rPr>
          <w:noProof/>
          <w:lang w:val="fr-CA" w:bidi="en-US"/>
        </w:rPr>
        <w:t xml:space="preserve">et selon l’interprétation qu’elle donne de </w:t>
      </w:r>
      <w:r w:rsidR="00B543F4" w:rsidRPr="00D71B3C">
        <w:rPr>
          <w:lang w:val="fr-CA" w:bidi="en-US"/>
        </w:rPr>
        <w:t>l’exception</w:t>
      </w:r>
      <w:r w:rsidR="009F3C20">
        <w:rPr>
          <w:lang w:val="fr-CA" w:bidi="en-US"/>
        </w:rPr>
        <w:t xml:space="preserve"> prévue à l’al. </w:t>
      </w:r>
      <w:r w:rsidR="00B543F4">
        <w:rPr>
          <w:lang w:val="fr-CA" w:bidi="en-US"/>
        </w:rPr>
        <w:t>3(2</w:t>
      </w:r>
      <w:r w:rsidR="00E1297A">
        <w:rPr>
          <w:lang w:val="fr-CA" w:bidi="en-US"/>
        </w:rPr>
        <w:t>)a)</w:t>
      </w:r>
      <w:r w:rsidR="00B543F4">
        <w:rPr>
          <w:lang w:val="fr-CA" w:bidi="en-US"/>
        </w:rPr>
        <w:t xml:space="preserve"> à </w:t>
      </w:r>
      <w:r w:rsidR="00E1297A">
        <w:rPr>
          <w:lang w:val="fr-CA" w:bidi="en-US"/>
        </w:rPr>
        <w:t xml:space="preserve">l’égard de </w:t>
      </w:r>
      <w:r w:rsidR="00B543F4">
        <w:rPr>
          <w:lang w:val="fr-CA" w:bidi="en-US"/>
        </w:rPr>
        <w:t xml:space="preserve">la règle de citoyenneté par la naissance, </w:t>
      </w:r>
      <w:r w:rsidR="00E1297A">
        <w:rPr>
          <w:lang w:val="fr-CA" w:bidi="en-US"/>
        </w:rPr>
        <w:t>cette exception s’applique à V, qui n’a</w:t>
      </w:r>
      <w:r w:rsidR="00B543F4">
        <w:rPr>
          <w:lang w:val="fr-CA" w:bidi="en-US"/>
        </w:rPr>
        <w:t xml:space="preserve"> donc pas dro</w:t>
      </w:r>
      <w:r w:rsidR="00E1297A">
        <w:rPr>
          <w:lang w:val="fr-CA" w:bidi="en-US"/>
        </w:rPr>
        <w:t>it à la citoyenneté et n’y a</w:t>
      </w:r>
      <w:r w:rsidR="00B543F4">
        <w:rPr>
          <w:lang w:val="fr-CA" w:bidi="en-US"/>
        </w:rPr>
        <w:t xml:space="preserve"> jamais eu droit. </w:t>
      </w:r>
      <w:r w:rsidR="00B543F4" w:rsidRPr="00415810">
        <w:rPr>
          <w:lang w:val="fr-CA"/>
        </w:rPr>
        <w:t xml:space="preserve">La demande de contrôle judiciaire </w:t>
      </w:r>
      <w:r w:rsidR="00B543F4" w:rsidRPr="00415810">
        <w:rPr>
          <w:lang w:val="fr-CA"/>
        </w:rPr>
        <w:lastRenderedPageBreak/>
        <w:t xml:space="preserve">présentée par V à l’encontre de la décision </w:t>
      </w:r>
      <w:r w:rsidR="00B543F4">
        <w:rPr>
          <w:lang w:val="fr-CA"/>
        </w:rPr>
        <w:t xml:space="preserve">de la greffière est rejetée par la Cour fédérale. </w:t>
      </w:r>
      <w:r w:rsidR="00B543F4" w:rsidRPr="00415810">
        <w:rPr>
          <w:lang w:val="fr-CA"/>
        </w:rPr>
        <w:t>La Cour d’appel accueille l’appel interjeté par V et casse la d</w:t>
      </w:r>
      <w:r w:rsidR="00B543F4">
        <w:rPr>
          <w:lang w:val="fr-CA"/>
        </w:rPr>
        <w:t>é</w:t>
      </w:r>
      <w:r w:rsidR="00B543F4" w:rsidRPr="00415810">
        <w:rPr>
          <w:lang w:val="fr-CA"/>
        </w:rPr>
        <w:t xml:space="preserve">cision </w:t>
      </w:r>
      <w:r w:rsidR="00B543F4">
        <w:rPr>
          <w:lang w:val="fr-CA"/>
        </w:rPr>
        <w:t xml:space="preserve">de la greffière parce qu’elle était déraisonnable. </w:t>
      </w:r>
      <w:r w:rsidR="00B543F4" w:rsidRPr="00190C51">
        <w:rPr>
          <w:lang w:val="fr-CA"/>
        </w:rPr>
        <w:t>Le ministre de la Citoyenneté et de l’Immigration se pourvoit en appel.</w:t>
      </w:r>
    </w:p>
    <w:p w14:paraId="4CB41DC1" w14:textId="522254F9" w:rsidR="004D7D95" w:rsidRPr="004D7D95" w:rsidRDefault="00B543F4" w:rsidP="009F3C20">
      <w:pPr>
        <w:pStyle w:val="SCCNormalDoubleSpacing"/>
        <w:spacing w:after="720" w:line="240" w:lineRule="auto"/>
        <w:rPr>
          <w:lang w:val="fr-CA"/>
        </w:rPr>
      </w:pPr>
      <w:r w:rsidRPr="00190C51">
        <w:rPr>
          <w:lang w:val="fr-CA"/>
        </w:rPr>
        <w:tab/>
      </w:r>
      <w:r w:rsidR="003C2DEE">
        <w:rPr>
          <w:rStyle w:val="QuoteChar"/>
          <w:color w:val="auto"/>
          <w:lang w:val="fr-CA"/>
        </w:rPr>
        <w:t>Arrêt </w:t>
      </w:r>
      <w:r w:rsidRPr="00190C51">
        <w:rPr>
          <w:rStyle w:val="QuoteChar"/>
          <w:i w:val="0"/>
          <w:color w:val="auto"/>
          <w:lang w:val="fr-CA"/>
        </w:rPr>
        <w:t>:</w:t>
      </w:r>
      <w:r w:rsidRPr="00190C51">
        <w:rPr>
          <w:lang w:val="fr-CA"/>
        </w:rPr>
        <w:t xml:space="preserve"> Le pourvoi est rejeté.</w:t>
      </w:r>
    </w:p>
    <w:p w14:paraId="31A595AC" w14:textId="6E8876A9" w:rsidR="00302F24" w:rsidRDefault="004D7D95" w:rsidP="00554A83">
      <w:pPr>
        <w:pStyle w:val="SCCNormalDoubleSpacing"/>
        <w:spacing w:after="480"/>
        <w:rPr>
          <w:noProof/>
          <w:lang w:val="fr-CA"/>
        </w:rPr>
      </w:pPr>
      <w:r w:rsidRPr="004D7D95">
        <w:rPr>
          <w:lang w:val="fr-CA"/>
        </w:rPr>
        <w:tab/>
      </w:r>
      <w:r w:rsidR="00302F24" w:rsidRPr="001100A7">
        <w:rPr>
          <w:i/>
          <w:lang w:val="fr-CA"/>
        </w:rPr>
        <w:t xml:space="preserve">Le </w:t>
      </w:r>
      <w:r w:rsidR="00302F24" w:rsidRPr="001100A7">
        <w:rPr>
          <w:lang w:val="fr-CA"/>
        </w:rPr>
        <w:t xml:space="preserve">juge en chef </w:t>
      </w:r>
      <w:r w:rsidR="00302F24" w:rsidRPr="005F1A71">
        <w:rPr>
          <w:lang w:val="fr-CA"/>
        </w:rPr>
        <w:t>Wagner et les juges Moldaver, Gascon, Côté, Brown, Rowe et Martin</w:t>
      </w:r>
      <w:r w:rsidR="003C2DEE" w:rsidRPr="005F1A71">
        <w:rPr>
          <w:lang w:val="fr-CA"/>
        </w:rPr>
        <w:t> </w:t>
      </w:r>
      <w:r w:rsidR="00302F24" w:rsidRPr="001100A7">
        <w:rPr>
          <w:lang w:val="fr-CA"/>
        </w:rPr>
        <w:t xml:space="preserve">: La décision de la greffière d’annuler le certificat de citoyenneté </w:t>
      </w:r>
      <w:r w:rsidR="00302F24">
        <w:rPr>
          <w:lang w:val="fr-CA"/>
        </w:rPr>
        <w:t xml:space="preserve">de V était déraisonnable, et il y a lieu de confirmer l’arrêt par lequel la Cour d’appel fédérale l’a cassée. </w:t>
      </w:r>
      <w:r w:rsidR="00302F24" w:rsidRPr="00AF0E8F">
        <w:rPr>
          <w:lang w:val="fr-CA"/>
        </w:rPr>
        <w:t>L</w:t>
      </w:r>
      <w:r w:rsidR="00302F24" w:rsidRPr="00AF0E8F">
        <w:rPr>
          <w:noProof/>
          <w:lang w:val="fr-CA"/>
        </w:rPr>
        <w:t xml:space="preserve">a greffière </w:t>
      </w:r>
      <w:r w:rsidR="00302F24" w:rsidRPr="00D24B6A">
        <w:rPr>
          <w:noProof/>
          <w:lang w:val="fr-CA"/>
        </w:rPr>
        <w:t>ne pouvait</w:t>
      </w:r>
      <w:r w:rsidR="00302F24" w:rsidRPr="00AF0E8F">
        <w:rPr>
          <w:noProof/>
          <w:lang w:val="fr-CA"/>
        </w:rPr>
        <w:t xml:space="preserve"> raisonnablement interpréter l’al. 3(2)a) de la </w:t>
      </w:r>
      <w:r w:rsidR="00302F24" w:rsidRPr="00AF0E8F">
        <w:rPr>
          <w:i/>
          <w:noProof/>
          <w:lang w:val="fr-CA"/>
        </w:rPr>
        <w:t>Loi sur la citoyenneté</w:t>
      </w:r>
      <w:r w:rsidR="00302F24" w:rsidRPr="00AF0E8F">
        <w:rPr>
          <w:noProof/>
          <w:lang w:val="fr-CA"/>
        </w:rPr>
        <w:t xml:space="preserve"> comme s’appliquant à un enfant dont les parents, au moment de sa naissance, </w:t>
      </w:r>
      <w:r w:rsidR="00302F24">
        <w:rPr>
          <w:noProof/>
          <w:lang w:val="fr-CA"/>
        </w:rPr>
        <w:t>ne s</w:t>
      </w:r>
      <w:r w:rsidR="00302F24" w:rsidRPr="00AF0E8F">
        <w:rPr>
          <w:noProof/>
          <w:lang w:val="fr-CA"/>
        </w:rPr>
        <w:t xml:space="preserve">’étaient </w:t>
      </w:r>
      <w:r w:rsidR="00302F24">
        <w:rPr>
          <w:noProof/>
          <w:lang w:val="fr-CA"/>
        </w:rPr>
        <w:t xml:space="preserve">pas </w:t>
      </w:r>
      <w:r w:rsidR="00302F24" w:rsidRPr="00AF0E8F">
        <w:rPr>
          <w:noProof/>
          <w:lang w:val="fr-CA"/>
        </w:rPr>
        <w:t>vu accorder des privilèges et immunités diplomatiques</w:t>
      </w:r>
      <w:r w:rsidR="00302F24">
        <w:rPr>
          <w:noProof/>
          <w:lang w:val="fr-CA"/>
        </w:rPr>
        <w:t>.</w:t>
      </w:r>
    </w:p>
    <w:p w14:paraId="6981FC2C" w14:textId="2838A0C4" w:rsidR="00302F24" w:rsidRDefault="00E8198C" w:rsidP="00554A83">
      <w:pPr>
        <w:pStyle w:val="SCCNormalDoubleSpacing"/>
        <w:spacing w:after="480"/>
        <w:rPr>
          <w:noProof/>
          <w:lang w:val="fr-CA"/>
        </w:rPr>
      </w:pPr>
      <w:r>
        <w:rPr>
          <w:lang w:val="fr-CA"/>
        </w:rPr>
        <w:tab/>
      </w:r>
      <w:r w:rsidRPr="0039495C">
        <w:rPr>
          <w:lang w:val="fr-CA"/>
        </w:rPr>
        <w:t>De façon plus générale, l</w:t>
      </w:r>
      <w:r w:rsidRPr="0039495C">
        <w:rPr>
          <w:noProof/>
          <w:lang w:val="fr-CA"/>
        </w:rPr>
        <w:t xml:space="preserve">e présent pourvoi et les pourvois connexes </w:t>
      </w:r>
      <w:r w:rsidRPr="0039495C">
        <w:rPr>
          <w:lang w:val="fr-CA"/>
        </w:rPr>
        <w:t>(</w:t>
      </w:r>
      <w:r w:rsidRPr="0039495C">
        <w:rPr>
          <w:i/>
          <w:lang w:val="fr-CA"/>
        </w:rPr>
        <w:t>Bell Canada c. Canada (Procureur général)</w:t>
      </w:r>
      <w:r w:rsidRPr="0039495C">
        <w:rPr>
          <w:lang w:val="fr-CA"/>
        </w:rPr>
        <w:t>,</w:t>
      </w:r>
      <w:r w:rsidRPr="0039495C">
        <w:rPr>
          <w:i/>
          <w:lang w:val="fr-CA"/>
        </w:rPr>
        <w:t xml:space="preserve"> </w:t>
      </w:r>
      <w:r w:rsidRPr="0039495C">
        <w:rPr>
          <w:lang w:val="fr-CA"/>
        </w:rPr>
        <w:t>2019 CSC 66</w:t>
      </w:r>
      <w:r w:rsidR="005F1A71">
        <w:rPr>
          <w:lang w:val="fr-CA"/>
        </w:rPr>
        <w:t xml:space="preserve">, [2019] </w:t>
      </w:r>
      <w:r w:rsidR="00D350E6">
        <w:rPr>
          <w:lang w:val="fr-CA"/>
        </w:rPr>
        <w:t>4</w:t>
      </w:r>
      <w:r w:rsidR="005F1A71">
        <w:rPr>
          <w:lang w:val="fr-CA"/>
        </w:rPr>
        <w:t xml:space="preserve"> R.C.S. </w:t>
      </w:r>
      <w:r w:rsidR="004F2B0A">
        <w:rPr>
          <w:lang w:val="fr-CA"/>
        </w:rPr>
        <w:t>845</w:t>
      </w:r>
      <w:r w:rsidRPr="0039495C">
        <w:rPr>
          <w:lang w:val="fr-CA"/>
        </w:rPr>
        <w:t>)</w:t>
      </w:r>
      <w:r w:rsidRPr="0039495C">
        <w:rPr>
          <w:noProof/>
          <w:lang w:val="fr-CA"/>
        </w:rPr>
        <w:t xml:space="preserve"> </w:t>
      </w:r>
      <w:r>
        <w:rPr>
          <w:lang w:val="fr-CA"/>
        </w:rPr>
        <w:t>donnent l’</w:t>
      </w:r>
      <w:r w:rsidRPr="00000DCC">
        <w:rPr>
          <w:noProof/>
          <w:lang w:val="fr-CA"/>
        </w:rPr>
        <w:t>occasion d</w:t>
      </w:r>
      <w:r>
        <w:rPr>
          <w:noProof/>
          <w:lang w:val="fr-CA"/>
        </w:rPr>
        <w:t xml:space="preserve">’analyser et de clarifier </w:t>
      </w:r>
      <w:r w:rsidRPr="00000DCC">
        <w:rPr>
          <w:noProof/>
          <w:lang w:val="fr-CA"/>
        </w:rPr>
        <w:t xml:space="preserve">le droit applicable au contrôle judiciaire des décisions administratives tel que traité dans l’arrêt </w:t>
      </w:r>
      <w:r w:rsidRPr="00000DCC">
        <w:rPr>
          <w:i/>
          <w:noProof/>
          <w:lang w:val="fr-CA"/>
        </w:rPr>
        <w:t xml:space="preserve">Dunsmuir </w:t>
      </w:r>
      <w:r>
        <w:rPr>
          <w:i/>
          <w:noProof/>
          <w:lang w:val="fr-CA"/>
        </w:rPr>
        <w:t>c. Nouveau-Brunswick</w:t>
      </w:r>
      <w:r>
        <w:rPr>
          <w:noProof/>
          <w:lang w:val="fr-CA"/>
        </w:rPr>
        <w:t xml:space="preserve">, 2008 CSC 9, </w:t>
      </w:r>
      <w:r w:rsidRPr="0039495C">
        <w:rPr>
          <w:lang w:val="fr-CA"/>
        </w:rPr>
        <w:t xml:space="preserve">[2008] 1 </w:t>
      </w:r>
      <w:r>
        <w:rPr>
          <w:lang w:val="fr-CA"/>
        </w:rPr>
        <w:t>R</w:t>
      </w:r>
      <w:r w:rsidRPr="0039495C">
        <w:rPr>
          <w:lang w:val="fr-CA"/>
        </w:rPr>
        <w:t>.C.</w:t>
      </w:r>
      <w:r>
        <w:rPr>
          <w:lang w:val="fr-CA"/>
        </w:rPr>
        <w:t>S</w:t>
      </w:r>
      <w:r w:rsidRPr="0039495C">
        <w:rPr>
          <w:lang w:val="fr-CA"/>
        </w:rPr>
        <w:t>. 190</w:t>
      </w:r>
      <w:r>
        <w:rPr>
          <w:lang w:val="fr-CA"/>
        </w:rPr>
        <w:t>,</w:t>
      </w:r>
      <w:r>
        <w:rPr>
          <w:i/>
          <w:noProof/>
          <w:lang w:val="fr-CA"/>
        </w:rPr>
        <w:t xml:space="preserve"> </w:t>
      </w:r>
      <w:r w:rsidRPr="00000DCC">
        <w:rPr>
          <w:noProof/>
          <w:lang w:val="fr-CA"/>
        </w:rPr>
        <w:t>et les arrêts subséquents</w:t>
      </w:r>
      <w:r>
        <w:rPr>
          <w:noProof/>
          <w:lang w:val="fr-CA"/>
        </w:rPr>
        <w:t xml:space="preserve">. </w:t>
      </w:r>
      <w:r w:rsidRPr="00000DCC">
        <w:rPr>
          <w:noProof/>
          <w:lang w:val="fr-CA"/>
        </w:rPr>
        <w:t>Les observations présentées à la Cour ont mis en relief deux aspects du cadre d’analyse actuel qu’il est nécessaire de clarifier</w:t>
      </w:r>
      <w:r>
        <w:rPr>
          <w:noProof/>
          <w:lang w:val="fr-CA"/>
        </w:rPr>
        <w:t xml:space="preserve">. </w:t>
      </w:r>
      <w:r w:rsidRPr="00000DCC">
        <w:rPr>
          <w:noProof/>
          <w:lang w:val="fr-CA"/>
        </w:rPr>
        <w:t>Le premier aspect concerne l’analyse visant à déterminer la norme de contrôle applicable</w:t>
      </w:r>
      <w:r w:rsidRPr="00D57895">
        <w:rPr>
          <w:lang w:val="fr-CA"/>
        </w:rPr>
        <w:t xml:space="preserve">. </w:t>
      </w:r>
      <w:r w:rsidRPr="00000DCC">
        <w:rPr>
          <w:noProof/>
          <w:lang w:val="fr-CA"/>
        </w:rPr>
        <w:t>Le deuxième aspect concerne la nécessité d’indications plus précises de la Cour sur l’application appropriée de la norme de contrôle de la décision raisonnable</w:t>
      </w:r>
      <w:r>
        <w:rPr>
          <w:noProof/>
          <w:lang w:val="fr-CA"/>
        </w:rPr>
        <w:t>.</w:t>
      </w:r>
    </w:p>
    <w:p w14:paraId="2389126F" w14:textId="2B647CA5" w:rsidR="00D45D78" w:rsidRPr="0091468B" w:rsidRDefault="00D45D78" w:rsidP="00D45D78">
      <w:pPr>
        <w:pStyle w:val="SCCNormalDoubleSpacing"/>
        <w:spacing w:after="480"/>
        <w:rPr>
          <w:lang w:val="fr-CA"/>
        </w:rPr>
      </w:pPr>
      <w:r>
        <w:rPr>
          <w:noProof/>
          <w:lang w:val="fr-CA"/>
        </w:rPr>
        <w:lastRenderedPageBreak/>
        <w:tab/>
      </w:r>
      <w:r w:rsidRPr="00000DCC">
        <w:rPr>
          <w:noProof/>
          <w:lang w:val="fr-CA"/>
        </w:rPr>
        <w:t>Il est devenu évident que la promesse de simplicité et de prévisibilité formulée</w:t>
      </w:r>
      <w:r w:rsidRPr="00000DCC">
        <w:rPr>
          <w:noProof/>
          <w:szCs w:val="24"/>
          <w:lang w:val="fr-CA"/>
        </w:rPr>
        <w:t xml:space="preserve"> </w:t>
      </w:r>
      <w:r w:rsidRPr="00000DCC">
        <w:rPr>
          <w:noProof/>
          <w:lang w:val="fr-CA"/>
        </w:rPr>
        <w:t xml:space="preserve">à cet égard dans l’arrêt </w:t>
      </w:r>
      <w:r w:rsidRPr="00000DCC">
        <w:rPr>
          <w:i/>
          <w:noProof/>
          <w:lang w:val="fr-CA"/>
        </w:rPr>
        <w:t>Dunsmuir</w:t>
      </w:r>
      <w:r w:rsidRPr="00000DCC">
        <w:rPr>
          <w:noProof/>
          <w:lang w:val="fr-CA"/>
        </w:rPr>
        <w:t xml:space="preserve"> ne s’est pas pleinement réalisée</w:t>
      </w:r>
      <w:r>
        <w:rPr>
          <w:noProof/>
          <w:lang w:val="fr-CA"/>
        </w:rPr>
        <w:t>.</w:t>
      </w:r>
      <w:r w:rsidRPr="00D57895">
        <w:rPr>
          <w:lang w:val="fr-CA"/>
        </w:rPr>
        <w:t xml:space="preserve"> </w:t>
      </w:r>
      <w:r w:rsidRPr="00250164">
        <w:rPr>
          <w:lang w:val="fr-CA"/>
        </w:rPr>
        <w:t xml:space="preserve">Certains aspects </w:t>
      </w:r>
      <w:r w:rsidRPr="00000DCC">
        <w:rPr>
          <w:noProof/>
          <w:lang w:val="fr-CA"/>
        </w:rPr>
        <w:t xml:space="preserve">du cadre d’analyse actuel </w:t>
      </w:r>
      <w:r>
        <w:rPr>
          <w:noProof/>
          <w:lang w:val="fr-CA"/>
        </w:rPr>
        <w:t xml:space="preserve">de la norme de contrôle </w:t>
      </w:r>
      <w:r w:rsidRPr="00000DCC">
        <w:rPr>
          <w:noProof/>
          <w:lang w:val="fr-CA"/>
        </w:rPr>
        <w:t>ne sont pas clairs et sont indûment complexes.</w:t>
      </w:r>
      <w:r>
        <w:rPr>
          <w:noProof/>
          <w:lang w:val="fr-CA"/>
        </w:rPr>
        <w:t xml:space="preserve"> </w:t>
      </w:r>
      <w:r w:rsidRPr="00B657F0">
        <w:rPr>
          <w:lang w:val="fr-CA"/>
        </w:rPr>
        <w:t xml:space="preserve">L’ancienne analyse contextuelle </w:t>
      </w:r>
      <w:r w:rsidRPr="00000DCC">
        <w:rPr>
          <w:noProof/>
          <w:lang w:val="fr-CA"/>
        </w:rPr>
        <w:t xml:space="preserve">s’est révélée complexe et d’utilité limitée pour donner une orientation pratique aux cours de justice qui tentent </w:t>
      </w:r>
      <w:r>
        <w:rPr>
          <w:noProof/>
          <w:lang w:val="fr-CA"/>
        </w:rPr>
        <w:t xml:space="preserve">de </w:t>
      </w:r>
      <w:r w:rsidRPr="00000DCC">
        <w:rPr>
          <w:noProof/>
          <w:lang w:val="fr-CA" w:bidi="en-US"/>
        </w:rPr>
        <w:t>déterminer la norme de contrôle applicable</w:t>
      </w:r>
      <w:r w:rsidRPr="00B657F0">
        <w:rPr>
          <w:lang w:val="fr-CA"/>
        </w:rPr>
        <w:t xml:space="preserve">. </w:t>
      </w:r>
      <w:r w:rsidRPr="00000DCC">
        <w:rPr>
          <w:noProof/>
          <w:lang w:val="fr-CA"/>
        </w:rPr>
        <w:t>Ce manque de clarté a pour effet pratique que les cours de justice ont parfois de la difficulté à effectuer l’analyse relative à la norme de contrôle</w:t>
      </w:r>
      <w:r>
        <w:rPr>
          <w:noProof/>
          <w:lang w:val="fr-CA"/>
        </w:rPr>
        <w:t xml:space="preserve">, et </w:t>
      </w:r>
      <w:r w:rsidR="00D350E6">
        <w:rPr>
          <w:noProof/>
          <w:lang w:val="fr-CA"/>
        </w:rPr>
        <w:t>des</w:t>
      </w:r>
      <w:r w:rsidRPr="00000DCC">
        <w:rPr>
          <w:noProof/>
          <w:lang w:val="fr-CA"/>
        </w:rPr>
        <w:t xml:space="preserve"> débats entourant la norme appropriée et son application continuent d’éclipser le contrôle sur le fond, ce qui mine l’accès à la justice</w:t>
      </w:r>
      <w:r w:rsidRPr="00B657F0">
        <w:rPr>
          <w:lang w:val="fr-CA"/>
        </w:rPr>
        <w:t xml:space="preserve">. </w:t>
      </w:r>
      <w:r>
        <w:rPr>
          <w:lang w:val="fr-CA"/>
        </w:rPr>
        <w:t xml:space="preserve">Il est donc </w:t>
      </w:r>
      <w:r w:rsidRPr="00000DCC">
        <w:rPr>
          <w:noProof/>
          <w:lang w:val="fr-CA"/>
        </w:rPr>
        <w:t>nécessaire de revoir l’approche de la Cour afin d’apporter une cohérence et une prévisibilité accrues à ce domaine du droit</w:t>
      </w:r>
      <w:r>
        <w:rPr>
          <w:noProof/>
          <w:lang w:val="fr-CA"/>
        </w:rPr>
        <w:t>.</w:t>
      </w:r>
      <w:r w:rsidRPr="0091468B">
        <w:rPr>
          <w:lang w:val="fr-CA"/>
        </w:rPr>
        <w:t xml:space="preserve"> </w:t>
      </w:r>
      <w:r>
        <w:rPr>
          <w:lang w:val="fr-CA"/>
        </w:rPr>
        <w:t>U</w:t>
      </w:r>
      <w:r w:rsidRPr="00000DCC">
        <w:rPr>
          <w:noProof/>
          <w:lang w:val="fr-CA"/>
        </w:rPr>
        <w:t xml:space="preserve">n cadre d’analyse révisé </w:t>
      </w:r>
      <w:r>
        <w:rPr>
          <w:noProof/>
          <w:lang w:val="fr-CA"/>
        </w:rPr>
        <w:t xml:space="preserve">servant à </w:t>
      </w:r>
      <w:r w:rsidRPr="00000DCC">
        <w:rPr>
          <w:noProof/>
          <w:lang w:val="fr-CA"/>
        </w:rPr>
        <w:t>déterminer la norme de contrôle applicable</w:t>
      </w:r>
      <w:r w:rsidRPr="00000DCC">
        <w:rPr>
          <w:rFonts w:eastAsiaTheme="minorHAnsi"/>
          <w:noProof/>
          <w:lang w:val="fr-CA" w:bidi="en-US"/>
        </w:rPr>
        <w:t xml:space="preserve"> </w:t>
      </w:r>
      <w:r w:rsidRPr="00000DCC">
        <w:rPr>
          <w:noProof/>
          <w:lang w:val="fr-CA" w:bidi="en-US"/>
        </w:rPr>
        <w:t>lorsqu’une cour de justice se penche sur le fond d’une décision administrative</w:t>
      </w:r>
      <w:r w:rsidR="009F3C20">
        <w:rPr>
          <w:noProof/>
          <w:lang w:val="fr-CA" w:bidi="en-US"/>
        </w:rPr>
        <w:t xml:space="preserve"> s’impose.</w:t>
      </w:r>
    </w:p>
    <w:p w14:paraId="19D53619" w14:textId="1961BCA9" w:rsidR="00D45D78" w:rsidRDefault="00D45D78" w:rsidP="00D45D78">
      <w:pPr>
        <w:pStyle w:val="SCCNormalDoubleSpacing"/>
        <w:spacing w:after="480"/>
        <w:rPr>
          <w:noProof/>
          <w:lang w:val="fr-CA"/>
        </w:rPr>
      </w:pPr>
      <w:r w:rsidRPr="0091468B">
        <w:rPr>
          <w:lang w:val="fr-CA"/>
        </w:rPr>
        <w:tab/>
      </w:r>
      <w:r w:rsidRPr="009E7B4F">
        <w:rPr>
          <w:lang w:val="fr-CA"/>
        </w:rPr>
        <w:t>En</w:t>
      </w:r>
      <w:r>
        <w:rPr>
          <w:lang w:val="fr-CA"/>
        </w:rPr>
        <w:t xml:space="preserve"> exposant un </w:t>
      </w:r>
      <w:r w:rsidRPr="00000DCC">
        <w:rPr>
          <w:noProof/>
          <w:lang w:val="fr-CA"/>
        </w:rPr>
        <w:t>cadre d’analyse</w:t>
      </w:r>
      <w:r>
        <w:rPr>
          <w:noProof/>
          <w:lang w:val="fr-CA"/>
        </w:rPr>
        <w:t xml:space="preserve"> révisé, la présente décision </w:t>
      </w:r>
      <w:r w:rsidRPr="00000DCC">
        <w:rPr>
          <w:noProof/>
          <w:lang w:val="fr-CA"/>
        </w:rPr>
        <w:t xml:space="preserve">s’écarte à certains égards de la jurisprudence actuelle de la Cour </w:t>
      </w:r>
      <w:r>
        <w:rPr>
          <w:noProof/>
          <w:lang w:val="fr-CA"/>
        </w:rPr>
        <w:t xml:space="preserve">sur la norme de contrôle. </w:t>
      </w:r>
      <w:r w:rsidRPr="009E7B4F">
        <w:rPr>
          <w:noProof/>
          <w:lang w:val="fr-CA"/>
        </w:rPr>
        <w:t>Seules des circonstances convaincantes peuvent justifier un réexamen</w:t>
      </w:r>
      <w:r w:rsidRPr="009E7B4F">
        <w:rPr>
          <w:lang w:val="fr-CA"/>
        </w:rPr>
        <w:t xml:space="preserve"> des précédents antérieurs et </w:t>
      </w:r>
      <w:r>
        <w:rPr>
          <w:lang w:val="fr-CA"/>
        </w:rPr>
        <w:t xml:space="preserve">il faut </w:t>
      </w:r>
      <w:r w:rsidRPr="00000DCC">
        <w:rPr>
          <w:noProof/>
          <w:lang w:val="fr-CA"/>
        </w:rPr>
        <w:t xml:space="preserve">soupeser soigneusement l’incidence </w:t>
      </w:r>
      <w:r>
        <w:rPr>
          <w:noProof/>
          <w:lang w:val="fr-CA"/>
        </w:rPr>
        <w:t xml:space="preserve">de ce réexamen </w:t>
      </w:r>
      <w:r w:rsidRPr="00000DCC">
        <w:rPr>
          <w:noProof/>
          <w:lang w:val="fr-CA"/>
        </w:rPr>
        <w:t>sur la certitude et la prévisibilité juridiques par rapport aux coûts liés au fait de continuer à souscrire à une approche erronée</w:t>
      </w:r>
      <w:r>
        <w:rPr>
          <w:noProof/>
          <w:lang w:val="fr-CA"/>
        </w:rPr>
        <w:t>.</w:t>
      </w:r>
      <w:r w:rsidR="009F3C20">
        <w:rPr>
          <w:noProof/>
          <w:lang w:val="fr-CA"/>
        </w:rPr>
        <w:t xml:space="preserve"> </w:t>
      </w:r>
      <w:r w:rsidRPr="00000DCC">
        <w:rPr>
          <w:noProof/>
          <w:lang w:val="fr-CA"/>
        </w:rPr>
        <w:t>Si le respect de la jurisprudence établie favorise généralement la certitude et la prévisibilité, dans certains cas, ce respect crée ou perpétue l’incertitude du droit</w:t>
      </w:r>
      <w:r>
        <w:rPr>
          <w:lang w:val="fr-CA"/>
        </w:rPr>
        <w:t xml:space="preserve">. </w:t>
      </w:r>
      <w:r w:rsidRPr="00000DCC">
        <w:rPr>
          <w:noProof/>
          <w:lang w:val="fr-CA"/>
        </w:rPr>
        <w:t>Dans ces circonstances, en suivant l’arrêt antérieur</w:t>
      </w:r>
      <w:r w:rsidR="00751B40">
        <w:rPr>
          <w:noProof/>
          <w:lang w:val="fr-CA"/>
        </w:rPr>
        <w:t>,</w:t>
      </w:r>
      <w:r w:rsidRPr="00000DCC">
        <w:rPr>
          <w:noProof/>
          <w:lang w:val="fr-CA"/>
        </w:rPr>
        <w:t xml:space="preserve"> on se trouve à aller à l’encontre de</w:t>
      </w:r>
      <w:r>
        <w:rPr>
          <w:noProof/>
          <w:lang w:val="fr-CA"/>
        </w:rPr>
        <w:t>s</w:t>
      </w:r>
      <w:r w:rsidRPr="00000DCC">
        <w:rPr>
          <w:noProof/>
          <w:lang w:val="fr-CA"/>
        </w:rPr>
        <w:t xml:space="preserve"> valeur</w:t>
      </w:r>
      <w:r>
        <w:rPr>
          <w:noProof/>
          <w:lang w:val="fr-CA"/>
        </w:rPr>
        <w:t>s</w:t>
      </w:r>
      <w:r w:rsidRPr="00000DCC">
        <w:rPr>
          <w:noProof/>
          <w:lang w:val="fr-CA"/>
        </w:rPr>
        <w:t xml:space="preserve"> fondamentale</w:t>
      </w:r>
      <w:r w:rsidR="00431139">
        <w:rPr>
          <w:noProof/>
          <w:lang w:val="fr-CA"/>
        </w:rPr>
        <w:t>s</w:t>
      </w:r>
      <w:r>
        <w:rPr>
          <w:noProof/>
          <w:lang w:val="fr-CA"/>
        </w:rPr>
        <w:t xml:space="preserve"> </w:t>
      </w:r>
      <w:r w:rsidRPr="00000DCC">
        <w:rPr>
          <w:noProof/>
          <w:lang w:val="fr-CA"/>
        </w:rPr>
        <w:t>de la clarté et de la certitude du droit</w:t>
      </w:r>
      <w:r>
        <w:rPr>
          <w:noProof/>
          <w:lang w:val="fr-CA"/>
        </w:rPr>
        <w:t>.</w:t>
      </w:r>
    </w:p>
    <w:p w14:paraId="0916477F" w14:textId="6284B70A" w:rsidR="00AB1C19" w:rsidRPr="00BF74CC" w:rsidRDefault="00AB1C19" w:rsidP="00AB1C19">
      <w:pPr>
        <w:pStyle w:val="SCCNormalDoubleSpacing"/>
        <w:spacing w:after="480"/>
        <w:rPr>
          <w:lang w:val="fr-CA"/>
        </w:rPr>
      </w:pPr>
      <w:r>
        <w:rPr>
          <w:lang w:val="fr-CA"/>
        </w:rPr>
        <w:lastRenderedPageBreak/>
        <w:tab/>
      </w:r>
      <w:r w:rsidRPr="001E2B9D">
        <w:rPr>
          <w:lang w:val="fr-CA"/>
        </w:rPr>
        <w:t xml:space="preserve">Le cadre d’analyse révisé de la norme de contrôle </w:t>
      </w:r>
      <w:r w:rsidRPr="00000DCC">
        <w:rPr>
          <w:noProof/>
          <w:lang w:val="fr-CA"/>
        </w:rPr>
        <w:t>repose sur la présomption voulant que la norme de la décision raisonnable soit la norme applicable dans tous les cas.</w:t>
      </w:r>
      <w:r>
        <w:rPr>
          <w:noProof/>
          <w:lang w:val="fr-CA"/>
        </w:rPr>
        <w:t xml:space="preserve"> </w:t>
      </w:r>
      <w:r w:rsidRPr="00000DCC">
        <w:rPr>
          <w:noProof/>
          <w:lang w:val="fr-CA"/>
        </w:rPr>
        <w:t>Si le législateur a constitué un décideur administratif dans le but précis d’administrer un régime législatif, il faut présumer que le législateur a également voulu que ce décideur soit en mesure d’accomplir son mandat et d’interpréter la loi qui s’applique à toutes les questions qui lui sont soumises</w:t>
      </w:r>
      <w:r>
        <w:rPr>
          <w:noProof/>
          <w:lang w:val="fr-CA"/>
        </w:rPr>
        <w:t xml:space="preserve">. </w:t>
      </w:r>
      <w:r w:rsidRPr="00000DCC">
        <w:rPr>
          <w:noProof/>
          <w:lang w:val="fr-CA"/>
        </w:rPr>
        <w:t xml:space="preserve">Si le législateur n’a pas prescrit expressément que les cours de justice ont un rôle </w:t>
      </w:r>
      <w:r>
        <w:rPr>
          <w:noProof/>
          <w:lang w:val="fr-CA"/>
        </w:rPr>
        <w:t xml:space="preserve">plus actif </w:t>
      </w:r>
      <w:r w:rsidRPr="00000DCC">
        <w:rPr>
          <w:noProof/>
          <w:lang w:val="fr-CA"/>
        </w:rPr>
        <w:t>à jouer dans le contrôle des décisions de ce décideur, on peut aisément présumer que le législateur a voulu que celui</w:t>
      </w:r>
      <w:r w:rsidRPr="00000DCC">
        <w:rPr>
          <w:noProof/>
          <w:lang w:val="fr-CA"/>
        </w:rPr>
        <w:noBreakHyphen/>
        <w:t>ci puisse fonctionner en faisant le moins possible l’objet d’une intervention judiciaire</w:t>
      </w:r>
      <w:r>
        <w:rPr>
          <w:noProof/>
          <w:lang w:val="fr-CA"/>
        </w:rPr>
        <w:t xml:space="preserve">. </w:t>
      </w:r>
      <w:r>
        <w:rPr>
          <w:lang w:val="fr-CA"/>
        </w:rPr>
        <w:t>L</w:t>
      </w:r>
      <w:r w:rsidRPr="00000DCC">
        <w:rPr>
          <w:noProof/>
          <w:lang w:val="fr-CA"/>
        </w:rPr>
        <w:t>e respect de ces choix d’organisation institutionnelle oblige la cour de révision à adopter une attitude de retenue</w:t>
      </w:r>
      <w:r>
        <w:rPr>
          <w:noProof/>
          <w:lang w:val="fr-CA"/>
        </w:rPr>
        <w:t>. Donc</w:t>
      </w:r>
      <w:r w:rsidRPr="00AE3BAD">
        <w:rPr>
          <w:lang w:val="fr-CA"/>
        </w:rPr>
        <w:t xml:space="preserve">, </w:t>
      </w:r>
      <w:r w:rsidRPr="00000DCC">
        <w:rPr>
          <w:noProof/>
          <w:lang w:val="fr-CA"/>
        </w:rPr>
        <w:t>chaque fois qu’une cour examine une décision administrative, elle doit partir de la présomption que la norme de contrôle applicable à l’égard de tous les aspects de cette décision est celle de la décision raisonnable</w:t>
      </w:r>
      <w:r>
        <w:rPr>
          <w:noProof/>
          <w:lang w:val="fr-CA"/>
        </w:rPr>
        <w:t xml:space="preserve">. </w:t>
      </w:r>
      <w:r>
        <w:rPr>
          <w:lang w:val="fr-CA"/>
        </w:rPr>
        <w:t xml:space="preserve">En conséquence, </w:t>
      </w:r>
      <w:r w:rsidRPr="00000DCC">
        <w:rPr>
          <w:noProof/>
          <w:lang w:val="fr-CA"/>
        </w:rPr>
        <w:t>les cours de justice ne sont plus tenues de recourir à une analyse co</w:t>
      </w:r>
      <w:r w:rsidR="00751B40">
        <w:rPr>
          <w:noProof/>
          <w:lang w:val="fr-CA"/>
        </w:rPr>
        <w:t>ntextuelle pour établir la</w:t>
      </w:r>
      <w:r w:rsidRPr="00000DCC">
        <w:rPr>
          <w:noProof/>
          <w:lang w:val="fr-CA"/>
        </w:rPr>
        <w:t xml:space="preserve"> norme de contrôle</w:t>
      </w:r>
      <w:r w:rsidR="00751B40">
        <w:rPr>
          <w:noProof/>
          <w:lang w:val="fr-CA"/>
        </w:rPr>
        <w:t xml:space="preserve"> appropriée</w:t>
      </w:r>
      <w:r>
        <w:rPr>
          <w:noProof/>
          <w:lang w:val="fr-CA"/>
        </w:rPr>
        <w:t xml:space="preserve">. </w:t>
      </w:r>
      <w:r>
        <w:rPr>
          <w:lang w:val="fr-CA"/>
        </w:rPr>
        <w:t>F</w:t>
      </w:r>
      <w:r w:rsidRPr="00000DCC">
        <w:rPr>
          <w:noProof/>
          <w:lang w:val="fr-CA" w:bidi="en-US"/>
        </w:rPr>
        <w:t>erme</w:t>
      </w:r>
      <w:r>
        <w:rPr>
          <w:noProof/>
          <w:lang w:val="fr-CA" w:bidi="en-US"/>
        </w:rPr>
        <w:t>r</w:t>
      </w:r>
      <w:r w:rsidRPr="00000DCC">
        <w:rPr>
          <w:noProof/>
          <w:lang w:val="fr-CA" w:bidi="en-US"/>
        </w:rPr>
        <w:t xml:space="preserve"> de manière définitive la porte au recours à l’analyse contextuelle pour déterminer la norme de contrôle applicable</w:t>
      </w:r>
      <w:r>
        <w:rPr>
          <w:noProof/>
          <w:lang w:val="fr-CA" w:bidi="en-US"/>
        </w:rPr>
        <w:t xml:space="preserve"> a pour effet </w:t>
      </w:r>
      <w:r w:rsidRPr="00000DCC">
        <w:rPr>
          <w:noProof/>
          <w:lang w:val="fr-CA" w:bidi="en-US"/>
        </w:rPr>
        <w:t>d’alléger et de simplifier le cadre d’analyse applicable à la norme de contrôle</w:t>
      </w:r>
      <w:r>
        <w:rPr>
          <w:noProof/>
          <w:lang w:val="fr-CA" w:bidi="en-US"/>
        </w:rPr>
        <w:t xml:space="preserve">. </w:t>
      </w:r>
      <w:r w:rsidRPr="004B67AF">
        <w:rPr>
          <w:lang w:val="fr-CA"/>
        </w:rPr>
        <w:t xml:space="preserve">De plus, étant donné </w:t>
      </w:r>
      <w:r w:rsidRPr="004B67AF">
        <w:rPr>
          <w:noProof/>
          <w:lang w:val="fr-CA" w:bidi="en-US"/>
        </w:rPr>
        <w:t xml:space="preserve">la présomption d’application de la norme de la décision raisonnable, </w:t>
      </w:r>
      <w:r w:rsidRPr="004B67AF">
        <w:rPr>
          <w:lang w:val="fr-CA"/>
        </w:rPr>
        <w:t xml:space="preserve">l’expertise relative des décideurs administratifs </w:t>
      </w:r>
      <w:r w:rsidRPr="00000DCC">
        <w:rPr>
          <w:lang w:val="fr-CA"/>
        </w:rPr>
        <w:t>n’est plus pertinente pour déterminer la norme de contrôle applicable</w:t>
      </w:r>
      <w:r>
        <w:rPr>
          <w:lang w:val="fr-CA"/>
        </w:rPr>
        <w:t xml:space="preserve">. </w:t>
      </w:r>
      <w:r w:rsidRPr="005F0728">
        <w:rPr>
          <w:lang w:val="fr-CA"/>
        </w:rPr>
        <w:t xml:space="preserve">Elle </w:t>
      </w:r>
      <w:r w:rsidRPr="00000DCC">
        <w:rPr>
          <w:lang w:val="fr-CA"/>
        </w:rPr>
        <w:t>est tout simplement incorporée au nouveau point de départ</w:t>
      </w:r>
      <w:r w:rsidRPr="005F0728">
        <w:rPr>
          <w:lang w:val="fr-CA"/>
        </w:rPr>
        <w:t xml:space="preserve">. </w:t>
      </w:r>
      <w:r w:rsidRPr="00BF74CC">
        <w:rPr>
          <w:lang w:val="fr-CA"/>
        </w:rPr>
        <w:t xml:space="preserve">L’expertise relative </w:t>
      </w:r>
      <w:r w:rsidRPr="00000DCC">
        <w:rPr>
          <w:lang w:val="fr-CA"/>
        </w:rPr>
        <w:t xml:space="preserve">demeure </w:t>
      </w:r>
      <w:r>
        <w:rPr>
          <w:lang w:val="fr-CA"/>
        </w:rPr>
        <w:t xml:space="preserve">cependant </w:t>
      </w:r>
      <w:r w:rsidRPr="00000DCC">
        <w:rPr>
          <w:lang w:val="fr-CA"/>
        </w:rPr>
        <w:t>pertinente lors de l’exercice du contrôle judiciaire selon la norme de la décision raisonnable</w:t>
      </w:r>
      <w:r>
        <w:rPr>
          <w:lang w:val="fr-CA"/>
        </w:rPr>
        <w:t>.</w:t>
      </w:r>
    </w:p>
    <w:p w14:paraId="134CEC6A" w14:textId="3AB9A86D" w:rsidR="00AB1C19" w:rsidRDefault="00AB1C19" w:rsidP="00AB1C19">
      <w:pPr>
        <w:pStyle w:val="SCCNormalDoubleSpacing"/>
        <w:spacing w:after="480"/>
        <w:rPr>
          <w:noProof/>
          <w:lang w:val="fr-CA" w:bidi="en-US"/>
        </w:rPr>
      </w:pPr>
      <w:r w:rsidRPr="00BF74CC">
        <w:rPr>
          <w:lang w:val="fr-CA"/>
        </w:rPr>
        <w:lastRenderedPageBreak/>
        <w:tab/>
      </w:r>
      <w:r w:rsidRPr="00000DCC">
        <w:rPr>
          <w:noProof/>
          <w:lang w:val="fr-CA"/>
        </w:rPr>
        <w:t>La présomption d’application de la norme de la décision raisonnable peut être réfutée dans deux types de situations</w:t>
      </w:r>
      <w:r w:rsidRPr="007B2DF8">
        <w:rPr>
          <w:lang w:val="fr-CA"/>
        </w:rPr>
        <w:t xml:space="preserve">. </w:t>
      </w:r>
      <w:r w:rsidRPr="00000DCC">
        <w:rPr>
          <w:noProof/>
          <w:lang w:val="fr-CA"/>
        </w:rPr>
        <w:t>La première est celle où le législateur a indiqué qu’il souhaite l’application d’une norme différente</w:t>
      </w:r>
      <w:r>
        <w:rPr>
          <w:noProof/>
          <w:lang w:val="fr-CA"/>
        </w:rPr>
        <w:t xml:space="preserve">. </w:t>
      </w:r>
      <w:r w:rsidRPr="00000DCC">
        <w:rPr>
          <w:noProof/>
          <w:lang w:val="fr-CA"/>
        </w:rPr>
        <w:t>C’est le cas lorsque le législateur a prescrit expressément la norme de contrôle applicable</w:t>
      </w:r>
      <w:r>
        <w:rPr>
          <w:noProof/>
          <w:lang w:val="fr-CA"/>
        </w:rPr>
        <w:t>.</w:t>
      </w:r>
      <w:r w:rsidRPr="00AE70D0">
        <w:rPr>
          <w:lang w:val="fr-CA"/>
        </w:rPr>
        <w:t xml:space="preserve"> </w:t>
      </w:r>
      <w:r w:rsidRPr="00000DCC">
        <w:rPr>
          <w:noProof/>
          <w:lang w:val="fr-CA" w:bidi="en-US"/>
        </w:rPr>
        <w:t>Tout cadre d’analyse fondé sur l’intention du législateur doit respecter</w:t>
      </w:r>
      <w:r>
        <w:rPr>
          <w:noProof/>
          <w:lang w:val="fr-CA" w:bidi="en-US"/>
        </w:rPr>
        <w:t xml:space="preserve"> </w:t>
      </w:r>
      <w:r w:rsidRPr="00000DCC">
        <w:rPr>
          <w:noProof/>
          <w:lang w:val="fr-CA" w:bidi="en-US"/>
        </w:rPr>
        <w:t>les dispositions législatives claires</w:t>
      </w:r>
      <w:r>
        <w:rPr>
          <w:noProof/>
          <w:lang w:val="fr-CA" w:bidi="en-US"/>
        </w:rPr>
        <w:t xml:space="preserve">. </w:t>
      </w:r>
      <w:r w:rsidRPr="00E8395D">
        <w:rPr>
          <w:lang w:val="fr-CA"/>
        </w:rPr>
        <w:t xml:space="preserve">Le législateur peut également </w:t>
      </w:r>
      <w:r w:rsidRPr="00E8395D">
        <w:rPr>
          <w:noProof/>
          <w:lang w:val="fr-CA" w:bidi="en-US"/>
        </w:rPr>
        <w:t xml:space="preserve">indiquer qu’une dérogation à la présomption est de mise </w:t>
      </w:r>
      <w:r w:rsidRPr="00000DCC">
        <w:rPr>
          <w:noProof/>
          <w:lang w:val="fr-CA" w:bidi="en-US"/>
        </w:rPr>
        <w:t>en prévoyant un mécanisme d’appel à l’encontre d’un</w:t>
      </w:r>
      <w:r>
        <w:rPr>
          <w:noProof/>
          <w:lang w:val="fr-CA" w:bidi="en-US"/>
        </w:rPr>
        <w:t>e décision administrative</w:t>
      </w:r>
      <w:r w:rsidRPr="00000DCC">
        <w:rPr>
          <w:noProof/>
          <w:lang w:val="fr-CA" w:bidi="en-US"/>
        </w:rPr>
        <w:t xml:space="preserve"> devant une cour de justice</w:t>
      </w:r>
      <w:r w:rsidRPr="00E8395D">
        <w:rPr>
          <w:lang w:val="fr-CA"/>
        </w:rPr>
        <w:t xml:space="preserve">, </w:t>
      </w:r>
      <w:r w:rsidRPr="00000DCC">
        <w:rPr>
          <w:noProof/>
          <w:lang w:val="fr-CA"/>
        </w:rPr>
        <w:t>indiquant ainsi son intention que les cours de justice recourent, en matière de contrôle, aux normes applicables en appel</w:t>
      </w:r>
      <w:r>
        <w:rPr>
          <w:lang w:val="fr-CA"/>
        </w:rPr>
        <w:t>.</w:t>
      </w:r>
      <w:r w:rsidRPr="00E8395D">
        <w:rPr>
          <w:lang w:val="fr-CA"/>
        </w:rPr>
        <w:t xml:space="preserve"> </w:t>
      </w:r>
      <w:r w:rsidRPr="00000DCC">
        <w:rPr>
          <w:noProof/>
          <w:lang w:val="fr-CA"/>
        </w:rPr>
        <w:t xml:space="preserve">Lorsqu’il </w:t>
      </w:r>
      <w:r>
        <w:rPr>
          <w:noProof/>
          <w:lang w:val="fr-CA"/>
        </w:rPr>
        <w:t>prévoit dans la loi un mécanisme d’appel</w:t>
      </w:r>
      <w:r w:rsidRPr="00000DCC">
        <w:rPr>
          <w:noProof/>
          <w:lang w:val="fr-CA"/>
        </w:rPr>
        <w:t xml:space="preserve">, le législateur assujettit le régime administratif à une compétence d’appel et indique qu’il s’attend à ce que la cour vérifie attentivement </w:t>
      </w:r>
      <w:r w:rsidR="0017432E">
        <w:rPr>
          <w:noProof/>
          <w:lang w:val="fr-CA"/>
        </w:rPr>
        <w:t xml:space="preserve">une telle </w:t>
      </w:r>
      <w:r w:rsidRPr="00000DCC">
        <w:rPr>
          <w:noProof/>
          <w:lang w:val="fr-CA"/>
        </w:rPr>
        <w:t xml:space="preserve">décision </w:t>
      </w:r>
      <w:r w:rsidR="0017432E">
        <w:rPr>
          <w:noProof/>
          <w:lang w:val="fr-CA"/>
        </w:rPr>
        <w:t xml:space="preserve">administrative par voie </w:t>
      </w:r>
      <w:r w:rsidRPr="00000DCC">
        <w:rPr>
          <w:noProof/>
          <w:lang w:val="fr-CA"/>
        </w:rPr>
        <w:t>d’appel</w:t>
      </w:r>
      <w:r>
        <w:rPr>
          <w:noProof/>
          <w:lang w:val="fr-CA"/>
        </w:rPr>
        <w:t xml:space="preserve">. </w:t>
      </w:r>
      <w:r>
        <w:rPr>
          <w:lang w:val="fr-CA"/>
        </w:rPr>
        <w:t>L</w:t>
      </w:r>
      <w:r w:rsidRPr="00000DCC">
        <w:rPr>
          <w:noProof/>
          <w:lang w:val="fr-CA" w:bidi="en-US"/>
        </w:rPr>
        <w:t xml:space="preserve">a norme de contrôle applicable doit </w:t>
      </w:r>
      <w:r>
        <w:rPr>
          <w:noProof/>
          <w:lang w:val="fr-CA" w:bidi="en-US"/>
        </w:rPr>
        <w:t xml:space="preserve">donc </w:t>
      </w:r>
      <w:r w:rsidRPr="00000DCC">
        <w:rPr>
          <w:noProof/>
          <w:lang w:val="fr-CA" w:bidi="en-US"/>
        </w:rPr>
        <w:t xml:space="preserve">être déterminée eu égard à la nature de la question et à la jurisprudence </w:t>
      </w:r>
      <w:r>
        <w:rPr>
          <w:noProof/>
          <w:lang w:val="fr-CA" w:bidi="en-US"/>
        </w:rPr>
        <w:t xml:space="preserve">sur les normes de contrôle applicables en appel. </w:t>
      </w:r>
      <w:r w:rsidRPr="00000DCC">
        <w:rPr>
          <w:noProof/>
          <w:lang w:val="fr-CA" w:bidi="en-US"/>
        </w:rPr>
        <w:t xml:space="preserve">Par exemple, lorsqu’une cour de justice </w:t>
      </w:r>
      <w:r>
        <w:rPr>
          <w:noProof/>
          <w:lang w:val="fr-CA" w:bidi="en-US"/>
        </w:rPr>
        <w:t xml:space="preserve">entend </w:t>
      </w:r>
      <w:r w:rsidRPr="00000DCC">
        <w:rPr>
          <w:noProof/>
          <w:lang w:val="fr-CA" w:bidi="en-US"/>
        </w:rPr>
        <w:t xml:space="preserve">l’appel d’une décision administrative, elle </w:t>
      </w:r>
      <w:r>
        <w:rPr>
          <w:noProof/>
          <w:lang w:val="fr-CA" w:bidi="en-US"/>
        </w:rPr>
        <w:t>appliquera la norme de la décision correct</w:t>
      </w:r>
      <w:r w:rsidR="003326A0">
        <w:rPr>
          <w:noProof/>
          <w:lang w:val="fr-CA" w:bidi="en-US"/>
        </w:rPr>
        <w:t>e</w:t>
      </w:r>
      <w:r>
        <w:rPr>
          <w:noProof/>
          <w:lang w:val="fr-CA" w:bidi="en-US"/>
        </w:rPr>
        <w:t xml:space="preserve"> aux </w:t>
      </w:r>
      <w:r w:rsidRPr="00000DCC">
        <w:rPr>
          <w:noProof/>
          <w:lang w:val="fr-CA" w:bidi="en-US"/>
        </w:rPr>
        <w:t>questions de droit, touchant notamment à l’interprétation législative et à la portée de la compétence du décideur</w:t>
      </w:r>
      <w:r>
        <w:rPr>
          <w:noProof/>
          <w:lang w:val="fr-CA" w:bidi="en-US"/>
        </w:rPr>
        <w:t xml:space="preserve">. </w:t>
      </w:r>
      <w:r w:rsidRPr="00000DCC">
        <w:rPr>
          <w:noProof/>
          <w:lang w:val="fr-CA" w:bidi="en-US"/>
        </w:rPr>
        <w:t>Si l’appel prévu par la loi porte notamment sur des questions de fait</w:t>
      </w:r>
      <w:r>
        <w:rPr>
          <w:noProof/>
          <w:lang w:val="fr-CA" w:bidi="en-US"/>
        </w:rPr>
        <w:t xml:space="preserve"> ou des questions mixtes de fait et de droit</w:t>
      </w:r>
      <w:r w:rsidRPr="00000DCC">
        <w:rPr>
          <w:noProof/>
          <w:lang w:val="fr-CA" w:bidi="en-US"/>
        </w:rPr>
        <w:t xml:space="preserve">, la norme de contrôle </w:t>
      </w:r>
      <w:r>
        <w:rPr>
          <w:noProof/>
          <w:lang w:val="fr-CA" w:bidi="en-US"/>
        </w:rPr>
        <w:t xml:space="preserve">applicable à ces questions </w:t>
      </w:r>
      <w:r w:rsidRPr="00000DCC">
        <w:rPr>
          <w:noProof/>
          <w:lang w:val="fr-CA" w:bidi="en-US"/>
        </w:rPr>
        <w:t>sera celle de l’erreur manifeste et déterminante</w:t>
      </w:r>
      <w:r>
        <w:rPr>
          <w:noProof/>
          <w:lang w:val="fr-CA" w:bidi="en-US"/>
        </w:rPr>
        <w:t>.</w:t>
      </w:r>
    </w:p>
    <w:p w14:paraId="66344A2C" w14:textId="50577C77" w:rsidR="00B2640C" w:rsidRDefault="00B2640C" w:rsidP="00AB1C19">
      <w:pPr>
        <w:pStyle w:val="SCCNormalDoubleSpacing"/>
        <w:spacing w:after="480"/>
        <w:rPr>
          <w:lang w:val="fr-CA"/>
        </w:rPr>
      </w:pPr>
      <w:r>
        <w:rPr>
          <w:noProof/>
          <w:lang w:val="fr-CA" w:bidi="en-US"/>
        </w:rPr>
        <w:tab/>
      </w:r>
      <w:r w:rsidR="00B85159">
        <w:rPr>
          <w:lang w:val="fr-CA"/>
        </w:rPr>
        <w:t>D</w:t>
      </w:r>
      <w:r w:rsidR="00B85159" w:rsidRPr="00000DCC">
        <w:rPr>
          <w:noProof/>
          <w:lang w:val="fr-CA"/>
        </w:rPr>
        <w:t xml:space="preserve">onner un tel sens aux mécanismes d’appel prévus par la loi s’écarte de la jurisprudence récente de </w:t>
      </w:r>
      <w:r w:rsidR="00B85159">
        <w:rPr>
          <w:noProof/>
          <w:lang w:val="fr-CA"/>
        </w:rPr>
        <w:t xml:space="preserve">la </w:t>
      </w:r>
      <w:r w:rsidR="00B85159" w:rsidRPr="00000DCC">
        <w:rPr>
          <w:noProof/>
          <w:lang w:val="fr-CA"/>
        </w:rPr>
        <w:t>Cour</w:t>
      </w:r>
      <w:r w:rsidR="00B85159">
        <w:rPr>
          <w:noProof/>
          <w:lang w:val="fr-CA"/>
        </w:rPr>
        <w:t>.</w:t>
      </w:r>
      <w:r w:rsidR="00B85159" w:rsidRPr="007311CF">
        <w:rPr>
          <w:lang w:val="fr-CA"/>
        </w:rPr>
        <w:t xml:space="preserve"> </w:t>
      </w:r>
      <w:r w:rsidR="00B85159" w:rsidRPr="00576DDC">
        <w:rPr>
          <w:lang w:val="fr-CA"/>
        </w:rPr>
        <w:t>C</w:t>
      </w:r>
      <w:r w:rsidR="00B85159" w:rsidRPr="00576DDC">
        <w:rPr>
          <w:noProof/>
          <w:lang w:val="fr-CA"/>
        </w:rPr>
        <w:t>e virage s’impose afin d’apporter uniformité et équilibre conceptuel à l’analyse relative à la norme de contrôle</w:t>
      </w:r>
      <w:r w:rsidR="00B85159" w:rsidRPr="00576DDC">
        <w:rPr>
          <w:lang w:val="fr-CA"/>
        </w:rPr>
        <w:t xml:space="preserve"> </w:t>
      </w:r>
      <w:r w:rsidR="00B85159">
        <w:rPr>
          <w:lang w:val="fr-CA"/>
        </w:rPr>
        <w:t xml:space="preserve">et il se justifie </w:t>
      </w:r>
      <w:r w:rsidR="00B85159" w:rsidRPr="00000DCC">
        <w:rPr>
          <w:noProof/>
          <w:lang w:val="fr-CA"/>
        </w:rPr>
        <w:t>par la mise en balance des valeurs de la certitude et de la justesse</w:t>
      </w:r>
      <w:r w:rsidR="00B85159">
        <w:rPr>
          <w:noProof/>
          <w:lang w:val="fr-CA"/>
        </w:rPr>
        <w:t>.</w:t>
      </w:r>
      <w:r w:rsidR="00B85159" w:rsidRPr="00576DDC">
        <w:rPr>
          <w:lang w:val="fr-CA"/>
        </w:rPr>
        <w:t xml:space="preserve"> </w:t>
      </w:r>
      <w:r w:rsidR="00B85159" w:rsidRPr="00576DDC">
        <w:rPr>
          <w:noProof/>
          <w:lang w:val="fr-CA" w:bidi="en-US"/>
        </w:rPr>
        <w:t xml:space="preserve">D’abord, d’importantes et valables critiques judiciaires et doctrinales ont été formulées au sujet de la conception </w:t>
      </w:r>
      <w:r w:rsidR="00F64E29">
        <w:rPr>
          <w:noProof/>
          <w:lang w:val="fr-CA" w:bidi="en-US"/>
        </w:rPr>
        <w:lastRenderedPageBreak/>
        <w:t>que la</w:t>
      </w:r>
      <w:r w:rsidR="00B85159" w:rsidRPr="00576DDC">
        <w:rPr>
          <w:noProof/>
          <w:lang w:val="fr-CA" w:bidi="en-US"/>
        </w:rPr>
        <w:t xml:space="preserve"> Cour s’est fa</w:t>
      </w:r>
      <w:r w:rsidR="00F64E29">
        <w:rPr>
          <w:noProof/>
          <w:lang w:val="fr-CA" w:bidi="en-US"/>
        </w:rPr>
        <w:t>ite des droits d’appel prévus</w:t>
      </w:r>
      <w:r w:rsidR="00B85159" w:rsidRPr="00576DDC">
        <w:rPr>
          <w:noProof/>
          <w:lang w:val="fr-CA" w:bidi="en-US"/>
        </w:rPr>
        <w:t xml:space="preserve"> par la loi</w:t>
      </w:r>
      <w:r w:rsidR="00B85159" w:rsidRPr="00576DDC">
        <w:rPr>
          <w:szCs w:val="24"/>
          <w:lang w:val="fr-CA"/>
        </w:rPr>
        <w:t xml:space="preserve"> </w:t>
      </w:r>
      <w:r w:rsidR="00B85159">
        <w:rPr>
          <w:szCs w:val="24"/>
          <w:lang w:val="fr-CA"/>
        </w:rPr>
        <w:t xml:space="preserve">et de </w:t>
      </w:r>
      <w:r w:rsidR="00B85159" w:rsidRPr="00000DCC">
        <w:rPr>
          <w:szCs w:val="24"/>
          <w:lang w:val="fr-CA"/>
        </w:rPr>
        <w:t>l’incohérence inhérente à un cadre d’analyse de la norme de contrôle fondé sur l’intention du législateur qui refuse par ailleurs de donner un sens à un droit d’appel conféré expressément par la loi</w:t>
      </w:r>
      <w:r w:rsidR="00B85159">
        <w:rPr>
          <w:szCs w:val="24"/>
          <w:lang w:val="fr-CA"/>
        </w:rPr>
        <w:t>.</w:t>
      </w:r>
      <w:r w:rsidR="00B85159" w:rsidRPr="00576DDC">
        <w:rPr>
          <w:szCs w:val="24"/>
          <w:lang w:val="fr-CA"/>
        </w:rPr>
        <w:t xml:space="preserve"> </w:t>
      </w:r>
      <w:r w:rsidR="00B85159">
        <w:rPr>
          <w:szCs w:val="24"/>
          <w:lang w:val="fr-CA"/>
        </w:rPr>
        <w:t>Ensuite, r</w:t>
      </w:r>
      <w:r w:rsidR="00B85159" w:rsidRPr="00000DCC">
        <w:rPr>
          <w:noProof/>
          <w:lang w:val="fr-CA" w:bidi="en-US"/>
        </w:rPr>
        <w:t xml:space="preserve">ien ne justifie de façon satisfaisante la tendance récente de </w:t>
      </w:r>
      <w:r w:rsidR="00B85159">
        <w:rPr>
          <w:noProof/>
          <w:lang w:val="fr-CA" w:bidi="en-US"/>
        </w:rPr>
        <w:t xml:space="preserve">la </w:t>
      </w:r>
      <w:r w:rsidR="00B85159" w:rsidRPr="00000DCC">
        <w:rPr>
          <w:noProof/>
          <w:lang w:val="fr-CA" w:bidi="en-US"/>
        </w:rPr>
        <w:t>Cour de ne pas tenir compte des droits d’appels conférés par la loi sauf en présence d’un libellé exceptionnel</w:t>
      </w:r>
      <w:r w:rsidR="00B85159">
        <w:rPr>
          <w:lang w:val="fr-CA"/>
        </w:rPr>
        <w:t xml:space="preserve">. </w:t>
      </w:r>
      <w:r w:rsidR="00B85159" w:rsidRPr="00000DCC">
        <w:rPr>
          <w:noProof/>
          <w:lang w:val="fr-CA" w:bidi="en-US"/>
        </w:rPr>
        <w:t>De façon plus générale, il n’y a aucune raison convaincante de présumer que le législateur voulait que le mot « appel » revête un sens tout à fait différent dans une loi à caractère administratif</w:t>
      </w:r>
      <w:r w:rsidR="00B85159">
        <w:rPr>
          <w:lang w:val="fr-CA"/>
        </w:rPr>
        <w:t>.</w:t>
      </w:r>
      <w:r w:rsidR="00561AD2">
        <w:rPr>
          <w:lang w:val="fr-CA"/>
        </w:rPr>
        <w:t xml:space="preserve"> Accepter </w:t>
      </w:r>
      <w:r w:rsidR="00561AD2">
        <w:rPr>
          <w:noProof/>
          <w:lang w:val="fr-CA" w:bidi="en-US"/>
        </w:rPr>
        <w:t xml:space="preserve">que le législateur souhaite </w:t>
      </w:r>
      <w:r w:rsidR="00561AD2" w:rsidRPr="00000DCC">
        <w:rPr>
          <w:noProof/>
          <w:lang w:val="fr-CA" w:bidi="en-US"/>
        </w:rPr>
        <w:t xml:space="preserve">le recours à une norme de contrôle applicable en appel permet également d’expliquer pourquoi bon nombre de textes législatifs prévoient </w:t>
      </w:r>
      <w:r w:rsidR="00561AD2" w:rsidRPr="00784296">
        <w:rPr>
          <w:noProof/>
          <w:lang w:val="fr-CA" w:bidi="en-US"/>
        </w:rPr>
        <w:t>à la fois</w:t>
      </w:r>
      <w:r w:rsidR="00561AD2" w:rsidRPr="00000DCC">
        <w:rPr>
          <w:i/>
          <w:noProof/>
          <w:lang w:val="fr-CA" w:bidi="en-US"/>
        </w:rPr>
        <w:t xml:space="preserve"> </w:t>
      </w:r>
      <w:r w:rsidR="00561AD2" w:rsidRPr="00000DCC">
        <w:rPr>
          <w:noProof/>
          <w:lang w:val="fr-CA" w:bidi="en-US"/>
        </w:rPr>
        <w:t>des mécanismes d’appel et de contrôle judiciaire, conférant ainsi deux rôles possibles aux cours de révision</w:t>
      </w:r>
      <w:r w:rsidR="00561AD2">
        <w:rPr>
          <w:noProof/>
          <w:lang w:val="fr-CA" w:bidi="en-US"/>
        </w:rPr>
        <w:t xml:space="preserve">. </w:t>
      </w:r>
      <w:r w:rsidR="00561AD2" w:rsidRPr="00784296">
        <w:rPr>
          <w:lang w:val="fr-CA"/>
        </w:rPr>
        <w:t xml:space="preserve">Enfin, puisque </w:t>
      </w:r>
      <w:r w:rsidR="00561AD2" w:rsidRPr="00000DCC">
        <w:rPr>
          <w:noProof/>
          <w:lang w:val="fr-CA" w:bidi="en-US"/>
        </w:rPr>
        <w:t>la présomption d’application de la norme de la décision raisonnable en cas de contrôle judiciaire n’est plus fondée sur la notion d’expertise relative</w:t>
      </w:r>
      <w:r w:rsidR="00561AD2">
        <w:rPr>
          <w:noProof/>
          <w:lang w:val="fr-CA" w:bidi="en-US"/>
        </w:rPr>
        <w:t xml:space="preserve"> et </w:t>
      </w:r>
      <w:r w:rsidR="00561AD2" w:rsidRPr="00784296">
        <w:rPr>
          <w:noProof/>
          <w:lang w:val="fr-CA" w:bidi="en-US"/>
        </w:rPr>
        <w:t xml:space="preserve">repose maintenant sur le respect du choix d’organisation institutionnelle de la part du législateur, </w:t>
      </w:r>
      <w:r w:rsidR="00561AD2" w:rsidRPr="00000DCC">
        <w:rPr>
          <w:noProof/>
          <w:lang w:val="fr-CA" w:bidi="en-US"/>
        </w:rPr>
        <w:t xml:space="preserve">la dérogation à </w:t>
      </w:r>
      <w:r w:rsidR="00561AD2">
        <w:rPr>
          <w:noProof/>
          <w:lang w:val="fr-CA" w:bidi="en-US"/>
        </w:rPr>
        <w:t xml:space="preserve">la </w:t>
      </w:r>
      <w:r w:rsidR="00561AD2" w:rsidRPr="00000DCC">
        <w:rPr>
          <w:noProof/>
          <w:lang w:val="fr-CA" w:bidi="en-US"/>
        </w:rPr>
        <w:t>présomption</w:t>
      </w:r>
      <w:r w:rsidR="00561AD2">
        <w:rPr>
          <w:noProof/>
          <w:lang w:val="fr-CA" w:bidi="en-US"/>
        </w:rPr>
        <w:t xml:space="preserve"> de contrôle selon la décision raisonnable </w:t>
      </w:r>
      <w:r w:rsidR="00561AD2" w:rsidRPr="00000DCC">
        <w:rPr>
          <w:noProof/>
          <w:lang w:val="fr-CA" w:bidi="en-US"/>
        </w:rPr>
        <w:t>dans le cas d’un appel prévu par la loi respecte</w:t>
      </w:r>
      <w:r w:rsidR="00561AD2">
        <w:rPr>
          <w:noProof/>
          <w:lang w:val="fr-CA" w:bidi="en-US"/>
        </w:rPr>
        <w:t xml:space="preserve"> ce choix du législateur.</w:t>
      </w:r>
    </w:p>
    <w:p w14:paraId="63F7A8BC" w14:textId="27B12249" w:rsidR="007600E8" w:rsidRPr="00665ED4" w:rsidRDefault="00561AD2" w:rsidP="007600E8">
      <w:pPr>
        <w:pStyle w:val="SCCNormalDoubleSpacing"/>
        <w:spacing w:after="480"/>
        <w:rPr>
          <w:lang w:val="fr-CA"/>
        </w:rPr>
      </w:pPr>
      <w:r>
        <w:rPr>
          <w:lang w:val="fr-CA"/>
        </w:rPr>
        <w:tab/>
      </w:r>
      <w:r w:rsidR="007600E8" w:rsidRPr="00000DCC">
        <w:rPr>
          <w:noProof/>
          <w:lang w:val="fr-CA"/>
        </w:rPr>
        <w:t>La deuxième situation où la présomption d’application de la norme de la décision raisonnable est réfutée est celle où la primauté du droit commande l’application de la norme de la décision correcte.</w:t>
      </w:r>
      <w:r w:rsidR="007600E8">
        <w:rPr>
          <w:noProof/>
          <w:lang w:val="fr-CA"/>
        </w:rPr>
        <w:t xml:space="preserve"> </w:t>
      </w:r>
      <w:r w:rsidR="007600E8" w:rsidRPr="002B01E8">
        <w:rPr>
          <w:noProof/>
          <w:lang w:val="fr-CA"/>
        </w:rPr>
        <w:t>C’est le cas pour certaines catégories de questions</w:t>
      </w:r>
      <w:r w:rsidR="007600E8" w:rsidRPr="002B01E8">
        <w:rPr>
          <w:lang w:val="fr-CA"/>
        </w:rPr>
        <w:t xml:space="preserve"> de droit, </w:t>
      </w:r>
      <w:r w:rsidR="007600E8" w:rsidRPr="00000DCC">
        <w:rPr>
          <w:noProof/>
          <w:lang w:val="fr-CA"/>
        </w:rPr>
        <w:t xml:space="preserve">soit les questions constitutionnelles, les questions de droit générales d’importance capitale pour le système juridique dans son ensemble et les questions liées aux délimitations des compétences respectives </w:t>
      </w:r>
      <w:r w:rsidR="00764FD7">
        <w:rPr>
          <w:noProof/>
          <w:lang w:val="fr-CA"/>
        </w:rPr>
        <w:t xml:space="preserve">d’organismes </w:t>
      </w:r>
      <w:r w:rsidR="007600E8" w:rsidRPr="00000DCC">
        <w:rPr>
          <w:noProof/>
          <w:lang w:val="fr-CA"/>
        </w:rPr>
        <w:t>administratifs</w:t>
      </w:r>
      <w:r w:rsidR="007600E8">
        <w:rPr>
          <w:noProof/>
          <w:lang w:val="fr-CA"/>
        </w:rPr>
        <w:t xml:space="preserve">. </w:t>
      </w:r>
      <w:r w:rsidR="007600E8" w:rsidRPr="002B01E8">
        <w:rPr>
          <w:lang w:val="fr-CA"/>
        </w:rPr>
        <w:t>Premièrement, les questions</w:t>
      </w:r>
      <w:r w:rsidR="007600E8" w:rsidRPr="002B01E8">
        <w:rPr>
          <w:lang w:val="fr-CA" w:bidi="en-US"/>
        </w:rPr>
        <w:t xml:space="preserve"> </w:t>
      </w:r>
      <w:r w:rsidR="007600E8" w:rsidRPr="00000DCC">
        <w:rPr>
          <w:noProof/>
          <w:lang w:val="fr-CA"/>
        </w:rPr>
        <w:t xml:space="preserve">touchant au partage des compétences entre le Parlement et les provinces, au rapport entre le législateur et les autres organes de </w:t>
      </w:r>
      <w:r w:rsidR="007600E8" w:rsidRPr="00000DCC">
        <w:rPr>
          <w:noProof/>
          <w:lang w:val="fr-CA"/>
        </w:rPr>
        <w:lastRenderedPageBreak/>
        <w:t xml:space="preserve">l’État, </w:t>
      </w:r>
      <w:r w:rsidR="00764FD7">
        <w:rPr>
          <w:noProof/>
          <w:lang w:val="fr-CA"/>
        </w:rPr>
        <w:t xml:space="preserve">et </w:t>
      </w:r>
      <w:r w:rsidR="007600E8" w:rsidRPr="00000DCC">
        <w:rPr>
          <w:noProof/>
          <w:lang w:val="fr-CA"/>
        </w:rPr>
        <w:t xml:space="preserve">à la portée des droits ancestraux et issus de traités reconnus à l’art. 35 de la </w:t>
      </w:r>
      <w:r w:rsidR="007600E8" w:rsidRPr="00000DCC">
        <w:rPr>
          <w:i/>
          <w:noProof/>
          <w:lang w:val="fr-CA"/>
        </w:rPr>
        <w:t>Loi constitutionnelle de 1982</w:t>
      </w:r>
      <w:r w:rsidR="007600E8" w:rsidRPr="00000DCC">
        <w:rPr>
          <w:noProof/>
          <w:lang w:val="fr-CA"/>
        </w:rPr>
        <w:t>, et d’autres questions de droit constitutionnel nécessite</w:t>
      </w:r>
      <w:r w:rsidR="007600E8">
        <w:rPr>
          <w:noProof/>
          <w:lang w:val="fr-CA"/>
        </w:rPr>
        <w:t>nt</w:t>
      </w:r>
      <w:r w:rsidR="007600E8" w:rsidRPr="00000DCC">
        <w:rPr>
          <w:noProof/>
          <w:lang w:val="fr-CA"/>
        </w:rPr>
        <w:t xml:space="preserve"> une réponse décisive et définitive des cours de justice</w:t>
      </w:r>
      <w:r w:rsidR="007600E8">
        <w:rPr>
          <w:noProof/>
          <w:lang w:val="fr-CA"/>
        </w:rPr>
        <w:t xml:space="preserve">. </w:t>
      </w:r>
      <w:r w:rsidR="007600E8" w:rsidRPr="002B01E8">
        <w:rPr>
          <w:lang w:val="fr-CA"/>
        </w:rPr>
        <w:t xml:space="preserve">Deuxièmement, </w:t>
      </w:r>
      <w:r w:rsidR="007600E8" w:rsidRPr="00000DCC">
        <w:rPr>
          <w:noProof/>
          <w:lang w:val="fr-CA" w:bidi="en-US"/>
        </w:rPr>
        <w:t>la primauté du droit exige que les cours de justice tranchent de manière définitive les questio</w:t>
      </w:r>
      <w:r w:rsidR="00C11642">
        <w:rPr>
          <w:noProof/>
          <w:lang w:val="fr-CA" w:bidi="en-US"/>
        </w:rPr>
        <w:t xml:space="preserve">ns de droit générales qui sont </w:t>
      </w:r>
      <w:r w:rsidR="007600E8" w:rsidRPr="00000DCC">
        <w:rPr>
          <w:noProof/>
          <w:lang w:val="fr-CA" w:bidi="en-US"/>
        </w:rPr>
        <w:t>d’importance capitale pour le système juridique dans son ensemble</w:t>
      </w:r>
      <w:r w:rsidR="007600E8">
        <w:rPr>
          <w:noProof/>
          <w:lang w:val="fr-CA" w:bidi="en-US"/>
        </w:rPr>
        <w:t xml:space="preserve"> </w:t>
      </w:r>
      <w:r w:rsidR="007600E8">
        <w:rPr>
          <w:lang w:val="fr-CA"/>
        </w:rPr>
        <w:t xml:space="preserve">parce qu’elles requièrent des réponses </w:t>
      </w:r>
      <w:r w:rsidR="007600E8" w:rsidRPr="00000DCC">
        <w:rPr>
          <w:noProof/>
          <w:lang w:val="fr-CA"/>
        </w:rPr>
        <w:t>uniformes et cohérentes</w:t>
      </w:r>
      <w:r w:rsidR="007600E8" w:rsidRPr="002B01E8">
        <w:rPr>
          <w:lang w:val="fr-CA"/>
        </w:rPr>
        <w:t xml:space="preserve">. </w:t>
      </w:r>
      <w:r w:rsidR="007600E8" w:rsidRPr="00F03634">
        <w:rPr>
          <w:lang w:val="fr-CA"/>
        </w:rPr>
        <w:t xml:space="preserve">Troisièmement, la primauté du droit </w:t>
      </w:r>
      <w:r w:rsidR="007600E8" w:rsidRPr="00000DCC">
        <w:rPr>
          <w:noProof/>
          <w:lang w:val="fr-CA" w:bidi="en-US"/>
        </w:rPr>
        <w:t>commande l’intervention des cours de justice lorsqu’un organisme administratif interprète l’étendue de ses pouvoirs d’une manière qui est incompatible avec la compétence d’un autre organisme administratif</w:t>
      </w:r>
      <w:r w:rsidR="007600E8">
        <w:rPr>
          <w:noProof/>
          <w:lang w:val="fr-CA" w:bidi="en-US"/>
        </w:rPr>
        <w:t xml:space="preserve">, car </w:t>
      </w:r>
      <w:r w:rsidR="007600E8" w:rsidRPr="00000DCC">
        <w:rPr>
          <w:noProof/>
          <w:lang w:val="fr-CA" w:bidi="en-US"/>
        </w:rPr>
        <w:t>la primauté du droit ne saurait tolérer des ordonnances et des procédures qui entraînent un véritable conflit opérationnel entre deux organismes administratifs</w:t>
      </w:r>
      <w:r w:rsidR="007600E8">
        <w:rPr>
          <w:noProof/>
          <w:lang w:val="fr-CA" w:bidi="en-US"/>
        </w:rPr>
        <w:t xml:space="preserve">. </w:t>
      </w:r>
      <w:r w:rsidR="007600E8" w:rsidRPr="00000DCC">
        <w:rPr>
          <w:noProof/>
          <w:lang w:val="fr-CA" w:bidi="en-US"/>
        </w:rPr>
        <w:t xml:space="preserve">L’application de la norme de la décision correcte à l’égard de ces questions s’accorde </w:t>
      </w:r>
      <w:r w:rsidR="007600E8">
        <w:rPr>
          <w:noProof/>
          <w:lang w:val="fr-CA" w:bidi="en-US"/>
        </w:rPr>
        <w:t xml:space="preserve">donc </w:t>
      </w:r>
      <w:r w:rsidR="007600E8" w:rsidRPr="00000DCC">
        <w:rPr>
          <w:noProof/>
          <w:lang w:val="fr-CA" w:bidi="en-US"/>
        </w:rPr>
        <w:t xml:space="preserve">avec le rôle unique du pouvoir judiciaire dans l’interprétation de la Constitution, et fait en sorte que les cours de justice </w:t>
      </w:r>
      <w:r w:rsidR="002F370C">
        <w:rPr>
          <w:noProof/>
          <w:lang w:val="fr-CA" w:bidi="en-US"/>
        </w:rPr>
        <w:t xml:space="preserve">puissent avoir </w:t>
      </w:r>
      <w:r w:rsidR="007600E8" w:rsidRPr="00000DCC">
        <w:rPr>
          <w:noProof/>
          <w:lang w:val="fr-CA" w:bidi="en-US"/>
        </w:rPr>
        <w:t>le dernier mot sur des questions à l’égard desquelles la primauté du droit exige une cohérence et une réponse décisive et définitive s’impose</w:t>
      </w:r>
      <w:r w:rsidR="007600E8">
        <w:rPr>
          <w:noProof/>
          <w:lang w:val="fr-CA" w:bidi="en-US"/>
        </w:rPr>
        <w:t>.</w:t>
      </w:r>
    </w:p>
    <w:p w14:paraId="2F112990" w14:textId="1F556971" w:rsidR="007600E8" w:rsidRPr="00896F5F" w:rsidRDefault="007600E8" w:rsidP="007600E8">
      <w:pPr>
        <w:pStyle w:val="SCCNormalDoubleSpacing"/>
        <w:spacing w:after="480"/>
        <w:rPr>
          <w:lang w:val="fr-CA"/>
        </w:rPr>
      </w:pPr>
      <w:r w:rsidRPr="00665ED4">
        <w:rPr>
          <w:lang w:val="fr-CA"/>
        </w:rPr>
        <w:tab/>
      </w:r>
      <w:r w:rsidRPr="00000DCC">
        <w:rPr>
          <w:noProof/>
          <w:lang w:val="fr-CA"/>
        </w:rPr>
        <w:t>Conjuguée à ces exceptions limitées, la règle générale qui prévoit l’application de la norme de la décision raisonnable met en place une méthode complète pour déterminer la norme de contrôle applicable</w:t>
      </w:r>
      <w:r>
        <w:rPr>
          <w:noProof/>
          <w:lang w:val="fr-CA"/>
        </w:rPr>
        <w:t xml:space="preserve">. </w:t>
      </w:r>
      <w:r>
        <w:rPr>
          <w:lang w:val="fr-CA"/>
        </w:rPr>
        <w:t xml:space="preserve">On ne ferme </w:t>
      </w:r>
      <w:r w:rsidRPr="00000DCC">
        <w:rPr>
          <w:noProof/>
          <w:lang w:val="fr-CA" w:bidi="en-US"/>
        </w:rPr>
        <w:t>pas définitivement la porte à la possibilité qu’une autre catégorie puisse ultérieurement être reconnue comme appelant une dérogation à la présomption de contrôle selon la norme de la décision raisonnable</w:t>
      </w:r>
      <w:r w:rsidRPr="00665ED4">
        <w:rPr>
          <w:lang w:val="fr-CA"/>
        </w:rPr>
        <w:t xml:space="preserve">. Cependant, </w:t>
      </w:r>
      <w:r w:rsidRPr="00000DCC">
        <w:rPr>
          <w:noProof/>
          <w:lang w:val="fr-CA" w:bidi="en-US"/>
        </w:rPr>
        <w:t xml:space="preserve">la reconnaissance de tout nouveau fondement pour l’application de la norme de la décision correcte devrait revêtir un caractère exceptionnel et devrait respecter </w:t>
      </w:r>
      <w:r>
        <w:rPr>
          <w:noProof/>
          <w:lang w:val="fr-CA" w:bidi="en-US"/>
        </w:rPr>
        <w:t>c</w:t>
      </w:r>
      <w:r w:rsidRPr="00000DCC">
        <w:rPr>
          <w:noProof/>
          <w:lang w:val="fr-CA" w:bidi="en-US"/>
        </w:rPr>
        <w:t xml:space="preserve">e cadre d’analyse et les principes prépondérants </w:t>
      </w:r>
      <w:r w:rsidRPr="00000DCC">
        <w:rPr>
          <w:noProof/>
          <w:lang w:val="fr-CA" w:bidi="en-US"/>
        </w:rPr>
        <w:lastRenderedPageBreak/>
        <w:t xml:space="preserve">énoncés </w:t>
      </w:r>
      <w:r>
        <w:rPr>
          <w:noProof/>
          <w:lang w:val="fr-CA" w:bidi="en-US"/>
        </w:rPr>
        <w:t xml:space="preserve">dans la présente décision. </w:t>
      </w:r>
      <w:r>
        <w:rPr>
          <w:lang w:val="fr-CA"/>
        </w:rPr>
        <w:t>T</w:t>
      </w:r>
      <w:r w:rsidRPr="00000DCC">
        <w:rPr>
          <w:noProof/>
          <w:lang w:val="fr-CA" w:bidi="en-US"/>
        </w:rPr>
        <w:t xml:space="preserve">oute nouvelle catégorie de questions </w:t>
      </w:r>
      <w:r>
        <w:rPr>
          <w:noProof/>
          <w:lang w:val="fr-CA" w:bidi="en-US"/>
        </w:rPr>
        <w:t xml:space="preserve">qui commandent l’application de la norme de la décision correcte </w:t>
      </w:r>
      <w:r w:rsidRPr="00000DCC">
        <w:rPr>
          <w:noProof/>
          <w:lang w:val="fr-CA" w:bidi="en-US"/>
        </w:rPr>
        <w:t xml:space="preserve">sur le fondement de l’intention du législateur devrait comporter une indication de cette volonté tout aussi solide et convaincante </w:t>
      </w:r>
      <w:r>
        <w:rPr>
          <w:noProof/>
          <w:lang w:val="fr-CA" w:bidi="en-US"/>
        </w:rPr>
        <w:t>qu’</w:t>
      </w:r>
      <w:r w:rsidRPr="00000DCC">
        <w:rPr>
          <w:noProof/>
          <w:lang w:val="fr-CA" w:bidi="en-US"/>
        </w:rPr>
        <w:t>une norme de contrôle établie par voie législative ou un mécanisme d’appel prévu par la loi</w:t>
      </w:r>
      <w:r>
        <w:rPr>
          <w:noProof/>
          <w:lang w:val="fr-CA" w:bidi="en-US"/>
        </w:rPr>
        <w:t>.</w:t>
      </w:r>
      <w:r w:rsidRPr="00665ED4">
        <w:rPr>
          <w:lang w:val="fr-CA"/>
        </w:rPr>
        <w:t xml:space="preserve"> </w:t>
      </w:r>
      <w:r w:rsidRPr="00000DCC">
        <w:rPr>
          <w:noProof/>
          <w:lang w:val="fr-CA" w:bidi="en-US"/>
        </w:rPr>
        <w:t xml:space="preserve">De la même manière, la reconnaissance d’une nouvelle catégorie de questions </w:t>
      </w:r>
      <w:r>
        <w:rPr>
          <w:noProof/>
          <w:lang w:val="fr-CA" w:bidi="en-US"/>
        </w:rPr>
        <w:t xml:space="preserve">appelant </w:t>
      </w:r>
      <w:r w:rsidRPr="00000DCC">
        <w:rPr>
          <w:noProof/>
          <w:lang w:val="fr-CA" w:bidi="en-US"/>
        </w:rPr>
        <w:t>la norme de la décision correcte sur le fondement de la primauté du droit ne serait justifiée que dans le cas où le défaut d’appliquer la norme de la décision correcte risquerait d’ébranler la primauté du droit et mettrait en péril le bon fonctionnement du système de justice d’une façon analogue aux trois situations décrites dans l</w:t>
      </w:r>
      <w:r w:rsidR="00160271">
        <w:rPr>
          <w:noProof/>
          <w:lang w:val="fr-CA" w:bidi="en-US"/>
        </w:rPr>
        <w:t>a présente décision.</w:t>
      </w:r>
    </w:p>
    <w:p w14:paraId="4074370E" w14:textId="2ABAC3EE" w:rsidR="007600E8" w:rsidRPr="009E272A" w:rsidRDefault="007600E8" w:rsidP="007600E8">
      <w:pPr>
        <w:pStyle w:val="SCCNormalDoubleSpacing"/>
        <w:spacing w:after="480"/>
        <w:rPr>
          <w:lang w:val="fr-CA"/>
        </w:rPr>
      </w:pPr>
      <w:r w:rsidRPr="00896F5F">
        <w:rPr>
          <w:lang w:val="fr-CA"/>
        </w:rPr>
        <w:tab/>
      </w:r>
      <w:r w:rsidRPr="00EA3BCB">
        <w:rPr>
          <w:lang w:val="fr-CA"/>
        </w:rPr>
        <w:t xml:space="preserve">Par exemple, la Cour </w:t>
      </w:r>
      <w:r>
        <w:rPr>
          <w:lang w:val="fr-CA"/>
        </w:rPr>
        <w:t xml:space="preserve">n’est pas </w:t>
      </w:r>
      <w:r>
        <w:rPr>
          <w:noProof/>
          <w:lang w:val="fr-CA"/>
        </w:rPr>
        <w:t xml:space="preserve">convaincue qu’elle </w:t>
      </w:r>
      <w:r w:rsidRPr="00000DCC">
        <w:rPr>
          <w:noProof/>
          <w:lang w:val="fr-CA"/>
        </w:rPr>
        <w:t>devrait reconnaître l’existence d’une catégorie distincte de questions de droit qui appellent la norme de la décision correcte dans le cas où ces questions sèment constamment la discorde au sein d’un organisme administratif.</w:t>
      </w:r>
      <w:r>
        <w:rPr>
          <w:lang w:val="fr-CA"/>
        </w:rPr>
        <w:t xml:space="preserve"> L</w:t>
      </w:r>
      <w:r w:rsidRPr="00000DCC">
        <w:rPr>
          <w:noProof/>
          <w:lang w:val="fr-CA"/>
        </w:rPr>
        <w:t>’absence d’unanimité parmi les membres d’un tribunal administratif est</w:t>
      </w:r>
      <w:r>
        <w:rPr>
          <w:noProof/>
          <w:lang w:val="fr-CA"/>
        </w:rPr>
        <w:t xml:space="preserve"> </w:t>
      </w:r>
      <w:r w:rsidRPr="00000DCC">
        <w:rPr>
          <w:noProof/>
          <w:lang w:val="fr-CA"/>
        </w:rPr>
        <w:t>le prix à payer pour la liberté et l’indépendance décisionnelle</w:t>
      </w:r>
      <w:r>
        <w:rPr>
          <w:noProof/>
          <w:lang w:val="fr-CA"/>
        </w:rPr>
        <w:t xml:space="preserve">. </w:t>
      </w:r>
      <w:r w:rsidRPr="00982B7B">
        <w:rPr>
          <w:lang w:val="fr-CA"/>
        </w:rPr>
        <w:t xml:space="preserve">Bien que la discorde puisse mener à l’incohérence du droit, un </w:t>
      </w:r>
      <w:r w:rsidRPr="00000DCC">
        <w:rPr>
          <w:noProof/>
          <w:lang w:val="fr-CA"/>
        </w:rPr>
        <w:t>cadre d’application plus rigoureux de la norme de la décision raisonnable permet</w:t>
      </w:r>
      <w:r>
        <w:rPr>
          <w:noProof/>
          <w:lang w:val="fr-CA"/>
        </w:rPr>
        <w:t xml:space="preserve"> </w:t>
      </w:r>
      <w:r w:rsidRPr="00000DCC">
        <w:rPr>
          <w:noProof/>
          <w:lang w:val="fr-CA"/>
        </w:rPr>
        <w:t xml:space="preserve">de se prémunir face </w:t>
      </w:r>
      <w:r>
        <w:rPr>
          <w:noProof/>
          <w:lang w:val="fr-CA"/>
        </w:rPr>
        <w:t>à ces</w:t>
      </w:r>
      <w:r w:rsidRPr="00000DCC">
        <w:rPr>
          <w:noProof/>
          <w:lang w:val="fr-CA"/>
        </w:rPr>
        <w:t xml:space="preserve"> menaces à la primauté du droit</w:t>
      </w:r>
      <w:r>
        <w:rPr>
          <w:noProof/>
          <w:lang w:val="fr-CA"/>
        </w:rPr>
        <w:t xml:space="preserve">. </w:t>
      </w:r>
      <w:r w:rsidRPr="00982B7B">
        <w:rPr>
          <w:lang w:val="fr-CA"/>
        </w:rPr>
        <w:t xml:space="preserve">En outre, </w:t>
      </w:r>
      <w:r>
        <w:rPr>
          <w:lang w:val="fr-CA"/>
        </w:rPr>
        <w:t xml:space="preserve">les </w:t>
      </w:r>
      <w:r w:rsidRPr="00000DCC">
        <w:rPr>
          <w:noProof/>
          <w:lang w:val="fr-CA" w:bidi="en-US"/>
        </w:rPr>
        <w:t>questions de compétence</w:t>
      </w:r>
      <w:r>
        <w:rPr>
          <w:noProof/>
          <w:lang w:val="fr-CA" w:bidi="en-US"/>
        </w:rPr>
        <w:t xml:space="preserve"> ne devraient plus être reconnues</w:t>
      </w:r>
      <w:r w:rsidRPr="00000DCC">
        <w:rPr>
          <w:noProof/>
          <w:lang w:val="fr-CA" w:bidi="en-US"/>
        </w:rPr>
        <w:t xml:space="preserve"> comme une catégorie distincte devant faire l’objet d’un contrôle selon la norme de la décision correcte</w:t>
      </w:r>
      <w:r>
        <w:rPr>
          <w:noProof/>
          <w:lang w:val="fr-CA" w:bidi="en-US"/>
        </w:rPr>
        <w:t xml:space="preserve">; </w:t>
      </w:r>
      <w:r w:rsidRPr="00000DCC">
        <w:rPr>
          <w:noProof/>
          <w:lang w:val="fr-CA" w:bidi="en-US"/>
        </w:rPr>
        <w:t>il n’existe aucune balise claire qui permet de distinguer ces questions de celles touchant à l’interprétation de sa loi habilitante par un décideur administratif</w:t>
      </w:r>
      <w:r w:rsidRPr="00982B7B">
        <w:rPr>
          <w:lang w:val="fr-CA"/>
        </w:rPr>
        <w:t xml:space="preserve">. </w:t>
      </w:r>
      <w:r w:rsidRPr="00000DCC">
        <w:rPr>
          <w:noProof/>
          <w:lang w:val="fr-CA" w:bidi="en-US"/>
        </w:rPr>
        <w:t>En appliquant adéquatement</w:t>
      </w:r>
      <w:r>
        <w:rPr>
          <w:noProof/>
          <w:lang w:val="fr-CA" w:bidi="en-US"/>
        </w:rPr>
        <w:t xml:space="preserve"> la norme de la décision raisonnable</w:t>
      </w:r>
      <w:r w:rsidRPr="00000DCC">
        <w:rPr>
          <w:noProof/>
          <w:lang w:val="fr-CA" w:bidi="en-US"/>
        </w:rPr>
        <w:t xml:space="preserve">, les cours de justice sont en mesure de veiller à ce que les organismes administratifs agissent dans les limites des pouvoirs qui leur sont conférés sans qu’il </w:t>
      </w:r>
      <w:r w:rsidRPr="00000DCC">
        <w:rPr>
          <w:noProof/>
          <w:lang w:val="fr-CA" w:bidi="en-US"/>
        </w:rPr>
        <w:lastRenderedPageBreak/>
        <w:t xml:space="preserve">soit nécessaire de procéder à un examen préliminaire </w:t>
      </w:r>
      <w:r>
        <w:rPr>
          <w:noProof/>
          <w:lang w:val="fr-CA" w:bidi="en-US"/>
        </w:rPr>
        <w:t xml:space="preserve">des questions de compétence </w:t>
      </w:r>
      <w:r w:rsidRPr="00000DCC">
        <w:rPr>
          <w:noProof/>
          <w:lang w:val="fr-CA" w:bidi="en-US"/>
        </w:rPr>
        <w:t>et sans avoir à recourir à la norme de la décision correcte</w:t>
      </w:r>
      <w:r w:rsidRPr="00000DCC">
        <w:rPr>
          <w:noProof/>
          <w:lang w:val="fr-CA"/>
        </w:rPr>
        <w:t>.</w:t>
      </w:r>
    </w:p>
    <w:p w14:paraId="0CADA524" w14:textId="312D41DF" w:rsidR="00561AD2" w:rsidRDefault="007600E8" w:rsidP="007600E8">
      <w:pPr>
        <w:pStyle w:val="SCCNormalDoubleSpacing"/>
        <w:spacing w:after="480"/>
        <w:rPr>
          <w:lang w:val="fr-CA"/>
        </w:rPr>
      </w:pPr>
      <w:r w:rsidRPr="009E272A">
        <w:rPr>
          <w:lang w:val="fr-CA"/>
        </w:rPr>
        <w:tab/>
      </w:r>
      <w:r w:rsidRPr="00FD64E7">
        <w:rPr>
          <w:lang w:val="fr-CA"/>
        </w:rPr>
        <w:t xml:space="preserve">À l’avenir, </w:t>
      </w:r>
      <w:r>
        <w:rPr>
          <w:lang w:val="fr-CA"/>
        </w:rPr>
        <w:t>l</w:t>
      </w:r>
      <w:r w:rsidRPr="00000DCC">
        <w:rPr>
          <w:noProof/>
          <w:lang w:val="fr-CA"/>
        </w:rPr>
        <w:t xml:space="preserve">a cour de justice qui cherche à arrêter la norme de contrôle applicable devrait d’abord s’en remettre </w:t>
      </w:r>
      <w:r>
        <w:rPr>
          <w:noProof/>
          <w:lang w:val="fr-CA"/>
        </w:rPr>
        <w:t xml:space="preserve">à la présente décision </w:t>
      </w:r>
      <w:r w:rsidRPr="00000DCC">
        <w:rPr>
          <w:noProof/>
          <w:lang w:val="fr-CA"/>
        </w:rPr>
        <w:t xml:space="preserve">pour savoir comment s’applique </w:t>
      </w:r>
      <w:r>
        <w:rPr>
          <w:noProof/>
          <w:lang w:val="fr-CA"/>
        </w:rPr>
        <w:t>l</w:t>
      </w:r>
      <w:r w:rsidRPr="00000DCC">
        <w:rPr>
          <w:noProof/>
          <w:lang w:val="fr-CA"/>
        </w:rPr>
        <w:t>e cadre général</w:t>
      </w:r>
      <w:r>
        <w:rPr>
          <w:noProof/>
          <w:lang w:val="fr-CA"/>
        </w:rPr>
        <w:t xml:space="preserve">. </w:t>
      </w:r>
      <w:r w:rsidRPr="00FD64E7">
        <w:rPr>
          <w:noProof/>
          <w:lang w:val="fr-CA"/>
        </w:rPr>
        <w:t xml:space="preserve">Il est ainsi possible que la cour soit appelée à trancher des questions subsidiaires à l’égard desquelles la jurisprudence continue de donner des indications utiles </w:t>
      </w:r>
      <w:r w:rsidRPr="00FD64E7">
        <w:rPr>
          <w:lang w:val="fr-CA"/>
        </w:rPr>
        <w:t xml:space="preserve">et </w:t>
      </w:r>
      <w:r w:rsidRPr="00000DCC">
        <w:rPr>
          <w:noProof/>
          <w:lang w:val="fr-CA"/>
        </w:rPr>
        <w:t xml:space="preserve">continue de s’appliquer essentiellement </w:t>
      </w:r>
      <w:r>
        <w:rPr>
          <w:noProof/>
          <w:lang w:val="fr-CA"/>
        </w:rPr>
        <w:t>telle quelle</w:t>
      </w:r>
      <w:r w:rsidRPr="00FD64E7">
        <w:rPr>
          <w:lang w:val="fr-CA"/>
        </w:rPr>
        <w:t xml:space="preserve">, </w:t>
      </w:r>
      <w:r>
        <w:rPr>
          <w:lang w:val="fr-CA"/>
        </w:rPr>
        <w:t xml:space="preserve">comme </w:t>
      </w:r>
      <w:r w:rsidRPr="00000DCC">
        <w:rPr>
          <w:noProof/>
          <w:lang w:val="fr-CA"/>
        </w:rPr>
        <w:t>les affaires portant sur des questions de droit générales d’importance capitale pour le système de justice dans son ensemble ou sur des questions liées aux délimitations des compétences respectives d’organismes administratifs</w:t>
      </w:r>
      <w:r>
        <w:rPr>
          <w:noProof/>
          <w:lang w:val="fr-CA"/>
        </w:rPr>
        <w:t xml:space="preserve">. </w:t>
      </w:r>
      <w:r w:rsidRPr="00000DCC">
        <w:rPr>
          <w:noProof/>
          <w:lang w:val="fr-CA"/>
        </w:rPr>
        <w:t xml:space="preserve">Pour d’autres catégories de questions, certains arrêts, dont ceux portant sur l’effet des mécanismes d’appel prévus par la loi, sur des questions touchant </w:t>
      </w:r>
      <w:r w:rsidR="009A2305">
        <w:rPr>
          <w:noProof/>
          <w:lang w:val="fr-CA"/>
        </w:rPr>
        <w:t>véritablement</w:t>
      </w:r>
      <w:r w:rsidRPr="00000DCC">
        <w:rPr>
          <w:noProof/>
          <w:lang w:val="fr-CA"/>
        </w:rPr>
        <w:t xml:space="preserve"> à la compétence ou sur l’ancienne analyse contextuelle, auront forcément une valeur de précédent moindre</w:t>
      </w:r>
      <w:r>
        <w:rPr>
          <w:noProof/>
          <w:lang w:val="fr-CA"/>
        </w:rPr>
        <w:t>.</w:t>
      </w:r>
    </w:p>
    <w:p w14:paraId="64E467C6" w14:textId="2DC2868E" w:rsidR="00FB28A0" w:rsidRDefault="00302F24" w:rsidP="00554A83">
      <w:pPr>
        <w:pStyle w:val="SCCNormalDoubleSpacing"/>
        <w:spacing w:after="480"/>
        <w:rPr>
          <w:noProof/>
          <w:lang w:val="fr-CA"/>
        </w:rPr>
      </w:pPr>
      <w:r>
        <w:rPr>
          <w:lang w:val="fr-CA"/>
        </w:rPr>
        <w:tab/>
      </w:r>
      <w:r w:rsidR="004104B7" w:rsidRPr="00175239">
        <w:rPr>
          <w:lang w:val="fr-CA"/>
        </w:rPr>
        <w:t xml:space="preserve">En outre, la Cour doit donner des </w:t>
      </w:r>
      <w:r w:rsidR="004104B7" w:rsidRPr="00175239">
        <w:rPr>
          <w:noProof/>
          <w:lang w:val="fr-CA"/>
        </w:rPr>
        <w:t>indications plus précises sur l’application appropriée de la norme de contrôle de la décision raisonnable</w:t>
      </w:r>
      <w:r w:rsidR="004104B7" w:rsidRPr="00175239">
        <w:rPr>
          <w:lang w:val="fr-CA"/>
        </w:rPr>
        <w:t xml:space="preserve">, </w:t>
      </w:r>
      <w:r w:rsidR="004104B7" w:rsidRPr="00000DCC">
        <w:rPr>
          <w:noProof/>
          <w:lang w:val="fr-CA"/>
        </w:rPr>
        <w:t>ce que signifie cette norme et comment elle devrait être appliquée en pratique</w:t>
      </w:r>
      <w:r w:rsidR="004104B7">
        <w:rPr>
          <w:lang w:val="fr-CA"/>
        </w:rPr>
        <w:t xml:space="preserve">. </w:t>
      </w:r>
      <w:r w:rsidR="004104B7" w:rsidRPr="00000DCC">
        <w:rPr>
          <w:noProof/>
          <w:lang w:val="fr-CA"/>
        </w:rPr>
        <w:t>Le contrôle selon la norme de la décision raisonnable est une approche visant à faire en sorte que les cours de justice interviennent dans les affaires administratives uniquement lorsque cela est vraiment nécessaire pour préserver la légitimité, la rationalité et l’équité du processus administratif</w:t>
      </w:r>
      <w:r w:rsidR="004104B7">
        <w:rPr>
          <w:noProof/>
          <w:lang w:val="fr-CA"/>
        </w:rPr>
        <w:t>.</w:t>
      </w:r>
      <w:r w:rsidR="004104B7" w:rsidRPr="00E3728D">
        <w:rPr>
          <w:lang w:val="fr-CA"/>
        </w:rPr>
        <w:t xml:space="preserve"> </w:t>
      </w:r>
      <w:r w:rsidR="004104B7" w:rsidRPr="00000DCC">
        <w:rPr>
          <w:noProof/>
          <w:lang w:val="fr-CA"/>
        </w:rPr>
        <w:t>Il tire son origine du principe de la retenue judiciaire et témoigne d’un respect envers le rôle distinct des décideurs administratifs</w:t>
      </w:r>
      <w:r w:rsidR="004104B7">
        <w:rPr>
          <w:lang w:val="fr-CA"/>
        </w:rPr>
        <w:t xml:space="preserve">. </w:t>
      </w:r>
      <w:r w:rsidR="004104B7" w:rsidRPr="00000DCC">
        <w:rPr>
          <w:noProof/>
          <w:lang w:val="fr-CA"/>
        </w:rPr>
        <w:t>Toutefois, il ne s’agit pas d’une « simple formalité » ni d’un moyen visant à soustraire les décideurs administratifs à leur obligation de rendre des comptes</w:t>
      </w:r>
      <w:r w:rsidR="004104B7">
        <w:rPr>
          <w:noProof/>
          <w:lang w:val="fr-CA"/>
        </w:rPr>
        <w:t>.</w:t>
      </w:r>
      <w:r w:rsidR="004104B7" w:rsidRPr="008B1612">
        <w:rPr>
          <w:lang w:val="fr-CA"/>
        </w:rPr>
        <w:t xml:space="preserve"> </w:t>
      </w:r>
      <w:r w:rsidR="004104B7" w:rsidRPr="00CF64F3">
        <w:rPr>
          <w:lang w:val="fr-CA"/>
        </w:rPr>
        <w:t xml:space="preserve">Bien que les </w:t>
      </w:r>
      <w:r w:rsidR="004104B7">
        <w:rPr>
          <w:lang w:val="fr-CA"/>
        </w:rPr>
        <w:t xml:space="preserve">cours de justice </w:t>
      </w:r>
      <w:r w:rsidR="004104B7" w:rsidRPr="00000DCC">
        <w:rPr>
          <w:noProof/>
          <w:lang w:val="fr-CA"/>
        </w:rPr>
        <w:lastRenderedPageBreak/>
        <w:t>doivent reconnaître la légitimité et la compétence des décideurs administratifs et adopter une attitude de respect</w:t>
      </w:r>
      <w:r w:rsidR="004104B7">
        <w:rPr>
          <w:noProof/>
          <w:lang w:val="fr-CA"/>
        </w:rPr>
        <w:t xml:space="preserve">, </w:t>
      </w:r>
      <w:r w:rsidR="004104B7" w:rsidRPr="00000DCC">
        <w:rPr>
          <w:noProof/>
          <w:lang w:val="fr-CA"/>
        </w:rPr>
        <w:t>les décideurs administratifs doivent adhérer à une culture de la justification et démontrer que l’exercice du pouvoir public qui leur est délégué peut être justifié</w:t>
      </w:r>
      <w:r w:rsidR="004104B7">
        <w:rPr>
          <w:noProof/>
          <w:lang w:val="fr-CA"/>
        </w:rPr>
        <w:t>.</w:t>
      </w:r>
      <w:r w:rsidR="004104B7" w:rsidRPr="00000DCC">
        <w:rPr>
          <w:noProof/>
          <w:lang w:val="fr-CA"/>
        </w:rPr>
        <w:t xml:space="preserve"> Lorsqu’elle effectue un contrôle selon la norme de la décision raisonnable, la cour de révision doit tenir compte du résultat de la décision administrative eu égard au raisonnement sous</w:t>
      </w:r>
      <w:r w:rsidR="004104B7" w:rsidRPr="00000DCC">
        <w:rPr>
          <w:noProof/>
          <w:lang w:val="fr-CA"/>
        </w:rPr>
        <w:noBreakHyphen/>
        <w:t>jacent à celle</w:t>
      </w:r>
      <w:r w:rsidR="004104B7" w:rsidRPr="00000DCC">
        <w:rPr>
          <w:noProof/>
          <w:lang w:val="fr-CA"/>
        </w:rPr>
        <w:noBreakHyphen/>
        <w:t>ci afin de s’assurer que la décision dans son ensemble est transparente, intelligible et justifiée</w:t>
      </w:r>
      <w:r w:rsidR="004104B7">
        <w:rPr>
          <w:noProof/>
          <w:lang w:val="fr-CA"/>
        </w:rPr>
        <w:t xml:space="preserve">. </w:t>
      </w:r>
      <w:r w:rsidR="004104B7" w:rsidRPr="00BD2A95">
        <w:rPr>
          <w:lang w:val="fr-CA"/>
        </w:rPr>
        <w:t xml:space="preserve">Le contrôle judiciaire </w:t>
      </w:r>
      <w:r w:rsidR="004104B7" w:rsidRPr="00BD2A95">
        <w:rPr>
          <w:noProof/>
          <w:lang w:val="fr-CA"/>
        </w:rPr>
        <w:t xml:space="preserve">porte à la fois sur le résultat et sur le </w:t>
      </w:r>
      <w:r w:rsidR="004104B7" w:rsidRPr="00000DCC">
        <w:rPr>
          <w:noProof/>
          <w:lang w:val="fr-CA"/>
        </w:rPr>
        <w:t>raisonnement à l’origine de ce résultat</w:t>
      </w:r>
      <w:r w:rsidR="004104B7" w:rsidRPr="00BD2A95">
        <w:rPr>
          <w:lang w:val="fr-CA"/>
        </w:rPr>
        <w:t xml:space="preserve">. </w:t>
      </w:r>
      <w:r w:rsidR="004104B7" w:rsidRPr="00000DCC">
        <w:rPr>
          <w:noProof/>
          <w:lang w:val="fr-CA"/>
        </w:rPr>
        <w:t>Une approche différente compromettrait le rôle institutionnel du décideur administratif plutôt que de le respecter.</w:t>
      </w:r>
    </w:p>
    <w:p w14:paraId="59053CA4" w14:textId="54B69432" w:rsidR="007700FC" w:rsidRPr="006B3B4E" w:rsidRDefault="007700FC" w:rsidP="007700FC">
      <w:pPr>
        <w:pStyle w:val="ParaNoNdepar-AltN"/>
        <w:numPr>
          <w:ilvl w:val="0"/>
          <w:numId w:val="0"/>
        </w:numPr>
        <w:rPr>
          <w:rFonts w:cs="Times New Roman"/>
          <w:lang w:val="fr-CA"/>
        </w:rPr>
      </w:pPr>
      <w:r>
        <w:rPr>
          <w:noProof/>
          <w:lang w:val="fr-CA"/>
        </w:rPr>
        <w:tab/>
      </w:r>
      <w:r w:rsidRPr="00000DCC">
        <w:rPr>
          <w:rFonts w:cs="Times New Roman"/>
          <w:noProof/>
          <w:lang w:val="fr-CA"/>
        </w:rPr>
        <w:t>Le contrôle selon la norme de la décision raisonnable est méthodologiquement distinct du contrôle selon la norme de la décision correcte</w:t>
      </w:r>
      <w:r w:rsidRPr="006B3B4E">
        <w:rPr>
          <w:rFonts w:cs="Times New Roman"/>
          <w:lang w:val="fr-CA"/>
        </w:rPr>
        <w:t xml:space="preserve">. </w:t>
      </w:r>
      <w:r>
        <w:rPr>
          <w:rFonts w:cs="Times New Roman"/>
          <w:szCs w:val="24"/>
          <w:lang w:val="fr-CA"/>
        </w:rPr>
        <w:t>L</w:t>
      </w:r>
      <w:r w:rsidRPr="00000DCC">
        <w:rPr>
          <w:rFonts w:cs="Times New Roman"/>
          <w:noProof/>
          <w:lang w:val="fr-CA"/>
        </w:rPr>
        <w:t>a cour de justice effectuant</w:t>
      </w:r>
      <w:r>
        <w:rPr>
          <w:rFonts w:cs="Times New Roman"/>
          <w:noProof/>
          <w:lang w:val="fr-CA"/>
        </w:rPr>
        <w:t xml:space="preserve"> un contrôle </w:t>
      </w:r>
      <w:r w:rsidRPr="00000DCC">
        <w:rPr>
          <w:rFonts w:cs="Times New Roman"/>
          <w:noProof/>
          <w:lang w:val="fr-CA"/>
        </w:rPr>
        <w:t>selon la norme de la décision raisonnable</w:t>
      </w:r>
      <w:r>
        <w:rPr>
          <w:rFonts w:cs="Times New Roman"/>
          <w:noProof/>
          <w:lang w:val="fr-CA"/>
        </w:rPr>
        <w:t xml:space="preserve"> </w:t>
      </w:r>
      <w:r w:rsidRPr="00000DCC">
        <w:rPr>
          <w:rFonts w:cs="Times New Roman"/>
          <w:noProof/>
          <w:lang w:val="fr-CA"/>
        </w:rPr>
        <w:t>doit centrer son attention sur la décision même qu’a rendue le décideur administratif, notamment sur sa justification</w:t>
      </w:r>
      <w:r>
        <w:rPr>
          <w:rFonts w:cs="Times New Roman"/>
          <w:noProof/>
          <w:lang w:val="fr-CA"/>
        </w:rPr>
        <w:t>.</w:t>
      </w:r>
      <w:r w:rsidRPr="006B3B4E">
        <w:rPr>
          <w:rFonts w:cs="Times New Roman"/>
          <w:szCs w:val="24"/>
          <w:lang w:val="fr-CA"/>
        </w:rPr>
        <w:t xml:space="preserve"> </w:t>
      </w:r>
      <w:r w:rsidRPr="00000DCC">
        <w:rPr>
          <w:rFonts w:cs="Times New Roman"/>
          <w:noProof/>
          <w:lang w:val="fr-CA"/>
        </w:rPr>
        <w:t>Une cour de justice qui applique la norme de contrôle de la décision raisonnable ne se demande donc pas quelle décision elle aurait rendue à la place du décideur administratif, ne ten</w:t>
      </w:r>
      <w:r w:rsidR="009A2305">
        <w:rPr>
          <w:rFonts w:cs="Times New Roman"/>
          <w:noProof/>
          <w:lang w:val="fr-CA"/>
        </w:rPr>
        <w:t>te pas de prendre en compte l’éventail</w:t>
      </w:r>
      <w:r w:rsidRPr="00000DCC">
        <w:rPr>
          <w:rFonts w:cs="Times New Roman"/>
          <w:noProof/>
          <w:lang w:val="fr-CA"/>
        </w:rPr>
        <w:t xml:space="preserve"> des conclusions qu’aurait pu tirer le décideur, ne se livre pas à une analyse </w:t>
      </w:r>
      <w:r w:rsidRPr="00000DCC">
        <w:rPr>
          <w:rFonts w:cs="Times New Roman"/>
          <w:i/>
          <w:noProof/>
          <w:lang w:val="fr-CA"/>
        </w:rPr>
        <w:t>de novo</w:t>
      </w:r>
      <w:r w:rsidRPr="00000DCC">
        <w:rPr>
          <w:rFonts w:cs="Times New Roman"/>
          <w:noProof/>
          <w:lang w:val="fr-CA"/>
        </w:rPr>
        <w:t>, et ne cherche pas à dét</w:t>
      </w:r>
      <w:r w:rsidR="009A2305">
        <w:rPr>
          <w:rFonts w:cs="Times New Roman"/>
          <w:noProof/>
          <w:lang w:val="fr-CA"/>
        </w:rPr>
        <w:t>erminer la solution correcte</w:t>
      </w:r>
      <w:r w:rsidRPr="00000DCC">
        <w:rPr>
          <w:rFonts w:cs="Times New Roman"/>
          <w:noProof/>
          <w:lang w:val="fr-CA"/>
        </w:rPr>
        <w:t xml:space="preserve"> au problème</w:t>
      </w:r>
      <w:r>
        <w:rPr>
          <w:rFonts w:cs="Times New Roman"/>
          <w:noProof/>
          <w:lang w:val="fr-CA"/>
        </w:rPr>
        <w:t>.</w:t>
      </w:r>
      <w:r w:rsidRPr="006B3B4E">
        <w:rPr>
          <w:rFonts w:cs="Times New Roman"/>
          <w:lang w:val="fr-CA"/>
        </w:rPr>
        <w:t xml:space="preserve"> </w:t>
      </w:r>
      <w:r w:rsidRPr="00000DCC">
        <w:rPr>
          <w:rFonts w:cs="Times New Roman"/>
          <w:noProof/>
          <w:lang w:val="fr-CA"/>
        </w:rPr>
        <w:t>La cour de révision n’est plutôt appelée qu’à décider du caractère raisonnable de la décision rendue par le décideur administratif — ce qui inclut à la fois le raisonnement suivi et le résultat obtenu</w:t>
      </w:r>
      <w:r>
        <w:rPr>
          <w:rFonts w:cs="Times New Roman"/>
          <w:noProof/>
          <w:lang w:val="fr-CA"/>
        </w:rPr>
        <w:t>.</w:t>
      </w:r>
    </w:p>
    <w:p w14:paraId="38F4470F" w14:textId="376E7151" w:rsidR="007700FC" w:rsidRPr="002232D5" w:rsidRDefault="007700FC" w:rsidP="007700FC">
      <w:pPr>
        <w:pStyle w:val="ParaNoNdepar-AltN"/>
        <w:numPr>
          <w:ilvl w:val="0"/>
          <w:numId w:val="0"/>
        </w:numPr>
        <w:rPr>
          <w:rFonts w:cs="Times New Roman"/>
          <w:lang w:val="fr-CA"/>
        </w:rPr>
      </w:pPr>
      <w:r w:rsidRPr="006B3B4E">
        <w:rPr>
          <w:rFonts w:cs="Times New Roman"/>
          <w:lang w:val="fr-CA"/>
        </w:rPr>
        <w:lastRenderedPageBreak/>
        <w:tab/>
        <w:t xml:space="preserve">Dans les cas où </w:t>
      </w:r>
      <w:r w:rsidRPr="00000DCC">
        <w:rPr>
          <w:rFonts w:cs="Times New Roman"/>
          <w:noProof/>
          <w:lang w:val="fr-CA" w:bidi="en-US"/>
        </w:rPr>
        <w:t>des motifs sont requis, ceux</w:t>
      </w:r>
      <w:r w:rsidRPr="00000DCC">
        <w:rPr>
          <w:rFonts w:cs="Times New Roman"/>
          <w:noProof/>
          <w:lang w:val="fr-CA" w:bidi="en-US"/>
        </w:rPr>
        <w:noBreakHyphen/>
        <w:t xml:space="preserve">ci constituent le </w:t>
      </w:r>
      <w:r>
        <w:rPr>
          <w:rFonts w:cs="Times New Roman"/>
          <w:noProof/>
          <w:lang w:val="fr-CA" w:bidi="en-US"/>
        </w:rPr>
        <w:t xml:space="preserve">point de départ du contrôle selon la norme de la décision raisonnable, car ils sont </w:t>
      </w:r>
      <w:r w:rsidRPr="00000DCC">
        <w:rPr>
          <w:rFonts w:cs="Times New Roman"/>
          <w:noProof/>
          <w:lang w:val="fr-CA" w:bidi="en-US"/>
        </w:rPr>
        <w:t>le mécanisme principal par lequel les décideurs administratifs démontrent le caractère raisonnable de leurs décisions</w:t>
      </w:r>
      <w:r>
        <w:rPr>
          <w:rFonts w:cs="Times New Roman"/>
          <w:noProof/>
          <w:lang w:val="fr-CA" w:bidi="en-US"/>
        </w:rPr>
        <w:t>.</w:t>
      </w:r>
      <w:r w:rsidRPr="006B3B4E">
        <w:rPr>
          <w:rFonts w:cs="Times New Roman"/>
          <w:lang w:val="fr-CA"/>
        </w:rPr>
        <w:t xml:space="preserve"> </w:t>
      </w:r>
      <w:r w:rsidRPr="00495EAB">
        <w:rPr>
          <w:rFonts w:cs="Times New Roman"/>
          <w:lang w:val="fr-CA"/>
        </w:rPr>
        <w:t>L</w:t>
      </w:r>
      <w:r w:rsidRPr="00495EAB">
        <w:rPr>
          <w:rFonts w:cs="Times New Roman"/>
          <w:noProof/>
          <w:lang w:val="fr-CA"/>
        </w:rPr>
        <w:t>es motifs sont le moyen par lequel le décideur communique la justification de sa décision</w:t>
      </w:r>
      <w:r w:rsidR="003C2DEE">
        <w:rPr>
          <w:rFonts w:cs="Times New Roman"/>
          <w:noProof/>
          <w:lang w:val="fr-CA"/>
        </w:rPr>
        <w:t> </w:t>
      </w:r>
      <w:r w:rsidRPr="00495EAB">
        <w:rPr>
          <w:rFonts w:cs="Times New Roman"/>
          <w:noProof/>
          <w:lang w:val="fr-CA"/>
        </w:rPr>
        <w:t xml:space="preserve">: ils </w:t>
      </w:r>
      <w:r w:rsidRPr="00000DCC">
        <w:rPr>
          <w:rFonts w:cs="Times New Roman"/>
          <w:noProof/>
          <w:lang w:val="fr-CA"/>
        </w:rPr>
        <w:t>servent à expliquer le processus décisionnel et la raison d’être de la décision en cause</w:t>
      </w:r>
      <w:r w:rsidRPr="00495EAB">
        <w:rPr>
          <w:rFonts w:cs="Times New Roman"/>
          <w:lang w:val="fr-CA"/>
        </w:rPr>
        <w:t xml:space="preserve">, </w:t>
      </w:r>
      <w:r w:rsidRPr="00000DCC">
        <w:rPr>
          <w:rFonts w:cs="Times New Roman"/>
          <w:noProof/>
          <w:lang w:val="fr-CA"/>
        </w:rPr>
        <w:t>permettent de montrer aux parties concernées que leurs arguments ont été pris en compte et démontrent que la décision a été rendue de manière équitable et licite</w:t>
      </w:r>
      <w:r>
        <w:rPr>
          <w:rFonts w:cs="Times New Roman"/>
          <w:noProof/>
          <w:lang w:val="fr-CA"/>
        </w:rPr>
        <w:t xml:space="preserve">, en plus de servir </w:t>
      </w:r>
      <w:r w:rsidRPr="00495EAB">
        <w:rPr>
          <w:rFonts w:cs="Times New Roman"/>
          <w:noProof/>
          <w:lang w:val="fr-CA"/>
        </w:rPr>
        <w:t xml:space="preserve">de bouclier contre l’arbitraire. </w:t>
      </w:r>
      <w:r w:rsidRPr="00000DCC">
        <w:rPr>
          <w:rFonts w:cs="Times New Roman"/>
          <w:noProof/>
          <w:lang w:val="fr-CA"/>
        </w:rPr>
        <w:t xml:space="preserve">Toute méthode raisonnée de contrôle selon la norme de la décision raisonnable s’intéresse </w:t>
      </w:r>
      <w:r>
        <w:rPr>
          <w:rFonts w:cs="Times New Roman"/>
          <w:noProof/>
          <w:lang w:val="fr-CA"/>
        </w:rPr>
        <w:t xml:space="preserve">donc </w:t>
      </w:r>
      <w:r w:rsidRPr="00000DCC">
        <w:rPr>
          <w:rFonts w:cs="Times New Roman"/>
          <w:noProof/>
          <w:lang w:val="fr-CA"/>
        </w:rPr>
        <w:t>avant tout aux motifs de la décision</w:t>
      </w:r>
      <w:r>
        <w:rPr>
          <w:rFonts w:cs="Times New Roman"/>
          <w:noProof/>
          <w:lang w:val="fr-CA"/>
        </w:rPr>
        <w:t>.</w:t>
      </w:r>
      <w:r w:rsidRPr="00D8410C">
        <w:rPr>
          <w:rFonts w:cs="Times New Roman"/>
          <w:lang w:val="fr-CA"/>
        </w:rPr>
        <w:t xml:space="preserve"> </w:t>
      </w:r>
      <w:r w:rsidRPr="00292681">
        <w:rPr>
          <w:rFonts w:cs="Times New Roman"/>
          <w:lang w:val="fr-CA"/>
        </w:rPr>
        <w:t xml:space="preserve">Cela </w:t>
      </w:r>
      <w:r w:rsidRPr="00000DCC">
        <w:rPr>
          <w:rFonts w:cs="Times New Roman"/>
          <w:noProof/>
          <w:lang w:val="fr-CA"/>
        </w:rPr>
        <w:t>permet à la cour de révision de déterminer si la décision dans son ensemble est raisonnable</w:t>
      </w:r>
      <w:r w:rsidRPr="00292681">
        <w:rPr>
          <w:rFonts w:cs="Times New Roman"/>
          <w:lang w:val="fr-CA"/>
        </w:rPr>
        <w:t xml:space="preserve">. </w:t>
      </w:r>
      <w:r w:rsidRPr="00000DCC">
        <w:rPr>
          <w:rFonts w:cs="Times New Roman"/>
          <w:noProof/>
          <w:lang w:val="fr-CA"/>
        </w:rPr>
        <w:t>L’attention accordée aux motifs formulés par le décideur est une manifestation de l’attitude de respect dont font preuve les cours de justice envers le processus décisionnel</w:t>
      </w:r>
      <w:r>
        <w:rPr>
          <w:rFonts w:cs="Times New Roman"/>
          <w:noProof/>
          <w:lang w:val="fr-CA"/>
        </w:rPr>
        <w:t>.</w:t>
      </w:r>
    </w:p>
    <w:p w14:paraId="0E56CF03" w14:textId="5CDC13DB" w:rsidR="007700FC" w:rsidRPr="00013B12" w:rsidRDefault="007700FC" w:rsidP="007700FC">
      <w:pPr>
        <w:pStyle w:val="ParaNoNdepar-AltN"/>
        <w:numPr>
          <w:ilvl w:val="0"/>
          <w:numId w:val="0"/>
        </w:numPr>
        <w:rPr>
          <w:rFonts w:cs="Times New Roman"/>
          <w:lang w:val="fr-CA"/>
        </w:rPr>
      </w:pPr>
      <w:r w:rsidRPr="002232D5">
        <w:rPr>
          <w:rFonts w:cs="Times New Roman"/>
          <w:lang w:val="fr-CA"/>
        </w:rPr>
        <w:tab/>
      </w:r>
      <w:r w:rsidRPr="00000DCC">
        <w:rPr>
          <w:rFonts w:cs="Times New Roman"/>
          <w:noProof/>
          <w:lang w:val="fr-CA" w:bidi="en-US"/>
        </w:rPr>
        <w:t xml:space="preserve">Dans de nombreux cas, </w:t>
      </w:r>
      <w:r>
        <w:rPr>
          <w:rFonts w:cs="Times New Roman"/>
          <w:noProof/>
          <w:lang w:val="fr-CA" w:bidi="en-US"/>
        </w:rPr>
        <w:t xml:space="preserve">les motifs écrits d’une décision ne sont ni présentés, ni nécessaires. </w:t>
      </w:r>
      <w:r>
        <w:rPr>
          <w:rFonts w:cs="Times New Roman"/>
          <w:lang w:val="fr-CA"/>
        </w:rPr>
        <w:t>M</w:t>
      </w:r>
      <w:r w:rsidRPr="00000DCC">
        <w:rPr>
          <w:rFonts w:cs="Times New Roman"/>
          <w:noProof/>
          <w:lang w:val="fr-CA"/>
        </w:rPr>
        <w:t>ême en l’absence de motifs, il se peut que le dossier et le contexte révèlent qu’une décision repose sur un mobile irrégulier ou sur un autre motif inacceptable</w:t>
      </w:r>
      <w:r>
        <w:rPr>
          <w:rFonts w:cs="Times New Roman"/>
          <w:noProof/>
          <w:lang w:val="fr-CA"/>
        </w:rPr>
        <w:t>.</w:t>
      </w:r>
      <w:r w:rsidRPr="002232D5">
        <w:rPr>
          <w:rFonts w:cs="Times New Roman"/>
          <w:lang w:val="fr-CA"/>
        </w:rPr>
        <w:t xml:space="preserve"> </w:t>
      </w:r>
      <w:r w:rsidRPr="00000DCC">
        <w:rPr>
          <w:rFonts w:cs="Times New Roman"/>
          <w:noProof/>
          <w:lang w:val="fr-CA"/>
        </w:rPr>
        <w:t>Il existe néanmoins des situations dans lesquelles ni le dossier ni le contexte général ne permettent de discerner le fondement de la décision en cause</w:t>
      </w:r>
      <w:r>
        <w:rPr>
          <w:rFonts w:cs="Times New Roman"/>
          <w:noProof/>
          <w:lang w:val="fr-CA"/>
        </w:rPr>
        <w:t>.</w:t>
      </w:r>
      <w:r w:rsidRPr="003074D4">
        <w:rPr>
          <w:rFonts w:cs="Times New Roman"/>
          <w:lang w:val="fr-CA"/>
        </w:rPr>
        <w:t xml:space="preserve"> </w:t>
      </w:r>
      <w:r w:rsidRPr="00000DCC">
        <w:rPr>
          <w:rFonts w:cs="Times New Roman"/>
          <w:noProof/>
          <w:lang w:val="fr-CA"/>
        </w:rPr>
        <w:t xml:space="preserve">En pareil cas, la cour de révision doit tout de même examiner la décision à la lumière des contraintes </w:t>
      </w:r>
      <w:r>
        <w:rPr>
          <w:rFonts w:cs="Times New Roman"/>
          <w:noProof/>
          <w:lang w:val="fr-CA"/>
        </w:rPr>
        <w:t xml:space="preserve">factuelles et juridiques </w:t>
      </w:r>
      <w:r w:rsidRPr="00000DCC">
        <w:rPr>
          <w:rFonts w:cs="Times New Roman"/>
          <w:noProof/>
          <w:lang w:val="fr-CA"/>
        </w:rPr>
        <w:t>imposées au décideur afin de déterminer s’il s’agit d’une décision raisonnable</w:t>
      </w:r>
      <w:r>
        <w:rPr>
          <w:rFonts w:cs="Times New Roman"/>
          <w:noProof/>
          <w:lang w:val="fr-CA"/>
        </w:rPr>
        <w:t>.</w:t>
      </w:r>
    </w:p>
    <w:p w14:paraId="33506149" w14:textId="79105256" w:rsidR="007700FC" w:rsidRPr="007700FC" w:rsidRDefault="007700FC" w:rsidP="007700FC">
      <w:pPr>
        <w:pStyle w:val="ParaNoNdepar-AltN"/>
        <w:numPr>
          <w:ilvl w:val="0"/>
          <w:numId w:val="0"/>
        </w:numPr>
        <w:rPr>
          <w:rFonts w:cs="Times New Roman"/>
          <w:lang w:val="fr-CA"/>
        </w:rPr>
      </w:pPr>
      <w:r w:rsidRPr="00013B12">
        <w:rPr>
          <w:rFonts w:cs="Times New Roman"/>
          <w:lang w:val="fr-CA"/>
        </w:rPr>
        <w:tab/>
      </w:r>
      <w:r w:rsidRPr="00000DCC">
        <w:rPr>
          <w:rFonts w:cs="Times New Roman"/>
          <w:noProof/>
          <w:lang w:val="fr-CA"/>
        </w:rPr>
        <w:t xml:space="preserve">Il </w:t>
      </w:r>
      <w:r>
        <w:rPr>
          <w:rFonts w:cs="Times New Roman"/>
          <w:noProof/>
          <w:lang w:val="fr-CA"/>
        </w:rPr>
        <w:t xml:space="preserve">est </w:t>
      </w:r>
      <w:r w:rsidRPr="00000DCC">
        <w:rPr>
          <w:rFonts w:cs="Times New Roman"/>
          <w:noProof/>
          <w:lang w:val="fr-CA"/>
        </w:rPr>
        <w:t xml:space="preserve">utile, d’un point de vue conceptuel, de </w:t>
      </w:r>
      <w:r>
        <w:rPr>
          <w:rFonts w:cs="Times New Roman"/>
          <w:noProof/>
          <w:lang w:val="fr-CA"/>
        </w:rPr>
        <w:t>s’a</w:t>
      </w:r>
      <w:r w:rsidRPr="00000DCC">
        <w:rPr>
          <w:rFonts w:cs="Times New Roman"/>
          <w:noProof/>
          <w:lang w:val="fr-CA"/>
        </w:rPr>
        <w:t>rrêter à deux catégories de lacunes fondamentales</w:t>
      </w:r>
      <w:r w:rsidRPr="00D8388D">
        <w:rPr>
          <w:rFonts w:cs="Times New Roman"/>
          <w:lang w:val="fr-CA"/>
        </w:rPr>
        <w:t xml:space="preserve"> </w:t>
      </w:r>
      <w:r>
        <w:rPr>
          <w:rFonts w:cs="Times New Roman"/>
          <w:lang w:val="fr-CA"/>
        </w:rPr>
        <w:t xml:space="preserve">qui tendent à rendre une décision déraisonnable. </w:t>
      </w:r>
      <w:r w:rsidRPr="00000DCC">
        <w:rPr>
          <w:rFonts w:cs="Times New Roman"/>
          <w:noProof/>
          <w:lang w:val="fr-CA"/>
        </w:rPr>
        <w:t xml:space="preserve">La première </w:t>
      </w:r>
      <w:r w:rsidRPr="00000DCC">
        <w:rPr>
          <w:rFonts w:cs="Times New Roman"/>
          <w:noProof/>
          <w:lang w:val="fr-CA"/>
        </w:rPr>
        <w:lastRenderedPageBreak/>
        <w:t>est le manque de logique interne du raisonnement</w:t>
      </w:r>
      <w:r>
        <w:rPr>
          <w:rFonts w:cs="Times New Roman"/>
          <w:noProof/>
          <w:lang w:val="fr-CA"/>
        </w:rPr>
        <w:t>.</w:t>
      </w:r>
      <w:r w:rsidRPr="005A3195">
        <w:rPr>
          <w:rFonts w:cs="Times New Roman"/>
          <w:lang w:val="fr-CA"/>
        </w:rPr>
        <w:t xml:space="preserve"> </w:t>
      </w:r>
      <w:r w:rsidRPr="00000DCC">
        <w:rPr>
          <w:rFonts w:cs="Times New Roman"/>
          <w:noProof/>
          <w:lang w:val="fr-CA"/>
        </w:rPr>
        <w:t xml:space="preserve">Pour être raisonnable, une décision doit être fondée sur un raisonnement </w:t>
      </w:r>
      <w:r>
        <w:rPr>
          <w:rFonts w:cs="Times New Roman"/>
          <w:noProof/>
          <w:lang w:val="fr-CA"/>
        </w:rPr>
        <w:t xml:space="preserve">intrinsèquement cohérent qui est </w:t>
      </w:r>
      <w:r w:rsidR="000B70F2">
        <w:rPr>
          <w:rFonts w:cs="Times New Roman"/>
          <w:noProof/>
          <w:lang w:val="fr-CA"/>
        </w:rPr>
        <w:t xml:space="preserve">à </w:t>
      </w:r>
      <w:r w:rsidRPr="00000DCC">
        <w:rPr>
          <w:rFonts w:cs="Times New Roman"/>
          <w:noProof/>
          <w:lang w:val="fr-CA"/>
        </w:rPr>
        <w:t>la fois rationnel et logique</w:t>
      </w:r>
      <w:r w:rsidRPr="005A3195">
        <w:rPr>
          <w:rFonts w:cs="Times New Roman"/>
          <w:lang w:val="fr-CA"/>
        </w:rPr>
        <w:t xml:space="preserve">. </w:t>
      </w:r>
      <w:r>
        <w:rPr>
          <w:rFonts w:cs="Times New Roman"/>
          <w:lang w:val="fr-CA"/>
        </w:rPr>
        <w:t>U</w:t>
      </w:r>
      <w:r w:rsidRPr="00000DCC">
        <w:rPr>
          <w:rFonts w:cs="Times New Roman"/>
          <w:noProof/>
          <w:lang w:val="fr-CA"/>
        </w:rPr>
        <w:t>n manquement à cet égard peut amener la cour de révision à conclure qu’il y a lieu d’infirmer la décision</w:t>
      </w:r>
      <w:r>
        <w:rPr>
          <w:rFonts w:cs="Times New Roman"/>
          <w:noProof/>
          <w:lang w:val="fr-CA"/>
        </w:rPr>
        <w:t xml:space="preserve">. </w:t>
      </w:r>
      <w:r>
        <w:rPr>
          <w:rFonts w:cs="Times New Roman"/>
          <w:lang w:val="fr-CA"/>
        </w:rPr>
        <w:t>L</w:t>
      </w:r>
      <w:r w:rsidRPr="00000DCC">
        <w:rPr>
          <w:rFonts w:cs="Times New Roman"/>
          <w:noProof/>
          <w:lang w:val="fr-CA"/>
        </w:rPr>
        <w:t>e contrôle selon la norme de la décision raisonnable n’est pas une chasse au trésor, phrase par phrase, à la recherche d’une erreur</w:t>
      </w:r>
      <w:r w:rsidRPr="008E729E">
        <w:rPr>
          <w:rFonts w:cs="Times New Roman"/>
          <w:lang w:val="fr-CA"/>
        </w:rPr>
        <w:t xml:space="preserve">. </w:t>
      </w:r>
      <w:r w:rsidRPr="00000DCC">
        <w:rPr>
          <w:rFonts w:cs="Times New Roman"/>
          <w:noProof/>
          <w:lang w:val="fr-CA"/>
        </w:rPr>
        <w:t>Cependant, la cour de révision doit être en mesure de suivre le raisonnement du décideur sans buter sur une faille décisive dans la logique globale</w:t>
      </w:r>
      <w:r>
        <w:rPr>
          <w:rFonts w:cs="Times New Roman"/>
          <w:lang w:val="fr-CA"/>
        </w:rPr>
        <w:t xml:space="preserve">. </w:t>
      </w:r>
      <w:r w:rsidRPr="00235301">
        <w:rPr>
          <w:rFonts w:cs="Times New Roman"/>
          <w:lang w:val="fr-CA"/>
        </w:rPr>
        <w:t>Puisqu</w:t>
      </w:r>
      <w:r>
        <w:rPr>
          <w:rFonts w:cs="Times New Roman"/>
          <w:lang w:val="fr-CA"/>
        </w:rPr>
        <w:t xml:space="preserve">’il faut </w:t>
      </w:r>
      <w:r w:rsidRPr="00000DCC">
        <w:rPr>
          <w:rFonts w:cs="Times New Roman"/>
          <w:noProof/>
          <w:lang w:val="fr-CA" w:bidi="en-US"/>
        </w:rPr>
        <w:t xml:space="preserve">interpréter </w:t>
      </w:r>
      <w:r>
        <w:rPr>
          <w:rFonts w:cs="Times New Roman"/>
          <w:noProof/>
          <w:lang w:val="fr-CA" w:bidi="en-US"/>
        </w:rPr>
        <w:t>l</w:t>
      </w:r>
      <w:r w:rsidRPr="00000DCC">
        <w:rPr>
          <w:rFonts w:cs="Times New Roman"/>
          <w:noProof/>
          <w:lang w:val="fr-CA" w:bidi="en-US"/>
        </w:rPr>
        <w:t>es motifs écrits eu égard au dossier et en tenant dûment compte du régime administratif dans lequel ils sont donnés, une décision sera déraisonnable lorsque, lus dans leur ensemble, les motifs ne font pas état d’une analyse rationnelle ou montrent que la décision est fondée sur une analyse ir</w:t>
      </w:r>
      <w:r w:rsidR="003326A0">
        <w:rPr>
          <w:rFonts w:cs="Times New Roman"/>
          <w:noProof/>
          <w:lang w:val="fr-CA" w:bidi="en-US"/>
        </w:rPr>
        <w:t>r</w:t>
      </w:r>
      <w:r w:rsidRPr="00000DCC">
        <w:rPr>
          <w:rFonts w:cs="Times New Roman"/>
          <w:noProof/>
          <w:lang w:val="fr-CA" w:bidi="en-US"/>
        </w:rPr>
        <w:t>ationnelle</w:t>
      </w:r>
      <w:r>
        <w:rPr>
          <w:rFonts w:cs="Times New Roman"/>
          <w:noProof/>
          <w:lang w:val="fr-CA" w:bidi="en-US"/>
        </w:rPr>
        <w:t>.</w:t>
      </w:r>
      <w:r w:rsidRPr="00000DCC">
        <w:rPr>
          <w:rFonts w:cs="Times New Roman"/>
          <w:noProof/>
          <w:lang w:val="fr-CA" w:bidi="en-US"/>
        </w:rPr>
        <w:t xml:space="preserve"> </w:t>
      </w:r>
      <w:r w:rsidRPr="00FA6941">
        <w:rPr>
          <w:rFonts w:cs="Times New Roman"/>
          <w:noProof/>
          <w:lang w:val="fr-CA" w:bidi="en-US"/>
        </w:rPr>
        <w:t xml:space="preserve">Une décision sera également déraisonnable si la conclusion tirée ne peut prendre sa source dans l’analyse effectuée </w:t>
      </w:r>
      <w:r w:rsidRPr="00000DCC">
        <w:rPr>
          <w:rFonts w:cs="Times New Roman"/>
          <w:noProof/>
          <w:lang w:val="fr-CA" w:bidi="en-US"/>
        </w:rPr>
        <w:t>ou qu’il est impossible de comprendre, lorsqu’on lit les motifs en corrélation avec le dossier, le raisonnement du décideur sur un point central</w:t>
      </w:r>
      <w:r>
        <w:rPr>
          <w:rFonts w:cs="Times New Roman"/>
          <w:noProof/>
          <w:lang w:val="fr-CA" w:bidi="en-US"/>
        </w:rPr>
        <w:t>.</w:t>
      </w:r>
      <w:r w:rsidRPr="00000DCC">
        <w:rPr>
          <w:rFonts w:cs="Times New Roman"/>
          <w:noProof/>
          <w:lang w:val="fr-CA" w:bidi="en-US"/>
        </w:rPr>
        <w:t xml:space="preserve"> </w:t>
      </w:r>
      <w:r w:rsidRPr="00000DCC">
        <w:rPr>
          <w:rFonts w:cs="Times New Roman"/>
          <w:noProof/>
          <w:lang w:val="fr-CA"/>
        </w:rPr>
        <w:t>De même, la logique interne d’une décision peut également être remise en question lorsque les motifs sont entachés d’erreurs manifestes sur le plan rationnel</w:t>
      </w:r>
      <w:r>
        <w:rPr>
          <w:rFonts w:cs="Times New Roman"/>
          <w:noProof/>
          <w:lang w:val="fr-CA"/>
        </w:rPr>
        <w:t>.</w:t>
      </w:r>
    </w:p>
    <w:p w14:paraId="1AB0B19B" w14:textId="2DB0F407" w:rsidR="007700FC" w:rsidRDefault="007700FC" w:rsidP="007700FC">
      <w:pPr>
        <w:pStyle w:val="SCCNormalDoubleSpacing"/>
        <w:spacing w:after="480"/>
        <w:rPr>
          <w:lang w:val="fr-CA"/>
        </w:rPr>
      </w:pPr>
      <w:r w:rsidRPr="007700FC">
        <w:rPr>
          <w:lang w:val="fr-CA"/>
        </w:rPr>
        <w:tab/>
      </w:r>
      <w:r w:rsidRPr="00000DCC">
        <w:rPr>
          <w:noProof/>
          <w:lang w:val="fr-CA"/>
        </w:rPr>
        <w:t>La seconde</w:t>
      </w:r>
      <w:r>
        <w:rPr>
          <w:noProof/>
          <w:lang w:val="fr-CA"/>
        </w:rPr>
        <w:t xml:space="preserve"> catégorie de lacune fondamentale</w:t>
      </w:r>
      <w:r w:rsidRPr="00000DCC">
        <w:rPr>
          <w:noProof/>
          <w:lang w:val="fr-CA"/>
        </w:rPr>
        <w:t xml:space="preserve"> se présente dans le cas d’une décision indéfendable sous certains rapports compte tenu des contraintes factuelles et juridiques pertinentes qui ont une incidence sur la décision</w:t>
      </w:r>
      <w:r>
        <w:rPr>
          <w:noProof/>
          <w:lang w:val="fr-CA"/>
        </w:rPr>
        <w:t>.</w:t>
      </w:r>
      <w:r w:rsidRPr="00345521">
        <w:rPr>
          <w:lang w:val="fr-CA"/>
        </w:rPr>
        <w:t xml:space="preserve"> </w:t>
      </w:r>
      <w:r w:rsidRPr="009952D8">
        <w:rPr>
          <w:lang w:val="fr-CA"/>
        </w:rPr>
        <w:t xml:space="preserve">Même si la norme de la décision raisonnable est une norme unique qui tient déjà compte du contexte, et </w:t>
      </w:r>
      <w:r w:rsidRPr="00000DCC">
        <w:rPr>
          <w:noProof/>
          <w:lang w:val="fr-CA"/>
        </w:rPr>
        <w:t>les éléments du contexte entourant une décision n</w:t>
      </w:r>
      <w:r>
        <w:rPr>
          <w:noProof/>
          <w:lang w:val="fr-CA"/>
        </w:rPr>
        <w:t xml:space="preserve">e doivent pas altérer </w:t>
      </w:r>
      <w:r w:rsidRPr="00000DCC">
        <w:rPr>
          <w:noProof/>
          <w:lang w:val="fr-CA"/>
        </w:rPr>
        <w:t>cette norme ou le degré d’examen que doit appliquer une cour de révision</w:t>
      </w:r>
      <w:r w:rsidRPr="009952D8">
        <w:rPr>
          <w:lang w:val="fr-CA"/>
        </w:rPr>
        <w:t xml:space="preserve">, </w:t>
      </w:r>
      <w:r w:rsidRPr="00000DCC">
        <w:rPr>
          <w:noProof/>
          <w:lang w:val="fr-CA"/>
        </w:rPr>
        <w:t>ce qui est raisonnable dans un cas donné dépend toujours des contraintes juridiques et factuelles propres au contexte de la décision particulière sous examen</w:t>
      </w:r>
      <w:r>
        <w:rPr>
          <w:noProof/>
          <w:lang w:val="fr-CA"/>
        </w:rPr>
        <w:t>.</w:t>
      </w:r>
      <w:r w:rsidRPr="009952D8">
        <w:rPr>
          <w:lang w:val="fr-CA"/>
        </w:rPr>
        <w:t xml:space="preserve"> </w:t>
      </w:r>
      <w:r w:rsidRPr="00000DCC">
        <w:rPr>
          <w:noProof/>
          <w:lang w:val="fr-CA"/>
        </w:rPr>
        <w:t xml:space="preserve">Ces contraintes d’ordre contextuel cernent les </w:t>
      </w:r>
      <w:r w:rsidRPr="00000DCC">
        <w:rPr>
          <w:noProof/>
          <w:lang w:val="fr-CA"/>
        </w:rPr>
        <w:lastRenderedPageBreak/>
        <w:t>limites et les contours de l’espace à l’intérieur duquel le décideur peut agir, ainsi que les types de solution qu’il peut retenir</w:t>
      </w:r>
      <w:r>
        <w:rPr>
          <w:noProof/>
          <w:lang w:val="fr-CA"/>
        </w:rPr>
        <w:t>.</w:t>
      </w:r>
      <w:r w:rsidRPr="009952D8">
        <w:rPr>
          <w:lang w:val="fr-CA"/>
        </w:rPr>
        <w:t xml:space="preserve"> </w:t>
      </w:r>
      <w:r>
        <w:rPr>
          <w:lang w:val="fr-CA"/>
        </w:rPr>
        <w:t>Le</w:t>
      </w:r>
      <w:r w:rsidRPr="00000DCC">
        <w:rPr>
          <w:noProof/>
          <w:lang w:val="fr-CA"/>
        </w:rPr>
        <w:t xml:space="preserve"> régime législatif applicable</w:t>
      </w:r>
      <w:r>
        <w:rPr>
          <w:noProof/>
          <w:lang w:val="fr-CA"/>
        </w:rPr>
        <w:t xml:space="preserve">, </w:t>
      </w:r>
      <w:r w:rsidRPr="00000DCC">
        <w:rPr>
          <w:noProof/>
          <w:lang w:val="fr-CA"/>
        </w:rPr>
        <w:t xml:space="preserve">tout autre principe législatif ou principe de common law pertinent, </w:t>
      </w:r>
      <w:r>
        <w:rPr>
          <w:noProof/>
          <w:lang w:val="fr-CA"/>
        </w:rPr>
        <w:t>les</w:t>
      </w:r>
      <w:r w:rsidRPr="00000DCC">
        <w:rPr>
          <w:noProof/>
          <w:lang w:val="fr-CA"/>
        </w:rPr>
        <w:t xml:space="preserve"> principes d’interprétation des lois, la preuve portée à la connaissance du décideur et </w:t>
      </w:r>
      <w:r>
        <w:rPr>
          <w:noProof/>
          <w:lang w:val="fr-CA"/>
        </w:rPr>
        <w:t>l</w:t>
      </w:r>
      <w:r w:rsidRPr="00000DCC">
        <w:rPr>
          <w:noProof/>
          <w:lang w:val="fr-CA"/>
        </w:rPr>
        <w:t xml:space="preserve">es faits dont le décideur peut prendre connaissance d’office, </w:t>
      </w:r>
      <w:r>
        <w:rPr>
          <w:noProof/>
          <w:lang w:val="fr-CA"/>
        </w:rPr>
        <w:t>l</w:t>
      </w:r>
      <w:r w:rsidRPr="00000DCC">
        <w:rPr>
          <w:noProof/>
          <w:lang w:val="fr-CA"/>
        </w:rPr>
        <w:t xml:space="preserve">es observations des parties, </w:t>
      </w:r>
      <w:r>
        <w:rPr>
          <w:noProof/>
          <w:lang w:val="fr-CA"/>
        </w:rPr>
        <w:t>l</w:t>
      </w:r>
      <w:r w:rsidRPr="00000DCC">
        <w:rPr>
          <w:noProof/>
          <w:lang w:val="fr-CA"/>
        </w:rPr>
        <w:t>es pratiques et décisions antérieures de l’organisme administratif et</w:t>
      </w:r>
      <w:r>
        <w:rPr>
          <w:noProof/>
          <w:lang w:val="fr-CA"/>
        </w:rPr>
        <w:t xml:space="preserve"> </w:t>
      </w:r>
      <w:r w:rsidRPr="00000DCC">
        <w:rPr>
          <w:noProof/>
          <w:lang w:val="fr-CA"/>
        </w:rPr>
        <w:t>l’impact potentiel de la décision sur l’individu qui en fait l’objet</w:t>
      </w:r>
      <w:r>
        <w:rPr>
          <w:noProof/>
          <w:lang w:val="fr-CA"/>
        </w:rPr>
        <w:t xml:space="preserve"> sont tous des éléments </w:t>
      </w:r>
      <w:r w:rsidRPr="00000DCC">
        <w:rPr>
          <w:noProof/>
          <w:lang w:val="fr-CA"/>
        </w:rPr>
        <w:t>qui sont généralement utiles pour déterminer si une décision est raisonnable</w:t>
      </w:r>
      <w:r w:rsidRPr="009952D8">
        <w:rPr>
          <w:lang w:val="fr-CA"/>
        </w:rPr>
        <w:t xml:space="preserve">. </w:t>
      </w:r>
      <w:r w:rsidRPr="00000DCC">
        <w:rPr>
          <w:noProof/>
          <w:lang w:val="fr-CA"/>
        </w:rPr>
        <w:t>Ces éléments ne doivent pas servir de liste de vérification</w:t>
      </w:r>
      <w:r>
        <w:rPr>
          <w:noProof/>
          <w:lang w:val="fr-CA"/>
        </w:rPr>
        <w:t xml:space="preserve">; </w:t>
      </w:r>
      <w:r w:rsidRPr="00000DCC">
        <w:rPr>
          <w:noProof/>
          <w:lang w:val="fr-CA"/>
        </w:rPr>
        <w:t>leur importance peut varier selon le contexte</w:t>
      </w:r>
      <w:r w:rsidRPr="00467EE7">
        <w:rPr>
          <w:lang w:val="fr-CA"/>
        </w:rPr>
        <w:t xml:space="preserve"> </w:t>
      </w:r>
      <w:r>
        <w:rPr>
          <w:lang w:val="fr-CA"/>
        </w:rPr>
        <w:t xml:space="preserve">et ils </w:t>
      </w:r>
      <w:r w:rsidRPr="00000DCC">
        <w:rPr>
          <w:noProof/>
          <w:lang w:val="fr-CA"/>
        </w:rPr>
        <w:t>interagissent forcément entre eux</w:t>
      </w:r>
      <w:r w:rsidRPr="00467EE7">
        <w:rPr>
          <w:lang w:val="fr-CA"/>
        </w:rPr>
        <w:t>.</w:t>
      </w:r>
    </w:p>
    <w:p w14:paraId="2A531F8A" w14:textId="77777777" w:rsidR="00C11642" w:rsidRDefault="00FB28A0" w:rsidP="00C11642">
      <w:pPr>
        <w:pStyle w:val="SCCNormalDoubleSpacing"/>
        <w:spacing w:after="480"/>
        <w:rPr>
          <w:lang w:val="fr-CA"/>
        </w:rPr>
      </w:pPr>
      <w:r>
        <w:rPr>
          <w:lang w:val="fr-CA"/>
        </w:rPr>
        <w:tab/>
      </w:r>
      <w:r w:rsidR="00C11642" w:rsidRPr="00574371">
        <w:rPr>
          <w:lang w:val="fr-CA"/>
        </w:rPr>
        <w:t xml:space="preserve">En conséquence, </w:t>
      </w:r>
      <w:r w:rsidR="00C11642">
        <w:rPr>
          <w:lang w:val="fr-CA"/>
        </w:rPr>
        <w:t>i</w:t>
      </w:r>
      <w:r w:rsidR="00C11642" w:rsidRPr="00000DCC">
        <w:rPr>
          <w:noProof/>
          <w:lang w:val="fr-CA"/>
        </w:rPr>
        <w:t xml:space="preserve">l </w:t>
      </w:r>
      <w:r w:rsidR="00C11642">
        <w:rPr>
          <w:noProof/>
          <w:lang w:val="fr-CA"/>
        </w:rPr>
        <w:t xml:space="preserve">se peut </w:t>
      </w:r>
      <w:r w:rsidR="00C11642" w:rsidRPr="00000DCC">
        <w:rPr>
          <w:noProof/>
          <w:lang w:val="fr-CA"/>
        </w:rPr>
        <w:t>que la cour de révision estime qu’une décision est déraisonnable au regard de ces considérations contextuelles</w:t>
      </w:r>
      <w:r w:rsidR="00C11642" w:rsidRPr="00574371">
        <w:rPr>
          <w:lang w:val="fr-CA"/>
        </w:rPr>
        <w:t xml:space="preserve">. </w:t>
      </w:r>
      <w:r w:rsidR="00C11642" w:rsidRPr="00000DCC">
        <w:rPr>
          <w:noProof/>
          <w:lang w:val="fr-CA"/>
        </w:rPr>
        <w:t>Comme les décideurs administratifs tiennent leurs pouvoirs d’une loi, le régime législatif applicable est probablement l’aspect le plus important du contexte juridique d’une décision donnée</w:t>
      </w:r>
      <w:r w:rsidR="00C11642">
        <w:rPr>
          <w:noProof/>
          <w:lang w:val="fr-CA"/>
        </w:rPr>
        <w:t>.</w:t>
      </w:r>
      <w:r w:rsidR="00C11642" w:rsidRPr="00574371">
        <w:rPr>
          <w:lang w:val="fr-CA"/>
        </w:rPr>
        <w:t xml:space="preserve"> </w:t>
      </w:r>
      <w:r w:rsidR="00C11642">
        <w:rPr>
          <w:lang w:val="fr-CA"/>
        </w:rPr>
        <w:t>L’</w:t>
      </w:r>
      <w:r w:rsidR="00C11642" w:rsidRPr="00000DCC">
        <w:rPr>
          <w:noProof/>
          <w:lang w:val="fr-CA"/>
        </w:rPr>
        <w:t>application appropriée de la norme de la décision raisonnable permet de dissiper la crainte que le décideur administratif puisse interpréter la portée de sa propre compétence de manière à étendre ses pouvoirs au</w:t>
      </w:r>
      <w:r w:rsidR="00C11642" w:rsidRPr="00000DCC">
        <w:rPr>
          <w:noProof/>
          <w:lang w:val="fr-CA"/>
        </w:rPr>
        <w:noBreakHyphen/>
        <w:t>delà de ce que voulait le législateur</w:t>
      </w:r>
      <w:r w:rsidR="00C11642">
        <w:rPr>
          <w:noProof/>
          <w:lang w:val="fr-CA"/>
        </w:rPr>
        <w:t xml:space="preserve">. </w:t>
      </w:r>
      <w:r w:rsidR="00C11642" w:rsidRPr="00000DCC">
        <w:rPr>
          <w:noProof/>
          <w:lang w:val="fr-CA"/>
        </w:rPr>
        <w:t>La question de savoir si une interprétation est justifiée dépendra du contexte, notamment des mots choisis par le législateur pour décrire les limites et les contours du pouvoir du décideur</w:t>
      </w:r>
      <w:r w:rsidR="00C11642">
        <w:rPr>
          <w:lang w:val="fr-CA"/>
        </w:rPr>
        <w:t xml:space="preserve">. </w:t>
      </w:r>
    </w:p>
    <w:p w14:paraId="51EDB1A5" w14:textId="77777777" w:rsidR="00C11642" w:rsidRPr="00C11642" w:rsidRDefault="00C11642" w:rsidP="00C11642">
      <w:pPr>
        <w:pStyle w:val="ParaNoNdepar-AltN"/>
        <w:numPr>
          <w:ilvl w:val="0"/>
          <w:numId w:val="0"/>
        </w:numPr>
        <w:rPr>
          <w:rFonts w:cs="Times New Roman"/>
          <w:lang w:val="fr-CA"/>
        </w:rPr>
      </w:pPr>
      <w:r w:rsidRPr="00C11642">
        <w:rPr>
          <w:rFonts w:cs="Times New Roman"/>
          <w:lang w:val="fr-CA"/>
        </w:rPr>
        <w:tab/>
      </w:r>
      <w:r w:rsidRPr="0009752B">
        <w:rPr>
          <w:rFonts w:cs="Times New Roman"/>
          <w:lang w:val="fr-CA"/>
        </w:rPr>
        <w:t>L</w:t>
      </w:r>
      <w:r w:rsidRPr="0009752B">
        <w:rPr>
          <w:rFonts w:cs="Times New Roman"/>
          <w:noProof/>
          <w:lang w:val="fr-CA"/>
        </w:rPr>
        <w:t>e droit — tant la loi que la common law — limitera lui aussi l’éventail des options qui s’offrent légalement au décideur administratif chargé de trancher un cas particulier</w:t>
      </w:r>
      <w:r w:rsidRPr="0009752B">
        <w:rPr>
          <w:rFonts w:cs="Times New Roman"/>
          <w:lang w:val="fr-CA"/>
        </w:rPr>
        <w:t xml:space="preserve">. </w:t>
      </w:r>
      <w:r w:rsidRPr="003C6C75">
        <w:rPr>
          <w:rFonts w:cs="Times New Roman"/>
          <w:noProof/>
          <w:lang w:val="fr-CA"/>
        </w:rPr>
        <w:t xml:space="preserve">Tout précédent sur la question soumise au décideur administratif ou sur </w:t>
      </w:r>
      <w:r w:rsidRPr="003C6C75">
        <w:rPr>
          <w:rFonts w:cs="Times New Roman"/>
          <w:noProof/>
          <w:lang w:val="fr-CA"/>
        </w:rPr>
        <w:lastRenderedPageBreak/>
        <w:t>une question semblable</w:t>
      </w:r>
      <w:r w:rsidRPr="003C6C75">
        <w:rPr>
          <w:rFonts w:cs="Times New Roman"/>
          <w:lang w:val="fr-CA"/>
        </w:rPr>
        <w:t xml:space="preserve">, ainsi que le </w:t>
      </w:r>
      <w:r w:rsidRPr="00000DCC">
        <w:rPr>
          <w:rFonts w:cs="Times New Roman"/>
          <w:noProof/>
          <w:lang w:val="fr-CA"/>
        </w:rPr>
        <w:t>droit international dans certains domaines du processus décisionnel administratif</w:t>
      </w:r>
      <w:r>
        <w:rPr>
          <w:rFonts w:cs="Times New Roman"/>
          <w:lang w:val="fr-CA"/>
        </w:rPr>
        <w:t xml:space="preserve">, </w:t>
      </w:r>
      <w:r w:rsidRPr="00000DCC">
        <w:rPr>
          <w:rFonts w:cs="Times New Roman"/>
          <w:noProof/>
          <w:lang w:val="fr-CA"/>
        </w:rPr>
        <w:t>aura pour effet de circonscrire l’éventail des issues raisonnables</w:t>
      </w:r>
      <w:r>
        <w:rPr>
          <w:rFonts w:cs="Times New Roman"/>
          <w:lang w:val="fr-CA"/>
        </w:rPr>
        <w:t>. L</w:t>
      </w:r>
      <w:r w:rsidRPr="00000DCC">
        <w:rPr>
          <w:rFonts w:cs="Times New Roman"/>
          <w:noProof/>
          <w:lang w:val="fr-CA"/>
        </w:rPr>
        <w:t>a question de savoir si le décideur administratif a agi raisonnablement en adaptant une règle de droit ou d’equity appelle un examen fondé dans une très large mesure sur le contexte</w:t>
      </w:r>
      <w:r>
        <w:rPr>
          <w:rFonts w:cs="Times New Roman"/>
          <w:noProof/>
          <w:lang w:val="fr-CA"/>
        </w:rPr>
        <w:t>.</w:t>
      </w:r>
      <w:r w:rsidRPr="003C6C75">
        <w:rPr>
          <w:rFonts w:cs="Times New Roman"/>
          <w:lang w:val="fr-CA"/>
        </w:rPr>
        <w:t xml:space="preserve"> </w:t>
      </w:r>
    </w:p>
    <w:p w14:paraId="26C4EFD8" w14:textId="13CBE2F4" w:rsidR="00C11642" w:rsidRPr="00290014" w:rsidRDefault="00C11642" w:rsidP="00C11642">
      <w:pPr>
        <w:pStyle w:val="ParaNoNdepar-AltN"/>
        <w:numPr>
          <w:ilvl w:val="0"/>
          <w:numId w:val="0"/>
        </w:numPr>
        <w:rPr>
          <w:rFonts w:cs="Times New Roman"/>
          <w:lang w:val="fr-CA"/>
        </w:rPr>
      </w:pPr>
      <w:r w:rsidRPr="00C11642">
        <w:rPr>
          <w:rFonts w:cs="Times New Roman"/>
          <w:lang w:val="fr-CA"/>
        </w:rPr>
        <w:tab/>
      </w:r>
      <w:r w:rsidRPr="00000DCC">
        <w:rPr>
          <w:rFonts w:cs="Times New Roman"/>
          <w:noProof/>
          <w:lang w:val="fr-CA"/>
        </w:rPr>
        <w:t>Les questions d’interprétation de la loi ne reçoivent pas un traitement exceptionnel. Comme toute autre question de droit, on peut les évaluer en appliquant la norme de la décision raisonnable</w:t>
      </w:r>
      <w:r>
        <w:rPr>
          <w:rFonts w:cs="Times New Roman"/>
          <w:noProof/>
          <w:lang w:val="fr-CA"/>
        </w:rPr>
        <w:t>.</w:t>
      </w:r>
      <w:r w:rsidRPr="004D23F0">
        <w:rPr>
          <w:rFonts w:cs="Times New Roman"/>
          <w:lang w:val="fr-CA"/>
        </w:rPr>
        <w:t xml:space="preserve"> </w:t>
      </w:r>
      <w:r w:rsidRPr="00000DCC">
        <w:rPr>
          <w:rFonts w:cs="Times New Roman"/>
          <w:noProof/>
          <w:lang w:val="fr-CA"/>
        </w:rPr>
        <w:t>S</w:t>
      </w:r>
      <w:r>
        <w:rPr>
          <w:rFonts w:cs="Times New Roman"/>
          <w:noProof/>
          <w:lang w:val="fr-CA"/>
        </w:rPr>
        <w:t xml:space="preserve">’il s’agit de la norme applicable, </w:t>
      </w:r>
      <w:r w:rsidRPr="00000DCC">
        <w:rPr>
          <w:rFonts w:cs="Times New Roman"/>
          <w:noProof/>
          <w:lang w:val="fr-CA"/>
        </w:rPr>
        <w:t xml:space="preserve">la cour de révision ne procède pas à une analyse </w:t>
      </w:r>
      <w:r w:rsidRPr="00000DCC">
        <w:rPr>
          <w:rFonts w:cs="Times New Roman"/>
          <w:i/>
          <w:noProof/>
          <w:lang w:val="fr-CA"/>
        </w:rPr>
        <w:t xml:space="preserve">de novo </w:t>
      </w:r>
      <w:r w:rsidRPr="00000DCC">
        <w:rPr>
          <w:rFonts w:cs="Times New Roman"/>
          <w:noProof/>
          <w:lang w:val="fr-CA"/>
        </w:rPr>
        <w:t>de la question soulevée ni ne se demande ce qu’aurait été la décision correcte</w:t>
      </w:r>
      <w:r>
        <w:rPr>
          <w:rFonts w:cs="Times New Roman"/>
          <w:noProof/>
          <w:lang w:val="fr-CA"/>
        </w:rPr>
        <w:t>.</w:t>
      </w:r>
      <w:r w:rsidRPr="00000DCC">
        <w:rPr>
          <w:rFonts w:cs="Times New Roman"/>
          <w:noProof/>
          <w:lang w:val="fr-CA"/>
        </w:rPr>
        <w:t> </w:t>
      </w:r>
      <w:r w:rsidRPr="00136031">
        <w:rPr>
          <w:rFonts w:cs="Times New Roman"/>
          <w:lang w:val="fr-CA"/>
        </w:rPr>
        <w:t xml:space="preserve">Mais </w:t>
      </w:r>
      <w:r>
        <w:rPr>
          <w:rFonts w:cs="Times New Roman"/>
          <w:lang w:val="fr-CA"/>
        </w:rPr>
        <w:t>u</w:t>
      </w:r>
      <w:r w:rsidRPr="00000DCC">
        <w:rPr>
          <w:rFonts w:cs="Times New Roman"/>
          <w:noProof/>
          <w:lang w:val="fr-CA"/>
        </w:rPr>
        <w:t xml:space="preserve">ne méthode de contrôle selon la norme de la décision raisonnable qui respecte l’intention du législateur doit tenir pour acquis que les instances chargées d’interpréter la loi — qu’il s’agisse des cours de justice ou des décideurs administratifs — effectueront cet exercice conformément au principe </w:t>
      </w:r>
      <w:r>
        <w:rPr>
          <w:rFonts w:cs="Times New Roman"/>
          <w:noProof/>
          <w:lang w:val="fr-CA"/>
        </w:rPr>
        <w:t xml:space="preserve">moderne en matière </w:t>
      </w:r>
      <w:r w:rsidRPr="00000DCC">
        <w:rPr>
          <w:rFonts w:cs="Times New Roman"/>
          <w:noProof/>
          <w:lang w:val="fr-CA"/>
        </w:rPr>
        <w:t xml:space="preserve">d’interprétation </w:t>
      </w:r>
      <w:r>
        <w:rPr>
          <w:rFonts w:cs="Times New Roman"/>
          <w:noProof/>
          <w:lang w:val="fr-CA"/>
        </w:rPr>
        <w:t xml:space="preserve">des lois. </w:t>
      </w:r>
      <w:r w:rsidRPr="00000DCC">
        <w:rPr>
          <w:rFonts w:cs="Times New Roman"/>
          <w:noProof/>
          <w:lang w:val="fr-CA"/>
        </w:rPr>
        <w:t>Les décideurs administratifs ne sont pas tenus dans tous les cas de procéder à une interprétation formaliste de la loi</w:t>
      </w:r>
      <w:r>
        <w:rPr>
          <w:rFonts w:cs="Times New Roman"/>
          <w:noProof/>
          <w:lang w:val="fr-CA"/>
        </w:rPr>
        <w:t xml:space="preserve">. </w:t>
      </w:r>
      <w:r w:rsidRPr="00000DCC">
        <w:rPr>
          <w:rFonts w:cs="Times New Roman"/>
          <w:noProof/>
          <w:lang w:val="fr-CA"/>
        </w:rPr>
        <w:t>Or, quelle que soit la forme que prend l’opération d’interprétation d’une disposition législative, le fond de l’interprétation de celle</w:t>
      </w:r>
      <w:r w:rsidRPr="00000DCC">
        <w:rPr>
          <w:rFonts w:cs="Times New Roman"/>
          <w:noProof/>
          <w:lang w:val="fr-CA"/>
        </w:rPr>
        <w:noBreakHyphen/>
        <w:t>ci par le décideur administratif doit être conforme à son texte, à son contexte et à son objet</w:t>
      </w:r>
      <w:r w:rsidR="00C217E4">
        <w:rPr>
          <w:rFonts w:cs="Times New Roman"/>
          <w:noProof/>
          <w:lang w:val="fr-CA"/>
        </w:rPr>
        <w:t>.</w:t>
      </w:r>
    </w:p>
    <w:p w14:paraId="6C31F055" w14:textId="4CB7F0BB" w:rsidR="00C11642" w:rsidRPr="00C11642" w:rsidRDefault="00C11642" w:rsidP="00C11642">
      <w:pPr>
        <w:pStyle w:val="ParaNoNdepar-AltN"/>
        <w:numPr>
          <w:ilvl w:val="0"/>
          <w:numId w:val="0"/>
        </w:numPr>
        <w:rPr>
          <w:rFonts w:cs="Times New Roman"/>
          <w:lang w:val="fr-CA"/>
        </w:rPr>
      </w:pPr>
      <w:r w:rsidRPr="00290014">
        <w:rPr>
          <w:rFonts w:cs="Times New Roman"/>
          <w:lang w:val="fr-CA"/>
        </w:rPr>
        <w:tab/>
      </w:r>
      <w:r w:rsidRPr="00CC359F">
        <w:rPr>
          <w:rFonts w:cs="Times New Roman"/>
          <w:lang w:val="fr-CA"/>
        </w:rPr>
        <w:t xml:space="preserve">Qui plus est, le décideur </w:t>
      </w:r>
      <w:r w:rsidRPr="00000DCC">
        <w:rPr>
          <w:rFonts w:cs="Times New Roman"/>
          <w:noProof/>
          <w:lang w:val="fr-CA"/>
        </w:rPr>
        <w:t xml:space="preserve">doit prendre en considération la preuve versée au dossier et la trame factuelle générale qui </w:t>
      </w:r>
      <w:r w:rsidR="0060158C">
        <w:rPr>
          <w:rFonts w:cs="Times New Roman"/>
          <w:noProof/>
          <w:lang w:val="fr-CA"/>
        </w:rPr>
        <w:t xml:space="preserve">a </w:t>
      </w:r>
      <w:r w:rsidRPr="00000DCC">
        <w:rPr>
          <w:rFonts w:cs="Times New Roman"/>
          <w:noProof/>
          <w:lang w:val="fr-CA"/>
        </w:rPr>
        <w:t>une incidence sur sa décision et celle-ci doit être raisonnable au regard de ces éléments</w:t>
      </w:r>
      <w:r>
        <w:rPr>
          <w:rFonts w:cs="Times New Roman"/>
          <w:lang w:val="fr-CA"/>
        </w:rPr>
        <w:t xml:space="preserve">. </w:t>
      </w:r>
      <w:r w:rsidRPr="00000DCC">
        <w:rPr>
          <w:rFonts w:cs="Times New Roman"/>
          <w:noProof/>
          <w:lang w:val="fr-CA"/>
        </w:rPr>
        <w:t>Le caractère raisonnable d’une décision peut être compromis si le décideur s’est fondamentalement mépris sur la preuve qui lui a été soumise ou n’en a pas tenu compte</w:t>
      </w:r>
      <w:r>
        <w:rPr>
          <w:rFonts w:cs="Times New Roman"/>
          <w:noProof/>
          <w:lang w:val="fr-CA"/>
        </w:rPr>
        <w:t>.</w:t>
      </w:r>
      <w:r w:rsidRPr="005F0880">
        <w:rPr>
          <w:rFonts w:cs="Times New Roman"/>
          <w:lang w:val="fr-CA"/>
        </w:rPr>
        <w:t xml:space="preserve"> </w:t>
      </w:r>
      <w:r w:rsidRPr="0095662C">
        <w:rPr>
          <w:rFonts w:cs="Times New Roman"/>
          <w:lang w:val="fr-CA"/>
        </w:rPr>
        <w:t>L</w:t>
      </w:r>
      <w:r w:rsidRPr="0095662C">
        <w:rPr>
          <w:rFonts w:cs="Times New Roman"/>
          <w:noProof/>
          <w:lang w:val="fr-CA"/>
        </w:rPr>
        <w:t xml:space="preserve">es motifs doivent aussi tenir valablement </w:t>
      </w:r>
      <w:r w:rsidRPr="0095662C">
        <w:rPr>
          <w:rFonts w:cs="Times New Roman"/>
          <w:noProof/>
          <w:lang w:val="fr-CA"/>
        </w:rPr>
        <w:lastRenderedPageBreak/>
        <w:t xml:space="preserve">compte des questions et préoccupations centrales soulevées par les parties, </w:t>
      </w:r>
      <w:r w:rsidRPr="0095662C">
        <w:rPr>
          <w:rFonts w:cs="Times New Roman"/>
          <w:lang w:val="fr-CA"/>
        </w:rPr>
        <w:t>m</w:t>
      </w:r>
      <w:r>
        <w:rPr>
          <w:rFonts w:cs="Times New Roman"/>
          <w:lang w:val="fr-CA"/>
        </w:rPr>
        <w:t>ême si l</w:t>
      </w:r>
      <w:r w:rsidRPr="00000DCC">
        <w:rPr>
          <w:rFonts w:cs="Times New Roman"/>
          <w:noProof/>
          <w:lang w:val="fr-CA"/>
        </w:rPr>
        <w:t xml:space="preserve">es cours de révision ne peuvent s’attendre à ce que les décideurs </w:t>
      </w:r>
      <w:r>
        <w:rPr>
          <w:rFonts w:cs="Times New Roman"/>
          <w:noProof/>
          <w:lang w:val="fr-CA"/>
        </w:rPr>
        <w:t xml:space="preserve">administratifs </w:t>
      </w:r>
      <w:r w:rsidRPr="00000DCC">
        <w:rPr>
          <w:rFonts w:cs="Times New Roman"/>
          <w:noProof/>
          <w:lang w:val="fr-CA"/>
        </w:rPr>
        <w:t>répondent à tous les arguments ou modes possibles d’analyse</w:t>
      </w:r>
      <w:r>
        <w:rPr>
          <w:rFonts w:cs="Times New Roman"/>
          <w:noProof/>
          <w:lang w:val="fr-CA"/>
        </w:rPr>
        <w:t>.</w:t>
      </w:r>
    </w:p>
    <w:p w14:paraId="52DDD5ED" w14:textId="607CAEBF" w:rsidR="00C11642" w:rsidRPr="00887069" w:rsidRDefault="00C11642" w:rsidP="00C11642">
      <w:pPr>
        <w:pStyle w:val="ParaNoNdepar-AltN"/>
        <w:numPr>
          <w:ilvl w:val="0"/>
          <w:numId w:val="0"/>
        </w:numPr>
        <w:rPr>
          <w:rFonts w:cs="Times New Roman"/>
          <w:lang w:val="fr-CA"/>
        </w:rPr>
      </w:pPr>
      <w:r w:rsidRPr="00C11642">
        <w:rPr>
          <w:rFonts w:cs="Times New Roman"/>
          <w:lang w:val="fr-CA"/>
        </w:rPr>
        <w:tab/>
      </w:r>
      <w:r w:rsidRPr="00687218">
        <w:rPr>
          <w:rFonts w:cs="Times New Roman"/>
          <w:lang w:val="fr-CA"/>
        </w:rPr>
        <w:t xml:space="preserve">Bien que les </w:t>
      </w:r>
      <w:r w:rsidRPr="00687218">
        <w:rPr>
          <w:rFonts w:cs="Times New Roman"/>
          <w:noProof/>
          <w:lang w:val="fr-CA"/>
        </w:rPr>
        <w:t>décideurs administratifs ne soient pas liés par leurs décisions antérieures</w:t>
      </w:r>
      <w:r w:rsidRPr="00687218">
        <w:rPr>
          <w:rFonts w:cs="Times New Roman"/>
          <w:lang w:val="fr-CA"/>
        </w:rPr>
        <w:t xml:space="preserve">, ils </w:t>
      </w:r>
      <w:r w:rsidRPr="00000DCC">
        <w:rPr>
          <w:rFonts w:cs="Times New Roman"/>
          <w:noProof/>
          <w:lang w:val="fr-CA"/>
        </w:rPr>
        <w:t>doivent se soucier de l’uniformité générale des décisions administratives</w:t>
      </w:r>
      <w:r w:rsidRPr="00687218">
        <w:rPr>
          <w:rFonts w:cs="Times New Roman"/>
          <w:lang w:val="fr-CA"/>
        </w:rPr>
        <w:t xml:space="preserve">. </w:t>
      </w:r>
      <w:r>
        <w:rPr>
          <w:rFonts w:cs="Times New Roman"/>
          <w:lang w:val="fr-CA"/>
        </w:rPr>
        <w:t>L</w:t>
      </w:r>
      <w:r w:rsidRPr="00000DCC">
        <w:rPr>
          <w:rFonts w:cs="Times New Roman"/>
          <w:noProof/>
          <w:lang w:val="fr-CA"/>
        </w:rPr>
        <w:t xml:space="preserve">a question de savoir si une décision en particulier est conforme à la jurisprudence de l’organisme administratif est </w:t>
      </w:r>
      <w:r>
        <w:rPr>
          <w:rFonts w:cs="Times New Roman"/>
          <w:noProof/>
          <w:lang w:val="fr-CA"/>
        </w:rPr>
        <w:t xml:space="preserve">donc </w:t>
      </w:r>
      <w:r w:rsidRPr="00000DCC">
        <w:rPr>
          <w:rFonts w:cs="Times New Roman"/>
          <w:noProof/>
          <w:lang w:val="fr-CA"/>
        </w:rPr>
        <w:t>elle aussi une contrainte dont devrait tenir compte la cour de révision au moment de décider si cette décision est raisonnable</w:t>
      </w:r>
      <w:r w:rsidRPr="00B617CE">
        <w:rPr>
          <w:rFonts w:cs="Times New Roman"/>
          <w:lang w:val="fr-CA"/>
        </w:rPr>
        <w:t xml:space="preserve">. </w:t>
      </w:r>
      <w:r w:rsidRPr="003D6FF6">
        <w:rPr>
          <w:rFonts w:cs="Times New Roman"/>
          <w:lang w:val="fr-CA"/>
        </w:rPr>
        <w:t xml:space="preserve">Enfin, </w:t>
      </w:r>
      <w:r w:rsidRPr="00000DCC">
        <w:rPr>
          <w:rFonts w:cs="Times New Roman"/>
          <w:noProof/>
          <w:lang w:val="fr-CA"/>
        </w:rPr>
        <w:t>les individus ont droit à une plus grande protection procédurale lorsque la décision sous examen est susceptible d’avoir des répercussions personnelles importantes ou de leur causer un grave préjudice</w:t>
      </w:r>
      <w:r>
        <w:rPr>
          <w:rFonts w:cs="Times New Roman"/>
          <w:noProof/>
          <w:lang w:val="fr-CA"/>
        </w:rPr>
        <w:t>.</w:t>
      </w:r>
      <w:r w:rsidR="00566932">
        <w:rPr>
          <w:rFonts w:cs="Times New Roman"/>
          <w:noProof/>
          <w:lang w:val="fr-CA"/>
        </w:rPr>
        <w:t xml:space="preserve"> </w:t>
      </w:r>
      <w:r w:rsidRPr="00000DCC">
        <w:rPr>
          <w:rFonts w:cs="Times New Roman"/>
          <w:noProof/>
          <w:lang w:val="fr-CA"/>
        </w:rPr>
        <w:t>Lorsque la décision a des répercussions sévères sur les droits et intérêts de l’individu visé, les motifs fournis à ce dernier doivent refléter ces enjeux</w:t>
      </w:r>
      <w:r>
        <w:rPr>
          <w:rFonts w:cs="Times New Roman"/>
          <w:noProof/>
          <w:lang w:val="fr-CA"/>
        </w:rPr>
        <w:t>.</w:t>
      </w:r>
      <w:r w:rsidRPr="003D6FF6">
        <w:rPr>
          <w:rFonts w:cs="Times New Roman"/>
          <w:lang w:val="fr-CA"/>
        </w:rPr>
        <w:t xml:space="preserve"> </w:t>
      </w:r>
      <w:r w:rsidRPr="00000DCC">
        <w:rPr>
          <w:rFonts w:cs="Times New Roman"/>
          <w:noProof/>
          <w:lang w:val="fr-CA"/>
        </w:rPr>
        <w:t>Le principe de la justification adaptée aux questions et préoccupations soulevées veut que</w:t>
      </w:r>
      <w:r w:rsidR="00566932">
        <w:rPr>
          <w:rFonts w:cs="Times New Roman"/>
          <w:noProof/>
          <w:lang w:val="fr-CA"/>
        </w:rPr>
        <w:t>, si</w:t>
      </w:r>
      <w:r w:rsidRPr="00000DCC">
        <w:rPr>
          <w:rFonts w:cs="Times New Roman"/>
          <w:noProof/>
          <w:lang w:val="fr-CA"/>
        </w:rPr>
        <w:t xml:space="preserve"> </w:t>
      </w:r>
      <w:r w:rsidR="00566932" w:rsidRPr="00000DCC">
        <w:rPr>
          <w:rFonts w:cs="Times New Roman"/>
          <w:noProof/>
          <w:lang w:val="fr-CA"/>
        </w:rPr>
        <w:t xml:space="preserve">les conséquences </w:t>
      </w:r>
      <w:r w:rsidR="00566932">
        <w:rPr>
          <w:rFonts w:cs="Times New Roman"/>
          <w:noProof/>
          <w:lang w:val="fr-CA"/>
        </w:rPr>
        <w:t xml:space="preserve">sont </w:t>
      </w:r>
      <w:r w:rsidR="00566932" w:rsidRPr="00000DCC">
        <w:rPr>
          <w:rFonts w:cs="Times New Roman"/>
          <w:noProof/>
          <w:lang w:val="fr-CA"/>
        </w:rPr>
        <w:t>particulièrement graves pour l’individu concerné</w:t>
      </w:r>
      <w:r w:rsidR="00566932">
        <w:rPr>
          <w:rFonts w:cs="Times New Roman"/>
          <w:noProof/>
          <w:lang w:val="fr-CA"/>
        </w:rPr>
        <w:t xml:space="preserve">, </w:t>
      </w:r>
      <w:r w:rsidRPr="00000DCC">
        <w:rPr>
          <w:rFonts w:cs="Times New Roman"/>
          <w:noProof/>
          <w:lang w:val="fr-CA"/>
        </w:rPr>
        <w:t>le décideur explique pourquoi sa décision reflète le m</w:t>
      </w:r>
      <w:r w:rsidR="00566932">
        <w:rPr>
          <w:rFonts w:cs="Times New Roman"/>
          <w:noProof/>
          <w:lang w:val="fr-CA"/>
        </w:rPr>
        <w:t>ieux l’intention du législateur.</w:t>
      </w:r>
    </w:p>
    <w:p w14:paraId="788E8775" w14:textId="6B214296" w:rsidR="007700FC" w:rsidRDefault="00C11642" w:rsidP="00C11642">
      <w:pPr>
        <w:pStyle w:val="SCCNormalDoubleSpacing"/>
        <w:spacing w:after="480"/>
        <w:rPr>
          <w:lang w:val="fr-CA"/>
        </w:rPr>
      </w:pPr>
      <w:r w:rsidRPr="00887069">
        <w:rPr>
          <w:lang w:val="fr-CA"/>
        </w:rPr>
        <w:tab/>
      </w:r>
      <w:r w:rsidRPr="003F1F06">
        <w:rPr>
          <w:noProof/>
          <w:lang w:val="fr-CA"/>
        </w:rPr>
        <w:t xml:space="preserve">La question de la réparation qu’il convient d’accorder </w:t>
      </w:r>
      <w:r w:rsidRPr="003F1F06">
        <w:rPr>
          <w:lang w:val="fr-CA"/>
        </w:rPr>
        <w:t xml:space="preserve">— en l’occurrence celle de savoir </w:t>
      </w:r>
      <w:r w:rsidRPr="00000DCC">
        <w:rPr>
          <w:noProof/>
          <w:lang w:val="fr-CA"/>
        </w:rPr>
        <w:t>si la cour qui casse une décision déraisonnable devrait exercer son pouvoir discrétionnaire de renvoyer l’affaire pour réexamen à la lumière des motifs donnés par la cour</w:t>
      </w:r>
      <w:r w:rsidRPr="003F1F06">
        <w:rPr>
          <w:noProof/>
          <w:lang w:val="fr-CA"/>
        </w:rPr>
        <w:t xml:space="preserve"> </w:t>
      </w:r>
      <w:r>
        <w:rPr>
          <w:noProof/>
          <w:lang w:val="fr-CA"/>
        </w:rPr>
        <w:t xml:space="preserve">— </w:t>
      </w:r>
      <w:r w:rsidRPr="003F1F06">
        <w:rPr>
          <w:noProof/>
          <w:lang w:val="fr-CA"/>
        </w:rPr>
        <w:t>revêt de multiples facettes</w:t>
      </w:r>
      <w:r>
        <w:rPr>
          <w:noProof/>
          <w:lang w:val="fr-CA"/>
        </w:rPr>
        <w:t>.</w:t>
      </w:r>
      <w:r w:rsidRPr="003F1F06">
        <w:rPr>
          <w:lang w:val="fr-CA"/>
        </w:rPr>
        <w:t xml:space="preserve"> </w:t>
      </w:r>
      <w:r w:rsidRPr="00D14DFD">
        <w:rPr>
          <w:noProof/>
          <w:lang w:val="fr-CA"/>
        </w:rPr>
        <w:t xml:space="preserve">Le choix de la réparation doit être guidé par la raison d’être de l’application de cette norme, y compris le fait pour la cour de révision de reconnaître que le législateur a confié le règlement de l’affaire à un décideur administratif, et non à une cour, </w:t>
      </w:r>
      <w:r w:rsidRPr="00000DCC">
        <w:rPr>
          <w:noProof/>
          <w:lang w:val="fr-CA"/>
        </w:rPr>
        <w:t xml:space="preserve">les préoccupations liées à la bonne </w:t>
      </w:r>
      <w:r w:rsidRPr="00000DCC">
        <w:rPr>
          <w:noProof/>
          <w:lang w:val="fr-CA"/>
        </w:rPr>
        <w:lastRenderedPageBreak/>
        <w:t>administration du système de justice, à la nécessité d’assurer l’accès à la justice et à la volonté de mettre sur pied un processus décisionnel</w:t>
      </w:r>
      <w:r>
        <w:rPr>
          <w:noProof/>
          <w:lang w:val="fr-CA"/>
        </w:rPr>
        <w:t xml:space="preserve"> à la fois rapide et économique. </w:t>
      </w:r>
      <w:r w:rsidRPr="00000DCC">
        <w:rPr>
          <w:noProof/>
          <w:lang w:val="fr-CA"/>
        </w:rPr>
        <w:t xml:space="preserve">Donner effet à ces principes dans le contexte de la réparation signifie que, lorsque la décision contrôlée selon la norme de la décision raisonnable ne peut être confirmée, il conviendra le plus souvent de renvoyer l’affaire au décideur pour </w:t>
      </w:r>
      <w:r>
        <w:rPr>
          <w:noProof/>
          <w:lang w:val="fr-CA"/>
        </w:rPr>
        <w:t xml:space="preserve">réexamen </w:t>
      </w:r>
      <w:r w:rsidRPr="00000DCC">
        <w:rPr>
          <w:noProof/>
          <w:lang w:val="fr-CA"/>
        </w:rPr>
        <w:t>à la lumière des motifs donnés par la cour</w:t>
      </w:r>
      <w:r w:rsidRPr="00024053">
        <w:rPr>
          <w:lang w:val="fr-CA"/>
        </w:rPr>
        <w:t xml:space="preserve">. </w:t>
      </w:r>
      <w:r w:rsidRPr="00000DCC">
        <w:rPr>
          <w:noProof/>
          <w:lang w:val="fr-CA"/>
        </w:rPr>
        <w:t>Cependant, il y a des situations limitées dans lesquelles le renvoi de l’affaire pour nouvel examen fait échec au souci de résolution rapide et efficace d’une manière telle qu’aucune législature n’aurait pu souhaiter</w:t>
      </w:r>
      <w:r>
        <w:rPr>
          <w:noProof/>
          <w:lang w:val="fr-CA"/>
        </w:rPr>
        <w:t xml:space="preserve">. </w:t>
      </w:r>
      <w:r w:rsidRPr="00000DCC">
        <w:rPr>
          <w:noProof/>
          <w:lang w:val="fr-CA"/>
        </w:rPr>
        <w:t>L’intention que le décideur administratif tranche l’affaire en première instance ne saurait donner lieu à un va-et-vient interminable de contrôles judiciaires et de nouveaux examens</w:t>
      </w:r>
      <w:r>
        <w:rPr>
          <w:noProof/>
          <w:lang w:val="fr-CA"/>
        </w:rPr>
        <w:t>.</w:t>
      </w:r>
      <w:r w:rsidRPr="00F8356D">
        <w:rPr>
          <w:lang w:val="fr-CA"/>
        </w:rPr>
        <w:t xml:space="preserve"> </w:t>
      </w:r>
      <w:r w:rsidRPr="00000DCC">
        <w:rPr>
          <w:noProof/>
          <w:lang w:val="fr-CA"/>
        </w:rPr>
        <w:t>Le refus de renvoyer l’affaire au décideur peut s’avérer indiqué lorsqu’il devient évident qu’un résultat donné est inévitable, si bien que le renvoi de l’affaire ne servirait à rien</w:t>
      </w:r>
      <w:r>
        <w:rPr>
          <w:noProof/>
          <w:lang w:val="fr-CA"/>
        </w:rPr>
        <w:t xml:space="preserve">. </w:t>
      </w:r>
      <w:r w:rsidRPr="00000DCC">
        <w:rPr>
          <w:noProof/>
          <w:lang w:val="fr-CA"/>
        </w:rPr>
        <w:t>Les préoccupations concernant les délais, l’équité envers les parties, le besoin urgent de régler le différend, la nature du régime de réglementation donné, la possibilité réelle ou non pour le décideur administratif de se pencher sur la question en litige, les coûts pour les parties et l’utilisation efficace des ressources publiques peuvent aussi influer sur l’exercice par la cour de son pouvoir discrétionnaire de renvoyer l’affaire</w:t>
      </w:r>
      <w:r>
        <w:rPr>
          <w:noProof/>
          <w:lang w:val="fr-CA"/>
        </w:rPr>
        <w:t>.</w:t>
      </w:r>
    </w:p>
    <w:p w14:paraId="3239D90D" w14:textId="3558294B" w:rsidR="00FC00E1" w:rsidRPr="006F373C" w:rsidRDefault="007700FC" w:rsidP="00FC00E1">
      <w:pPr>
        <w:pStyle w:val="SCCNormalDoubleSpacing"/>
        <w:spacing w:after="480"/>
        <w:rPr>
          <w:lang w:val="fr-CA"/>
        </w:rPr>
      </w:pPr>
      <w:r>
        <w:rPr>
          <w:lang w:val="fr-CA"/>
        </w:rPr>
        <w:tab/>
      </w:r>
      <w:r w:rsidR="00FC00E1" w:rsidRPr="00000DCC">
        <w:rPr>
          <w:noProof/>
          <w:lang w:val="fr-CA"/>
        </w:rPr>
        <w:t>Rien ne permet de s’écarter de</w:t>
      </w:r>
      <w:r w:rsidR="00FC00E1">
        <w:rPr>
          <w:noProof/>
          <w:lang w:val="fr-CA"/>
        </w:rPr>
        <w:t xml:space="preserve"> la présomption de contrôle selon la norme de la décision raisonnable</w:t>
      </w:r>
      <w:r w:rsidR="00FC00E1" w:rsidRPr="00000DCC">
        <w:rPr>
          <w:noProof/>
          <w:lang w:val="fr-CA"/>
        </w:rPr>
        <w:t xml:space="preserve"> en l’espèce</w:t>
      </w:r>
      <w:r w:rsidR="00FC00E1">
        <w:rPr>
          <w:noProof/>
          <w:lang w:val="fr-CA"/>
        </w:rPr>
        <w:t xml:space="preserve">. </w:t>
      </w:r>
      <w:r w:rsidR="00FC00E1" w:rsidRPr="009F6F2B">
        <w:rPr>
          <w:lang w:val="fr-CA"/>
        </w:rPr>
        <w:t>La d</w:t>
      </w:r>
      <w:r w:rsidR="00FC00E1">
        <w:rPr>
          <w:lang w:val="fr-CA"/>
        </w:rPr>
        <w:t>é</w:t>
      </w:r>
      <w:r w:rsidR="00FC00E1" w:rsidRPr="009F6F2B">
        <w:rPr>
          <w:lang w:val="fr-CA"/>
        </w:rPr>
        <w:t xml:space="preserve">cision de la greffière </w:t>
      </w:r>
      <w:r w:rsidR="00FC00E1" w:rsidRPr="00000DCC">
        <w:rPr>
          <w:noProof/>
          <w:lang w:val="fr-CA"/>
        </w:rPr>
        <w:t xml:space="preserve">a été soumise aux cours de justice par voie de contrôle judiciaire et non par voie d’appel </w:t>
      </w:r>
      <w:r w:rsidR="008529D2">
        <w:rPr>
          <w:noProof/>
          <w:lang w:val="fr-CA"/>
        </w:rPr>
        <w:t xml:space="preserve">prévu par </w:t>
      </w:r>
      <w:r w:rsidR="00FC00E1" w:rsidRPr="00000DCC">
        <w:rPr>
          <w:noProof/>
          <w:lang w:val="fr-CA"/>
        </w:rPr>
        <w:t>la loi</w:t>
      </w:r>
      <w:r w:rsidR="00FC00E1">
        <w:rPr>
          <w:noProof/>
          <w:lang w:val="fr-CA"/>
        </w:rPr>
        <w:t xml:space="preserve">. </w:t>
      </w:r>
      <w:r w:rsidR="00FC00E1" w:rsidRPr="00655DB1">
        <w:rPr>
          <w:lang w:val="fr-CA"/>
        </w:rPr>
        <w:t>É</w:t>
      </w:r>
      <w:r w:rsidR="00FC00E1" w:rsidRPr="00655DB1">
        <w:rPr>
          <w:noProof/>
          <w:lang w:val="fr-CA"/>
        </w:rPr>
        <w:t xml:space="preserve">tant donné que le Parlement n’a pas prescrit la norme à appliquer, </w:t>
      </w:r>
      <w:r w:rsidR="00FC00E1" w:rsidRPr="00000DCC">
        <w:rPr>
          <w:noProof/>
          <w:lang w:val="fr-CA"/>
        </w:rPr>
        <w:t>rien n’indique que le législateur voulait qu’une autre norme que celle de la décision raisonnable soit appliquée</w:t>
      </w:r>
      <w:r w:rsidR="00FC00E1">
        <w:rPr>
          <w:lang w:val="fr-CA"/>
        </w:rPr>
        <w:t xml:space="preserve">. </w:t>
      </w:r>
      <w:r w:rsidR="00FC00E1" w:rsidRPr="00000DCC">
        <w:rPr>
          <w:noProof/>
          <w:lang w:val="fr-CA"/>
        </w:rPr>
        <w:t xml:space="preserve">La décision de la greffière ne soulève pas de questions constitutionnelles, de questions de droit générales d’importance capitale pour le système juridique dans </w:t>
      </w:r>
      <w:r w:rsidR="00FC00E1" w:rsidRPr="00000DCC">
        <w:rPr>
          <w:noProof/>
          <w:lang w:val="fr-CA"/>
        </w:rPr>
        <w:lastRenderedPageBreak/>
        <w:t>son ensemble ou de questions liées aux délimitations des compétences respectives d’organismes administratifs</w:t>
      </w:r>
      <w:r w:rsidR="00FC00E1">
        <w:rPr>
          <w:noProof/>
          <w:lang w:val="fr-CA"/>
        </w:rPr>
        <w:t xml:space="preserve">. </w:t>
      </w:r>
      <w:r w:rsidR="00FC00E1" w:rsidRPr="00000DCC">
        <w:rPr>
          <w:noProof/>
          <w:lang w:val="fr-CA"/>
        </w:rPr>
        <w:t xml:space="preserve">En conséquence, </w:t>
      </w:r>
      <w:r w:rsidR="00FC00E1">
        <w:rPr>
          <w:noProof/>
          <w:lang w:val="fr-CA"/>
        </w:rPr>
        <w:t xml:space="preserve">la décision de la greffière </w:t>
      </w:r>
      <w:r w:rsidR="00FC00E1" w:rsidRPr="00000DCC">
        <w:rPr>
          <w:noProof/>
          <w:lang w:val="fr-CA"/>
        </w:rPr>
        <w:t>doit être examinée selon la norme de la décision raisonnable</w:t>
      </w:r>
      <w:r w:rsidR="00FC00E1">
        <w:rPr>
          <w:noProof/>
          <w:lang w:val="fr-CA"/>
        </w:rPr>
        <w:t>.</w:t>
      </w:r>
      <w:r w:rsidR="00FC00E1" w:rsidRPr="006F373C">
        <w:rPr>
          <w:lang w:val="fr-CA"/>
        </w:rPr>
        <w:t xml:space="preserve"> </w:t>
      </w:r>
    </w:p>
    <w:p w14:paraId="7048A455" w14:textId="6AF88C76" w:rsidR="00FC00E1" w:rsidRPr="00901ABF" w:rsidRDefault="00FC00E1" w:rsidP="00FC00E1">
      <w:pPr>
        <w:pStyle w:val="SCCNormalDoubleSpacing"/>
        <w:spacing w:after="480"/>
        <w:rPr>
          <w:lang w:val="fr-CA"/>
        </w:rPr>
      </w:pPr>
      <w:r w:rsidRPr="006F373C">
        <w:rPr>
          <w:lang w:val="fr-CA"/>
        </w:rPr>
        <w:tab/>
      </w:r>
      <w:r w:rsidRPr="004B120C">
        <w:rPr>
          <w:lang w:val="fr-CA"/>
        </w:rPr>
        <w:t>La d</w:t>
      </w:r>
      <w:r>
        <w:rPr>
          <w:lang w:val="fr-CA"/>
        </w:rPr>
        <w:t>é</w:t>
      </w:r>
      <w:r w:rsidRPr="004B120C">
        <w:rPr>
          <w:lang w:val="fr-CA"/>
        </w:rPr>
        <w:t xml:space="preserve">cision de la greffière est déraisonnable. Elle </w:t>
      </w:r>
      <w:r w:rsidRPr="00000DCC">
        <w:rPr>
          <w:noProof/>
          <w:lang w:val="fr-CA"/>
        </w:rPr>
        <w:t>n’a pas justifié son interprétation de l’al. 3(2)a) à la lumière des contraintes qu’imposent l’art. 3 pris dans son ensemble</w:t>
      </w:r>
      <w:r w:rsidR="008529D2">
        <w:rPr>
          <w:noProof/>
          <w:lang w:val="fr-CA"/>
        </w:rPr>
        <w:t>,</w:t>
      </w:r>
      <w:r>
        <w:rPr>
          <w:noProof/>
          <w:lang w:val="fr-CA"/>
        </w:rPr>
        <w:t xml:space="preserve"> les </w:t>
      </w:r>
      <w:r w:rsidRPr="00000DCC">
        <w:rPr>
          <w:noProof/>
          <w:lang w:val="fr-CA"/>
        </w:rPr>
        <w:t>traités internationaux qui éclairent l’objet de cette disposition</w:t>
      </w:r>
      <w:r w:rsidR="008529D2">
        <w:rPr>
          <w:noProof/>
          <w:lang w:val="fr-CA"/>
        </w:rPr>
        <w:t>,</w:t>
      </w:r>
      <w:r>
        <w:rPr>
          <w:noProof/>
          <w:lang w:val="fr-CA"/>
        </w:rPr>
        <w:t xml:space="preserve"> </w:t>
      </w:r>
      <w:r w:rsidRPr="00000DCC">
        <w:rPr>
          <w:noProof/>
          <w:lang w:val="fr-CA"/>
        </w:rPr>
        <w:t>la jurisprudence relative à l</w:t>
      </w:r>
      <w:r w:rsidR="008529D2">
        <w:rPr>
          <w:noProof/>
          <w:lang w:val="fr-CA"/>
        </w:rPr>
        <w:t>’interprétation de l’al. 3(2)a),</w:t>
      </w:r>
      <w:r w:rsidRPr="00000DCC">
        <w:rPr>
          <w:noProof/>
          <w:lang w:val="fr-CA"/>
        </w:rPr>
        <w:t xml:space="preserve"> et les conséquences possibles de son interprétation</w:t>
      </w:r>
      <w:r>
        <w:rPr>
          <w:noProof/>
          <w:lang w:val="fr-CA"/>
        </w:rPr>
        <w:t>.</w:t>
      </w:r>
      <w:r w:rsidRPr="004B120C">
        <w:rPr>
          <w:lang w:val="fr-CA"/>
        </w:rPr>
        <w:t xml:space="preserve"> </w:t>
      </w:r>
      <w:r w:rsidRPr="00000DCC">
        <w:rPr>
          <w:noProof/>
          <w:lang w:val="fr-CA"/>
        </w:rPr>
        <w:t>Chacun de ces éléments — pris individuellement ainsi que dans leur ensemble — appuie fortement la conclusion selon laquelle l’al. 3(2)a) n’est pas censé s’appliquer aux enfants de représentants ou d’employés au service d’un gouvernement étranger à qui on n’avait pas accordé de privilèges et d’immunités diplomatiques</w:t>
      </w:r>
      <w:r>
        <w:rPr>
          <w:noProof/>
          <w:lang w:val="fr-CA"/>
        </w:rPr>
        <w:t xml:space="preserve">. </w:t>
      </w:r>
      <w:r w:rsidRPr="00000DCC">
        <w:rPr>
          <w:noProof/>
          <w:lang w:val="fr-CA"/>
        </w:rPr>
        <w:t xml:space="preserve">Bien que </w:t>
      </w:r>
      <w:r>
        <w:rPr>
          <w:noProof/>
          <w:lang w:val="fr-CA"/>
        </w:rPr>
        <w:t xml:space="preserve">V </w:t>
      </w:r>
      <w:r w:rsidRPr="00000DCC">
        <w:rPr>
          <w:noProof/>
          <w:lang w:val="fr-CA"/>
        </w:rPr>
        <w:t>ait soulevé bon nombre de ces considérations</w:t>
      </w:r>
      <w:r>
        <w:rPr>
          <w:noProof/>
          <w:lang w:val="fr-CA"/>
        </w:rPr>
        <w:t xml:space="preserve">, </w:t>
      </w:r>
      <w:r w:rsidRPr="00000DCC">
        <w:rPr>
          <w:noProof/>
          <w:lang w:val="fr-CA"/>
        </w:rPr>
        <w:t>la greffière n’a pas traité de ces arguments dans ses motifs et n’a pas</w:t>
      </w:r>
      <w:r>
        <w:rPr>
          <w:noProof/>
          <w:lang w:val="fr-CA"/>
        </w:rPr>
        <w:t xml:space="preserve"> </w:t>
      </w:r>
      <w:r w:rsidRPr="00000DCC">
        <w:rPr>
          <w:noProof/>
          <w:lang w:val="fr-CA"/>
        </w:rPr>
        <w:t xml:space="preserve">fait davantage que se livrer à un examen superficiel de l’historique législatif de l’al. 3(2)a) et conclure que </w:t>
      </w:r>
      <w:r>
        <w:rPr>
          <w:noProof/>
          <w:lang w:val="fr-CA"/>
        </w:rPr>
        <w:t xml:space="preserve">le </w:t>
      </w:r>
      <w:r w:rsidRPr="00000DCC">
        <w:rPr>
          <w:noProof/>
          <w:lang w:val="fr-CA"/>
        </w:rPr>
        <w:t>libellé</w:t>
      </w:r>
      <w:r>
        <w:rPr>
          <w:noProof/>
          <w:lang w:val="fr-CA"/>
        </w:rPr>
        <w:t xml:space="preserve"> de celui-ci</w:t>
      </w:r>
      <w:r w:rsidRPr="00000DCC">
        <w:rPr>
          <w:noProof/>
          <w:lang w:val="fr-CA"/>
        </w:rPr>
        <w:t xml:space="preserve"> n’excluait pas explicitement son interprétation</w:t>
      </w:r>
      <w:r>
        <w:rPr>
          <w:noProof/>
          <w:lang w:val="fr-CA"/>
        </w:rPr>
        <w:t xml:space="preserve">. </w:t>
      </w:r>
    </w:p>
    <w:p w14:paraId="2DD53E33" w14:textId="208541B5" w:rsidR="00FC00E1" w:rsidRPr="00FC00E1" w:rsidRDefault="00FC00E1" w:rsidP="00FC00E1">
      <w:pPr>
        <w:pStyle w:val="SCCNormalDoubleSpacing"/>
        <w:spacing w:after="480"/>
        <w:rPr>
          <w:lang w:val="fr-CA"/>
        </w:rPr>
      </w:pPr>
      <w:r w:rsidRPr="00901ABF">
        <w:rPr>
          <w:lang w:val="fr-CA"/>
        </w:rPr>
        <w:tab/>
      </w:r>
      <w:r w:rsidRPr="005E02EA">
        <w:rPr>
          <w:lang w:val="fr-CA"/>
        </w:rPr>
        <w:t xml:space="preserve">En premier lieu, la greffière </w:t>
      </w:r>
      <w:r w:rsidRPr="005E02EA">
        <w:rPr>
          <w:noProof/>
          <w:lang w:val="fr-CA"/>
        </w:rPr>
        <w:t>n’a pas examiné le contexte législatif qui entoure l’al. 3(2)a)</w:t>
      </w:r>
      <w:r w:rsidRPr="005E02EA">
        <w:rPr>
          <w:lang w:val="fr-CA"/>
        </w:rPr>
        <w:t xml:space="preserve">, lequel </w:t>
      </w:r>
      <w:r w:rsidRPr="00000DCC">
        <w:rPr>
          <w:noProof/>
          <w:lang w:val="fr-CA"/>
        </w:rPr>
        <w:t xml:space="preserve">étaye clairement la conclusion selon laquelle </w:t>
      </w:r>
      <w:r w:rsidRPr="005E02EA">
        <w:rPr>
          <w:noProof/>
          <w:lang w:val="fr-CA"/>
        </w:rPr>
        <w:t xml:space="preserve">toutes </w:t>
      </w:r>
      <w:r w:rsidRPr="00000DCC">
        <w:rPr>
          <w:noProof/>
          <w:lang w:val="fr-CA"/>
        </w:rPr>
        <w:t>les pe</w:t>
      </w:r>
      <w:r w:rsidR="00F97940">
        <w:rPr>
          <w:noProof/>
          <w:lang w:val="fr-CA"/>
        </w:rPr>
        <w:t xml:space="preserve">rsonnes visées par l’al. 3(2)a) </w:t>
      </w:r>
      <w:r w:rsidRPr="00000DCC">
        <w:rPr>
          <w:noProof/>
          <w:lang w:val="fr-CA"/>
        </w:rPr>
        <w:t>doivent s’être vu accorder certains privilèges et immunités diplomatiques</w:t>
      </w:r>
      <w:r>
        <w:rPr>
          <w:noProof/>
          <w:lang w:val="fr-CA"/>
        </w:rPr>
        <w:t xml:space="preserve"> pour que l’exception trouve application</w:t>
      </w:r>
      <w:r w:rsidRPr="00000DCC">
        <w:rPr>
          <w:noProof/>
          <w:lang w:val="fr-CA"/>
        </w:rPr>
        <w:t>.</w:t>
      </w:r>
      <w:r>
        <w:rPr>
          <w:noProof/>
          <w:lang w:val="fr-CA"/>
        </w:rPr>
        <w:t xml:space="preserve"> </w:t>
      </w:r>
      <w:r w:rsidRPr="00F278B7">
        <w:rPr>
          <w:lang w:val="fr-CA"/>
        </w:rPr>
        <w:t xml:space="preserve">En deuxième lieu, la greffière a fait fi des </w:t>
      </w:r>
      <w:r w:rsidRPr="00000DCC">
        <w:rPr>
          <w:noProof/>
          <w:lang w:val="fr-CA"/>
        </w:rPr>
        <w:t>observations convaincantes voulant que la raison d’être du par. 3(2) consiste à instituer une exception étroite conformément aux principes établis du droit international</w:t>
      </w:r>
      <w:r w:rsidRPr="00F278B7">
        <w:rPr>
          <w:lang w:val="fr-CA"/>
        </w:rPr>
        <w:t xml:space="preserve"> </w:t>
      </w:r>
      <w:r>
        <w:rPr>
          <w:lang w:val="fr-CA"/>
        </w:rPr>
        <w:t xml:space="preserve">et aux </w:t>
      </w:r>
      <w:r w:rsidRPr="00000DCC">
        <w:rPr>
          <w:noProof/>
          <w:lang w:val="fr-CA"/>
        </w:rPr>
        <w:t xml:space="preserve">traités </w:t>
      </w:r>
      <w:r>
        <w:rPr>
          <w:noProof/>
          <w:lang w:val="fr-CA"/>
        </w:rPr>
        <w:t xml:space="preserve">internationaux </w:t>
      </w:r>
      <w:r w:rsidRPr="00000DCC">
        <w:rPr>
          <w:noProof/>
          <w:lang w:val="fr-CA"/>
        </w:rPr>
        <w:t xml:space="preserve">d’importance en vertu desquels les employés et représentants au service d’un gouvernement étranger bénéficient de </w:t>
      </w:r>
      <w:r w:rsidRPr="00000DCC">
        <w:rPr>
          <w:noProof/>
          <w:lang w:val="fr-CA"/>
        </w:rPr>
        <w:lastRenderedPageBreak/>
        <w:t>privilèges et immunités diplomatiques</w:t>
      </w:r>
      <w:r>
        <w:rPr>
          <w:noProof/>
          <w:lang w:val="fr-CA"/>
        </w:rPr>
        <w:t xml:space="preserve">. </w:t>
      </w:r>
      <w:r w:rsidRPr="00C10DEB">
        <w:rPr>
          <w:lang w:val="fr-CA"/>
        </w:rPr>
        <w:t xml:space="preserve">En troisième lieu, </w:t>
      </w:r>
      <w:r w:rsidRPr="00C10DEB">
        <w:rPr>
          <w:noProof/>
          <w:lang w:val="fr-CA"/>
        </w:rPr>
        <w:t xml:space="preserve">il s’agissait d’une omission importante que d’ignorer </w:t>
      </w:r>
      <w:r>
        <w:rPr>
          <w:lang w:val="fr-CA"/>
        </w:rPr>
        <w:t xml:space="preserve">les décisions pertinentes portées à la connaissance de la greffière qui tendent à indiquer </w:t>
      </w:r>
      <w:r w:rsidRPr="00000DCC">
        <w:rPr>
          <w:noProof/>
          <w:lang w:val="fr-CA"/>
        </w:rPr>
        <w:t>que l’al. 3(2)a) n</w:t>
      </w:r>
      <w:r>
        <w:rPr>
          <w:noProof/>
          <w:lang w:val="fr-CA"/>
        </w:rPr>
        <w:t xml:space="preserve">’est </w:t>
      </w:r>
      <w:r w:rsidRPr="00000DCC">
        <w:rPr>
          <w:noProof/>
          <w:lang w:val="fr-CA"/>
        </w:rPr>
        <w:t>censé s’appliquer qu’aux personnes dont les parents se sont vu accorder des privilèges et immunités diplomatiques</w:t>
      </w:r>
      <w:r w:rsidRPr="00C10DEB">
        <w:rPr>
          <w:lang w:val="fr-CA"/>
        </w:rPr>
        <w:t xml:space="preserve">. </w:t>
      </w:r>
      <w:r w:rsidRPr="006E6578">
        <w:rPr>
          <w:lang w:val="fr-CA"/>
        </w:rPr>
        <w:t xml:space="preserve">En dernier lieu, </w:t>
      </w:r>
      <w:r w:rsidRPr="00000DCC">
        <w:rPr>
          <w:noProof/>
          <w:lang w:val="fr-CA"/>
        </w:rPr>
        <w:t xml:space="preserve">rien n’établit que la greffière a tenu compte des conséquences que peut avoir le fait d’étendre son interprétation de l’al. 3(2)a) </w:t>
      </w:r>
      <w:r>
        <w:rPr>
          <w:noProof/>
          <w:lang w:val="fr-CA"/>
        </w:rPr>
        <w:t xml:space="preserve">à l’ensemble des </w:t>
      </w:r>
      <w:r w:rsidRPr="00000DCC">
        <w:rPr>
          <w:noProof/>
          <w:lang w:val="fr-CA"/>
        </w:rPr>
        <w:t>personnes à qui on n’a pas accordé de privilèges et d’immunités diplomatiques</w:t>
      </w:r>
      <w:r>
        <w:rPr>
          <w:noProof/>
          <w:lang w:val="fr-CA"/>
        </w:rPr>
        <w:t>. L</w:t>
      </w:r>
      <w:r w:rsidRPr="00000DCC">
        <w:rPr>
          <w:noProof/>
          <w:lang w:val="fr-CA"/>
        </w:rPr>
        <w:t>es règles concernant la citoyenneté commandent une grande uniformité en matière d’interprétation pour se prémunir contre</w:t>
      </w:r>
      <w:r>
        <w:rPr>
          <w:noProof/>
          <w:lang w:val="fr-CA"/>
        </w:rPr>
        <w:t xml:space="preserve"> </w:t>
      </w:r>
      <w:r w:rsidRPr="00000DCC">
        <w:rPr>
          <w:noProof/>
          <w:lang w:val="fr-CA"/>
        </w:rPr>
        <w:t>la perception d’arbitraire</w:t>
      </w:r>
      <w:r>
        <w:rPr>
          <w:noProof/>
          <w:lang w:val="fr-CA"/>
        </w:rPr>
        <w:t>.</w:t>
      </w:r>
      <w:r w:rsidRPr="006E6578">
        <w:rPr>
          <w:lang w:val="fr-CA"/>
        </w:rPr>
        <w:t xml:space="preserve"> </w:t>
      </w:r>
      <w:r w:rsidRPr="00000DCC">
        <w:rPr>
          <w:noProof/>
          <w:lang w:val="fr-CA"/>
        </w:rPr>
        <w:t xml:space="preserve">L’interprétation de la greffière ne saurait </w:t>
      </w:r>
      <w:r>
        <w:rPr>
          <w:noProof/>
          <w:lang w:val="fr-CA"/>
        </w:rPr>
        <w:t>se</w:t>
      </w:r>
      <w:r w:rsidRPr="00000DCC">
        <w:rPr>
          <w:noProof/>
          <w:lang w:val="fr-CA"/>
        </w:rPr>
        <w:t xml:space="preserve"> limiter aux enfants d’espions; sa logique vaudrait tout autant dans </w:t>
      </w:r>
      <w:r>
        <w:rPr>
          <w:noProof/>
          <w:lang w:val="fr-CA"/>
        </w:rPr>
        <w:t>d’</w:t>
      </w:r>
      <w:r w:rsidRPr="00000DCC">
        <w:rPr>
          <w:noProof/>
          <w:lang w:val="fr-CA"/>
        </w:rPr>
        <w:t>autres cas</w:t>
      </w:r>
      <w:r>
        <w:rPr>
          <w:noProof/>
          <w:lang w:val="fr-CA"/>
        </w:rPr>
        <w:t>.</w:t>
      </w:r>
      <w:r w:rsidRPr="00EE439B">
        <w:rPr>
          <w:lang w:val="fr-CA"/>
        </w:rPr>
        <w:t xml:space="preserve"> </w:t>
      </w:r>
      <w:r w:rsidRPr="00612B43">
        <w:rPr>
          <w:lang w:val="fr-CA"/>
        </w:rPr>
        <w:t xml:space="preserve">En outre, il faut </w:t>
      </w:r>
      <w:r>
        <w:rPr>
          <w:lang w:val="fr-CA"/>
        </w:rPr>
        <w:t xml:space="preserve">donner </w:t>
      </w:r>
      <w:r w:rsidRPr="00000DCC">
        <w:rPr>
          <w:noProof/>
          <w:lang w:val="fr-CA"/>
        </w:rPr>
        <w:t>aux dispositions telles que l’al. 3(2)a) une interprétation étroite puisqu’elles refusent ou risquent d’enlever des droits</w:t>
      </w:r>
      <w:r>
        <w:rPr>
          <w:noProof/>
          <w:lang w:val="fr-CA"/>
        </w:rPr>
        <w:t xml:space="preserve"> </w:t>
      </w:r>
      <w:r w:rsidRPr="00000DCC">
        <w:rPr>
          <w:noProof/>
          <w:lang w:val="fr-CA"/>
        </w:rPr>
        <w:t>qui autrement recevraient une interprétation large et libérale</w:t>
      </w:r>
      <w:r>
        <w:rPr>
          <w:noProof/>
          <w:lang w:val="fr-CA"/>
        </w:rPr>
        <w:t>.</w:t>
      </w:r>
      <w:r w:rsidR="00425DFC">
        <w:rPr>
          <w:noProof/>
          <w:lang w:val="fr-CA"/>
        </w:rPr>
        <w:t xml:space="preserve"> </w:t>
      </w:r>
      <w:r w:rsidRPr="00112505">
        <w:rPr>
          <w:noProof/>
          <w:lang w:val="fr-CA"/>
        </w:rPr>
        <w:t xml:space="preserve">Néanmoins, rien n’indique que la greffière a pris en compte les </w:t>
      </w:r>
      <w:r w:rsidR="00425DFC">
        <w:rPr>
          <w:noProof/>
          <w:lang w:val="fr-CA"/>
        </w:rPr>
        <w:t xml:space="preserve">possibles </w:t>
      </w:r>
      <w:r w:rsidRPr="00112505">
        <w:rPr>
          <w:noProof/>
          <w:lang w:val="fr-CA"/>
        </w:rPr>
        <w:t>conséquences sévères de son interprétation</w:t>
      </w:r>
      <w:r>
        <w:rPr>
          <w:lang w:val="fr-CA"/>
        </w:rPr>
        <w:t xml:space="preserve"> ou que, </w:t>
      </w:r>
      <w:r w:rsidRPr="00000DCC">
        <w:rPr>
          <w:noProof/>
          <w:lang w:val="fr-CA"/>
        </w:rPr>
        <w:t xml:space="preserve">compte tenu de ces conséquences éventuelles, </w:t>
      </w:r>
      <w:r>
        <w:rPr>
          <w:noProof/>
          <w:lang w:val="fr-CA"/>
        </w:rPr>
        <w:t xml:space="preserve">elle </w:t>
      </w:r>
      <w:r w:rsidRPr="00000DCC">
        <w:rPr>
          <w:noProof/>
          <w:lang w:val="fr-CA"/>
        </w:rPr>
        <w:t>s</w:t>
      </w:r>
      <w:r w:rsidR="00425DFC">
        <w:rPr>
          <w:noProof/>
          <w:lang w:val="fr-CA"/>
        </w:rPr>
        <w:t>’est demandée si le Parlement aur</w:t>
      </w:r>
      <w:r w:rsidRPr="00000DCC">
        <w:rPr>
          <w:noProof/>
          <w:lang w:val="fr-CA"/>
        </w:rPr>
        <w:t>ait voulu que l’al. 3(2)a) s’applique de cette manière</w:t>
      </w:r>
      <w:r>
        <w:rPr>
          <w:noProof/>
          <w:lang w:val="fr-CA"/>
        </w:rPr>
        <w:t>.</w:t>
      </w:r>
      <w:r w:rsidRPr="00112505">
        <w:rPr>
          <w:lang w:val="fr-CA"/>
        </w:rPr>
        <w:t xml:space="preserve"> </w:t>
      </w:r>
      <w:r w:rsidRPr="00000DCC">
        <w:rPr>
          <w:noProof/>
          <w:lang w:val="fr-CA"/>
        </w:rPr>
        <w:t xml:space="preserve">Même si la greffière </w:t>
      </w:r>
      <w:r>
        <w:rPr>
          <w:noProof/>
          <w:lang w:val="fr-CA"/>
        </w:rPr>
        <w:t xml:space="preserve">était au fait du caractère inédit de son interprétation, </w:t>
      </w:r>
      <w:r w:rsidRPr="00000DCC">
        <w:rPr>
          <w:noProof/>
          <w:lang w:val="fr-CA"/>
        </w:rPr>
        <w:t>elle n’a pas motivé cette interprétation élargie</w:t>
      </w:r>
      <w:r>
        <w:rPr>
          <w:noProof/>
          <w:lang w:val="fr-CA"/>
        </w:rPr>
        <w:t>.</w:t>
      </w:r>
      <w:r w:rsidRPr="00112505">
        <w:rPr>
          <w:lang w:val="fr-CA"/>
        </w:rPr>
        <w:t xml:space="preserve"> </w:t>
      </w:r>
    </w:p>
    <w:p w14:paraId="6ECF22E3" w14:textId="68C004F7" w:rsidR="00C11642" w:rsidRPr="00FC00E1" w:rsidRDefault="00FC00E1" w:rsidP="00FC00E1">
      <w:pPr>
        <w:pStyle w:val="SCCNormalDoubleSpacing"/>
        <w:spacing w:after="480"/>
        <w:rPr>
          <w:lang w:val="fr-CA"/>
        </w:rPr>
      </w:pPr>
      <w:r w:rsidRPr="00FC00E1">
        <w:rPr>
          <w:lang w:val="fr-CA"/>
        </w:rPr>
        <w:tab/>
      </w:r>
      <w:r w:rsidRPr="009935E6">
        <w:rPr>
          <w:lang w:val="fr-CA"/>
        </w:rPr>
        <w:t>Il était donc déraisonnable de la part de la greffière de d</w:t>
      </w:r>
      <w:r>
        <w:rPr>
          <w:lang w:val="fr-CA"/>
        </w:rPr>
        <w:t>é</w:t>
      </w:r>
      <w:r w:rsidRPr="009935E6">
        <w:rPr>
          <w:lang w:val="fr-CA"/>
        </w:rPr>
        <w:t xml:space="preserve">cider que l’al. 3(2)a) peut s’appliquer aux personnes dont les parents </w:t>
      </w:r>
      <w:r>
        <w:rPr>
          <w:lang w:val="fr-CA"/>
        </w:rPr>
        <w:t xml:space="preserve">ne se sont pas vu accorder de privilèges et immunités diplomatiques au </w:t>
      </w:r>
      <w:r w:rsidRPr="009935E6">
        <w:rPr>
          <w:lang w:val="fr-CA"/>
        </w:rPr>
        <w:t xml:space="preserve">Canada. </w:t>
      </w:r>
      <w:r w:rsidRPr="006122CE">
        <w:rPr>
          <w:lang w:val="fr-CA"/>
        </w:rPr>
        <w:t xml:space="preserve">Nul ne conteste que les parents de V </w:t>
      </w:r>
      <w:r w:rsidRPr="00000DCC">
        <w:rPr>
          <w:noProof/>
          <w:lang w:val="fr-CA"/>
        </w:rPr>
        <w:t>ne s’étaient pas vu accorder pareils privilèges et immunités</w:t>
      </w:r>
      <w:r>
        <w:rPr>
          <w:noProof/>
          <w:lang w:val="fr-CA"/>
        </w:rPr>
        <w:t xml:space="preserve">. </w:t>
      </w:r>
      <w:r w:rsidRPr="00000DCC">
        <w:rPr>
          <w:noProof/>
          <w:lang w:val="fr-CA"/>
        </w:rPr>
        <w:t>En conséquence, il ne servirait à rien de renvoyer l’affaire à la greffière</w:t>
      </w:r>
      <w:r>
        <w:rPr>
          <w:noProof/>
          <w:lang w:val="fr-CA"/>
        </w:rPr>
        <w:t xml:space="preserve">. </w:t>
      </w:r>
      <w:r w:rsidRPr="00000DCC">
        <w:rPr>
          <w:noProof/>
          <w:lang w:val="fr-CA"/>
        </w:rPr>
        <w:t xml:space="preserve">En </w:t>
      </w:r>
      <w:r>
        <w:rPr>
          <w:noProof/>
          <w:lang w:val="fr-CA"/>
        </w:rPr>
        <w:t xml:space="preserve">tant que personne née au </w:t>
      </w:r>
      <w:r>
        <w:rPr>
          <w:noProof/>
          <w:lang w:val="fr-CA"/>
        </w:rPr>
        <w:lastRenderedPageBreak/>
        <w:t>Canada</w:t>
      </w:r>
      <w:r w:rsidRPr="00000DCC">
        <w:rPr>
          <w:noProof/>
          <w:lang w:val="fr-CA"/>
        </w:rPr>
        <w:t>, V</w:t>
      </w:r>
      <w:r>
        <w:rPr>
          <w:noProof/>
          <w:lang w:val="fr-CA"/>
        </w:rPr>
        <w:t xml:space="preserve"> </w:t>
      </w:r>
      <w:r w:rsidRPr="00000DCC">
        <w:rPr>
          <w:noProof/>
          <w:lang w:val="fr-CA"/>
        </w:rPr>
        <w:t>dispose d’un statut régi uniquement par la règle générale</w:t>
      </w:r>
      <w:r>
        <w:rPr>
          <w:noProof/>
          <w:lang w:val="fr-CA"/>
        </w:rPr>
        <w:t xml:space="preserve"> de la citoyenneté de</w:t>
      </w:r>
      <w:r w:rsidRPr="000F2A07">
        <w:rPr>
          <w:lang w:val="fr-CA"/>
        </w:rPr>
        <w:t xml:space="preserve"> </w:t>
      </w:r>
      <w:r>
        <w:rPr>
          <w:lang w:val="fr-CA"/>
        </w:rPr>
        <w:t xml:space="preserve">naissance. </w:t>
      </w:r>
      <w:r w:rsidRPr="00FC00E1">
        <w:rPr>
          <w:lang w:val="fr-CA"/>
        </w:rPr>
        <w:t>Il est citoyen canadien.</w:t>
      </w:r>
    </w:p>
    <w:p w14:paraId="34E648CF" w14:textId="0255061C" w:rsidR="00554A83" w:rsidRPr="00E772F2" w:rsidRDefault="00C11642" w:rsidP="00554A83">
      <w:pPr>
        <w:pStyle w:val="SCCNormalDoubleSpacing"/>
        <w:spacing w:after="480"/>
        <w:rPr>
          <w:lang w:val="fr-CA"/>
        </w:rPr>
      </w:pPr>
      <w:r>
        <w:rPr>
          <w:lang w:val="fr-CA"/>
        </w:rPr>
        <w:tab/>
      </w:r>
      <w:r w:rsidR="00554A83" w:rsidRPr="00571245">
        <w:rPr>
          <w:i/>
          <w:lang w:val="fr-CA"/>
        </w:rPr>
        <w:t xml:space="preserve">Les </w:t>
      </w:r>
      <w:r w:rsidR="00554A83" w:rsidRPr="00571245">
        <w:rPr>
          <w:lang w:val="fr-CA"/>
        </w:rPr>
        <w:t xml:space="preserve">juges </w:t>
      </w:r>
      <w:r w:rsidR="00554A83" w:rsidRPr="00742A65">
        <w:rPr>
          <w:lang w:val="fr-CA"/>
        </w:rPr>
        <w:t>Abella et Karakatsanis</w:t>
      </w:r>
      <w:r w:rsidR="00796DCE">
        <w:rPr>
          <w:lang w:val="fr-CA"/>
        </w:rPr>
        <w:t> </w:t>
      </w:r>
      <w:r w:rsidR="00554A83" w:rsidRPr="00571245">
        <w:rPr>
          <w:lang w:val="fr-CA"/>
        </w:rPr>
        <w:t xml:space="preserve">: </w:t>
      </w:r>
      <w:r w:rsidR="00554A83" w:rsidRPr="00CB30D4">
        <w:rPr>
          <w:lang w:val="fr-CA"/>
        </w:rPr>
        <w:t>Il y a accord avec l</w:t>
      </w:r>
      <w:r w:rsidR="00554A83">
        <w:rPr>
          <w:lang w:val="fr-CA"/>
        </w:rPr>
        <w:t xml:space="preserve">es juges </w:t>
      </w:r>
      <w:r w:rsidR="00554A83" w:rsidRPr="00CB30D4">
        <w:rPr>
          <w:lang w:val="fr-CA"/>
        </w:rPr>
        <w:t xml:space="preserve">majoritaires </w:t>
      </w:r>
      <w:r w:rsidR="00554A83">
        <w:rPr>
          <w:lang w:val="fr-CA"/>
        </w:rPr>
        <w:t xml:space="preserve">pour rejeter </w:t>
      </w:r>
      <w:r w:rsidR="00554A83" w:rsidRPr="00E772F2">
        <w:rPr>
          <w:lang w:val="fr-CA"/>
        </w:rPr>
        <w:t xml:space="preserve">le pourvoi. </w:t>
      </w:r>
      <w:r w:rsidR="00554A83">
        <w:rPr>
          <w:lang w:val="fr-CA"/>
        </w:rPr>
        <w:t>L</w:t>
      </w:r>
      <w:r w:rsidR="00554A83" w:rsidRPr="00E772F2">
        <w:rPr>
          <w:lang w:val="fr-CA"/>
        </w:rPr>
        <w:t>a décision de la greffière d’annuler le certificat de citoyenneté de V était déraisonnable et la Cour d’appel a eu raison de la casser</w:t>
      </w:r>
      <w:r w:rsidR="00554A83">
        <w:rPr>
          <w:lang w:val="fr-CA"/>
        </w:rPr>
        <w:t>.</w:t>
      </w:r>
    </w:p>
    <w:p w14:paraId="018402EC" w14:textId="05B08A7B" w:rsidR="00554A83" w:rsidRDefault="00554A83" w:rsidP="00554A83">
      <w:pPr>
        <w:pStyle w:val="SCCNormalDoubleSpacing"/>
        <w:spacing w:after="480"/>
        <w:rPr>
          <w:lang w:val="fr-CA"/>
        </w:rPr>
      </w:pPr>
      <w:r w:rsidRPr="00202F0E">
        <w:rPr>
          <w:lang w:val="fr-CA"/>
        </w:rPr>
        <w:tab/>
      </w:r>
      <w:r w:rsidRPr="00AA17F3">
        <w:rPr>
          <w:lang w:val="fr-CA"/>
        </w:rPr>
        <w:t>Il y a également accord avec la majorité</w:t>
      </w:r>
      <w:r w:rsidR="00F219E8" w:rsidRPr="00AA17F3">
        <w:rPr>
          <w:lang w:val="fr-CA"/>
        </w:rPr>
        <w:t xml:space="preserve"> </w:t>
      </w:r>
      <w:r w:rsidR="00AA17F3" w:rsidRPr="00AA17F3">
        <w:rPr>
          <w:lang w:val="fr-CA"/>
        </w:rPr>
        <w:t xml:space="preserve">pour dire qu’il doit y avoir présomption d’application de la norme de la </w:t>
      </w:r>
      <w:r w:rsidR="00AA17F3">
        <w:rPr>
          <w:lang w:val="fr-CA"/>
        </w:rPr>
        <w:t>dé</w:t>
      </w:r>
      <w:r w:rsidR="00AA17F3" w:rsidRPr="00AA17F3">
        <w:rPr>
          <w:lang w:val="fr-CA"/>
        </w:rPr>
        <w:t xml:space="preserve">cision raisonnable </w:t>
      </w:r>
      <w:r w:rsidR="00AA17F3">
        <w:rPr>
          <w:lang w:val="fr-CA"/>
        </w:rPr>
        <w:t>en cas de contrôle judiciaire.</w:t>
      </w:r>
      <w:r w:rsidRPr="00AA17F3">
        <w:rPr>
          <w:lang w:val="fr-CA"/>
        </w:rPr>
        <w:t xml:space="preserve"> </w:t>
      </w:r>
      <w:r w:rsidR="00F219E8">
        <w:rPr>
          <w:lang w:val="fr-CA"/>
        </w:rPr>
        <w:t>L</w:t>
      </w:r>
      <w:r w:rsidRPr="00202F0E">
        <w:rPr>
          <w:lang w:val="fr-CA"/>
        </w:rPr>
        <w:t xml:space="preserve">’analyse contextuelle </w:t>
      </w:r>
      <w:r w:rsidR="0020272B">
        <w:rPr>
          <w:lang w:val="fr-CA"/>
        </w:rPr>
        <w:t xml:space="preserve">doit être éliminée du cadre d’analyse applicable à la norme de contrôle, </w:t>
      </w:r>
      <w:r w:rsidRPr="00202F0E">
        <w:rPr>
          <w:lang w:val="fr-CA"/>
        </w:rPr>
        <w:t xml:space="preserve">et la catégorie des « questions touchant </w:t>
      </w:r>
      <w:r w:rsidRPr="001A7A02">
        <w:rPr>
          <w:lang w:val="fr-CA"/>
        </w:rPr>
        <w:t xml:space="preserve">vraiment à la compétence » </w:t>
      </w:r>
      <w:r w:rsidR="0020272B">
        <w:rPr>
          <w:lang w:val="fr-CA"/>
        </w:rPr>
        <w:t>doit être abolie</w:t>
      </w:r>
      <w:r w:rsidR="00F219E8">
        <w:rPr>
          <w:lang w:val="fr-CA"/>
        </w:rPr>
        <w:t xml:space="preserve"> </w:t>
      </w:r>
      <w:r w:rsidRPr="001A7A02">
        <w:rPr>
          <w:lang w:val="fr-CA"/>
        </w:rPr>
        <w:t xml:space="preserve">en tant que catégorie </w:t>
      </w:r>
      <w:r>
        <w:rPr>
          <w:lang w:val="fr-CA"/>
        </w:rPr>
        <w:t>distincte</w:t>
      </w:r>
      <w:r w:rsidRPr="001A7A02">
        <w:rPr>
          <w:lang w:val="fr-CA"/>
        </w:rPr>
        <w:t xml:space="preserve"> de questions assujetties à la norme de la décision correcte. Toutefois, l’élimination de ces éléments ne justifie pas les modifications fondamentales apportées au contrôle judiciaire </w:t>
      </w:r>
      <w:r>
        <w:rPr>
          <w:lang w:val="fr-CA"/>
        </w:rPr>
        <w:t xml:space="preserve">qui sont </w:t>
      </w:r>
      <w:r w:rsidRPr="001A7A02">
        <w:rPr>
          <w:lang w:val="fr-CA"/>
        </w:rPr>
        <w:t>décrites dans l</w:t>
      </w:r>
      <w:r w:rsidR="00F219E8">
        <w:rPr>
          <w:lang w:val="fr-CA"/>
        </w:rPr>
        <w:t xml:space="preserve">e cadre proposé par la majorité </w:t>
      </w:r>
      <w:r w:rsidR="00194E16">
        <w:rPr>
          <w:lang w:val="fr-CA"/>
        </w:rPr>
        <w:t xml:space="preserve">et qui entraînent un élargissement du contrôle judiciaire fondé sur la norme de la décision correcte. </w:t>
      </w:r>
      <w:r w:rsidR="00F219E8">
        <w:rPr>
          <w:lang w:val="fr-CA"/>
        </w:rPr>
        <w:t>A</w:t>
      </w:r>
      <w:r w:rsidR="00F219E8" w:rsidRPr="0063533C">
        <w:rPr>
          <w:lang w:val="fr-CA"/>
        </w:rPr>
        <w:t>u lieu de confirmer l’existence d’une présomption significative de déférence en faveur des décideurs administratifs, la majorité prive de déférence des centaines d’acteurs administratifs</w:t>
      </w:r>
      <w:r w:rsidR="00F219E8" w:rsidRPr="00832DBC">
        <w:rPr>
          <w:lang w:val="fr-CA"/>
        </w:rPr>
        <w:t xml:space="preserve">, en appliquant une approche formaliste qui néglige la volonté du législateur de laisser à des décideurs administratifs le soin de trancher certaines questions de droit et de </w:t>
      </w:r>
      <w:r w:rsidR="00F219E8" w:rsidRPr="00621D17">
        <w:rPr>
          <w:lang w:val="fr-CA"/>
        </w:rPr>
        <w:t>politique. La présomption d’application de la n</w:t>
      </w:r>
      <w:r w:rsidR="00E872DB">
        <w:rPr>
          <w:lang w:val="fr-CA"/>
        </w:rPr>
        <w:t xml:space="preserve">orme de la décision raisonnable </w:t>
      </w:r>
      <w:r w:rsidR="00F219E8">
        <w:rPr>
          <w:lang w:val="fr-CA"/>
        </w:rPr>
        <w:t xml:space="preserve">qu’énonce </w:t>
      </w:r>
      <w:r w:rsidR="00F219E8" w:rsidRPr="00621D17">
        <w:rPr>
          <w:lang w:val="fr-CA"/>
        </w:rPr>
        <w:t>la majorité repose sur une compréhension totalement nouvelle de l’intention du législateur et de la primauté du droit et interdit toute prise en compte des postulats bien établis du principe de la déférence.</w:t>
      </w:r>
      <w:r w:rsidR="00F219E8">
        <w:rPr>
          <w:lang w:val="fr-CA"/>
        </w:rPr>
        <w:t xml:space="preserve"> </w:t>
      </w:r>
      <w:r>
        <w:rPr>
          <w:lang w:val="fr-CA"/>
        </w:rPr>
        <w:t>E</w:t>
      </w:r>
      <w:r w:rsidRPr="00781B66">
        <w:rPr>
          <w:lang w:val="fr-CA"/>
        </w:rPr>
        <w:t xml:space="preserve">n élargissant considérablement les circonstances dans lesquelles les juges </w:t>
      </w:r>
      <w:r w:rsidRPr="000E5CC2">
        <w:rPr>
          <w:lang w:val="fr-CA"/>
        </w:rPr>
        <w:t>généralistes pourront</w:t>
      </w:r>
      <w:r>
        <w:rPr>
          <w:lang w:val="fr-CA"/>
        </w:rPr>
        <w:t xml:space="preserve"> </w:t>
      </w:r>
      <w:r w:rsidRPr="00781B66">
        <w:rPr>
          <w:lang w:val="fr-CA"/>
        </w:rPr>
        <w:t>substituer leur propre opinion à celle de</w:t>
      </w:r>
      <w:r>
        <w:rPr>
          <w:lang w:val="fr-CA"/>
        </w:rPr>
        <w:t>s</w:t>
      </w:r>
      <w:r w:rsidRPr="00781B66">
        <w:rPr>
          <w:lang w:val="fr-CA"/>
        </w:rPr>
        <w:t xml:space="preserve"> décideurs </w:t>
      </w:r>
      <w:r w:rsidRPr="00781B66">
        <w:rPr>
          <w:lang w:val="fr-CA"/>
        </w:rPr>
        <w:lastRenderedPageBreak/>
        <w:t xml:space="preserve">spécialisés qui exercent leur mandat </w:t>
      </w:r>
      <w:r>
        <w:rPr>
          <w:lang w:val="fr-CA"/>
        </w:rPr>
        <w:t xml:space="preserve">au </w:t>
      </w:r>
      <w:r w:rsidRPr="00B80359">
        <w:rPr>
          <w:lang w:val="fr-CA"/>
        </w:rPr>
        <w:t>quotidien, le cadre proposé</w:t>
      </w:r>
      <w:r w:rsidRPr="001A7A02">
        <w:rPr>
          <w:lang w:val="fr-CA"/>
        </w:rPr>
        <w:t xml:space="preserve"> par la </w:t>
      </w:r>
      <w:r w:rsidRPr="0096198E">
        <w:rPr>
          <w:lang w:val="fr-CA"/>
        </w:rPr>
        <w:t>majorité réoriente</w:t>
      </w:r>
      <w:r w:rsidRPr="00781B66">
        <w:rPr>
          <w:lang w:val="fr-CA"/>
        </w:rPr>
        <w:t xml:space="preserve"> complètement </w:t>
      </w:r>
      <w:r>
        <w:rPr>
          <w:lang w:val="fr-CA"/>
        </w:rPr>
        <w:t xml:space="preserve">le rapport </w:t>
      </w:r>
      <w:r w:rsidRPr="00781B66">
        <w:rPr>
          <w:lang w:val="fr-CA"/>
        </w:rPr>
        <w:t xml:space="preserve">entre les acteurs administratifs et la </w:t>
      </w:r>
      <w:r w:rsidRPr="0096198E">
        <w:rPr>
          <w:lang w:val="fr-CA"/>
        </w:rPr>
        <w:t>magistrature, et préconise</w:t>
      </w:r>
      <w:r>
        <w:rPr>
          <w:lang w:val="fr-CA"/>
        </w:rPr>
        <w:t xml:space="preserve"> du même coup </w:t>
      </w:r>
      <w:r w:rsidRPr="0096198E">
        <w:rPr>
          <w:lang w:val="fr-CA"/>
        </w:rPr>
        <w:t>une philosophie du droit administratif profondément différente.</w:t>
      </w:r>
    </w:p>
    <w:p w14:paraId="503C5ED3" w14:textId="10BBFB9F" w:rsidR="00243428" w:rsidRPr="005E25F3" w:rsidRDefault="00243428" w:rsidP="00554A83">
      <w:pPr>
        <w:pStyle w:val="SCCNormalDoubleSpacing"/>
        <w:spacing w:after="480"/>
        <w:rPr>
          <w:lang w:val="fr-CA"/>
        </w:rPr>
      </w:pPr>
      <w:r>
        <w:rPr>
          <w:lang w:val="fr-CA"/>
        </w:rPr>
        <w:tab/>
      </w:r>
      <w:r w:rsidRPr="00E920F7">
        <w:rPr>
          <w:lang w:val="fr-CA"/>
        </w:rPr>
        <w:t>Le cadre établi par la majorité repose sur une conception du contrôle judiciaire qui est à la fois erronée et incomplète et qui néglige sans raison valable l’expertise spécialisée des décideurs administratifs et fait</w:t>
      </w:r>
      <w:r w:rsidRPr="00781B66">
        <w:rPr>
          <w:lang w:val="fr-CA"/>
        </w:rPr>
        <w:t xml:space="preserve"> fi des fondements de la conception moderne de l</w:t>
      </w:r>
      <w:r>
        <w:rPr>
          <w:lang w:val="fr-CA"/>
        </w:rPr>
        <w:t xml:space="preserve">’intention </w:t>
      </w:r>
      <w:r w:rsidRPr="00781B66">
        <w:rPr>
          <w:lang w:val="fr-CA"/>
        </w:rPr>
        <w:t xml:space="preserve">du </w:t>
      </w:r>
      <w:r w:rsidRPr="00021EAF">
        <w:rPr>
          <w:lang w:val="fr-CA"/>
        </w:rPr>
        <w:t>législateur.</w:t>
      </w:r>
      <w:r>
        <w:rPr>
          <w:lang w:val="fr-CA"/>
        </w:rPr>
        <w:t xml:space="preserve"> A</w:t>
      </w:r>
      <w:r w:rsidRPr="00A34526">
        <w:rPr>
          <w:lang w:val="fr-CA"/>
        </w:rPr>
        <w:t xml:space="preserve">u lieu de </w:t>
      </w:r>
      <w:r>
        <w:rPr>
          <w:lang w:val="fr-CA"/>
        </w:rPr>
        <w:t>considérer</w:t>
      </w:r>
      <w:r w:rsidRPr="00A34526">
        <w:rPr>
          <w:lang w:val="fr-CA"/>
        </w:rPr>
        <w:t xml:space="preserve"> que la volonté</w:t>
      </w:r>
      <w:r w:rsidRPr="00781B66">
        <w:rPr>
          <w:lang w:val="fr-CA"/>
        </w:rPr>
        <w:t xml:space="preserve"> du législateur est de confier </w:t>
      </w:r>
      <w:r>
        <w:rPr>
          <w:lang w:val="fr-CA"/>
        </w:rPr>
        <w:t xml:space="preserve">à des </w:t>
      </w:r>
      <w:r w:rsidRPr="00781B66">
        <w:rPr>
          <w:lang w:val="fr-CA"/>
        </w:rPr>
        <w:t xml:space="preserve">décideurs spécialisés possédant une expertise </w:t>
      </w:r>
      <w:r>
        <w:rPr>
          <w:lang w:val="fr-CA"/>
        </w:rPr>
        <w:t xml:space="preserve">en la matière </w:t>
      </w:r>
      <w:r w:rsidRPr="00781B66">
        <w:rPr>
          <w:lang w:val="fr-CA"/>
        </w:rPr>
        <w:t xml:space="preserve">le soin de trancher les </w:t>
      </w:r>
      <w:r w:rsidRPr="00E920F7">
        <w:rPr>
          <w:lang w:val="fr-CA"/>
        </w:rPr>
        <w:t xml:space="preserve">questions de droit relevant de leur mandat, la majorité fait table rase de l’expertise de ces décideurs. </w:t>
      </w:r>
      <w:r w:rsidRPr="00021EAF">
        <w:rPr>
          <w:lang w:val="fr-CA"/>
        </w:rPr>
        <w:t xml:space="preserve">Ce faisant, la majorité ne tient pas compte de </w:t>
      </w:r>
      <w:r w:rsidRPr="00021EAF">
        <w:rPr>
          <w:iCs/>
          <w:lang w:val="fr-CA"/>
        </w:rPr>
        <w:t>la raison</w:t>
      </w:r>
      <w:r w:rsidRPr="00021EAF">
        <w:rPr>
          <w:lang w:val="fr-CA"/>
        </w:rPr>
        <w:t xml:space="preserve"> historiquement reconnue </w:t>
      </w:r>
      <w:r w:rsidRPr="009D31E6">
        <w:rPr>
          <w:lang w:val="fr-CA"/>
        </w:rPr>
        <w:t>pour laquelle</w:t>
      </w:r>
      <w:r w:rsidRPr="00021EAF">
        <w:rPr>
          <w:i/>
          <w:lang w:val="fr-CA"/>
        </w:rPr>
        <w:t xml:space="preserve"> </w:t>
      </w:r>
      <w:r w:rsidRPr="00021EAF">
        <w:rPr>
          <w:lang w:val="fr-CA"/>
        </w:rPr>
        <w:t>le législateur souhaitait déléguer des pouvoirs à des acteurs administratifs. En particulier, cette approche ne tient pas compte de la possibilité que la spécialisation et l’expertise</w:t>
      </w:r>
      <w:r>
        <w:rPr>
          <w:lang w:val="fr-CA"/>
        </w:rPr>
        <w:t xml:space="preserve"> fassent partie intégrante de ce choix </w:t>
      </w:r>
      <w:r w:rsidRPr="00781B66">
        <w:rPr>
          <w:lang w:val="fr-CA"/>
        </w:rPr>
        <w:t xml:space="preserve">du </w:t>
      </w:r>
      <w:r w:rsidRPr="0016777C">
        <w:rPr>
          <w:lang w:val="fr-CA"/>
        </w:rPr>
        <w:t xml:space="preserve">législateur. Depuis l’arrêt </w:t>
      </w:r>
      <w:r w:rsidRPr="0016777C">
        <w:rPr>
          <w:i/>
          <w:lang w:val="fr-CA"/>
        </w:rPr>
        <w:t>Dunsmuir</w:t>
      </w:r>
      <w:r w:rsidRPr="0016777C">
        <w:rPr>
          <w:lang w:val="fr-CA"/>
        </w:rPr>
        <w:t>, la Cour</w:t>
      </w:r>
      <w:r w:rsidRPr="0016777C">
        <w:rPr>
          <w:i/>
          <w:lang w:val="fr-CA"/>
        </w:rPr>
        <w:t xml:space="preserve"> </w:t>
      </w:r>
      <w:r w:rsidRPr="0016777C">
        <w:rPr>
          <w:lang w:val="fr-CA"/>
        </w:rPr>
        <w:t>n’a cessé de confirmer le rôle central que jouent la spécialisation et l’expertise, de confirmer le lien entre celles</w:t>
      </w:r>
      <w:r w:rsidRPr="0016777C">
        <w:rPr>
          <w:lang w:val="fr-CA"/>
        </w:rPr>
        <w:noBreakHyphen/>
        <w:t xml:space="preserve">ci et l’intention du législateur et de reconnaître qu’elles confèrent aux décideurs </w:t>
      </w:r>
      <w:r w:rsidRPr="008F57BE">
        <w:rPr>
          <w:lang w:val="fr-CA"/>
        </w:rPr>
        <w:t>administratifs un privil</w:t>
      </w:r>
      <w:r>
        <w:rPr>
          <w:lang w:val="fr-CA"/>
        </w:rPr>
        <w:t xml:space="preserve">ège en matière d’interprétation </w:t>
      </w:r>
      <w:r w:rsidRPr="008F57BE">
        <w:rPr>
          <w:lang w:val="fr-CA"/>
        </w:rPr>
        <w:t xml:space="preserve">sur les questions de droit. L’expertise </w:t>
      </w:r>
      <w:r>
        <w:rPr>
          <w:lang w:val="fr-CA"/>
        </w:rPr>
        <w:t>s</w:t>
      </w:r>
      <w:r w:rsidRPr="008F57BE">
        <w:rPr>
          <w:lang w:val="fr-CA"/>
        </w:rPr>
        <w:t>p</w:t>
      </w:r>
      <w:r>
        <w:rPr>
          <w:lang w:val="fr-CA"/>
        </w:rPr>
        <w:t xml:space="preserve">écialisée </w:t>
      </w:r>
      <w:r w:rsidRPr="008F57BE">
        <w:rPr>
          <w:lang w:val="fr-CA"/>
        </w:rPr>
        <w:t>est devenue</w:t>
      </w:r>
      <w:r w:rsidRPr="008F57BE" w:rsidDel="009C4C64">
        <w:rPr>
          <w:lang w:val="fr-CA"/>
        </w:rPr>
        <w:t xml:space="preserve"> </w:t>
      </w:r>
      <w:r w:rsidRPr="008F57BE">
        <w:rPr>
          <w:lang w:val="fr-CA"/>
        </w:rPr>
        <w:t>la principale raison invoquée pour justifier la déférence. Pour donner l’effet voulu à la volonté du légis</w:t>
      </w:r>
      <w:r>
        <w:rPr>
          <w:lang w:val="fr-CA"/>
        </w:rPr>
        <w:t xml:space="preserve">lateur de déléguer des pouvoirs </w:t>
      </w:r>
      <w:r w:rsidRPr="008F57BE">
        <w:rPr>
          <w:lang w:val="fr-CA"/>
        </w:rPr>
        <w:t>aux décideurs</w:t>
      </w:r>
      <w:r w:rsidRPr="00FB1B0E">
        <w:rPr>
          <w:lang w:val="fr-CA"/>
        </w:rPr>
        <w:t xml:space="preserve"> administratifs, il faut comprendre les </w:t>
      </w:r>
      <w:r w:rsidRPr="00FB1B0E">
        <w:rPr>
          <w:iCs/>
          <w:lang w:val="fr-CA"/>
        </w:rPr>
        <w:t xml:space="preserve">avantages </w:t>
      </w:r>
      <w:r w:rsidRPr="00FB1B0E">
        <w:rPr>
          <w:lang w:val="fr-CA"/>
        </w:rPr>
        <w:t xml:space="preserve">que peut comporter l’exercice, par ces décideurs, de leur mandat. </w:t>
      </w:r>
      <w:r w:rsidR="000C69BA">
        <w:rPr>
          <w:lang w:val="fr-CA"/>
        </w:rPr>
        <w:t>Parmi ces avantages se trouvent</w:t>
      </w:r>
      <w:r w:rsidR="00642B53">
        <w:rPr>
          <w:lang w:val="fr-CA"/>
        </w:rPr>
        <w:t>,</w:t>
      </w:r>
      <w:r w:rsidRPr="00781B66">
        <w:rPr>
          <w:lang w:val="fr-CA"/>
        </w:rPr>
        <w:t xml:space="preserve"> au premier chef</w:t>
      </w:r>
      <w:r w:rsidR="00642B53">
        <w:rPr>
          <w:lang w:val="fr-CA"/>
        </w:rPr>
        <w:t>,</w:t>
      </w:r>
      <w:r w:rsidRPr="00781B66">
        <w:rPr>
          <w:lang w:val="fr-CA"/>
        </w:rPr>
        <w:t xml:space="preserve"> l’expertise institutionnelle et la spécialisation inhérentes à l’</w:t>
      </w:r>
      <w:r>
        <w:rPr>
          <w:lang w:val="fr-CA"/>
        </w:rPr>
        <w:t xml:space="preserve">exécution </w:t>
      </w:r>
      <w:r w:rsidRPr="00781B66">
        <w:rPr>
          <w:lang w:val="fr-CA"/>
        </w:rPr>
        <w:t xml:space="preserve">quotidienne d’un mandat </w:t>
      </w:r>
      <w:r w:rsidRPr="0016777C">
        <w:rPr>
          <w:lang w:val="fr-CA"/>
        </w:rPr>
        <w:t xml:space="preserve">particulier. Lorsqu’ils interprètent leur loi </w:t>
      </w:r>
      <w:r w:rsidRPr="0016777C">
        <w:rPr>
          <w:lang w:val="fr-CA"/>
        </w:rPr>
        <w:lastRenderedPageBreak/>
        <w:t xml:space="preserve">habilitante, les acteurs administratifs sont particulièrement bien placés pour saisir avec justesse les conséquences concrètes d’interprétations juridiques particulières, le contexte législatif, les objectifs qu’une disposition ou un régime législatifs sont censés viser et la terminologie spécialisée. </w:t>
      </w:r>
      <w:r>
        <w:rPr>
          <w:lang w:val="fr-CA"/>
        </w:rPr>
        <w:t>L</w:t>
      </w:r>
      <w:r w:rsidRPr="00781B66">
        <w:rPr>
          <w:lang w:val="fr-CA"/>
        </w:rPr>
        <w:t xml:space="preserve">es avantages </w:t>
      </w:r>
      <w:r>
        <w:rPr>
          <w:lang w:val="fr-CA"/>
        </w:rPr>
        <w:t xml:space="preserve">conférés par </w:t>
      </w:r>
      <w:r w:rsidRPr="00781B66">
        <w:rPr>
          <w:lang w:val="fr-CA"/>
        </w:rPr>
        <w:t>la spécialisation et l’expertise constitue</w:t>
      </w:r>
      <w:r>
        <w:rPr>
          <w:lang w:val="fr-CA"/>
        </w:rPr>
        <w:t>nt</w:t>
      </w:r>
      <w:r w:rsidRPr="00781B66">
        <w:rPr>
          <w:lang w:val="fr-CA"/>
        </w:rPr>
        <w:t xml:space="preserve"> une raison </w:t>
      </w:r>
      <w:r>
        <w:rPr>
          <w:lang w:val="fr-CA"/>
        </w:rPr>
        <w:t xml:space="preserve">convaincante </w:t>
      </w:r>
      <w:r w:rsidRPr="00781B66">
        <w:rPr>
          <w:lang w:val="fr-CA"/>
        </w:rPr>
        <w:t xml:space="preserve">de faire preuve de </w:t>
      </w:r>
      <w:r w:rsidRPr="00374426">
        <w:rPr>
          <w:lang w:val="fr-CA"/>
        </w:rPr>
        <w:t xml:space="preserve">déférence. L’approche préconisée par la majorité n’accorde aucun poids à de tels avantages institutionnels et évacue totalement l’expertise de l’analyse </w:t>
      </w:r>
      <w:r>
        <w:rPr>
          <w:lang w:val="fr-CA"/>
        </w:rPr>
        <w:t>relative à</w:t>
      </w:r>
      <w:r w:rsidRPr="00374426">
        <w:rPr>
          <w:lang w:val="fr-CA"/>
        </w:rPr>
        <w:t xml:space="preserve"> la norme de contrôle.</w:t>
      </w:r>
      <w:r w:rsidR="005E25F3">
        <w:rPr>
          <w:lang w:val="fr-CA"/>
        </w:rPr>
        <w:t xml:space="preserve"> </w:t>
      </w:r>
      <w:r w:rsidR="005E25F3" w:rsidRPr="00621D17">
        <w:rPr>
          <w:lang w:val="fr-CA"/>
        </w:rPr>
        <w:t>La supp</w:t>
      </w:r>
      <w:r w:rsidR="005E25F3">
        <w:rPr>
          <w:lang w:val="fr-CA"/>
        </w:rPr>
        <w:t xml:space="preserve">ression du fondement conceptuel </w:t>
      </w:r>
      <w:r w:rsidR="005E25F3" w:rsidRPr="00621D17">
        <w:rPr>
          <w:lang w:val="fr-CA"/>
        </w:rPr>
        <w:t>qui justifie</w:t>
      </w:r>
      <w:r w:rsidR="005E25F3" w:rsidRPr="00781B66">
        <w:rPr>
          <w:lang w:val="fr-CA"/>
        </w:rPr>
        <w:t xml:space="preserve"> actuellement la déférence ouvre </w:t>
      </w:r>
      <w:r w:rsidR="005E25F3">
        <w:rPr>
          <w:lang w:val="fr-CA"/>
        </w:rPr>
        <w:t>les</w:t>
      </w:r>
      <w:r w:rsidR="005E25F3" w:rsidRPr="00781B66">
        <w:rPr>
          <w:lang w:val="fr-CA"/>
        </w:rPr>
        <w:t xml:space="preserve"> </w:t>
      </w:r>
      <w:r w:rsidR="005E25F3">
        <w:rPr>
          <w:lang w:val="fr-CA"/>
        </w:rPr>
        <w:t>portes</w:t>
      </w:r>
      <w:r w:rsidR="005E25F3" w:rsidRPr="00781B66">
        <w:rPr>
          <w:lang w:val="fr-CA"/>
        </w:rPr>
        <w:t xml:space="preserve"> à un contrôle judiciaire élargi fondé sur la norme de la décision </w:t>
      </w:r>
      <w:r w:rsidR="005E25F3" w:rsidRPr="0081401E">
        <w:rPr>
          <w:lang w:val="fr-CA"/>
        </w:rPr>
        <w:t>correcte.</w:t>
      </w:r>
    </w:p>
    <w:p w14:paraId="4070C36B" w14:textId="301CA464" w:rsidR="00554A83" w:rsidRPr="00AF0D42" w:rsidRDefault="00554A83" w:rsidP="00554A83">
      <w:pPr>
        <w:pStyle w:val="SCCNormalDoubleSpacing"/>
        <w:spacing w:after="480"/>
        <w:rPr>
          <w:highlight w:val="yellow"/>
          <w:lang w:val="fr-CA" w:bidi="en-US"/>
        </w:rPr>
      </w:pPr>
      <w:r w:rsidRPr="005E25F3">
        <w:rPr>
          <w:lang w:val="fr-CA"/>
        </w:rPr>
        <w:tab/>
      </w:r>
      <w:r w:rsidRPr="0081401E">
        <w:rPr>
          <w:lang w:val="fr-CA"/>
        </w:rPr>
        <w:t>Selon</w:t>
      </w:r>
      <w:r w:rsidRPr="00781B66">
        <w:rPr>
          <w:lang w:val="fr-CA"/>
        </w:rPr>
        <w:t xml:space="preserve"> le cadre proposé par la majorité, la déférence </w:t>
      </w:r>
      <w:r>
        <w:rPr>
          <w:lang w:val="fr-CA"/>
        </w:rPr>
        <w:t xml:space="preserve">est éclipsée </w:t>
      </w:r>
      <w:r w:rsidRPr="00781B66">
        <w:rPr>
          <w:lang w:val="fr-CA"/>
        </w:rPr>
        <w:t>chaque fois que l</w:t>
      </w:r>
      <w:r>
        <w:rPr>
          <w:lang w:val="fr-CA"/>
        </w:rPr>
        <w:t xml:space="preserve">a </w:t>
      </w:r>
      <w:r w:rsidRPr="00781B66">
        <w:rPr>
          <w:lang w:val="fr-CA"/>
        </w:rPr>
        <w:t>primauté du droit l’exige</w:t>
      </w:r>
      <w:r w:rsidRPr="0081401E">
        <w:rPr>
          <w:lang w:val="fr-CA"/>
        </w:rPr>
        <w:t xml:space="preserve">. Cette approche découle toutefois d’une conception judiciarisée de la primauté du droit. </w:t>
      </w:r>
      <w:r>
        <w:rPr>
          <w:lang w:val="fr-CA"/>
        </w:rPr>
        <w:t>L</w:t>
      </w:r>
      <w:r w:rsidRPr="00781B66">
        <w:rPr>
          <w:lang w:val="fr-CA"/>
        </w:rPr>
        <w:t>a primauté du droit signifie que les décideurs administratifs prennent des décisions</w:t>
      </w:r>
      <w:r>
        <w:rPr>
          <w:lang w:val="fr-CA"/>
        </w:rPr>
        <w:t xml:space="preserve"> juridiques </w:t>
      </w:r>
      <w:r w:rsidRPr="00781B66">
        <w:rPr>
          <w:lang w:val="fr-CA"/>
        </w:rPr>
        <w:t>dans le cadre de leur mandat</w:t>
      </w:r>
      <w:r>
        <w:rPr>
          <w:lang w:val="fr-CA"/>
        </w:rPr>
        <w:t>;</w:t>
      </w:r>
      <w:r w:rsidRPr="00781B66">
        <w:rPr>
          <w:lang w:val="fr-CA"/>
        </w:rPr>
        <w:t xml:space="preserve"> </w:t>
      </w:r>
      <w:r>
        <w:rPr>
          <w:lang w:val="fr-CA"/>
        </w:rPr>
        <w:t xml:space="preserve">elle ne signifie pas </w:t>
      </w:r>
      <w:r w:rsidRPr="00781B66">
        <w:rPr>
          <w:lang w:val="fr-CA"/>
        </w:rPr>
        <w:t xml:space="preserve">que </w:t>
      </w:r>
      <w:r>
        <w:rPr>
          <w:lang w:val="fr-CA"/>
        </w:rPr>
        <w:t xml:space="preserve">seuls </w:t>
      </w:r>
      <w:r w:rsidRPr="00781B66">
        <w:rPr>
          <w:lang w:val="fr-CA"/>
        </w:rPr>
        <w:t xml:space="preserve">les juges </w:t>
      </w:r>
      <w:r>
        <w:rPr>
          <w:lang w:val="fr-CA"/>
        </w:rPr>
        <w:t xml:space="preserve">peuvent </w:t>
      </w:r>
      <w:r w:rsidRPr="00781B66">
        <w:rPr>
          <w:lang w:val="fr-CA"/>
        </w:rPr>
        <w:t>tranche</w:t>
      </w:r>
      <w:r>
        <w:rPr>
          <w:lang w:val="fr-CA"/>
        </w:rPr>
        <w:t xml:space="preserve">r </w:t>
      </w:r>
      <w:r w:rsidRPr="00781B66">
        <w:rPr>
          <w:lang w:val="fr-CA"/>
        </w:rPr>
        <w:t xml:space="preserve">des questions de droit et </w:t>
      </w:r>
      <w:r>
        <w:rPr>
          <w:lang w:val="fr-CA"/>
        </w:rPr>
        <w:t xml:space="preserve">ont carte blanche pour </w:t>
      </w:r>
      <w:r w:rsidRPr="006576E4">
        <w:rPr>
          <w:lang w:val="fr-CA"/>
        </w:rPr>
        <w:t>substituer leur opinion à celle des acteurs administratifs par le biais d’un contrôle selon la norme de la décision correcte. L’approche de la majorité</w:t>
      </w:r>
      <w:r w:rsidR="009D31E6">
        <w:rPr>
          <w:lang w:val="fr-CA"/>
        </w:rPr>
        <w:t xml:space="preserve"> à la fois affaiblit </w:t>
      </w:r>
      <w:r w:rsidRPr="006576E4">
        <w:rPr>
          <w:lang w:val="fr-CA"/>
        </w:rPr>
        <w:t xml:space="preserve">la présomption de déférence, </w:t>
      </w:r>
      <w:r w:rsidR="009D31E6">
        <w:rPr>
          <w:lang w:val="fr-CA"/>
        </w:rPr>
        <w:t xml:space="preserve">et </w:t>
      </w:r>
      <w:r w:rsidRPr="006576E4">
        <w:rPr>
          <w:lang w:val="fr-CA"/>
        </w:rPr>
        <w:t>mine la confiance dans le fait que l’élaborati</w:t>
      </w:r>
      <w:r w:rsidR="00765F6E">
        <w:rPr>
          <w:lang w:val="fr-CA"/>
        </w:rPr>
        <w:t xml:space="preserve">on et l’interprétation du droit </w:t>
      </w:r>
      <w:r w:rsidRPr="006576E4">
        <w:rPr>
          <w:lang w:val="fr-CA"/>
        </w:rPr>
        <w:t xml:space="preserve">relèvent de la participation commune des tribunaux judiciaires et des décideurs administratifs. De plus, </w:t>
      </w:r>
      <w:r w:rsidRPr="006576E4">
        <w:rPr>
          <w:lang w:val="fr-CA" w:bidi="en-US"/>
        </w:rPr>
        <w:t xml:space="preserve">l’accès à la justice est au cœur du choix du législateur d’instaurer un système de droit administratif solide. Cet objectif est compromis lorsqu’on invoque une conception étroite de la primauté du droit pour imposer l’hégémonie judiciaire aux décideurs administratifs, ce qui augmente </w:t>
      </w:r>
      <w:r w:rsidRPr="00465379">
        <w:rPr>
          <w:lang w:val="fr-CA" w:bidi="en-US"/>
        </w:rPr>
        <w:t>inutilement les coûts et la complexité.</w:t>
      </w:r>
      <w:r w:rsidRPr="00465379">
        <w:rPr>
          <w:lang w:val="fr-CA"/>
        </w:rPr>
        <w:t xml:space="preserve"> Permettre aux juges de s’immiscer encore plus </w:t>
      </w:r>
      <w:r w:rsidRPr="00465379">
        <w:rPr>
          <w:lang w:val="fr-CA"/>
        </w:rPr>
        <w:lastRenderedPageBreak/>
        <w:t>dans la justice administrative</w:t>
      </w:r>
      <w:r w:rsidRPr="00613C3C">
        <w:rPr>
          <w:lang w:val="fr-CA"/>
        </w:rPr>
        <w:t xml:space="preserve"> et permettre un examen </w:t>
      </w:r>
      <w:r w:rsidRPr="00613C3C">
        <w:rPr>
          <w:i/>
          <w:iCs/>
          <w:lang w:val="fr-CA"/>
        </w:rPr>
        <w:t>de novo</w:t>
      </w:r>
      <w:r w:rsidRPr="00613C3C">
        <w:rPr>
          <w:lang w:val="fr-CA"/>
        </w:rPr>
        <w:t xml:space="preserve"> de chaque décision juridique allonge les délais et augmente les frais engagés pour o</w:t>
      </w:r>
      <w:r w:rsidR="00A4522A">
        <w:rPr>
          <w:lang w:val="fr-CA"/>
        </w:rPr>
        <w:t>btenir une décision définitive.</w:t>
      </w:r>
    </w:p>
    <w:p w14:paraId="4105B5BE" w14:textId="6828E390" w:rsidR="00554A83" w:rsidRPr="00AF0D42" w:rsidRDefault="00554A83" w:rsidP="00554A83">
      <w:pPr>
        <w:pStyle w:val="SCCNormalDoubleSpacing"/>
        <w:spacing w:after="480"/>
        <w:rPr>
          <w:highlight w:val="yellow"/>
          <w:lang w:val="fr-CA"/>
        </w:rPr>
      </w:pPr>
      <w:r w:rsidRPr="005075AC">
        <w:rPr>
          <w:lang w:val="fr-CA"/>
        </w:rPr>
        <w:tab/>
        <w:t xml:space="preserve">La reformulation de la notion de « l’intention du législateur » proposée par la majorité invite les </w:t>
      </w:r>
      <w:r w:rsidR="006D5529">
        <w:rPr>
          <w:lang w:val="fr-CA"/>
        </w:rPr>
        <w:t xml:space="preserve">cours </w:t>
      </w:r>
      <w:r w:rsidRPr="005075AC">
        <w:rPr>
          <w:lang w:val="fr-CA"/>
        </w:rPr>
        <w:t>à appliquer</w:t>
      </w:r>
      <w:r w:rsidRPr="00781B66">
        <w:rPr>
          <w:lang w:val="fr-CA"/>
        </w:rPr>
        <w:t xml:space="preserve"> une présomption irréfragable d’application de la norme de la décision </w:t>
      </w:r>
      <w:r w:rsidRPr="00D37EC7">
        <w:rPr>
          <w:lang w:val="fr-CA"/>
        </w:rPr>
        <w:t>correcte lorsqu’un</w:t>
      </w:r>
      <w:r>
        <w:rPr>
          <w:lang w:val="fr-CA"/>
        </w:rPr>
        <w:t xml:space="preserve"> </w:t>
      </w:r>
      <w:r w:rsidRPr="00781B66">
        <w:rPr>
          <w:lang w:val="fr-CA"/>
        </w:rPr>
        <w:t xml:space="preserve">régime administratif prévoit un droit </w:t>
      </w:r>
      <w:r w:rsidRPr="00D37EC7">
        <w:rPr>
          <w:lang w:val="fr-CA"/>
        </w:rPr>
        <w:t>d’appel. En élevant des dispositions créant un droit d’appel au rang d’indicateurs d’un contrôle assujetti à la norme de la décision correcte, on crée un système de droit administratif à deux vitesses dans lequel les juges s’en remettent à l’expertise des décideurs administratifs seulement lorsqu</w:t>
      </w:r>
      <w:r>
        <w:rPr>
          <w:lang w:val="fr-CA"/>
        </w:rPr>
        <w:t>’il n’existe pas de disposition</w:t>
      </w:r>
      <w:r w:rsidRPr="00D37EC7">
        <w:rPr>
          <w:lang w:val="fr-CA"/>
        </w:rPr>
        <w:t xml:space="preserve"> d’appel. Cependant, l’existence de droits d’appel</w:t>
      </w:r>
      <w:r w:rsidRPr="005075AC">
        <w:rPr>
          <w:lang w:val="fr-CA"/>
        </w:rPr>
        <w:t xml:space="preserve"> ne crée pas un régime institutionnel différent qui commanderait un contrôle plus fouillé. </w:t>
      </w:r>
      <w:r w:rsidRPr="00781B66">
        <w:rPr>
          <w:lang w:val="fr-CA"/>
        </w:rPr>
        <w:t xml:space="preserve">Le simple fait qu’une loi envisage la </w:t>
      </w:r>
      <w:r w:rsidRPr="00FA7937">
        <w:rPr>
          <w:lang w:val="fr-CA"/>
        </w:rPr>
        <w:t>possibilité d</w:t>
      </w:r>
      <w:r>
        <w:rPr>
          <w:lang w:val="fr-CA"/>
        </w:rPr>
        <w:t>’un appel</w:t>
      </w:r>
      <w:r w:rsidRPr="008934E7">
        <w:rPr>
          <w:lang w:val="fr-CA"/>
        </w:rPr>
        <w:t xml:space="preserve"> ne permet pas de tirer de conclusions quant au degré de déférence</w:t>
      </w:r>
      <w:r w:rsidRPr="008934E7">
        <w:rPr>
          <w:i/>
          <w:lang w:val="fr-CA"/>
        </w:rPr>
        <w:t xml:space="preserve"> </w:t>
      </w:r>
      <w:r w:rsidRPr="008934E7">
        <w:rPr>
          <w:lang w:val="fr-CA"/>
        </w:rPr>
        <w:t xml:space="preserve">requis lors du contrôle en question. La </w:t>
      </w:r>
      <w:r w:rsidRPr="008934E7">
        <w:rPr>
          <w:noProof/>
          <w:lang w:val="fr-CA"/>
        </w:rPr>
        <w:t>position de la majorité repose presque exclusivement sur un argument textuel suivant</w:t>
      </w:r>
      <w:r>
        <w:rPr>
          <w:noProof/>
          <w:lang w:val="fr-CA"/>
        </w:rPr>
        <w:t xml:space="preserve"> lequel la présence </w:t>
      </w:r>
      <w:r w:rsidRPr="00781B66">
        <w:rPr>
          <w:noProof/>
          <w:lang w:val="fr-CA"/>
        </w:rPr>
        <w:t xml:space="preserve">du mot « appel » indique que le législateur voulait </w:t>
      </w:r>
      <w:r>
        <w:rPr>
          <w:noProof/>
          <w:lang w:val="fr-CA"/>
        </w:rPr>
        <w:t>que les</w:t>
      </w:r>
      <w:r w:rsidR="006D5529">
        <w:rPr>
          <w:noProof/>
          <w:lang w:val="fr-CA"/>
        </w:rPr>
        <w:t xml:space="preserve"> cours</w:t>
      </w:r>
      <w:r w:rsidR="006A7D51">
        <w:rPr>
          <w:noProof/>
          <w:lang w:val="fr-CA"/>
        </w:rPr>
        <w:t xml:space="preserve"> de révision</w:t>
      </w:r>
      <w:r>
        <w:rPr>
          <w:noProof/>
          <w:lang w:val="fr-CA"/>
        </w:rPr>
        <w:t xml:space="preserve"> </w:t>
      </w:r>
      <w:r w:rsidRPr="00781B66">
        <w:rPr>
          <w:noProof/>
          <w:lang w:val="fr-CA"/>
        </w:rPr>
        <w:t>applique</w:t>
      </w:r>
      <w:r>
        <w:rPr>
          <w:noProof/>
          <w:lang w:val="fr-CA"/>
        </w:rPr>
        <w:t xml:space="preserve">nt </w:t>
      </w:r>
      <w:r w:rsidRPr="00781B66">
        <w:rPr>
          <w:noProof/>
          <w:lang w:val="fr-CA"/>
        </w:rPr>
        <w:t xml:space="preserve">les mêmes normes de contrôle que celles </w:t>
      </w:r>
      <w:r>
        <w:rPr>
          <w:noProof/>
          <w:lang w:val="fr-CA"/>
        </w:rPr>
        <w:t xml:space="preserve">que les cours d’appel appliquent dans leurs arrêts </w:t>
      </w:r>
      <w:r w:rsidRPr="00C94F40">
        <w:rPr>
          <w:noProof/>
          <w:lang w:val="fr-CA"/>
        </w:rPr>
        <w:t>en matière civile</w:t>
      </w:r>
      <w:r w:rsidRPr="00C94F40">
        <w:rPr>
          <w:lang w:val="fr-CA"/>
        </w:rPr>
        <w:t xml:space="preserve">. Cela néglige les distinctions institutionnelles qui sont reconnues depuis longtemps entre les tribunaux judiciaires et les décideurs administratifs. </w:t>
      </w:r>
      <w:r>
        <w:rPr>
          <w:lang w:val="fr-CA"/>
        </w:rPr>
        <w:t>L</w:t>
      </w:r>
      <w:r w:rsidRPr="00781B66">
        <w:rPr>
          <w:lang w:val="fr-CA"/>
        </w:rPr>
        <w:t>’</w:t>
      </w:r>
      <w:r>
        <w:rPr>
          <w:lang w:val="fr-CA"/>
        </w:rPr>
        <w:t>emploi systématique du terme « appel </w:t>
      </w:r>
      <w:r w:rsidRPr="00781B66">
        <w:rPr>
          <w:lang w:val="fr-CA"/>
        </w:rPr>
        <w:t>» par le</w:t>
      </w:r>
      <w:r>
        <w:rPr>
          <w:lang w:val="fr-CA"/>
        </w:rPr>
        <w:t>s</w:t>
      </w:r>
      <w:r w:rsidRPr="00781B66">
        <w:rPr>
          <w:lang w:val="fr-CA"/>
        </w:rPr>
        <w:t xml:space="preserve"> législatur</w:t>
      </w:r>
      <w:r>
        <w:rPr>
          <w:lang w:val="fr-CA"/>
        </w:rPr>
        <w:t>es</w:t>
      </w:r>
      <w:r w:rsidRPr="00781B66">
        <w:rPr>
          <w:lang w:val="fr-CA"/>
        </w:rPr>
        <w:t xml:space="preserve"> ne saurait s’expliquer par l’intention que la majorité </w:t>
      </w:r>
      <w:r w:rsidRPr="00E10762">
        <w:rPr>
          <w:lang w:val="fr-CA"/>
        </w:rPr>
        <w:t>lui prête. L’idée selon</w:t>
      </w:r>
      <w:r w:rsidRPr="004514D8">
        <w:rPr>
          <w:lang w:val="fr-CA"/>
        </w:rPr>
        <w:t xml:space="preserve"> laquelle il faut appliquer les normes de contrôle d’appel</w:t>
      </w:r>
      <w:r w:rsidRPr="004514D8">
        <w:rPr>
          <w:i/>
          <w:lang w:val="fr-CA"/>
        </w:rPr>
        <w:t xml:space="preserve"> </w:t>
      </w:r>
      <w:r w:rsidRPr="004514D8">
        <w:rPr>
          <w:lang w:val="fr-CA"/>
        </w:rPr>
        <w:t xml:space="preserve">à tous les droits d’appel ne trouve aucun appui dans la jurisprudence. </w:t>
      </w:r>
      <w:r>
        <w:rPr>
          <w:lang w:val="fr-CA"/>
        </w:rPr>
        <w:t>D</w:t>
      </w:r>
      <w:r w:rsidRPr="00781B66">
        <w:rPr>
          <w:lang w:val="fr-CA"/>
        </w:rPr>
        <w:t xml:space="preserve">epuis au </w:t>
      </w:r>
      <w:r w:rsidRPr="00980170">
        <w:rPr>
          <w:lang w:val="fr-CA"/>
        </w:rPr>
        <w:t xml:space="preserve">moins </w:t>
      </w:r>
      <w:r w:rsidR="00991916">
        <w:rPr>
          <w:lang w:val="fr-CA"/>
        </w:rPr>
        <w:t xml:space="preserve">25 </w:t>
      </w:r>
      <w:r w:rsidRPr="00980170">
        <w:rPr>
          <w:lang w:val="fr-CA"/>
        </w:rPr>
        <w:t xml:space="preserve">ans, la Cour ne considère pas les droits d’appel accordés par une loi comme une expression déterminante de l’intention </w:t>
      </w:r>
      <w:r w:rsidRPr="00867061">
        <w:rPr>
          <w:lang w:val="fr-CA"/>
        </w:rPr>
        <w:t xml:space="preserve">du législateur, et de telles dispositions ne sont presque pas </w:t>
      </w:r>
      <w:r w:rsidRPr="00867061">
        <w:rPr>
          <w:lang w:val="fr-CA"/>
        </w:rPr>
        <w:lastRenderedPageBreak/>
        <w:t>ou pas du tout entré</w:t>
      </w:r>
      <w:r>
        <w:rPr>
          <w:lang w:val="fr-CA"/>
        </w:rPr>
        <w:t>e</w:t>
      </w:r>
      <w:r w:rsidRPr="00867061">
        <w:rPr>
          <w:lang w:val="fr-CA"/>
        </w:rPr>
        <w:t xml:space="preserve">s en ligne de compte dans l’analyse relative à la norme de contrôle. De surcroît, </w:t>
      </w:r>
      <w:r>
        <w:rPr>
          <w:lang w:val="fr-CA"/>
        </w:rPr>
        <w:t xml:space="preserve">avant l’arrêt </w:t>
      </w:r>
      <w:r w:rsidRPr="00867061">
        <w:rPr>
          <w:i/>
          <w:lang w:val="fr-CA"/>
        </w:rPr>
        <w:t>Dunsmuir</w:t>
      </w:r>
      <w:r w:rsidRPr="00867061">
        <w:rPr>
          <w:lang w:val="fr-CA"/>
        </w:rPr>
        <w:t>, les droits d’appel conférés par la loi n’étaient encore perçus que comme un facteur parmi d’autres et non comme des indices sans équivoque d’un contrôle selon la norme de la décision correcte. Sauf</w:t>
      </w:r>
      <w:r w:rsidRPr="005442C2">
        <w:rPr>
          <w:lang w:val="fr-CA"/>
        </w:rPr>
        <w:t xml:space="preserve"> en présence de circonstances exceptionnelles, un droit d’appel conféré par la loi n’écarte pas la présomption d’application de la norme de la décision raisonnable.</w:t>
      </w:r>
    </w:p>
    <w:p w14:paraId="675C9AC7" w14:textId="69D92F01" w:rsidR="00554A83" w:rsidRPr="00AF0D42" w:rsidRDefault="00554A83" w:rsidP="00554A83">
      <w:pPr>
        <w:pStyle w:val="SCCNormalDoubleSpacing"/>
        <w:spacing w:after="480"/>
        <w:rPr>
          <w:highlight w:val="yellow"/>
          <w:lang w:val="fr-CA"/>
        </w:rPr>
      </w:pPr>
      <w:r w:rsidRPr="00A34526">
        <w:rPr>
          <w:lang w:val="fr-CA"/>
        </w:rPr>
        <w:tab/>
      </w:r>
      <w:r w:rsidR="00AD1600">
        <w:rPr>
          <w:lang w:val="fr-CA"/>
        </w:rPr>
        <w:t>L</w:t>
      </w:r>
      <w:r w:rsidRPr="008015EA">
        <w:rPr>
          <w:lang w:val="fr-CA"/>
        </w:rPr>
        <w:t xml:space="preserve">e mépris de la majorité pour les précédents et la règle du </w:t>
      </w:r>
      <w:r w:rsidRPr="008015EA">
        <w:rPr>
          <w:i/>
          <w:lang w:val="fr-CA"/>
        </w:rPr>
        <w:t>stare decisis</w:t>
      </w:r>
      <w:r w:rsidRPr="008015EA">
        <w:rPr>
          <w:lang w:val="fr-CA"/>
        </w:rPr>
        <w:t xml:space="preserve"> </w:t>
      </w:r>
      <w:r w:rsidRPr="00781B66">
        <w:rPr>
          <w:lang w:val="fr-CA"/>
        </w:rPr>
        <w:t xml:space="preserve">risque de </w:t>
      </w:r>
      <w:r w:rsidRPr="00C24747">
        <w:rPr>
          <w:lang w:val="fr-CA"/>
        </w:rPr>
        <w:t xml:space="preserve">compromettre l’intégrité des décisions de la Cour et d’ébranler la confiance du public à l’égard de la stabilité du droit. </w:t>
      </w:r>
      <w:r w:rsidRPr="00C24747">
        <w:rPr>
          <w:iCs/>
          <w:lang w:val="fr-CA"/>
        </w:rPr>
        <w:t xml:space="preserve">La règle </w:t>
      </w:r>
      <w:r w:rsidRPr="00C24747">
        <w:rPr>
          <w:lang w:val="fr-CA"/>
        </w:rPr>
        <w:t xml:space="preserve">du </w:t>
      </w:r>
      <w:r w:rsidRPr="00C24747">
        <w:rPr>
          <w:i/>
          <w:lang w:val="fr-CA"/>
        </w:rPr>
        <w:t>stare decisis</w:t>
      </w:r>
      <w:r w:rsidRPr="00C24747">
        <w:rPr>
          <w:lang w:val="fr-CA"/>
        </w:rPr>
        <w:t xml:space="preserve"> limite considérablement la capacité de la Cour d’infirmer ses propres précédents. </w:t>
      </w:r>
      <w:r w:rsidRPr="00781B66">
        <w:rPr>
          <w:lang w:val="fr-CA"/>
        </w:rPr>
        <w:t xml:space="preserve">La doctrine favorise le développement prévisible et cohérent des principes de droit, </w:t>
      </w:r>
      <w:r>
        <w:rPr>
          <w:lang w:val="fr-CA"/>
        </w:rPr>
        <w:t xml:space="preserve">favorise </w:t>
      </w:r>
      <w:r w:rsidRPr="00781B66">
        <w:rPr>
          <w:lang w:val="fr-CA"/>
        </w:rPr>
        <w:t>l</w:t>
      </w:r>
      <w:r>
        <w:rPr>
          <w:lang w:val="fr-CA"/>
        </w:rPr>
        <w:t xml:space="preserve">a confiance envers les </w:t>
      </w:r>
      <w:r w:rsidRPr="00781B66">
        <w:rPr>
          <w:lang w:val="fr-CA"/>
        </w:rPr>
        <w:t xml:space="preserve">décisions judiciaires et contribue à </w:t>
      </w:r>
      <w:r>
        <w:rPr>
          <w:lang w:val="fr-CA"/>
        </w:rPr>
        <w:t>l’intégrité</w:t>
      </w:r>
      <w:r w:rsidRPr="00781B66">
        <w:rPr>
          <w:lang w:val="fr-CA"/>
        </w:rPr>
        <w:t xml:space="preserve"> du processus judiciaire</w:t>
      </w:r>
      <w:r w:rsidRPr="00A50FE1">
        <w:rPr>
          <w:lang w:val="fr-CA"/>
        </w:rPr>
        <w:t xml:space="preserve">. </w:t>
      </w:r>
      <w:r w:rsidRPr="00781B66">
        <w:rPr>
          <w:lang w:val="fr-CA"/>
        </w:rPr>
        <w:t>Le respect des précédents p</w:t>
      </w:r>
      <w:r>
        <w:rPr>
          <w:lang w:val="fr-CA"/>
        </w:rPr>
        <w:t xml:space="preserve">réserve </w:t>
      </w:r>
      <w:r w:rsidRPr="00781B66">
        <w:rPr>
          <w:lang w:val="fr-CA"/>
        </w:rPr>
        <w:t xml:space="preserve">également la légitimité institutionnelle de </w:t>
      </w:r>
      <w:r>
        <w:rPr>
          <w:lang w:val="fr-CA"/>
        </w:rPr>
        <w:t>la</w:t>
      </w:r>
      <w:r w:rsidRPr="00781B66">
        <w:rPr>
          <w:lang w:val="fr-CA"/>
        </w:rPr>
        <w:t xml:space="preserve"> </w:t>
      </w:r>
      <w:r w:rsidRPr="00A50FE1">
        <w:rPr>
          <w:lang w:val="fr-CA"/>
        </w:rPr>
        <w:t>Cour. Les décisions de la Cour ne perdent pas leur valeur de précédent avec le départ des juges qui y ont participé</w:t>
      </w:r>
      <w:r>
        <w:rPr>
          <w:lang w:val="fr-CA"/>
        </w:rPr>
        <w:t>. Lorsque la Cour choisit d’écarter ses propres précédents, elle doit le faire avec prudence et modération et en tenant dûment compte de toutes les considérations importantes qui sous</w:t>
      </w:r>
      <w:r>
        <w:rPr>
          <w:lang w:val="fr-CA"/>
        </w:rPr>
        <w:noBreakHyphen/>
        <w:t xml:space="preserve">tendent la </w:t>
      </w:r>
      <w:r w:rsidR="007D3652">
        <w:rPr>
          <w:lang w:val="fr-CA"/>
        </w:rPr>
        <w:t xml:space="preserve">doctrine </w:t>
      </w:r>
      <w:r w:rsidRPr="00A50FE1">
        <w:rPr>
          <w:lang w:val="fr-CA"/>
        </w:rPr>
        <w:t>d</w:t>
      </w:r>
      <w:r>
        <w:rPr>
          <w:lang w:val="fr-CA"/>
        </w:rPr>
        <w:t>u</w:t>
      </w:r>
      <w:r w:rsidRPr="00A50FE1">
        <w:rPr>
          <w:szCs w:val="24"/>
          <w:lang w:val="fr-CA"/>
        </w:rPr>
        <w:t xml:space="preserve"> </w:t>
      </w:r>
      <w:r w:rsidRPr="00A50FE1">
        <w:rPr>
          <w:i/>
          <w:szCs w:val="24"/>
          <w:lang w:val="fr-CA"/>
        </w:rPr>
        <w:t>stare decisis</w:t>
      </w:r>
      <w:r w:rsidRPr="00A50FE1">
        <w:rPr>
          <w:szCs w:val="24"/>
          <w:lang w:val="fr-CA"/>
        </w:rPr>
        <w:t xml:space="preserve">. </w:t>
      </w:r>
      <w:r>
        <w:rPr>
          <w:lang w:val="fr-CA"/>
        </w:rPr>
        <w:t xml:space="preserve">On doit trouver un équilibre subtil entre le maintien de la stabilité de la common law et l’assurance que le droit est </w:t>
      </w:r>
      <w:r w:rsidRPr="00A50FE1">
        <w:rPr>
          <w:lang w:val="fr-CA"/>
        </w:rPr>
        <w:t>suffisa</w:t>
      </w:r>
      <w:r>
        <w:rPr>
          <w:lang w:val="fr-CA"/>
        </w:rPr>
        <w:t>mment souple et réceptif pour s’</w:t>
      </w:r>
      <w:r w:rsidRPr="00A50FE1">
        <w:rPr>
          <w:lang w:val="fr-CA"/>
        </w:rPr>
        <w:t>adapter</w:t>
      </w:r>
      <w:r w:rsidR="00C91220">
        <w:rPr>
          <w:lang w:val="fr-CA"/>
        </w:rPr>
        <w:t xml:space="preserve"> à de nouvelles réalités et à l’</w:t>
      </w:r>
      <w:r w:rsidRPr="00A50FE1">
        <w:rPr>
          <w:lang w:val="fr-CA"/>
        </w:rPr>
        <w:t xml:space="preserve">évolution des normes sociales. </w:t>
      </w:r>
      <w:r>
        <w:rPr>
          <w:lang w:val="fr-CA"/>
        </w:rPr>
        <w:t xml:space="preserve">La règle du </w:t>
      </w:r>
      <w:r w:rsidRPr="00BF5FA4">
        <w:rPr>
          <w:i/>
          <w:lang w:val="fr-CA"/>
        </w:rPr>
        <w:t>stare decisis</w:t>
      </w:r>
      <w:r>
        <w:rPr>
          <w:lang w:val="fr-CA"/>
        </w:rPr>
        <w:t xml:space="preserve"> joue un rôle essentiel pour maintenir cet équilibre et assurer le respect de la </w:t>
      </w:r>
      <w:r w:rsidR="009A4F5D">
        <w:rPr>
          <w:lang w:val="fr-CA"/>
        </w:rPr>
        <w:t>primauté du droit.</w:t>
      </w:r>
    </w:p>
    <w:p w14:paraId="66AABAAD" w14:textId="5E950DFF" w:rsidR="00554A83" w:rsidRPr="00D22FEB" w:rsidRDefault="00554A83" w:rsidP="00554A83">
      <w:pPr>
        <w:pStyle w:val="SCCNormalDoubleSpacing"/>
        <w:spacing w:after="480"/>
        <w:rPr>
          <w:lang w:val="fr-CA"/>
        </w:rPr>
      </w:pPr>
      <w:r w:rsidRPr="006D2A7C">
        <w:rPr>
          <w:lang w:val="fr-CA"/>
        </w:rPr>
        <w:lastRenderedPageBreak/>
        <w:tab/>
        <w:t xml:space="preserve">Il n’existe aucune raison logique justifiant </w:t>
      </w:r>
      <w:r>
        <w:rPr>
          <w:lang w:val="fr-CA"/>
        </w:rPr>
        <w:t xml:space="preserve">de rompre </w:t>
      </w:r>
      <w:r w:rsidRPr="006D2A7C">
        <w:rPr>
          <w:lang w:val="fr-CA"/>
        </w:rPr>
        <w:t xml:space="preserve">avec la jurisprudence existante et </w:t>
      </w:r>
      <w:r>
        <w:rPr>
          <w:lang w:val="fr-CA"/>
        </w:rPr>
        <w:t>d’</w:t>
      </w:r>
      <w:r w:rsidRPr="006D2A7C">
        <w:rPr>
          <w:lang w:val="fr-CA"/>
        </w:rPr>
        <w:t xml:space="preserve">abandonner la conception bien établie de la Cour quant à l’effet des dispositions législatives créant un droit d’appel sur l’analyse de la norme de contrôle. Ce faisant, la majorité ne tient pas compte du critère rigoureux auquel il faut satisfaire pour pouvoir écarter l’une des décisions de la Cour. </w:t>
      </w:r>
      <w:r>
        <w:rPr>
          <w:lang w:val="fr-CA"/>
        </w:rPr>
        <w:t>L</w:t>
      </w:r>
      <w:r w:rsidRPr="00781B66">
        <w:rPr>
          <w:lang w:val="fr-CA"/>
        </w:rPr>
        <w:t xml:space="preserve">e rejet en bloc </w:t>
      </w:r>
      <w:r w:rsidRPr="00487E0F">
        <w:rPr>
          <w:lang w:val="fr-CA"/>
        </w:rPr>
        <w:t>sans précédent</w:t>
      </w:r>
      <w:r>
        <w:rPr>
          <w:lang w:val="fr-CA"/>
        </w:rPr>
        <w:t xml:space="preserve"> </w:t>
      </w:r>
      <w:r w:rsidRPr="00781B66">
        <w:rPr>
          <w:lang w:val="fr-CA"/>
        </w:rPr>
        <w:t xml:space="preserve">de </w:t>
      </w:r>
      <w:r w:rsidRPr="00330B32">
        <w:rPr>
          <w:lang w:val="fr-CA"/>
        </w:rPr>
        <w:t xml:space="preserve">tout un arsenal jurisprudentiel est particulièrement troublant. Les </w:t>
      </w:r>
      <w:r>
        <w:rPr>
          <w:lang w:val="fr-CA"/>
        </w:rPr>
        <w:t>arrêts</w:t>
      </w:r>
      <w:r w:rsidRPr="00330B32">
        <w:rPr>
          <w:lang w:val="fr-CA"/>
        </w:rPr>
        <w:t xml:space="preserve"> touchés sont nombreu</w:t>
      </w:r>
      <w:r>
        <w:rPr>
          <w:lang w:val="fr-CA"/>
        </w:rPr>
        <w:t>x</w:t>
      </w:r>
      <w:r w:rsidRPr="00330B32">
        <w:rPr>
          <w:lang w:val="fr-CA"/>
        </w:rPr>
        <w:t xml:space="preserve"> et comprennent </w:t>
      </w:r>
      <w:r>
        <w:rPr>
          <w:lang w:val="fr-CA"/>
        </w:rPr>
        <w:t xml:space="preserve">maintes </w:t>
      </w:r>
      <w:r w:rsidRPr="00330B32">
        <w:rPr>
          <w:lang w:val="fr-CA"/>
        </w:rPr>
        <w:t xml:space="preserve">décisions </w:t>
      </w:r>
      <w:r>
        <w:rPr>
          <w:lang w:val="fr-CA"/>
        </w:rPr>
        <w:t xml:space="preserve">rendues aux termes </w:t>
      </w:r>
      <w:r w:rsidRPr="00330B32">
        <w:rPr>
          <w:lang w:val="fr-CA"/>
        </w:rPr>
        <w:t>d’un contrôle fondé sur la déférence en dépit de l’existence d’un droit d’appel conféré par la loi ainsi qu</w:t>
      </w:r>
      <w:r>
        <w:rPr>
          <w:lang w:val="fr-CA"/>
        </w:rPr>
        <w:t>e des</w:t>
      </w:r>
      <w:r w:rsidRPr="00330B32">
        <w:rPr>
          <w:lang w:val="fr-CA"/>
        </w:rPr>
        <w:t xml:space="preserve"> arrêts fondamentaux confirmant la pertinence de l’expertise administrative pour l’analyse de la norme de contrôle. L’abandon</w:t>
      </w:r>
      <w:r w:rsidRPr="00781B66">
        <w:rPr>
          <w:lang w:val="fr-CA"/>
        </w:rPr>
        <w:t xml:space="preserve"> de ces jugements </w:t>
      </w:r>
      <w:r>
        <w:rPr>
          <w:lang w:val="fr-CA"/>
        </w:rPr>
        <w:t xml:space="preserve">bafoue la règle </w:t>
      </w:r>
      <w:r w:rsidRPr="00781B66">
        <w:rPr>
          <w:lang w:val="fr-CA"/>
        </w:rPr>
        <w:t>d</w:t>
      </w:r>
      <w:r>
        <w:rPr>
          <w:lang w:val="fr-CA"/>
        </w:rPr>
        <w:t xml:space="preserve">u </w:t>
      </w:r>
      <w:r w:rsidRPr="007E2099">
        <w:rPr>
          <w:i/>
          <w:lang w:val="fr-CA"/>
        </w:rPr>
        <w:t>stare decisis</w:t>
      </w:r>
      <w:r>
        <w:rPr>
          <w:lang w:val="fr-CA"/>
        </w:rPr>
        <w:t xml:space="preserve"> </w:t>
      </w:r>
      <w:r w:rsidRPr="00781B66">
        <w:rPr>
          <w:lang w:val="fr-CA"/>
        </w:rPr>
        <w:t>qui interdit aux tribunaux d’écarte</w:t>
      </w:r>
      <w:r w:rsidR="009A4F5D">
        <w:rPr>
          <w:lang w:val="fr-CA"/>
        </w:rPr>
        <w:t xml:space="preserve">r des décisions antérieures qui </w:t>
      </w:r>
      <w:r w:rsidRPr="00781B66">
        <w:rPr>
          <w:lang w:val="fr-CA"/>
        </w:rPr>
        <w:t xml:space="preserve">représentent simplement une solution à laquelle la formation actuelle ne souscrit </w:t>
      </w:r>
      <w:r w:rsidRPr="000C3168">
        <w:rPr>
          <w:lang w:val="fr-CA"/>
        </w:rPr>
        <w:t>pas. L’approche de</w:t>
      </w:r>
      <w:r w:rsidRPr="00781B66">
        <w:rPr>
          <w:lang w:val="fr-CA"/>
        </w:rPr>
        <w:t xml:space="preserve"> la majorité risque également de </w:t>
      </w:r>
      <w:r>
        <w:rPr>
          <w:lang w:val="fr-CA"/>
        </w:rPr>
        <w:t xml:space="preserve">bousculer </w:t>
      </w:r>
      <w:r w:rsidRPr="00781B66">
        <w:rPr>
          <w:lang w:val="fr-CA"/>
        </w:rPr>
        <w:t>les interprétations établies de nombreuses lois prévo</w:t>
      </w:r>
      <w:r>
        <w:rPr>
          <w:lang w:val="fr-CA"/>
        </w:rPr>
        <w:t xml:space="preserve">yant </w:t>
      </w:r>
      <w:r w:rsidRPr="00781B66">
        <w:rPr>
          <w:lang w:val="fr-CA"/>
        </w:rPr>
        <w:t xml:space="preserve">un droit </w:t>
      </w:r>
      <w:r w:rsidRPr="000C3168">
        <w:rPr>
          <w:lang w:val="fr-CA"/>
        </w:rPr>
        <w:t xml:space="preserve">d’appel; </w:t>
      </w:r>
      <w:r w:rsidRPr="00781B66">
        <w:rPr>
          <w:lang w:val="fr-CA"/>
        </w:rPr>
        <w:t xml:space="preserve">chaque interprétation existante de ces lois qui a été confirmée en appliquant la norme de contrôle de la décision </w:t>
      </w:r>
      <w:r w:rsidRPr="00D22FEB">
        <w:rPr>
          <w:lang w:val="fr-CA"/>
        </w:rPr>
        <w:t xml:space="preserve">raisonnable sera susceptible d’être remise en question. Par ailleurs, si la Cour s’était, dans ses décisions antérieures, méprise sur l’objet des </w:t>
      </w:r>
      <w:r>
        <w:rPr>
          <w:lang w:val="fr-CA"/>
        </w:rPr>
        <w:t>dispositions</w:t>
      </w:r>
      <w:r w:rsidRPr="00D22FEB">
        <w:rPr>
          <w:lang w:val="fr-CA"/>
        </w:rPr>
        <w:t xml:space="preserve"> d’appel prévues par la loi, il aurait alors été loisible aux législat</w:t>
      </w:r>
      <w:r w:rsidR="00BC4E9C">
        <w:rPr>
          <w:lang w:val="fr-CA"/>
        </w:rPr>
        <w:t>eurs</w:t>
      </w:r>
      <w:r w:rsidRPr="00D22FEB">
        <w:rPr>
          <w:lang w:val="fr-CA"/>
        </w:rPr>
        <w:t xml:space="preserve"> de clarifier cette interprétation au moyen d’une modification législative. En l’absence d’intervention du législateur, les arguments militant en faveur du renversement des décisions antérieures sont encore moins con</w:t>
      </w:r>
      <w:r w:rsidR="009A4F5D">
        <w:rPr>
          <w:lang w:val="fr-CA"/>
        </w:rPr>
        <w:t>vaincants.</w:t>
      </w:r>
    </w:p>
    <w:p w14:paraId="3EC87EC0" w14:textId="72427DC5" w:rsidR="00554A83" w:rsidRPr="008748C5" w:rsidRDefault="00554A83" w:rsidP="00554A83">
      <w:pPr>
        <w:pStyle w:val="SCCNormalDoubleSpacing"/>
        <w:spacing w:after="480"/>
        <w:rPr>
          <w:lang w:val="fr-CA"/>
        </w:rPr>
      </w:pPr>
      <w:r w:rsidRPr="00EA675E">
        <w:rPr>
          <w:lang w:val="fr-CA"/>
        </w:rPr>
        <w:tab/>
        <w:t xml:space="preserve">La Cour devrait fournir des balises supplémentaires quant à la façon de procéder à un contrôle judiciaire fondé sur la norme de la décision raisonnable afin que </w:t>
      </w:r>
      <w:r>
        <w:rPr>
          <w:lang w:val="fr-CA"/>
        </w:rPr>
        <w:t xml:space="preserve">les juges puissent assurer une surveillance minutieuse et concrète du système de justice </w:t>
      </w:r>
      <w:r>
        <w:rPr>
          <w:lang w:val="fr-CA"/>
        </w:rPr>
        <w:lastRenderedPageBreak/>
        <w:t>administrative tout en respectant la légitimité de celui</w:t>
      </w:r>
      <w:r>
        <w:rPr>
          <w:lang w:val="fr-CA"/>
        </w:rPr>
        <w:noBreakHyphen/>
        <w:t xml:space="preserve">ci et le point de vue des décideurs spécialisés de première </w:t>
      </w:r>
      <w:r w:rsidRPr="00E4573D">
        <w:rPr>
          <w:lang w:val="fr-CA"/>
        </w:rPr>
        <w:t>ligne. Toutefois</w:t>
      </w:r>
      <w:r w:rsidRPr="003F1AC6">
        <w:rPr>
          <w:lang w:val="fr-CA"/>
        </w:rPr>
        <w:t xml:space="preserve">, plutôt que de clarifier le rôle que jouent les motifs et de préciser comment on doit les contrôler, la majorité ressuscite la démarche axée sur la recherche d’erreurs qui occupait une place prépondérante dans l’ancienne jurisprudence de la Cour. </w:t>
      </w:r>
      <w:r>
        <w:rPr>
          <w:lang w:val="fr-CA"/>
        </w:rPr>
        <w:t>L</w:t>
      </w:r>
      <w:r w:rsidRPr="00BA607B">
        <w:rPr>
          <w:lang w:val="fr-CA"/>
        </w:rPr>
        <w:t xml:space="preserve">a liste multifactorielle et non limitative des contraintes à la prise de décisions administratives </w:t>
      </w:r>
      <w:r>
        <w:rPr>
          <w:lang w:val="fr-CA"/>
        </w:rPr>
        <w:t xml:space="preserve">dressée </w:t>
      </w:r>
      <w:r w:rsidRPr="00BA607B">
        <w:rPr>
          <w:lang w:val="fr-CA"/>
        </w:rPr>
        <w:t xml:space="preserve">par la majorité </w:t>
      </w:r>
      <w:r>
        <w:rPr>
          <w:lang w:val="fr-CA"/>
        </w:rPr>
        <w:t xml:space="preserve">incitera les cours de révision </w:t>
      </w:r>
      <w:r w:rsidRPr="00BA607B">
        <w:rPr>
          <w:lang w:val="fr-CA"/>
        </w:rPr>
        <w:t xml:space="preserve">à disséquer les motifs administratifs </w:t>
      </w:r>
      <w:r>
        <w:rPr>
          <w:lang w:val="fr-CA"/>
        </w:rPr>
        <w:t xml:space="preserve">et à se lancer dans </w:t>
      </w:r>
      <w:r w:rsidRPr="00BA607B">
        <w:rPr>
          <w:color w:val="000000"/>
          <w:shd w:val="clear" w:color="auto" w:fill="FFFFFF"/>
          <w:lang w:val="fr-CA"/>
        </w:rPr>
        <w:t xml:space="preserve">une chasse au trésor, phrase par phrase, à la recherche d’une </w:t>
      </w:r>
      <w:r w:rsidRPr="00EA675E">
        <w:rPr>
          <w:color w:val="000000"/>
          <w:shd w:val="clear" w:color="auto" w:fill="FFFFFF"/>
          <w:lang w:val="fr-CA"/>
        </w:rPr>
        <w:t>erreur</w:t>
      </w:r>
      <w:r w:rsidRPr="00EA675E">
        <w:rPr>
          <w:lang w:val="fr-CA"/>
        </w:rPr>
        <w:t>. En pratique</w:t>
      </w:r>
      <w:r w:rsidR="009A4F5D">
        <w:rPr>
          <w:lang w:val="fr-CA"/>
        </w:rPr>
        <w:t xml:space="preserve">, ces contraintes </w:t>
      </w:r>
      <w:r>
        <w:rPr>
          <w:lang w:val="fr-CA"/>
        </w:rPr>
        <w:t xml:space="preserve">risquent de se transformer en un vaste catalogue </w:t>
      </w:r>
      <w:r w:rsidRPr="00BA607B">
        <w:rPr>
          <w:lang w:val="fr-CA"/>
        </w:rPr>
        <w:t>d</w:t>
      </w:r>
      <w:r>
        <w:rPr>
          <w:lang w:val="fr-CA"/>
        </w:rPr>
        <w:t>’</w:t>
      </w:r>
      <w:r w:rsidRPr="00BA607B">
        <w:rPr>
          <w:lang w:val="fr-CA"/>
        </w:rPr>
        <w:t xml:space="preserve">erreurs hypothétiques </w:t>
      </w:r>
      <w:r>
        <w:rPr>
          <w:lang w:val="fr-CA"/>
        </w:rPr>
        <w:t xml:space="preserve">qui peuvent servir à </w:t>
      </w:r>
      <w:r w:rsidRPr="00BA607B">
        <w:rPr>
          <w:lang w:val="fr-CA"/>
        </w:rPr>
        <w:t>justifier l</w:t>
      </w:r>
      <w:r>
        <w:rPr>
          <w:lang w:val="fr-CA"/>
        </w:rPr>
        <w:t>’</w:t>
      </w:r>
      <w:r w:rsidRPr="00BA607B">
        <w:rPr>
          <w:lang w:val="fr-CA"/>
        </w:rPr>
        <w:t>annulation d</w:t>
      </w:r>
      <w:r>
        <w:rPr>
          <w:lang w:val="fr-CA"/>
        </w:rPr>
        <w:t>’</w:t>
      </w:r>
      <w:r w:rsidRPr="00BA607B">
        <w:rPr>
          <w:lang w:val="fr-CA"/>
        </w:rPr>
        <w:t xml:space="preserve">une décision </w:t>
      </w:r>
      <w:r w:rsidRPr="00EA675E">
        <w:rPr>
          <w:lang w:val="fr-CA"/>
        </w:rPr>
        <w:t xml:space="preserve">administrative. Cette façon de structurer le contrôle selon la norme de la décision raisonnable astreint effectivement les décideurs administratifs à une norme de justification plus exigeante que celle qui s’applique aux juges de première instance. </w:t>
      </w:r>
      <w:r w:rsidRPr="008748C5">
        <w:rPr>
          <w:lang w:val="fr-CA"/>
        </w:rPr>
        <w:t xml:space="preserve">Cette approche sape la déférence. Le contrôle judiciaire selon la norme de la </w:t>
      </w:r>
      <w:r w:rsidR="00062858">
        <w:rPr>
          <w:lang w:val="fr-CA"/>
        </w:rPr>
        <w:t>décision raisonnable</w:t>
      </w:r>
      <w:r w:rsidRPr="008748C5">
        <w:rPr>
          <w:lang w:val="fr-CA"/>
        </w:rPr>
        <w:t xml:space="preserve"> devrait plutôt être centré sur le principe de la </w:t>
      </w:r>
      <w:r w:rsidRPr="008748C5">
        <w:rPr>
          <w:iCs/>
          <w:lang w:val="fr-CA"/>
        </w:rPr>
        <w:t>déférence</w:t>
      </w:r>
      <w:r w:rsidRPr="008748C5">
        <w:rPr>
          <w:lang w:val="fr-CA"/>
        </w:rPr>
        <w:t xml:space="preserve"> </w:t>
      </w:r>
      <w:r>
        <w:rPr>
          <w:lang w:val="fr-CA"/>
        </w:rPr>
        <w:t xml:space="preserve">à l’égard des décideurs administratifs et de l’intention du législateur de leur confier </w:t>
      </w:r>
      <w:r w:rsidRPr="003F46AC">
        <w:rPr>
          <w:lang w:val="fr-CA"/>
        </w:rPr>
        <w:t>un mandat. La</w:t>
      </w:r>
      <w:r w:rsidRPr="008748C5">
        <w:rPr>
          <w:lang w:val="fr-CA"/>
        </w:rPr>
        <w:t xml:space="preserve"> retenue judiciaire est </w:t>
      </w:r>
      <w:r w:rsidRPr="00AC4548">
        <w:rPr>
          <w:iCs/>
          <w:lang w:val="fr-CA"/>
        </w:rPr>
        <w:t>la</w:t>
      </w:r>
      <w:r w:rsidRPr="008748C5">
        <w:rPr>
          <w:i/>
          <w:iCs/>
          <w:lang w:val="fr-CA"/>
        </w:rPr>
        <w:t xml:space="preserve"> </w:t>
      </w:r>
      <w:r w:rsidRPr="008748C5">
        <w:rPr>
          <w:lang w:val="fr-CA"/>
        </w:rPr>
        <w:t>marque distinctive du contrôle selon la norme de la décision raisonnable et ce qui le distingue de la norme de la décision correcte, laquelle permet à la cour de substituer son opinion à c</w:t>
      </w:r>
      <w:r w:rsidR="009A4F5D">
        <w:rPr>
          <w:lang w:val="fr-CA"/>
        </w:rPr>
        <w:t>elle du décideur administratif.</w:t>
      </w:r>
    </w:p>
    <w:p w14:paraId="2CB367EA" w14:textId="5BA837C8" w:rsidR="00554A83" w:rsidRPr="00511413" w:rsidRDefault="00554A83" w:rsidP="00554A83">
      <w:pPr>
        <w:pStyle w:val="SCCNormalDoubleSpacing"/>
        <w:spacing w:after="480"/>
        <w:rPr>
          <w:lang w:val="fr-CA"/>
        </w:rPr>
      </w:pPr>
      <w:r w:rsidRPr="00D1665F">
        <w:rPr>
          <w:lang w:val="fr-CA"/>
        </w:rPr>
        <w:tab/>
        <w:t xml:space="preserve">Le principe de la déférence soumet à trois exigences les tribunaux qui procèdent à un contrôle selon la norme de la décision raisonnable. </w:t>
      </w:r>
      <w:r w:rsidRPr="007609CA">
        <w:rPr>
          <w:lang w:val="fr-CA"/>
        </w:rPr>
        <w:t xml:space="preserve">D’abord, la </w:t>
      </w:r>
      <w:r w:rsidRPr="00D1665F">
        <w:rPr>
          <w:lang w:val="fr-CA"/>
        </w:rPr>
        <w:t>déférence est l’attitude</w:t>
      </w:r>
      <w:r w:rsidRPr="007609CA">
        <w:rPr>
          <w:lang w:val="fr-CA"/>
        </w:rPr>
        <w:t xml:space="preserve"> </w:t>
      </w:r>
      <w:r w:rsidRPr="00D1665F">
        <w:rPr>
          <w:lang w:val="fr-CA"/>
        </w:rPr>
        <w:t>que la cour de révision doit adopter</w:t>
      </w:r>
      <w:r w:rsidR="007C5915">
        <w:rPr>
          <w:lang w:val="fr-CA"/>
        </w:rPr>
        <w:t xml:space="preserve"> à </w:t>
      </w:r>
      <w:r w:rsidR="007C5915" w:rsidRPr="007C5915">
        <w:rPr>
          <w:lang w:val="fr-CA"/>
        </w:rPr>
        <w:t>l</w:t>
      </w:r>
      <w:r w:rsidR="007C5915">
        <w:rPr>
          <w:lang w:val="fr-CA"/>
        </w:rPr>
        <w:t>’</w:t>
      </w:r>
      <w:r w:rsidRPr="007C5915">
        <w:rPr>
          <w:lang w:val="fr-CA"/>
        </w:rPr>
        <w:t>égard</w:t>
      </w:r>
      <w:r w:rsidRPr="007609CA">
        <w:rPr>
          <w:lang w:val="fr-CA"/>
        </w:rPr>
        <w:t xml:space="preserve"> du décideur </w:t>
      </w:r>
      <w:r w:rsidRPr="00D1665F">
        <w:rPr>
          <w:lang w:val="fr-CA"/>
        </w:rPr>
        <w:t xml:space="preserve">administratif. Le principe de la déférence commande le respect du choix du législateur de confier à des acteurs administratifs plutôt qu’aux cours de justice le soin de rendre </w:t>
      </w:r>
      <w:r w:rsidRPr="00D1665F">
        <w:rPr>
          <w:lang w:val="fr-CA"/>
        </w:rPr>
        <w:lastRenderedPageBreak/>
        <w:t xml:space="preserve">certaines décisions et la reconnaissance du rôle important que jouent les décideurs administratifs, ainsi que de leur expertise </w:t>
      </w:r>
      <w:r>
        <w:rPr>
          <w:lang w:val="fr-CA"/>
        </w:rPr>
        <w:t>spécialisée</w:t>
      </w:r>
      <w:r w:rsidRPr="00D1665F">
        <w:rPr>
          <w:lang w:val="fr-CA"/>
        </w:rPr>
        <w:t xml:space="preserve"> et du cadre institutionnel dans lequel ils évoluent. Les cours de révision doivent également accorder </w:t>
      </w:r>
      <w:r w:rsidRPr="00D1665F">
        <w:rPr>
          <w:color w:val="000000"/>
          <w:shd w:val="clear" w:color="auto" w:fill="FFFFFF"/>
          <w:lang w:val="fr-CA"/>
        </w:rPr>
        <w:t xml:space="preserve">une attention respectueuse aux motifs </w:t>
      </w:r>
      <w:r w:rsidR="009A4F5D">
        <w:rPr>
          <w:color w:val="000000"/>
          <w:shd w:val="clear" w:color="auto" w:fill="FFFFFF"/>
          <w:lang w:val="fr-CA"/>
        </w:rPr>
        <w:t>donnés à l’appui d’une décision</w:t>
      </w:r>
      <w:r w:rsidRPr="00D1665F">
        <w:rPr>
          <w:lang w:val="fr-CA"/>
        </w:rPr>
        <w:t xml:space="preserve"> administrative, s’efforcer sincèrement de comprendre la décision et interpréter la décision de façon équitable et généreuse. En deuxiè</w:t>
      </w:r>
      <w:r w:rsidRPr="007C1905">
        <w:rPr>
          <w:lang w:val="fr-CA"/>
        </w:rPr>
        <w:t xml:space="preserve">me lieu, le principe de la déférence influe sur la façon dont un tribunal formule la question à laquelle il doit répondre et la nature de l’analyse qu’il mènera. </w:t>
      </w:r>
      <w:r w:rsidRPr="007609CA">
        <w:rPr>
          <w:lang w:val="fr-CA"/>
        </w:rPr>
        <w:t>La</w:t>
      </w:r>
      <w:r>
        <w:rPr>
          <w:lang w:val="fr-CA"/>
        </w:rPr>
        <w:t xml:space="preserve"> cour de révision </w:t>
      </w:r>
      <w:r w:rsidRPr="007609CA">
        <w:rPr>
          <w:lang w:val="fr-CA"/>
        </w:rPr>
        <w:t>ne cherche pas à savoir comment elle aurait résolu la question, mais plutôt</w:t>
      </w:r>
      <w:r>
        <w:rPr>
          <w:lang w:val="fr-CA"/>
        </w:rPr>
        <w:t xml:space="preserve"> si</w:t>
      </w:r>
      <w:r w:rsidRPr="007609CA">
        <w:rPr>
          <w:lang w:val="fr-CA"/>
        </w:rPr>
        <w:t xml:space="preserve"> la réponse donnée par le décideur administratif était </w:t>
      </w:r>
      <w:r w:rsidRPr="00511413">
        <w:rPr>
          <w:lang w:val="fr-CA"/>
        </w:rPr>
        <w:t xml:space="preserve">déraisonnable. En fin de compte, la question de savoir si une décision administrative est raisonnable dépend du contexte, et la cour de révision doit tenir compte de toutes les circonstances pertinentes, y compris les motifs invoqués au soutien de la décision, le dossier, le régime législatif et les questions particulières soulevées par le demandeur, parmi d’autres facteurs. Troisièmement, le contrôle fondé sur le principe de la déférence influence la façon dont la cour de révision évalue la contestation dont fait l’objet la décision. </w:t>
      </w:r>
      <w:r>
        <w:rPr>
          <w:lang w:val="fr-CA"/>
        </w:rPr>
        <w:t xml:space="preserve">Il incombe à la partie réclamant le contrôle judiciaire </w:t>
      </w:r>
      <w:r w:rsidRPr="00511413">
        <w:rPr>
          <w:lang w:val="fr-CA"/>
        </w:rPr>
        <w:t xml:space="preserve">de démontrer que la décision </w:t>
      </w:r>
      <w:r>
        <w:rPr>
          <w:lang w:val="fr-CA"/>
        </w:rPr>
        <w:t xml:space="preserve">en cause </w:t>
      </w:r>
      <w:r w:rsidRPr="00511413">
        <w:rPr>
          <w:lang w:val="fr-CA"/>
        </w:rPr>
        <w:t>est déraisonnable; le décideur n</w:t>
      </w:r>
      <w:r>
        <w:rPr>
          <w:lang w:val="fr-CA"/>
        </w:rPr>
        <w:t xml:space="preserve">’a pas à convaincre la cour de justice </w:t>
      </w:r>
      <w:r w:rsidRPr="00511413">
        <w:rPr>
          <w:lang w:val="fr-CA"/>
        </w:rPr>
        <w:t>q</w:t>
      </w:r>
      <w:r w:rsidR="009A4F5D">
        <w:rPr>
          <w:lang w:val="fr-CA"/>
        </w:rPr>
        <w:t>ue sa décision est raisonnable.</w:t>
      </w:r>
    </w:p>
    <w:p w14:paraId="79A63F84" w14:textId="3B0F88DE" w:rsidR="00554A83" w:rsidRPr="00FE582D" w:rsidRDefault="00554A83" w:rsidP="00554A83">
      <w:pPr>
        <w:pStyle w:val="SCCNormalDoubleSpacing"/>
        <w:spacing w:after="480"/>
        <w:rPr>
          <w:lang w:val="fr-CA"/>
        </w:rPr>
      </w:pPr>
      <w:r w:rsidRPr="00D07A08">
        <w:rPr>
          <w:lang w:val="fr-CA"/>
        </w:rPr>
        <w:tab/>
        <w:t xml:space="preserve">La décision administrative est </w:t>
      </w:r>
      <w:r>
        <w:rPr>
          <w:lang w:val="fr-CA"/>
        </w:rPr>
        <w:t xml:space="preserve">en soi </w:t>
      </w:r>
      <w:r w:rsidRPr="00D07A08">
        <w:rPr>
          <w:lang w:val="fr-CA"/>
        </w:rPr>
        <w:t xml:space="preserve">le point de mire du contrôle judiciaire. </w:t>
      </w:r>
      <w:r>
        <w:rPr>
          <w:lang w:val="fr-CA"/>
        </w:rPr>
        <w:t>Dans tous les cas, la question à trancher demeure celle de savoir si la partie qui conteste la décision a démontré que celle</w:t>
      </w:r>
      <w:r>
        <w:rPr>
          <w:lang w:val="fr-CA"/>
        </w:rPr>
        <w:noBreakHyphen/>
        <w:t xml:space="preserve">ci est </w:t>
      </w:r>
      <w:r w:rsidRPr="00FE582D">
        <w:rPr>
          <w:lang w:val="fr-CA"/>
        </w:rPr>
        <w:t xml:space="preserve">déraisonnable. Lorsque le décideur n’est pas tenu de motiver sa décision ou </w:t>
      </w:r>
      <w:r>
        <w:rPr>
          <w:lang w:val="fr-CA"/>
        </w:rPr>
        <w:t>qu’</w:t>
      </w:r>
      <w:r w:rsidRPr="00FE582D">
        <w:rPr>
          <w:lang w:val="fr-CA"/>
        </w:rPr>
        <w:t xml:space="preserve">il est impossible d’obtenir les motifs de la décision, le caractère raisonnable de la décision peut être démontré à l’aide de décisions antérieures de l’organisme administratif ou à la lumière du contexte procédural. </w:t>
      </w:r>
      <w:r>
        <w:rPr>
          <w:lang w:val="fr-CA"/>
        </w:rPr>
        <w:t xml:space="preserve">Pour </w:t>
      </w:r>
      <w:r>
        <w:rPr>
          <w:lang w:val="fr-CA"/>
        </w:rPr>
        <w:lastRenderedPageBreak/>
        <w:t xml:space="preserve">déterminer si le décideur a agi raisonnablement, la cour de révision doit d’abord, cela va de soi, examiner les motifs, s’il en est, qui ont été </w:t>
      </w:r>
      <w:r w:rsidRPr="00FE582D">
        <w:rPr>
          <w:lang w:val="fr-CA"/>
        </w:rPr>
        <w:t>exposés. En se</w:t>
      </w:r>
      <w:r>
        <w:rPr>
          <w:lang w:val="fr-CA"/>
        </w:rPr>
        <w:t xml:space="preserve"> penchant d’abord sur les motifs de la décision, à la lumière du contexte qui l’entoure et des arguments invoqués pour la contester, la cour de révision procède à un </w:t>
      </w:r>
      <w:r w:rsidRPr="00D07A08">
        <w:rPr>
          <w:lang w:val="fr-CA"/>
        </w:rPr>
        <w:t>véritable contrôle tout en respectant la légitimité du processus décisionnel des autorités administratives</w:t>
      </w:r>
      <w:r>
        <w:rPr>
          <w:lang w:val="fr-CA"/>
        </w:rPr>
        <w:t xml:space="preserve"> </w:t>
      </w:r>
      <w:r w:rsidRPr="00D07A08">
        <w:rPr>
          <w:lang w:val="fr-CA"/>
        </w:rPr>
        <w:t>spécialisées. Les cours de</w:t>
      </w:r>
      <w:r>
        <w:rPr>
          <w:lang w:val="fr-CA"/>
        </w:rPr>
        <w:t xml:space="preserve"> révision devraient aborder les motifs dans un esprit de respect envers les </w:t>
      </w:r>
      <w:r w:rsidRPr="00D07A08">
        <w:rPr>
          <w:lang w:val="fr-CA"/>
        </w:rPr>
        <w:t xml:space="preserve">décideurs spécialisés, le rôle important qui leur a été confié et le contexte institutionnel choisi par le législateur. Elles devraient se garder de reconsidérer les incidences concrètes, les difficultés d’ordre pratique </w:t>
      </w:r>
      <w:r>
        <w:rPr>
          <w:lang w:val="fr-CA"/>
        </w:rPr>
        <w:t>de même que</w:t>
      </w:r>
      <w:r w:rsidRPr="00D07A08">
        <w:rPr>
          <w:lang w:val="fr-CA"/>
        </w:rPr>
        <w:t xml:space="preserve"> les connaissances de terrain</w:t>
      </w:r>
      <w:r>
        <w:rPr>
          <w:lang w:val="fr-CA"/>
        </w:rPr>
        <w:t>,</w:t>
      </w:r>
      <w:r w:rsidRPr="00D07A08">
        <w:rPr>
          <w:lang w:val="fr-CA"/>
        </w:rPr>
        <w:t xml:space="preserve"> et demeurer attentives aux concepts ou termes spécialisés. De plus, l’examen qu’effectue la cour de révision ne se limite pas à la teneur même des motifs écrits de la décision; lorsqu’elle constate l’existence d’une lacune dans les motifs, la cour doit examiner</w:t>
      </w:r>
      <w:r>
        <w:rPr>
          <w:lang w:val="fr-CA"/>
        </w:rPr>
        <w:t xml:space="preserve"> d’autres documents </w:t>
      </w:r>
      <w:r w:rsidRPr="00D07A08">
        <w:rPr>
          <w:lang w:val="fr-CA"/>
        </w:rPr>
        <w:t>pour savoir s’il</w:t>
      </w:r>
      <w:r>
        <w:rPr>
          <w:lang w:val="fr-CA"/>
        </w:rPr>
        <w:t>s</w:t>
      </w:r>
      <w:r w:rsidRPr="00D07A08">
        <w:rPr>
          <w:lang w:val="fr-CA"/>
        </w:rPr>
        <w:t xml:space="preserve"> permet</w:t>
      </w:r>
      <w:r>
        <w:rPr>
          <w:lang w:val="fr-CA"/>
        </w:rPr>
        <w:t>tent</w:t>
      </w:r>
      <w:r w:rsidRPr="00D07A08">
        <w:rPr>
          <w:lang w:val="fr-CA"/>
        </w:rPr>
        <w:t xml:space="preserve"> de mieux co</w:t>
      </w:r>
      <w:r w:rsidR="009A4F5D">
        <w:rPr>
          <w:lang w:val="fr-CA"/>
        </w:rPr>
        <w:t>mprendre la décision, y compris </w:t>
      </w:r>
      <w:r w:rsidRPr="00D07A08">
        <w:rPr>
          <w:lang w:val="fr-CA"/>
        </w:rPr>
        <w:t xml:space="preserve">: le dossier des actes de procédure officiels, les documents portés à l’attention du décideur, les décisions antérieures de l’organisme administratif, ainsi que les politiques ou lignes directrices élaborées pour l’aider dans sa démarche. </w:t>
      </w:r>
      <w:r>
        <w:rPr>
          <w:lang w:val="fr-CA"/>
        </w:rPr>
        <w:t xml:space="preserve">Ces </w:t>
      </w:r>
      <w:r w:rsidRPr="0030200D">
        <w:rPr>
          <w:lang w:val="fr-CA"/>
        </w:rPr>
        <w:t xml:space="preserve">documents pourraient aider un tribunal à comprendre le résultat. Voilà comment les cours de révision peuvent légitimement compléter les motifs écrits sans supplanter l’analyse. </w:t>
      </w:r>
      <w:r>
        <w:rPr>
          <w:lang w:val="fr-CA"/>
        </w:rPr>
        <w:t xml:space="preserve">Les motifs doivent être examinés en corrélation avec le résultat afin de savoir si celui-ci fait partie des issues </w:t>
      </w:r>
      <w:r w:rsidRPr="00FE582D">
        <w:rPr>
          <w:lang w:val="fr-CA"/>
        </w:rPr>
        <w:t>possibles. Cette approche privilégie le fond plutôt que la forme dans les situations où le fondement de la décision est évident au vu du dossier, mais n’est pas exposé cla</w:t>
      </w:r>
      <w:r w:rsidR="009A4F5D">
        <w:rPr>
          <w:lang w:val="fr-CA"/>
        </w:rPr>
        <w:t>irement dans les motifs écrits.</w:t>
      </w:r>
    </w:p>
    <w:p w14:paraId="79DF9E0A" w14:textId="22C8EB16" w:rsidR="00554A83" w:rsidRPr="00AF0D42" w:rsidRDefault="00554A83" w:rsidP="00554A83">
      <w:pPr>
        <w:pStyle w:val="SCCNormalDoubleSpacing"/>
        <w:spacing w:after="480"/>
        <w:rPr>
          <w:highlight w:val="yellow"/>
          <w:lang w:val="fr-CA"/>
        </w:rPr>
      </w:pPr>
      <w:r w:rsidRPr="001D1817">
        <w:rPr>
          <w:lang w:val="fr-CA"/>
        </w:rPr>
        <w:tab/>
        <w:t>De plus,</w:t>
      </w:r>
      <w:r>
        <w:rPr>
          <w:lang w:val="fr-CA"/>
        </w:rPr>
        <w:t xml:space="preserve"> lors d’un c</w:t>
      </w:r>
      <w:r w:rsidRPr="00A333C0">
        <w:rPr>
          <w:lang w:val="fr-CA"/>
        </w:rPr>
        <w:t>ontrôle fondé sur le principe de la déférence</w:t>
      </w:r>
      <w:r>
        <w:rPr>
          <w:lang w:val="fr-CA"/>
        </w:rPr>
        <w:t>,</w:t>
      </w:r>
      <w:r w:rsidRPr="001D1817">
        <w:rPr>
          <w:lang w:val="fr-CA"/>
        </w:rPr>
        <w:t xml:space="preserve"> la cour doit examiner les allégations d’erreur avec prudence, en tenant compte du contexte et </w:t>
      </w:r>
      <w:r w:rsidRPr="001D1817">
        <w:rPr>
          <w:lang w:val="fr-CA"/>
        </w:rPr>
        <w:lastRenderedPageBreak/>
        <w:t xml:space="preserve">de la nécessité d’éviter de substituer son opinion à celle des personnes qui sont habilitées à répondre aux questions en litige et mieux outillées qu’elle pour le faire. </w:t>
      </w:r>
      <w:r>
        <w:rPr>
          <w:lang w:val="fr-CA"/>
        </w:rPr>
        <w:t>Étant donné que le principe de la déférence lui interdit de substituer son opinion à celle du décideur</w:t>
      </w:r>
      <w:r w:rsidRPr="001D1817">
        <w:rPr>
          <w:lang w:val="fr-CA"/>
        </w:rPr>
        <w:t>, la cour de révision doit évaluer</w:t>
      </w:r>
      <w:r>
        <w:rPr>
          <w:lang w:val="fr-CA"/>
        </w:rPr>
        <w:t xml:space="preserve"> avec circonspection les arguments que le demandeur invoque pour contester une décision administrative afin de s’assurer qu’ils concernent le </w:t>
      </w:r>
      <w:r w:rsidRPr="001D1817">
        <w:rPr>
          <w:lang w:val="fr-CA"/>
        </w:rPr>
        <w:t xml:space="preserve">caractère </w:t>
      </w:r>
      <w:r w:rsidRPr="001D1817">
        <w:rPr>
          <w:iCs/>
          <w:lang w:val="fr-CA"/>
        </w:rPr>
        <w:t>raisonnable</w:t>
      </w:r>
      <w:r>
        <w:rPr>
          <w:lang w:val="fr-CA"/>
        </w:rPr>
        <w:t xml:space="preserve"> de celle</w:t>
      </w:r>
      <w:r w:rsidRPr="001D1817">
        <w:rPr>
          <w:lang w:val="fr-CA"/>
        </w:rPr>
        <w:noBreakHyphen/>
        <w:t>ci et</w:t>
      </w:r>
      <w:r>
        <w:rPr>
          <w:lang w:val="fr-CA"/>
        </w:rPr>
        <w:t xml:space="preserve"> ne relèvent pas d’</w:t>
      </w:r>
      <w:r w:rsidRPr="001D1817">
        <w:rPr>
          <w:lang w:val="fr-CA"/>
        </w:rPr>
        <w:t>une simple divergence</w:t>
      </w:r>
      <w:r w:rsidRPr="00D16D95">
        <w:rPr>
          <w:lang w:val="fr-CA"/>
        </w:rPr>
        <w:t xml:space="preserve"> </w:t>
      </w:r>
      <w:r w:rsidRPr="00BC0F73">
        <w:rPr>
          <w:lang w:val="fr-CA"/>
        </w:rPr>
        <w:t xml:space="preserve">d’opinions. Les tribunaux doivent également tenir compte de la </w:t>
      </w:r>
      <w:r w:rsidRPr="0012657C">
        <w:rPr>
          <w:iCs/>
          <w:lang w:val="fr-CA"/>
        </w:rPr>
        <w:t>gravité</w:t>
      </w:r>
      <w:r w:rsidRPr="00BC0F73">
        <w:rPr>
          <w:i/>
          <w:iCs/>
          <w:lang w:val="fr-CA"/>
        </w:rPr>
        <w:t xml:space="preserve"> </w:t>
      </w:r>
      <w:r w:rsidRPr="00BC0F73">
        <w:rPr>
          <w:lang w:val="fr-CA"/>
        </w:rPr>
        <w:t xml:space="preserve">des erreurs </w:t>
      </w:r>
      <w:r>
        <w:rPr>
          <w:lang w:val="fr-CA"/>
        </w:rPr>
        <w:t>reprochées</w:t>
      </w:r>
      <w:r w:rsidRPr="00BC0F73">
        <w:rPr>
          <w:lang w:val="fr-CA"/>
        </w:rPr>
        <w:t xml:space="preserve">. </w:t>
      </w:r>
      <w:r>
        <w:rPr>
          <w:lang w:val="fr-CA"/>
        </w:rPr>
        <w:t xml:space="preserve">Une erreur </w:t>
      </w:r>
      <w:r w:rsidRPr="00BC0F73">
        <w:rPr>
          <w:lang w:val="fr-CA"/>
        </w:rPr>
        <w:t>secondaire au regard du raisonnement ne suffit pas à justifier l’annulation d’une décision. Ils doivent conserver la même attitude de déférence lorsqu’ils interprètent une disposition législative. Dans ce genre de cas, la cour de révision ne devrait pas évaluer la décision en tentant de déterminer l’interprétation qui, à son avis, serait raisonnable. Pareille a</w:t>
      </w:r>
      <w:r>
        <w:rPr>
          <w:lang w:val="fr-CA"/>
        </w:rPr>
        <w:t xml:space="preserve">pproche met en péril la </w:t>
      </w:r>
      <w:r w:rsidRPr="00B836F2">
        <w:rPr>
          <w:lang w:val="fr-CA"/>
        </w:rPr>
        <w:t>déférence. Une interprétation</w:t>
      </w:r>
      <w:r>
        <w:rPr>
          <w:lang w:val="fr-CA"/>
        </w:rPr>
        <w:t xml:space="preserve"> </w:t>
      </w:r>
      <w:r w:rsidRPr="00770A8D">
        <w:rPr>
          <w:i/>
          <w:lang w:val="fr-CA"/>
        </w:rPr>
        <w:t xml:space="preserve">de novo </w:t>
      </w:r>
      <w:r w:rsidRPr="00B836F2">
        <w:rPr>
          <w:lang w:val="fr-CA"/>
        </w:rPr>
        <w:t xml:space="preserve">d’une loi occulte nécessairement le point de vue de l’organisme administratif spécialisé qui applique régulièrement le régime législatif en question. </w:t>
      </w:r>
      <w:r>
        <w:rPr>
          <w:lang w:val="fr-CA"/>
        </w:rPr>
        <w:t xml:space="preserve">En plaçant ce point de vue au cœur de leur analyse, les cours de justice témoignent de leur respect à l’endroit des compétences et connaissances spécialisées des organismes administratifs ainsi qu’à l’égard du choix du </w:t>
      </w:r>
      <w:r w:rsidRPr="00B836F2">
        <w:rPr>
          <w:lang w:val="fr-CA"/>
        </w:rPr>
        <w:t xml:space="preserve">législateur de déléguer le traitement de certaines questions à des organismes non judiciaires. À l’inverse, en imposant leur propre interprétation d’une </w:t>
      </w:r>
      <w:r>
        <w:rPr>
          <w:lang w:val="fr-CA"/>
        </w:rPr>
        <w:t>loi</w:t>
      </w:r>
      <w:r w:rsidRPr="00B836F2">
        <w:rPr>
          <w:lang w:val="fr-CA"/>
        </w:rPr>
        <w:t xml:space="preserve">, les cours de justice </w:t>
      </w:r>
      <w:r w:rsidRPr="00B836F2">
        <w:rPr>
          <w:iCs/>
          <w:lang w:val="fr-CA"/>
        </w:rPr>
        <w:t>dénaturent</w:t>
      </w:r>
      <w:r w:rsidR="00640672">
        <w:rPr>
          <w:lang w:val="fr-CA"/>
        </w:rPr>
        <w:t xml:space="preserve"> l’intention du législateur.</w:t>
      </w:r>
    </w:p>
    <w:p w14:paraId="12BEE5D7" w14:textId="43365802" w:rsidR="004D7D95" w:rsidRPr="004D7D95" w:rsidRDefault="00554A83" w:rsidP="00554A83">
      <w:pPr>
        <w:pStyle w:val="SCCNormalDoubleSpacing"/>
        <w:spacing w:after="480"/>
        <w:rPr>
          <w:lang w:val="fr-CA"/>
        </w:rPr>
      </w:pPr>
      <w:r w:rsidRPr="00B74926">
        <w:rPr>
          <w:lang w:val="fr-CA"/>
        </w:rPr>
        <w:tab/>
        <w:t xml:space="preserve">En l’espèce, il y a accord avec la majorité </w:t>
      </w:r>
      <w:r>
        <w:rPr>
          <w:lang w:val="fr-CA"/>
        </w:rPr>
        <w:t xml:space="preserve">sur le fait </w:t>
      </w:r>
      <w:r w:rsidRPr="00B74926">
        <w:rPr>
          <w:lang w:val="fr-CA"/>
        </w:rPr>
        <w:t xml:space="preserve">que la norme de contrôle applicable est </w:t>
      </w:r>
      <w:r w:rsidRPr="0066028D">
        <w:rPr>
          <w:lang w:val="fr-CA"/>
        </w:rPr>
        <w:t>celle de la décision raisonnable. La greffière n’a pas répondu à l’argument de V voulant que les objectifs de l’al. 3(2)</w:t>
      </w:r>
      <w:r w:rsidRPr="00BD3103">
        <w:rPr>
          <w:iCs/>
          <w:lang w:val="fr-CA"/>
        </w:rPr>
        <w:t>a)</w:t>
      </w:r>
      <w:r w:rsidRPr="0066028D">
        <w:rPr>
          <w:lang w:val="fr-CA"/>
        </w:rPr>
        <w:t xml:space="preserve"> de la </w:t>
      </w:r>
      <w:r w:rsidRPr="0066028D">
        <w:rPr>
          <w:i/>
          <w:lang w:val="fr-CA"/>
        </w:rPr>
        <w:t>Loi sur la citoyenneté</w:t>
      </w:r>
      <w:r w:rsidRPr="0066028D">
        <w:rPr>
          <w:lang w:val="fr-CA"/>
        </w:rPr>
        <w:t xml:space="preserve"> exigent une interprétation restrictive de ses termes. </w:t>
      </w:r>
      <w:r>
        <w:rPr>
          <w:lang w:val="fr-CA"/>
        </w:rPr>
        <w:t>Au contraire, l</w:t>
      </w:r>
      <w:r w:rsidRPr="00325BD9">
        <w:rPr>
          <w:lang w:val="fr-CA"/>
        </w:rPr>
        <w:t xml:space="preserve">a greffière a donné </w:t>
      </w:r>
      <w:r w:rsidRPr="00325BD9">
        <w:rPr>
          <w:lang w:val="fr-CA"/>
        </w:rPr>
        <w:lastRenderedPageBreak/>
        <w:t xml:space="preserve">une interprétation </w:t>
      </w:r>
      <w:r w:rsidRPr="0066028D">
        <w:rPr>
          <w:lang w:val="fr-CA"/>
        </w:rPr>
        <w:t>large à l’al. 3(2)</w:t>
      </w:r>
      <w:r w:rsidRPr="00BD3103">
        <w:rPr>
          <w:iCs/>
          <w:lang w:val="fr-CA"/>
        </w:rPr>
        <w:t>a)</w:t>
      </w:r>
      <w:r w:rsidRPr="0066028D">
        <w:rPr>
          <w:lang w:val="fr-CA"/>
        </w:rPr>
        <w:t xml:space="preserve"> en se fondant sur une analyse purement textuelle. Cette interprétation n’était raisonnable que si </w:t>
      </w:r>
      <w:r>
        <w:rPr>
          <w:lang w:val="fr-CA"/>
        </w:rPr>
        <w:t>l’on examinait</w:t>
      </w:r>
      <w:r w:rsidRPr="00325BD9">
        <w:rPr>
          <w:lang w:val="fr-CA"/>
        </w:rPr>
        <w:t xml:space="preserve"> le texte en faisant </w:t>
      </w:r>
      <w:r>
        <w:rPr>
          <w:lang w:val="fr-CA"/>
        </w:rPr>
        <w:t>abstraction de son objectif</w:t>
      </w:r>
      <w:r w:rsidRPr="0066028D">
        <w:rPr>
          <w:lang w:val="fr-CA"/>
        </w:rPr>
        <w:t xml:space="preserve">. </w:t>
      </w:r>
      <w:r w:rsidRPr="00325BD9">
        <w:rPr>
          <w:lang w:val="fr-CA"/>
        </w:rPr>
        <w:t>L’historique de la disposition n</w:t>
      </w:r>
      <w:r>
        <w:rPr>
          <w:lang w:val="fr-CA"/>
        </w:rPr>
        <w:t xml:space="preserve">’indique nullement </w:t>
      </w:r>
      <w:r w:rsidRPr="00256831">
        <w:rPr>
          <w:lang w:val="fr-CA"/>
        </w:rPr>
        <w:t xml:space="preserve">que le législateur fédéral avait l’intention d’en élargir le champ </w:t>
      </w:r>
      <w:r w:rsidRPr="0066028D">
        <w:rPr>
          <w:lang w:val="fr-CA"/>
        </w:rPr>
        <w:t xml:space="preserve">d’application. De plus, </w:t>
      </w:r>
      <w:r>
        <w:rPr>
          <w:lang w:val="fr-CA"/>
        </w:rPr>
        <w:t>l</w:t>
      </w:r>
      <w:r w:rsidRPr="0066028D">
        <w:rPr>
          <w:lang w:val="fr-CA"/>
        </w:rPr>
        <w:t xml:space="preserve">a façon dont les tribunaux ont interprété cette disposition </w:t>
      </w:r>
      <w:r>
        <w:rPr>
          <w:lang w:val="fr-CA"/>
        </w:rPr>
        <w:t xml:space="preserve">indique elle aussi qu’il faut lui donner une </w:t>
      </w:r>
      <w:r w:rsidRPr="0066028D">
        <w:rPr>
          <w:lang w:val="fr-CA"/>
        </w:rPr>
        <w:t xml:space="preserve">interprétation restrictive. </w:t>
      </w:r>
      <w:r w:rsidRPr="00256831">
        <w:rPr>
          <w:lang w:val="fr-CA"/>
        </w:rPr>
        <w:t>Qui plus est,</w:t>
      </w:r>
      <w:r>
        <w:rPr>
          <w:lang w:val="fr-CA"/>
        </w:rPr>
        <w:t xml:space="preserve"> le texte de </w:t>
      </w:r>
      <w:r w:rsidRPr="00256831">
        <w:rPr>
          <w:lang w:val="fr-CA"/>
        </w:rPr>
        <w:t>l’al. 3(2)</w:t>
      </w:r>
      <w:r w:rsidRPr="00373E78">
        <w:rPr>
          <w:iCs/>
          <w:lang w:val="fr-CA"/>
        </w:rPr>
        <w:t>c)</w:t>
      </w:r>
      <w:r w:rsidRPr="00373E78">
        <w:rPr>
          <w:lang w:val="fr-CA"/>
        </w:rPr>
        <w:t xml:space="preserve"> peut être perçu comme sapant l’interprétation que la greffière donne de l’al. 3(2)</w:t>
      </w:r>
      <w:r w:rsidRPr="00373E78">
        <w:rPr>
          <w:iCs/>
          <w:lang w:val="fr-CA"/>
        </w:rPr>
        <w:t>a)</w:t>
      </w:r>
      <w:r w:rsidRPr="00373E78">
        <w:rPr>
          <w:lang w:val="fr-CA"/>
        </w:rPr>
        <w:t>, puisque l’al. 3(2)</w:t>
      </w:r>
      <w:r w:rsidRPr="00373E78">
        <w:rPr>
          <w:iCs/>
          <w:lang w:val="fr-CA"/>
        </w:rPr>
        <w:t>c)</w:t>
      </w:r>
      <w:r w:rsidRPr="005638BD">
        <w:rPr>
          <w:lang w:val="fr-CA"/>
        </w:rPr>
        <w:t xml:space="preserve"> nie</w:t>
      </w:r>
      <w:r w:rsidRPr="00256831">
        <w:rPr>
          <w:lang w:val="fr-CA"/>
        </w:rPr>
        <w:t xml:space="preserve"> le droit à la citoyenneté aux enfants nés de personnes bénéficiant de privilèges et immunités </w:t>
      </w:r>
      <w:r w:rsidRPr="005638BD">
        <w:rPr>
          <w:lang w:val="fr-CA"/>
        </w:rPr>
        <w:t>diplomatiques équivalents à</w:t>
      </w:r>
      <w:r w:rsidRPr="00256831">
        <w:rPr>
          <w:lang w:val="fr-CA"/>
        </w:rPr>
        <w:t xml:space="preserve"> ceux dont jouissent les personnes visées</w:t>
      </w:r>
      <w:r>
        <w:rPr>
          <w:lang w:val="fr-CA"/>
        </w:rPr>
        <w:t xml:space="preserve"> par </w:t>
      </w:r>
      <w:r w:rsidRPr="0066028D">
        <w:rPr>
          <w:lang w:val="fr-CA"/>
        </w:rPr>
        <w:t>l’al. 3(2</w:t>
      </w:r>
      <w:r w:rsidRPr="005638BD">
        <w:rPr>
          <w:lang w:val="fr-CA"/>
        </w:rPr>
        <w:t>)</w:t>
      </w:r>
      <w:r w:rsidRPr="00373E78">
        <w:rPr>
          <w:iCs/>
          <w:lang w:val="fr-CA"/>
        </w:rPr>
        <w:t>a)</w:t>
      </w:r>
      <w:r w:rsidRPr="00373E78">
        <w:rPr>
          <w:lang w:val="fr-CA"/>
        </w:rPr>
        <w:t>. Ce texte laisse croire que l’al. 3(2)</w:t>
      </w:r>
      <w:r w:rsidRPr="00373E78">
        <w:rPr>
          <w:iCs/>
          <w:lang w:val="fr-CA"/>
        </w:rPr>
        <w:t>a)</w:t>
      </w:r>
      <w:r w:rsidRPr="00256831">
        <w:rPr>
          <w:lang w:val="fr-CA"/>
        </w:rPr>
        <w:t xml:space="preserve"> </w:t>
      </w:r>
      <w:r w:rsidRPr="00050FEF">
        <w:rPr>
          <w:lang w:val="fr-CA"/>
        </w:rPr>
        <w:t>ne vise donc que les</w:t>
      </w:r>
      <w:r w:rsidRPr="00256831">
        <w:rPr>
          <w:lang w:val="fr-CA"/>
        </w:rPr>
        <w:t xml:space="preserve"> personnes au service au Canada d’un gouvernement étranger qui jouissent de</w:t>
      </w:r>
      <w:r>
        <w:rPr>
          <w:lang w:val="fr-CA"/>
        </w:rPr>
        <w:t xml:space="preserve"> tels</w:t>
      </w:r>
      <w:r w:rsidRPr="00256831">
        <w:rPr>
          <w:lang w:val="fr-CA"/>
        </w:rPr>
        <w:t xml:space="preserve"> privilè</w:t>
      </w:r>
      <w:r>
        <w:rPr>
          <w:lang w:val="fr-CA"/>
        </w:rPr>
        <w:t>ges et immunités</w:t>
      </w:r>
      <w:r w:rsidRPr="00050FEF">
        <w:rPr>
          <w:lang w:val="fr-CA"/>
        </w:rPr>
        <w:t xml:space="preserve">, ce qui n’est pas le cas des parents de V. </w:t>
      </w:r>
      <w:r>
        <w:rPr>
          <w:lang w:val="fr-CA"/>
        </w:rPr>
        <w:t>L</w:t>
      </w:r>
      <w:r w:rsidRPr="00050FEF">
        <w:rPr>
          <w:lang w:val="fr-CA"/>
        </w:rPr>
        <w:t>a décision de la greffière était déraisonnable</w:t>
      </w:r>
      <w:r>
        <w:rPr>
          <w:lang w:val="fr-CA"/>
        </w:rPr>
        <w:t xml:space="preserve">, vu qu’elle </w:t>
      </w:r>
      <w:r w:rsidR="00640672">
        <w:rPr>
          <w:lang w:val="fr-CA"/>
        </w:rPr>
        <w:t>fait fi des objectifs de l’art. </w:t>
      </w:r>
      <w:r>
        <w:rPr>
          <w:lang w:val="fr-CA"/>
        </w:rPr>
        <w:t>3 dans son ensemble</w:t>
      </w:r>
      <w:r w:rsidRPr="00050FEF">
        <w:rPr>
          <w:lang w:val="fr-CA"/>
        </w:rPr>
        <w:t>.</w:t>
      </w:r>
    </w:p>
    <w:p w14:paraId="4084147D" w14:textId="77777777" w:rsidR="00B97357" w:rsidRDefault="004D7D95" w:rsidP="00067295">
      <w:pPr>
        <w:pStyle w:val="SCCNormalDoubleSpacing"/>
        <w:spacing w:after="720" w:line="240" w:lineRule="auto"/>
        <w:rPr>
          <w:b/>
          <w:lang w:val="fr-CA"/>
        </w:rPr>
      </w:pPr>
      <w:r w:rsidRPr="004D7D95">
        <w:rPr>
          <w:b/>
          <w:lang w:val="fr-CA"/>
        </w:rPr>
        <w:t>Jurisprudence</w:t>
      </w:r>
    </w:p>
    <w:p w14:paraId="2612DFC5" w14:textId="77777777" w:rsidR="00B97357" w:rsidRPr="000571F8" w:rsidRDefault="00B97357" w:rsidP="00067295">
      <w:pPr>
        <w:pStyle w:val="SCCNormalDoubleSpacing"/>
        <w:spacing w:after="720" w:line="240" w:lineRule="auto"/>
        <w:rPr>
          <w:lang w:val="fr-CA"/>
        </w:rPr>
      </w:pPr>
      <w:r w:rsidRPr="00B97357">
        <w:rPr>
          <w:lang w:val="fr-CA"/>
        </w:rPr>
        <w:t>Citée par le juge en chef</w:t>
      </w:r>
      <w:r>
        <w:rPr>
          <w:lang w:val="fr-CA"/>
        </w:rPr>
        <w:t xml:space="preserve"> Wagner</w:t>
      </w:r>
      <w:r w:rsidR="000571F8">
        <w:rPr>
          <w:lang w:val="fr-CA"/>
        </w:rPr>
        <w:t xml:space="preserve"> et les juges Moldaver, Gascon, Côté, Brown, Rowe et Martin</w:t>
      </w:r>
    </w:p>
    <w:p w14:paraId="3D1F52AC" w14:textId="7FEC929D" w:rsidR="00E80457" w:rsidRPr="00CB29EE" w:rsidRDefault="004D7D95" w:rsidP="00067295">
      <w:pPr>
        <w:pStyle w:val="SCCNormalDoubleSpacing"/>
        <w:spacing w:after="480"/>
        <w:rPr>
          <w:noProof/>
          <w:lang w:val="fr-CA" w:bidi="en-US"/>
        </w:rPr>
      </w:pPr>
      <w:r w:rsidRPr="004D7D95">
        <w:rPr>
          <w:lang w:val="fr-CA"/>
        </w:rPr>
        <w:tab/>
      </w:r>
      <w:r w:rsidR="00BF1B1D">
        <w:rPr>
          <w:b/>
          <w:lang w:val="fr-CA"/>
        </w:rPr>
        <w:t>Arrêts examin</w:t>
      </w:r>
      <w:r w:rsidRPr="00181AFE">
        <w:rPr>
          <w:b/>
          <w:lang w:val="fr-CA"/>
        </w:rPr>
        <w:t>és :</w:t>
      </w:r>
      <w:r w:rsidRPr="00181AFE">
        <w:rPr>
          <w:lang w:val="fr-CA"/>
        </w:rPr>
        <w:t xml:space="preserve"> </w:t>
      </w:r>
      <w:r w:rsidR="00BF1B1D" w:rsidRPr="00E80457">
        <w:rPr>
          <w:i/>
          <w:noProof/>
          <w:lang w:val="fr-CA" w:bidi="en-US"/>
        </w:rPr>
        <w:t>Baker c. Canada (Ministre de la Citoyenneté et de l</w:t>
      </w:r>
      <w:r w:rsidR="00BF1B1D">
        <w:rPr>
          <w:i/>
          <w:noProof/>
          <w:lang w:val="fr-CA" w:bidi="en-US"/>
        </w:rPr>
        <w:t>’</w:t>
      </w:r>
      <w:r w:rsidR="00BF1B1D" w:rsidRPr="00E80457">
        <w:rPr>
          <w:i/>
          <w:noProof/>
          <w:lang w:val="fr-CA" w:bidi="en-US"/>
        </w:rPr>
        <w:t>Immigration)</w:t>
      </w:r>
      <w:r w:rsidR="00BF1B1D" w:rsidRPr="00E80457">
        <w:rPr>
          <w:noProof/>
          <w:lang w:val="fr-CA" w:bidi="en-US"/>
        </w:rPr>
        <w:t>,</w:t>
      </w:r>
      <w:r w:rsidR="00BF1B1D" w:rsidRPr="00E80457">
        <w:rPr>
          <w:i/>
          <w:noProof/>
          <w:lang w:val="fr-CA" w:bidi="en-US"/>
        </w:rPr>
        <w:t xml:space="preserve"> </w:t>
      </w:r>
      <w:r w:rsidR="005C7A80">
        <w:rPr>
          <w:noProof/>
          <w:lang w:val="fr-CA" w:bidi="en-US"/>
        </w:rPr>
        <w:t xml:space="preserve">[1999] 2 R.C.S. </w:t>
      </w:r>
      <w:r w:rsidR="00BF1B1D" w:rsidRPr="00E80457">
        <w:rPr>
          <w:noProof/>
          <w:lang w:val="fr-CA" w:bidi="en-US"/>
        </w:rPr>
        <w:t>817;</w:t>
      </w:r>
      <w:r w:rsidR="00BF1B1D" w:rsidRPr="00BF1B1D">
        <w:rPr>
          <w:i/>
          <w:lang w:val="fr-CA"/>
        </w:rPr>
        <w:t xml:space="preserve"> </w:t>
      </w:r>
      <w:r w:rsidR="00BF1B1D" w:rsidRPr="00E80457">
        <w:rPr>
          <w:i/>
          <w:lang w:val="fr-CA"/>
        </w:rPr>
        <w:t xml:space="preserve">Delta Air Lines Inc. </w:t>
      </w:r>
      <w:r w:rsidR="00BF1B1D" w:rsidRPr="00E80457">
        <w:rPr>
          <w:i/>
          <w:iCs/>
          <w:lang w:val="fr-CA"/>
        </w:rPr>
        <w:t>c.</w:t>
      </w:r>
      <w:r w:rsidR="00BF1B1D" w:rsidRPr="00E80457">
        <w:rPr>
          <w:i/>
          <w:lang w:val="fr-CA"/>
        </w:rPr>
        <w:t xml:space="preserve"> Lukács</w:t>
      </w:r>
      <w:r w:rsidR="00BF1B1D" w:rsidRPr="00E80457">
        <w:rPr>
          <w:lang w:val="fr-CA"/>
        </w:rPr>
        <w:t>, 2018 CSC 2, [2018] 1 R.C.S. 6;</w:t>
      </w:r>
      <w:r w:rsidR="00BF1B1D" w:rsidRPr="00BF1B1D">
        <w:rPr>
          <w:i/>
          <w:noProof/>
          <w:szCs w:val="24"/>
          <w:lang w:val="fr-CA"/>
        </w:rPr>
        <w:t xml:space="preserve"> </w:t>
      </w:r>
      <w:r w:rsidR="00BF1B1D" w:rsidRPr="00E80457">
        <w:rPr>
          <w:i/>
          <w:noProof/>
          <w:szCs w:val="24"/>
          <w:lang w:val="fr-CA"/>
        </w:rPr>
        <w:t>Nova Tube Inc./Nova Steel Inc.</w:t>
      </w:r>
      <w:r w:rsidR="00BF1B1D" w:rsidRPr="00E80457">
        <w:rPr>
          <w:noProof/>
          <w:szCs w:val="24"/>
          <w:lang w:val="fr-CA"/>
        </w:rPr>
        <w:t xml:space="preserve"> </w:t>
      </w:r>
      <w:r w:rsidR="00BF1B1D" w:rsidRPr="00E80457">
        <w:rPr>
          <w:i/>
          <w:noProof/>
          <w:szCs w:val="24"/>
          <w:lang w:val="fr-CA"/>
        </w:rPr>
        <w:t>c. Conares Metal Supply Ltd.</w:t>
      </w:r>
      <w:r w:rsidR="005C7A80">
        <w:rPr>
          <w:noProof/>
          <w:szCs w:val="24"/>
          <w:lang w:val="fr-CA"/>
        </w:rPr>
        <w:t xml:space="preserve">, 2019 CAF </w:t>
      </w:r>
      <w:r w:rsidR="00BF1B1D">
        <w:rPr>
          <w:noProof/>
          <w:szCs w:val="24"/>
          <w:lang w:val="fr-CA"/>
        </w:rPr>
        <w:t>52</w:t>
      </w:r>
      <w:r w:rsidR="00BF1B1D" w:rsidRPr="00E80457">
        <w:rPr>
          <w:noProof/>
          <w:lang w:val="fr-CA"/>
        </w:rPr>
        <w:t>;</w:t>
      </w:r>
      <w:r w:rsidR="00BF1B1D" w:rsidRPr="00BF1B1D">
        <w:rPr>
          <w:i/>
          <w:noProof/>
          <w:lang w:val="fr-CA"/>
        </w:rPr>
        <w:t xml:space="preserve"> </w:t>
      </w:r>
      <w:r w:rsidR="005C7A80">
        <w:rPr>
          <w:i/>
          <w:noProof/>
          <w:lang w:val="fr-CA"/>
        </w:rPr>
        <w:t>Al</w:t>
      </w:r>
      <w:r w:rsidR="005C7A80">
        <w:rPr>
          <w:i/>
          <w:noProof/>
          <w:lang w:val="fr-CA"/>
        </w:rPr>
        <w:noBreakHyphen/>
        <w:t xml:space="preserve">Ghamdi c. </w:t>
      </w:r>
      <w:r w:rsidR="00BF1B1D" w:rsidRPr="00E80457">
        <w:rPr>
          <w:i/>
          <w:noProof/>
          <w:lang w:val="fr-CA"/>
        </w:rPr>
        <w:t>Canada (</w:t>
      </w:r>
      <w:r w:rsidR="005C7A80">
        <w:rPr>
          <w:i/>
          <w:noProof/>
          <w:lang w:val="fr-CA"/>
        </w:rPr>
        <w:t xml:space="preserve">Ministre des </w:t>
      </w:r>
      <w:r w:rsidR="00BF1B1D" w:rsidRPr="00E80457">
        <w:rPr>
          <w:i/>
          <w:noProof/>
          <w:lang w:val="fr-CA"/>
        </w:rPr>
        <w:t xml:space="preserve">Affaires étrangères et </w:t>
      </w:r>
      <w:r w:rsidR="005C7A80">
        <w:rPr>
          <w:i/>
          <w:noProof/>
          <w:lang w:val="fr-CA"/>
        </w:rPr>
        <w:t xml:space="preserve">du </w:t>
      </w:r>
      <w:r w:rsidR="00BF1B1D" w:rsidRPr="00E80457">
        <w:rPr>
          <w:i/>
          <w:noProof/>
          <w:lang w:val="fr-CA"/>
        </w:rPr>
        <w:t>Commerce international)</w:t>
      </w:r>
      <w:r w:rsidR="005C7A80">
        <w:rPr>
          <w:noProof/>
          <w:lang w:val="fr-CA"/>
        </w:rPr>
        <w:t xml:space="preserve">, 2007 CF </w:t>
      </w:r>
      <w:r w:rsidR="00BF1B1D">
        <w:rPr>
          <w:noProof/>
          <w:lang w:val="fr-CA"/>
        </w:rPr>
        <w:t>559;</w:t>
      </w:r>
      <w:r w:rsidR="00BF1B1D" w:rsidRPr="00BF1B1D">
        <w:rPr>
          <w:i/>
          <w:noProof/>
          <w:lang w:val="fr-CA"/>
        </w:rPr>
        <w:t xml:space="preserve"> </w:t>
      </w:r>
      <w:r w:rsidR="00BF1B1D" w:rsidRPr="00E80457">
        <w:rPr>
          <w:i/>
          <w:noProof/>
          <w:lang w:val="fr-CA"/>
        </w:rPr>
        <w:t>Lee c. Canada (Ministre de la Citoyenneté et de l</w:t>
      </w:r>
      <w:r w:rsidR="00BF1B1D">
        <w:rPr>
          <w:i/>
          <w:noProof/>
          <w:lang w:val="fr-CA"/>
        </w:rPr>
        <w:t>’</w:t>
      </w:r>
      <w:r w:rsidR="00BF1B1D" w:rsidRPr="00E80457">
        <w:rPr>
          <w:i/>
          <w:noProof/>
          <w:lang w:val="fr-CA"/>
        </w:rPr>
        <w:t>Immigration)</w:t>
      </w:r>
      <w:r w:rsidR="00BF1B1D" w:rsidRPr="00E80457">
        <w:rPr>
          <w:noProof/>
          <w:lang w:val="fr-CA"/>
        </w:rPr>
        <w:t>,</w:t>
      </w:r>
      <w:r w:rsidR="00BF1B1D" w:rsidRPr="00E80457">
        <w:rPr>
          <w:i/>
          <w:noProof/>
          <w:lang w:val="fr-CA"/>
        </w:rPr>
        <w:t xml:space="preserve"> </w:t>
      </w:r>
      <w:r w:rsidR="005C7A80">
        <w:rPr>
          <w:noProof/>
          <w:lang w:val="fr-CA"/>
        </w:rPr>
        <w:t xml:space="preserve">2008 CF </w:t>
      </w:r>
      <w:r w:rsidR="00BF1B1D" w:rsidRPr="00E80457">
        <w:rPr>
          <w:noProof/>
          <w:lang w:val="fr-CA"/>
        </w:rPr>
        <w:t xml:space="preserve">614, [2009] 1 R.C.F. 204; </w:t>
      </w:r>
      <w:r w:rsidR="00BF1B1D" w:rsidRPr="00E80457">
        <w:rPr>
          <w:i/>
          <w:noProof/>
          <w:lang w:val="fr-CA"/>
        </w:rPr>
        <w:t>Hitti c. Canada (Ministre de la Citoyenneté et de l</w:t>
      </w:r>
      <w:r w:rsidR="00BF1B1D">
        <w:rPr>
          <w:i/>
          <w:noProof/>
          <w:lang w:val="fr-CA"/>
        </w:rPr>
        <w:t>’</w:t>
      </w:r>
      <w:r w:rsidR="00BF1B1D" w:rsidRPr="00E80457">
        <w:rPr>
          <w:i/>
          <w:noProof/>
          <w:lang w:val="fr-CA"/>
        </w:rPr>
        <w:t>Immigration)</w:t>
      </w:r>
      <w:r w:rsidR="005C7A80">
        <w:rPr>
          <w:noProof/>
          <w:lang w:val="fr-CA"/>
        </w:rPr>
        <w:t xml:space="preserve">, 2007 </w:t>
      </w:r>
      <w:r w:rsidR="00BF1B1D" w:rsidRPr="00E80457">
        <w:rPr>
          <w:noProof/>
          <w:lang w:val="fr-CA"/>
        </w:rPr>
        <w:t>CF</w:t>
      </w:r>
      <w:r w:rsidR="005C7A80">
        <w:rPr>
          <w:noProof/>
          <w:lang w:val="fr-CA"/>
        </w:rPr>
        <w:t xml:space="preserve"> </w:t>
      </w:r>
      <w:r w:rsidR="00BF1B1D" w:rsidRPr="00E80457">
        <w:rPr>
          <w:noProof/>
          <w:lang w:val="fr-CA"/>
        </w:rPr>
        <w:t>294;</w:t>
      </w:r>
      <w:r w:rsidR="00BF1B1D">
        <w:rPr>
          <w:noProof/>
          <w:lang w:val="fr-CA"/>
        </w:rPr>
        <w:t xml:space="preserve"> </w:t>
      </w:r>
      <w:r w:rsidR="00BF1B1D" w:rsidRPr="00BF1B1D">
        <w:rPr>
          <w:b/>
          <w:noProof/>
          <w:lang w:val="fr-CA"/>
        </w:rPr>
        <w:t>arrêts expliqués :</w:t>
      </w:r>
      <w:r w:rsidR="009C4430" w:rsidRPr="009C4430">
        <w:rPr>
          <w:i/>
          <w:noProof/>
          <w:lang w:val="fr-CA" w:bidi="en-US"/>
        </w:rPr>
        <w:t xml:space="preserve"> </w:t>
      </w:r>
      <w:r w:rsidR="009C4430" w:rsidRPr="00E80457">
        <w:rPr>
          <w:i/>
          <w:noProof/>
          <w:lang w:val="fr-CA" w:bidi="en-US"/>
        </w:rPr>
        <w:t xml:space="preserve">Alberta </w:t>
      </w:r>
      <w:r w:rsidR="009C4430" w:rsidRPr="00E80457">
        <w:rPr>
          <w:i/>
          <w:noProof/>
          <w:lang w:val="fr-CA" w:bidi="en-US"/>
        </w:rPr>
        <w:lastRenderedPageBreak/>
        <w:t>(Information and Privacy Commissioner) c. Alberta Teachers</w:t>
      </w:r>
      <w:r w:rsidR="009C4430">
        <w:rPr>
          <w:i/>
          <w:noProof/>
          <w:lang w:val="fr-CA" w:bidi="en-US"/>
        </w:rPr>
        <w:t>’</w:t>
      </w:r>
      <w:r w:rsidR="009C4430" w:rsidRPr="00E80457">
        <w:rPr>
          <w:i/>
          <w:noProof/>
          <w:lang w:val="fr-CA" w:bidi="en-US"/>
        </w:rPr>
        <w:t xml:space="preserve"> Association</w:t>
      </w:r>
      <w:r w:rsidR="00F45613">
        <w:rPr>
          <w:noProof/>
          <w:lang w:val="fr-CA" w:bidi="en-US"/>
        </w:rPr>
        <w:t xml:space="preserve">, 2011 CSC </w:t>
      </w:r>
      <w:r w:rsidR="009C4430" w:rsidRPr="00E80457">
        <w:rPr>
          <w:noProof/>
          <w:lang w:val="fr-CA" w:bidi="en-US"/>
        </w:rPr>
        <w:t xml:space="preserve">61, </w:t>
      </w:r>
      <w:r w:rsidR="00F45613">
        <w:rPr>
          <w:noProof/>
          <w:lang w:val="fr-CA"/>
        </w:rPr>
        <w:t xml:space="preserve">[2011] 3 </w:t>
      </w:r>
      <w:r w:rsidR="009C4430" w:rsidRPr="00E80457">
        <w:rPr>
          <w:noProof/>
          <w:lang w:val="fr-CA"/>
        </w:rPr>
        <w:t>R.C.S. 654;</w:t>
      </w:r>
      <w:r w:rsidR="009C4430" w:rsidRPr="009C4430">
        <w:rPr>
          <w:i/>
          <w:noProof/>
          <w:lang w:val="fr-CA"/>
        </w:rPr>
        <w:t xml:space="preserve"> </w:t>
      </w:r>
      <w:r w:rsidR="009C4430" w:rsidRPr="00E80457">
        <w:rPr>
          <w:i/>
          <w:noProof/>
          <w:lang w:val="fr-CA"/>
        </w:rPr>
        <w:t>Newfoundland and Labrador Nurses</w:t>
      </w:r>
      <w:r w:rsidR="009C4430">
        <w:rPr>
          <w:i/>
          <w:noProof/>
          <w:lang w:val="fr-CA"/>
        </w:rPr>
        <w:t>’</w:t>
      </w:r>
      <w:r w:rsidR="009C4430" w:rsidRPr="00E80457">
        <w:rPr>
          <w:i/>
          <w:noProof/>
          <w:lang w:val="fr-CA"/>
        </w:rPr>
        <w:t xml:space="preserve"> Union c. Terre</w:t>
      </w:r>
      <w:r w:rsidR="009C4430" w:rsidRPr="00E80457">
        <w:rPr>
          <w:i/>
          <w:noProof/>
          <w:lang w:val="fr-CA"/>
        </w:rPr>
        <w:noBreakHyphen/>
        <w:t>Neuve</w:t>
      </w:r>
      <w:r w:rsidR="009C4430" w:rsidRPr="00E80457">
        <w:rPr>
          <w:i/>
          <w:noProof/>
          <w:lang w:val="fr-CA"/>
        </w:rPr>
        <w:noBreakHyphen/>
        <w:t>et</w:t>
      </w:r>
      <w:r w:rsidR="009C4430" w:rsidRPr="00E80457">
        <w:rPr>
          <w:i/>
          <w:noProof/>
          <w:lang w:val="fr-CA"/>
        </w:rPr>
        <w:noBreakHyphen/>
        <w:t>Labrador (</w:t>
      </w:r>
      <w:r w:rsidR="009C4430">
        <w:rPr>
          <w:i/>
          <w:noProof/>
          <w:lang w:val="fr-CA"/>
        </w:rPr>
        <w:t>Conseil du Trésor</w:t>
      </w:r>
      <w:r w:rsidR="009C4430" w:rsidRPr="00E80457">
        <w:rPr>
          <w:i/>
          <w:noProof/>
          <w:lang w:val="fr-CA"/>
        </w:rPr>
        <w:t>)</w:t>
      </w:r>
      <w:r w:rsidR="00F45613">
        <w:rPr>
          <w:noProof/>
          <w:lang w:val="fr-CA"/>
        </w:rPr>
        <w:t xml:space="preserve">, 2011 </w:t>
      </w:r>
      <w:r w:rsidR="009C4430" w:rsidRPr="00E80457">
        <w:rPr>
          <w:noProof/>
          <w:lang w:val="fr-CA"/>
        </w:rPr>
        <w:t>CSC</w:t>
      </w:r>
      <w:r w:rsidR="00F45613">
        <w:rPr>
          <w:noProof/>
          <w:lang w:val="fr-CA"/>
        </w:rPr>
        <w:t xml:space="preserve"> 62, [2011] 3 </w:t>
      </w:r>
      <w:r w:rsidR="009C4430" w:rsidRPr="00E80457">
        <w:rPr>
          <w:noProof/>
          <w:lang w:val="fr-CA"/>
        </w:rPr>
        <w:t>R.C.S.</w:t>
      </w:r>
      <w:r w:rsidR="00F45613">
        <w:rPr>
          <w:noProof/>
          <w:lang w:val="fr-CA"/>
        </w:rPr>
        <w:t xml:space="preserve"> </w:t>
      </w:r>
      <w:r w:rsidR="009C4430" w:rsidRPr="00E80457">
        <w:rPr>
          <w:noProof/>
          <w:lang w:val="fr-CA"/>
        </w:rPr>
        <w:t>708;</w:t>
      </w:r>
      <w:r w:rsidR="009C4430" w:rsidRPr="00830AA3">
        <w:rPr>
          <w:noProof/>
          <w:lang w:val="fr-CA"/>
        </w:rPr>
        <w:t xml:space="preserve"> </w:t>
      </w:r>
      <w:r w:rsidR="009C4430" w:rsidRPr="00BF1B1D">
        <w:rPr>
          <w:b/>
          <w:noProof/>
          <w:lang w:val="fr-CA"/>
        </w:rPr>
        <w:t>arrê</w:t>
      </w:r>
      <w:r w:rsidR="00187BC4">
        <w:rPr>
          <w:b/>
          <w:noProof/>
          <w:lang w:val="fr-CA"/>
        </w:rPr>
        <w:t>t</w:t>
      </w:r>
      <w:r w:rsidR="009C4430">
        <w:rPr>
          <w:b/>
          <w:noProof/>
          <w:lang w:val="fr-CA"/>
        </w:rPr>
        <w:t xml:space="preserve"> analys</w:t>
      </w:r>
      <w:r w:rsidR="00187BC4">
        <w:rPr>
          <w:b/>
          <w:noProof/>
          <w:lang w:val="fr-CA"/>
        </w:rPr>
        <w:t>é</w:t>
      </w:r>
      <w:r w:rsidR="009C4430" w:rsidRPr="00BF1B1D">
        <w:rPr>
          <w:b/>
          <w:noProof/>
          <w:lang w:val="fr-CA"/>
        </w:rPr>
        <w:t> :</w:t>
      </w:r>
      <w:r w:rsidR="00830AA3" w:rsidRPr="00830AA3">
        <w:rPr>
          <w:i/>
          <w:noProof/>
          <w:lang w:val="fr-CA"/>
        </w:rPr>
        <w:t xml:space="preserve"> </w:t>
      </w:r>
      <w:r w:rsidR="00830AA3" w:rsidRPr="00E80457">
        <w:rPr>
          <w:i/>
          <w:noProof/>
          <w:lang w:val="fr-CA"/>
        </w:rPr>
        <w:t>Dunsmuir c. Nouveau</w:t>
      </w:r>
      <w:r w:rsidR="00830AA3" w:rsidRPr="00E80457">
        <w:rPr>
          <w:i/>
          <w:noProof/>
          <w:lang w:val="fr-CA"/>
        </w:rPr>
        <w:noBreakHyphen/>
        <w:t>Brunswick</w:t>
      </w:r>
      <w:r w:rsidR="00830AA3" w:rsidRPr="00E80457">
        <w:rPr>
          <w:noProof/>
          <w:lang w:val="fr-CA"/>
        </w:rPr>
        <w:t>, 2008</w:t>
      </w:r>
      <w:r w:rsidR="00F45613">
        <w:rPr>
          <w:noProof/>
          <w:lang w:val="fr-CA"/>
        </w:rPr>
        <w:t xml:space="preserve"> </w:t>
      </w:r>
      <w:r w:rsidR="00830AA3" w:rsidRPr="00E80457">
        <w:rPr>
          <w:noProof/>
          <w:lang w:val="fr-CA"/>
        </w:rPr>
        <w:t>CSC</w:t>
      </w:r>
      <w:r w:rsidR="00F45613">
        <w:rPr>
          <w:noProof/>
          <w:lang w:val="fr-CA"/>
        </w:rPr>
        <w:t xml:space="preserve"> 9, [2008] 1 </w:t>
      </w:r>
      <w:r w:rsidR="00830AA3" w:rsidRPr="00E80457">
        <w:rPr>
          <w:noProof/>
          <w:lang w:val="fr-CA"/>
        </w:rPr>
        <w:t>R.C.S.</w:t>
      </w:r>
      <w:r w:rsidR="00F45613">
        <w:rPr>
          <w:noProof/>
          <w:lang w:val="fr-CA"/>
        </w:rPr>
        <w:t xml:space="preserve"> </w:t>
      </w:r>
      <w:r w:rsidR="00830AA3" w:rsidRPr="00E80457">
        <w:rPr>
          <w:noProof/>
          <w:lang w:val="fr-CA"/>
        </w:rPr>
        <w:t>190;</w:t>
      </w:r>
      <w:r w:rsidR="00830AA3" w:rsidRPr="00830AA3">
        <w:rPr>
          <w:b/>
          <w:noProof/>
          <w:lang w:val="fr-CA"/>
        </w:rPr>
        <w:t xml:space="preserve"> </w:t>
      </w:r>
      <w:r w:rsidR="00830AA3" w:rsidRPr="00BF1B1D">
        <w:rPr>
          <w:b/>
          <w:noProof/>
          <w:lang w:val="fr-CA"/>
        </w:rPr>
        <w:t>arrê</w:t>
      </w:r>
      <w:r w:rsidR="00830AA3">
        <w:rPr>
          <w:b/>
          <w:noProof/>
          <w:lang w:val="fr-CA"/>
        </w:rPr>
        <w:t>ts mentionn</w:t>
      </w:r>
      <w:r w:rsidR="00830AA3" w:rsidRPr="00BF1B1D">
        <w:rPr>
          <w:b/>
          <w:noProof/>
          <w:lang w:val="fr-CA"/>
        </w:rPr>
        <w:t>és :</w:t>
      </w:r>
      <w:r w:rsidR="00830AA3" w:rsidRPr="00830AA3">
        <w:rPr>
          <w:i/>
          <w:lang w:val="fr-CA"/>
        </w:rPr>
        <w:t xml:space="preserve"> </w:t>
      </w:r>
      <w:r w:rsidR="00830AA3" w:rsidRPr="00E80457">
        <w:rPr>
          <w:i/>
          <w:lang w:val="fr-CA"/>
        </w:rPr>
        <w:t>Bell</w:t>
      </w:r>
      <w:r w:rsidR="00830AA3" w:rsidRPr="00E80457">
        <w:rPr>
          <w:i/>
          <w:szCs w:val="24"/>
          <w:lang w:val="fr-CA"/>
        </w:rPr>
        <w:t xml:space="preserve"> Canada c. </w:t>
      </w:r>
      <w:r w:rsidR="00830AA3">
        <w:rPr>
          <w:i/>
          <w:szCs w:val="24"/>
          <w:lang w:val="fr-CA"/>
        </w:rPr>
        <w:t>Canada (</w:t>
      </w:r>
      <w:r w:rsidR="00830AA3" w:rsidRPr="00E80457">
        <w:rPr>
          <w:i/>
          <w:szCs w:val="24"/>
          <w:lang w:val="fr-CA"/>
        </w:rPr>
        <w:t>Procureur général</w:t>
      </w:r>
      <w:r w:rsidR="00830AA3">
        <w:rPr>
          <w:i/>
          <w:szCs w:val="24"/>
          <w:lang w:val="fr-CA"/>
        </w:rPr>
        <w:t>)</w:t>
      </w:r>
      <w:r w:rsidR="00830AA3">
        <w:rPr>
          <w:szCs w:val="24"/>
          <w:lang w:val="fr-CA"/>
        </w:rPr>
        <w:t>, 2019 CSC 66</w:t>
      </w:r>
      <w:r w:rsidR="00F45613">
        <w:rPr>
          <w:szCs w:val="24"/>
          <w:lang w:val="fr-CA"/>
        </w:rPr>
        <w:t xml:space="preserve">, [2019] </w:t>
      </w:r>
      <w:r w:rsidR="000C1DE1">
        <w:rPr>
          <w:szCs w:val="24"/>
          <w:lang w:val="fr-CA"/>
        </w:rPr>
        <w:t>4</w:t>
      </w:r>
      <w:r w:rsidR="00F45613">
        <w:rPr>
          <w:szCs w:val="24"/>
          <w:lang w:val="fr-CA"/>
        </w:rPr>
        <w:t xml:space="preserve"> R.C.S. </w:t>
      </w:r>
      <w:r w:rsidR="004F2B0A">
        <w:rPr>
          <w:szCs w:val="24"/>
          <w:lang w:val="fr-CA"/>
        </w:rPr>
        <w:t>845</w:t>
      </w:r>
      <w:r w:rsidR="00830AA3" w:rsidRPr="00E80457">
        <w:rPr>
          <w:szCs w:val="24"/>
          <w:lang w:val="fr-CA"/>
        </w:rPr>
        <w:t>;</w:t>
      </w:r>
      <w:r w:rsidR="00830AA3">
        <w:rPr>
          <w:noProof/>
          <w:lang w:val="fr-CA" w:bidi="en-US"/>
        </w:rPr>
        <w:t xml:space="preserve"> </w:t>
      </w:r>
      <w:r w:rsidR="00E80457" w:rsidRPr="00E80457">
        <w:rPr>
          <w:i/>
          <w:noProof/>
          <w:lang w:val="fr-CA"/>
        </w:rPr>
        <w:t>Mouvement laïque québécois c. Saguenay (Ville)</w:t>
      </w:r>
      <w:r w:rsidR="00F45613">
        <w:rPr>
          <w:noProof/>
          <w:lang w:val="fr-CA"/>
        </w:rPr>
        <w:t xml:space="preserve">, 2015 </w:t>
      </w:r>
      <w:r w:rsidR="00E80457" w:rsidRPr="00E80457">
        <w:rPr>
          <w:noProof/>
          <w:lang w:val="fr-CA"/>
        </w:rPr>
        <w:t>CSC</w:t>
      </w:r>
      <w:r w:rsidR="00F45613">
        <w:rPr>
          <w:noProof/>
          <w:lang w:val="fr-CA"/>
        </w:rPr>
        <w:t xml:space="preserve"> 16, [2015] 2 </w:t>
      </w:r>
      <w:r w:rsidR="00E80457" w:rsidRPr="00E80457">
        <w:rPr>
          <w:noProof/>
          <w:lang w:val="fr-CA"/>
        </w:rPr>
        <w:t>R.C.S.</w:t>
      </w:r>
      <w:r w:rsidR="00F45613">
        <w:rPr>
          <w:noProof/>
          <w:lang w:val="fr-CA"/>
        </w:rPr>
        <w:t xml:space="preserve"> </w:t>
      </w:r>
      <w:r w:rsidR="00E80457" w:rsidRPr="00E80457">
        <w:rPr>
          <w:noProof/>
          <w:lang w:val="fr-CA"/>
        </w:rPr>
        <w:t xml:space="preserve">3; </w:t>
      </w:r>
      <w:r w:rsidR="00E80457" w:rsidRPr="00E80457">
        <w:rPr>
          <w:i/>
          <w:noProof/>
          <w:lang w:val="fr-CA"/>
        </w:rPr>
        <w:t xml:space="preserve">Compagnie des chemins de fer nationaux du Canada c. Canada </w:t>
      </w:r>
      <w:r w:rsidR="00E80457" w:rsidRPr="00E80457">
        <w:rPr>
          <w:i/>
          <w:iCs/>
          <w:noProof/>
          <w:lang w:val="fr-CA"/>
        </w:rPr>
        <w:t>(Procureur général)</w:t>
      </w:r>
      <w:r w:rsidR="00125265">
        <w:rPr>
          <w:noProof/>
          <w:lang w:val="fr-CA"/>
        </w:rPr>
        <w:t xml:space="preserve">, 2014 </w:t>
      </w:r>
      <w:r w:rsidR="00E80457" w:rsidRPr="00E80457">
        <w:rPr>
          <w:noProof/>
          <w:lang w:val="fr-CA"/>
        </w:rPr>
        <w:t>CSC</w:t>
      </w:r>
      <w:r w:rsidR="00125265">
        <w:rPr>
          <w:noProof/>
          <w:lang w:val="fr-CA"/>
        </w:rPr>
        <w:t xml:space="preserve"> 40, [2014] 2 R.C.S. </w:t>
      </w:r>
      <w:r w:rsidR="00E80457" w:rsidRPr="00E80457">
        <w:rPr>
          <w:noProof/>
          <w:lang w:val="fr-CA"/>
        </w:rPr>
        <w:t xml:space="preserve">135; </w:t>
      </w:r>
      <w:r w:rsidR="00E80457" w:rsidRPr="00E80457">
        <w:rPr>
          <w:i/>
          <w:noProof/>
          <w:lang w:val="fr-CA"/>
        </w:rPr>
        <w:t>Front des artistes canadiens</w:t>
      </w:r>
      <w:r w:rsidR="00E80457" w:rsidRPr="00E80457">
        <w:rPr>
          <w:i/>
          <w:iCs/>
          <w:noProof/>
          <w:lang w:val="fr-CA"/>
        </w:rPr>
        <w:t xml:space="preserve"> c. Musée des beaux</w:t>
      </w:r>
      <w:r w:rsidR="00E80457" w:rsidRPr="00E80457">
        <w:rPr>
          <w:i/>
          <w:iCs/>
          <w:noProof/>
          <w:lang w:val="fr-CA"/>
        </w:rPr>
        <w:noBreakHyphen/>
        <w:t>arts du Canada</w:t>
      </w:r>
      <w:r w:rsidR="00E80457" w:rsidRPr="00E80457">
        <w:rPr>
          <w:noProof/>
          <w:lang w:val="fr-CA"/>
        </w:rPr>
        <w:t>, 2014</w:t>
      </w:r>
      <w:r w:rsidR="008567E6">
        <w:rPr>
          <w:noProof/>
          <w:lang w:val="fr-CA"/>
        </w:rPr>
        <w:t xml:space="preserve"> CSC 42, [2014] 2 </w:t>
      </w:r>
      <w:r w:rsidR="00E80457" w:rsidRPr="00E80457">
        <w:rPr>
          <w:noProof/>
          <w:lang w:val="fr-CA"/>
        </w:rPr>
        <w:t>R.C.S.</w:t>
      </w:r>
      <w:r w:rsidR="008567E6">
        <w:rPr>
          <w:noProof/>
          <w:lang w:val="fr-CA"/>
        </w:rPr>
        <w:t xml:space="preserve"> </w:t>
      </w:r>
      <w:r w:rsidR="00E80457" w:rsidRPr="00E80457">
        <w:rPr>
          <w:noProof/>
          <w:lang w:val="fr-CA"/>
        </w:rPr>
        <w:t>197;</w:t>
      </w:r>
      <w:r w:rsidR="00E80457" w:rsidRPr="00E80457">
        <w:rPr>
          <w:i/>
          <w:iCs/>
          <w:noProof/>
          <w:lang w:val="fr-CA"/>
        </w:rPr>
        <w:t xml:space="preserve"> Smith c. Alliance Pipeline Ltd.</w:t>
      </w:r>
      <w:r w:rsidR="00E80457" w:rsidRPr="00E80457">
        <w:rPr>
          <w:noProof/>
          <w:lang w:val="fr-CA"/>
        </w:rPr>
        <w:t>, 2011</w:t>
      </w:r>
      <w:r w:rsidR="008567E6">
        <w:rPr>
          <w:noProof/>
          <w:lang w:val="fr-CA"/>
        </w:rPr>
        <w:t xml:space="preserve"> </w:t>
      </w:r>
      <w:r w:rsidR="00E80457" w:rsidRPr="00E80457">
        <w:rPr>
          <w:noProof/>
          <w:lang w:val="fr-CA"/>
        </w:rPr>
        <w:t>CSC</w:t>
      </w:r>
      <w:r w:rsidR="008567E6">
        <w:rPr>
          <w:noProof/>
          <w:lang w:val="fr-CA"/>
        </w:rPr>
        <w:t xml:space="preserve"> 7, [2011] 1 </w:t>
      </w:r>
      <w:r w:rsidR="00E80457" w:rsidRPr="00E80457">
        <w:rPr>
          <w:noProof/>
          <w:lang w:val="fr-CA"/>
        </w:rPr>
        <w:t>R.C.S.</w:t>
      </w:r>
      <w:r w:rsidR="008567E6">
        <w:rPr>
          <w:noProof/>
          <w:lang w:val="fr-CA"/>
        </w:rPr>
        <w:t xml:space="preserve"> </w:t>
      </w:r>
      <w:r w:rsidR="00E80457" w:rsidRPr="00E80457">
        <w:rPr>
          <w:noProof/>
          <w:lang w:val="fr-CA"/>
        </w:rPr>
        <w:t xml:space="preserve">160; </w:t>
      </w:r>
      <w:r w:rsidR="00E80457" w:rsidRPr="00E80457">
        <w:rPr>
          <w:i/>
          <w:iCs/>
          <w:noProof/>
          <w:lang w:val="fr-CA"/>
        </w:rPr>
        <w:t>Canada (Citoyenneté et Immigration) c. Khosa</w:t>
      </w:r>
      <w:r w:rsidR="00E80457" w:rsidRPr="002B0157">
        <w:rPr>
          <w:iCs/>
          <w:noProof/>
          <w:lang w:val="fr-CA"/>
        </w:rPr>
        <w:t>,</w:t>
      </w:r>
      <w:r w:rsidR="00E80457" w:rsidRPr="00E80457">
        <w:rPr>
          <w:i/>
          <w:iCs/>
          <w:noProof/>
          <w:lang w:val="fr-CA"/>
        </w:rPr>
        <w:t xml:space="preserve"> </w:t>
      </w:r>
      <w:r w:rsidR="008567E6">
        <w:rPr>
          <w:iCs/>
          <w:noProof/>
          <w:lang w:val="fr-CA"/>
        </w:rPr>
        <w:t xml:space="preserve">2009 </w:t>
      </w:r>
      <w:r w:rsidR="00E80457" w:rsidRPr="00E80457">
        <w:rPr>
          <w:iCs/>
          <w:noProof/>
          <w:lang w:val="fr-CA"/>
        </w:rPr>
        <w:t>CSC</w:t>
      </w:r>
      <w:r w:rsidR="008567E6">
        <w:rPr>
          <w:iCs/>
          <w:noProof/>
          <w:lang w:val="fr-CA"/>
        </w:rPr>
        <w:t xml:space="preserve"> </w:t>
      </w:r>
      <w:r w:rsidR="00E80457" w:rsidRPr="00E80457">
        <w:rPr>
          <w:iCs/>
          <w:noProof/>
          <w:lang w:val="fr-CA"/>
        </w:rPr>
        <w:t>12</w:t>
      </w:r>
      <w:r w:rsidR="008567E6">
        <w:rPr>
          <w:noProof/>
          <w:lang w:val="fr-CA"/>
        </w:rPr>
        <w:t xml:space="preserve">, [2009] 1 </w:t>
      </w:r>
      <w:r w:rsidR="00E80457" w:rsidRPr="00E80457">
        <w:rPr>
          <w:noProof/>
          <w:lang w:val="fr-CA"/>
        </w:rPr>
        <w:t>R.C.S.</w:t>
      </w:r>
      <w:r w:rsidR="008567E6">
        <w:rPr>
          <w:noProof/>
          <w:lang w:val="fr-CA"/>
        </w:rPr>
        <w:t xml:space="preserve"> </w:t>
      </w:r>
      <w:r w:rsidR="00E80457" w:rsidRPr="00E80457">
        <w:rPr>
          <w:noProof/>
          <w:lang w:val="fr-CA"/>
        </w:rPr>
        <w:t xml:space="preserve">339; </w:t>
      </w:r>
      <w:r w:rsidR="00E80457" w:rsidRPr="00E80457">
        <w:rPr>
          <w:i/>
          <w:noProof/>
          <w:lang w:val="fr-CA"/>
        </w:rPr>
        <w:t>McLean c. Colombie</w:t>
      </w:r>
      <w:r w:rsidR="008567E6">
        <w:rPr>
          <w:i/>
          <w:noProof/>
          <w:lang w:val="fr-CA"/>
        </w:rPr>
        <w:t>-</w:t>
      </w:r>
      <w:r w:rsidR="00E80457" w:rsidRPr="00E80457">
        <w:rPr>
          <w:i/>
          <w:noProof/>
          <w:lang w:val="fr-CA"/>
        </w:rPr>
        <w:t>Britannique (Securities Commission)</w:t>
      </w:r>
      <w:r w:rsidR="008567E6">
        <w:rPr>
          <w:noProof/>
          <w:lang w:val="fr-CA"/>
        </w:rPr>
        <w:t xml:space="preserve">, 2013 </w:t>
      </w:r>
      <w:r w:rsidR="00E80457" w:rsidRPr="00E80457">
        <w:rPr>
          <w:noProof/>
          <w:lang w:val="fr-CA"/>
        </w:rPr>
        <w:t>CSC</w:t>
      </w:r>
      <w:r w:rsidR="008567E6">
        <w:rPr>
          <w:noProof/>
          <w:lang w:val="fr-CA"/>
        </w:rPr>
        <w:t xml:space="preserve"> </w:t>
      </w:r>
      <w:r w:rsidR="00E80457" w:rsidRPr="00E80457">
        <w:rPr>
          <w:noProof/>
          <w:lang w:val="fr-CA"/>
        </w:rPr>
        <w:t>67, [2013] 3</w:t>
      </w:r>
      <w:r w:rsidR="008567E6">
        <w:rPr>
          <w:noProof/>
          <w:lang w:val="fr-CA"/>
        </w:rPr>
        <w:t xml:space="preserve"> </w:t>
      </w:r>
      <w:r w:rsidR="00E80457" w:rsidRPr="00E80457">
        <w:rPr>
          <w:noProof/>
          <w:lang w:val="fr-CA"/>
        </w:rPr>
        <w:t>R.C.S.</w:t>
      </w:r>
      <w:r w:rsidR="008567E6">
        <w:rPr>
          <w:noProof/>
          <w:lang w:val="fr-CA"/>
        </w:rPr>
        <w:t xml:space="preserve"> </w:t>
      </w:r>
      <w:r w:rsidR="00E80457" w:rsidRPr="00E80457">
        <w:rPr>
          <w:noProof/>
          <w:lang w:val="fr-CA"/>
        </w:rPr>
        <w:t>895;</w:t>
      </w:r>
      <w:r w:rsidR="00E80457" w:rsidRPr="00E80457">
        <w:rPr>
          <w:i/>
          <w:noProof/>
          <w:lang w:val="fr-CA"/>
        </w:rPr>
        <w:t xml:space="preserve"> Edmonton (Ville) c. Edmonton East (Capilano) Shopping Centres Ltd.</w:t>
      </w:r>
      <w:r w:rsidR="00E80457" w:rsidRPr="00E80457">
        <w:rPr>
          <w:noProof/>
          <w:lang w:val="fr-CA"/>
        </w:rPr>
        <w:t>, 2016</w:t>
      </w:r>
      <w:r w:rsidR="008567E6">
        <w:rPr>
          <w:noProof/>
          <w:lang w:val="fr-CA"/>
        </w:rPr>
        <w:t xml:space="preserve"> </w:t>
      </w:r>
      <w:r w:rsidR="00E80457" w:rsidRPr="00E80457">
        <w:rPr>
          <w:noProof/>
          <w:lang w:val="fr-CA"/>
        </w:rPr>
        <w:t>CSC</w:t>
      </w:r>
      <w:r w:rsidR="008567E6">
        <w:rPr>
          <w:noProof/>
          <w:lang w:val="fr-CA"/>
        </w:rPr>
        <w:t xml:space="preserve"> </w:t>
      </w:r>
      <w:r w:rsidR="00E80457" w:rsidRPr="00E80457">
        <w:rPr>
          <w:noProof/>
          <w:lang w:val="fr-CA"/>
        </w:rPr>
        <w:t>47, [2016] 2</w:t>
      </w:r>
      <w:r w:rsidR="008567E6">
        <w:rPr>
          <w:noProof/>
          <w:lang w:val="fr-CA"/>
        </w:rPr>
        <w:t xml:space="preserve"> </w:t>
      </w:r>
      <w:r w:rsidR="00E80457" w:rsidRPr="00E80457">
        <w:rPr>
          <w:noProof/>
          <w:lang w:val="fr-CA"/>
        </w:rPr>
        <w:t>R.C.S.</w:t>
      </w:r>
      <w:r w:rsidR="008567E6">
        <w:rPr>
          <w:noProof/>
          <w:lang w:val="fr-CA"/>
        </w:rPr>
        <w:t xml:space="preserve"> </w:t>
      </w:r>
      <w:r w:rsidR="00E80457" w:rsidRPr="00E80457">
        <w:rPr>
          <w:noProof/>
          <w:lang w:val="fr-CA"/>
        </w:rPr>
        <w:t xml:space="preserve">293; </w:t>
      </w:r>
      <w:r w:rsidR="00E80457" w:rsidRPr="00E80457">
        <w:rPr>
          <w:i/>
          <w:noProof/>
          <w:lang w:val="fr-CA" w:bidi="en-US"/>
        </w:rPr>
        <w:t>Canada</w:t>
      </w:r>
      <w:r w:rsidR="00E80457" w:rsidRPr="00E80457">
        <w:rPr>
          <w:noProof/>
          <w:lang w:val="fr-CA" w:bidi="en-US"/>
        </w:rPr>
        <w:t xml:space="preserve"> </w:t>
      </w:r>
      <w:r w:rsidR="00E80457" w:rsidRPr="00E80457">
        <w:rPr>
          <w:i/>
          <w:noProof/>
          <w:lang w:val="fr-CA" w:bidi="en-US"/>
        </w:rPr>
        <w:t>(Co</w:t>
      </w:r>
      <w:r w:rsidR="008567E6">
        <w:rPr>
          <w:i/>
          <w:noProof/>
          <w:lang w:val="fr-CA" w:bidi="en-US"/>
        </w:rPr>
        <w:t>m</w:t>
      </w:r>
      <w:r w:rsidR="00E80457" w:rsidRPr="00E80457">
        <w:rPr>
          <w:i/>
          <w:noProof/>
          <w:lang w:val="fr-CA" w:bidi="en-US"/>
        </w:rPr>
        <w:t>mission canadienne des droits de la personne) c. Canada (Procureur général)</w:t>
      </w:r>
      <w:r w:rsidR="008567E6">
        <w:rPr>
          <w:noProof/>
          <w:lang w:val="fr-CA" w:bidi="en-US"/>
        </w:rPr>
        <w:t xml:space="preserve">, 2018 </w:t>
      </w:r>
      <w:r w:rsidR="00E80457" w:rsidRPr="00E80457">
        <w:rPr>
          <w:noProof/>
          <w:lang w:val="fr-CA" w:bidi="en-US"/>
        </w:rPr>
        <w:t>CSC</w:t>
      </w:r>
      <w:r w:rsidR="008567E6">
        <w:rPr>
          <w:noProof/>
          <w:lang w:val="fr-CA" w:bidi="en-US"/>
        </w:rPr>
        <w:t xml:space="preserve"> </w:t>
      </w:r>
      <w:r w:rsidR="00E80457" w:rsidRPr="00E80457">
        <w:rPr>
          <w:noProof/>
          <w:lang w:val="fr-CA" w:bidi="en-US"/>
        </w:rPr>
        <w:t>31,</w:t>
      </w:r>
      <w:r w:rsidR="00E80457" w:rsidRPr="00E80457">
        <w:rPr>
          <w:noProof/>
          <w:lang w:val="fr-CA"/>
        </w:rPr>
        <w:t xml:space="preserve"> [2018] 2</w:t>
      </w:r>
      <w:r w:rsidR="008567E6">
        <w:rPr>
          <w:noProof/>
          <w:lang w:val="fr-CA"/>
        </w:rPr>
        <w:t xml:space="preserve"> </w:t>
      </w:r>
      <w:r w:rsidR="00E80457" w:rsidRPr="00E80457">
        <w:rPr>
          <w:noProof/>
          <w:lang w:val="fr-CA"/>
        </w:rPr>
        <w:t>R.C.S.</w:t>
      </w:r>
      <w:r w:rsidR="008567E6">
        <w:rPr>
          <w:noProof/>
          <w:lang w:val="fr-CA"/>
        </w:rPr>
        <w:t xml:space="preserve"> </w:t>
      </w:r>
      <w:r w:rsidR="00E80457" w:rsidRPr="00E03D3E">
        <w:rPr>
          <w:noProof/>
          <w:lang w:val="fr-CA"/>
        </w:rPr>
        <w:t xml:space="preserve">230; </w:t>
      </w:r>
      <w:r w:rsidR="00E03D3E" w:rsidRPr="00E03D3E">
        <w:rPr>
          <w:i/>
          <w:lang w:val="fr-CA"/>
        </w:rPr>
        <w:t>Wilson c. Énergie Atomique du Canada Ltée</w:t>
      </w:r>
      <w:r w:rsidR="00E03D3E" w:rsidRPr="00E03D3E">
        <w:rPr>
          <w:lang w:val="fr-CA"/>
        </w:rPr>
        <w:t xml:space="preserve">, 2016 CSC 29, [2016] 1 R.C.S. 770; </w:t>
      </w:r>
      <w:r w:rsidR="00E80457" w:rsidRPr="00E03D3E">
        <w:rPr>
          <w:i/>
          <w:noProof/>
          <w:lang w:val="fr-CA"/>
        </w:rPr>
        <w:t>Canada</w:t>
      </w:r>
      <w:r w:rsidR="00E80457" w:rsidRPr="00E80457">
        <w:rPr>
          <w:i/>
          <w:noProof/>
          <w:lang w:val="fr-CA"/>
        </w:rPr>
        <w:t xml:space="preserve"> (Procureur général) c. Bedford</w:t>
      </w:r>
      <w:r w:rsidR="00E80457" w:rsidRPr="00E80457">
        <w:rPr>
          <w:noProof/>
          <w:lang w:val="fr-CA"/>
        </w:rPr>
        <w:t>, 2013</w:t>
      </w:r>
      <w:r w:rsidR="008567E6">
        <w:rPr>
          <w:noProof/>
          <w:lang w:val="fr-CA"/>
        </w:rPr>
        <w:t xml:space="preserve"> </w:t>
      </w:r>
      <w:r w:rsidR="00E80457" w:rsidRPr="00E80457">
        <w:rPr>
          <w:noProof/>
          <w:lang w:val="fr-CA"/>
        </w:rPr>
        <w:t>CSC</w:t>
      </w:r>
      <w:r w:rsidR="008567E6">
        <w:rPr>
          <w:noProof/>
          <w:lang w:val="fr-CA"/>
        </w:rPr>
        <w:t xml:space="preserve"> </w:t>
      </w:r>
      <w:r w:rsidR="00E80457" w:rsidRPr="00E80457">
        <w:rPr>
          <w:noProof/>
          <w:lang w:val="fr-CA"/>
        </w:rPr>
        <w:t>72, [2013]</w:t>
      </w:r>
      <w:r w:rsidR="008567E6">
        <w:rPr>
          <w:noProof/>
          <w:lang w:val="fr-CA"/>
        </w:rPr>
        <w:t xml:space="preserve"> </w:t>
      </w:r>
      <w:r w:rsidR="00E80457" w:rsidRPr="00E80457">
        <w:rPr>
          <w:noProof/>
          <w:lang w:val="fr-CA"/>
        </w:rPr>
        <w:t>3</w:t>
      </w:r>
      <w:r w:rsidR="008567E6">
        <w:rPr>
          <w:noProof/>
          <w:lang w:val="fr-CA"/>
        </w:rPr>
        <w:t xml:space="preserve"> </w:t>
      </w:r>
      <w:r w:rsidR="00E80457" w:rsidRPr="00E80457">
        <w:rPr>
          <w:noProof/>
          <w:lang w:val="fr-CA"/>
        </w:rPr>
        <w:t>R.C.S.</w:t>
      </w:r>
      <w:r w:rsidR="008567E6">
        <w:rPr>
          <w:noProof/>
          <w:lang w:val="fr-CA"/>
        </w:rPr>
        <w:t xml:space="preserve"> </w:t>
      </w:r>
      <w:r w:rsidR="00E80457" w:rsidRPr="00E80457">
        <w:rPr>
          <w:noProof/>
          <w:lang w:val="fr-CA"/>
        </w:rPr>
        <w:t xml:space="preserve">1101; </w:t>
      </w:r>
      <w:r w:rsidR="00E80457" w:rsidRPr="00E80457">
        <w:rPr>
          <w:i/>
          <w:noProof/>
          <w:lang w:val="fr-CA"/>
        </w:rPr>
        <w:t>Canada c. Craig</w:t>
      </w:r>
      <w:r w:rsidR="008567E6">
        <w:rPr>
          <w:noProof/>
          <w:lang w:val="fr-CA"/>
        </w:rPr>
        <w:t xml:space="preserve">, 2012 </w:t>
      </w:r>
      <w:r w:rsidR="00E80457" w:rsidRPr="00E80457">
        <w:rPr>
          <w:noProof/>
          <w:lang w:val="fr-CA"/>
        </w:rPr>
        <w:t>CSC</w:t>
      </w:r>
      <w:r w:rsidR="008567E6">
        <w:rPr>
          <w:noProof/>
          <w:lang w:val="fr-CA"/>
        </w:rPr>
        <w:t xml:space="preserve"> </w:t>
      </w:r>
      <w:r w:rsidR="00E80457" w:rsidRPr="00E80457">
        <w:rPr>
          <w:noProof/>
          <w:lang w:val="fr-CA"/>
        </w:rPr>
        <w:t>43, [2012] 2</w:t>
      </w:r>
      <w:r w:rsidR="008567E6">
        <w:rPr>
          <w:noProof/>
          <w:lang w:val="fr-CA"/>
        </w:rPr>
        <w:t xml:space="preserve"> </w:t>
      </w:r>
      <w:r w:rsidR="00E80457" w:rsidRPr="00E80457">
        <w:rPr>
          <w:noProof/>
          <w:lang w:val="fr-CA"/>
        </w:rPr>
        <w:t>R.C.S.</w:t>
      </w:r>
      <w:r w:rsidR="008567E6">
        <w:rPr>
          <w:noProof/>
          <w:lang w:val="fr-CA"/>
        </w:rPr>
        <w:t xml:space="preserve"> </w:t>
      </w:r>
      <w:r w:rsidR="00E80457" w:rsidRPr="00E80457">
        <w:rPr>
          <w:noProof/>
          <w:lang w:val="fr-CA"/>
        </w:rPr>
        <w:t xml:space="preserve">489; </w:t>
      </w:r>
      <w:r w:rsidR="00E80457" w:rsidRPr="00E80457">
        <w:rPr>
          <w:i/>
          <w:noProof/>
          <w:lang w:val="fr-CA"/>
        </w:rPr>
        <w:t>Ontario (Procureur général) c. Fraser</w:t>
      </w:r>
      <w:r w:rsidR="008567E6">
        <w:rPr>
          <w:noProof/>
          <w:lang w:val="fr-CA"/>
        </w:rPr>
        <w:t xml:space="preserve">, 2011 </w:t>
      </w:r>
      <w:r w:rsidR="00E80457" w:rsidRPr="00E80457">
        <w:rPr>
          <w:noProof/>
          <w:lang w:val="fr-CA"/>
        </w:rPr>
        <w:t>CSC</w:t>
      </w:r>
      <w:r w:rsidR="008567E6">
        <w:rPr>
          <w:noProof/>
          <w:lang w:val="fr-CA"/>
        </w:rPr>
        <w:t xml:space="preserve"> </w:t>
      </w:r>
      <w:r w:rsidR="00E80457" w:rsidRPr="00E80457">
        <w:rPr>
          <w:noProof/>
          <w:lang w:val="fr-CA"/>
        </w:rPr>
        <w:t>20, [2011] 2</w:t>
      </w:r>
      <w:r w:rsidR="008567E6">
        <w:rPr>
          <w:noProof/>
          <w:lang w:val="fr-CA"/>
        </w:rPr>
        <w:t xml:space="preserve"> </w:t>
      </w:r>
      <w:r w:rsidR="00E80457" w:rsidRPr="00E80457">
        <w:rPr>
          <w:noProof/>
          <w:lang w:val="fr-CA"/>
        </w:rPr>
        <w:t>R.C.S.</w:t>
      </w:r>
      <w:r w:rsidR="008567E6">
        <w:rPr>
          <w:noProof/>
          <w:lang w:val="fr-CA"/>
        </w:rPr>
        <w:t xml:space="preserve"> </w:t>
      </w:r>
      <w:r w:rsidR="00E80457" w:rsidRPr="00E80457">
        <w:rPr>
          <w:noProof/>
          <w:lang w:val="fr-CA"/>
        </w:rPr>
        <w:t xml:space="preserve">3; </w:t>
      </w:r>
      <w:r w:rsidR="00E80457" w:rsidRPr="00E80457">
        <w:rPr>
          <w:i/>
          <w:noProof/>
          <w:lang w:val="fr-CA"/>
        </w:rPr>
        <w:t>R. c. Henry</w:t>
      </w:r>
      <w:r w:rsidR="00E80457" w:rsidRPr="00E80457">
        <w:rPr>
          <w:noProof/>
          <w:lang w:val="fr-CA"/>
        </w:rPr>
        <w:t>, 2005</w:t>
      </w:r>
      <w:r w:rsidR="008567E6">
        <w:rPr>
          <w:noProof/>
          <w:lang w:val="fr-CA"/>
        </w:rPr>
        <w:t xml:space="preserve"> </w:t>
      </w:r>
      <w:r w:rsidR="00E80457" w:rsidRPr="00E80457">
        <w:rPr>
          <w:noProof/>
          <w:lang w:val="fr-CA"/>
        </w:rPr>
        <w:t>CSC</w:t>
      </w:r>
      <w:r w:rsidR="008567E6">
        <w:rPr>
          <w:noProof/>
          <w:lang w:val="fr-CA"/>
        </w:rPr>
        <w:t xml:space="preserve"> </w:t>
      </w:r>
      <w:r w:rsidR="00E80457" w:rsidRPr="00E80457">
        <w:rPr>
          <w:noProof/>
          <w:lang w:val="fr-CA"/>
        </w:rPr>
        <w:t>76, [2005] 3</w:t>
      </w:r>
      <w:r w:rsidR="008567E6">
        <w:rPr>
          <w:noProof/>
          <w:lang w:val="fr-CA"/>
        </w:rPr>
        <w:t xml:space="preserve"> </w:t>
      </w:r>
      <w:r w:rsidR="00E80457" w:rsidRPr="00E80457">
        <w:rPr>
          <w:noProof/>
          <w:lang w:val="fr-CA"/>
        </w:rPr>
        <w:t>R.C.S.</w:t>
      </w:r>
      <w:r w:rsidR="008567E6">
        <w:rPr>
          <w:noProof/>
          <w:lang w:val="fr-CA"/>
        </w:rPr>
        <w:t xml:space="preserve"> </w:t>
      </w:r>
      <w:r w:rsidR="00E80457" w:rsidRPr="00E80457">
        <w:rPr>
          <w:noProof/>
          <w:lang w:val="fr-CA"/>
        </w:rPr>
        <w:t xml:space="preserve">609; </w:t>
      </w:r>
      <w:r w:rsidR="00E80457" w:rsidRPr="00E80457">
        <w:rPr>
          <w:i/>
          <w:noProof/>
          <w:lang w:val="fr-CA"/>
        </w:rPr>
        <w:t>R. c. Bernard</w:t>
      </w:r>
      <w:r w:rsidR="00E80457" w:rsidRPr="00E80457">
        <w:rPr>
          <w:noProof/>
          <w:lang w:val="fr-CA"/>
        </w:rPr>
        <w:t>, [1988] 2</w:t>
      </w:r>
      <w:r w:rsidR="008567E6">
        <w:rPr>
          <w:noProof/>
          <w:lang w:val="fr-CA"/>
        </w:rPr>
        <w:t xml:space="preserve"> </w:t>
      </w:r>
      <w:r w:rsidR="00E80457" w:rsidRPr="00E80457">
        <w:rPr>
          <w:noProof/>
          <w:lang w:val="fr-CA"/>
        </w:rPr>
        <w:t>R.C.S.</w:t>
      </w:r>
      <w:r w:rsidR="008567E6">
        <w:rPr>
          <w:noProof/>
          <w:lang w:val="fr-CA"/>
        </w:rPr>
        <w:t xml:space="preserve"> </w:t>
      </w:r>
      <w:r w:rsidR="00E80457" w:rsidRPr="00E80457">
        <w:rPr>
          <w:noProof/>
          <w:lang w:val="fr-CA"/>
        </w:rPr>
        <w:t xml:space="preserve">833; </w:t>
      </w:r>
      <w:r w:rsidR="00E80457" w:rsidRPr="00E80457">
        <w:rPr>
          <w:i/>
          <w:iCs/>
          <w:noProof/>
          <w:lang w:val="fr-CA"/>
        </w:rPr>
        <w:t>Queensland c. Commonwealth</w:t>
      </w:r>
      <w:r w:rsidR="00E80457" w:rsidRPr="00E80457">
        <w:rPr>
          <w:noProof/>
          <w:lang w:val="fr-CA"/>
        </w:rPr>
        <w:t xml:space="preserve"> (1977), 139 C.L.R. 585; </w:t>
      </w:r>
      <w:r w:rsidR="00E80457" w:rsidRPr="00E80457">
        <w:rPr>
          <w:i/>
          <w:noProof/>
          <w:lang w:val="fr-CA"/>
        </w:rPr>
        <w:t>Ministre des Affaires indiennes et du Nord canadien c. Ranville</w:t>
      </w:r>
      <w:r w:rsidR="00C12FA1">
        <w:rPr>
          <w:noProof/>
          <w:lang w:val="fr-CA"/>
        </w:rPr>
        <w:t xml:space="preserve">, [1982] 2 </w:t>
      </w:r>
      <w:r w:rsidR="00E80457" w:rsidRPr="00E80457">
        <w:rPr>
          <w:noProof/>
          <w:lang w:val="fr-CA"/>
        </w:rPr>
        <w:t>R.C.S.</w:t>
      </w:r>
      <w:r w:rsidR="00C12FA1">
        <w:rPr>
          <w:noProof/>
          <w:lang w:val="fr-CA"/>
        </w:rPr>
        <w:t xml:space="preserve"> </w:t>
      </w:r>
      <w:r w:rsidR="00E80457" w:rsidRPr="00E80457">
        <w:rPr>
          <w:noProof/>
          <w:lang w:val="fr-CA"/>
        </w:rPr>
        <w:t xml:space="preserve">518; </w:t>
      </w:r>
      <w:r w:rsidR="00E80457" w:rsidRPr="00E80457">
        <w:rPr>
          <w:i/>
          <w:noProof/>
          <w:lang w:val="fr-CA"/>
        </w:rPr>
        <w:t>R. c. B. (K.G.)</w:t>
      </w:r>
      <w:r w:rsidR="00C12FA1">
        <w:rPr>
          <w:noProof/>
          <w:lang w:val="fr-CA"/>
        </w:rPr>
        <w:t xml:space="preserve">, [1993] 1 </w:t>
      </w:r>
      <w:r w:rsidR="00E80457" w:rsidRPr="00E80457">
        <w:rPr>
          <w:noProof/>
          <w:lang w:val="fr-CA"/>
        </w:rPr>
        <w:t>R.C.S.</w:t>
      </w:r>
      <w:r w:rsidR="00C12FA1">
        <w:rPr>
          <w:noProof/>
          <w:lang w:val="fr-CA"/>
        </w:rPr>
        <w:t xml:space="preserve"> </w:t>
      </w:r>
      <w:r w:rsidR="00E80457" w:rsidRPr="00E80457">
        <w:rPr>
          <w:noProof/>
          <w:lang w:val="fr-CA"/>
        </w:rPr>
        <w:t xml:space="preserve">740; </w:t>
      </w:r>
      <w:r w:rsidR="006D5103">
        <w:rPr>
          <w:i/>
          <w:noProof/>
          <w:lang w:val="fr-CA"/>
        </w:rPr>
        <w:t>Crevier c. Procureur général du Québec</w:t>
      </w:r>
      <w:r w:rsidR="00C12FA1">
        <w:rPr>
          <w:noProof/>
          <w:lang w:val="fr-CA"/>
        </w:rPr>
        <w:t xml:space="preserve">, [1981] 2 </w:t>
      </w:r>
      <w:r w:rsidR="00E80457" w:rsidRPr="00E80457">
        <w:rPr>
          <w:noProof/>
          <w:lang w:val="fr-CA"/>
        </w:rPr>
        <w:t>R.C.S.</w:t>
      </w:r>
      <w:r w:rsidR="00C12FA1">
        <w:rPr>
          <w:noProof/>
          <w:lang w:val="fr-CA"/>
        </w:rPr>
        <w:t xml:space="preserve"> </w:t>
      </w:r>
      <w:r w:rsidR="00E80457" w:rsidRPr="00E80457">
        <w:rPr>
          <w:noProof/>
          <w:lang w:val="fr-CA"/>
        </w:rPr>
        <w:t xml:space="preserve">220; </w:t>
      </w:r>
      <w:r w:rsidR="00C12FA1">
        <w:rPr>
          <w:i/>
          <w:noProof/>
          <w:lang w:val="fr-CA"/>
        </w:rPr>
        <w:t xml:space="preserve">U.E.S., Local </w:t>
      </w:r>
      <w:r w:rsidR="00E80457" w:rsidRPr="00E80457">
        <w:rPr>
          <w:i/>
          <w:noProof/>
          <w:lang w:val="fr-CA"/>
        </w:rPr>
        <w:t>298 c. Bibeault</w:t>
      </w:r>
      <w:r w:rsidR="00E80457" w:rsidRPr="00E80457">
        <w:rPr>
          <w:noProof/>
          <w:lang w:val="fr-CA"/>
        </w:rPr>
        <w:t>, [1988] 2</w:t>
      </w:r>
      <w:r w:rsidR="00C12FA1">
        <w:rPr>
          <w:noProof/>
          <w:lang w:val="fr-CA"/>
        </w:rPr>
        <w:t xml:space="preserve"> </w:t>
      </w:r>
      <w:r w:rsidR="00E80457" w:rsidRPr="00E80457">
        <w:rPr>
          <w:noProof/>
          <w:lang w:val="fr-CA"/>
        </w:rPr>
        <w:t>R.C.S.</w:t>
      </w:r>
      <w:r w:rsidR="00C12FA1">
        <w:rPr>
          <w:noProof/>
          <w:lang w:val="fr-CA"/>
        </w:rPr>
        <w:t xml:space="preserve"> </w:t>
      </w:r>
      <w:r w:rsidR="00E80457" w:rsidRPr="00E80457">
        <w:rPr>
          <w:noProof/>
          <w:lang w:val="fr-CA"/>
        </w:rPr>
        <w:t>1048;</w:t>
      </w:r>
      <w:r w:rsidR="003C4854">
        <w:rPr>
          <w:i/>
          <w:noProof/>
          <w:lang w:val="fr-CA"/>
        </w:rPr>
        <w:t xml:space="preserve"> Syndicat canadien de la Fonction publique, section locale 963 c. Société des alcools du Nouveau-Brunswick</w:t>
      </w:r>
      <w:r w:rsidR="00C12FA1">
        <w:rPr>
          <w:noProof/>
          <w:lang w:val="fr-CA"/>
        </w:rPr>
        <w:t xml:space="preserve">, [1979] 2 </w:t>
      </w:r>
      <w:r w:rsidR="00E80457" w:rsidRPr="00E80457">
        <w:rPr>
          <w:noProof/>
          <w:lang w:val="fr-CA"/>
        </w:rPr>
        <w:t>R.C.S.</w:t>
      </w:r>
      <w:r w:rsidR="00C12FA1">
        <w:rPr>
          <w:noProof/>
          <w:lang w:val="fr-CA"/>
        </w:rPr>
        <w:t xml:space="preserve"> </w:t>
      </w:r>
      <w:r w:rsidR="00E80457" w:rsidRPr="00E80457">
        <w:rPr>
          <w:noProof/>
          <w:lang w:val="fr-CA"/>
        </w:rPr>
        <w:t xml:space="preserve">227; </w:t>
      </w:r>
      <w:r w:rsidR="00E80457" w:rsidRPr="00E80457">
        <w:rPr>
          <w:i/>
          <w:noProof/>
          <w:lang w:val="fr-CA" w:bidi="en-US"/>
        </w:rPr>
        <w:t xml:space="preserve">Pushpanathan </w:t>
      </w:r>
      <w:r w:rsidR="00E80457" w:rsidRPr="00E80457">
        <w:rPr>
          <w:i/>
          <w:iCs/>
          <w:noProof/>
          <w:lang w:val="fr-CA"/>
        </w:rPr>
        <w:t>c.</w:t>
      </w:r>
      <w:r w:rsidR="00E80457" w:rsidRPr="00E80457">
        <w:rPr>
          <w:i/>
          <w:noProof/>
          <w:lang w:val="fr-CA"/>
        </w:rPr>
        <w:t xml:space="preserve"> Canada (Ministre de la Citoyenneté et de l</w:t>
      </w:r>
      <w:r w:rsidR="00356C64">
        <w:rPr>
          <w:i/>
          <w:noProof/>
          <w:lang w:val="fr-CA"/>
        </w:rPr>
        <w:t>’</w:t>
      </w:r>
      <w:r w:rsidR="00E80457" w:rsidRPr="00E80457">
        <w:rPr>
          <w:i/>
          <w:noProof/>
          <w:lang w:val="fr-CA"/>
        </w:rPr>
        <w:t>Immigration)</w:t>
      </w:r>
      <w:r w:rsidR="00E80457" w:rsidRPr="00E80457">
        <w:rPr>
          <w:noProof/>
          <w:lang w:val="fr-CA"/>
        </w:rPr>
        <w:t>, [1998] 1</w:t>
      </w:r>
      <w:r w:rsidR="00C12FA1">
        <w:rPr>
          <w:noProof/>
          <w:lang w:val="fr-CA"/>
        </w:rPr>
        <w:t xml:space="preserve"> </w:t>
      </w:r>
      <w:r w:rsidR="00E80457" w:rsidRPr="00E80457">
        <w:rPr>
          <w:noProof/>
          <w:lang w:val="fr-CA"/>
        </w:rPr>
        <w:lastRenderedPageBreak/>
        <w:t>R.C.S.</w:t>
      </w:r>
      <w:r w:rsidR="007A7228">
        <w:rPr>
          <w:noProof/>
          <w:lang w:val="fr-CA"/>
        </w:rPr>
        <w:t xml:space="preserve"> </w:t>
      </w:r>
      <w:r w:rsidR="00E80457" w:rsidRPr="00E80457">
        <w:rPr>
          <w:noProof/>
          <w:lang w:val="fr-CA"/>
        </w:rPr>
        <w:t>982</w:t>
      </w:r>
      <w:r w:rsidR="00E80457" w:rsidRPr="00E80457">
        <w:rPr>
          <w:noProof/>
          <w:lang w:val="fr-CA" w:bidi="en-US"/>
        </w:rPr>
        <w:t xml:space="preserve">; </w:t>
      </w:r>
      <w:r w:rsidR="00E80457" w:rsidRPr="00E80457">
        <w:rPr>
          <w:i/>
          <w:noProof/>
          <w:lang w:val="fr-CA"/>
        </w:rPr>
        <w:t>Pezim c. Colombie</w:t>
      </w:r>
      <w:r w:rsidR="00E80457" w:rsidRPr="00E80457">
        <w:rPr>
          <w:i/>
          <w:noProof/>
          <w:lang w:val="fr-CA"/>
        </w:rPr>
        <w:noBreakHyphen/>
        <w:t>Britannique (Superintendent of Brokers)</w:t>
      </w:r>
      <w:r w:rsidR="00E80457" w:rsidRPr="00E80457">
        <w:rPr>
          <w:noProof/>
          <w:lang w:val="fr-CA"/>
        </w:rPr>
        <w:t>, [1994] 2 R.C.S. 557</w:t>
      </w:r>
      <w:r w:rsidR="00E80457" w:rsidRPr="00E80457">
        <w:rPr>
          <w:noProof/>
          <w:lang w:val="fr-CA" w:bidi="en-US"/>
        </w:rPr>
        <w:t>;</w:t>
      </w:r>
      <w:r w:rsidR="00E80457" w:rsidRPr="00E80457">
        <w:rPr>
          <w:noProof/>
          <w:lang w:val="fr-CA"/>
        </w:rPr>
        <w:t xml:space="preserve"> </w:t>
      </w:r>
      <w:r w:rsidR="00E80457" w:rsidRPr="00E80457">
        <w:rPr>
          <w:i/>
          <w:iCs/>
          <w:noProof/>
          <w:lang w:val="fr-CA"/>
        </w:rPr>
        <w:t>Canada (Directeur des enquêtes et recherches) c. Southam Inc.</w:t>
      </w:r>
      <w:r w:rsidR="00E80457" w:rsidRPr="00E80457">
        <w:rPr>
          <w:noProof/>
          <w:lang w:val="fr-CA"/>
        </w:rPr>
        <w:t xml:space="preserve">, [1997] 1 R.C.S. 748; </w:t>
      </w:r>
      <w:r w:rsidR="00744AD7">
        <w:rPr>
          <w:i/>
          <w:iCs/>
          <w:noProof/>
          <w:lang w:val="fr-CA"/>
        </w:rPr>
        <w:t>Dr</w:t>
      </w:r>
      <w:r w:rsidR="006D5103">
        <w:rPr>
          <w:i/>
          <w:iCs/>
          <w:noProof/>
          <w:lang w:val="fr-CA"/>
        </w:rPr>
        <w:t> Q</w:t>
      </w:r>
      <w:r w:rsidR="00E80457" w:rsidRPr="00E80457">
        <w:rPr>
          <w:i/>
          <w:iCs/>
          <w:noProof/>
          <w:lang w:val="fr-CA"/>
        </w:rPr>
        <w:t xml:space="preserve"> c. College of Physicians and Surgeons of British Columbia</w:t>
      </w:r>
      <w:r w:rsidR="00E80457" w:rsidRPr="006D5103">
        <w:rPr>
          <w:noProof/>
          <w:lang w:val="fr-CA"/>
        </w:rPr>
        <w:t>,</w:t>
      </w:r>
      <w:r w:rsidR="0080785B">
        <w:rPr>
          <w:noProof/>
          <w:lang w:val="fr-CA"/>
        </w:rPr>
        <w:t xml:space="preserve"> 2003 </w:t>
      </w:r>
      <w:r w:rsidR="00E80457" w:rsidRPr="00E80457">
        <w:rPr>
          <w:noProof/>
          <w:lang w:val="fr-CA"/>
        </w:rPr>
        <w:t>CSC</w:t>
      </w:r>
      <w:r w:rsidR="0080785B">
        <w:rPr>
          <w:noProof/>
          <w:lang w:val="fr-CA"/>
        </w:rPr>
        <w:t xml:space="preserve"> </w:t>
      </w:r>
      <w:r w:rsidR="00E80457" w:rsidRPr="00E80457">
        <w:rPr>
          <w:noProof/>
          <w:lang w:val="fr-CA"/>
        </w:rPr>
        <w:t>19, [2003] 1</w:t>
      </w:r>
      <w:r w:rsidR="0080785B">
        <w:rPr>
          <w:noProof/>
          <w:lang w:val="fr-CA"/>
        </w:rPr>
        <w:t xml:space="preserve"> </w:t>
      </w:r>
      <w:r w:rsidR="00E80457" w:rsidRPr="00E80457">
        <w:rPr>
          <w:noProof/>
          <w:lang w:val="fr-CA"/>
        </w:rPr>
        <w:t>R.C.S.</w:t>
      </w:r>
      <w:r w:rsidR="0080785B">
        <w:rPr>
          <w:noProof/>
          <w:lang w:val="fr-CA"/>
        </w:rPr>
        <w:t xml:space="preserve"> </w:t>
      </w:r>
      <w:r w:rsidR="00E80457" w:rsidRPr="00E80457">
        <w:rPr>
          <w:noProof/>
          <w:lang w:val="fr-CA"/>
        </w:rPr>
        <w:t xml:space="preserve">226; </w:t>
      </w:r>
      <w:r w:rsidR="00E80457" w:rsidRPr="00E80457">
        <w:rPr>
          <w:i/>
          <w:noProof/>
          <w:lang w:val="fr-CA"/>
        </w:rPr>
        <w:t>Canada (Sous</w:t>
      </w:r>
      <w:r w:rsidR="00E80457" w:rsidRPr="00E80457">
        <w:rPr>
          <w:i/>
          <w:noProof/>
          <w:lang w:val="fr-CA"/>
        </w:rPr>
        <w:noBreakHyphen/>
        <w:t>ministre du Revenu national) c. Mattel Canada Inc.</w:t>
      </w:r>
      <w:r w:rsidR="00E80457" w:rsidRPr="00E80457">
        <w:rPr>
          <w:noProof/>
          <w:lang w:val="fr-CA"/>
        </w:rPr>
        <w:t>, 2001</w:t>
      </w:r>
      <w:r w:rsidR="0080785B">
        <w:rPr>
          <w:noProof/>
          <w:lang w:val="fr-CA"/>
        </w:rPr>
        <w:t xml:space="preserve"> CSC 36, [2001] 2 </w:t>
      </w:r>
      <w:r w:rsidR="00E80457" w:rsidRPr="00E80457">
        <w:rPr>
          <w:noProof/>
          <w:lang w:val="fr-CA"/>
        </w:rPr>
        <w:t>R.C.S.</w:t>
      </w:r>
      <w:r w:rsidR="0080785B">
        <w:rPr>
          <w:noProof/>
          <w:lang w:val="fr-CA"/>
        </w:rPr>
        <w:t xml:space="preserve"> </w:t>
      </w:r>
      <w:r w:rsidR="00E80457" w:rsidRPr="00E80457">
        <w:rPr>
          <w:noProof/>
          <w:lang w:val="fr-CA"/>
        </w:rPr>
        <w:t xml:space="preserve">100; </w:t>
      </w:r>
      <w:r w:rsidR="0080785B">
        <w:rPr>
          <w:i/>
          <w:noProof/>
          <w:lang w:val="fr-CA"/>
        </w:rPr>
        <w:t>Moreau</w:t>
      </w:r>
      <w:r w:rsidR="0080785B">
        <w:rPr>
          <w:i/>
          <w:noProof/>
          <w:lang w:val="fr-CA"/>
        </w:rPr>
        <w:noBreakHyphen/>
        <w:t>Bérubé c. Nouveau-</w:t>
      </w:r>
      <w:r w:rsidR="00E80457" w:rsidRPr="00E80457">
        <w:rPr>
          <w:i/>
          <w:noProof/>
          <w:lang w:val="fr-CA"/>
        </w:rPr>
        <w:t>Brunswick (Conseil de la magistrature)</w:t>
      </w:r>
      <w:r w:rsidR="0080785B">
        <w:rPr>
          <w:noProof/>
          <w:lang w:val="fr-CA"/>
        </w:rPr>
        <w:t xml:space="preserve">, 2002 CSC 11, [2002] 1 </w:t>
      </w:r>
      <w:r w:rsidR="00E80457" w:rsidRPr="00E80457">
        <w:rPr>
          <w:noProof/>
          <w:lang w:val="fr-CA"/>
        </w:rPr>
        <w:t>R.C.S.</w:t>
      </w:r>
      <w:r w:rsidR="0080785B">
        <w:rPr>
          <w:noProof/>
          <w:lang w:val="fr-CA"/>
        </w:rPr>
        <w:t xml:space="preserve"> </w:t>
      </w:r>
      <w:r w:rsidR="00E80457" w:rsidRPr="00E80457">
        <w:rPr>
          <w:noProof/>
          <w:lang w:val="fr-CA"/>
        </w:rPr>
        <w:t xml:space="preserve">249; </w:t>
      </w:r>
      <w:r w:rsidR="006D5103" w:rsidRPr="006D5103">
        <w:rPr>
          <w:i/>
          <w:noProof/>
          <w:lang w:val="fr-CA"/>
        </w:rPr>
        <w:t>S</w:t>
      </w:r>
      <w:r w:rsidR="00E80457" w:rsidRPr="006D5103">
        <w:rPr>
          <w:i/>
          <w:noProof/>
          <w:lang w:val="fr-CA" w:bidi="en-US"/>
        </w:rPr>
        <w:t>.C.F.P.</w:t>
      </w:r>
      <w:r w:rsidR="00E80457" w:rsidRPr="00E80457">
        <w:rPr>
          <w:i/>
          <w:noProof/>
          <w:lang w:val="fr-CA" w:bidi="en-US"/>
        </w:rPr>
        <w:t xml:space="preserve"> c. Ontario (Ministre du Travail)</w:t>
      </w:r>
      <w:r w:rsidR="0080785B">
        <w:rPr>
          <w:noProof/>
          <w:lang w:val="fr-CA" w:bidi="en-US"/>
        </w:rPr>
        <w:t xml:space="preserve">, 2003 </w:t>
      </w:r>
      <w:r w:rsidR="00E80457" w:rsidRPr="00E80457">
        <w:rPr>
          <w:noProof/>
          <w:lang w:val="fr-CA" w:bidi="en-US"/>
        </w:rPr>
        <w:t>CSC</w:t>
      </w:r>
      <w:r w:rsidR="0080785B">
        <w:rPr>
          <w:noProof/>
          <w:lang w:val="fr-CA" w:bidi="en-US"/>
        </w:rPr>
        <w:t xml:space="preserve"> </w:t>
      </w:r>
      <w:r w:rsidR="00E80457" w:rsidRPr="00E80457">
        <w:rPr>
          <w:noProof/>
          <w:lang w:val="fr-CA" w:bidi="en-US"/>
        </w:rPr>
        <w:t xml:space="preserve">29, [2003] 1 R.C.S. 539; </w:t>
      </w:r>
      <w:r w:rsidR="00E80457" w:rsidRPr="00E80457">
        <w:rPr>
          <w:i/>
          <w:noProof/>
          <w:lang w:val="fr-CA" w:bidi="en-US"/>
        </w:rPr>
        <w:t>R. c. Owen</w:t>
      </w:r>
      <w:r w:rsidR="0080785B">
        <w:rPr>
          <w:noProof/>
          <w:lang w:val="fr-CA" w:bidi="en-US"/>
        </w:rPr>
        <w:t xml:space="preserve">, 2003 </w:t>
      </w:r>
      <w:r w:rsidR="00E80457" w:rsidRPr="00E80457">
        <w:rPr>
          <w:noProof/>
          <w:lang w:val="fr-CA" w:bidi="en-US"/>
        </w:rPr>
        <w:t>CSC</w:t>
      </w:r>
      <w:r w:rsidR="0080785B">
        <w:rPr>
          <w:noProof/>
          <w:lang w:val="fr-CA" w:bidi="en-US"/>
        </w:rPr>
        <w:t xml:space="preserve"> </w:t>
      </w:r>
      <w:r w:rsidR="00E80457" w:rsidRPr="00E80457">
        <w:rPr>
          <w:noProof/>
          <w:lang w:val="fr-CA" w:bidi="en-US"/>
        </w:rPr>
        <w:t xml:space="preserve">33, [2003] 1 R.C.S. 779; </w:t>
      </w:r>
      <w:r w:rsidR="0080785B">
        <w:rPr>
          <w:i/>
          <w:noProof/>
          <w:lang w:val="fr-CA" w:bidi="en-US"/>
        </w:rPr>
        <w:t>Colombie-</w:t>
      </w:r>
      <w:r w:rsidR="00E80457" w:rsidRPr="00E80457">
        <w:rPr>
          <w:i/>
          <w:noProof/>
          <w:lang w:val="fr-CA" w:bidi="en-US"/>
        </w:rPr>
        <w:t>Britannique (Workers</w:t>
      </w:r>
      <w:r w:rsidR="00356C64">
        <w:rPr>
          <w:i/>
          <w:noProof/>
          <w:lang w:val="fr-CA" w:bidi="en-US"/>
        </w:rPr>
        <w:t>’</w:t>
      </w:r>
      <w:r w:rsidR="00E80457" w:rsidRPr="00E80457">
        <w:rPr>
          <w:i/>
          <w:noProof/>
          <w:lang w:val="fr-CA" w:bidi="en-US"/>
        </w:rPr>
        <w:t xml:space="preserve"> Compensation Board) c. Figliola</w:t>
      </w:r>
      <w:r w:rsidR="0080785B">
        <w:rPr>
          <w:noProof/>
          <w:lang w:val="fr-CA" w:bidi="en-US"/>
        </w:rPr>
        <w:t xml:space="preserve">, 2011 </w:t>
      </w:r>
      <w:r w:rsidR="00E80457" w:rsidRPr="00E80457">
        <w:rPr>
          <w:noProof/>
          <w:lang w:val="fr-CA" w:bidi="en-US"/>
        </w:rPr>
        <w:t>CSC</w:t>
      </w:r>
      <w:r w:rsidR="0080785B">
        <w:rPr>
          <w:noProof/>
          <w:lang w:val="fr-CA" w:bidi="en-US"/>
        </w:rPr>
        <w:t xml:space="preserve"> </w:t>
      </w:r>
      <w:r w:rsidR="00E80457" w:rsidRPr="00E80457">
        <w:rPr>
          <w:noProof/>
          <w:lang w:val="fr-CA" w:bidi="en-US"/>
        </w:rPr>
        <w:t xml:space="preserve">52, [2011] 3 R.C.S. 422; </w:t>
      </w:r>
      <w:r w:rsidR="0080785B">
        <w:rPr>
          <w:i/>
          <w:noProof/>
          <w:lang w:val="fr-CA" w:bidi="en-US"/>
        </w:rPr>
        <w:t>Moore c. Colombie-</w:t>
      </w:r>
      <w:r w:rsidR="00E80457" w:rsidRPr="00E80457">
        <w:rPr>
          <w:i/>
          <w:noProof/>
          <w:lang w:val="fr-CA" w:bidi="en-US"/>
        </w:rPr>
        <w:t>Britannique (Éducation)</w:t>
      </w:r>
      <w:r w:rsidR="00E80457" w:rsidRPr="00E80457">
        <w:rPr>
          <w:noProof/>
          <w:lang w:val="fr-CA" w:bidi="en-US"/>
        </w:rPr>
        <w:t>, 2012</w:t>
      </w:r>
      <w:r w:rsidR="007A7228">
        <w:rPr>
          <w:noProof/>
          <w:lang w:val="fr-CA" w:bidi="en-US"/>
        </w:rPr>
        <w:t xml:space="preserve"> </w:t>
      </w:r>
      <w:r w:rsidR="00E80457" w:rsidRPr="00E80457">
        <w:rPr>
          <w:noProof/>
          <w:lang w:val="fr-CA" w:bidi="en-US"/>
        </w:rPr>
        <w:t>CSC</w:t>
      </w:r>
      <w:r w:rsidR="0080785B">
        <w:rPr>
          <w:noProof/>
          <w:lang w:val="fr-CA" w:bidi="en-US"/>
        </w:rPr>
        <w:t xml:space="preserve"> </w:t>
      </w:r>
      <w:r w:rsidR="00E80457" w:rsidRPr="00E80457">
        <w:rPr>
          <w:noProof/>
          <w:lang w:val="fr-CA" w:bidi="en-US"/>
        </w:rPr>
        <w:t xml:space="preserve">61, [2012] 3 R.C.S. 360; </w:t>
      </w:r>
      <w:r w:rsidR="00E80457" w:rsidRPr="00E80457">
        <w:rPr>
          <w:i/>
          <w:noProof/>
          <w:lang w:val="fr-CA" w:bidi="en-US"/>
        </w:rPr>
        <w:t>McCormick c. Fas</w:t>
      </w:r>
      <w:r w:rsidR="00356C64">
        <w:rPr>
          <w:i/>
          <w:noProof/>
          <w:lang w:val="fr-CA" w:bidi="en-US"/>
        </w:rPr>
        <w:t>ken Martineau DuMoulin S.E.N.C.R.L</w:t>
      </w:r>
      <w:r w:rsidR="00E80457" w:rsidRPr="00E80457">
        <w:rPr>
          <w:i/>
          <w:noProof/>
          <w:lang w:val="fr-CA" w:bidi="en-US"/>
        </w:rPr>
        <w:t>./s.r.l.</w:t>
      </w:r>
      <w:r w:rsidR="0080785B">
        <w:rPr>
          <w:noProof/>
          <w:lang w:val="fr-CA" w:bidi="en-US"/>
        </w:rPr>
        <w:t xml:space="preserve">, 2014 </w:t>
      </w:r>
      <w:r w:rsidR="00E80457" w:rsidRPr="00E80457">
        <w:rPr>
          <w:noProof/>
          <w:lang w:val="fr-CA" w:bidi="en-US"/>
        </w:rPr>
        <w:t>CSC</w:t>
      </w:r>
      <w:r w:rsidR="0080785B">
        <w:rPr>
          <w:noProof/>
          <w:lang w:val="fr-CA" w:bidi="en-US"/>
        </w:rPr>
        <w:t xml:space="preserve"> </w:t>
      </w:r>
      <w:r w:rsidR="00E80457" w:rsidRPr="00E80457">
        <w:rPr>
          <w:noProof/>
          <w:lang w:val="fr-CA" w:bidi="en-US"/>
        </w:rPr>
        <w:t xml:space="preserve">39, [2014] 2 R.C.S. 108; </w:t>
      </w:r>
      <w:r w:rsidR="0080785B">
        <w:rPr>
          <w:i/>
          <w:noProof/>
          <w:lang w:val="fr-CA" w:bidi="en-US"/>
        </w:rPr>
        <w:t>Colombie-</w:t>
      </w:r>
      <w:r w:rsidR="00E80457" w:rsidRPr="00E80457">
        <w:rPr>
          <w:i/>
          <w:noProof/>
          <w:lang w:val="fr-CA" w:bidi="en-US"/>
        </w:rPr>
        <w:t>Britannique (Workers</w:t>
      </w:r>
      <w:r w:rsidR="00356C64">
        <w:rPr>
          <w:i/>
          <w:noProof/>
          <w:lang w:val="fr-CA" w:bidi="en-US"/>
        </w:rPr>
        <w:t>’</w:t>
      </w:r>
      <w:r w:rsidR="00E80457" w:rsidRPr="00E80457">
        <w:rPr>
          <w:i/>
          <w:noProof/>
          <w:lang w:val="fr-CA" w:bidi="en-US"/>
        </w:rPr>
        <w:t xml:space="preserve"> Compensation Appeal Tribunal) c. Fraser Health Authority</w:t>
      </w:r>
      <w:r w:rsidR="00E80457" w:rsidRPr="00E80457">
        <w:rPr>
          <w:noProof/>
          <w:lang w:val="fr-CA" w:bidi="en-US"/>
        </w:rPr>
        <w:t>, 2016</w:t>
      </w:r>
      <w:r w:rsidR="00ED55B8">
        <w:rPr>
          <w:noProof/>
          <w:lang w:val="fr-CA" w:bidi="en-US"/>
        </w:rPr>
        <w:t xml:space="preserve"> </w:t>
      </w:r>
      <w:r w:rsidR="00E80457" w:rsidRPr="00E80457">
        <w:rPr>
          <w:noProof/>
          <w:lang w:val="fr-CA" w:bidi="en-US"/>
        </w:rPr>
        <w:t>CSC</w:t>
      </w:r>
      <w:r w:rsidR="00ED55B8">
        <w:rPr>
          <w:noProof/>
          <w:lang w:val="fr-CA" w:bidi="en-US"/>
        </w:rPr>
        <w:t xml:space="preserve"> </w:t>
      </w:r>
      <w:r w:rsidR="00E80457" w:rsidRPr="00E80457">
        <w:rPr>
          <w:noProof/>
          <w:lang w:val="fr-CA" w:bidi="en-US"/>
        </w:rPr>
        <w:t xml:space="preserve">25, [2016] 1 R.C.S. 587; </w:t>
      </w:r>
      <w:r w:rsidR="00E80457" w:rsidRPr="00E80457">
        <w:rPr>
          <w:i/>
          <w:noProof/>
          <w:lang w:val="fr-CA" w:bidi="en-US"/>
        </w:rPr>
        <w:t>British Columbia Human Rights Tribunal c. Schrenk</w:t>
      </w:r>
      <w:r w:rsidR="00ED55B8">
        <w:rPr>
          <w:noProof/>
          <w:lang w:val="fr-CA" w:bidi="en-US"/>
        </w:rPr>
        <w:t xml:space="preserve">, 2017 </w:t>
      </w:r>
      <w:r w:rsidR="00E80457" w:rsidRPr="00E80457">
        <w:rPr>
          <w:noProof/>
          <w:lang w:val="fr-CA" w:bidi="en-US"/>
        </w:rPr>
        <w:t>CSC</w:t>
      </w:r>
      <w:r w:rsidR="00ED55B8">
        <w:rPr>
          <w:noProof/>
          <w:lang w:val="fr-CA" w:bidi="en-US"/>
        </w:rPr>
        <w:t xml:space="preserve"> </w:t>
      </w:r>
      <w:r w:rsidR="00E80457" w:rsidRPr="00E80457">
        <w:rPr>
          <w:noProof/>
          <w:lang w:val="fr-CA" w:bidi="en-US"/>
        </w:rPr>
        <w:t>62, [2017] 2 R.C.S. 795;</w:t>
      </w:r>
      <w:r w:rsidR="006D554C">
        <w:rPr>
          <w:i/>
          <w:noProof/>
          <w:lang w:val="fr-CA"/>
        </w:rPr>
        <w:t xml:space="preserve"> Seneca College of Applied Arts and Technology c. Bhadauria</w:t>
      </w:r>
      <w:r w:rsidR="00E80457" w:rsidRPr="00E80457">
        <w:rPr>
          <w:noProof/>
          <w:lang w:val="fr-CA"/>
        </w:rPr>
        <w:t>, [1981] 2</w:t>
      </w:r>
      <w:r w:rsidR="00ED55B8">
        <w:rPr>
          <w:noProof/>
          <w:lang w:val="fr-CA"/>
        </w:rPr>
        <w:t xml:space="preserve"> </w:t>
      </w:r>
      <w:r w:rsidR="00E80457" w:rsidRPr="00E80457">
        <w:rPr>
          <w:noProof/>
          <w:lang w:val="fr-CA"/>
        </w:rPr>
        <w:t>R.C.S.</w:t>
      </w:r>
      <w:r w:rsidR="00ED55B8">
        <w:rPr>
          <w:noProof/>
          <w:lang w:val="fr-CA"/>
        </w:rPr>
        <w:t xml:space="preserve"> </w:t>
      </w:r>
      <w:r w:rsidR="00E80457" w:rsidRPr="00E80457">
        <w:rPr>
          <w:noProof/>
          <w:lang w:val="fr-CA"/>
        </w:rPr>
        <w:t xml:space="preserve">181; </w:t>
      </w:r>
      <w:r w:rsidR="00E80457" w:rsidRPr="00E80457">
        <w:rPr>
          <w:i/>
          <w:noProof/>
          <w:lang w:val="fr-CA" w:bidi="en-US"/>
        </w:rPr>
        <w:t>Housen c. Nikolaisen</w:t>
      </w:r>
      <w:r w:rsidR="00ED55B8">
        <w:rPr>
          <w:noProof/>
          <w:lang w:val="fr-CA" w:bidi="en-US"/>
        </w:rPr>
        <w:t xml:space="preserve">, 2002 </w:t>
      </w:r>
      <w:r w:rsidR="00E80457" w:rsidRPr="00E80457">
        <w:rPr>
          <w:noProof/>
          <w:lang w:val="fr-CA" w:bidi="en-US"/>
        </w:rPr>
        <w:t>CSC</w:t>
      </w:r>
      <w:r w:rsidR="00ED55B8">
        <w:rPr>
          <w:noProof/>
          <w:lang w:val="fr-CA" w:bidi="en-US"/>
        </w:rPr>
        <w:t xml:space="preserve"> </w:t>
      </w:r>
      <w:r w:rsidR="004A25D9">
        <w:rPr>
          <w:noProof/>
          <w:lang w:val="fr-CA" w:bidi="en-US"/>
        </w:rPr>
        <w:t xml:space="preserve">33, [2002] 2 </w:t>
      </w:r>
      <w:r w:rsidR="00E80457" w:rsidRPr="00E80457">
        <w:rPr>
          <w:noProof/>
          <w:lang w:val="fr-CA" w:bidi="en-US"/>
        </w:rPr>
        <w:t>R.C.S.</w:t>
      </w:r>
      <w:r w:rsidR="004A25D9">
        <w:rPr>
          <w:noProof/>
          <w:lang w:val="fr-CA" w:bidi="en-US"/>
        </w:rPr>
        <w:t xml:space="preserve"> </w:t>
      </w:r>
      <w:r w:rsidR="00E80457" w:rsidRPr="00E80457">
        <w:rPr>
          <w:noProof/>
          <w:lang w:val="fr-CA" w:bidi="en-US"/>
        </w:rPr>
        <w:t xml:space="preserve">235; </w:t>
      </w:r>
      <w:r w:rsidR="00E80457" w:rsidRPr="00E80457">
        <w:rPr>
          <w:i/>
          <w:noProof/>
          <w:lang w:val="fr-CA" w:bidi="en-US"/>
        </w:rPr>
        <w:t>Québec (Procureure générale) c. Montréal (Ville)</w:t>
      </w:r>
      <w:r w:rsidR="00E80457" w:rsidRPr="00E80457">
        <w:rPr>
          <w:noProof/>
          <w:lang w:val="fr-CA" w:bidi="en-US"/>
        </w:rPr>
        <w:t>, 2016</w:t>
      </w:r>
      <w:r w:rsidR="004A25D9">
        <w:rPr>
          <w:noProof/>
          <w:lang w:val="fr-CA" w:bidi="en-US"/>
        </w:rPr>
        <w:t xml:space="preserve"> </w:t>
      </w:r>
      <w:r w:rsidR="00E80457" w:rsidRPr="00E80457">
        <w:rPr>
          <w:noProof/>
          <w:lang w:val="fr-CA" w:bidi="en-US"/>
        </w:rPr>
        <w:t>QCCA</w:t>
      </w:r>
      <w:r w:rsidR="004A25D9">
        <w:rPr>
          <w:noProof/>
          <w:lang w:val="fr-CA" w:bidi="en-US"/>
        </w:rPr>
        <w:t xml:space="preserve"> </w:t>
      </w:r>
      <w:r w:rsidR="00E80457" w:rsidRPr="00E80457">
        <w:rPr>
          <w:noProof/>
          <w:lang w:val="fr-CA" w:bidi="en-US"/>
        </w:rPr>
        <w:t>2108</w:t>
      </w:r>
      <w:r w:rsidR="009B2602">
        <w:rPr>
          <w:noProof/>
          <w:lang w:val="fr-CA" w:bidi="en-US"/>
        </w:rPr>
        <w:t xml:space="preserve">, 17 Admin. </w:t>
      </w:r>
      <w:r w:rsidR="009B2602" w:rsidRPr="009B2602">
        <w:rPr>
          <w:noProof/>
          <w:lang w:val="en-US" w:bidi="en-US"/>
        </w:rPr>
        <w:t>L.</w:t>
      </w:r>
      <w:r w:rsidR="009B2602">
        <w:rPr>
          <w:noProof/>
          <w:lang w:val="en-US" w:bidi="en-US"/>
        </w:rPr>
        <w:t>R. (6</w:t>
      </w:r>
      <w:r w:rsidR="009B2602" w:rsidRPr="009B2602">
        <w:rPr>
          <w:noProof/>
          <w:lang w:val="en-US" w:bidi="en-US"/>
        </w:rPr>
        <w:t>th</w:t>
      </w:r>
      <w:r w:rsidR="009B2602">
        <w:rPr>
          <w:noProof/>
          <w:lang w:val="en-US" w:bidi="en-US"/>
        </w:rPr>
        <w:t>) 328</w:t>
      </w:r>
      <w:r w:rsidR="00E80457" w:rsidRPr="009B2602">
        <w:rPr>
          <w:noProof/>
          <w:lang w:val="en-US" w:bidi="en-US"/>
        </w:rPr>
        <w:t>;</w:t>
      </w:r>
      <w:r w:rsidR="00E80457" w:rsidRPr="009B2602">
        <w:rPr>
          <w:i/>
          <w:noProof/>
          <w:lang w:val="en-US" w:bidi="en-US"/>
        </w:rPr>
        <w:t xml:space="preserve"> Bell Canada c. 726</w:t>
      </w:r>
      <w:r w:rsidR="006E2506">
        <w:rPr>
          <w:i/>
          <w:noProof/>
          <w:lang w:val="en-US" w:bidi="en-US"/>
        </w:rPr>
        <w:t>2591</w:t>
      </w:r>
      <w:r w:rsidR="00E80457" w:rsidRPr="009B2602">
        <w:rPr>
          <w:i/>
          <w:noProof/>
          <w:lang w:val="en-US" w:bidi="en-US"/>
        </w:rPr>
        <w:t xml:space="preserve"> Canada Ltd.</w:t>
      </w:r>
      <w:r w:rsidR="006E2506">
        <w:rPr>
          <w:noProof/>
          <w:lang w:val="en-US" w:bidi="en-US"/>
        </w:rPr>
        <w:t xml:space="preserve">, 2018 </w:t>
      </w:r>
      <w:r w:rsidR="00E80457" w:rsidRPr="009B2602">
        <w:rPr>
          <w:noProof/>
          <w:lang w:val="en-US" w:bidi="en-US"/>
        </w:rPr>
        <w:t>CAF</w:t>
      </w:r>
      <w:r w:rsidR="006E2506">
        <w:rPr>
          <w:noProof/>
          <w:lang w:val="en-US" w:bidi="en-US"/>
        </w:rPr>
        <w:t xml:space="preserve"> </w:t>
      </w:r>
      <w:r w:rsidR="00E80457" w:rsidRPr="009B2602">
        <w:rPr>
          <w:noProof/>
          <w:lang w:val="en-US" w:bidi="en-US"/>
        </w:rPr>
        <w:t xml:space="preserve">174; </w:t>
      </w:r>
      <w:r w:rsidR="00E80457" w:rsidRPr="009B2602">
        <w:rPr>
          <w:i/>
          <w:noProof/>
          <w:lang w:val="en-US" w:bidi="en-US"/>
        </w:rPr>
        <w:t>Garneau Community League c. Edmonton (City)</w:t>
      </w:r>
      <w:r w:rsidR="008B076C">
        <w:rPr>
          <w:noProof/>
          <w:lang w:val="en-US" w:bidi="en-US"/>
        </w:rPr>
        <w:t xml:space="preserve">, 2017 </w:t>
      </w:r>
      <w:r w:rsidR="00E80457" w:rsidRPr="009B2602">
        <w:rPr>
          <w:noProof/>
          <w:lang w:val="en-US" w:bidi="en-US"/>
        </w:rPr>
        <w:t>ABCA</w:t>
      </w:r>
      <w:r w:rsidR="008B076C">
        <w:rPr>
          <w:noProof/>
          <w:lang w:val="en-US" w:bidi="en-US"/>
        </w:rPr>
        <w:t xml:space="preserve"> </w:t>
      </w:r>
      <w:r w:rsidR="00E80457" w:rsidRPr="009B2602">
        <w:rPr>
          <w:noProof/>
          <w:lang w:val="en-US" w:bidi="en-US"/>
        </w:rPr>
        <w:t xml:space="preserve">374, </w:t>
      </w:r>
      <w:r w:rsidR="00E80457" w:rsidRPr="009B2602">
        <w:rPr>
          <w:noProof/>
          <w:lang w:val="en-US"/>
        </w:rPr>
        <w:t xml:space="preserve">60 Alta. L.R. (6th) 1; </w:t>
      </w:r>
      <w:r w:rsidR="00E80457" w:rsidRPr="009B2602">
        <w:rPr>
          <w:i/>
          <w:noProof/>
          <w:lang w:val="en-US" w:bidi="en-US"/>
        </w:rPr>
        <w:t>Nova Scotia (Attorney General) c. S&amp;D Smith Central Supplies Limited</w:t>
      </w:r>
      <w:r w:rsidR="008B076C">
        <w:rPr>
          <w:noProof/>
          <w:lang w:val="en-US" w:bidi="en-US"/>
        </w:rPr>
        <w:t xml:space="preserve">, 2019 </w:t>
      </w:r>
      <w:r w:rsidR="00E80457" w:rsidRPr="009B2602">
        <w:rPr>
          <w:noProof/>
          <w:lang w:val="en-US" w:bidi="en-US"/>
        </w:rPr>
        <w:t>NSCA</w:t>
      </w:r>
      <w:r w:rsidR="008B076C">
        <w:rPr>
          <w:noProof/>
          <w:lang w:val="en-US" w:bidi="en-US"/>
        </w:rPr>
        <w:t xml:space="preserve"> </w:t>
      </w:r>
      <w:r w:rsidR="00E80457" w:rsidRPr="009B2602">
        <w:rPr>
          <w:noProof/>
          <w:lang w:val="en-US" w:bidi="en-US"/>
        </w:rPr>
        <w:t xml:space="preserve">22; </w:t>
      </w:r>
      <w:r w:rsidR="00E80457" w:rsidRPr="009B2602">
        <w:rPr>
          <w:i/>
          <w:noProof/>
          <w:lang w:val="en-US" w:bidi="en-US"/>
        </w:rPr>
        <w:t xml:space="preserve">Atlantic Mining NS Corp. </w:t>
      </w:r>
      <w:r w:rsidR="00E80457" w:rsidRPr="00E80457">
        <w:rPr>
          <w:i/>
          <w:noProof/>
          <w:lang w:val="fr-CA" w:bidi="en-US"/>
        </w:rPr>
        <w:t>(D.D.V. Gold Limited) c. Oakley</w:t>
      </w:r>
      <w:r w:rsidR="008A0609">
        <w:rPr>
          <w:noProof/>
          <w:lang w:val="fr-CA" w:bidi="en-US"/>
        </w:rPr>
        <w:t xml:space="preserve">, 2019 </w:t>
      </w:r>
      <w:r w:rsidR="00E80457" w:rsidRPr="00E80457">
        <w:rPr>
          <w:noProof/>
          <w:lang w:val="fr-CA" w:bidi="en-US"/>
        </w:rPr>
        <w:t>NSCA</w:t>
      </w:r>
      <w:r w:rsidR="008A0609">
        <w:rPr>
          <w:noProof/>
          <w:lang w:val="fr-CA" w:bidi="en-US"/>
        </w:rPr>
        <w:t xml:space="preserve"> </w:t>
      </w:r>
      <w:r w:rsidR="00E80457" w:rsidRPr="00E80457">
        <w:rPr>
          <w:noProof/>
          <w:lang w:val="fr-CA" w:bidi="en-US"/>
        </w:rPr>
        <w:t xml:space="preserve">14; </w:t>
      </w:r>
      <w:r w:rsidR="00E80457" w:rsidRPr="00E80457">
        <w:rPr>
          <w:i/>
          <w:noProof/>
          <w:lang w:val="fr-CA" w:bidi="en-US"/>
        </w:rPr>
        <w:t>R. c. Robinson</w:t>
      </w:r>
      <w:r w:rsidR="00E80457" w:rsidRPr="00E80457">
        <w:rPr>
          <w:noProof/>
          <w:lang w:val="fr-CA" w:bidi="en-US"/>
        </w:rPr>
        <w:t>, [1996] 1</w:t>
      </w:r>
      <w:r w:rsidR="008A0609">
        <w:rPr>
          <w:noProof/>
          <w:lang w:val="fr-CA" w:bidi="en-US"/>
        </w:rPr>
        <w:t xml:space="preserve"> </w:t>
      </w:r>
      <w:r w:rsidR="00E80457" w:rsidRPr="00E80457">
        <w:rPr>
          <w:noProof/>
          <w:lang w:val="fr-CA" w:bidi="en-US"/>
        </w:rPr>
        <w:t xml:space="preserve">R.C.S. 683; </w:t>
      </w:r>
      <w:r w:rsidR="00E80457" w:rsidRPr="00E80457">
        <w:rPr>
          <w:i/>
          <w:noProof/>
          <w:lang w:val="fr-CA" w:bidi="en-US"/>
        </w:rPr>
        <w:t>Tervita Corp. c. Canada (Commissaire de la concurrence)</w:t>
      </w:r>
      <w:r w:rsidR="008A0609">
        <w:rPr>
          <w:noProof/>
          <w:lang w:val="fr-CA" w:bidi="en-US"/>
        </w:rPr>
        <w:t xml:space="preserve">, 2015 </w:t>
      </w:r>
      <w:r w:rsidR="00E80457" w:rsidRPr="00E80457">
        <w:rPr>
          <w:noProof/>
          <w:lang w:val="fr-CA" w:bidi="en-US"/>
        </w:rPr>
        <w:t>CSC</w:t>
      </w:r>
      <w:r w:rsidR="008A0609">
        <w:rPr>
          <w:noProof/>
          <w:lang w:val="fr-CA" w:bidi="en-US"/>
        </w:rPr>
        <w:t xml:space="preserve"> </w:t>
      </w:r>
      <w:r w:rsidR="00E80457" w:rsidRPr="00E80457">
        <w:rPr>
          <w:noProof/>
          <w:lang w:val="fr-CA" w:bidi="en-US"/>
        </w:rPr>
        <w:t>3, [2015] 1</w:t>
      </w:r>
      <w:r w:rsidR="00D57DF5">
        <w:rPr>
          <w:noProof/>
          <w:lang w:val="fr-CA" w:bidi="en-US"/>
        </w:rPr>
        <w:t xml:space="preserve"> </w:t>
      </w:r>
      <w:r w:rsidR="00E80457" w:rsidRPr="00E80457">
        <w:rPr>
          <w:noProof/>
          <w:lang w:val="fr-CA" w:bidi="en-US"/>
        </w:rPr>
        <w:t>R.C.S.</w:t>
      </w:r>
      <w:r w:rsidR="00D57DF5">
        <w:rPr>
          <w:noProof/>
          <w:lang w:val="fr-CA" w:bidi="en-US"/>
        </w:rPr>
        <w:t xml:space="preserve"> </w:t>
      </w:r>
      <w:r w:rsidR="00E80457" w:rsidRPr="00E80457">
        <w:rPr>
          <w:noProof/>
          <w:lang w:val="fr-CA" w:bidi="en-US"/>
        </w:rPr>
        <w:t xml:space="preserve">161; </w:t>
      </w:r>
      <w:r w:rsidR="00E80457" w:rsidRPr="00E80457">
        <w:rPr>
          <w:i/>
          <w:noProof/>
          <w:lang w:val="fr-CA"/>
        </w:rPr>
        <w:t xml:space="preserve">British Columbia Telephone Co. </w:t>
      </w:r>
      <w:r w:rsidR="00E80457" w:rsidRPr="00E80457">
        <w:rPr>
          <w:i/>
          <w:iCs/>
          <w:noProof/>
          <w:lang w:val="fr-CA"/>
        </w:rPr>
        <w:t>c.</w:t>
      </w:r>
      <w:r w:rsidR="00E80457" w:rsidRPr="00E80457">
        <w:rPr>
          <w:i/>
          <w:noProof/>
          <w:lang w:val="fr-CA"/>
        </w:rPr>
        <w:t xml:space="preserve"> Shaw Cable Systems (B.C.) Ltd.</w:t>
      </w:r>
      <w:r w:rsidR="00D57DF5">
        <w:rPr>
          <w:noProof/>
          <w:lang w:val="fr-CA"/>
        </w:rPr>
        <w:t xml:space="preserve">, [1995] 2 </w:t>
      </w:r>
      <w:r w:rsidR="00E80457" w:rsidRPr="00E80457">
        <w:rPr>
          <w:noProof/>
          <w:lang w:val="fr-CA"/>
        </w:rPr>
        <w:t>R.C.S.</w:t>
      </w:r>
      <w:r w:rsidR="00D57DF5">
        <w:rPr>
          <w:noProof/>
          <w:lang w:val="fr-CA"/>
        </w:rPr>
        <w:t xml:space="preserve"> </w:t>
      </w:r>
      <w:r w:rsidR="00E80457" w:rsidRPr="00E80457">
        <w:rPr>
          <w:noProof/>
          <w:lang w:val="fr-CA"/>
        </w:rPr>
        <w:t xml:space="preserve">739; </w:t>
      </w:r>
      <w:r w:rsidR="00D57DF5">
        <w:rPr>
          <w:i/>
          <w:iCs/>
          <w:noProof/>
          <w:lang w:val="fr-CA"/>
        </w:rPr>
        <w:t>Barreau du Nouveau-</w:t>
      </w:r>
      <w:r w:rsidR="00E80457" w:rsidRPr="00E80457">
        <w:rPr>
          <w:i/>
          <w:iCs/>
          <w:noProof/>
          <w:lang w:val="fr-CA"/>
        </w:rPr>
        <w:t>Brunswick c. Ryan</w:t>
      </w:r>
      <w:r w:rsidR="00D57DF5">
        <w:rPr>
          <w:noProof/>
          <w:lang w:val="fr-CA"/>
        </w:rPr>
        <w:t xml:space="preserve">, 2003 </w:t>
      </w:r>
      <w:r w:rsidR="00E80457" w:rsidRPr="00E80457">
        <w:rPr>
          <w:noProof/>
          <w:lang w:val="fr-CA"/>
        </w:rPr>
        <w:t>CSC</w:t>
      </w:r>
      <w:r w:rsidR="00D57DF5">
        <w:rPr>
          <w:noProof/>
          <w:lang w:val="fr-CA"/>
        </w:rPr>
        <w:t xml:space="preserve"> </w:t>
      </w:r>
      <w:r w:rsidR="00E80457" w:rsidRPr="00E80457">
        <w:rPr>
          <w:noProof/>
          <w:lang w:val="fr-CA"/>
        </w:rPr>
        <w:t>20, [2003] 1</w:t>
      </w:r>
      <w:r w:rsidR="00D57DF5">
        <w:rPr>
          <w:noProof/>
          <w:lang w:val="fr-CA"/>
        </w:rPr>
        <w:t xml:space="preserve"> </w:t>
      </w:r>
      <w:r w:rsidR="00E80457" w:rsidRPr="00E80457">
        <w:rPr>
          <w:noProof/>
          <w:lang w:val="fr-CA"/>
        </w:rPr>
        <w:t>R.C.S.</w:t>
      </w:r>
      <w:r w:rsidR="00D57DF5">
        <w:rPr>
          <w:noProof/>
          <w:lang w:val="fr-CA"/>
        </w:rPr>
        <w:t xml:space="preserve"> </w:t>
      </w:r>
      <w:r w:rsidR="00E80457" w:rsidRPr="00E80457">
        <w:rPr>
          <w:noProof/>
          <w:lang w:val="fr-CA"/>
        </w:rPr>
        <w:t xml:space="preserve">247; </w:t>
      </w:r>
      <w:r w:rsidR="00E80457" w:rsidRPr="00E80457">
        <w:rPr>
          <w:i/>
          <w:noProof/>
          <w:lang w:val="fr-CA"/>
        </w:rPr>
        <w:t xml:space="preserve">Barrie Public Utilities </w:t>
      </w:r>
      <w:r w:rsidR="00E80457" w:rsidRPr="00E80457">
        <w:rPr>
          <w:i/>
          <w:iCs/>
          <w:noProof/>
          <w:lang w:val="fr-CA"/>
        </w:rPr>
        <w:t>c.</w:t>
      </w:r>
      <w:r w:rsidR="00E80457" w:rsidRPr="00E80457">
        <w:rPr>
          <w:i/>
          <w:noProof/>
          <w:lang w:val="fr-CA"/>
        </w:rPr>
        <w:t xml:space="preserve"> Assoc</w:t>
      </w:r>
      <w:r w:rsidR="00D57DF5">
        <w:rPr>
          <w:i/>
          <w:noProof/>
          <w:lang w:val="fr-CA"/>
        </w:rPr>
        <w:t xml:space="preserve">. </w:t>
      </w:r>
      <w:r w:rsidR="00E80457" w:rsidRPr="00E80457">
        <w:rPr>
          <w:i/>
          <w:noProof/>
          <w:lang w:val="fr-CA"/>
        </w:rPr>
        <w:t>canadienne de télévision par câble</w:t>
      </w:r>
      <w:r w:rsidR="00D57DF5">
        <w:rPr>
          <w:noProof/>
          <w:lang w:val="fr-CA"/>
        </w:rPr>
        <w:t xml:space="preserve">, 2003 </w:t>
      </w:r>
      <w:r w:rsidR="00E80457" w:rsidRPr="00E80457">
        <w:rPr>
          <w:noProof/>
          <w:lang w:val="fr-CA"/>
        </w:rPr>
        <w:t>CSC</w:t>
      </w:r>
      <w:r w:rsidR="00D57DF5">
        <w:rPr>
          <w:noProof/>
          <w:lang w:val="fr-CA"/>
        </w:rPr>
        <w:t xml:space="preserve"> </w:t>
      </w:r>
      <w:r w:rsidR="00E80457" w:rsidRPr="00E80457">
        <w:rPr>
          <w:noProof/>
          <w:lang w:val="fr-CA"/>
        </w:rPr>
        <w:t>28, [2003] 1</w:t>
      </w:r>
      <w:r w:rsidR="000D084C">
        <w:rPr>
          <w:noProof/>
          <w:lang w:val="fr-CA"/>
        </w:rPr>
        <w:t xml:space="preserve"> </w:t>
      </w:r>
      <w:r w:rsidR="00E80457" w:rsidRPr="00E80457">
        <w:rPr>
          <w:noProof/>
          <w:lang w:val="fr-CA"/>
        </w:rPr>
        <w:t>R.C.S.</w:t>
      </w:r>
      <w:r w:rsidR="000D084C">
        <w:rPr>
          <w:noProof/>
          <w:lang w:val="fr-CA"/>
        </w:rPr>
        <w:t xml:space="preserve"> </w:t>
      </w:r>
      <w:r w:rsidR="00E80457" w:rsidRPr="00E80457">
        <w:rPr>
          <w:noProof/>
          <w:lang w:val="fr-CA"/>
        </w:rPr>
        <w:t xml:space="preserve">476; </w:t>
      </w:r>
      <w:r w:rsidR="00E80457" w:rsidRPr="00E80457">
        <w:rPr>
          <w:i/>
          <w:noProof/>
          <w:lang w:val="fr-CA"/>
        </w:rPr>
        <w:t xml:space="preserve">Monsanto </w:t>
      </w:r>
      <w:r w:rsidR="00E80457" w:rsidRPr="00E80457">
        <w:rPr>
          <w:i/>
          <w:noProof/>
          <w:lang w:val="fr-CA"/>
        </w:rPr>
        <w:lastRenderedPageBreak/>
        <w:t xml:space="preserve">Canada Inc. </w:t>
      </w:r>
      <w:r w:rsidR="00E80457" w:rsidRPr="00E80457">
        <w:rPr>
          <w:i/>
          <w:iCs/>
          <w:noProof/>
          <w:lang w:val="fr-CA"/>
        </w:rPr>
        <w:t>c.</w:t>
      </w:r>
      <w:r w:rsidR="00E80457" w:rsidRPr="00E80457">
        <w:rPr>
          <w:i/>
          <w:noProof/>
          <w:lang w:val="fr-CA"/>
        </w:rPr>
        <w:t xml:space="preserve"> Ontario (Surintendant des services financiers)</w:t>
      </w:r>
      <w:r w:rsidR="000D084C">
        <w:rPr>
          <w:noProof/>
          <w:lang w:val="fr-CA"/>
        </w:rPr>
        <w:t xml:space="preserve">, 2004 </w:t>
      </w:r>
      <w:r w:rsidR="00E80457" w:rsidRPr="00E80457">
        <w:rPr>
          <w:noProof/>
          <w:lang w:val="fr-CA"/>
        </w:rPr>
        <w:t>CSC</w:t>
      </w:r>
      <w:r w:rsidR="000D084C">
        <w:rPr>
          <w:noProof/>
          <w:lang w:val="fr-CA"/>
        </w:rPr>
        <w:t xml:space="preserve"> </w:t>
      </w:r>
      <w:r w:rsidR="00E80457" w:rsidRPr="00E80457">
        <w:rPr>
          <w:noProof/>
          <w:lang w:val="fr-CA"/>
        </w:rPr>
        <w:t>54, [2004] 3</w:t>
      </w:r>
      <w:r w:rsidR="000D084C">
        <w:rPr>
          <w:noProof/>
          <w:lang w:val="fr-CA"/>
        </w:rPr>
        <w:t xml:space="preserve"> </w:t>
      </w:r>
      <w:r w:rsidR="00E80457" w:rsidRPr="00E80457">
        <w:rPr>
          <w:noProof/>
          <w:lang w:val="fr-CA"/>
        </w:rPr>
        <w:t>R.C.S.</w:t>
      </w:r>
      <w:r w:rsidR="000D084C">
        <w:rPr>
          <w:noProof/>
          <w:lang w:val="fr-CA"/>
        </w:rPr>
        <w:t xml:space="preserve"> </w:t>
      </w:r>
      <w:r w:rsidR="00E80457" w:rsidRPr="00E80457">
        <w:rPr>
          <w:noProof/>
          <w:lang w:val="fr-CA"/>
        </w:rPr>
        <w:t xml:space="preserve">152; </w:t>
      </w:r>
      <w:r w:rsidR="00E80457" w:rsidRPr="00E80457">
        <w:rPr>
          <w:i/>
          <w:iCs/>
          <w:noProof/>
          <w:lang w:val="fr-CA" w:bidi="en-US"/>
        </w:rPr>
        <w:t>Procureu</w:t>
      </w:r>
      <w:r w:rsidR="00076632">
        <w:rPr>
          <w:i/>
          <w:iCs/>
          <w:noProof/>
          <w:lang w:val="fr-CA" w:bidi="en-US"/>
        </w:rPr>
        <w:t>r général du Québec</w:t>
      </w:r>
      <w:r w:rsidR="00E80457" w:rsidRPr="00E80457">
        <w:rPr>
          <w:i/>
          <w:iCs/>
          <w:noProof/>
          <w:lang w:val="fr-CA" w:bidi="en-US"/>
        </w:rPr>
        <w:t xml:space="preserve"> c. Carrières Ste</w:t>
      </w:r>
      <w:r w:rsidR="00E80457" w:rsidRPr="00E80457">
        <w:rPr>
          <w:i/>
          <w:iCs/>
          <w:noProof/>
          <w:lang w:val="fr-CA" w:bidi="en-US"/>
        </w:rPr>
        <w:noBreakHyphen/>
        <w:t>Thérèse Ltée</w:t>
      </w:r>
      <w:r w:rsidR="00E80457" w:rsidRPr="00E80457">
        <w:rPr>
          <w:noProof/>
          <w:lang w:val="fr-CA" w:bidi="en-US"/>
        </w:rPr>
        <w:t>, [198</w:t>
      </w:r>
      <w:r w:rsidR="00CB29EE">
        <w:rPr>
          <w:noProof/>
          <w:lang w:val="fr-CA" w:bidi="en-US"/>
        </w:rPr>
        <w:t>5] 1</w:t>
      </w:r>
      <w:r w:rsidR="000D084C">
        <w:rPr>
          <w:noProof/>
          <w:lang w:val="fr-CA" w:bidi="en-US"/>
        </w:rPr>
        <w:t xml:space="preserve"> </w:t>
      </w:r>
      <w:r w:rsidR="00CB29EE">
        <w:rPr>
          <w:noProof/>
          <w:lang w:val="fr-CA" w:bidi="en-US"/>
        </w:rPr>
        <w:t>R.C.S.</w:t>
      </w:r>
      <w:r w:rsidR="000D084C">
        <w:rPr>
          <w:noProof/>
          <w:lang w:val="fr-CA" w:bidi="en-US"/>
        </w:rPr>
        <w:t xml:space="preserve"> </w:t>
      </w:r>
      <w:r w:rsidR="00CB29EE">
        <w:rPr>
          <w:noProof/>
          <w:lang w:val="fr-CA" w:bidi="en-US"/>
        </w:rPr>
        <w:t xml:space="preserve">831; </w:t>
      </w:r>
      <w:r w:rsidR="00CB29EE">
        <w:rPr>
          <w:i/>
          <w:noProof/>
          <w:lang w:val="fr-CA" w:bidi="en-US"/>
        </w:rPr>
        <w:t>Rogers Communications Inc. c. Soci</w:t>
      </w:r>
      <w:r w:rsidR="00CB29EE" w:rsidRPr="00E80457">
        <w:rPr>
          <w:i/>
          <w:iCs/>
          <w:noProof/>
          <w:lang w:val="fr-CA" w:bidi="en-US"/>
        </w:rPr>
        <w:t>é</w:t>
      </w:r>
      <w:r w:rsidR="00CB29EE">
        <w:rPr>
          <w:i/>
          <w:noProof/>
          <w:lang w:val="fr-CA" w:bidi="en-US"/>
        </w:rPr>
        <w:t>t</w:t>
      </w:r>
      <w:r w:rsidR="00CB29EE" w:rsidRPr="00E80457">
        <w:rPr>
          <w:i/>
          <w:iCs/>
          <w:noProof/>
          <w:lang w:val="fr-CA" w:bidi="en-US"/>
        </w:rPr>
        <w:t>é</w:t>
      </w:r>
      <w:r w:rsidR="00CB29EE">
        <w:rPr>
          <w:i/>
          <w:noProof/>
          <w:lang w:val="fr-CA" w:bidi="en-US"/>
        </w:rPr>
        <w:t xml:space="preserve"> canadienne des auteurs, compositeurs et </w:t>
      </w:r>
      <w:r w:rsidR="00CB29EE" w:rsidRPr="00E80457">
        <w:rPr>
          <w:i/>
          <w:iCs/>
          <w:noProof/>
          <w:lang w:val="fr-CA" w:bidi="en-US"/>
        </w:rPr>
        <w:t>é</w:t>
      </w:r>
      <w:r w:rsidR="00CB29EE">
        <w:rPr>
          <w:i/>
          <w:iCs/>
          <w:noProof/>
          <w:lang w:val="fr-CA" w:bidi="en-US"/>
        </w:rPr>
        <w:t>diteurs de musique</w:t>
      </w:r>
      <w:r w:rsidR="00CB29EE">
        <w:rPr>
          <w:iCs/>
          <w:noProof/>
          <w:lang w:val="fr-CA" w:bidi="en-US"/>
        </w:rPr>
        <w:t>, 2012 CSC 35, [2012] 2 R.C.S. 283;</w:t>
      </w:r>
      <w:r w:rsidR="00CB29EE">
        <w:rPr>
          <w:noProof/>
          <w:lang w:val="fr-CA" w:bidi="en-US"/>
        </w:rPr>
        <w:t xml:space="preserve"> </w:t>
      </w:r>
      <w:r w:rsidR="00E80457" w:rsidRPr="00E80457">
        <w:rPr>
          <w:i/>
          <w:noProof/>
          <w:lang w:val="fr-CA"/>
        </w:rPr>
        <w:t>Westcoast Energy Inc. c. Canada (Office national de l</w:t>
      </w:r>
      <w:r w:rsidR="00356C64">
        <w:rPr>
          <w:i/>
          <w:noProof/>
          <w:lang w:val="fr-CA"/>
        </w:rPr>
        <w:t>’</w:t>
      </w:r>
      <w:r w:rsidR="00E80457" w:rsidRPr="00E80457">
        <w:rPr>
          <w:i/>
          <w:noProof/>
          <w:lang w:val="fr-CA"/>
        </w:rPr>
        <w:t>énergie)</w:t>
      </w:r>
      <w:r w:rsidR="00E80457" w:rsidRPr="00E80457">
        <w:rPr>
          <w:noProof/>
          <w:lang w:val="fr-CA"/>
        </w:rPr>
        <w:t>, [1998] 1</w:t>
      </w:r>
      <w:r w:rsidR="000D084C">
        <w:rPr>
          <w:noProof/>
          <w:lang w:val="fr-CA"/>
        </w:rPr>
        <w:t xml:space="preserve"> </w:t>
      </w:r>
      <w:r w:rsidR="00E80457" w:rsidRPr="00E80457">
        <w:rPr>
          <w:noProof/>
          <w:lang w:val="fr-CA"/>
        </w:rPr>
        <w:t>R.C.S.</w:t>
      </w:r>
      <w:r w:rsidR="000D084C">
        <w:rPr>
          <w:noProof/>
          <w:lang w:val="fr-CA"/>
        </w:rPr>
        <w:t xml:space="preserve"> </w:t>
      </w:r>
      <w:r w:rsidR="00E80457" w:rsidRPr="00E80457">
        <w:rPr>
          <w:noProof/>
          <w:lang w:val="fr-CA"/>
        </w:rPr>
        <w:t xml:space="preserve">322; </w:t>
      </w:r>
      <w:r w:rsidR="00E80457" w:rsidRPr="00E80457">
        <w:rPr>
          <w:i/>
          <w:noProof/>
          <w:lang w:val="fr-CA"/>
        </w:rPr>
        <w:t>Doré c. Barreau du Québec</w:t>
      </w:r>
      <w:r w:rsidR="000D084C">
        <w:rPr>
          <w:noProof/>
          <w:lang w:val="fr-CA"/>
        </w:rPr>
        <w:t xml:space="preserve">, 2012 CSC 12, [2012] 1 </w:t>
      </w:r>
      <w:r w:rsidR="00E80457" w:rsidRPr="00E80457">
        <w:rPr>
          <w:noProof/>
          <w:lang w:val="fr-CA"/>
        </w:rPr>
        <w:t>R.C.S.</w:t>
      </w:r>
      <w:r w:rsidR="000D084C">
        <w:rPr>
          <w:noProof/>
          <w:lang w:val="fr-CA"/>
        </w:rPr>
        <w:t xml:space="preserve"> </w:t>
      </w:r>
      <w:r w:rsidR="00E80457" w:rsidRPr="00E80457">
        <w:rPr>
          <w:noProof/>
          <w:lang w:val="fr-CA"/>
        </w:rPr>
        <w:t xml:space="preserve">395; </w:t>
      </w:r>
      <w:r w:rsidR="00E80457" w:rsidRPr="00E80457">
        <w:rPr>
          <w:i/>
          <w:noProof/>
          <w:lang w:val="fr-CA"/>
        </w:rPr>
        <w:t>Nouvelle</w:t>
      </w:r>
      <w:r w:rsidR="00E80457" w:rsidRPr="00E80457">
        <w:rPr>
          <w:i/>
          <w:noProof/>
          <w:lang w:val="fr-CA"/>
        </w:rPr>
        <w:noBreakHyphen/>
        <w:t>Écosse (Workers</w:t>
      </w:r>
      <w:r w:rsidR="00356C64">
        <w:rPr>
          <w:i/>
          <w:noProof/>
          <w:lang w:val="fr-CA"/>
        </w:rPr>
        <w:t>’</w:t>
      </w:r>
      <w:r w:rsidR="00E80457" w:rsidRPr="00E80457">
        <w:rPr>
          <w:i/>
          <w:noProof/>
          <w:lang w:val="fr-CA"/>
        </w:rPr>
        <w:t xml:space="preserve"> Compensation Board) c. Martin</w:t>
      </w:r>
      <w:r w:rsidR="00E80457" w:rsidRPr="00E80457">
        <w:rPr>
          <w:noProof/>
          <w:lang w:val="fr-CA"/>
        </w:rPr>
        <w:t>, 2003</w:t>
      </w:r>
      <w:r w:rsidR="000D084C">
        <w:rPr>
          <w:noProof/>
          <w:lang w:val="fr-CA"/>
        </w:rPr>
        <w:t xml:space="preserve"> </w:t>
      </w:r>
      <w:r w:rsidR="00E80457" w:rsidRPr="00E80457">
        <w:rPr>
          <w:noProof/>
          <w:lang w:val="fr-CA"/>
        </w:rPr>
        <w:t>CSC</w:t>
      </w:r>
      <w:r w:rsidR="000D084C">
        <w:rPr>
          <w:noProof/>
          <w:lang w:val="fr-CA"/>
        </w:rPr>
        <w:t xml:space="preserve"> </w:t>
      </w:r>
      <w:r w:rsidR="00E80457" w:rsidRPr="00E80457">
        <w:rPr>
          <w:noProof/>
          <w:lang w:val="fr-CA"/>
        </w:rPr>
        <w:t>54, [2003] 2</w:t>
      </w:r>
      <w:r w:rsidR="000D084C">
        <w:rPr>
          <w:noProof/>
          <w:lang w:val="fr-CA"/>
        </w:rPr>
        <w:t xml:space="preserve"> </w:t>
      </w:r>
      <w:r w:rsidR="00E80457" w:rsidRPr="00E80457">
        <w:rPr>
          <w:noProof/>
          <w:lang w:val="fr-CA"/>
        </w:rPr>
        <w:t>R.C.S.</w:t>
      </w:r>
      <w:r w:rsidR="000D084C">
        <w:rPr>
          <w:noProof/>
          <w:lang w:val="fr-CA"/>
        </w:rPr>
        <w:t xml:space="preserve"> </w:t>
      </w:r>
      <w:r w:rsidR="00E80457" w:rsidRPr="00E80457">
        <w:rPr>
          <w:noProof/>
          <w:lang w:val="fr-CA"/>
        </w:rPr>
        <w:t xml:space="preserve">504; </w:t>
      </w:r>
      <w:r w:rsidR="00E80457" w:rsidRPr="00E80457">
        <w:rPr>
          <w:i/>
          <w:noProof/>
          <w:lang w:val="fr-CA" w:bidi="en-US"/>
        </w:rPr>
        <w:t>Toronto (Ville) c. S.C.F.P., section locale 79</w:t>
      </w:r>
      <w:r w:rsidR="000D084C">
        <w:rPr>
          <w:noProof/>
          <w:lang w:val="fr-CA" w:bidi="en-US"/>
        </w:rPr>
        <w:t xml:space="preserve">, 2003 </w:t>
      </w:r>
      <w:r w:rsidR="00E80457" w:rsidRPr="00E80457">
        <w:rPr>
          <w:noProof/>
          <w:lang w:val="fr-CA" w:bidi="en-US"/>
        </w:rPr>
        <w:t>CSC</w:t>
      </w:r>
      <w:r w:rsidR="000D084C">
        <w:rPr>
          <w:noProof/>
          <w:lang w:val="fr-CA" w:bidi="en-US"/>
        </w:rPr>
        <w:t xml:space="preserve"> </w:t>
      </w:r>
      <w:r w:rsidR="00E80457" w:rsidRPr="00E80457">
        <w:rPr>
          <w:noProof/>
          <w:lang w:val="fr-CA" w:bidi="en-US"/>
        </w:rPr>
        <w:t xml:space="preserve">63, </w:t>
      </w:r>
      <w:r w:rsidR="00E80457" w:rsidRPr="00E80457">
        <w:rPr>
          <w:noProof/>
          <w:lang w:val="fr-CA"/>
        </w:rPr>
        <w:t>[2003] 3</w:t>
      </w:r>
      <w:r w:rsidR="000D084C">
        <w:rPr>
          <w:noProof/>
          <w:lang w:val="fr-CA"/>
        </w:rPr>
        <w:t xml:space="preserve"> </w:t>
      </w:r>
      <w:r w:rsidR="00E80457" w:rsidRPr="00E80457">
        <w:rPr>
          <w:noProof/>
          <w:lang w:val="fr-CA"/>
        </w:rPr>
        <w:t>R.C.S.</w:t>
      </w:r>
      <w:r w:rsidR="000D084C">
        <w:rPr>
          <w:noProof/>
          <w:lang w:val="fr-CA"/>
        </w:rPr>
        <w:t xml:space="preserve"> </w:t>
      </w:r>
      <w:r w:rsidR="00E80457" w:rsidRPr="00E80457">
        <w:rPr>
          <w:noProof/>
          <w:lang w:val="fr-CA"/>
        </w:rPr>
        <w:t xml:space="preserve">77; </w:t>
      </w:r>
      <w:r w:rsidR="00E80457" w:rsidRPr="00E80457">
        <w:rPr>
          <w:i/>
          <w:noProof/>
          <w:lang w:val="fr-CA" w:bidi="en-US"/>
        </w:rPr>
        <w:t>Alberta (Information and Privacy Commissioner) c. University of Calgary</w:t>
      </w:r>
      <w:r w:rsidR="00E80457" w:rsidRPr="00E80457">
        <w:rPr>
          <w:noProof/>
          <w:lang w:val="fr-CA" w:bidi="en-US"/>
        </w:rPr>
        <w:t>, 2016</w:t>
      </w:r>
      <w:r w:rsidR="001862D8">
        <w:rPr>
          <w:noProof/>
          <w:lang w:val="fr-CA" w:bidi="en-US"/>
        </w:rPr>
        <w:t xml:space="preserve"> </w:t>
      </w:r>
      <w:r w:rsidR="00E80457" w:rsidRPr="00E80457">
        <w:rPr>
          <w:noProof/>
          <w:lang w:val="fr-CA" w:bidi="en-US"/>
        </w:rPr>
        <w:t>CSC</w:t>
      </w:r>
      <w:r w:rsidR="001862D8">
        <w:rPr>
          <w:noProof/>
          <w:lang w:val="fr-CA" w:bidi="en-US"/>
        </w:rPr>
        <w:t xml:space="preserve"> </w:t>
      </w:r>
      <w:r w:rsidR="00E80457" w:rsidRPr="00E80457">
        <w:rPr>
          <w:noProof/>
          <w:lang w:val="fr-CA" w:bidi="en-US"/>
        </w:rPr>
        <w:t>53, [2016] 2</w:t>
      </w:r>
      <w:r w:rsidR="001862D8">
        <w:rPr>
          <w:noProof/>
          <w:lang w:val="fr-CA" w:bidi="en-US"/>
        </w:rPr>
        <w:t xml:space="preserve"> </w:t>
      </w:r>
      <w:r w:rsidR="00E80457" w:rsidRPr="00E80457">
        <w:rPr>
          <w:noProof/>
          <w:lang w:val="fr-CA" w:bidi="en-US"/>
        </w:rPr>
        <w:t>R.C.S.</w:t>
      </w:r>
      <w:r w:rsidR="001862D8">
        <w:rPr>
          <w:noProof/>
          <w:lang w:val="fr-CA" w:bidi="en-US"/>
        </w:rPr>
        <w:t xml:space="preserve"> </w:t>
      </w:r>
      <w:r w:rsidR="00E80457" w:rsidRPr="00E80457">
        <w:rPr>
          <w:noProof/>
          <w:lang w:val="fr-CA" w:bidi="en-US"/>
        </w:rPr>
        <w:t>555</w:t>
      </w:r>
      <w:r w:rsidR="00E80457" w:rsidRPr="00E80457">
        <w:rPr>
          <w:noProof/>
          <w:lang w:val="fr-CA"/>
        </w:rPr>
        <w:t xml:space="preserve">; </w:t>
      </w:r>
      <w:r w:rsidR="00E80457" w:rsidRPr="00E80457">
        <w:rPr>
          <w:i/>
          <w:noProof/>
          <w:lang w:val="fr-CA"/>
        </w:rPr>
        <w:t>Chagnon c. Syndicat de la fonction publique et parapublique du Québec</w:t>
      </w:r>
      <w:r w:rsidR="001862D8">
        <w:rPr>
          <w:noProof/>
          <w:lang w:val="fr-CA"/>
        </w:rPr>
        <w:t xml:space="preserve">, 2018 </w:t>
      </w:r>
      <w:r w:rsidR="00E80457" w:rsidRPr="00E80457">
        <w:rPr>
          <w:noProof/>
          <w:lang w:val="fr-CA"/>
        </w:rPr>
        <w:t>CSC</w:t>
      </w:r>
      <w:r w:rsidR="001862D8">
        <w:rPr>
          <w:noProof/>
          <w:lang w:val="fr-CA"/>
        </w:rPr>
        <w:t xml:space="preserve"> </w:t>
      </w:r>
      <w:r w:rsidR="00E80457" w:rsidRPr="00E80457">
        <w:rPr>
          <w:noProof/>
          <w:lang w:val="fr-CA"/>
        </w:rPr>
        <w:t>39, [2018] 2</w:t>
      </w:r>
      <w:r w:rsidR="001862D8">
        <w:rPr>
          <w:noProof/>
          <w:lang w:val="fr-CA"/>
        </w:rPr>
        <w:t xml:space="preserve"> </w:t>
      </w:r>
      <w:r w:rsidR="00E80457" w:rsidRPr="00E80457">
        <w:rPr>
          <w:noProof/>
          <w:lang w:val="fr-CA"/>
        </w:rPr>
        <w:t>R.C.S.</w:t>
      </w:r>
      <w:r w:rsidR="001862D8">
        <w:rPr>
          <w:noProof/>
          <w:lang w:val="fr-CA"/>
        </w:rPr>
        <w:t xml:space="preserve"> </w:t>
      </w:r>
      <w:r w:rsidR="00E80457" w:rsidRPr="00E80457">
        <w:rPr>
          <w:noProof/>
          <w:lang w:val="fr-CA"/>
        </w:rPr>
        <w:t>687</w:t>
      </w:r>
      <w:r w:rsidR="00E80457" w:rsidRPr="00E80457">
        <w:rPr>
          <w:noProof/>
          <w:lang w:val="fr-CA" w:bidi="en-US"/>
        </w:rPr>
        <w:t xml:space="preserve">; </w:t>
      </w:r>
      <w:r w:rsidR="00E80457" w:rsidRPr="00E80457">
        <w:rPr>
          <w:i/>
          <w:noProof/>
          <w:lang w:val="fr-CA" w:bidi="en-US"/>
        </w:rPr>
        <w:t>Canada (Commission canadienne des droits de la personne) c. Canada (Procureur général)</w:t>
      </w:r>
      <w:r w:rsidR="00E80457" w:rsidRPr="00E80457">
        <w:rPr>
          <w:noProof/>
          <w:lang w:val="fr-CA" w:bidi="en-US"/>
        </w:rPr>
        <w:t>, 2011</w:t>
      </w:r>
      <w:r w:rsidR="001862D8">
        <w:rPr>
          <w:noProof/>
          <w:lang w:val="fr-CA" w:bidi="en-US"/>
        </w:rPr>
        <w:t xml:space="preserve"> </w:t>
      </w:r>
      <w:r w:rsidR="00E80457" w:rsidRPr="00E80457">
        <w:rPr>
          <w:noProof/>
          <w:lang w:val="fr-CA" w:bidi="en-US"/>
        </w:rPr>
        <w:t>CSC</w:t>
      </w:r>
      <w:r w:rsidR="001862D8">
        <w:rPr>
          <w:noProof/>
          <w:lang w:val="fr-CA" w:bidi="en-US"/>
        </w:rPr>
        <w:t xml:space="preserve"> 53, [2011] 3 R.C.S. </w:t>
      </w:r>
      <w:r w:rsidR="00E80457" w:rsidRPr="00E80457">
        <w:rPr>
          <w:noProof/>
          <w:lang w:val="fr-CA" w:bidi="en-US"/>
        </w:rPr>
        <w:t>471</w:t>
      </w:r>
      <w:r w:rsidR="00E80457" w:rsidRPr="00E80457">
        <w:rPr>
          <w:noProof/>
          <w:lang w:val="fr-CA"/>
        </w:rPr>
        <w:t xml:space="preserve">; </w:t>
      </w:r>
      <w:r w:rsidR="00E80457" w:rsidRPr="00E80457">
        <w:rPr>
          <w:i/>
          <w:noProof/>
          <w:lang w:val="fr-CA" w:bidi="en-US"/>
        </w:rPr>
        <w:t>Commission scolaire de Laval c. Syndicat de l</w:t>
      </w:r>
      <w:r w:rsidR="00356C64">
        <w:rPr>
          <w:i/>
          <w:noProof/>
          <w:lang w:val="fr-CA" w:bidi="en-US"/>
        </w:rPr>
        <w:t>’</w:t>
      </w:r>
      <w:r w:rsidR="00E80457" w:rsidRPr="00E80457">
        <w:rPr>
          <w:i/>
          <w:noProof/>
          <w:lang w:val="fr-CA" w:bidi="en-US"/>
        </w:rPr>
        <w:t>enseignement de la région de Laval</w:t>
      </w:r>
      <w:r w:rsidR="00054F9D">
        <w:rPr>
          <w:noProof/>
          <w:lang w:val="fr-CA" w:bidi="en-US"/>
        </w:rPr>
        <w:t xml:space="preserve">, 2016 </w:t>
      </w:r>
      <w:r w:rsidR="00E80457" w:rsidRPr="00E80457">
        <w:rPr>
          <w:noProof/>
          <w:lang w:val="fr-CA" w:bidi="en-US"/>
        </w:rPr>
        <w:t>CSC</w:t>
      </w:r>
      <w:r w:rsidR="00054F9D">
        <w:rPr>
          <w:noProof/>
          <w:lang w:val="fr-CA" w:bidi="en-US"/>
        </w:rPr>
        <w:t xml:space="preserve"> </w:t>
      </w:r>
      <w:r w:rsidR="00E80457" w:rsidRPr="00E80457">
        <w:rPr>
          <w:noProof/>
          <w:lang w:val="fr-CA" w:bidi="en-US"/>
        </w:rPr>
        <w:t>8, [2016] 1</w:t>
      </w:r>
      <w:r w:rsidR="00054F9D">
        <w:rPr>
          <w:noProof/>
          <w:lang w:val="fr-CA" w:bidi="en-US"/>
        </w:rPr>
        <w:t xml:space="preserve"> </w:t>
      </w:r>
      <w:r w:rsidR="00E80457" w:rsidRPr="00E80457">
        <w:rPr>
          <w:noProof/>
          <w:lang w:val="fr-CA" w:bidi="en-US"/>
        </w:rPr>
        <w:t xml:space="preserve">R.C.S. 29; </w:t>
      </w:r>
      <w:r w:rsidR="00E80457" w:rsidRPr="00E80457">
        <w:rPr>
          <w:i/>
          <w:noProof/>
          <w:lang w:val="fr-CA"/>
        </w:rPr>
        <w:t>Sy</w:t>
      </w:r>
      <w:r w:rsidR="00C3405D">
        <w:rPr>
          <w:i/>
          <w:noProof/>
          <w:lang w:val="fr-CA"/>
        </w:rPr>
        <w:t>n</w:t>
      </w:r>
      <w:r w:rsidR="00E80457" w:rsidRPr="00E80457">
        <w:rPr>
          <w:i/>
          <w:noProof/>
          <w:lang w:val="fr-CA"/>
        </w:rPr>
        <w:t>dicat canadien des communications, de l</w:t>
      </w:r>
      <w:r w:rsidR="00356C64">
        <w:rPr>
          <w:i/>
          <w:noProof/>
          <w:lang w:val="fr-CA"/>
        </w:rPr>
        <w:t>’</w:t>
      </w:r>
      <w:r w:rsidR="00E80457" w:rsidRPr="00E80457">
        <w:rPr>
          <w:i/>
          <w:noProof/>
          <w:lang w:val="fr-CA"/>
        </w:rPr>
        <w:t>énergie et du papier, section locale 30 c. Pâtes &amp; Papier Irving, Ltée</w:t>
      </w:r>
      <w:r w:rsidR="00054F9D">
        <w:rPr>
          <w:noProof/>
          <w:lang w:val="fr-CA"/>
        </w:rPr>
        <w:t xml:space="preserve">, 2013 </w:t>
      </w:r>
      <w:r w:rsidR="00E80457" w:rsidRPr="00E80457">
        <w:rPr>
          <w:noProof/>
          <w:lang w:val="fr-CA"/>
        </w:rPr>
        <w:t>CSC</w:t>
      </w:r>
      <w:r w:rsidR="00054F9D">
        <w:rPr>
          <w:noProof/>
          <w:lang w:val="fr-CA"/>
        </w:rPr>
        <w:t xml:space="preserve"> </w:t>
      </w:r>
      <w:r w:rsidR="00E80457" w:rsidRPr="00E80457">
        <w:rPr>
          <w:noProof/>
          <w:lang w:val="fr-CA"/>
        </w:rPr>
        <w:t>34, [2013] 2</w:t>
      </w:r>
      <w:r w:rsidR="00054F9D">
        <w:rPr>
          <w:noProof/>
          <w:lang w:val="fr-CA"/>
        </w:rPr>
        <w:t xml:space="preserve"> </w:t>
      </w:r>
      <w:r w:rsidR="00E80457" w:rsidRPr="00E80457">
        <w:rPr>
          <w:noProof/>
          <w:lang w:val="fr-CA"/>
        </w:rPr>
        <w:t>R.C.S.</w:t>
      </w:r>
      <w:r w:rsidR="00054F9D">
        <w:rPr>
          <w:noProof/>
          <w:lang w:val="fr-CA"/>
        </w:rPr>
        <w:t xml:space="preserve"> </w:t>
      </w:r>
      <w:r w:rsidR="00E80457" w:rsidRPr="00E80457">
        <w:rPr>
          <w:noProof/>
          <w:lang w:val="fr-CA"/>
        </w:rPr>
        <w:t xml:space="preserve">458; </w:t>
      </w:r>
      <w:r w:rsidR="00E80457" w:rsidRPr="00E80457">
        <w:rPr>
          <w:i/>
          <w:noProof/>
          <w:lang w:val="fr-CA"/>
        </w:rPr>
        <w:t>Barreau du Québec c. Québec (Procureur</w:t>
      </w:r>
      <w:r w:rsidR="006B354B">
        <w:rPr>
          <w:i/>
          <w:noProof/>
          <w:lang w:val="fr-CA"/>
        </w:rPr>
        <w:t>e</w:t>
      </w:r>
      <w:r w:rsidR="00E80457" w:rsidRPr="00E80457">
        <w:rPr>
          <w:i/>
          <w:noProof/>
          <w:lang w:val="fr-CA"/>
        </w:rPr>
        <w:t xml:space="preserve"> général</w:t>
      </w:r>
      <w:r w:rsidR="006B354B">
        <w:rPr>
          <w:i/>
          <w:noProof/>
          <w:lang w:val="fr-CA"/>
        </w:rPr>
        <w:t>e</w:t>
      </w:r>
      <w:r w:rsidR="00E80457" w:rsidRPr="00E80457">
        <w:rPr>
          <w:i/>
          <w:noProof/>
          <w:lang w:val="fr-CA"/>
        </w:rPr>
        <w:t>)</w:t>
      </w:r>
      <w:r w:rsidR="00E80457" w:rsidRPr="00E80457">
        <w:rPr>
          <w:noProof/>
          <w:lang w:val="fr-CA"/>
        </w:rPr>
        <w:t>, 2017</w:t>
      </w:r>
      <w:r w:rsidR="006B354B">
        <w:rPr>
          <w:noProof/>
          <w:lang w:val="fr-CA"/>
        </w:rPr>
        <w:t xml:space="preserve"> </w:t>
      </w:r>
      <w:r w:rsidR="00E80457" w:rsidRPr="00E80457">
        <w:rPr>
          <w:noProof/>
          <w:lang w:val="fr-CA"/>
        </w:rPr>
        <w:t>CSC</w:t>
      </w:r>
      <w:r w:rsidR="006B354B">
        <w:rPr>
          <w:noProof/>
          <w:lang w:val="fr-CA"/>
        </w:rPr>
        <w:t xml:space="preserve"> </w:t>
      </w:r>
      <w:r w:rsidR="00BA51B8">
        <w:rPr>
          <w:noProof/>
          <w:lang w:val="fr-CA"/>
        </w:rPr>
        <w:t xml:space="preserve">56, [2017] 2 </w:t>
      </w:r>
      <w:r w:rsidR="00E80457" w:rsidRPr="00E80457">
        <w:rPr>
          <w:noProof/>
          <w:lang w:val="fr-CA"/>
        </w:rPr>
        <w:t>R.C.S.</w:t>
      </w:r>
      <w:r w:rsidR="00BA51B8">
        <w:rPr>
          <w:noProof/>
          <w:lang w:val="fr-CA"/>
        </w:rPr>
        <w:t xml:space="preserve"> </w:t>
      </w:r>
      <w:r w:rsidR="00E80457" w:rsidRPr="00E80457">
        <w:rPr>
          <w:noProof/>
          <w:lang w:val="fr-CA"/>
        </w:rPr>
        <w:t xml:space="preserve">488; </w:t>
      </w:r>
      <w:r w:rsidR="006D13DB">
        <w:rPr>
          <w:i/>
          <w:noProof/>
          <w:lang w:val="fr-CA"/>
        </w:rPr>
        <w:t>Nor</w:t>
      </w:r>
      <w:r w:rsidR="006D13DB">
        <w:rPr>
          <w:i/>
          <w:noProof/>
          <w:lang w:val="fr-CA"/>
        </w:rPr>
        <w:noBreakHyphen/>
      </w:r>
      <w:r w:rsidR="00E80457" w:rsidRPr="00E80457">
        <w:rPr>
          <w:i/>
          <w:noProof/>
          <w:lang w:val="fr-CA"/>
        </w:rPr>
        <w:t>Man Regional Health Authority Inc. c. Manitoba Association of Health Care Professionals</w:t>
      </w:r>
      <w:r w:rsidR="00E80457" w:rsidRPr="00E80457">
        <w:rPr>
          <w:noProof/>
          <w:lang w:val="fr-CA"/>
        </w:rPr>
        <w:t>, 2011</w:t>
      </w:r>
      <w:r w:rsidR="000767A0">
        <w:rPr>
          <w:noProof/>
          <w:lang w:val="fr-CA"/>
        </w:rPr>
        <w:t xml:space="preserve"> CSC </w:t>
      </w:r>
      <w:r w:rsidR="00E80457" w:rsidRPr="00E80457">
        <w:rPr>
          <w:noProof/>
          <w:lang w:val="fr-CA"/>
        </w:rPr>
        <w:t>59, [2011] 3</w:t>
      </w:r>
      <w:r w:rsidR="000767A0">
        <w:rPr>
          <w:noProof/>
          <w:lang w:val="fr-CA"/>
        </w:rPr>
        <w:t xml:space="preserve"> </w:t>
      </w:r>
      <w:r w:rsidR="00E80457" w:rsidRPr="00E80457">
        <w:rPr>
          <w:noProof/>
          <w:lang w:val="fr-CA"/>
        </w:rPr>
        <w:t>R.C.S.</w:t>
      </w:r>
      <w:r w:rsidR="000767A0">
        <w:rPr>
          <w:noProof/>
          <w:lang w:val="fr-CA"/>
        </w:rPr>
        <w:t xml:space="preserve"> </w:t>
      </w:r>
      <w:r w:rsidR="00E80457" w:rsidRPr="00E80457">
        <w:rPr>
          <w:noProof/>
          <w:lang w:val="fr-CA"/>
        </w:rPr>
        <w:t xml:space="preserve">616; </w:t>
      </w:r>
      <w:r w:rsidR="00E80457" w:rsidRPr="00E80457">
        <w:rPr>
          <w:i/>
          <w:noProof/>
          <w:lang w:val="fr-CA" w:bidi="en-US"/>
        </w:rPr>
        <w:t>Regina Police Assn. Inc. c. Regina (Ville) Board of Police Commissioners</w:t>
      </w:r>
      <w:r w:rsidR="000767A0">
        <w:rPr>
          <w:noProof/>
          <w:lang w:val="fr-CA" w:bidi="en-US"/>
        </w:rPr>
        <w:t xml:space="preserve">, 2000 </w:t>
      </w:r>
      <w:r w:rsidR="00E80457" w:rsidRPr="00E80457">
        <w:rPr>
          <w:noProof/>
          <w:lang w:val="fr-CA" w:bidi="en-US"/>
        </w:rPr>
        <w:t>CSC</w:t>
      </w:r>
      <w:r w:rsidR="000767A0">
        <w:rPr>
          <w:noProof/>
          <w:lang w:val="fr-CA" w:bidi="en-US"/>
        </w:rPr>
        <w:t xml:space="preserve"> </w:t>
      </w:r>
      <w:r w:rsidR="00E80457" w:rsidRPr="00E80457">
        <w:rPr>
          <w:noProof/>
          <w:lang w:val="fr-CA" w:bidi="en-US"/>
        </w:rPr>
        <w:t>14, [2000] 1</w:t>
      </w:r>
      <w:r w:rsidR="000767A0">
        <w:rPr>
          <w:noProof/>
          <w:lang w:val="fr-CA" w:bidi="en-US"/>
        </w:rPr>
        <w:t xml:space="preserve"> </w:t>
      </w:r>
      <w:r w:rsidR="00E80457" w:rsidRPr="00E80457">
        <w:rPr>
          <w:noProof/>
          <w:lang w:val="fr-CA" w:bidi="en-US"/>
        </w:rPr>
        <w:t>R.C.S.</w:t>
      </w:r>
      <w:r w:rsidR="000767A0">
        <w:rPr>
          <w:noProof/>
          <w:lang w:val="fr-CA" w:bidi="en-US"/>
        </w:rPr>
        <w:t xml:space="preserve"> </w:t>
      </w:r>
      <w:r w:rsidR="00E80457" w:rsidRPr="00E80457">
        <w:rPr>
          <w:noProof/>
          <w:lang w:val="fr-CA" w:bidi="en-US"/>
        </w:rPr>
        <w:t xml:space="preserve">360; </w:t>
      </w:r>
      <w:r w:rsidR="00E80457" w:rsidRPr="00E80457">
        <w:rPr>
          <w:i/>
          <w:noProof/>
          <w:lang w:val="fr-CA" w:bidi="en-US"/>
        </w:rPr>
        <w:t>Québec (Commission des droits de la personne et des droits de la jeunesse) c. Québec (Procureur général)</w:t>
      </w:r>
      <w:r w:rsidR="00306D7F">
        <w:rPr>
          <w:noProof/>
          <w:lang w:val="fr-CA" w:bidi="en-US"/>
        </w:rPr>
        <w:t xml:space="preserve">, 2004 </w:t>
      </w:r>
      <w:r w:rsidR="00E80457" w:rsidRPr="00E80457">
        <w:rPr>
          <w:noProof/>
          <w:lang w:val="fr-CA" w:bidi="en-US"/>
        </w:rPr>
        <w:t>CSC</w:t>
      </w:r>
      <w:r w:rsidR="00306D7F">
        <w:rPr>
          <w:noProof/>
          <w:lang w:val="fr-CA" w:bidi="en-US"/>
        </w:rPr>
        <w:t xml:space="preserve"> 39, [2004] 2 </w:t>
      </w:r>
      <w:r w:rsidR="00E80457" w:rsidRPr="00E80457">
        <w:rPr>
          <w:noProof/>
          <w:lang w:val="fr-CA" w:bidi="en-US"/>
        </w:rPr>
        <w:t>R.C.S.</w:t>
      </w:r>
      <w:r w:rsidR="00306D7F">
        <w:rPr>
          <w:noProof/>
          <w:lang w:val="fr-CA" w:bidi="en-US"/>
        </w:rPr>
        <w:t xml:space="preserve"> </w:t>
      </w:r>
      <w:r w:rsidR="00E80457" w:rsidRPr="00E80457">
        <w:rPr>
          <w:noProof/>
          <w:lang w:val="fr-CA" w:bidi="en-US"/>
        </w:rPr>
        <w:t xml:space="preserve">185; </w:t>
      </w:r>
      <w:r w:rsidR="004F0919">
        <w:rPr>
          <w:i/>
          <w:iCs/>
          <w:noProof/>
          <w:lang w:val="fr-CA" w:bidi="en-US"/>
        </w:rPr>
        <w:t xml:space="preserve">Québec </w:t>
      </w:r>
      <w:r w:rsidR="00306D7F">
        <w:rPr>
          <w:i/>
          <w:iCs/>
          <w:noProof/>
          <w:lang w:val="fr-CA" w:bidi="en-US"/>
        </w:rPr>
        <w:t xml:space="preserve">(Procureure générale) </w:t>
      </w:r>
      <w:r w:rsidR="00E80457" w:rsidRPr="00E80457">
        <w:rPr>
          <w:i/>
          <w:iCs/>
          <w:noProof/>
          <w:lang w:val="fr-CA" w:bidi="en-US"/>
        </w:rPr>
        <w:t>c.</w:t>
      </w:r>
      <w:r w:rsidR="00306D7F">
        <w:rPr>
          <w:i/>
          <w:iCs/>
          <w:noProof/>
          <w:lang w:val="fr-CA" w:bidi="en-US"/>
        </w:rPr>
        <w:t xml:space="preserve"> </w:t>
      </w:r>
      <w:r w:rsidR="00E80457" w:rsidRPr="00E80457">
        <w:rPr>
          <w:i/>
          <w:iCs/>
          <w:noProof/>
          <w:lang w:val="fr-CA" w:bidi="en-US"/>
        </w:rPr>
        <w:t>Guérin</w:t>
      </w:r>
      <w:r w:rsidR="00306D7F">
        <w:rPr>
          <w:noProof/>
          <w:lang w:val="fr-CA" w:bidi="en-US"/>
        </w:rPr>
        <w:t xml:space="preserve">, 2017 </w:t>
      </w:r>
      <w:r w:rsidR="00E80457" w:rsidRPr="00E80457">
        <w:rPr>
          <w:noProof/>
          <w:lang w:val="fr-CA" w:bidi="en-US"/>
        </w:rPr>
        <w:t>CSC</w:t>
      </w:r>
      <w:r w:rsidR="00306D7F">
        <w:rPr>
          <w:noProof/>
          <w:lang w:val="fr-CA" w:bidi="en-US"/>
        </w:rPr>
        <w:t xml:space="preserve"> </w:t>
      </w:r>
      <w:r w:rsidR="00E80457" w:rsidRPr="00E80457">
        <w:rPr>
          <w:noProof/>
          <w:lang w:val="fr-CA" w:bidi="en-US"/>
        </w:rPr>
        <w:t>42</w:t>
      </w:r>
      <w:r w:rsidR="00E80457" w:rsidRPr="00E80457">
        <w:rPr>
          <w:iCs/>
          <w:noProof/>
          <w:lang w:val="fr-CA" w:bidi="en-US"/>
        </w:rPr>
        <w:t>,</w:t>
      </w:r>
      <w:r w:rsidR="00E80457" w:rsidRPr="00E80457">
        <w:rPr>
          <w:i/>
          <w:iCs/>
          <w:noProof/>
          <w:lang w:val="fr-CA" w:bidi="en-US"/>
        </w:rPr>
        <w:t xml:space="preserve"> </w:t>
      </w:r>
      <w:r w:rsidR="00E80457" w:rsidRPr="00E80457">
        <w:rPr>
          <w:iCs/>
          <w:noProof/>
          <w:lang w:val="fr-CA" w:bidi="en-US"/>
        </w:rPr>
        <w:t xml:space="preserve">[2017] 2 R.C.S. 3; </w:t>
      </w:r>
      <w:r w:rsidR="00E80457" w:rsidRPr="00E80457">
        <w:rPr>
          <w:i/>
          <w:lang w:val="fr-CA"/>
        </w:rPr>
        <w:t>City of Arlington, Texas c. Federal Communications Commission</w:t>
      </w:r>
      <w:r w:rsidR="00076632">
        <w:rPr>
          <w:lang w:val="fr-CA"/>
        </w:rPr>
        <w:t xml:space="preserve">, 569 U.S. 290 (2013); </w:t>
      </w:r>
      <w:r w:rsidR="00E80457" w:rsidRPr="00E80457">
        <w:rPr>
          <w:i/>
          <w:noProof/>
          <w:lang w:val="fr-CA" w:bidi="en-US"/>
        </w:rPr>
        <w:t>Green c. Société du Barreau du Manitoba</w:t>
      </w:r>
      <w:r w:rsidR="00E80457" w:rsidRPr="00E80457">
        <w:rPr>
          <w:noProof/>
          <w:lang w:val="fr-CA" w:bidi="en-US"/>
        </w:rPr>
        <w:t>, 2017</w:t>
      </w:r>
      <w:r w:rsidR="0052474A">
        <w:rPr>
          <w:noProof/>
          <w:lang w:val="fr-CA" w:bidi="en-US"/>
        </w:rPr>
        <w:t xml:space="preserve"> </w:t>
      </w:r>
      <w:r w:rsidR="00E80457" w:rsidRPr="00E80457">
        <w:rPr>
          <w:noProof/>
          <w:lang w:val="fr-CA" w:bidi="en-US"/>
        </w:rPr>
        <w:t>CSC</w:t>
      </w:r>
      <w:r w:rsidR="0052474A">
        <w:rPr>
          <w:noProof/>
          <w:lang w:val="fr-CA" w:bidi="en-US"/>
        </w:rPr>
        <w:t xml:space="preserve"> </w:t>
      </w:r>
      <w:r w:rsidR="00E80457" w:rsidRPr="00E80457">
        <w:rPr>
          <w:noProof/>
          <w:lang w:val="fr-CA" w:bidi="en-US"/>
        </w:rPr>
        <w:t>20, [2017] 1</w:t>
      </w:r>
      <w:r w:rsidR="0052474A">
        <w:rPr>
          <w:noProof/>
          <w:lang w:val="fr-CA" w:bidi="en-US"/>
        </w:rPr>
        <w:t xml:space="preserve"> </w:t>
      </w:r>
      <w:r w:rsidR="00E80457" w:rsidRPr="00E80457">
        <w:rPr>
          <w:noProof/>
          <w:lang w:val="fr-CA" w:bidi="en-US"/>
        </w:rPr>
        <w:t>R.C.S.</w:t>
      </w:r>
      <w:r w:rsidR="0052474A">
        <w:rPr>
          <w:noProof/>
          <w:lang w:val="fr-CA" w:bidi="en-US"/>
        </w:rPr>
        <w:t xml:space="preserve"> </w:t>
      </w:r>
      <w:r w:rsidR="00E80457" w:rsidRPr="00E80457">
        <w:rPr>
          <w:noProof/>
          <w:lang w:val="fr-CA" w:bidi="en-US"/>
        </w:rPr>
        <w:t xml:space="preserve">360; </w:t>
      </w:r>
      <w:r w:rsidR="00E80457" w:rsidRPr="00E80457">
        <w:rPr>
          <w:i/>
          <w:noProof/>
          <w:lang w:val="fr-CA"/>
        </w:rPr>
        <w:t>Wes</w:t>
      </w:r>
      <w:r w:rsidR="0052474A">
        <w:rPr>
          <w:i/>
          <w:noProof/>
          <w:lang w:val="fr-CA"/>
        </w:rPr>
        <w:t>t Fraser Mills Ltd. c. Colombie-</w:t>
      </w:r>
      <w:r w:rsidR="00E80457" w:rsidRPr="00E80457">
        <w:rPr>
          <w:i/>
          <w:noProof/>
          <w:lang w:val="fr-CA"/>
        </w:rPr>
        <w:t>Britannique (Workers</w:t>
      </w:r>
      <w:r w:rsidR="00356C64">
        <w:rPr>
          <w:i/>
          <w:noProof/>
          <w:lang w:val="fr-CA"/>
        </w:rPr>
        <w:t>’</w:t>
      </w:r>
      <w:r w:rsidR="00E80457" w:rsidRPr="00E80457">
        <w:rPr>
          <w:i/>
          <w:noProof/>
          <w:lang w:val="fr-CA"/>
        </w:rPr>
        <w:t xml:space="preserve"> Compensation Appeal Tribunal)</w:t>
      </w:r>
      <w:r w:rsidR="00E80457" w:rsidRPr="00E80457">
        <w:rPr>
          <w:noProof/>
          <w:lang w:val="fr-CA"/>
        </w:rPr>
        <w:t>, 2018</w:t>
      </w:r>
      <w:r w:rsidR="0052474A">
        <w:rPr>
          <w:noProof/>
          <w:lang w:val="fr-CA"/>
        </w:rPr>
        <w:t xml:space="preserve"> </w:t>
      </w:r>
      <w:r w:rsidR="00E80457" w:rsidRPr="00E80457">
        <w:rPr>
          <w:noProof/>
          <w:lang w:val="fr-CA"/>
        </w:rPr>
        <w:t>CSC</w:t>
      </w:r>
      <w:r w:rsidR="0052474A">
        <w:rPr>
          <w:noProof/>
          <w:lang w:val="fr-CA"/>
        </w:rPr>
        <w:t xml:space="preserve"> </w:t>
      </w:r>
      <w:r w:rsidR="00E80457" w:rsidRPr="00E80457">
        <w:rPr>
          <w:noProof/>
          <w:lang w:val="fr-CA"/>
        </w:rPr>
        <w:t xml:space="preserve">22, </w:t>
      </w:r>
      <w:r w:rsidR="0052474A">
        <w:rPr>
          <w:noProof/>
          <w:lang w:val="fr-CA" w:bidi="en-US"/>
        </w:rPr>
        <w:lastRenderedPageBreak/>
        <w:t xml:space="preserve">[2018] 1 </w:t>
      </w:r>
      <w:r w:rsidR="00E80457" w:rsidRPr="00E80457">
        <w:rPr>
          <w:noProof/>
          <w:lang w:val="fr-CA" w:bidi="en-US"/>
        </w:rPr>
        <w:t>R.C.S.</w:t>
      </w:r>
      <w:r w:rsidR="0052474A">
        <w:rPr>
          <w:noProof/>
          <w:lang w:val="fr-CA" w:bidi="en-US"/>
        </w:rPr>
        <w:t xml:space="preserve"> </w:t>
      </w:r>
      <w:r w:rsidR="00E80457" w:rsidRPr="00E80457">
        <w:rPr>
          <w:noProof/>
          <w:lang w:val="fr-CA" w:bidi="en-US"/>
        </w:rPr>
        <w:t xml:space="preserve">635; </w:t>
      </w:r>
      <w:r w:rsidR="00E80457" w:rsidRPr="00E80457">
        <w:rPr>
          <w:i/>
          <w:noProof/>
          <w:lang w:val="fr-CA"/>
        </w:rPr>
        <w:t>Domtar Inc. c. Québec (Commission d</w:t>
      </w:r>
      <w:r w:rsidR="00356C64">
        <w:rPr>
          <w:i/>
          <w:noProof/>
          <w:lang w:val="fr-CA"/>
        </w:rPr>
        <w:t>’</w:t>
      </w:r>
      <w:r w:rsidR="00E80457" w:rsidRPr="00E80457">
        <w:rPr>
          <w:i/>
          <w:noProof/>
          <w:lang w:val="fr-CA"/>
        </w:rPr>
        <w:t>appel en matière de lésions professionnelles)</w:t>
      </w:r>
      <w:r w:rsidR="00E80457" w:rsidRPr="00E80457">
        <w:rPr>
          <w:noProof/>
          <w:lang w:val="fr-CA"/>
        </w:rPr>
        <w:t>, [1993] 2</w:t>
      </w:r>
      <w:r w:rsidR="00D8317A">
        <w:rPr>
          <w:noProof/>
          <w:lang w:val="fr-CA"/>
        </w:rPr>
        <w:t xml:space="preserve"> </w:t>
      </w:r>
      <w:r w:rsidR="00E80457" w:rsidRPr="00E80457">
        <w:rPr>
          <w:noProof/>
          <w:lang w:val="fr-CA"/>
        </w:rPr>
        <w:t>R.C.S.</w:t>
      </w:r>
      <w:r w:rsidR="00D8317A">
        <w:rPr>
          <w:noProof/>
          <w:lang w:val="fr-CA"/>
        </w:rPr>
        <w:t xml:space="preserve"> </w:t>
      </w:r>
      <w:r w:rsidR="00E80457" w:rsidRPr="00E80457">
        <w:rPr>
          <w:noProof/>
          <w:lang w:val="fr-CA"/>
        </w:rPr>
        <w:t xml:space="preserve">756; </w:t>
      </w:r>
      <w:r w:rsidR="008121EE">
        <w:rPr>
          <w:i/>
          <w:noProof/>
          <w:lang w:val="fr-CA"/>
        </w:rPr>
        <w:t>Ellis</w:t>
      </w:r>
      <w:r w:rsidR="008121EE">
        <w:rPr>
          <w:i/>
          <w:noProof/>
          <w:lang w:val="fr-CA"/>
        </w:rPr>
        <w:noBreakHyphen/>
      </w:r>
      <w:r w:rsidR="00E80457" w:rsidRPr="00E80457">
        <w:rPr>
          <w:i/>
          <w:noProof/>
          <w:lang w:val="fr-CA"/>
        </w:rPr>
        <w:t>Don Ltd. c. Ontario (Commission des relations de travail)</w:t>
      </w:r>
      <w:r w:rsidR="00E80457" w:rsidRPr="00E80457">
        <w:rPr>
          <w:noProof/>
          <w:lang w:val="fr-CA"/>
        </w:rPr>
        <w:t>, 2001</w:t>
      </w:r>
      <w:r w:rsidR="00D8317A">
        <w:rPr>
          <w:noProof/>
          <w:lang w:val="fr-CA"/>
        </w:rPr>
        <w:t xml:space="preserve"> </w:t>
      </w:r>
      <w:r w:rsidR="00E80457" w:rsidRPr="00E80457">
        <w:rPr>
          <w:noProof/>
          <w:lang w:val="fr-CA"/>
        </w:rPr>
        <w:t>CSC</w:t>
      </w:r>
      <w:r w:rsidR="00D8317A">
        <w:rPr>
          <w:noProof/>
          <w:lang w:val="fr-CA"/>
        </w:rPr>
        <w:t xml:space="preserve"> </w:t>
      </w:r>
      <w:r w:rsidR="00E80457" w:rsidRPr="00E80457">
        <w:rPr>
          <w:noProof/>
          <w:lang w:val="fr-CA"/>
        </w:rPr>
        <w:t>4, [2001] 1</w:t>
      </w:r>
      <w:r w:rsidR="00D8317A">
        <w:rPr>
          <w:noProof/>
          <w:lang w:val="fr-CA"/>
        </w:rPr>
        <w:t xml:space="preserve"> </w:t>
      </w:r>
      <w:r w:rsidR="00E80457" w:rsidRPr="00E80457">
        <w:rPr>
          <w:noProof/>
          <w:lang w:val="fr-CA"/>
        </w:rPr>
        <w:t>R.C.S.</w:t>
      </w:r>
      <w:r w:rsidR="00D8317A">
        <w:rPr>
          <w:noProof/>
          <w:lang w:val="fr-CA"/>
        </w:rPr>
        <w:t xml:space="preserve"> </w:t>
      </w:r>
      <w:r w:rsidR="00E80457" w:rsidRPr="00E80457">
        <w:rPr>
          <w:noProof/>
          <w:lang w:val="fr-CA"/>
        </w:rPr>
        <w:t xml:space="preserve">221; </w:t>
      </w:r>
      <w:r w:rsidR="00E80457" w:rsidRPr="00E80457">
        <w:rPr>
          <w:i/>
          <w:noProof/>
          <w:lang w:val="fr-CA" w:bidi="en-US"/>
        </w:rPr>
        <w:t>Knight c. Indian Head School Division No.</w:t>
      </w:r>
      <w:r w:rsidR="00D8317A">
        <w:rPr>
          <w:i/>
          <w:noProof/>
          <w:lang w:val="fr-CA" w:bidi="en-US"/>
        </w:rPr>
        <w:t> </w:t>
      </w:r>
      <w:r w:rsidR="00E80457" w:rsidRPr="00E80457">
        <w:rPr>
          <w:i/>
          <w:noProof/>
          <w:lang w:val="fr-CA" w:bidi="en-US"/>
        </w:rPr>
        <w:t>19</w:t>
      </w:r>
      <w:r w:rsidR="00D8317A">
        <w:rPr>
          <w:noProof/>
          <w:lang w:val="fr-CA" w:bidi="en-US"/>
        </w:rPr>
        <w:t xml:space="preserve">, [1990] 1 </w:t>
      </w:r>
      <w:r w:rsidR="00E80457" w:rsidRPr="00E80457">
        <w:rPr>
          <w:noProof/>
          <w:lang w:val="fr-CA" w:bidi="en-US"/>
        </w:rPr>
        <w:t>R.C.S.</w:t>
      </w:r>
      <w:r w:rsidR="00D8317A">
        <w:rPr>
          <w:noProof/>
          <w:lang w:val="fr-CA" w:bidi="en-US"/>
        </w:rPr>
        <w:t xml:space="preserve"> </w:t>
      </w:r>
      <w:r w:rsidR="00E80457" w:rsidRPr="00E80457">
        <w:rPr>
          <w:noProof/>
          <w:lang w:val="fr-CA" w:bidi="en-US"/>
        </w:rPr>
        <w:t xml:space="preserve">653; </w:t>
      </w:r>
      <w:r w:rsidR="00E80457" w:rsidRPr="00E80457">
        <w:rPr>
          <w:i/>
          <w:noProof/>
          <w:lang w:val="fr-CA"/>
        </w:rPr>
        <w:t xml:space="preserve">Congrégation des </w:t>
      </w:r>
      <w:r w:rsidR="00C13644">
        <w:rPr>
          <w:i/>
          <w:noProof/>
          <w:lang w:val="fr-CA"/>
        </w:rPr>
        <w:t>témoins de Jéhovah de St</w:t>
      </w:r>
      <w:r w:rsidR="00D8317A">
        <w:rPr>
          <w:i/>
          <w:noProof/>
          <w:lang w:val="fr-CA"/>
        </w:rPr>
        <w:t>-</w:t>
      </w:r>
      <w:r w:rsidR="00C13644">
        <w:rPr>
          <w:i/>
          <w:noProof/>
          <w:lang w:val="fr-CA"/>
        </w:rPr>
        <w:t>Jérôme</w:t>
      </w:r>
      <w:r w:rsidR="00D8317A">
        <w:rPr>
          <w:i/>
          <w:noProof/>
          <w:lang w:val="fr-CA"/>
        </w:rPr>
        <w:t>-</w:t>
      </w:r>
      <w:r w:rsidR="00E80457" w:rsidRPr="00E80457">
        <w:rPr>
          <w:i/>
          <w:noProof/>
          <w:lang w:val="fr-CA"/>
        </w:rPr>
        <w:t>Lafontaine c. Lafontaine (Village)</w:t>
      </w:r>
      <w:r w:rsidR="00E80457" w:rsidRPr="00E80457">
        <w:rPr>
          <w:noProof/>
          <w:lang w:val="fr-CA"/>
        </w:rPr>
        <w:t>,</w:t>
      </w:r>
      <w:r w:rsidR="00E80457" w:rsidRPr="00E80457">
        <w:rPr>
          <w:i/>
          <w:noProof/>
          <w:lang w:val="fr-CA"/>
        </w:rPr>
        <w:t xml:space="preserve"> </w:t>
      </w:r>
      <w:r w:rsidR="00D8317A">
        <w:rPr>
          <w:noProof/>
          <w:lang w:val="fr-CA"/>
        </w:rPr>
        <w:t xml:space="preserve">2004 </w:t>
      </w:r>
      <w:r w:rsidR="00E80457" w:rsidRPr="00E80457">
        <w:rPr>
          <w:noProof/>
          <w:lang w:val="fr-CA"/>
        </w:rPr>
        <w:t>CSC</w:t>
      </w:r>
      <w:r w:rsidR="00D8317A">
        <w:rPr>
          <w:noProof/>
          <w:lang w:val="fr-CA"/>
        </w:rPr>
        <w:t xml:space="preserve"> </w:t>
      </w:r>
      <w:r w:rsidR="00E80457" w:rsidRPr="00E80457">
        <w:rPr>
          <w:noProof/>
          <w:lang w:val="fr-CA"/>
        </w:rPr>
        <w:t>48, [2004] 2</w:t>
      </w:r>
      <w:r w:rsidR="00D8317A">
        <w:rPr>
          <w:noProof/>
          <w:lang w:val="fr-CA"/>
        </w:rPr>
        <w:t xml:space="preserve"> </w:t>
      </w:r>
      <w:r w:rsidR="00E80457" w:rsidRPr="00E80457">
        <w:rPr>
          <w:noProof/>
          <w:lang w:val="fr-CA"/>
        </w:rPr>
        <w:t>R.C.S.</w:t>
      </w:r>
      <w:r w:rsidR="00D8317A">
        <w:rPr>
          <w:noProof/>
          <w:lang w:val="fr-CA"/>
        </w:rPr>
        <w:t xml:space="preserve"> </w:t>
      </w:r>
      <w:r w:rsidR="00E80457" w:rsidRPr="00E80457">
        <w:rPr>
          <w:noProof/>
          <w:lang w:val="fr-CA"/>
        </w:rPr>
        <w:t xml:space="preserve">650; </w:t>
      </w:r>
      <w:r w:rsidR="00954D56">
        <w:rPr>
          <w:i/>
          <w:noProof/>
          <w:lang w:val="fr-CA"/>
        </w:rPr>
        <w:t xml:space="preserve">R. </w:t>
      </w:r>
      <w:r w:rsidR="00E80457" w:rsidRPr="00E80457">
        <w:rPr>
          <w:i/>
          <w:noProof/>
          <w:lang w:val="fr-CA"/>
        </w:rPr>
        <w:t>c. Sheppard</w:t>
      </w:r>
      <w:r w:rsidR="00E80457" w:rsidRPr="00E80457">
        <w:rPr>
          <w:noProof/>
          <w:lang w:val="fr-CA"/>
        </w:rPr>
        <w:t>,</w:t>
      </w:r>
      <w:r w:rsidR="00E80457" w:rsidRPr="00E80457">
        <w:rPr>
          <w:i/>
          <w:noProof/>
          <w:lang w:val="fr-CA"/>
        </w:rPr>
        <w:t xml:space="preserve"> </w:t>
      </w:r>
      <w:r w:rsidR="00E80457" w:rsidRPr="00E80457">
        <w:rPr>
          <w:noProof/>
          <w:lang w:val="fr-CA"/>
        </w:rPr>
        <w:t>2002</w:t>
      </w:r>
      <w:r w:rsidR="00D8317A">
        <w:rPr>
          <w:noProof/>
          <w:lang w:val="fr-CA"/>
        </w:rPr>
        <w:t xml:space="preserve"> </w:t>
      </w:r>
      <w:r w:rsidR="00E80457" w:rsidRPr="00E80457">
        <w:rPr>
          <w:noProof/>
          <w:lang w:val="fr-CA"/>
        </w:rPr>
        <w:t>CSC</w:t>
      </w:r>
      <w:r w:rsidR="00D8317A">
        <w:rPr>
          <w:noProof/>
          <w:lang w:val="fr-CA"/>
        </w:rPr>
        <w:t xml:space="preserve"> </w:t>
      </w:r>
      <w:r w:rsidR="00E80457" w:rsidRPr="00E80457">
        <w:rPr>
          <w:noProof/>
          <w:lang w:val="fr-CA"/>
        </w:rPr>
        <w:t>26, [2002] 1</w:t>
      </w:r>
      <w:r w:rsidR="00D8317A">
        <w:rPr>
          <w:noProof/>
          <w:lang w:val="fr-CA"/>
        </w:rPr>
        <w:t xml:space="preserve"> </w:t>
      </w:r>
      <w:r w:rsidR="00E80457" w:rsidRPr="00E80457">
        <w:rPr>
          <w:noProof/>
          <w:lang w:val="fr-CA"/>
        </w:rPr>
        <w:t>R.C.S.</w:t>
      </w:r>
      <w:r w:rsidR="00D8317A">
        <w:rPr>
          <w:noProof/>
          <w:lang w:val="fr-CA"/>
        </w:rPr>
        <w:t xml:space="preserve"> </w:t>
      </w:r>
      <w:r w:rsidR="00E80457" w:rsidRPr="00E80457">
        <w:rPr>
          <w:noProof/>
          <w:lang w:val="fr-CA"/>
        </w:rPr>
        <w:t xml:space="preserve">869; </w:t>
      </w:r>
      <w:r w:rsidR="00E80457" w:rsidRPr="00E80457">
        <w:rPr>
          <w:i/>
          <w:iCs/>
          <w:noProof/>
          <w:lang w:val="fr-CA"/>
        </w:rPr>
        <w:t>Suresh c. Canada (Ministre de la Citoyenneté et de l</w:t>
      </w:r>
      <w:r w:rsidR="00356C64">
        <w:rPr>
          <w:i/>
          <w:iCs/>
          <w:noProof/>
          <w:lang w:val="fr-CA"/>
        </w:rPr>
        <w:t>’</w:t>
      </w:r>
      <w:r w:rsidR="00E80457" w:rsidRPr="00E80457">
        <w:rPr>
          <w:i/>
          <w:iCs/>
          <w:noProof/>
          <w:lang w:val="fr-CA"/>
        </w:rPr>
        <w:t>Immigration)</w:t>
      </w:r>
      <w:r w:rsidR="00D8317A">
        <w:rPr>
          <w:noProof/>
          <w:lang w:val="fr-CA"/>
        </w:rPr>
        <w:t xml:space="preserve">, 2002 </w:t>
      </w:r>
      <w:r w:rsidR="00E80457" w:rsidRPr="00E80457">
        <w:rPr>
          <w:noProof/>
          <w:lang w:val="fr-CA"/>
        </w:rPr>
        <w:t>CSC</w:t>
      </w:r>
      <w:r w:rsidR="00D8317A">
        <w:rPr>
          <w:noProof/>
          <w:lang w:val="fr-CA"/>
        </w:rPr>
        <w:t xml:space="preserve"> </w:t>
      </w:r>
      <w:r w:rsidR="00E80457" w:rsidRPr="00E80457">
        <w:rPr>
          <w:noProof/>
          <w:lang w:val="fr-CA"/>
        </w:rPr>
        <w:t>1, [2002] 1</w:t>
      </w:r>
      <w:r w:rsidR="00D8317A">
        <w:rPr>
          <w:noProof/>
          <w:lang w:val="fr-CA"/>
        </w:rPr>
        <w:t xml:space="preserve"> </w:t>
      </w:r>
      <w:r w:rsidR="00E80457" w:rsidRPr="00E80457">
        <w:rPr>
          <w:noProof/>
          <w:lang w:val="fr-CA"/>
        </w:rPr>
        <w:t>R.C.S.</w:t>
      </w:r>
      <w:r w:rsidR="00D8317A">
        <w:rPr>
          <w:noProof/>
          <w:lang w:val="fr-CA"/>
        </w:rPr>
        <w:t xml:space="preserve"> </w:t>
      </w:r>
      <w:r w:rsidR="00E80457" w:rsidRPr="00E80457">
        <w:rPr>
          <w:noProof/>
          <w:lang w:val="fr-CA"/>
        </w:rPr>
        <w:t xml:space="preserve">3; </w:t>
      </w:r>
      <w:r w:rsidR="00E80457" w:rsidRPr="00E80457">
        <w:rPr>
          <w:i/>
          <w:iCs/>
          <w:lang w:val="fr-CA"/>
        </w:rPr>
        <w:t>Catalyst Paper Corp. c. North Cowichan (District)</w:t>
      </w:r>
      <w:r w:rsidR="00E80457" w:rsidRPr="00E80457">
        <w:rPr>
          <w:lang w:val="fr-CA"/>
        </w:rPr>
        <w:t xml:space="preserve">, 2012 CSC 2, [2012] 1 R.C.S. 5; </w:t>
      </w:r>
      <w:r w:rsidR="00E80457" w:rsidRPr="00E80457">
        <w:rPr>
          <w:i/>
          <w:lang w:val="fr-CA"/>
        </w:rPr>
        <w:t xml:space="preserve">Renvoi relatif à la </w:t>
      </w:r>
      <w:r w:rsidR="00AA6A99" w:rsidRPr="00E80457">
        <w:rPr>
          <w:i/>
          <w:lang w:val="fr-CA"/>
        </w:rPr>
        <w:t>rémunération</w:t>
      </w:r>
      <w:r w:rsidR="00E80457" w:rsidRPr="00E80457">
        <w:rPr>
          <w:i/>
          <w:lang w:val="fr-CA"/>
        </w:rPr>
        <w:t xml:space="preserve"> des juges de la Cour provinciale </w:t>
      </w:r>
      <w:r w:rsidR="00AA6A99">
        <w:rPr>
          <w:i/>
          <w:lang w:val="fr-CA"/>
        </w:rPr>
        <w:t xml:space="preserve">de </w:t>
      </w:r>
      <w:r w:rsidR="00E80457" w:rsidRPr="00E80457">
        <w:rPr>
          <w:i/>
          <w:lang w:val="fr-CA"/>
        </w:rPr>
        <w:t>l</w:t>
      </w:r>
      <w:r w:rsidR="00356C64">
        <w:rPr>
          <w:i/>
          <w:lang w:val="fr-CA"/>
        </w:rPr>
        <w:t>’</w:t>
      </w:r>
      <w:r w:rsidR="00AA6A99">
        <w:rPr>
          <w:i/>
          <w:lang w:val="fr-CA"/>
        </w:rPr>
        <w:t>Île-du-Prince-É</w:t>
      </w:r>
      <w:r w:rsidR="00E80457" w:rsidRPr="00E80457">
        <w:rPr>
          <w:i/>
          <w:lang w:val="fr-CA"/>
        </w:rPr>
        <w:t>douard</w:t>
      </w:r>
      <w:r w:rsidR="00AA6A99">
        <w:rPr>
          <w:lang w:val="fr-CA"/>
        </w:rPr>
        <w:t>, [1997] 3 R.C.S. 3;</w:t>
      </w:r>
      <w:r w:rsidR="00E80457" w:rsidRPr="00E80457">
        <w:rPr>
          <w:lang w:val="fr-CA"/>
        </w:rPr>
        <w:t xml:space="preserve"> </w:t>
      </w:r>
      <w:r w:rsidR="00E80457" w:rsidRPr="00E80457">
        <w:rPr>
          <w:i/>
          <w:lang w:val="fr-CA"/>
        </w:rPr>
        <w:t>Delios c. Canada (Procureur général)</w:t>
      </w:r>
      <w:r w:rsidR="00E80457" w:rsidRPr="00E80457">
        <w:rPr>
          <w:lang w:val="fr-CA"/>
        </w:rPr>
        <w:t xml:space="preserve">, 2015 CAF 117; </w:t>
      </w:r>
      <w:r w:rsidR="00E80457" w:rsidRPr="00E80457">
        <w:rPr>
          <w:i/>
          <w:lang w:val="fr-CA"/>
        </w:rPr>
        <w:t>Halifax (Reg</w:t>
      </w:r>
      <w:r w:rsidR="004B2B78">
        <w:rPr>
          <w:i/>
          <w:lang w:val="fr-CA"/>
        </w:rPr>
        <w:t>ional Municipality) c. Nouvelle</w:t>
      </w:r>
      <w:r w:rsidR="004B2B78">
        <w:rPr>
          <w:i/>
          <w:lang w:val="fr-CA"/>
        </w:rPr>
        <w:noBreakHyphen/>
      </w:r>
      <w:r w:rsidR="00E80457" w:rsidRPr="00E80457">
        <w:rPr>
          <w:i/>
          <w:lang w:val="fr-CA"/>
        </w:rPr>
        <w:t>Écosse (Human Rights Commission)</w:t>
      </w:r>
      <w:r w:rsidR="00E80457" w:rsidRPr="00E80457">
        <w:rPr>
          <w:lang w:val="fr-CA"/>
        </w:rPr>
        <w:t xml:space="preserve">, 2012 CSC 10, </w:t>
      </w:r>
      <w:r w:rsidR="00E80457" w:rsidRPr="00E80457">
        <w:rPr>
          <w:bCs/>
          <w:lang w:val="fr-CA"/>
        </w:rPr>
        <w:t>[2012] 1 R.C.S. 364</w:t>
      </w:r>
      <w:r w:rsidR="00E80457" w:rsidRPr="00E80457">
        <w:rPr>
          <w:lang w:val="fr-CA"/>
        </w:rPr>
        <w:t xml:space="preserve">; </w:t>
      </w:r>
      <w:r w:rsidR="00E80457" w:rsidRPr="00E80457">
        <w:rPr>
          <w:i/>
          <w:lang w:val="fr-CA"/>
        </w:rPr>
        <w:t>Canada (Procureur général) c. Igloo Vikski Inc.</w:t>
      </w:r>
      <w:r w:rsidR="00E80457" w:rsidRPr="00E80457">
        <w:rPr>
          <w:lang w:val="fr-CA"/>
        </w:rPr>
        <w:t xml:space="preserve">, 2016 CSC 38, [2016] 2 R.C.S. 80; </w:t>
      </w:r>
      <w:r w:rsidR="00E80457" w:rsidRPr="00E80457">
        <w:rPr>
          <w:i/>
          <w:lang w:val="fr-CA"/>
        </w:rPr>
        <w:t>L</w:t>
      </w:r>
      <w:r w:rsidR="00491DE6">
        <w:rPr>
          <w:i/>
          <w:lang w:val="fr-CA"/>
        </w:rPr>
        <w:t>aw Society of British Columbia c</w:t>
      </w:r>
      <w:r w:rsidR="00E80457" w:rsidRPr="00E80457">
        <w:rPr>
          <w:i/>
          <w:lang w:val="fr-CA"/>
        </w:rPr>
        <w:t>. Trinity Western University</w:t>
      </w:r>
      <w:r w:rsidR="00E80457" w:rsidRPr="00E80457">
        <w:rPr>
          <w:lang w:val="fr-CA"/>
        </w:rPr>
        <w:t xml:space="preserve">, 2018 CSC 32, </w:t>
      </w:r>
      <w:r w:rsidR="00E80457" w:rsidRPr="00E80457">
        <w:rPr>
          <w:bCs/>
          <w:lang w:val="fr-CA"/>
        </w:rPr>
        <w:t>[2018] 2 R.C.S. 29</w:t>
      </w:r>
      <w:r w:rsidR="00491DE6">
        <w:rPr>
          <w:bCs/>
          <w:lang w:val="fr-CA"/>
        </w:rPr>
        <w:t>3</w:t>
      </w:r>
      <w:r w:rsidR="00E80457" w:rsidRPr="00E80457">
        <w:rPr>
          <w:bCs/>
          <w:lang w:val="fr-CA"/>
        </w:rPr>
        <w:t xml:space="preserve">; </w:t>
      </w:r>
      <w:r w:rsidR="00E80457" w:rsidRPr="00E80457">
        <w:rPr>
          <w:bCs/>
          <w:i/>
          <w:lang w:val="fr-CA"/>
        </w:rPr>
        <w:t>Komolafe c. Canada (Ministre de la Citoyenneté et de l</w:t>
      </w:r>
      <w:r w:rsidR="00356C64">
        <w:rPr>
          <w:bCs/>
          <w:i/>
          <w:lang w:val="fr-CA"/>
        </w:rPr>
        <w:t>’</w:t>
      </w:r>
      <w:r w:rsidR="00E80457" w:rsidRPr="00E80457">
        <w:rPr>
          <w:bCs/>
          <w:i/>
          <w:lang w:val="fr-CA"/>
        </w:rPr>
        <w:t>Immigration)</w:t>
      </w:r>
      <w:r w:rsidR="00E80457" w:rsidRPr="00E80457">
        <w:rPr>
          <w:bCs/>
          <w:lang w:val="fr-CA"/>
        </w:rPr>
        <w:t xml:space="preserve">, 2013 CF 431; </w:t>
      </w:r>
      <w:r w:rsidR="004B2B78">
        <w:rPr>
          <w:i/>
          <w:iCs/>
          <w:lang w:val="fr-CA"/>
        </w:rPr>
        <w:t>Petro</w:t>
      </w:r>
      <w:r w:rsidR="004B2B78">
        <w:rPr>
          <w:i/>
          <w:iCs/>
          <w:lang w:val="fr-CA"/>
        </w:rPr>
        <w:noBreakHyphen/>
      </w:r>
      <w:r w:rsidR="00E80457" w:rsidRPr="00E80457">
        <w:rPr>
          <w:i/>
          <w:iCs/>
          <w:lang w:val="fr-CA"/>
        </w:rPr>
        <w:t>Canada c. British Columbia (Workers</w:t>
      </w:r>
      <w:r w:rsidR="00356C64">
        <w:rPr>
          <w:i/>
          <w:iCs/>
          <w:lang w:val="fr-CA"/>
        </w:rPr>
        <w:t>’</w:t>
      </w:r>
      <w:r w:rsidR="00E80457" w:rsidRPr="00E80457">
        <w:rPr>
          <w:i/>
          <w:iCs/>
          <w:lang w:val="fr-CA"/>
        </w:rPr>
        <w:t xml:space="preserve"> Compensation Board)</w:t>
      </w:r>
      <w:r w:rsidR="00E80457" w:rsidRPr="00E80457">
        <w:rPr>
          <w:lang w:val="fr-CA"/>
        </w:rPr>
        <w:t xml:space="preserve">, 2009 BCCA 396, 276 B.C.A.C. 135; </w:t>
      </w:r>
      <w:r w:rsidR="00E80457" w:rsidRPr="00E80457">
        <w:rPr>
          <w:i/>
          <w:color w:val="212529"/>
          <w:szCs w:val="24"/>
          <w:lang w:val="fr-FR"/>
        </w:rPr>
        <w:t>Gonzalez c. Canada (</w:t>
      </w:r>
      <w:r w:rsidR="00D8317A">
        <w:rPr>
          <w:i/>
          <w:color w:val="212529"/>
          <w:szCs w:val="24"/>
          <w:lang w:val="fr-FR"/>
        </w:rPr>
        <w:t xml:space="preserve">Ministre de la </w:t>
      </w:r>
      <w:r w:rsidR="00E80457" w:rsidRPr="00E80457">
        <w:rPr>
          <w:i/>
          <w:color w:val="212529"/>
          <w:szCs w:val="24"/>
          <w:lang w:val="fr-FR"/>
        </w:rPr>
        <w:t xml:space="preserve">Citoyenneté et </w:t>
      </w:r>
      <w:r w:rsidR="00D8317A">
        <w:rPr>
          <w:i/>
          <w:color w:val="212529"/>
          <w:szCs w:val="24"/>
          <w:lang w:val="fr-FR"/>
        </w:rPr>
        <w:t>de l’</w:t>
      </w:r>
      <w:r w:rsidR="00E80457" w:rsidRPr="00E80457">
        <w:rPr>
          <w:i/>
          <w:color w:val="212529"/>
          <w:szCs w:val="24"/>
          <w:lang w:val="fr-FR"/>
        </w:rPr>
        <w:t>Immigration)</w:t>
      </w:r>
      <w:r w:rsidR="00491DE6">
        <w:rPr>
          <w:color w:val="212529"/>
          <w:szCs w:val="24"/>
          <w:lang w:val="fr-FR"/>
        </w:rPr>
        <w:t>, 2014 CF 750</w:t>
      </w:r>
      <w:r w:rsidR="00E80457" w:rsidRPr="00E80457">
        <w:rPr>
          <w:color w:val="212529"/>
          <w:szCs w:val="24"/>
          <w:lang w:val="fr-FR"/>
        </w:rPr>
        <w:t xml:space="preserve">; </w:t>
      </w:r>
      <w:r w:rsidR="00E80457" w:rsidRPr="00E80457">
        <w:rPr>
          <w:i/>
          <w:iCs/>
          <w:lang w:val="fr-CA"/>
        </w:rPr>
        <w:t>Wright c. Nova Scotia (Human Rights Commission)</w:t>
      </w:r>
      <w:r w:rsidR="00E80457" w:rsidRPr="00491DE6">
        <w:rPr>
          <w:iCs/>
          <w:lang w:val="fr-CA"/>
        </w:rPr>
        <w:t>,</w:t>
      </w:r>
      <w:r w:rsidR="00E80457" w:rsidRPr="00E80457">
        <w:rPr>
          <w:i/>
          <w:iCs/>
          <w:lang w:val="fr-CA"/>
        </w:rPr>
        <w:t xml:space="preserve"> </w:t>
      </w:r>
      <w:r w:rsidR="00E80457" w:rsidRPr="00E80457">
        <w:rPr>
          <w:lang w:val="fr-CA"/>
        </w:rPr>
        <w:t>2017 NSSC 11,</w:t>
      </w:r>
      <w:r w:rsidR="00E80457" w:rsidRPr="00E80457">
        <w:rPr>
          <w:szCs w:val="24"/>
          <w:lang w:val="fr-CA"/>
        </w:rPr>
        <w:t xml:space="preserve"> 23 Admin. L.R. (6th) 110; </w:t>
      </w:r>
      <w:r w:rsidR="00E80457" w:rsidRPr="00E80457">
        <w:rPr>
          <w:i/>
          <w:szCs w:val="24"/>
          <w:lang w:val="fr-CA"/>
        </w:rPr>
        <w:t xml:space="preserve">Sangmo </w:t>
      </w:r>
      <w:r w:rsidR="00491DE6">
        <w:rPr>
          <w:i/>
          <w:szCs w:val="24"/>
          <w:lang w:val="fr-CA"/>
        </w:rPr>
        <w:t xml:space="preserve">c. Canada </w:t>
      </w:r>
      <w:r w:rsidR="00E80457" w:rsidRPr="00E80457">
        <w:rPr>
          <w:i/>
          <w:szCs w:val="24"/>
          <w:lang w:val="fr-CA"/>
        </w:rPr>
        <w:t>(</w:t>
      </w:r>
      <w:r w:rsidR="00D8317A">
        <w:rPr>
          <w:i/>
          <w:szCs w:val="24"/>
          <w:lang w:val="fr-CA"/>
        </w:rPr>
        <w:t xml:space="preserve">Ministre de la </w:t>
      </w:r>
      <w:r w:rsidR="00E80457" w:rsidRPr="00E80457">
        <w:rPr>
          <w:i/>
          <w:szCs w:val="24"/>
          <w:lang w:val="fr-CA"/>
        </w:rPr>
        <w:t xml:space="preserve">Citoyenneté et </w:t>
      </w:r>
      <w:r w:rsidR="00D8317A">
        <w:rPr>
          <w:i/>
          <w:szCs w:val="24"/>
          <w:lang w:val="fr-CA"/>
        </w:rPr>
        <w:t>de l’</w:t>
      </w:r>
      <w:r w:rsidR="00E80457" w:rsidRPr="00E80457">
        <w:rPr>
          <w:i/>
          <w:szCs w:val="24"/>
          <w:lang w:val="fr-CA"/>
        </w:rPr>
        <w:t>Immigration)</w:t>
      </w:r>
      <w:r w:rsidR="00E80457" w:rsidRPr="00E80457">
        <w:rPr>
          <w:szCs w:val="24"/>
          <w:lang w:val="fr-CA"/>
        </w:rPr>
        <w:t xml:space="preserve">, 2016 CF 17; </w:t>
      </w:r>
      <w:r w:rsidR="00E80457" w:rsidRPr="00E80457">
        <w:rPr>
          <w:i/>
          <w:iCs/>
          <w:lang w:val="fr-CA"/>
        </w:rPr>
        <w:t>Blas c. Canada (</w:t>
      </w:r>
      <w:r w:rsidR="00292C6E">
        <w:rPr>
          <w:i/>
          <w:iCs/>
          <w:lang w:val="fr-CA"/>
        </w:rPr>
        <w:t xml:space="preserve">Ministre de la </w:t>
      </w:r>
      <w:r w:rsidR="00491DE6">
        <w:rPr>
          <w:i/>
          <w:iCs/>
          <w:lang w:val="fr-CA"/>
        </w:rPr>
        <w:t xml:space="preserve">Citoyenneté et </w:t>
      </w:r>
      <w:r w:rsidR="00292C6E">
        <w:rPr>
          <w:i/>
          <w:iCs/>
          <w:lang w:val="fr-CA"/>
        </w:rPr>
        <w:t>de l’</w:t>
      </w:r>
      <w:r w:rsidR="00E80457" w:rsidRPr="00E80457">
        <w:rPr>
          <w:i/>
          <w:iCs/>
          <w:lang w:val="fr-CA"/>
        </w:rPr>
        <w:t>Immigration)</w:t>
      </w:r>
      <w:r w:rsidR="00E80457" w:rsidRPr="00E80457">
        <w:rPr>
          <w:lang w:val="fr-CA"/>
        </w:rPr>
        <w:t xml:space="preserve">, 2014 CF 629; </w:t>
      </w:r>
      <w:r w:rsidR="00E80457" w:rsidRPr="00E80457">
        <w:rPr>
          <w:bCs/>
          <w:i/>
          <w:szCs w:val="24"/>
          <w:lang w:val="fr-CA"/>
        </w:rPr>
        <w:t>Reid c. Crimi</w:t>
      </w:r>
      <w:r w:rsidR="00122776">
        <w:rPr>
          <w:bCs/>
          <w:i/>
          <w:szCs w:val="24"/>
          <w:lang w:val="fr-CA"/>
        </w:rPr>
        <w:t>nal Injuries Compensation Board</w:t>
      </w:r>
      <w:r w:rsidR="00E80457" w:rsidRPr="00E80457">
        <w:rPr>
          <w:bCs/>
          <w:szCs w:val="24"/>
          <w:lang w:val="fr-CA"/>
        </w:rPr>
        <w:t xml:space="preserve">, </w:t>
      </w:r>
      <w:r w:rsidR="00E80457" w:rsidRPr="00E80457">
        <w:rPr>
          <w:szCs w:val="24"/>
          <w:lang w:val="fr-CA"/>
        </w:rPr>
        <w:t xml:space="preserve">2015 ONSC 6578; </w:t>
      </w:r>
      <w:r w:rsidR="00E80457" w:rsidRPr="00E80457">
        <w:rPr>
          <w:bCs/>
          <w:i/>
          <w:szCs w:val="24"/>
          <w:lang w:val="fr-CA"/>
        </w:rPr>
        <w:t>Lloyd c. Canada (</w:t>
      </w:r>
      <w:r w:rsidR="00491DE6">
        <w:rPr>
          <w:bCs/>
          <w:i/>
          <w:szCs w:val="24"/>
          <w:lang w:val="fr-CA"/>
        </w:rPr>
        <w:t>Procureur général</w:t>
      </w:r>
      <w:r w:rsidR="00E80457" w:rsidRPr="00E80457">
        <w:rPr>
          <w:bCs/>
          <w:i/>
          <w:szCs w:val="24"/>
          <w:lang w:val="fr-CA"/>
        </w:rPr>
        <w:t>)</w:t>
      </w:r>
      <w:r w:rsidR="00E80457" w:rsidRPr="00E80457">
        <w:rPr>
          <w:bCs/>
          <w:szCs w:val="24"/>
          <w:lang w:val="fr-CA"/>
        </w:rPr>
        <w:t xml:space="preserve">, </w:t>
      </w:r>
      <w:r w:rsidR="00491DE6">
        <w:rPr>
          <w:szCs w:val="24"/>
          <w:lang w:val="fr-CA"/>
        </w:rPr>
        <w:t xml:space="preserve">2016 </w:t>
      </w:r>
      <w:r w:rsidR="00E80457" w:rsidRPr="00E80457">
        <w:rPr>
          <w:szCs w:val="24"/>
          <w:lang w:val="fr-CA"/>
        </w:rPr>
        <w:t>CA</w:t>
      </w:r>
      <w:r w:rsidR="00491DE6">
        <w:rPr>
          <w:szCs w:val="24"/>
          <w:lang w:val="fr-CA"/>
        </w:rPr>
        <w:t>F 115</w:t>
      </w:r>
      <w:r w:rsidR="00E80457" w:rsidRPr="00E80457">
        <w:rPr>
          <w:szCs w:val="24"/>
          <w:lang w:val="fr-CA"/>
        </w:rPr>
        <w:t xml:space="preserve">; </w:t>
      </w:r>
      <w:r w:rsidR="00E80457" w:rsidRPr="00E80457">
        <w:rPr>
          <w:i/>
          <w:szCs w:val="24"/>
          <w:lang w:val="fr-CA"/>
        </w:rPr>
        <w:t>Taman c. Canada (Procureur général)</w:t>
      </w:r>
      <w:r w:rsidR="00E80457" w:rsidRPr="00E80457">
        <w:rPr>
          <w:szCs w:val="24"/>
          <w:lang w:val="fr-CA"/>
        </w:rPr>
        <w:t xml:space="preserve">, 2017 CAF 1, [2017] 3 R.C.F. 520; </w:t>
      </w:r>
      <w:r w:rsidR="00E80457" w:rsidRPr="00E80457">
        <w:rPr>
          <w:i/>
          <w:noProof/>
          <w:lang w:val="fr-CA"/>
        </w:rPr>
        <w:t>Roncarelli</w:t>
      </w:r>
      <w:r w:rsidR="00E80457" w:rsidRPr="00E80457">
        <w:rPr>
          <w:i/>
          <w:noProof/>
          <w:lang w:val="fr-CA" w:bidi="en-US"/>
        </w:rPr>
        <w:t xml:space="preserve"> c. Duplessis</w:t>
      </w:r>
      <w:r w:rsidR="00E80457" w:rsidRPr="00E80457">
        <w:rPr>
          <w:noProof/>
          <w:lang w:val="fr-CA" w:bidi="en-US"/>
        </w:rPr>
        <w:t xml:space="preserve">, [1959] R.C.S. 121; </w:t>
      </w:r>
      <w:r w:rsidR="00E80457" w:rsidRPr="00E80457">
        <w:rPr>
          <w:i/>
          <w:noProof/>
          <w:lang w:val="fr-CA"/>
        </w:rPr>
        <w:t>Montréal (Ville) c. Administration portuaire de Montréal</w:t>
      </w:r>
      <w:r w:rsidR="009E3864">
        <w:rPr>
          <w:noProof/>
          <w:lang w:val="fr-CA"/>
        </w:rPr>
        <w:t xml:space="preserve">, 2010 </w:t>
      </w:r>
      <w:r w:rsidR="00E80457" w:rsidRPr="00E80457">
        <w:rPr>
          <w:noProof/>
          <w:lang w:val="fr-CA"/>
        </w:rPr>
        <w:t>CSC</w:t>
      </w:r>
      <w:r w:rsidR="009E3864">
        <w:rPr>
          <w:noProof/>
          <w:lang w:val="fr-CA"/>
        </w:rPr>
        <w:t xml:space="preserve"> </w:t>
      </w:r>
      <w:r w:rsidR="00E80457" w:rsidRPr="00E80457">
        <w:rPr>
          <w:noProof/>
          <w:lang w:val="fr-CA"/>
        </w:rPr>
        <w:t>14, [2010] 1</w:t>
      </w:r>
      <w:r w:rsidR="009E3864">
        <w:rPr>
          <w:noProof/>
          <w:lang w:val="fr-CA"/>
        </w:rPr>
        <w:t xml:space="preserve"> R.C.S. </w:t>
      </w:r>
      <w:r w:rsidR="00E80457" w:rsidRPr="00E80457">
        <w:rPr>
          <w:noProof/>
          <w:lang w:val="fr-CA"/>
        </w:rPr>
        <w:t xml:space="preserve">427; </w:t>
      </w:r>
      <w:r w:rsidR="00E80457" w:rsidRPr="00E80457">
        <w:rPr>
          <w:i/>
          <w:noProof/>
          <w:lang w:val="fr-CA"/>
        </w:rPr>
        <w:t>Canada (Procureur général) c. Almon Equipment Limited</w:t>
      </w:r>
      <w:r w:rsidR="009E3864">
        <w:rPr>
          <w:noProof/>
          <w:lang w:val="fr-CA"/>
        </w:rPr>
        <w:t xml:space="preserve">, 2010 </w:t>
      </w:r>
      <w:r w:rsidR="00491DE6">
        <w:rPr>
          <w:noProof/>
          <w:lang w:val="fr-CA"/>
        </w:rPr>
        <w:t>CAF</w:t>
      </w:r>
      <w:r w:rsidR="009E3864">
        <w:rPr>
          <w:noProof/>
          <w:lang w:val="fr-CA"/>
        </w:rPr>
        <w:t xml:space="preserve"> </w:t>
      </w:r>
      <w:r w:rsidR="00491DE6">
        <w:rPr>
          <w:noProof/>
          <w:lang w:val="fr-CA"/>
        </w:rPr>
        <w:t>193, [2011] 4 R.C.F.</w:t>
      </w:r>
      <w:r w:rsidR="00E80457" w:rsidRPr="00E80457">
        <w:rPr>
          <w:noProof/>
          <w:lang w:val="fr-CA"/>
        </w:rPr>
        <w:t xml:space="preserve"> 203; </w:t>
      </w:r>
      <w:r w:rsidR="00E80457" w:rsidRPr="00E80457">
        <w:rPr>
          <w:i/>
          <w:noProof/>
          <w:lang w:val="fr-CA"/>
        </w:rPr>
        <w:lastRenderedPageBreak/>
        <w:t xml:space="preserve">Katz Group Canada Inc. </w:t>
      </w:r>
      <w:r w:rsidR="00E80457" w:rsidRPr="00E80457">
        <w:rPr>
          <w:i/>
          <w:iCs/>
          <w:noProof/>
          <w:lang w:val="fr-CA"/>
        </w:rPr>
        <w:t>c.</w:t>
      </w:r>
      <w:r w:rsidR="00E80457" w:rsidRPr="00E80457">
        <w:rPr>
          <w:i/>
          <w:noProof/>
          <w:lang w:val="fr-CA"/>
        </w:rPr>
        <w:t xml:space="preserve"> Ontario (Santé et Soins de longue durée)</w:t>
      </w:r>
      <w:r w:rsidR="00E80457" w:rsidRPr="00E80457">
        <w:rPr>
          <w:noProof/>
          <w:lang w:val="fr-CA"/>
        </w:rPr>
        <w:t>, 2013</w:t>
      </w:r>
      <w:r w:rsidR="009E3864">
        <w:rPr>
          <w:noProof/>
          <w:lang w:val="fr-CA"/>
        </w:rPr>
        <w:t xml:space="preserve"> </w:t>
      </w:r>
      <w:r w:rsidR="00E80457" w:rsidRPr="00E80457">
        <w:rPr>
          <w:noProof/>
          <w:lang w:val="fr-CA"/>
        </w:rPr>
        <w:t>CSC</w:t>
      </w:r>
      <w:r w:rsidR="009E3864">
        <w:rPr>
          <w:noProof/>
          <w:lang w:val="fr-CA"/>
        </w:rPr>
        <w:t xml:space="preserve"> </w:t>
      </w:r>
      <w:r w:rsidR="00C817AF">
        <w:rPr>
          <w:noProof/>
          <w:lang w:val="fr-CA"/>
        </w:rPr>
        <w:t xml:space="preserve">64, [2013] 3 </w:t>
      </w:r>
      <w:r w:rsidR="00E80457" w:rsidRPr="00E80457">
        <w:rPr>
          <w:noProof/>
          <w:lang w:val="fr-CA"/>
        </w:rPr>
        <w:t>R.C.S.</w:t>
      </w:r>
      <w:r w:rsidR="00C817AF">
        <w:rPr>
          <w:noProof/>
          <w:lang w:val="fr-CA"/>
        </w:rPr>
        <w:t xml:space="preserve"> </w:t>
      </w:r>
      <w:r w:rsidR="00E80457" w:rsidRPr="00E80457">
        <w:rPr>
          <w:noProof/>
          <w:lang w:val="fr-CA"/>
        </w:rPr>
        <w:t xml:space="preserve">810; </w:t>
      </w:r>
      <w:r w:rsidR="00E80457" w:rsidRPr="00E80457">
        <w:rPr>
          <w:i/>
          <w:iCs/>
          <w:noProof/>
          <w:lang w:val="fr-CA"/>
        </w:rPr>
        <w:t>Canada (Transpo</w:t>
      </w:r>
      <w:r w:rsidR="00820FA8">
        <w:rPr>
          <w:i/>
          <w:iCs/>
          <w:noProof/>
          <w:lang w:val="fr-CA"/>
        </w:rPr>
        <w:t xml:space="preserve">rts, Infrastructure et </w:t>
      </w:r>
      <w:r w:rsidR="00E80457" w:rsidRPr="00E80457">
        <w:rPr>
          <w:i/>
          <w:iCs/>
          <w:noProof/>
          <w:lang w:val="fr-CA"/>
        </w:rPr>
        <w:t>Collectivités) c. Farwaha</w:t>
      </w:r>
      <w:r w:rsidR="00491DE6">
        <w:rPr>
          <w:iCs/>
          <w:noProof/>
          <w:lang w:val="fr-CA"/>
        </w:rPr>
        <w:t>, 2014</w:t>
      </w:r>
      <w:r w:rsidR="00C817AF">
        <w:rPr>
          <w:iCs/>
          <w:noProof/>
          <w:lang w:val="fr-CA"/>
        </w:rPr>
        <w:t xml:space="preserve"> </w:t>
      </w:r>
      <w:r w:rsidR="00491DE6">
        <w:rPr>
          <w:iCs/>
          <w:noProof/>
          <w:lang w:val="fr-CA"/>
        </w:rPr>
        <w:t>CAF</w:t>
      </w:r>
      <w:r w:rsidR="00C817AF">
        <w:rPr>
          <w:iCs/>
          <w:noProof/>
          <w:lang w:val="fr-CA"/>
        </w:rPr>
        <w:t xml:space="preserve"> </w:t>
      </w:r>
      <w:r w:rsidR="00491DE6">
        <w:rPr>
          <w:iCs/>
          <w:noProof/>
          <w:lang w:val="fr-CA"/>
        </w:rPr>
        <w:t xml:space="preserve">56, [2015] 2 </w:t>
      </w:r>
      <w:r w:rsidR="00E80457" w:rsidRPr="00E80457">
        <w:rPr>
          <w:iCs/>
          <w:noProof/>
          <w:lang w:val="fr-CA"/>
        </w:rPr>
        <w:t>R.</w:t>
      </w:r>
      <w:r w:rsidR="00491DE6">
        <w:rPr>
          <w:iCs/>
          <w:noProof/>
          <w:lang w:val="fr-CA"/>
        </w:rPr>
        <w:t>C.F.</w:t>
      </w:r>
      <w:r w:rsidR="00E80457" w:rsidRPr="00E80457">
        <w:rPr>
          <w:iCs/>
          <w:noProof/>
          <w:lang w:val="fr-CA"/>
        </w:rPr>
        <w:t xml:space="preserve"> 1006; </w:t>
      </w:r>
      <w:r w:rsidR="00E80457" w:rsidRPr="00E80457">
        <w:rPr>
          <w:i/>
          <w:noProof/>
          <w:lang w:val="fr-CA"/>
        </w:rPr>
        <w:t>R. c. Hape</w:t>
      </w:r>
      <w:r w:rsidR="00E80457" w:rsidRPr="00E80457">
        <w:rPr>
          <w:noProof/>
          <w:lang w:val="fr-CA"/>
        </w:rPr>
        <w:t>, 2007</w:t>
      </w:r>
      <w:r w:rsidR="00C817AF">
        <w:rPr>
          <w:noProof/>
          <w:lang w:val="fr-CA"/>
        </w:rPr>
        <w:t xml:space="preserve"> CSC </w:t>
      </w:r>
      <w:r w:rsidR="00E80457" w:rsidRPr="00E80457">
        <w:rPr>
          <w:noProof/>
          <w:lang w:val="fr-CA"/>
        </w:rPr>
        <w:t>26, [2007] 2</w:t>
      </w:r>
      <w:r w:rsidR="00C817AF">
        <w:rPr>
          <w:noProof/>
          <w:lang w:val="fr-CA"/>
        </w:rPr>
        <w:t xml:space="preserve"> </w:t>
      </w:r>
      <w:r w:rsidR="00E80457" w:rsidRPr="00E80457">
        <w:rPr>
          <w:noProof/>
          <w:lang w:val="fr-CA"/>
        </w:rPr>
        <w:t>R.C.S.</w:t>
      </w:r>
      <w:r w:rsidR="00C817AF">
        <w:rPr>
          <w:noProof/>
          <w:lang w:val="fr-CA"/>
        </w:rPr>
        <w:t xml:space="preserve"> </w:t>
      </w:r>
      <w:r w:rsidR="00E80457" w:rsidRPr="00E80457">
        <w:rPr>
          <w:noProof/>
          <w:lang w:val="fr-CA"/>
        </w:rPr>
        <w:t>292;</w:t>
      </w:r>
      <w:r w:rsidR="00E80457" w:rsidRPr="00E80457">
        <w:rPr>
          <w:b/>
          <w:noProof/>
          <w:lang w:val="fr-CA"/>
        </w:rPr>
        <w:t xml:space="preserve"> </w:t>
      </w:r>
      <w:r w:rsidR="00E80457" w:rsidRPr="00E80457">
        <w:rPr>
          <w:i/>
          <w:noProof/>
          <w:lang w:val="fr-CA"/>
        </w:rPr>
        <w:t>R. c. Appulonappa</w:t>
      </w:r>
      <w:r w:rsidR="00E80457" w:rsidRPr="00E80457">
        <w:rPr>
          <w:noProof/>
          <w:lang w:val="fr-CA"/>
        </w:rPr>
        <w:t>,</w:t>
      </w:r>
      <w:r w:rsidR="00E80457" w:rsidRPr="00E80457">
        <w:rPr>
          <w:i/>
          <w:noProof/>
          <w:lang w:val="fr-CA"/>
        </w:rPr>
        <w:t xml:space="preserve"> </w:t>
      </w:r>
      <w:r w:rsidR="00C817AF">
        <w:rPr>
          <w:noProof/>
          <w:lang w:val="fr-CA"/>
        </w:rPr>
        <w:t xml:space="preserve">2015 </w:t>
      </w:r>
      <w:r w:rsidR="00E80457" w:rsidRPr="00E80457">
        <w:rPr>
          <w:noProof/>
          <w:lang w:val="fr-CA"/>
        </w:rPr>
        <w:t>CSC</w:t>
      </w:r>
      <w:r w:rsidR="00C817AF">
        <w:rPr>
          <w:noProof/>
          <w:lang w:val="fr-CA"/>
        </w:rPr>
        <w:t xml:space="preserve"> </w:t>
      </w:r>
      <w:r w:rsidR="00E80457" w:rsidRPr="00E80457">
        <w:rPr>
          <w:noProof/>
          <w:lang w:val="fr-CA"/>
        </w:rPr>
        <w:t>59, [2015] 3</w:t>
      </w:r>
      <w:r w:rsidR="00C817AF">
        <w:rPr>
          <w:noProof/>
          <w:lang w:val="fr-CA"/>
        </w:rPr>
        <w:t xml:space="preserve"> </w:t>
      </w:r>
      <w:r w:rsidR="00E80457" w:rsidRPr="00E80457">
        <w:rPr>
          <w:noProof/>
          <w:lang w:val="fr-CA"/>
        </w:rPr>
        <w:t>R.C.S.</w:t>
      </w:r>
      <w:r w:rsidR="00C817AF">
        <w:rPr>
          <w:noProof/>
          <w:lang w:val="fr-CA"/>
        </w:rPr>
        <w:t xml:space="preserve"> </w:t>
      </w:r>
      <w:r w:rsidR="00E80457" w:rsidRPr="00E80457">
        <w:rPr>
          <w:noProof/>
          <w:lang w:val="fr-CA"/>
        </w:rPr>
        <w:t xml:space="preserve">754; </w:t>
      </w:r>
      <w:r w:rsidR="00E80457" w:rsidRPr="00E80457">
        <w:rPr>
          <w:i/>
          <w:noProof/>
          <w:lang w:val="fr-CA"/>
        </w:rPr>
        <w:t>Rizzo &amp; Rizzo Shoes Ltd. (Re)</w:t>
      </w:r>
      <w:r w:rsidR="00C817AF">
        <w:rPr>
          <w:noProof/>
          <w:lang w:val="fr-CA"/>
        </w:rPr>
        <w:t xml:space="preserve">, [1998] 1 </w:t>
      </w:r>
      <w:r w:rsidR="00E80457" w:rsidRPr="00E80457">
        <w:rPr>
          <w:noProof/>
          <w:lang w:val="fr-CA"/>
        </w:rPr>
        <w:t>R.C.S.</w:t>
      </w:r>
      <w:r w:rsidR="00C817AF">
        <w:rPr>
          <w:noProof/>
          <w:lang w:val="fr-CA"/>
        </w:rPr>
        <w:t xml:space="preserve"> </w:t>
      </w:r>
      <w:r w:rsidR="00E80457" w:rsidRPr="00E80457">
        <w:rPr>
          <w:noProof/>
          <w:lang w:val="fr-CA"/>
        </w:rPr>
        <w:t xml:space="preserve">27; </w:t>
      </w:r>
      <w:r w:rsidR="00E80457" w:rsidRPr="00E80457">
        <w:rPr>
          <w:i/>
          <w:noProof/>
          <w:lang w:val="fr-CA"/>
        </w:rPr>
        <w:t>Bell ExpressVu Limited Partnership c. Rex</w:t>
      </w:r>
      <w:r w:rsidR="00C817AF">
        <w:rPr>
          <w:noProof/>
          <w:lang w:val="fr-CA"/>
        </w:rPr>
        <w:t xml:space="preserve">, 2002 </w:t>
      </w:r>
      <w:r w:rsidR="00E80457" w:rsidRPr="00E80457">
        <w:rPr>
          <w:noProof/>
          <w:lang w:val="fr-CA"/>
        </w:rPr>
        <w:t>CSC</w:t>
      </w:r>
      <w:r w:rsidR="00C817AF">
        <w:rPr>
          <w:noProof/>
          <w:lang w:val="fr-CA"/>
        </w:rPr>
        <w:t xml:space="preserve"> </w:t>
      </w:r>
      <w:r w:rsidR="00E80457" w:rsidRPr="00E80457">
        <w:rPr>
          <w:noProof/>
          <w:lang w:val="fr-CA"/>
        </w:rPr>
        <w:t>42, [2002] 2</w:t>
      </w:r>
      <w:r w:rsidR="00573C42">
        <w:rPr>
          <w:noProof/>
          <w:lang w:val="fr-CA"/>
        </w:rPr>
        <w:t xml:space="preserve"> </w:t>
      </w:r>
      <w:r w:rsidR="00E80457" w:rsidRPr="00E80457">
        <w:rPr>
          <w:noProof/>
          <w:lang w:val="fr-CA"/>
        </w:rPr>
        <w:t>R.C.S.</w:t>
      </w:r>
      <w:r w:rsidR="00573C42">
        <w:rPr>
          <w:noProof/>
          <w:lang w:val="fr-CA"/>
        </w:rPr>
        <w:t xml:space="preserve"> </w:t>
      </w:r>
      <w:r w:rsidR="00E80457" w:rsidRPr="00E80457">
        <w:rPr>
          <w:noProof/>
          <w:lang w:val="fr-CA"/>
        </w:rPr>
        <w:t xml:space="preserve">559; </w:t>
      </w:r>
      <w:r w:rsidR="00E80457" w:rsidRPr="00E80457">
        <w:rPr>
          <w:i/>
          <w:noProof/>
          <w:lang w:val="fr-CA"/>
        </w:rPr>
        <w:t xml:space="preserve">Hypothèques Trustco Canada </w:t>
      </w:r>
      <w:r w:rsidR="00E80457" w:rsidRPr="00E80457">
        <w:rPr>
          <w:i/>
          <w:iCs/>
          <w:noProof/>
          <w:lang w:val="fr-CA"/>
        </w:rPr>
        <w:t>c</w:t>
      </w:r>
      <w:r w:rsidR="00E80457" w:rsidRPr="00E80457">
        <w:rPr>
          <w:i/>
          <w:noProof/>
          <w:lang w:val="fr-CA"/>
        </w:rPr>
        <w:t>. Canada</w:t>
      </w:r>
      <w:r w:rsidR="00573C42">
        <w:rPr>
          <w:noProof/>
          <w:lang w:val="fr-CA"/>
        </w:rPr>
        <w:t xml:space="preserve">, 2005 </w:t>
      </w:r>
      <w:r w:rsidR="00E80457" w:rsidRPr="00E80457">
        <w:rPr>
          <w:noProof/>
          <w:lang w:val="fr-CA"/>
        </w:rPr>
        <w:t>CSC</w:t>
      </w:r>
      <w:r w:rsidR="00573C42">
        <w:rPr>
          <w:noProof/>
          <w:lang w:val="fr-CA"/>
        </w:rPr>
        <w:t xml:space="preserve"> </w:t>
      </w:r>
      <w:r w:rsidR="00E80457" w:rsidRPr="00E80457">
        <w:rPr>
          <w:noProof/>
          <w:lang w:val="fr-CA"/>
        </w:rPr>
        <w:t>54, [2005] 2</w:t>
      </w:r>
      <w:r w:rsidR="00573C42">
        <w:rPr>
          <w:noProof/>
          <w:lang w:val="fr-CA"/>
        </w:rPr>
        <w:t xml:space="preserve"> </w:t>
      </w:r>
      <w:r w:rsidR="00E80457" w:rsidRPr="00E80457">
        <w:rPr>
          <w:noProof/>
          <w:lang w:val="fr-CA"/>
        </w:rPr>
        <w:t>R.C.S.</w:t>
      </w:r>
      <w:r w:rsidR="00573C42">
        <w:rPr>
          <w:noProof/>
          <w:lang w:val="fr-CA"/>
        </w:rPr>
        <w:t xml:space="preserve"> </w:t>
      </w:r>
      <w:r w:rsidR="00E80457" w:rsidRPr="00E80457">
        <w:rPr>
          <w:noProof/>
          <w:lang w:val="fr-CA"/>
        </w:rPr>
        <w:t xml:space="preserve">601; </w:t>
      </w:r>
      <w:r w:rsidR="00E80457" w:rsidRPr="00E80457">
        <w:rPr>
          <w:i/>
          <w:noProof/>
          <w:lang w:val="fr-CA"/>
        </w:rPr>
        <w:t>Construction Labour Relations c. Driver Iron Inc.</w:t>
      </w:r>
      <w:r w:rsidR="00E80457" w:rsidRPr="00E80457">
        <w:rPr>
          <w:noProof/>
          <w:lang w:val="fr-CA"/>
        </w:rPr>
        <w:t>, 2012</w:t>
      </w:r>
      <w:r w:rsidR="00573C42">
        <w:rPr>
          <w:noProof/>
          <w:lang w:val="fr-CA"/>
        </w:rPr>
        <w:t xml:space="preserve"> </w:t>
      </w:r>
      <w:r w:rsidR="00E80457" w:rsidRPr="00E80457">
        <w:rPr>
          <w:noProof/>
          <w:lang w:val="fr-CA"/>
        </w:rPr>
        <w:t>CSC</w:t>
      </w:r>
      <w:r w:rsidR="00573C42">
        <w:rPr>
          <w:noProof/>
          <w:lang w:val="fr-CA"/>
        </w:rPr>
        <w:t xml:space="preserve"> </w:t>
      </w:r>
      <w:r w:rsidR="00E80457" w:rsidRPr="00E80457">
        <w:rPr>
          <w:noProof/>
          <w:lang w:val="fr-CA"/>
        </w:rPr>
        <w:t xml:space="preserve">65, </w:t>
      </w:r>
      <w:r w:rsidR="00573C42">
        <w:rPr>
          <w:noProof/>
          <w:lang w:val="fr-CA"/>
        </w:rPr>
        <w:t xml:space="preserve">[2012] 3 </w:t>
      </w:r>
      <w:r w:rsidR="00E80457" w:rsidRPr="00E80457">
        <w:rPr>
          <w:noProof/>
          <w:lang w:val="fr-CA"/>
        </w:rPr>
        <w:t>R.C.S.</w:t>
      </w:r>
      <w:r w:rsidR="00573C42">
        <w:rPr>
          <w:noProof/>
          <w:lang w:val="fr-CA"/>
        </w:rPr>
        <w:t xml:space="preserve"> </w:t>
      </w:r>
      <w:r w:rsidR="00E80457" w:rsidRPr="00E80457">
        <w:rPr>
          <w:noProof/>
          <w:lang w:val="fr-CA"/>
        </w:rPr>
        <w:t xml:space="preserve">405; </w:t>
      </w:r>
      <w:r w:rsidR="00E80457" w:rsidRPr="00E80457">
        <w:rPr>
          <w:i/>
          <w:noProof/>
          <w:lang w:val="fr-CA"/>
        </w:rPr>
        <w:t>SITBA c. Consolidated-Bathurst Packaging Ltd.</w:t>
      </w:r>
      <w:r w:rsidR="00E80457" w:rsidRPr="00E80457">
        <w:rPr>
          <w:noProof/>
          <w:lang w:val="fr-CA"/>
        </w:rPr>
        <w:t>, [1990] 1</w:t>
      </w:r>
      <w:r w:rsidR="00573C42">
        <w:rPr>
          <w:noProof/>
          <w:lang w:val="fr-CA"/>
        </w:rPr>
        <w:t xml:space="preserve"> </w:t>
      </w:r>
      <w:r w:rsidR="00E80457" w:rsidRPr="00E80457">
        <w:rPr>
          <w:noProof/>
          <w:lang w:val="fr-CA"/>
        </w:rPr>
        <w:t>R.C.S.</w:t>
      </w:r>
      <w:r w:rsidR="00573C42">
        <w:rPr>
          <w:noProof/>
          <w:lang w:val="fr-CA"/>
        </w:rPr>
        <w:t xml:space="preserve"> </w:t>
      </w:r>
      <w:r w:rsidR="00E80457" w:rsidRPr="00E80457">
        <w:rPr>
          <w:noProof/>
          <w:lang w:val="fr-CA"/>
        </w:rPr>
        <w:t xml:space="preserve">282; </w:t>
      </w:r>
      <w:r w:rsidR="00E80457" w:rsidRPr="00E80457">
        <w:rPr>
          <w:i/>
          <w:noProof/>
          <w:lang w:val="fr-CA"/>
        </w:rPr>
        <w:t>Chieu c. Ca</w:t>
      </w:r>
      <w:r w:rsidR="000921E4">
        <w:rPr>
          <w:i/>
          <w:noProof/>
          <w:lang w:val="fr-CA"/>
        </w:rPr>
        <w:t>nada (Ministre de la Citoyenneté</w:t>
      </w:r>
      <w:r w:rsidR="00E80457" w:rsidRPr="00E80457">
        <w:rPr>
          <w:i/>
          <w:noProof/>
          <w:lang w:val="fr-CA"/>
        </w:rPr>
        <w:t xml:space="preserve"> et de l</w:t>
      </w:r>
      <w:r w:rsidR="00356C64">
        <w:rPr>
          <w:i/>
          <w:noProof/>
          <w:lang w:val="fr-CA"/>
        </w:rPr>
        <w:t>’</w:t>
      </w:r>
      <w:r w:rsidR="00E80457" w:rsidRPr="00E80457">
        <w:rPr>
          <w:i/>
          <w:noProof/>
          <w:lang w:val="fr-CA"/>
        </w:rPr>
        <w:t>Immigration)</w:t>
      </w:r>
      <w:r w:rsidR="00E80457" w:rsidRPr="00E80457">
        <w:rPr>
          <w:noProof/>
          <w:lang w:val="fr-CA"/>
        </w:rPr>
        <w:t xml:space="preserve">, </w:t>
      </w:r>
      <w:r w:rsidR="000921E4">
        <w:rPr>
          <w:noProof/>
          <w:lang w:val="fr-CA"/>
        </w:rPr>
        <w:t xml:space="preserve">2002 CSC 3, </w:t>
      </w:r>
      <w:r w:rsidR="00573C42">
        <w:rPr>
          <w:noProof/>
          <w:lang w:val="fr-CA"/>
        </w:rPr>
        <w:t xml:space="preserve">[2002] 1 </w:t>
      </w:r>
      <w:r w:rsidR="00E80457" w:rsidRPr="00E80457">
        <w:rPr>
          <w:noProof/>
          <w:lang w:val="fr-CA"/>
        </w:rPr>
        <w:t>R.C.S.</w:t>
      </w:r>
      <w:r w:rsidR="00573C42">
        <w:rPr>
          <w:noProof/>
          <w:lang w:val="fr-CA"/>
        </w:rPr>
        <w:t xml:space="preserve"> </w:t>
      </w:r>
      <w:r w:rsidR="00E80457" w:rsidRPr="00E80457">
        <w:rPr>
          <w:noProof/>
          <w:lang w:val="fr-CA"/>
        </w:rPr>
        <w:t xml:space="preserve">84; </w:t>
      </w:r>
      <w:r w:rsidR="00E80457" w:rsidRPr="00E80457">
        <w:rPr>
          <w:i/>
          <w:noProof/>
          <w:lang w:val="fr-CA"/>
        </w:rPr>
        <w:t>D</w:t>
      </w:r>
      <w:r w:rsidR="00356C64">
        <w:rPr>
          <w:i/>
          <w:noProof/>
          <w:lang w:val="fr-CA"/>
        </w:rPr>
        <w:t>’</w:t>
      </w:r>
      <w:r w:rsidR="00E80457" w:rsidRPr="00E80457">
        <w:rPr>
          <w:i/>
          <w:noProof/>
          <w:lang w:val="fr-CA"/>
        </w:rPr>
        <w:t>Errico c. Canada (Procureur général)</w:t>
      </w:r>
      <w:r w:rsidR="00E80457" w:rsidRPr="00E80457">
        <w:rPr>
          <w:noProof/>
          <w:lang w:val="fr-CA"/>
        </w:rPr>
        <w:t>, 2014</w:t>
      </w:r>
      <w:r w:rsidR="00573C42">
        <w:rPr>
          <w:noProof/>
          <w:lang w:val="fr-CA"/>
        </w:rPr>
        <w:t xml:space="preserve"> CAF </w:t>
      </w:r>
      <w:r w:rsidR="00E80457" w:rsidRPr="00E80457">
        <w:rPr>
          <w:noProof/>
          <w:lang w:val="fr-CA"/>
        </w:rPr>
        <w:t xml:space="preserve">95; </w:t>
      </w:r>
      <w:r w:rsidR="00E80457" w:rsidRPr="00E80457">
        <w:rPr>
          <w:i/>
          <w:noProof/>
          <w:lang w:val="fr-CA"/>
        </w:rPr>
        <w:t>Mobil Oil Canada</w:t>
      </w:r>
      <w:r w:rsidR="00573C42">
        <w:rPr>
          <w:i/>
          <w:noProof/>
          <w:lang w:val="fr-CA"/>
        </w:rPr>
        <w:t xml:space="preserve"> Ltd. c. Office Canada-Terre-</w:t>
      </w:r>
      <w:r w:rsidR="00E80457" w:rsidRPr="00E80457">
        <w:rPr>
          <w:i/>
          <w:noProof/>
          <w:lang w:val="fr-CA"/>
        </w:rPr>
        <w:t>Neuve des hydrocarbures extracôtiers</w:t>
      </w:r>
      <w:r w:rsidR="00573C42">
        <w:rPr>
          <w:noProof/>
          <w:lang w:val="fr-CA"/>
        </w:rPr>
        <w:t xml:space="preserve">, [1994] 1 </w:t>
      </w:r>
      <w:r w:rsidR="00E80457" w:rsidRPr="00E80457">
        <w:rPr>
          <w:noProof/>
          <w:lang w:val="fr-CA"/>
        </w:rPr>
        <w:t>R.C.S.</w:t>
      </w:r>
      <w:r w:rsidR="00573C42">
        <w:rPr>
          <w:noProof/>
          <w:lang w:val="fr-CA"/>
        </w:rPr>
        <w:t xml:space="preserve"> </w:t>
      </w:r>
      <w:r w:rsidR="00E80457" w:rsidRPr="00E80457">
        <w:rPr>
          <w:noProof/>
          <w:lang w:val="fr-CA"/>
        </w:rPr>
        <w:t xml:space="preserve">202; </w:t>
      </w:r>
      <w:r w:rsidR="00E80457" w:rsidRPr="00E80457">
        <w:rPr>
          <w:i/>
          <w:noProof/>
          <w:lang w:val="fr-CA"/>
        </w:rPr>
        <w:t>Renaud c. Québec (Commission des affaires sociales)</w:t>
      </w:r>
      <w:r w:rsidR="00573C42">
        <w:rPr>
          <w:noProof/>
          <w:lang w:val="fr-CA"/>
        </w:rPr>
        <w:t xml:space="preserve">, [1999] 3 </w:t>
      </w:r>
      <w:r w:rsidR="00E80457" w:rsidRPr="00E80457">
        <w:rPr>
          <w:noProof/>
          <w:lang w:val="fr-CA"/>
        </w:rPr>
        <w:t>R.C.S.</w:t>
      </w:r>
      <w:r w:rsidR="00573C42">
        <w:rPr>
          <w:noProof/>
          <w:lang w:val="fr-CA"/>
        </w:rPr>
        <w:t xml:space="preserve"> </w:t>
      </w:r>
      <w:r w:rsidR="00E80457" w:rsidRPr="00E80457">
        <w:rPr>
          <w:noProof/>
          <w:lang w:val="fr-CA"/>
        </w:rPr>
        <w:t xml:space="preserve">855; </w:t>
      </w:r>
      <w:r w:rsidR="00E80457" w:rsidRPr="00E80457">
        <w:rPr>
          <w:i/>
          <w:noProof/>
          <w:lang w:val="fr-CA"/>
        </w:rPr>
        <w:t>Groia c. Ba</w:t>
      </w:r>
      <w:r w:rsidR="00350F51">
        <w:rPr>
          <w:i/>
          <w:noProof/>
          <w:lang w:val="fr-CA"/>
        </w:rPr>
        <w:t>r</w:t>
      </w:r>
      <w:r w:rsidR="00E80457" w:rsidRPr="00E80457">
        <w:rPr>
          <w:i/>
          <w:noProof/>
          <w:lang w:val="fr-CA"/>
        </w:rPr>
        <w:t>reau du Haut</w:t>
      </w:r>
      <w:r w:rsidR="00E80457" w:rsidRPr="00E80457">
        <w:rPr>
          <w:i/>
          <w:noProof/>
          <w:lang w:val="fr-CA"/>
        </w:rPr>
        <w:noBreakHyphen/>
        <w:t>Canada</w:t>
      </w:r>
      <w:r w:rsidR="00573C42">
        <w:rPr>
          <w:noProof/>
          <w:lang w:val="fr-CA"/>
        </w:rPr>
        <w:t xml:space="preserve">, 2018 </w:t>
      </w:r>
      <w:r w:rsidR="00E80457" w:rsidRPr="00E80457">
        <w:rPr>
          <w:noProof/>
          <w:lang w:val="fr-CA"/>
        </w:rPr>
        <w:t>CSC</w:t>
      </w:r>
      <w:r w:rsidR="00573C42">
        <w:rPr>
          <w:noProof/>
          <w:lang w:val="fr-CA"/>
        </w:rPr>
        <w:t xml:space="preserve"> </w:t>
      </w:r>
      <w:r w:rsidR="008A3DC7">
        <w:rPr>
          <w:noProof/>
          <w:lang w:val="fr-CA"/>
        </w:rPr>
        <w:t xml:space="preserve">27, [2018] 1 </w:t>
      </w:r>
      <w:r w:rsidR="00E80457" w:rsidRPr="00E80457">
        <w:rPr>
          <w:noProof/>
          <w:lang w:val="fr-CA"/>
        </w:rPr>
        <w:t>R.C.S.</w:t>
      </w:r>
      <w:r w:rsidR="008A3DC7">
        <w:rPr>
          <w:noProof/>
          <w:lang w:val="fr-CA"/>
        </w:rPr>
        <w:t xml:space="preserve"> </w:t>
      </w:r>
      <w:r w:rsidR="00E80457" w:rsidRPr="00E80457">
        <w:rPr>
          <w:noProof/>
          <w:lang w:val="fr-CA"/>
        </w:rPr>
        <w:t xml:space="preserve">772; </w:t>
      </w:r>
      <w:r w:rsidR="00E80457" w:rsidRPr="00E80457">
        <w:rPr>
          <w:i/>
          <w:iCs/>
          <w:noProof/>
          <w:lang w:val="fr-CA"/>
        </w:rPr>
        <w:t>Sharif c. Canada (Procureur général)</w:t>
      </w:r>
      <w:r w:rsidR="00E80457" w:rsidRPr="00E80457">
        <w:rPr>
          <w:noProof/>
          <w:lang w:val="fr-CA"/>
        </w:rPr>
        <w:t>, 2018</w:t>
      </w:r>
      <w:r w:rsidR="008A3DC7">
        <w:rPr>
          <w:noProof/>
          <w:lang w:val="fr-CA"/>
        </w:rPr>
        <w:t xml:space="preserve"> </w:t>
      </w:r>
      <w:r w:rsidR="00E80457" w:rsidRPr="00E80457">
        <w:rPr>
          <w:noProof/>
          <w:lang w:val="fr-CA"/>
        </w:rPr>
        <w:t>CAF</w:t>
      </w:r>
      <w:r w:rsidR="008A3DC7">
        <w:rPr>
          <w:noProof/>
          <w:lang w:val="fr-CA"/>
        </w:rPr>
        <w:t xml:space="preserve"> </w:t>
      </w:r>
      <w:r w:rsidR="00E80457" w:rsidRPr="00E80457">
        <w:rPr>
          <w:noProof/>
          <w:lang w:val="fr-CA"/>
        </w:rPr>
        <w:t xml:space="preserve">205; </w:t>
      </w:r>
      <w:r w:rsidR="00E80457" w:rsidRPr="00E80457">
        <w:rPr>
          <w:i/>
          <w:noProof/>
          <w:lang w:val="fr-CA"/>
        </w:rPr>
        <w:t xml:space="preserve">Maple Lodge Farms Ltd. c. Agence </w:t>
      </w:r>
      <w:r w:rsidR="008276A4">
        <w:rPr>
          <w:i/>
          <w:noProof/>
          <w:lang w:val="fr-CA"/>
        </w:rPr>
        <w:t xml:space="preserve">canadienne </w:t>
      </w:r>
      <w:r w:rsidR="00E80457" w:rsidRPr="00E80457">
        <w:rPr>
          <w:i/>
          <w:noProof/>
          <w:lang w:val="fr-CA"/>
        </w:rPr>
        <w:t>d</w:t>
      </w:r>
      <w:r w:rsidR="00356C64">
        <w:rPr>
          <w:i/>
          <w:noProof/>
          <w:lang w:val="fr-CA"/>
        </w:rPr>
        <w:t>’</w:t>
      </w:r>
      <w:r w:rsidR="00E80457" w:rsidRPr="00E80457">
        <w:rPr>
          <w:i/>
          <w:noProof/>
          <w:lang w:val="fr-CA"/>
        </w:rPr>
        <w:t>inspection des aliments</w:t>
      </w:r>
      <w:r w:rsidR="00E80457" w:rsidRPr="00E80457">
        <w:rPr>
          <w:noProof/>
          <w:lang w:val="fr-CA"/>
        </w:rPr>
        <w:t>, 2</w:t>
      </w:r>
      <w:r w:rsidR="00897A88">
        <w:rPr>
          <w:noProof/>
          <w:lang w:val="fr-CA"/>
        </w:rPr>
        <w:t>017</w:t>
      </w:r>
      <w:r w:rsidR="008276A4">
        <w:rPr>
          <w:noProof/>
          <w:lang w:val="fr-CA"/>
        </w:rPr>
        <w:t xml:space="preserve"> </w:t>
      </w:r>
      <w:r w:rsidR="00897A88">
        <w:rPr>
          <w:noProof/>
          <w:lang w:val="fr-CA"/>
        </w:rPr>
        <w:t>CAF</w:t>
      </w:r>
      <w:r w:rsidR="008276A4">
        <w:rPr>
          <w:noProof/>
          <w:lang w:val="fr-CA"/>
        </w:rPr>
        <w:t xml:space="preserve"> </w:t>
      </w:r>
      <w:r w:rsidR="00897A88">
        <w:rPr>
          <w:noProof/>
          <w:lang w:val="fr-CA"/>
        </w:rPr>
        <w:t>45</w:t>
      </w:r>
      <w:r w:rsidR="00E80457" w:rsidRPr="00E80457">
        <w:rPr>
          <w:noProof/>
          <w:lang w:val="fr-CA"/>
        </w:rPr>
        <w:t xml:space="preserve">; </w:t>
      </w:r>
      <w:r w:rsidR="00E80457" w:rsidRPr="00E80457">
        <w:rPr>
          <w:i/>
          <w:noProof/>
          <w:lang w:val="fr-CA"/>
        </w:rPr>
        <w:t>Gehl c. Canada (</w:t>
      </w:r>
      <w:r w:rsidR="008276A4">
        <w:rPr>
          <w:i/>
          <w:noProof/>
          <w:lang w:val="fr-CA"/>
        </w:rPr>
        <w:t>Attorney General</w:t>
      </w:r>
      <w:r w:rsidR="00E80457" w:rsidRPr="00E80457">
        <w:rPr>
          <w:i/>
          <w:noProof/>
          <w:lang w:val="fr-CA"/>
        </w:rPr>
        <w:t>)</w:t>
      </w:r>
      <w:r w:rsidR="00E80457" w:rsidRPr="00E80457">
        <w:rPr>
          <w:noProof/>
          <w:lang w:val="fr-CA"/>
        </w:rPr>
        <w:t>, 2017</w:t>
      </w:r>
      <w:r w:rsidR="008276A4">
        <w:rPr>
          <w:noProof/>
          <w:lang w:val="fr-CA"/>
        </w:rPr>
        <w:t xml:space="preserve"> </w:t>
      </w:r>
      <w:r w:rsidR="00E80457" w:rsidRPr="00E80457">
        <w:rPr>
          <w:noProof/>
          <w:lang w:val="fr-CA"/>
        </w:rPr>
        <w:t>ONCA</w:t>
      </w:r>
      <w:r w:rsidR="008276A4">
        <w:rPr>
          <w:noProof/>
          <w:lang w:val="fr-CA"/>
        </w:rPr>
        <w:t xml:space="preserve"> </w:t>
      </w:r>
      <w:r w:rsidR="00E80457" w:rsidRPr="00E80457">
        <w:rPr>
          <w:noProof/>
          <w:lang w:val="fr-CA"/>
        </w:rPr>
        <w:t>319</w:t>
      </w:r>
      <w:r w:rsidR="00CC32DD">
        <w:rPr>
          <w:noProof/>
          <w:lang w:val="fr-CA"/>
        </w:rPr>
        <w:t>, 138 O.R. (3d) 52</w:t>
      </w:r>
      <w:r w:rsidR="00E80457" w:rsidRPr="00E80457">
        <w:rPr>
          <w:noProof/>
          <w:lang w:val="fr-CA"/>
        </w:rPr>
        <w:t xml:space="preserve">; </w:t>
      </w:r>
      <w:r w:rsidR="00CD1385">
        <w:rPr>
          <w:i/>
          <w:noProof/>
          <w:lang w:val="fr-CA"/>
        </w:rPr>
        <w:t>Mines Alerte</w:t>
      </w:r>
      <w:r w:rsidR="00E80457" w:rsidRPr="00E80457">
        <w:rPr>
          <w:i/>
          <w:noProof/>
          <w:lang w:val="fr-CA"/>
        </w:rPr>
        <w:t xml:space="preserve"> Canada c. Canada (Pêches et Océans)</w:t>
      </w:r>
      <w:r w:rsidR="00CD1385">
        <w:rPr>
          <w:noProof/>
          <w:lang w:val="fr-CA"/>
        </w:rPr>
        <w:t xml:space="preserve">, 2010 </w:t>
      </w:r>
      <w:r w:rsidR="00E80457" w:rsidRPr="00E80457">
        <w:rPr>
          <w:noProof/>
          <w:lang w:val="fr-CA"/>
        </w:rPr>
        <w:t>CSC</w:t>
      </w:r>
      <w:r w:rsidR="00CD1385">
        <w:rPr>
          <w:noProof/>
          <w:lang w:val="fr-CA"/>
        </w:rPr>
        <w:t xml:space="preserve"> 2, [2010] 1 </w:t>
      </w:r>
      <w:r w:rsidR="00E80457" w:rsidRPr="00E80457">
        <w:rPr>
          <w:noProof/>
          <w:lang w:val="fr-CA"/>
        </w:rPr>
        <w:t>R.C.S.</w:t>
      </w:r>
      <w:r w:rsidR="00CD1385">
        <w:rPr>
          <w:noProof/>
          <w:lang w:val="fr-CA"/>
        </w:rPr>
        <w:t xml:space="preserve"> </w:t>
      </w:r>
      <w:r w:rsidR="00E80457" w:rsidRPr="00E80457">
        <w:rPr>
          <w:noProof/>
          <w:lang w:val="fr-CA"/>
        </w:rPr>
        <w:t xml:space="preserve">6; </w:t>
      </w:r>
      <w:r w:rsidR="00E80457" w:rsidRPr="00E80457">
        <w:rPr>
          <w:i/>
          <w:noProof/>
          <w:lang w:val="fr-CA"/>
        </w:rPr>
        <w:t>GreCon Dimter inc. c. J.R. Normand inc</w:t>
      </w:r>
      <w:r w:rsidR="00CD1385">
        <w:rPr>
          <w:noProof/>
          <w:lang w:val="fr-CA"/>
        </w:rPr>
        <w:t xml:space="preserve">., 2005 CSC </w:t>
      </w:r>
      <w:r w:rsidR="00E80457" w:rsidRPr="00E80457">
        <w:rPr>
          <w:noProof/>
          <w:lang w:val="fr-CA"/>
        </w:rPr>
        <w:t xml:space="preserve">46, [2005] 2 R.C.S. 401; </w:t>
      </w:r>
      <w:r w:rsidR="00E80457" w:rsidRPr="00E80457">
        <w:rPr>
          <w:i/>
          <w:noProof/>
          <w:lang w:val="fr-CA"/>
        </w:rPr>
        <w:t>B010 c. Canada (Citoyenne</w:t>
      </w:r>
      <w:r w:rsidR="00CD1385">
        <w:rPr>
          <w:i/>
          <w:noProof/>
          <w:lang w:val="fr-CA"/>
        </w:rPr>
        <w:t>t</w:t>
      </w:r>
      <w:r w:rsidR="00E80457" w:rsidRPr="00E80457">
        <w:rPr>
          <w:i/>
          <w:noProof/>
          <w:lang w:val="fr-CA"/>
        </w:rPr>
        <w:t>é et Immigration)</w:t>
      </w:r>
      <w:r w:rsidR="00E80457" w:rsidRPr="00E80457">
        <w:rPr>
          <w:noProof/>
          <w:lang w:val="fr-CA"/>
        </w:rPr>
        <w:t>,</w:t>
      </w:r>
      <w:r w:rsidR="00E80457" w:rsidRPr="00E80457">
        <w:rPr>
          <w:i/>
          <w:noProof/>
          <w:lang w:val="fr-CA"/>
        </w:rPr>
        <w:t xml:space="preserve"> </w:t>
      </w:r>
      <w:r w:rsidR="00CD1385">
        <w:rPr>
          <w:noProof/>
          <w:lang w:val="fr-CA"/>
        </w:rPr>
        <w:t xml:space="preserve">2015 CSC </w:t>
      </w:r>
      <w:r w:rsidR="00E80457" w:rsidRPr="00E80457">
        <w:rPr>
          <w:noProof/>
          <w:lang w:val="fr-CA"/>
        </w:rPr>
        <w:t xml:space="preserve">58, [2015] 3 R.C.S. 704; </w:t>
      </w:r>
      <w:r w:rsidR="00E80457" w:rsidRPr="00E80457">
        <w:rPr>
          <w:i/>
          <w:iCs/>
          <w:noProof/>
          <w:lang w:val="fr-CA" w:bidi="en-US"/>
        </w:rPr>
        <w:t>Inde c. Badesha</w:t>
      </w:r>
      <w:r w:rsidR="00E80457" w:rsidRPr="00E80457">
        <w:rPr>
          <w:iCs/>
          <w:noProof/>
          <w:lang w:val="fr-CA" w:bidi="en-US"/>
        </w:rPr>
        <w:t>,</w:t>
      </w:r>
      <w:r w:rsidR="00E80457" w:rsidRPr="00E80457">
        <w:rPr>
          <w:noProof/>
          <w:lang w:val="fr-CA" w:bidi="en-US"/>
        </w:rPr>
        <w:t xml:space="preserve"> 2017</w:t>
      </w:r>
      <w:r w:rsidR="006B485D">
        <w:rPr>
          <w:noProof/>
          <w:lang w:val="fr-CA" w:bidi="en-US"/>
        </w:rPr>
        <w:t xml:space="preserve"> </w:t>
      </w:r>
      <w:r w:rsidR="00E80457" w:rsidRPr="00E80457">
        <w:rPr>
          <w:noProof/>
          <w:lang w:val="fr-CA" w:bidi="en-US"/>
        </w:rPr>
        <w:t>CSC</w:t>
      </w:r>
      <w:r w:rsidR="006B485D">
        <w:rPr>
          <w:noProof/>
          <w:lang w:val="fr-CA" w:bidi="en-US"/>
        </w:rPr>
        <w:t xml:space="preserve"> </w:t>
      </w:r>
      <w:r w:rsidR="00E80457" w:rsidRPr="00E80457">
        <w:rPr>
          <w:noProof/>
          <w:lang w:val="fr-CA" w:bidi="en-US"/>
        </w:rPr>
        <w:t xml:space="preserve">44, [2017] 2 R.C.S. 127; </w:t>
      </w:r>
      <w:r w:rsidR="00E80457" w:rsidRPr="00E80457">
        <w:rPr>
          <w:i/>
          <w:noProof/>
          <w:lang w:val="fr-CA" w:bidi="en-US"/>
        </w:rPr>
        <w:t>Bureau de l</w:t>
      </w:r>
      <w:r w:rsidR="00356C64">
        <w:rPr>
          <w:i/>
          <w:noProof/>
          <w:lang w:val="fr-CA" w:bidi="en-US"/>
        </w:rPr>
        <w:t>’</w:t>
      </w:r>
      <w:r w:rsidR="00E80457" w:rsidRPr="00E80457">
        <w:rPr>
          <w:i/>
          <w:noProof/>
          <w:lang w:val="fr-CA" w:bidi="en-US"/>
        </w:rPr>
        <w:t>avocat des enfants c. Balev</w:t>
      </w:r>
      <w:r w:rsidR="006B485D">
        <w:rPr>
          <w:noProof/>
          <w:lang w:val="fr-CA" w:bidi="en-US"/>
        </w:rPr>
        <w:t xml:space="preserve">, 2018 </w:t>
      </w:r>
      <w:r w:rsidR="00E80457" w:rsidRPr="00E80457">
        <w:rPr>
          <w:noProof/>
          <w:lang w:val="fr-CA" w:bidi="en-US"/>
        </w:rPr>
        <w:t>CSC</w:t>
      </w:r>
      <w:r w:rsidR="006B485D">
        <w:rPr>
          <w:noProof/>
          <w:lang w:val="fr-CA" w:bidi="en-US"/>
        </w:rPr>
        <w:t xml:space="preserve"> </w:t>
      </w:r>
      <w:r w:rsidR="00E80457" w:rsidRPr="00E80457">
        <w:rPr>
          <w:noProof/>
          <w:lang w:val="fr-CA" w:bidi="en-US"/>
        </w:rPr>
        <w:t xml:space="preserve">16, [2018] 1 R.C.S. 398; </w:t>
      </w:r>
      <w:r w:rsidR="00E80457" w:rsidRPr="00E80457">
        <w:rPr>
          <w:i/>
          <w:noProof/>
          <w:lang w:val="fr-CA"/>
        </w:rPr>
        <w:t>Benner c. Canada (Secrétaire d</w:t>
      </w:r>
      <w:r w:rsidR="00356C64">
        <w:rPr>
          <w:i/>
          <w:noProof/>
          <w:lang w:val="fr-CA"/>
        </w:rPr>
        <w:t>’</w:t>
      </w:r>
      <w:r w:rsidR="00E80457" w:rsidRPr="00E80457">
        <w:rPr>
          <w:i/>
          <w:noProof/>
          <w:lang w:val="fr-CA"/>
        </w:rPr>
        <w:t>État)</w:t>
      </w:r>
      <w:r w:rsidR="006B485D">
        <w:rPr>
          <w:noProof/>
          <w:lang w:val="fr-CA"/>
        </w:rPr>
        <w:t xml:space="preserve">, [1997] 1 </w:t>
      </w:r>
      <w:r w:rsidR="00E80457" w:rsidRPr="00E80457">
        <w:rPr>
          <w:noProof/>
          <w:lang w:val="fr-CA"/>
        </w:rPr>
        <w:t>R.C.S.</w:t>
      </w:r>
      <w:r w:rsidR="006B485D">
        <w:rPr>
          <w:noProof/>
          <w:lang w:val="fr-CA"/>
        </w:rPr>
        <w:t xml:space="preserve"> </w:t>
      </w:r>
      <w:r w:rsidR="00E80457" w:rsidRPr="00E80457">
        <w:rPr>
          <w:noProof/>
          <w:lang w:val="fr-CA"/>
        </w:rPr>
        <w:t xml:space="preserve">358; </w:t>
      </w:r>
      <w:r w:rsidR="00E80457" w:rsidRPr="00E80457">
        <w:rPr>
          <w:i/>
          <w:noProof/>
          <w:lang w:val="fr-CA"/>
        </w:rPr>
        <w:t>Canada (Ministre de la Citoyenneté et de l</w:t>
      </w:r>
      <w:r w:rsidR="00356C64">
        <w:rPr>
          <w:i/>
          <w:noProof/>
          <w:lang w:val="fr-CA"/>
        </w:rPr>
        <w:t>’</w:t>
      </w:r>
      <w:r w:rsidR="00E80457" w:rsidRPr="00E80457">
        <w:rPr>
          <w:i/>
          <w:noProof/>
          <w:lang w:val="fr-CA"/>
        </w:rPr>
        <w:t>Immigration) c. Tobiass</w:t>
      </w:r>
      <w:r w:rsidR="006B485D">
        <w:rPr>
          <w:noProof/>
          <w:lang w:val="fr-CA"/>
        </w:rPr>
        <w:t xml:space="preserve">, [1997] 3 </w:t>
      </w:r>
      <w:r w:rsidR="00E80457" w:rsidRPr="00E80457">
        <w:rPr>
          <w:noProof/>
          <w:lang w:val="fr-CA"/>
        </w:rPr>
        <w:t>R.C.S.</w:t>
      </w:r>
      <w:r w:rsidR="006B485D">
        <w:rPr>
          <w:noProof/>
          <w:lang w:val="fr-CA"/>
        </w:rPr>
        <w:t xml:space="preserve"> </w:t>
      </w:r>
      <w:r w:rsidR="00E80457" w:rsidRPr="00E80457">
        <w:rPr>
          <w:noProof/>
          <w:lang w:val="fr-CA"/>
        </w:rPr>
        <w:t xml:space="preserve">391; </w:t>
      </w:r>
      <w:r w:rsidR="00E80457" w:rsidRPr="00E80457">
        <w:rPr>
          <w:i/>
          <w:noProof/>
          <w:lang w:val="fr-CA"/>
        </w:rPr>
        <w:t>Brossard (Ville) c. Québec (Commission des droits de la personne)</w:t>
      </w:r>
      <w:r w:rsidR="006B485D">
        <w:rPr>
          <w:noProof/>
          <w:lang w:val="fr-CA"/>
        </w:rPr>
        <w:t xml:space="preserve">, [1988] 2 </w:t>
      </w:r>
      <w:r w:rsidR="00E80457" w:rsidRPr="00E80457">
        <w:rPr>
          <w:noProof/>
          <w:lang w:val="fr-CA"/>
        </w:rPr>
        <w:t>R.C.S.</w:t>
      </w:r>
      <w:r w:rsidR="006B485D">
        <w:rPr>
          <w:noProof/>
          <w:lang w:val="fr-CA"/>
        </w:rPr>
        <w:t xml:space="preserve"> </w:t>
      </w:r>
      <w:r w:rsidR="00E80457" w:rsidRPr="00E80457">
        <w:rPr>
          <w:noProof/>
          <w:lang w:val="fr-CA"/>
        </w:rPr>
        <w:t>279.</w:t>
      </w:r>
    </w:p>
    <w:p w14:paraId="75B35C9C" w14:textId="545BE66F" w:rsidR="00B202A9" w:rsidRPr="00CF323F" w:rsidRDefault="00B202A9" w:rsidP="00067295">
      <w:pPr>
        <w:pStyle w:val="SCCNormalDoubleSpacing"/>
        <w:spacing w:after="720" w:line="240" w:lineRule="auto"/>
        <w:rPr>
          <w:b/>
          <w:lang w:val="fr-CA"/>
        </w:rPr>
      </w:pPr>
      <w:r w:rsidRPr="00CF323F">
        <w:rPr>
          <w:rStyle w:val="solexhl"/>
          <w:rFonts w:eastAsiaTheme="majorEastAsia"/>
          <w:color w:val="000000"/>
          <w:lang w:val="fr-CA"/>
        </w:rPr>
        <w:t>Citée par les juges</w:t>
      </w:r>
      <w:r w:rsidR="00A542C0">
        <w:rPr>
          <w:color w:val="000000"/>
          <w:lang w:val="fr-CA"/>
        </w:rPr>
        <w:t xml:space="preserve"> </w:t>
      </w:r>
      <w:r w:rsidRPr="00CF323F">
        <w:rPr>
          <w:color w:val="000000"/>
          <w:lang w:val="fr-CA"/>
        </w:rPr>
        <w:t>Abella et Karakatsanis</w:t>
      </w:r>
    </w:p>
    <w:p w14:paraId="7CF4BB7D" w14:textId="521324EF" w:rsidR="003B04CF" w:rsidRPr="00F045AF" w:rsidRDefault="00B202A9" w:rsidP="00067295">
      <w:pPr>
        <w:pStyle w:val="SCCNormalDoubleSpacing"/>
        <w:spacing w:after="480"/>
        <w:rPr>
          <w:i/>
          <w:color w:val="000000"/>
          <w:lang w:val="fr-CA"/>
        </w:rPr>
      </w:pPr>
      <w:r w:rsidRPr="00CF323F">
        <w:rPr>
          <w:lang w:val="fr-CA"/>
        </w:rPr>
        <w:lastRenderedPageBreak/>
        <w:tab/>
      </w:r>
      <w:r w:rsidRPr="00CF323F">
        <w:rPr>
          <w:b/>
          <w:lang w:val="fr-CA"/>
        </w:rPr>
        <w:t xml:space="preserve">Arrêts </w:t>
      </w:r>
      <w:r w:rsidR="00FC3AB4">
        <w:rPr>
          <w:b/>
          <w:lang w:val="fr-CA"/>
        </w:rPr>
        <w:t>exami</w:t>
      </w:r>
      <w:r w:rsidRPr="00CF323F">
        <w:rPr>
          <w:b/>
          <w:lang w:val="fr-CA"/>
        </w:rPr>
        <w:t>nés :</w:t>
      </w:r>
      <w:r w:rsidR="00531F52" w:rsidRPr="00CF323F">
        <w:rPr>
          <w:i/>
          <w:iCs/>
          <w:color w:val="000000"/>
          <w:lang w:val="fr-CA"/>
        </w:rPr>
        <w:t xml:space="preserve"> Syndicat canadien de la Fonction publique, section locale 963 c. Société des alcools du Nouveau</w:t>
      </w:r>
      <w:r w:rsidR="00531F52" w:rsidRPr="00CF323F">
        <w:rPr>
          <w:i/>
          <w:iCs/>
          <w:color w:val="000000"/>
          <w:lang w:val="fr-CA"/>
        </w:rPr>
        <w:noBreakHyphen/>
        <w:t>Brunswick</w:t>
      </w:r>
      <w:r w:rsidR="00531F52" w:rsidRPr="00CF323F">
        <w:rPr>
          <w:color w:val="000000"/>
          <w:lang w:val="fr-CA"/>
        </w:rPr>
        <w:t>, [1979] 2 R.C.S. 227;</w:t>
      </w:r>
      <w:r w:rsidR="004B2B78">
        <w:rPr>
          <w:i/>
          <w:color w:val="000000"/>
          <w:lang w:val="fr-CA"/>
        </w:rPr>
        <w:t xml:space="preserve"> </w:t>
      </w:r>
      <w:r w:rsidR="00FC3AB4" w:rsidRPr="00CF323F">
        <w:rPr>
          <w:rStyle w:val="solexhl"/>
          <w:rFonts w:eastAsiaTheme="majorEastAsia"/>
          <w:i/>
          <w:iCs/>
          <w:color w:val="000000"/>
          <w:lang w:val="fr-CA"/>
        </w:rPr>
        <w:t>Anisminic</w:t>
      </w:r>
      <w:r w:rsidR="005E773F">
        <w:rPr>
          <w:i/>
          <w:iCs/>
          <w:color w:val="000000"/>
          <w:lang w:val="fr-CA"/>
        </w:rPr>
        <w:t xml:space="preserve"> </w:t>
      </w:r>
      <w:r w:rsidR="00FC3AB4" w:rsidRPr="00CF323F">
        <w:rPr>
          <w:i/>
          <w:iCs/>
          <w:color w:val="000000"/>
          <w:lang w:val="fr-CA"/>
        </w:rPr>
        <w:t>Ltd. c. Foreign Compensation Commission</w:t>
      </w:r>
      <w:r w:rsidR="00FC3AB4" w:rsidRPr="00CF323F">
        <w:rPr>
          <w:color w:val="000000"/>
          <w:lang w:val="fr-CA"/>
        </w:rPr>
        <w:t>, [1969] 2 A.C. 147;</w:t>
      </w:r>
      <w:r w:rsidR="00FC3AB4" w:rsidRPr="00FC3AB4">
        <w:rPr>
          <w:i/>
          <w:lang w:val="fr-CA"/>
        </w:rPr>
        <w:t xml:space="preserve"> </w:t>
      </w:r>
      <w:r w:rsidR="00FC3AB4" w:rsidRPr="008D5542">
        <w:rPr>
          <w:i/>
          <w:lang w:val="fr-CA"/>
        </w:rPr>
        <w:t>Pushpanat</w:t>
      </w:r>
      <w:r w:rsidR="00FC3AB4">
        <w:rPr>
          <w:i/>
          <w:lang w:val="fr-CA"/>
        </w:rPr>
        <w:t>han c</w:t>
      </w:r>
      <w:r w:rsidR="00FC3AB4" w:rsidRPr="008D5542">
        <w:rPr>
          <w:i/>
          <w:lang w:val="fr-CA"/>
        </w:rPr>
        <w:t>. Canada (Minist</w:t>
      </w:r>
      <w:r w:rsidR="00FC3AB4">
        <w:rPr>
          <w:i/>
          <w:lang w:val="fr-CA"/>
        </w:rPr>
        <w:t>re de la Citoyenneté et de l’Immigration)</w:t>
      </w:r>
      <w:r w:rsidR="00FC3AB4">
        <w:rPr>
          <w:lang w:val="fr-CA"/>
        </w:rPr>
        <w:t xml:space="preserve">, </w:t>
      </w:r>
      <w:r w:rsidR="00FC3AB4" w:rsidRPr="008D5542">
        <w:rPr>
          <w:lang w:val="fr-CA"/>
        </w:rPr>
        <w:t>[1998] 1</w:t>
      </w:r>
      <w:r w:rsidR="00FC3AB4">
        <w:rPr>
          <w:lang w:val="fr-CA"/>
        </w:rPr>
        <w:t xml:space="preserve"> R.C.S. 982;</w:t>
      </w:r>
      <w:r w:rsidR="00FC3AB4" w:rsidRPr="00FC3AB4">
        <w:rPr>
          <w:i/>
          <w:lang w:val="fr-CA"/>
        </w:rPr>
        <w:t xml:space="preserve"> </w:t>
      </w:r>
      <w:r w:rsidR="00FC3AB4" w:rsidRPr="00355965">
        <w:rPr>
          <w:i/>
          <w:lang w:val="fr-CA"/>
        </w:rPr>
        <w:t>Canada (Procureur général) c. Igloo Vikski Inc.</w:t>
      </w:r>
      <w:r w:rsidR="00FC3AB4" w:rsidRPr="00355965">
        <w:rPr>
          <w:lang w:val="fr-CA"/>
        </w:rPr>
        <w:t>, 2016 CSC 38, [2016] 2 R.C.S. 80;</w:t>
      </w:r>
      <w:r w:rsidR="00FC3AB4" w:rsidRPr="00FC3AB4">
        <w:rPr>
          <w:i/>
          <w:lang w:val="fr-CA"/>
        </w:rPr>
        <w:t xml:space="preserve"> </w:t>
      </w:r>
      <w:r w:rsidR="00FC3AB4" w:rsidRPr="004F0998">
        <w:rPr>
          <w:i/>
          <w:lang w:val="fr-CA"/>
        </w:rPr>
        <w:t>Kisor c. Wilkie</w:t>
      </w:r>
      <w:r w:rsidR="00FC3AB4" w:rsidRPr="004F0998">
        <w:rPr>
          <w:lang w:val="fr-CA"/>
        </w:rPr>
        <w:t>, 139 S. Ct. 2400 (2019);</w:t>
      </w:r>
      <w:r w:rsidR="00FC3AB4" w:rsidRPr="00F96EB3">
        <w:rPr>
          <w:lang w:val="fr-CA"/>
        </w:rPr>
        <w:t xml:space="preserve"> </w:t>
      </w:r>
      <w:r w:rsidR="00FC3AB4">
        <w:rPr>
          <w:b/>
          <w:lang w:val="fr-CA"/>
        </w:rPr>
        <w:t>a</w:t>
      </w:r>
      <w:r w:rsidR="00187BC4">
        <w:rPr>
          <w:b/>
          <w:lang w:val="fr-CA"/>
        </w:rPr>
        <w:t>rrêt</w:t>
      </w:r>
      <w:r w:rsidR="00FC3AB4" w:rsidRPr="00CF323F">
        <w:rPr>
          <w:b/>
          <w:lang w:val="fr-CA"/>
        </w:rPr>
        <w:t xml:space="preserve"> </w:t>
      </w:r>
      <w:r w:rsidR="00FC3AB4">
        <w:rPr>
          <w:b/>
          <w:lang w:val="fr-CA"/>
        </w:rPr>
        <w:t>analys</w:t>
      </w:r>
      <w:r w:rsidR="00187BC4">
        <w:rPr>
          <w:b/>
          <w:lang w:val="fr-CA"/>
        </w:rPr>
        <w:t>é</w:t>
      </w:r>
      <w:r w:rsidR="00FC3AB4">
        <w:rPr>
          <w:b/>
          <w:lang w:val="fr-CA"/>
        </w:rPr>
        <w:t> :</w:t>
      </w:r>
      <w:r w:rsidR="00F96EB3" w:rsidRPr="00F96EB3">
        <w:rPr>
          <w:i/>
          <w:color w:val="000000"/>
          <w:lang w:val="fr-CA"/>
        </w:rPr>
        <w:t xml:space="preserve"> </w:t>
      </w:r>
      <w:r w:rsidR="005E773F">
        <w:rPr>
          <w:i/>
          <w:color w:val="000000"/>
          <w:lang w:val="fr-CA"/>
        </w:rPr>
        <w:t>Dunsmuir c. Nouveau-</w:t>
      </w:r>
      <w:r w:rsidR="00F96EB3" w:rsidRPr="00CF323F">
        <w:rPr>
          <w:i/>
          <w:color w:val="000000"/>
          <w:lang w:val="fr-CA"/>
        </w:rPr>
        <w:t>Brunswick</w:t>
      </w:r>
      <w:r w:rsidR="00F96EB3" w:rsidRPr="00CF323F">
        <w:rPr>
          <w:color w:val="000000"/>
          <w:lang w:val="fr-CA"/>
        </w:rPr>
        <w:t>, 2008 CSC 9, [2008] 1 R.C.S. 190;</w:t>
      </w:r>
      <w:r w:rsidR="00F96EB3" w:rsidRPr="00F96EB3">
        <w:rPr>
          <w:b/>
          <w:lang w:val="fr-CA"/>
        </w:rPr>
        <w:t xml:space="preserve"> </w:t>
      </w:r>
      <w:r w:rsidR="00F96EB3">
        <w:rPr>
          <w:b/>
          <w:lang w:val="fr-CA"/>
        </w:rPr>
        <w:t>a</w:t>
      </w:r>
      <w:r w:rsidR="00F96EB3" w:rsidRPr="00CF323F">
        <w:rPr>
          <w:b/>
          <w:lang w:val="fr-CA"/>
        </w:rPr>
        <w:t xml:space="preserve">rrêts </w:t>
      </w:r>
      <w:r w:rsidR="00F96EB3">
        <w:rPr>
          <w:b/>
          <w:lang w:val="fr-CA"/>
        </w:rPr>
        <w:t>mentionn</w:t>
      </w:r>
      <w:r w:rsidR="00F96EB3" w:rsidRPr="00CF323F">
        <w:rPr>
          <w:b/>
          <w:lang w:val="fr-CA"/>
        </w:rPr>
        <w:t>és</w:t>
      </w:r>
      <w:r w:rsidR="00F96EB3">
        <w:rPr>
          <w:b/>
          <w:lang w:val="fr-CA"/>
        </w:rPr>
        <w:t> :</w:t>
      </w:r>
      <w:r w:rsidR="00F045AF">
        <w:rPr>
          <w:i/>
          <w:color w:val="000000"/>
          <w:lang w:val="fr-CA"/>
        </w:rPr>
        <w:t xml:space="preserve"> </w:t>
      </w:r>
      <w:r w:rsidR="000D4D33" w:rsidRPr="00CF323F">
        <w:rPr>
          <w:i/>
          <w:color w:val="000000"/>
          <w:lang w:val="fr-CA"/>
        </w:rPr>
        <w:t xml:space="preserve">Rasanen c. Rosemount </w:t>
      </w:r>
      <w:r w:rsidR="000D4D33" w:rsidRPr="00067295">
        <w:rPr>
          <w:i/>
          <w:noProof/>
          <w:lang w:val="fr-CA"/>
        </w:rPr>
        <w:t>Instruments</w:t>
      </w:r>
      <w:r w:rsidR="000D4D33" w:rsidRPr="00CF323F">
        <w:rPr>
          <w:i/>
          <w:color w:val="000000"/>
          <w:lang w:val="fr-CA"/>
        </w:rPr>
        <w:t xml:space="preserve"> Ltd.</w:t>
      </w:r>
      <w:r w:rsidR="000D4D33" w:rsidRPr="00CF323F">
        <w:rPr>
          <w:color w:val="000000"/>
          <w:lang w:val="fr-CA"/>
        </w:rPr>
        <w:t xml:space="preserve"> (1994), 17 O.R. (3d) 267;</w:t>
      </w:r>
      <w:r w:rsidR="00F83C0A" w:rsidRPr="00CF323F">
        <w:rPr>
          <w:rFonts w:eastAsiaTheme="majorEastAsia"/>
          <w:i/>
          <w:iCs/>
          <w:color w:val="000000"/>
          <w:lang w:val="fr-CA"/>
        </w:rPr>
        <w:t xml:space="preserve"> </w:t>
      </w:r>
      <w:r w:rsidR="00B73D59">
        <w:rPr>
          <w:i/>
          <w:iCs/>
          <w:color w:val="000000"/>
          <w:lang w:val="fr-CA"/>
        </w:rPr>
        <w:t>Metropolitan Life Insurance Co</w:t>
      </w:r>
      <w:r w:rsidR="005E773F">
        <w:rPr>
          <w:i/>
          <w:iCs/>
          <w:color w:val="000000"/>
          <w:lang w:val="fr-CA"/>
        </w:rPr>
        <w:t>.</w:t>
      </w:r>
      <w:r w:rsidR="00DB334D" w:rsidRPr="00CF323F">
        <w:rPr>
          <w:i/>
          <w:iCs/>
          <w:color w:val="000000"/>
          <w:lang w:val="fr-CA"/>
        </w:rPr>
        <w:t xml:space="preserve"> c. International Union of Operating Engineers, Local 796</w:t>
      </w:r>
      <w:r w:rsidR="00DB334D" w:rsidRPr="00CF323F">
        <w:rPr>
          <w:color w:val="000000"/>
          <w:lang w:val="fr-CA"/>
        </w:rPr>
        <w:t>, [1970] R.C.S. 425;</w:t>
      </w:r>
      <w:r w:rsidR="00454CC7" w:rsidRPr="00CF323F">
        <w:rPr>
          <w:i/>
          <w:iCs/>
          <w:color w:val="000000"/>
          <w:lang w:val="fr-CA"/>
        </w:rPr>
        <w:t xml:space="preserve"> Bell c. Ontario Human Rights Commission</w:t>
      </w:r>
      <w:r w:rsidR="00454CC7" w:rsidRPr="00CF323F">
        <w:rPr>
          <w:color w:val="000000"/>
          <w:lang w:val="fr-CA"/>
        </w:rPr>
        <w:t>, [1971] R.C.S. 756;</w:t>
      </w:r>
      <w:r w:rsidR="00385141" w:rsidRPr="00CF323F">
        <w:rPr>
          <w:color w:val="000000"/>
          <w:lang w:val="fr-CA"/>
        </w:rPr>
        <w:t xml:space="preserve"> </w:t>
      </w:r>
      <w:r w:rsidR="00385141" w:rsidRPr="00CF323F">
        <w:rPr>
          <w:i/>
          <w:color w:val="000000"/>
          <w:lang w:val="fr-CA"/>
        </w:rPr>
        <w:t>Canada (Procureur général) c. Alliance de la Fonction publique du Canada</w:t>
      </w:r>
      <w:r w:rsidR="00385141" w:rsidRPr="00CF323F">
        <w:rPr>
          <w:color w:val="000000"/>
          <w:lang w:val="fr-CA"/>
        </w:rPr>
        <w:t>, [1991] 1 R.C.S. 614;</w:t>
      </w:r>
      <w:r w:rsidR="008D356C" w:rsidRPr="00CF323F">
        <w:rPr>
          <w:i/>
          <w:iCs/>
          <w:color w:val="000000"/>
          <w:lang w:val="fr-CA"/>
        </w:rPr>
        <w:t xml:space="preserve"> National Corn Growers Assn. c. Canada (Tribunal des importations)</w:t>
      </w:r>
      <w:r w:rsidR="008D356C" w:rsidRPr="00CF323F">
        <w:rPr>
          <w:color w:val="000000"/>
          <w:lang w:val="fr-CA"/>
        </w:rPr>
        <w:t>, [1990] 2 R.C.S. 1324;</w:t>
      </w:r>
      <w:r w:rsidR="002D1CF7" w:rsidRPr="00CF323F">
        <w:rPr>
          <w:color w:val="000000"/>
          <w:lang w:val="fr-CA"/>
        </w:rPr>
        <w:t xml:space="preserve"> </w:t>
      </w:r>
      <w:r w:rsidR="002D1CF7" w:rsidRPr="00CF323F">
        <w:rPr>
          <w:i/>
          <w:color w:val="000000"/>
          <w:lang w:val="fr-CA"/>
        </w:rPr>
        <w:t>Canada (Citoyenneté et Immigration) c. Khosa</w:t>
      </w:r>
      <w:r w:rsidR="002D1CF7" w:rsidRPr="00CF323F">
        <w:rPr>
          <w:color w:val="000000"/>
          <w:lang w:val="fr-CA"/>
        </w:rPr>
        <w:t>, 2009 CSC 12, [2009] 1 R.C.S. 339;</w:t>
      </w:r>
      <w:r w:rsidR="004C5126" w:rsidRPr="00CF323F">
        <w:rPr>
          <w:i/>
          <w:color w:val="000000"/>
          <w:lang w:val="fr-CA"/>
        </w:rPr>
        <w:t xml:space="preserve"> </w:t>
      </w:r>
      <w:r w:rsidR="004C5126" w:rsidRPr="00CF323F">
        <w:rPr>
          <w:rStyle w:val="solexhl"/>
          <w:i/>
          <w:color w:val="000000"/>
          <w:lang w:val="fr-CA"/>
        </w:rPr>
        <w:t>Alberta (Information and Privacy Commissioner) c. Alberta Teachers</w:t>
      </w:r>
      <w:r w:rsidR="00356C64">
        <w:rPr>
          <w:rStyle w:val="solexhl"/>
          <w:i/>
          <w:color w:val="000000"/>
          <w:lang w:val="fr-CA"/>
        </w:rPr>
        <w:t>’</w:t>
      </w:r>
      <w:r w:rsidR="004C5126" w:rsidRPr="00CF323F">
        <w:rPr>
          <w:rStyle w:val="solexhl"/>
          <w:i/>
          <w:color w:val="000000"/>
          <w:lang w:val="fr-CA"/>
        </w:rPr>
        <w:t xml:space="preserve"> Association</w:t>
      </w:r>
      <w:r w:rsidR="004C5126" w:rsidRPr="00CF323F">
        <w:rPr>
          <w:rStyle w:val="solexhl"/>
          <w:color w:val="000000"/>
          <w:lang w:val="fr-CA"/>
        </w:rPr>
        <w:t>, 2011 CSC 61, [2011] 3 R.C.S. 654;</w:t>
      </w:r>
      <w:r w:rsidR="00BD4828" w:rsidRPr="00CF323F">
        <w:rPr>
          <w:rStyle w:val="solexhl"/>
          <w:color w:val="000000"/>
          <w:lang w:val="fr-CA"/>
        </w:rPr>
        <w:t xml:space="preserve"> </w:t>
      </w:r>
      <w:r w:rsidR="00BD4828" w:rsidRPr="00CF323F">
        <w:rPr>
          <w:rStyle w:val="solexhl"/>
          <w:i/>
          <w:color w:val="000000"/>
          <w:lang w:val="fr-CA"/>
        </w:rPr>
        <w:t xml:space="preserve">Canada (Commission canadienne des droits de la personne) c. Canada (Procureur </w:t>
      </w:r>
      <w:r w:rsidR="00BD4828" w:rsidRPr="00CF323F">
        <w:rPr>
          <w:i/>
          <w:color w:val="000000"/>
          <w:lang w:val="fr-CA"/>
        </w:rPr>
        <w:t>général)</w:t>
      </w:r>
      <w:r w:rsidR="00BD4828" w:rsidRPr="00CF323F">
        <w:rPr>
          <w:color w:val="000000"/>
          <w:lang w:val="fr-CA"/>
        </w:rPr>
        <w:t>, 2018 CSC 31, [2018] 2 R.C.S. 230;</w:t>
      </w:r>
      <w:r w:rsidR="00CC6A19" w:rsidRPr="00CF323F">
        <w:rPr>
          <w:i/>
          <w:iCs/>
          <w:color w:val="000000"/>
          <w:lang w:val="fr-CA"/>
        </w:rPr>
        <w:t xml:space="preserve"> Domtar Inc. c. Québec (Commission d</w:t>
      </w:r>
      <w:r w:rsidR="00356C64">
        <w:rPr>
          <w:i/>
          <w:iCs/>
          <w:color w:val="000000"/>
          <w:lang w:val="fr-CA"/>
        </w:rPr>
        <w:t>’</w:t>
      </w:r>
      <w:r w:rsidR="00CC6A19" w:rsidRPr="00CF323F">
        <w:rPr>
          <w:i/>
          <w:iCs/>
          <w:color w:val="000000"/>
          <w:lang w:val="fr-CA"/>
        </w:rPr>
        <w:t>appel en matière de lésions professionnelles)</w:t>
      </w:r>
      <w:r w:rsidR="00CC6A19" w:rsidRPr="00CF323F">
        <w:rPr>
          <w:color w:val="000000"/>
          <w:lang w:val="fr-CA"/>
        </w:rPr>
        <w:t>, [</w:t>
      </w:r>
      <w:r w:rsidR="00CC6A19" w:rsidRPr="00CF323F">
        <w:rPr>
          <w:rFonts w:eastAsiaTheme="majorEastAsia"/>
          <w:color w:val="000000"/>
          <w:lang w:val="fr-CA"/>
        </w:rPr>
        <w:t>1993] 2 R.C.S</w:t>
      </w:r>
      <w:r w:rsidR="00CC6A19" w:rsidRPr="00CF323F">
        <w:rPr>
          <w:color w:val="000000"/>
          <w:lang w:val="fr-CA"/>
        </w:rPr>
        <w:t>. 756;</w:t>
      </w:r>
      <w:r w:rsidR="0036182F" w:rsidRPr="00CF323F">
        <w:rPr>
          <w:lang w:val="fr-CA"/>
        </w:rPr>
        <w:t xml:space="preserve"> </w:t>
      </w:r>
      <w:r w:rsidR="0036182F" w:rsidRPr="00CF323F">
        <w:rPr>
          <w:i/>
          <w:color w:val="000000"/>
          <w:lang w:val="fr-CA"/>
        </w:rPr>
        <w:t>U.E.S., Local 298 c. Bibeault</w:t>
      </w:r>
      <w:r w:rsidR="0036182F" w:rsidRPr="00CF323F">
        <w:rPr>
          <w:color w:val="000000"/>
          <w:lang w:val="fr-CA"/>
        </w:rPr>
        <w:t>, [1988] 2 R.C.S. 1048;</w:t>
      </w:r>
      <w:r w:rsidR="00CF323F" w:rsidRPr="00CF323F">
        <w:rPr>
          <w:color w:val="000000"/>
          <w:spacing w:val="-3"/>
          <w:lang w:val="fr-CA"/>
        </w:rPr>
        <w:t xml:space="preserve"> </w:t>
      </w:r>
      <w:r w:rsidR="00CF323F" w:rsidRPr="00CF323F">
        <w:rPr>
          <w:i/>
          <w:color w:val="000000"/>
          <w:spacing w:val="-3"/>
          <w:lang w:val="fr-CA"/>
        </w:rPr>
        <w:t>Fraternité unie des charpentiers et menuisiers d</w:t>
      </w:r>
      <w:r w:rsidR="00356C64">
        <w:rPr>
          <w:i/>
          <w:color w:val="000000"/>
          <w:spacing w:val="-3"/>
          <w:lang w:val="fr-CA"/>
        </w:rPr>
        <w:t>’</w:t>
      </w:r>
      <w:r w:rsidR="00CF323F" w:rsidRPr="00CF323F">
        <w:rPr>
          <w:i/>
          <w:color w:val="000000"/>
          <w:spacing w:val="-3"/>
          <w:lang w:val="fr-CA"/>
        </w:rPr>
        <w:t>Amérique, section locale 579</w:t>
      </w:r>
      <w:r w:rsidR="00642426">
        <w:rPr>
          <w:i/>
          <w:color w:val="000000"/>
          <w:spacing w:val="-3"/>
          <w:lang w:val="fr-CA"/>
        </w:rPr>
        <w:t xml:space="preserve"> </w:t>
      </w:r>
      <w:r w:rsidR="00CF323F" w:rsidRPr="00CF323F">
        <w:rPr>
          <w:i/>
          <w:iCs/>
          <w:color w:val="000000"/>
          <w:spacing w:val="-3"/>
          <w:lang w:val="fr-CA"/>
        </w:rPr>
        <w:t>c.</w:t>
      </w:r>
      <w:r w:rsidR="00642426">
        <w:rPr>
          <w:i/>
          <w:iCs/>
          <w:color w:val="000000"/>
          <w:spacing w:val="-3"/>
          <w:lang w:val="fr-CA"/>
        </w:rPr>
        <w:t xml:space="preserve"> </w:t>
      </w:r>
      <w:r w:rsidR="00CF323F" w:rsidRPr="00CF323F">
        <w:rPr>
          <w:i/>
          <w:color w:val="000000"/>
          <w:spacing w:val="-3"/>
          <w:lang w:val="fr-CA"/>
        </w:rPr>
        <w:t>Bradco Construction Ltd.</w:t>
      </w:r>
      <w:r w:rsidR="00CF323F" w:rsidRPr="00CF323F">
        <w:rPr>
          <w:color w:val="000000"/>
          <w:spacing w:val="-3"/>
          <w:lang w:val="fr-CA"/>
        </w:rPr>
        <w:t>, [1993] 2 R.C.S. 316</w:t>
      </w:r>
      <w:r w:rsidR="00CF323F">
        <w:rPr>
          <w:color w:val="000000"/>
          <w:spacing w:val="-3"/>
          <w:lang w:val="fr-CA"/>
        </w:rPr>
        <w:t>;</w:t>
      </w:r>
      <w:r w:rsidR="00F267DD">
        <w:rPr>
          <w:color w:val="000000"/>
          <w:spacing w:val="-3"/>
          <w:lang w:val="fr-CA"/>
        </w:rPr>
        <w:t xml:space="preserve"> </w:t>
      </w:r>
      <w:r w:rsidR="00F267DD">
        <w:rPr>
          <w:i/>
          <w:color w:val="000000"/>
          <w:spacing w:val="-3"/>
          <w:lang w:val="fr-CA"/>
        </w:rPr>
        <w:t>Canada (Directeur des enquêtes et recherches) c. Southam Inc.</w:t>
      </w:r>
      <w:r w:rsidR="00F267DD">
        <w:rPr>
          <w:color w:val="000000"/>
          <w:spacing w:val="-3"/>
          <w:lang w:val="fr-CA"/>
        </w:rPr>
        <w:t xml:space="preserve">, </w:t>
      </w:r>
      <w:r w:rsidR="00F267DD" w:rsidRPr="00F267DD">
        <w:rPr>
          <w:color w:val="000000"/>
          <w:spacing w:val="-3"/>
          <w:lang w:val="fr-CA"/>
        </w:rPr>
        <w:t>[1997] 1</w:t>
      </w:r>
      <w:r w:rsidR="00F267DD">
        <w:rPr>
          <w:color w:val="000000"/>
          <w:spacing w:val="-3"/>
          <w:lang w:val="fr-CA"/>
        </w:rPr>
        <w:t xml:space="preserve"> R.C.S. 748;</w:t>
      </w:r>
      <w:r w:rsidR="0066121B">
        <w:rPr>
          <w:color w:val="000000"/>
          <w:spacing w:val="-3"/>
          <w:lang w:val="fr-CA"/>
        </w:rPr>
        <w:t xml:space="preserve"> </w:t>
      </w:r>
      <w:r w:rsidR="004B2B78">
        <w:rPr>
          <w:i/>
          <w:color w:val="000000"/>
          <w:spacing w:val="-3"/>
          <w:lang w:val="fr-CA"/>
        </w:rPr>
        <w:t>Pezim c. Colombie</w:t>
      </w:r>
      <w:r w:rsidR="004B2B78">
        <w:rPr>
          <w:i/>
          <w:color w:val="000000"/>
          <w:spacing w:val="-3"/>
          <w:lang w:val="fr-CA"/>
        </w:rPr>
        <w:noBreakHyphen/>
      </w:r>
      <w:r w:rsidR="0066121B">
        <w:rPr>
          <w:i/>
          <w:color w:val="000000"/>
          <w:spacing w:val="-3"/>
          <w:lang w:val="fr-CA"/>
        </w:rPr>
        <w:t xml:space="preserve">Britannique </w:t>
      </w:r>
      <w:r w:rsidR="0066121B" w:rsidRPr="0066121B">
        <w:rPr>
          <w:i/>
          <w:color w:val="000000"/>
          <w:spacing w:val="-3"/>
          <w:lang w:val="fr-CA"/>
        </w:rPr>
        <w:t>(Superintendent of Brokers)</w:t>
      </w:r>
      <w:r w:rsidR="0066121B" w:rsidRPr="0066121B">
        <w:rPr>
          <w:color w:val="000000"/>
          <w:spacing w:val="-3"/>
          <w:lang w:val="fr-CA"/>
        </w:rPr>
        <w:t>, [1994] 2</w:t>
      </w:r>
      <w:r w:rsidR="0066121B">
        <w:rPr>
          <w:color w:val="000000"/>
          <w:spacing w:val="-3"/>
          <w:lang w:val="fr-CA"/>
        </w:rPr>
        <w:t xml:space="preserve"> R.C.S. 557;</w:t>
      </w:r>
      <w:r w:rsidR="00EA63D1">
        <w:rPr>
          <w:color w:val="000000"/>
          <w:spacing w:val="-3"/>
          <w:lang w:val="fr-CA"/>
        </w:rPr>
        <w:t xml:space="preserve"> </w:t>
      </w:r>
      <w:r w:rsidR="00EA63D1">
        <w:rPr>
          <w:i/>
          <w:color w:val="000000"/>
          <w:spacing w:val="-3"/>
          <w:lang w:val="fr-CA"/>
        </w:rPr>
        <w:t>Bell Canada c. Canada (Conseil de la radiodiffusion et des télécommunications canadiennes)</w:t>
      </w:r>
      <w:r w:rsidR="00EA63D1">
        <w:rPr>
          <w:color w:val="000000"/>
          <w:spacing w:val="-3"/>
          <w:lang w:val="fr-CA"/>
        </w:rPr>
        <w:t>,</w:t>
      </w:r>
      <w:r w:rsidR="00EA63D1" w:rsidRPr="00EA63D1">
        <w:rPr>
          <w:color w:val="000000"/>
          <w:spacing w:val="-3"/>
          <w:lang w:val="fr-CA"/>
        </w:rPr>
        <w:t xml:space="preserve"> [1989] 1</w:t>
      </w:r>
      <w:r w:rsidR="00EA63D1">
        <w:rPr>
          <w:color w:val="000000"/>
          <w:spacing w:val="-3"/>
          <w:lang w:val="fr-CA"/>
        </w:rPr>
        <w:t xml:space="preserve"> R.C.S. 1722;</w:t>
      </w:r>
      <w:r w:rsidR="008D5542" w:rsidRPr="008D5542">
        <w:rPr>
          <w:i/>
          <w:lang w:val="fr-CA"/>
        </w:rPr>
        <w:t xml:space="preserve"> </w:t>
      </w:r>
      <w:r w:rsidR="00C57E63" w:rsidRPr="00C57E63">
        <w:rPr>
          <w:i/>
          <w:lang w:val="fr-CA"/>
        </w:rPr>
        <w:t>Barreau du Nouveau-Brunswick c. Ryan</w:t>
      </w:r>
      <w:r w:rsidR="00C57E63">
        <w:rPr>
          <w:lang w:val="fr-CA"/>
        </w:rPr>
        <w:t>, 2003 CSC 20, [2003] 1 R.C.S. 247;</w:t>
      </w:r>
      <w:r w:rsidR="008F39F8" w:rsidRPr="008F39F8">
        <w:rPr>
          <w:i/>
          <w:lang w:val="fr-CA"/>
        </w:rPr>
        <w:t xml:space="preserve"> Cartaway Resources Corp. (Re)</w:t>
      </w:r>
      <w:r w:rsidR="008F39F8" w:rsidRPr="008F39F8">
        <w:rPr>
          <w:lang w:val="fr-CA"/>
        </w:rPr>
        <w:t>, 2004 CSC 26, [2004] 1 R.C.</w:t>
      </w:r>
      <w:r w:rsidR="008F39F8">
        <w:rPr>
          <w:lang w:val="fr-CA"/>
        </w:rPr>
        <w:t>S</w:t>
      </w:r>
      <w:r w:rsidR="008F39F8" w:rsidRPr="008F39F8">
        <w:rPr>
          <w:lang w:val="fr-CA"/>
        </w:rPr>
        <w:t>. 672;</w:t>
      </w:r>
      <w:r w:rsidR="00B620E8">
        <w:rPr>
          <w:lang w:val="fr-CA"/>
        </w:rPr>
        <w:t xml:space="preserve"> </w:t>
      </w:r>
      <w:r w:rsidR="00B620E8">
        <w:rPr>
          <w:i/>
          <w:lang w:val="fr-CA"/>
        </w:rPr>
        <w:t xml:space="preserve">Conseil des Canadiens avec déficiences c. </w:t>
      </w:r>
      <w:r w:rsidR="00B620E8">
        <w:rPr>
          <w:i/>
          <w:lang w:val="fr-CA"/>
        </w:rPr>
        <w:lastRenderedPageBreak/>
        <w:t>VIA Rail Canada Inc.</w:t>
      </w:r>
      <w:r w:rsidR="00B620E8">
        <w:rPr>
          <w:lang w:val="fr-CA"/>
        </w:rPr>
        <w:t>, 2007 CSC 15, [2007] 1 R.C.S. 650;</w:t>
      </w:r>
      <w:r w:rsidR="00030163" w:rsidRPr="00030163">
        <w:rPr>
          <w:i/>
          <w:lang w:val="fr-CA"/>
        </w:rPr>
        <w:t xml:space="preserve"> R. </w:t>
      </w:r>
      <w:r w:rsidR="00030163" w:rsidRPr="00E0620A">
        <w:rPr>
          <w:i/>
          <w:lang w:val="fr-CA"/>
        </w:rPr>
        <w:t>c. Conway</w:t>
      </w:r>
      <w:r w:rsidR="00030163" w:rsidRPr="00E0620A">
        <w:rPr>
          <w:lang w:val="fr-CA"/>
        </w:rPr>
        <w:t>, 2010 CSC 22, [2010] 1 R.C.S. 765;</w:t>
      </w:r>
      <w:r w:rsidR="004D433A" w:rsidRPr="00E0620A">
        <w:rPr>
          <w:i/>
          <w:lang w:val="fr-CA"/>
        </w:rPr>
        <w:t xml:space="preserve"> McLean c. </w:t>
      </w:r>
      <w:r w:rsidR="00477163" w:rsidRPr="00E0620A">
        <w:rPr>
          <w:i/>
          <w:lang w:val="fr-CA"/>
        </w:rPr>
        <w:t>Colombie</w:t>
      </w:r>
      <w:r w:rsidR="00477163" w:rsidRPr="00E0620A">
        <w:rPr>
          <w:i/>
          <w:lang w:val="fr-CA"/>
        </w:rPr>
        <w:noBreakHyphen/>
      </w:r>
      <w:r w:rsidR="004D433A" w:rsidRPr="00E0620A">
        <w:rPr>
          <w:i/>
          <w:lang w:val="fr-CA"/>
        </w:rPr>
        <w:t>Britannique (Securities Commission)</w:t>
      </w:r>
      <w:r w:rsidR="004D433A" w:rsidRPr="00E0620A">
        <w:rPr>
          <w:lang w:val="fr-CA"/>
        </w:rPr>
        <w:t>, 2013 CSC 67, [2013] 3 R.C.S. 895;</w:t>
      </w:r>
      <w:r w:rsidR="00713FE5" w:rsidRPr="00E0620A">
        <w:rPr>
          <w:lang w:val="fr-CA"/>
        </w:rPr>
        <w:t xml:space="preserve"> </w:t>
      </w:r>
      <w:r w:rsidR="00713FE5" w:rsidRPr="00E0620A">
        <w:rPr>
          <w:i/>
          <w:lang w:val="fr-CA"/>
        </w:rPr>
        <w:t>Mouvement laïque québécois c. Saguenay (Ville)</w:t>
      </w:r>
      <w:r w:rsidR="00713FE5" w:rsidRPr="00E0620A">
        <w:rPr>
          <w:lang w:val="fr-CA"/>
        </w:rPr>
        <w:t>, 2015 CSC 16, [2015] 2 R.C.S. 3;</w:t>
      </w:r>
      <w:r w:rsidR="00D92E83" w:rsidRPr="00E0620A">
        <w:rPr>
          <w:i/>
          <w:lang w:val="fr-CA"/>
        </w:rPr>
        <w:t xml:space="preserve"> Edmonton (Ville) c. Edmonton East (Capilano) Shopping Centres Ltd.</w:t>
      </w:r>
      <w:r w:rsidR="00D92E83" w:rsidRPr="00E0620A">
        <w:rPr>
          <w:lang w:val="fr-CA"/>
        </w:rPr>
        <w:t>, 2016 CSC 47, [2016] 2 R.C.S. 293;</w:t>
      </w:r>
      <w:r w:rsidR="00CB7DA6" w:rsidRPr="00E0620A">
        <w:rPr>
          <w:i/>
          <w:lang w:val="fr-CA"/>
        </w:rPr>
        <w:t xml:space="preserve"> Bell Canada c. Bell Aliant Communications régionales</w:t>
      </w:r>
      <w:r w:rsidR="00CB7DA6" w:rsidRPr="00E0620A">
        <w:rPr>
          <w:lang w:val="fr-CA"/>
        </w:rPr>
        <w:t>, 2009 CSC 40, [2009] 2 R.C.S. 764;</w:t>
      </w:r>
      <w:r w:rsidR="006178E9" w:rsidRPr="00E0620A">
        <w:rPr>
          <w:i/>
          <w:lang w:val="fr-CA"/>
        </w:rPr>
        <w:t xml:space="preserve"> Smith c. Alliance Pipeline Ltd.</w:t>
      </w:r>
      <w:r w:rsidR="006178E9" w:rsidRPr="00E0620A">
        <w:rPr>
          <w:lang w:val="fr-CA"/>
        </w:rPr>
        <w:t>, 2011 CS</w:t>
      </w:r>
      <w:r w:rsidR="00420708" w:rsidRPr="00E0620A">
        <w:rPr>
          <w:lang w:val="fr-CA"/>
        </w:rPr>
        <w:t>C 7, [2011] 1 R.C.S</w:t>
      </w:r>
      <w:r w:rsidR="006178E9" w:rsidRPr="00E0620A">
        <w:rPr>
          <w:lang w:val="fr-CA"/>
        </w:rPr>
        <w:t>. 160;</w:t>
      </w:r>
      <w:r w:rsidR="00966DCE" w:rsidRPr="00E0620A">
        <w:rPr>
          <w:i/>
          <w:lang w:val="fr-CA"/>
        </w:rPr>
        <w:t xml:space="preserve"> ATCO Gas and Pipelines Ltd. c. Alberta (Utilities Commission)</w:t>
      </w:r>
      <w:r w:rsidR="00966DCE" w:rsidRPr="00E0620A">
        <w:rPr>
          <w:lang w:val="fr-CA"/>
        </w:rPr>
        <w:t>, 2015 CSC 45, [2015] 3 R.C.S. 219;</w:t>
      </w:r>
      <w:r w:rsidR="00DF11E9" w:rsidRPr="00E0620A">
        <w:rPr>
          <w:i/>
          <w:lang w:val="fr-CA"/>
        </w:rPr>
        <w:t xml:space="preserve"> </w:t>
      </w:r>
      <w:r w:rsidR="007A74A4" w:rsidRPr="00E0620A">
        <w:rPr>
          <w:i/>
          <w:lang w:val="fr-CA"/>
        </w:rPr>
        <w:t xml:space="preserve">Canada (Commission </w:t>
      </w:r>
      <w:r w:rsidR="009C5B3E" w:rsidRPr="00E0620A">
        <w:rPr>
          <w:i/>
          <w:lang w:val="fr-CA"/>
        </w:rPr>
        <w:t xml:space="preserve">canadienne </w:t>
      </w:r>
      <w:r w:rsidR="007A74A4" w:rsidRPr="00E0620A">
        <w:rPr>
          <w:i/>
          <w:lang w:val="fr-CA"/>
        </w:rPr>
        <w:t>des droits de la personne) c. Canada (Procureur général)</w:t>
      </w:r>
      <w:r w:rsidR="007A74A4" w:rsidRPr="00E0620A">
        <w:rPr>
          <w:lang w:val="fr-CA"/>
        </w:rPr>
        <w:t>, 2011 CSC 53, [2011] 3 R.C.S. 471;</w:t>
      </w:r>
      <w:r w:rsidR="003623EB" w:rsidRPr="00E0620A">
        <w:rPr>
          <w:i/>
          <w:lang w:val="fr-CA"/>
        </w:rPr>
        <w:t xml:space="preserve"> Dr Q c. College of Physicians and Surgeons of British Columbia</w:t>
      </w:r>
      <w:r w:rsidR="003623EB" w:rsidRPr="00E0620A">
        <w:rPr>
          <w:lang w:val="fr-CA"/>
        </w:rPr>
        <w:t>, 2003 CSC 19, [2003] 1 R.C.S. 226;</w:t>
      </w:r>
      <w:r w:rsidR="001A0E4A" w:rsidRPr="00E0620A">
        <w:rPr>
          <w:lang w:val="fr-CA"/>
        </w:rPr>
        <w:t xml:space="preserve"> </w:t>
      </w:r>
      <w:r w:rsidR="001A0E4A" w:rsidRPr="00E0620A">
        <w:rPr>
          <w:i/>
          <w:lang w:val="fr-CA"/>
        </w:rPr>
        <w:t>Parry Sound (District), Conseil d</w:t>
      </w:r>
      <w:r w:rsidR="00356C64" w:rsidRPr="00E0620A">
        <w:rPr>
          <w:i/>
          <w:lang w:val="fr-CA"/>
        </w:rPr>
        <w:t>’</w:t>
      </w:r>
      <w:r w:rsidR="001A0E4A" w:rsidRPr="00E0620A">
        <w:rPr>
          <w:i/>
          <w:lang w:val="fr-CA"/>
        </w:rPr>
        <w:t>administration des services sociaux c. S.E.E.F.P.O., section locale 324</w:t>
      </w:r>
      <w:r w:rsidR="001A0E4A" w:rsidRPr="00E0620A">
        <w:rPr>
          <w:lang w:val="fr-CA"/>
        </w:rPr>
        <w:t>, 2003 CSC 42, [2003] 2 R.C.S. 157;</w:t>
      </w:r>
      <w:r w:rsidR="003D5BF1" w:rsidRPr="00E0620A">
        <w:rPr>
          <w:lang w:val="fr-CA"/>
        </w:rPr>
        <w:t xml:space="preserve"> </w:t>
      </w:r>
      <w:r w:rsidR="003D5BF1" w:rsidRPr="00E0620A">
        <w:rPr>
          <w:i/>
          <w:lang w:val="fr-CA"/>
        </w:rPr>
        <w:t>Newfoundland and Labrador Nurses</w:t>
      </w:r>
      <w:r w:rsidR="00356C64" w:rsidRPr="00E0620A">
        <w:rPr>
          <w:i/>
          <w:lang w:val="fr-CA"/>
        </w:rPr>
        <w:t>’</w:t>
      </w:r>
      <w:r w:rsidR="003D5BF1" w:rsidRPr="00E0620A">
        <w:rPr>
          <w:i/>
          <w:lang w:val="fr-CA"/>
        </w:rPr>
        <w:t xml:space="preserve"> Union </w:t>
      </w:r>
      <w:r w:rsidR="005257F1" w:rsidRPr="00E0620A">
        <w:rPr>
          <w:i/>
          <w:lang w:val="fr-CA"/>
        </w:rPr>
        <w:t>c. Terre-</w:t>
      </w:r>
      <w:r w:rsidR="00477163" w:rsidRPr="00E0620A">
        <w:rPr>
          <w:i/>
          <w:lang w:val="fr-CA"/>
        </w:rPr>
        <w:t>Neuve</w:t>
      </w:r>
      <w:r w:rsidR="005257F1" w:rsidRPr="00E0620A">
        <w:rPr>
          <w:i/>
          <w:lang w:val="fr-CA"/>
        </w:rPr>
        <w:t>-</w:t>
      </w:r>
      <w:r w:rsidR="00477163" w:rsidRPr="00E0620A">
        <w:rPr>
          <w:i/>
          <w:lang w:val="fr-CA"/>
        </w:rPr>
        <w:t>et</w:t>
      </w:r>
      <w:r w:rsidR="005257F1" w:rsidRPr="00E0620A">
        <w:rPr>
          <w:i/>
          <w:lang w:val="fr-CA"/>
        </w:rPr>
        <w:t>-</w:t>
      </w:r>
      <w:r w:rsidR="003D5BF1" w:rsidRPr="00E0620A">
        <w:rPr>
          <w:i/>
          <w:lang w:val="fr-CA"/>
        </w:rPr>
        <w:t>Labrador (Conseil du Trésor)</w:t>
      </w:r>
      <w:r w:rsidR="003D5BF1" w:rsidRPr="00E0620A">
        <w:rPr>
          <w:lang w:val="fr-CA"/>
        </w:rPr>
        <w:t xml:space="preserve">, 2011 CSC 62, [2011] </w:t>
      </w:r>
      <w:r w:rsidR="00355965" w:rsidRPr="00E0620A">
        <w:rPr>
          <w:lang w:val="fr-CA"/>
        </w:rPr>
        <w:t xml:space="preserve">3 </w:t>
      </w:r>
      <w:r w:rsidR="003D5BF1" w:rsidRPr="00E0620A">
        <w:rPr>
          <w:lang w:val="fr-CA"/>
        </w:rPr>
        <w:t>R.C.S. 708;</w:t>
      </w:r>
      <w:r w:rsidR="007B5FEE" w:rsidRPr="00E0620A">
        <w:rPr>
          <w:i/>
          <w:lang w:val="fr-CA"/>
        </w:rPr>
        <w:t xml:space="preserve"> Doré c. Barreau du Québec</w:t>
      </w:r>
      <w:r w:rsidR="007B5FEE" w:rsidRPr="00E0620A">
        <w:rPr>
          <w:lang w:val="fr-CA"/>
        </w:rPr>
        <w:t>, 2012 CSC 12, [2012] 1 R.C.S. 395;</w:t>
      </w:r>
      <w:r w:rsidR="00477163" w:rsidRPr="00E0620A">
        <w:rPr>
          <w:i/>
          <w:lang w:val="fr-CA"/>
        </w:rPr>
        <w:t xml:space="preserve"> Nor</w:t>
      </w:r>
      <w:r w:rsidR="00477163" w:rsidRPr="00E0620A">
        <w:rPr>
          <w:i/>
          <w:lang w:val="fr-CA"/>
        </w:rPr>
        <w:noBreakHyphen/>
      </w:r>
      <w:r w:rsidR="004541E6" w:rsidRPr="00E0620A">
        <w:rPr>
          <w:i/>
          <w:lang w:val="fr-CA"/>
        </w:rPr>
        <w:t>Man Regional Health Authority Inc. c. Manitoba Association of Health Care Professionals</w:t>
      </w:r>
      <w:r w:rsidR="004541E6" w:rsidRPr="00E0620A">
        <w:rPr>
          <w:lang w:val="fr-CA"/>
        </w:rPr>
        <w:t>, 2011 CSC 59, [2011] 3 R.C.S. 616;</w:t>
      </w:r>
      <w:r w:rsidR="00D02076" w:rsidRPr="00E0620A">
        <w:rPr>
          <w:lang w:val="fr-CA"/>
        </w:rPr>
        <w:t xml:space="preserve"> </w:t>
      </w:r>
      <w:r w:rsidR="00D02076" w:rsidRPr="00E0620A">
        <w:rPr>
          <w:i/>
          <w:lang w:val="fr-CA"/>
        </w:rPr>
        <w:t>Wilson c. Énergie Atomique du Canada Ltée</w:t>
      </w:r>
      <w:r w:rsidR="00D02076" w:rsidRPr="00E0620A">
        <w:rPr>
          <w:lang w:val="fr-CA"/>
        </w:rPr>
        <w:t>, 2016 CSC 29, [2016] 1 R.C.S. 770;</w:t>
      </w:r>
      <w:r w:rsidR="00212607" w:rsidRPr="00E0620A">
        <w:rPr>
          <w:i/>
          <w:lang w:val="fr-CA"/>
        </w:rPr>
        <w:t xml:space="preserve"> Hryniak c. Mauldin</w:t>
      </w:r>
      <w:r w:rsidR="00212607" w:rsidRPr="00E0620A">
        <w:rPr>
          <w:lang w:val="fr-CA"/>
        </w:rPr>
        <w:t>, 2014 CSC 7, [2014] 1 R.C.S. 87;</w:t>
      </w:r>
      <w:r w:rsidR="00851BD6" w:rsidRPr="00E0620A">
        <w:rPr>
          <w:i/>
          <w:lang w:val="fr-CA"/>
        </w:rPr>
        <w:t xml:space="preserve"> Housen c. Nikolaisen</w:t>
      </w:r>
      <w:r w:rsidR="00851BD6" w:rsidRPr="00E0620A">
        <w:rPr>
          <w:lang w:val="fr-CA"/>
        </w:rPr>
        <w:t>, 2</w:t>
      </w:r>
      <w:r w:rsidR="004F0998" w:rsidRPr="00E0620A">
        <w:rPr>
          <w:lang w:val="fr-CA"/>
        </w:rPr>
        <w:t>002 CSC 33, [2002] 2 R.C.S. 235</w:t>
      </w:r>
      <w:r w:rsidR="005D3DCA" w:rsidRPr="00E0620A">
        <w:rPr>
          <w:lang w:val="fr-CA"/>
        </w:rPr>
        <w:t>;</w:t>
      </w:r>
      <w:r w:rsidR="00427FBD" w:rsidRPr="00E0620A">
        <w:rPr>
          <w:i/>
          <w:iCs/>
          <w:color w:val="000000"/>
          <w:lang w:val="fr-CA"/>
        </w:rPr>
        <w:t xml:space="preserve"> Crevier c. Procureur général du Québec</w:t>
      </w:r>
      <w:r w:rsidR="00427FBD" w:rsidRPr="00E0620A">
        <w:rPr>
          <w:color w:val="000000"/>
          <w:lang w:val="fr-CA"/>
        </w:rPr>
        <w:t>, [1981] 2 R.C.S. 220;</w:t>
      </w:r>
      <w:r w:rsidR="005C2CCD" w:rsidRPr="00E0620A">
        <w:rPr>
          <w:i/>
          <w:lang w:val="fr-CA"/>
        </w:rPr>
        <w:t xml:space="preserve"> Bell Canada c. Canada (Procureur général)</w:t>
      </w:r>
      <w:r w:rsidR="005C2CCD" w:rsidRPr="00E0620A">
        <w:rPr>
          <w:lang w:val="fr-CA"/>
        </w:rPr>
        <w:t xml:space="preserve">, </w:t>
      </w:r>
      <w:r w:rsidR="00355965" w:rsidRPr="00E0620A">
        <w:rPr>
          <w:lang w:val="fr-CA"/>
        </w:rPr>
        <w:t>2019 CSC 66</w:t>
      </w:r>
      <w:r w:rsidR="005257F1" w:rsidRPr="00E0620A">
        <w:rPr>
          <w:lang w:val="fr-CA"/>
        </w:rPr>
        <w:t xml:space="preserve">, </w:t>
      </w:r>
      <w:r w:rsidR="005365B0" w:rsidRPr="00E0620A">
        <w:rPr>
          <w:lang w:val="fr-CA"/>
        </w:rPr>
        <w:t>[2019] 4</w:t>
      </w:r>
      <w:r w:rsidR="00E56E30" w:rsidRPr="00E0620A">
        <w:rPr>
          <w:lang w:val="fr-CA"/>
        </w:rPr>
        <w:t xml:space="preserve"> R.C.S. </w:t>
      </w:r>
      <w:r w:rsidR="004F2B0A" w:rsidRPr="00E0620A">
        <w:rPr>
          <w:lang w:val="fr-CA"/>
        </w:rPr>
        <w:t>845</w:t>
      </w:r>
      <w:r w:rsidR="005C2CCD" w:rsidRPr="00E0620A">
        <w:rPr>
          <w:lang w:val="fr-CA"/>
        </w:rPr>
        <w:t>;</w:t>
      </w:r>
      <w:r w:rsidR="00B15FF1" w:rsidRPr="00E0620A">
        <w:rPr>
          <w:i/>
          <w:lang w:val="fr-CA"/>
        </w:rPr>
        <w:t xml:space="preserve"> Canada c. Craig</w:t>
      </w:r>
      <w:r w:rsidR="00B15FF1" w:rsidRPr="00E0620A">
        <w:rPr>
          <w:lang w:val="fr-CA"/>
        </w:rPr>
        <w:t>, 2012 CSC 43, [2012] 2 R.C.S. 489;</w:t>
      </w:r>
      <w:r w:rsidR="00675FC8" w:rsidRPr="00E0620A">
        <w:rPr>
          <w:i/>
          <w:lang w:val="fr-CA"/>
        </w:rPr>
        <w:t xml:space="preserve"> </w:t>
      </w:r>
      <w:r w:rsidR="006155B7" w:rsidRPr="00E0620A">
        <w:rPr>
          <w:i/>
          <w:lang w:val="fr-CA"/>
        </w:rPr>
        <w:t>Kimb</w:t>
      </w:r>
      <w:r w:rsidR="004F2B0A" w:rsidRPr="00E0620A">
        <w:rPr>
          <w:i/>
          <w:lang w:val="fr-CA"/>
        </w:rPr>
        <w:t>le c. Marvel Entertainment, LLC</w:t>
      </w:r>
      <w:r w:rsidR="006155B7" w:rsidRPr="00E0620A">
        <w:rPr>
          <w:lang w:val="fr-CA"/>
        </w:rPr>
        <w:t xml:space="preserve">, 135 S. Ct. 2401 (2015); </w:t>
      </w:r>
      <w:r w:rsidR="00675FC8" w:rsidRPr="00E0620A">
        <w:rPr>
          <w:i/>
          <w:lang w:val="fr-CA"/>
        </w:rPr>
        <w:t>Halliburton Co. c. Erica P. John Fund, Inc.</w:t>
      </w:r>
      <w:r w:rsidR="00675FC8" w:rsidRPr="00E0620A">
        <w:rPr>
          <w:lang w:val="fr-CA"/>
        </w:rPr>
        <w:t>, 573 U.S. 258 (2014);</w:t>
      </w:r>
      <w:r w:rsidR="00B2267B" w:rsidRPr="00E0620A">
        <w:rPr>
          <w:i/>
          <w:lang w:val="fr-CA"/>
        </w:rPr>
        <w:t xml:space="preserve"> </w:t>
      </w:r>
      <w:r w:rsidR="00EB7520" w:rsidRPr="00E0620A">
        <w:rPr>
          <w:i/>
          <w:lang w:val="fr-CA"/>
        </w:rPr>
        <w:t>Fitzleet Estates Ltd. c. Cherry</w:t>
      </w:r>
      <w:r w:rsidR="00EB7520" w:rsidRPr="00E0620A">
        <w:rPr>
          <w:lang w:val="fr-CA"/>
        </w:rPr>
        <w:t xml:space="preserve"> (1977), 51 T.C. 708;</w:t>
      </w:r>
      <w:r w:rsidR="00944E85" w:rsidRPr="00E0620A">
        <w:rPr>
          <w:i/>
          <w:lang w:val="fr-CA"/>
        </w:rPr>
        <w:t xml:space="preserve"> R. c. Taylor</w:t>
      </w:r>
      <w:r w:rsidR="00944E85" w:rsidRPr="00E0620A">
        <w:rPr>
          <w:lang w:val="fr-CA"/>
        </w:rPr>
        <w:t>, [2016] UKSC 5, [2016] 4 All E.R. 617;</w:t>
      </w:r>
      <w:r w:rsidR="004D5ABA" w:rsidRPr="00E0620A">
        <w:rPr>
          <w:i/>
          <w:lang w:val="fr-CA"/>
        </w:rPr>
        <w:t xml:space="preserve"> Willers c. Joyce (No. </w:t>
      </w:r>
      <w:r w:rsidR="00944E85" w:rsidRPr="00E0620A">
        <w:rPr>
          <w:i/>
          <w:lang w:val="fr-CA"/>
        </w:rPr>
        <w:t>2)</w:t>
      </w:r>
      <w:r w:rsidR="00944E85" w:rsidRPr="00E0620A">
        <w:rPr>
          <w:lang w:val="fr-CA"/>
        </w:rPr>
        <w:t>, [2016] UKSC 44, [2017] 2 All E.R. 383;</w:t>
      </w:r>
      <w:r w:rsidR="004836EF" w:rsidRPr="00E0620A">
        <w:rPr>
          <w:i/>
          <w:lang w:val="fr-CA"/>
        </w:rPr>
        <w:t xml:space="preserve"> Knauer c. Ministry of Justice</w:t>
      </w:r>
      <w:r w:rsidR="004836EF" w:rsidRPr="00E0620A">
        <w:rPr>
          <w:lang w:val="fr-CA"/>
        </w:rPr>
        <w:t xml:space="preserve">, [2016] UKSC </w:t>
      </w:r>
      <w:r w:rsidR="004836EF" w:rsidRPr="00E0620A">
        <w:rPr>
          <w:lang w:val="fr-CA"/>
        </w:rPr>
        <w:lastRenderedPageBreak/>
        <w:t>9, [2016] 4 All E.R. 897;</w:t>
      </w:r>
      <w:r w:rsidR="009C0B92" w:rsidRPr="00E0620A">
        <w:rPr>
          <w:i/>
          <w:lang w:val="fr-CA"/>
        </w:rPr>
        <w:t xml:space="preserve"> Couch c. Attorney-General (No. 2)</w:t>
      </w:r>
      <w:r w:rsidR="009C0B92" w:rsidRPr="00E0620A">
        <w:rPr>
          <w:lang w:val="fr-CA"/>
        </w:rPr>
        <w:t>, [2010] NZSC 27, [2010] 3 N.Z.L.R. 149;</w:t>
      </w:r>
      <w:r w:rsidR="00F320D4" w:rsidRPr="00E0620A">
        <w:rPr>
          <w:i/>
          <w:lang w:val="fr-CA"/>
        </w:rPr>
        <w:t xml:space="preserve"> Lee c. New South Wales Crime Commission</w:t>
      </w:r>
      <w:r w:rsidR="00F320D4" w:rsidRPr="00E0620A">
        <w:rPr>
          <w:lang w:val="fr-CA"/>
        </w:rPr>
        <w:t>, [2013] HCA 39, 302 A.L.R. 363;</w:t>
      </w:r>
      <w:r w:rsidR="007D4C7C" w:rsidRPr="00E0620A">
        <w:rPr>
          <w:i/>
          <w:lang w:val="fr-CA"/>
        </w:rPr>
        <w:t xml:space="preserve"> Camps Bay Ratepayers</w:t>
      </w:r>
      <w:r w:rsidR="00356C64" w:rsidRPr="00E0620A">
        <w:rPr>
          <w:i/>
          <w:lang w:val="fr-CA"/>
        </w:rPr>
        <w:t>’</w:t>
      </w:r>
      <w:r w:rsidR="007D4C7C" w:rsidRPr="00E0620A">
        <w:rPr>
          <w:i/>
          <w:lang w:val="fr-CA"/>
        </w:rPr>
        <w:t xml:space="preserve"> and Residents</w:t>
      </w:r>
      <w:r w:rsidR="00356C64" w:rsidRPr="00E0620A">
        <w:rPr>
          <w:i/>
          <w:lang w:val="fr-CA"/>
        </w:rPr>
        <w:t>’</w:t>
      </w:r>
      <w:r w:rsidR="007D4C7C" w:rsidRPr="00E0620A">
        <w:rPr>
          <w:i/>
          <w:lang w:val="fr-CA"/>
        </w:rPr>
        <w:t xml:space="preserve"> Association c. Harrison</w:t>
      </w:r>
      <w:r w:rsidR="007D4C7C" w:rsidRPr="00E0620A">
        <w:rPr>
          <w:lang w:val="fr-CA"/>
        </w:rPr>
        <w:t>, [2010] ZACC 19</w:t>
      </w:r>
      <w:r w:rsidR="0070796B" w:rsidRPr="00E0620A">
        <w:rPr>
          <w:lang w:val="fr-CA"/>
        </w:rPr>
        <w:t>, 2011 (4) S.A. 42</w:t>
      </w:r>
      <w:r w:rsidR="007D4C7C" w:rsidRPr="00E0620A">
        <w:rPr>
          <w:lang w:val="fr-CA"/>
        </w:rPr>
        <w:t xml:space="preserve">; </w:t>
      </w:r>
      <w:r w:rsidR="007D4C7C" w:rsidRPr="00E0620A">
        <w:rPr>
          <w:i/>
          <w:lang w:val="fr-CA"/>
        </w:rPr>
        <w:t xml:space="preserve">Buffalo City Metropolitan </w:t>
      </w:r>
      <w:r w:rsidR="0019434E" w:rsidRPr="00E0620A">
        <w:rPr>
          <w:i/>
          <w:lang w:val="fr-CA"/>
        </w:rPr>
        <w:t xml:space="preserve">Municipality </w:t>
      </w:r>
      <w:r w:rsidR="007D4C7C" w:rsidRPr="00E0620A">
        <w:rPr>
          <w:i/>
          <w:lang w:val="fr-CA"/>
        </w:rPr>
        <w:t>c. Asla Construction</w:t>
      </w:r>
      <w:r w:rsidR="00F845A0" w:rsidRPr="00E0620A">
        <w:rPr>
          <w:i/>
          <w:lang w:val="fr-CA"/>
        </w:rPr>
        <w:t xml:space="preserve"> (Pty)</w:t>
      </w:r>
      <w:r w:rsidR="007D4C7C" w:rsidRPr="00E0620A">
        <w:rPr>
          <w:i/>
          <w:lang w:val="fr-CA"/>
        </w:rPr>
        <w:t xml:space="preserve"> Ltd.</w:t>
      </w:r>
      <w:r w:rsidR="007D4C7C" w:rsidRPr="00E0620A">
        <w:rPr>
          <w:lang w:val="fr-CA"/>
        </w:rPr>
        <w:t>, [2019] ZACC 15</w:t>
      </w:r>
      <w:r w:rsidR="0019434E" w:rsidRPr="00E0620A">
        <w:rPr>
          <w:lang w:val="fr-CA"/>
        </w:rPr>
        <w:t>, 2019 (4) S.A. 331</w:t>
      </w:r>
      <w:r w:rsidR="007D4C7C" w:rsidRPr="00E0620A">
        <w:rPr>
          <w:lang w:val="fr-CA"/>
        </w:rPr>
        <w:t>;</w:t>
      </w:r>
      <w:r w:rsidR="00642E4A" w:rsidRPr="00E0620A">
        <w:rPr>
          <w:i/>
          <w:lang w:val="fr-CA"/>
        </w:rPr>
        <w:t xml:space="preserve"> </w:t>
      </w:r>
      <w:r w:rsidR="000B50BC" w:rsidRPr="00E0620A">
        <w:rPr>
          <w:i/>
          <w:lang w:val="fr-CA"/>
        </w:rPr>
        <w:t>Payne c</w:t>
      </w:r>
      <w:r w:rsidR="00642E4A" w:rsidRPr="00E0620A">
        <w:rPr>
          <w:i/>
          <w:lang w:val="fr-CA"/>
        </w:rPr>
        <w:t>. Tennessee</w:t>
      </w:r>
      <w:r w:rsidR="00642E4A" w:rsidRPr="00E0620A">
        <w:rPr>
          <w:lang w:val="fr-CA"/>
        </w:rPr>
        <w:t>, 501 U.S. 808 (1991);</w:t>
      </w:r>
      <w:r w:rsidR="00C95F94" w:rsidRPr="00E0620A">
        <w:rPr>
          <w:lang w:val="fr-CA"/>
        </w:rPr>
        <w:t xml:space="preserve"> </w:t>
      </w:r>
      <w:r w:rsidR="00C95F94" w:rsidRPr="00E0620A">
        <w:rPr>
          <w:i/>
          <w:lang w:val="fr-CA"/>
        </w:rPr>
        <w:t>Canada (Procureur général) c. Bedford</w:t>
      </w:r>
      <w:r w:rsidR="00C95F94" w:rsidRPr="00E0620A">
        <w:rPr>
          <w:lang w:val="fr-CA"/>
        </w:rPr>
        <w:t>, 2013 CSC 72, [2013] 3 R.C.S. 1101;</w:t>
      </w:r>
      <w:r w:rsidR="00642764" w:rsidRPr="00E0620A">
        <w:rPr>
          <w:i/>
          <w:lang w:val="fr-CA"/>
        </w:rPr>
        <w:t xml:space="preserve"> R. c. Bernard</w:t>
      </w:r>
      <w:r w:rsidR="00642764" w:rsidRPr="00E0620A">
        <w:rPr>
          <w:lang w:val="fr-CA"/>
        </w:rPr>
        <w:t>, [1988] 2 R.C.S. 833;</w:t>
      </w:r>
      <w:r w:rsidR="003B5D49" w:rsidRPr="00E0620A">
        <w:rPr>
          <w:lang w:val="fr-CA"/>
        </w:rPr>
        <w:t xml:space="preserve"> </w:t>
      </w:r>
      <w:r w:rsidR="003B5D49" w:rsidRPr="00E0620A">
        <w:rPr>
          <w:i/>
          <w:lang w:val="fr-CA"/>
        </w:rPr>
        <w:t>Ministre des Affaires indiennes et du Nord canadien c. Ranville</w:t>
      </w:r>
      <w:r w:rsidR="003B5D49" w:rsidRPr="00E0620A">
        <w:rPr>
          <w:lang w:val="fr-CA"/>
        </w:rPr>
        <w:t>, [1982] 2 R.C.S. 518;</w:t>
      </w:r>
      <w:r w:rsidR="00A65D8F" w:rsidRPr="00E0620A">
        <w:rPr>
          <w:i/>
          <w:lang w:val="fr-CA"/>
        </w:rPr>
        <w:t xml:space="preserve"> Michigan c. Bay Mills Indian Community</w:t>
      </w:r>
      <w:r w:rsidR="00A65D8F" w:rsidRPr="00E0620A">
        <w:rPr>
          <w:lang w:val="fr-CA"/>
        </w:rPr>
        <w:t>, 572 U.S. 782 (2014);</w:t>
      </w:r>
      <w:r w:rsidR="00CB79A0" w:rsidRPr="00E0620A">
        <w:rPr>
          <w:i/>
          <w:lang w:val="fr-CA"/>
        </w:rPr>
        <w:t xml:space="preserve"> Plourde c. Compagnie Wal-Mart du Canada</w:t>
      </w:r>
      <w:r w:rsidR="00CB79A0" w:rsidRPr="00E0620A">
        <w:rPr>
          <w:lang w:val="fr-CA"/>
        </w:rPr>
        <w:t>, 2009 CSC 54, [2009] 3 R.C.S. 465;</w:t>
      </w:r>
      <w:r w:rsidR="00B8103E" w:rsidRPr="00E0620A">
        <w:rPr>
          <w:i/>
          <w:lang w:val="fr-CA"/>
        </w:rPr>
        <w:t xml:space="preserve"> Planned Parenthood of Southeastern Pennsylvania c. Casey, Governor of Pennsylvania</w:t>
      </w:r>
      <w:r w:rsidR="00B8103E" w:rsidRPr="00E0620A">
        <w:rPr>
          <w:lang w:val="fr-CA"/>
        </w:rPr>
        <w:t>, 505 U.S. 833 (1992);</w:t>
      </w:r>
      <w:r w:rsidR="008400E8" w:rsidRPr="00E0620A">
        <w:rPr>
          <w:i/>
          <w:lang w:val="fr-CA"/>
        </w:rPr>
        <w:t xml:space="preserve"> Florida Department of Health and Reha</w:t>
      </w:r>
      <w:r w:rsidR="00B0103A" w:rsidRPr="00E0620A">
        <w:rPr>
          <w:i/>
          <w:lang w:val="fr-CA"/>
        </w:rPr>
        <w:t>bilitative Services c</w:t>
      </w:r>
      <w:r w:rsidR="008400E8" w:rsidRPr="00E0620A">
        <w:rPr>
          <w:i/>
          <w:lang w:val="fr-CA"/>
        </w:rPr>
        <w:t>. Florida Nursing Home Association</w:t>
      </w:r>
      <w:r w:rsidR="008400E8" w:rsidRPr="00E0620A">
        <w:rPr>
          <w:lang w:val="fr-CA"/>
        </w:rPr>
        <w:t>, 450 U.S. 147 (1981);</w:t>
      </w:r>
      <w:r w:rsidR="006B0AF5" w:rsidRPr="00E0620A">
        <w:rPr>
          <w:i/>
          <w:lang w:val="fr-CA"/>
        </w:rPr>
        <w:t xml:space="preserve"> Knick c. Township of Scott, Pennsylvania</w:t>
      </w:r>
      <w:r w:rsidR="006B0AF5" w:rsidRPr="00E0620A">
        <w:rPr>
          <w:lang w:val="fr-CA"/>
        </w:rPr>
        <w:t>, 139 S. Ct. 2162</w:t>
      </w:r>
      <w:r w:rsidR="00487CA6" w:rsidRPr="00E0620A">
        <w:rPr>
          <w:lang w:val="fr-CA"/>
        </w:rPr>
        <w:t xml:space="preserve"> (2019)</w:t>
      </w:r>
      <w:r w:rsidR="006B0AF5" w:rsidRPr="00E0620A">
        <w:rPr>
          <w:lang w:val="fr-CA"/>
        </w:rPr>
        <w:t>;</w:t>
      </w:r>
      <w:r w:rsidR="00425E12" w:rsidRPr="00E0620A">
        <w:rPr>
          <w:i/>
          <w:lang w:val="fr-CA"/>
        </w:rPr>
        <w:t xml:space="preserve"> Comité pour le traitement égal des actionnaires minoritaires de la Société Asbestos Ltée c. Ontario (Commission des valeurs mobilières)</w:t>
      </w:r>
      <w:r w:rsidR="00425E12" w:rsidRPr="00E0620A">
        <w:rPr>
          <w:lang w:val="fr-CA"/>
        </w:rPr>
        <w:t>, 2001 CSC 37, [2001] 2 R.C.S. 132;</w:t>
      </w:r>
      <w:r w:rsidR="00516598" w:rsidRPr="00E0620A">
        <w:rPr>
          <w:i/>
          <w:lang w:val="fr-CA"/>
        </w:rPr>
        <w:t xml:space="preserve"> Association des courtiers et agents immobiliers du Québec c. Proprio Direct inc.</w:t>
      </w:r>
      <w:r w:rsidR="00516598" w:rsidRPr="00E0620A">
        <w:rPr>
          <w:lang w:val="fr-CA"/>
        </w:rPr>
        <w:t xml:space="preserve">, </w:t>
      </w:r>
      <w:r w:rsidR="009B6075" w:rsidRPr="00E0620A">
        <w:rPr>
          <w:lang w:val="fr-CA"/>
        </w:rPr>
        <w:t xml:space="preserve">2008 CSC 32, </w:t>
      </w:r>
      <w:r w:rsidR="00516598" w:rsidRPr="00E0620A">
        <w:rPr>
          <w:lang w:val="fr-CA"/>
        </w:rPr>
        <w:t>[2008] 2 R.C.S. 195;</w:t>
      </w:r>
      <w:r w:rsidR="003C5560" w:rsidRPr="00E0620A">
        <w:rPr>
          <w:i/>
          <w:lang w:val="fr-CA"/>
        </w:rPr>
        <w:t xml:space="preserve"> Nolan c. Kerry (Canada) Inc.</w:t>
      </w:r>
      <w:r w:rsidR="003C5560" w:rsidRPr="00E0620A">
        <w:rPr>
          <w:lang w:val="fr-CA"/>
        </w:rPr>
        <w:t>, 2009 CSC 39, [2009] 2 R.C.S. 678;</w:t>
      </w:r>
      <w:r w:rsidR="0059026E" w:rsidRPr="00E0620A">
        <w:rPr>
          <w:i/>
          <w:lang w:val="fr-CA"/>
        </w:rPr>
        <w:t xml:space="preserve"> Ontario (Procureur géneral) c. Fraser</w:t>
      </w:r>
      <w:r w:rsidR="0059026E" w:rsidRPr="00E0620A">
        <w:rPr>
          <w:lang w:val="fr-CA"/>
        </w:rPr>
        <w:t>, 2011 CSC 20, [2011] 2 R.C.S. 3;</w:t>
      </w:r>
      <w:r w:rsidR="00686A93" w:rsidRPr="00E0620A">
        <w:rPr>
          <w:i/>
          <w:lang w:val="fr-CA"/>
        </w:rPr>
        <w:t xml:space="preserve"> Nishi c. Rascal Trucking Ltd.</w:t>
      </w:r>
      <w:r w:rsidR="00686A93" w:rsidRPr="00E0620A">
        <w:rPr>
          <w:lang w:val="fr-CA"/>
        </w:rPr>
        <w:t>, 2013 CSC 33, [2013] 2 R.C.S. 438;</w:t>
      </w:r>
      <w:r w:rsidR="00896F90" w:rsidRPr="00E0620A">
        <w:rPr>
          <w:i/>
          <w:lang w:val="fr-CA"/>
        </w:rPr>
        <w:t xml:space="preserve"> R. c. Henry</w:t>
      </w:r>
      <w:r w:rsidR="00896F90" w:rsidRPr="00E0620A">
        <w:rPr>
          <w:lang w:val="fr-CA"/>
        </w:rPr>
        <w:t>, 2005 CSC 76, [2005] 3 R.C.S. 609;</w:t>
      </w:r>
      <w:r w:rsidR="00A21A1E" w:rsidRPr="00E0620A">
        <w:rPr>
          <w:rFonts w:ascii="TmsRmn 12pt" w:hAnsi="TmsRmn 12pt"/>
          <w:i/>
          <w:iCs/>
          <w:color w:val="000000"/>
          <w:spacing w:val="-3"/>
          <w:lang w:val="fr-CA"/>
        </w:rPr>
        <w:t xml:space="preserve"> Binus c. The Queen</w:t>
      </w:r>
      <w:r w:rsidR="00A21A1E" w:rsidRPr="00E0620A">
        <w:rPr>
          <w:rFonts w:ascii="TmsRmn 12pt" w:hAnsi="TmsRmn 12pt"/>
          <w:color w:val="000000"/>
          <w:spacing w:val="-3"/>
          <w:lang w:val="fr-CA"/>
        </w:rPr>
        <w:t>, [1967] R.C.S. 594;</w:t>
      </w:r>
      <w:r w:rsidR="00C42DEA" w:rsidRPr="00E0620A">
        <w:rPr>
          <w:i/>
          <w:lang w:val="fr-CA"/>
        </w:rPr>
        <w:t xml:space="preserve"> Bilski c. Kappos, Under Secretary of Commerce for Intellectual Property and Director, Patent and Trademark Office</w:t>
      </w:r>
      <w:r w:rsidR="00C42DEA" w:rsidRPr="00E0620A">
        <w:rPr>
          <w:lang w:val="fr-CA"/>
        </w:rPr>
        <w:t>, 561 U.S. 593 (2010);</w:t>
      </w:r>
      <w:r w:rsidR="0094523E" w:rsidRPr="00E0620A">
        <w:rPr>
          <w:i/>
          <w:lang w:val="fr-CA"/>
        </w:rPr>
        <w:t xml:space="preserve"> Bowles, Price Administrator c. Seminole Rock &amp; Sand Co.</w:t>
      </w:r>
      <w:r w:rsidR="0094523E" w:rsidRPr="00E0620A">
        <w:rPr>
          <w:lang w:val="fr-CA"/>
        </w:rPr>
        <w:t>, 325 U.S. 410 (1945);</w:t>
      </w:r>
      <w:r w:rsidR="009539BE" w:rsidRPr="00E0620A">
        <w:rPr>
          <w:i/>
          <w:lang w:val="fr-CA"/>
        </w:rPr>
        <w:t xml:space="preserve"> Auer c. Robbins</w:t>
      </w:r>
      <w:r w:rsidR="009539BE" w:rsidRPr="00E0620A">
        <w:rPr>
          <w:lang w:val="fr-CA"/>
        </w:rPr>
        <w:t>, 519 U.S. 452 (1997);</w:t>
      </w:r>
      <w:r w:rsidR="00D51999" w:rsidRPr="00E0620A">
        <w:rPr>
          <w:i/>
          <w:lang w:val="fr-CA"/>
        </w:rPr>
        <w:t xml:space="preserve"> Baker c. Campbell</w:t>
      </w:r>
      <w:r w:rsidR="00D51999" w:rsidRPr="00E0620A">
        <w:rPr>
          <w:lang w:val="fr-CA"/>
        </w:rPr>
        <w:t xml:space="preserve"> </w:t>
      </w:r>
      <w:r w:rsidR="004F2B0A" w:rsidRPr="00E0620A">
        <w:rPr>
          <w:lang w:val="fr-CA"/>
        </w:rPr>
        <w:t>(</w:t>
      </w:r>
      <w:r w:rsidR="00D51999" w:rsidRPr="00E0620A">
        <w:rPr>
          <w:lang w:val="fr-CA"/>
        </w:rPr>
        <w:t>1983</w:t>
      </w:r>
      <w:r w:rsidR="004F2B0A" w:rsidRPr="00E0620A">
        <w:rPr>
          <w:lang w:val="fr-CA"/>
        </w:rPr>
        <w:t xml:space="preserve">), </w:t>
      </w:r>
      <w:r w:rsidR="00D51999" w:rsidRPr="00E0620A">
        <w:rPr>
          <w:lang w:val="fr-CA"/>
        </w:rPr>
        <w:t>153 C.L.R. 52;</w:t>
      </w:r>
      <w:r w:rsidR="00E3612D" w:rsidRPr="00E0620A">
        <w:rPr>
          <w:i/>
          <w:lang w:val="fr-CA"/>
        </w:rPr>
        <w:t xml:space="preserve"> R. c. Jordan</w:t>
      </w:r>
      <w:r w:rsidR="00E3612D" w:rsidRPr="00E0620A">
        <w:rPr>
          <w:lang w:val="fr-CA"/>
        </w:rPr>
        <w:t>, 2016 CSC 27, [2016] 1 R.C.S. 631;</w:t>
      </w:r>
      <w:r w:rsidR="008340C2" w:rsidRPr="00E0620A">
        <w:rPr>
          <w:lang w:val="fr-CA"/>
        </w:rPr>
        <w:t xml:space="preserve"> </w:t>
      </w:r>
      <w:r w:rsidR="008340C2" w:rsidRPr="00E0620A">
        <w:rPr>
          <w:i/>
          <w:lang w:val="fr-CA"/>
        </w:rPr>
        <w:t>H.L. c.</w:t>
      </w:r>
      <w:r w:rsidR="008340C2" w:rsidRPr="00E0620A">
        <w:rPr>
          <w:lang w:val="fr-CA"/>
        </w:rPr>
        <w:t xml:space="preserve"> </w:t>
      </w:r>
      <w:r w:rsidR="008340C2" w:rsidRPr="00E0620A">
        <w:rPr>
          <w:i/>
          <w:lang w:val="fr-CA"/>
        </w:rPr>
        <w:t>Canada (Procureur général)</w:t>
      </w:r>
      <w:r w:rsidR="008340C2" w:rsidRPr="00E0620A">
        <w:rPr>
          <w:lang w:val="fr-CA"/>
        </w:rPr>
        <w:t>, 2005 CSC 25, [2005] 1 R.C.S. 401;</w:t>
      </w:r>
      <w:r w:rsidR="00437A8D" w:rsidRPr="00E0620A">
        <w:rPr>
          <w:lang w:val="fr-CA"/>
        </w:rPr>
        <w:t xml:space="preserve"> </w:t>
      </w:r>
      <w:r w:rsidR="00477163" w:rsidRPr="00E0620A">
        <w:rPr>
          <w:i/>
          <w:lang w:val="fr-CA"/>
        </w:rPr>
        <w:t xml:space="preserve">Canada </w:t>
      </w:r>
      <w:r w:rsidR="0098643E" w:rsidRPr="00E0620A">
        <w:rPr>
          <w:i/>
          <w:lang w:val="fr-CA"/>
        </w:rPr>
        <w:t>(Sous-</w:t>
      </w:r>
      <w:r w:rsidR="00437A8D" w:rsidRPr="00E0620A">
        <w:rPr>
          <w:i/>
          <w:lang w:val="fr-CA"/>
        </w:rPr>
        <w:t xml:space="preserve">ministre du </w:t>
      </w:r>
      <w:r w:rsidR="00437A8D" w:rsidRPr="00E0620A">
        <w:rPr>
          <w:i/>
          <w:lang w:val="fr-CA"/>
        </w:rPr>
        <w:lastRenderedPageBreak/>
        <w:t>Revenu national) c. Mattel Canada Inc.</w:t>
      </w:r>
      <w:r w:rsidR="00437A8D" w:rsidRPr="00E0620A">
        <w:rPr>
          <w:lang w:val="fr-CA"/>
        </w:rPr>
        <w:t>, 2001 CSC 36, [2001] 2 R.C.S. 100;</w:t>
      </w:r>
      <w:r w:rsidR="0040376C" w:rsidRPr="00E0620A">
        <w:rPr>
          <w:lang w:val="fr-CA"/>
        </w:rPr>
        <w:t xml:space="preserve"> </w:t>
      </w:r>
      <w:r w:rsidR="0040376C" w:rsidRPr="00E0620A">
        <w:rPr>
          <w:i/>
          <w:lang w:val="fr-CA"/>
        </w:rPr>
        <w:t>Chieu c. Canada (Ministre de la Citoyenneté et de l</w:t>
      </w:r>
      <w:r w:rsidR="00356C64" w:rsidRPr="00E0620A">
        <w:rPr>
          <w:i/>
          <w:lang w:val="fr-CA"/>
        </w:rPr>
        <w:t>’</w:t>
      </w:r>
      <w:r w:rsidR="0040376C" w:rsidRPr="00E0620A">
        <w:rPr>
          <w:i/>
          <w:lang w:val="fr-CA"/>
        </w:rPr>
        <w:t>Immigration)</w:t>
      </w:r>
      <w:r w:rsidR="0040376C" w:rsidRPr="00E0620A">
        <w:rPr>
          <w:lang w:val="fr-CA"/>
        </w:rPr>
        <w:t>, 2002 CSC 3, [2002] 1 R.C.S. 84;</w:t>
      </w:r>
      <w:r w:rsidR="000C43F6" w:rsidRPr="00E0620A">
        <w:rPr>
          <w:i/>
          <w:lang w:val="fr-CA"/>
        </w:rPr>
        <w:t xml:space="preserve"> Harvard College c. Canada (Commissaire aux brevets)</w:t>
      </w:r>
      <w:r w:rsidR="000C43F6" w:rsidRPr="00E0620A">
        <w:rPr>
          <w:lang w:val="fr-CA"/>
        </w:rPr>
        <w:t>, 2002 CSC 76, [2002] 4 R.C.S. 45;</w:t>
      </w:r>
      <w:r w:rsidR="00FA1B3F" w:rsidRPr="00E0620A">
        <w:rPr>
          <w:i/>
          <w:lang w:val="fr-CA"/>
        </w:rPr>
        <w:t xml:space="preserve"> R. c. Salituro</w:t>
      </w:r>
      <w:r w:rsidR="00FA1B3F" w:rsidRPr="00E0620A">
        <w:rPr>
          <w:lang w:val="fr-CA"/>
        </w:rPr>
        <w:t>, [1991] 3 R.C.S. 654;</w:t>
      </w:r>
      <w:r w:rsidR="00C67908" w:rsidRPr="00E0620A">
        <w:rPr>
          <w:i/>
          <w:lang w:val="fr-CA"/>
        </w:rPr>
        <w:t xml:space="preserve"> Friedmann Equity Developments Inc. c. Final Note Ltd.</w:t>
      </w:r>
      <w:r w:rsidR="00C67908" w:rsidRPr="00E0620A">
        <w:rPr>
          <w:lang w:val="fr-CA"/>
        </w:rPr>
        <w:t>, 2000 CSC 34, [2000] 1 R.C.S. 842;</w:t>
      </w:r>
      <w:r w:rsidR="00BD3C98" w:rsidRPr="00E0620A">
        <w:rPr>
          <w:i/>
          <w:lang w:val="fr-CA"/>
        </w:rPr>
        <w:t xml:space="preserve"> R. c. Kang-Brown</w:t>
      </w:r>
      <w:r w:rsidR="00BD3C98" w:rsidRPr="00E0620A">
        <w:rPr>
          <w:lang w:val="fr-CA"/>
        </w:rPr>
        <w:t>, 2008 CSC 18, [2008] 1 R.C.S. 456;</w:t>
      </w:r>
      <w:r w:rsidR="00EE5020" w:rsidRPr="00E0620A">
        <w:rPr>
          <w:lang w:val="fr-CA"/>
        </w:rPr>
        <w:t xml:space="preserve"> </w:t>
      </w:r>
      <w:r w:rsidR="00EE5020" w:rsidRPr="00E0620A">
        <w:rPr>
          <w:i/>
          <w:lang w:val="fr-CA"/>
        </w:rPr>
        <w:t>Syndicat canadien des communications, de l</w:t>
      </w:r>
      <w:r w:rsidR="00356C64" w:rsidRPr="00E0620A">
        <w:rPr>
          <w:i/>
          <w:lang w:val="fr-CA"/>
        </w:rPr>
        <w:t>’</w:t>
      </w:r>
      <w:r w:rsidR="00EE5020" w:rsidRPr="00E0620A">
        <w:rPr>
          <w:i/>
          <w:lang w:val="fr-CA"/>
        </w:rPr>
        <w:t>énergie et du papier, section locale 30 c. Pâtes &amp; Papier Irving, Ltée</w:t>
      </w:r>
      <w:r w:rsidR="00EE5020" w:rsidRPr="00E0620A">
        <w:rPr>
          <w:lang w:val="fr-CA"/>
        </w:rPr>
        <w:t>, 2013 CSC 34, [2013] 2 R.C.S. 458;</w:t>
      </w:r>
      <w:r w:rsidR="00FD23A2" w:rsidRPr="00E0620A">
        <w:rPr>
          <w:i/>
          <w:lang w:val="fr-CA"/>
        </w:rPr>
        <w:t xml:space="preserve"> Toronto (Ville) c. S.C.F.P., section locale 79</w:t>
      </w:r>
      <w:r w:rsidR="00FD23A2" w:rsidRPr="00E0620A">
        <w:rPr>
          <w:lang w:val="fr-CA"/>
        </w:rPr>
        <w:t>, 2003 CSC 63, [2003] 3 R.C.S. 77;</w:t>
      </w:r>
      <w:r w:rsidR="002A2B0D" w:rsidRPr="00E0620A">
        <w:rPr>
          <w:i/>
          <w:lang w:val="fr-CA"/>
        </w:rPr>
        <w:t xml:space="preserve"> Volvo Canada Ltd. c. T.U.A., local 720</w:t>
      </w:r>
      <w:r w:rsidR="002A2B0D" w:rsidRPr="00E0620A">
        <w:rPr>
          <w:lang w:val="fr-CA"/>
        </w:rPr>
        <w:t>, [1980] 1 R.C.S. 178;</w:t>
      </w:r>
      <w:r w:rsidR="00610981" w:rsidRPr="00E0620A">
        <w:rPr>
          <w:lang w:val="fr-CA"/>
        </w:rPr>
        <w:t xml:space="preserve"> </w:t>
      </w:r>
      <w:r w:rsidR="00610981" w:rsidRPr="00E0620A">
        <w:rPr>
          <w:i/>
          <w:lang w:val="fr-CA"/>
        </w:rPr>
        <w:t xml:space="preserve">Mason c. Ministre de la </w:t>
      </w:r>
      <w:r w:rsidR="00084B1D" w:rsidRPr="00E0620A">
        <w:rPr>
          <w:i/>
          <w:lang w:val="fr-CA"/>
        </w:rPr>
        <w:t>C</w:t>
      </w:r>
      <w:r w:rsidR="00610981" w:rsidRPr="00E0620A">
        <w:rPr>
          <w:i/>
          <w:lang w:val="fr-CA"/>
        </w:rPr>
        <w:t>itoyenneté et de l</w:t>
      </w:r>
      <w:r w:rsidR="00356C64" w:rsidRPr="00E0620A">
        <w:rPr>
          <w:i/>
          <w:lang w:val="fr-CA"/>
        </w:rPr>
        <w:t>’</w:t>
      </w:r>
      <w:r w:rsidR="00084B1D" w:rsidRPr="00E0620A">
        <w:rPr>
          <w:i/>
          <w:lang w:val="fr-CA"/>
        </w:rPr>
        <w:t>Immigration</w:t>
      </w:r>
      <w:r w:rsidR="00610981" w:rsidRPr="00E0620A">
        <w:rPr>
          <w:lang w:val="fr-CA"/>
        </w:rPr>
        <w:t>, 2019 CF 1251;</w:t>
      </w:r>
      <w:r w:rsidR="00C01533" w:rsidRPr="00E0620A">
        <w:rPr>
          <w:i/>
          <w:lang w:val="fr-CA"/>
        </w:rPr>
        <w:t xml:space="preserve"> Williams Lake Indian Band c. Canada (Affaires autochtones et du Développement du Nord)</w:t>
      </w:r>
      <w:r w:rsidR="00C01533" w:rsidRPr="00E0620A">
        <w:rPr>
          <w:lang w:val="fr-CA"/>
        </w:rPr>
        <w:t>, 2018 CSC 4, [2018] 1 R.C.S. 83;</w:t>
      </w:r>
      <w:r w:rsidR="00751946" w:rsidRPr="00E0620A">
        <w:rPr>
          <w:i/>
          <w:lang w:val="fr-CA"/>
        </w:rPr>
        <w:t xml:space="preserve"> Établissement de Mission c. Khela</w:t>
      </w:r>
      <w:r w:rsidR="00751946" w:rsidRPr="00E0620A">
        <w:rPr>
          <w:lang w:val="fr-CA"/>
        </w:rPr>
        <w:t>, 2014 CSC 24, [2014] 1 R.C.S. 502;</w:t>
      </w:r>
      <w:r w:rsidR="0036282F" w:rsidRPr="00E0620A">
        <w:rPr>
          <w:lang w:val="fr-CA"/>
        </w:rPr>
        <w:t xml:space="preserve"> </w:t>
      </w:r>
      <w:r w:rsidR="0036282F" w:rsidRPr="00E0620A">
        <w:rPr>
          <w:i/>
          <w:lang w:val="fr-CA"/>
        </w:rPr>
        <w:t>May c. Établissement Ferndale</w:t>
      </w:r>
      <w:r w:rsidR="0036282F" w:rsidRPr="00E0620A">
        <w:rPr>
          <w:lang w:val="fr-CA"/>
        </w:rPr>
        <w:t>, 2005 CSC 82, [2005] 3 R.C.S. 809;</w:t>
      </w:r>
      <w:r w:rsidR="00A118DB" w:rsidRPr="00E0620A">
        <w:rPr>
          <w:lang w:val="fr-CA"/>
        </w:rPr>
        <w:t xml:space="preserve"> </w:t>
      </w:r>
      <w:r w:rsidR="00A118DB" w:rsidRPr="00E0620A">
        <w:rPr>
          <w:i/>
          <w:lang w:val="fr-CA"/>
        </w:rPr>
        <w:t>Northern Telecom Ltée c. Travailleurs en communication du Canada</w:t>
      </w:r>
      <w:r w:rsidR="00A118DB" w:rsidRPr="00E0620A">
        <w:rPr>
          <w:lang w:val="fr-CA"/>
        </w:rPr>
        <w:t>, [1980] 1 R.C.S. 115;</w:t>
      </w:r>
      <w:r w:rsidR="00CA1988" w:rsidRPr="00E0620A">
        <w:rPr>
          <w:i/>
          <w:lang w:val="fr-CA"/>
        </w:rPr>
        <w:t xml:space="preserve"> Catalyst Paper Corp. c. North Cowichan (District)</w:t>
      </w:r>
      <w:r w:rsidR="00CA1988" w:rsidRPr="00E0620A">
        <w:rPr>
          <w:lang w:val="fr-CA"/>
        </w:rPr>
        <w:t>, 2012 CSC 2, [2012] 1 R.C.S. 5;</w:t>
      </w:r>
      <w:r w:rsidR="007430EB" w:rsidRPr="00E0620A">
        <w:rPr>
          <w:i/>
          <w:lang w:val="fr-CA"/>
        </w:rPr>
        <w:t xml:space="preserve"> Blencoe c. Colombie-Britannique (Human Rights Commission)</w:t>
      </w:r>
      <w:r w:rsidR="007430EB" w:rsidRPr="00E0620A">
        <w:rPr>
          <w:lang w:val="fr-CA"/>
        </w:rPr>
        <w:t>, 2000 CSC 44, [2000] 2 R.C.S. 307;</w:t>
      </w:r>
      <w:r w:rsidR="00460526" w:rsidRPr="00E0620A">
        <w:rPr>
          <w:i/>
          <w:lang w:val="fr-CA"/>
        </w:rPr>
        <w:t xml:space="preserve"> Suresh c. C</w:t>
      </w:r>
      <w:r w:rsidR="00460526" w:rsidRPr="00356C64">
        <w:rPr>
          <w:i/>
          <w:lang w:val="fr-CA"/>
        </w:rPr>
        <w:t>anada (Ministre de la Citoyenneté et de l</w:t>
      </w:r>
      <w:r w:rsidR="00356C64" w:rsidRPr="00356C64">
        <w:rPr>
          <w:i/>
          <w:lang w:val="fr-CA"/>
        </w:rPr>
        <w:t>’</w:t>
      </w:r>
      <w:r w:rsidR="00460526" w:rsidRPr="00356C64">
        <w:rPr>
          <w:i/>
          <w:lang w:val="fr-CA"/>
        </w:rPr>
        <w:t>Immigration)</w:t>
      </w:r>
      <w:r w:rsidR="00460526" w:rsidRPr="00356C64">
        <w:rPr>
          <w:lang w:val="fr-CA"/>
        </w:rPr>
        <w:t>, 2002 CSC 1, [2002] 1 R.C.S. 3;</w:t>
      </w:r>
      <w:r w:rsidR="009737A7" w:rsidRPr="00356C64">
        <w:rPr>
          <w:i/>
          <w:lang w:val="fr-CA"/>
        </w:rPr>
        <w:t xml:space="preserve"> Baker c. Canada (Ministre de la Citoyenneté et de l</w:t>
      </w:r>
      <w:r w:rsidR="00356C64" w:rsidRPr="00356C64">
        <w:rPr>
          <w:i/>
          <w:lang w:val="fr-CA"/>
        </w:rPr>
        <w:t>’</w:t>
      </w:r>
      <w:r w:rsidR="009737A7" w:rsidRPr="00356C64">
        <w:rPr>
          <w:i/>
          <w:lang w:val="fr-CA"/>
        </w:rPr>
        <w:t>Immigration)</w:t>
      </w:r>
      <w:r w:rsidR="009737A7" w:rsidRPr="00356C64">
        <w:rPr>
          <w:lang w:val="fr-CA"/>
        </w:rPr>
        <w:t>, [1999] 2 R.C.S. 817;</w:t>
      </w:r>
      <w:r w:rsidR="0016515E" w:rsidRPr="00356C64">
        <w:rPr>
          <w:i/>
          <w:lang w:val="fr-CA"/>
        </w:rPr>
        <w:t xml:space="preserve"> Construction Labour Relations c. Driver Iron Inc.</w:t>
      </w:r>
      <w:r w:rsidR="0016515E" w:rsidRPr="00356C64">
        <w:rPr>
          <w:lang w:val="fr-CA"/>
        </w:rPr>
        <w:t>, 2012 CSC 65, [2012] 3 R.C.S. 405;</w:t>
      </w:r>
      <w:r w:rsidR="00140262" w:rsidRPr="00356C64">
        <w:rPr>
          <w:i/>
          <w:iCs/>
          <w:color w:val="000000"/>
          <w:lang w:val="fr-CA"/>
        </w:rPr>
        <w:t xml:space="preserve"> Union internationale des employés des services, local n</w:t>
      </w:r>
      <w:r w:rsidR="00140262" w:rsidRPr="00356C64">
        <w:rPr>
          <w:i/>
          <w:iCs/>
          <w:color w:val="000000"/>
          <w:vertAlign w:val="superscript"/>
          <w:lang w:val="fr-CA"/>
        </w:rPr>
        <w:t>o</w:t>
      </w:r>
      <w:r w:rsidR="00140262" w:rsidRPr="00356C64">
        <w:rPr>
          <w:i/>
          <w:iCs/>
          <w:color w:val="000000"/>
          <w:lang w:val="fr-CA"/>
        </w:rPr>
        <w:t> 333 c. Nipawin Di</w:t>
      </w:r>
      <w:r w:rsidR="001E68C9">
        <w:rPr>
          <w:i/>
          <w:iCs/>
          <w:color w:val="000000"/>
          <w:lang w:val="fr-CA"/>
        </w:rPr>
        <w:t>strict Staff Nurses Association</w:t>
      </w:r>
      <w:r w:rsidR="00140262" w:rsidRPr="00356C64">
        <w:rPr>
          <w:color w:val="000000"/>
          <w:lang w:val="fr-CA"/>
        </w:rPr>
        <w:t>, [1975] 1 R.C.S. 382;</w:t>
      </w:r>
      <w:r w:rsidR="00A31B19" w:rsidRPr="00356C64">
        <w:rPr>
          <w:i/>
          <w:lang w:val="fr-CA"/>
        </w:rPr>
        <w:t xml:space="preserve"> Delta Air Lines Inc. c. Lukács</w:t>
      </w:r>
      <w:r w:rsidR="00A31B19" w:rsidRPr="00356C64">
        <w:rPr>
          <w:lang w:val="fr-CA"/>
        </w:rPr>
        <w:t>, 2018 CSC 2, [2018] 1 R.C.S. 6;</w:t>
      </w:r>
      <w:r w:rsidR="00CB55B3" w:rsidRPr="00356C64">
        <w:rPr>
          <w:i/>
          <w:lang w:val="fr-CA"/>
        </w:rPr>
        <w:t xml:space="preserve"> Mil</w:t>
      </w:r>
      <w:r w:rsidR="00CB55B3">
        <w:rPr>
          <w:i/>
          <w:lang w:val="fr-CA"/>
        </w:rPr>
        <w:t>ls c</w:t>
      </w:r>
      <w:r w:rsidR="00CB55B3" w:rsidRPr="00CB55B3">
        <w:rPr>
          <w:i/>
          <w:lang w:val="fr-CA"/>
        </w:rPr>
        <w:t xml:space="preserve">. Workplace Safety and Insurance Appeals Tribunal </w:t>
      </w:r>
      <w:r w:rsidR="00CB55B3" w:rsidRPr="00B7113C">
        <w:rPr>
          <w:i/>
          <w:lang w:val="fr-CA"/>
        </w:rPr>
        <w:t>(Ont.)</w:t>
      </w:r>
      <w:r w:rsidR="00CB55B3" w:rsidRPr="00B7113C">
        <w:rPr>
          <w:lang w:val="fr-CA"/>
        </w:rPr>
        <w:t>, 2008</w:t>
      </w:r>
      <w:r w:rsidR="00CB55B3" w:rsidRPr="00CB55B3">
        <w:rPr>
          <w:lang w:val="fr-CA"/>
        </w:rPr>
        <w:t xml:space="preserve"> ONCA 436, 237 O.A.C. 71;</w:t>
      </w:r>
      <w:r w:rsidR="00CB55B3" w:rsidRPr="00CB55B3">
        <w:rPr>
          <w:i/>
          <w:lang w:val="fr-CA"/>
        </w:rPr>
        <w:t xml:space="preserve"> Celgene Corp. </w:t>
      </w:r>
      <w:r w:rsidR="00CB55B3">
        <w:rPr>
          <w:i/>
          <w:lang w:val="fr-CA"/>
        </w:rPr>
        <w:t>c</w:t>
      </w:r>
      <w:r w:rsidR="00CB55B3" w:rsidRPr="00CB55B3">
        <w:rPr>
          <w:i/>
          <w:lang w:val="fr-CA"/>
        </w:rPr>
        <w:t>. Canada (</w:t>
      </w:r>
      <w:r w:rsidR="00CB55B3">
        <w:rPr>
          <w:i/>
          <w:lang w:val="fr-CA"/>
        </w:rPr>
        <w:t>Procureur général</w:t>
      </w:r>
      <w:r w:rsidR="00CB55B3" w:rsidRPr="00CB55B3">
        <w:rPr>
          <w:i/>
          <w:lang w:val="fr-CA"/>
        </w:rPr>
        <w:t>)</w:t>
      </w:r>
      <w:r w:rsidR="00CB55B3">
        <w:rPr>
          <w:lang w:val="fr-CA"/>
        </w:rPr>
        <w:t xml:space="preserve">, 2011 </w:t>
      </w:r>
      <w:r w:rsidR="00CB55B3" w:rsidRPr="00CB55B3">
        <w:rPr>
          <w:lang w:val="fr-CA"/>
        </w:rPr>
        <w:t>C</w:t>
      </w:r>
      <w:r w:rsidR="00CB55B3">
        <w:rPr>
          <w:lang w:val="fr-CA"/>
        </w:rPr>
        <w:t>SC 1, [2011] 1 R.C.S</w:t>
      </w:r>
      <w:r w:rsidR="00CB55B3" w:rsidRPr="00CB55B3">
        <w:rPr>
          <w:lang w:val="fr-CA"/>
        </w:rPr>
        <w:t>. 3;</w:t>
      </w:r>
      <w:r w:rsidR="00CA6AD5" w:rsidRPr="00CA6AD5">
        <w:rPr>
          <w:i/>
          <w:lang w:val="fr-CA"/>
        </w:rPr>
        <w:t xml:space="preserve"> Halifax (Regional Municipality)</w:t>
      </w:r>
      <w:r w:rsidR="00CA6AD5">
        <w:rPr>
          <w:i/>
          <w:lang w:val="fr-CA"/>
        </w:rPr>
        <w:t xml:space="preserve"> c</w:t>
      </w:r>
      <w:r w:rsidR="00CA6AD5" w:rsidRPr="00CA6AD5">
        <w:rPr>
          <w:i/>
          <w:lang w:val="fr-CA"/>
        </w:rPr>
        <w:t>. Canada (</w:t>
      </w:r>
      <w:r w:rsidR="00CA6AD5">
        <w:rPr>
          <w:i/>
          <w:lang w:val="fr-CA"/>
        </w:rPr>
        <w:t>Travaux publics et Services gouvernementaux</w:t>
      </w:r>
      <w:r w:rsidR="00CA6AD5" w:rsidRPr="00CA6AD5">
        <w:rPr>
          <w:i/>
          <w:lang w:val="fr-CA"/>
        </w:rPr>
        <w:t>)</w:t>
      </w:r>
      <w:r w:rsidR="00CA6AD5">
        <w:rPr>
          <w:lang w:val="fr-CA"/>
        </w:rPr>
        <w:t xml:space="preserve">, 2012 </w:t>
      </w:r>
      <w:r w:rsidR="00CA6AD5" w:rsidRPr="00CA6AD5">
        <w:rPr>
          <w:lang w:val="fr-CA"/>
        </w:rPr>
        <w:t>C</w:t>
      </w:r>
      <w:r w:rsidR="00CA6AD5">
        <w:rPr>
          <w:lang w:val="fr-CA"/>
        </w:rPr>
        <w:t>S</w:t>
      </w:r>
      <w:r w:rsidR="00CA6AD5" w:rsidRPr="00CA6AD5">
        <w:rPr>
          <w:lang w:val="fr-CA"/>
        </w:rPr>
        <w:t>C 29, [2</w:t>
      </w:r>
      <w:r w:rsidR="00CA6AD5">
        <w:rPr>
          <w:lang w:val="fr-CA"/>
        </w:rPr>
        <w:t xml:space="preserve">012] 2 </w:t>
      </w:r>
      <w:r w:rsidR="00CA6AD5">
        <w:rPr>
          <w:lang w:val="fr-CA"/>
        </w:rPr>
        <w:lastRenderedPageBreak/>
        <w:t>R.C.S</w:t>
      </w:r>
      <w:r w:rsidR="00CA6AD5" w:rsidRPr="00CA6AD5">
        <w:rPr>
          <w:lang w:val="fr-CA"/>
        </w:rPr>
        <w:t>. 108;</w:t>
      </w:r>
      <w:r w:rsidR="00D11664" w:rsidRPr="00D11664">
        <w:rPr>
          <w:i/>
          <w:lang w:val="fr-CA"/>
        </w:rPr>
        <w:t xml:space="preserve"> Agraira</w:t>
      </w:r>
      <w:r w:rsidR="00D11664">
        <w:rPr>
          <w:i/>
          <w:lang w:val="fr-CA"/>
        </w:rPr>
        <w:t xml:space="preserve"> c</w:t>
      </w:r>
      <w:r w:rsidR="00D11664" w:rsidRPr="00D11664">
        <w:rPr>
          <w:i/>
          <w:lang w:val="fr-CA"/>
        </w:rPr>
        <w:t>. Canada (</w:t>
      </w:r>
      <w:r w:rsidR="00D11664">
        <w:rPr>
          <w:i/>
          <w:lang w:val="fr-CA"/>
        </w:rPr>
        <w:t>Sécurité publique et Protection civile</w:t>
      </w:r>
      <w:r w:rsidR="00D11664" w:rsidRPr="00D11664">
        <w:rPr>
          <w:i/>
          <w:lang w:val="fr-CA"/>
        </w:rPr>
        <w:t>)</w:t>
      </w:r>
      <w:r w:rsidR="00D11664">
        <w:rPr>
          <w:lang w:val="fr-CA"/>
        </w:rPr>
        <w:t xml:space="preserve">, 2013 </w:t>
      </w:r>
      <w:r w:rsidR="00D11664" w:rsidRPr="00D11664">
        <w:rPr>
          <w:lang w:val="fr-CA"/>
        </w:rPr>
        <w:t>C</w:t>
      </w:r>
      <w:r w:rsidR="00D11664">
        <w:rPr>
          <w:lang w:val="fr-CA"/>
        </w:rPr>
        <w:t>SC 36, [2013] 2 R.C.S</w:t>
      </w:r>
      <w:r w:rsidR="00D11664" w:rsidRPr="00D11664">
        <w:rPr>
          <w:lang w:val="fr-CA"/>
        </w:rPr>
        <w:t>. 559;</w:t>
      </w:r>
      <w:r w:rsidR="009C75CF" w:rsidRPr="009C75CF">
        <w:rPr>
          <w:i/>
          <w:lang w:val="fr-CA"/>
        </w:rPr>
        <w:t xml:space="preserve"> L</w:t>
      </w:r>
      <w:r w:rsidR="009C75CF">
        <w:rPr>
          <w:i/>
          <w:lang w:val="fr-CA"/>
        </w:rPr>
        <w:t>aw Society of British Columbia c</w:t>
      </w:r>
      <w:r w:rsidR="009C75CF" w:rsidRPr="009C75CF">
        <w:rPr>
          <w:i/>
          <w:lang w:val="fr-CA"/>
        </w:rPr>
        <w:t>. Trinity Western University</w:t>
      </w:r>
      <w:r w:rsidR="009C75CF">
        <w:rPr>
          <w:lang w:val="fr-CA"/>
        </w:rPr>
        <w:t xml:space="preserve">, 2018 </w:t>
      </w:r>
      <w:r w:rsidR="009C75CF" w:rsidRPr="009C75CF">
        <w:rPr>
          <w:lang w:val="fr-CA"/>
        </w:rPr>
        <w:t>C</w:t>
      </w:r>
      <w:r w:rsidR="009C75CF">
        <w:rPr>
          <w:lang w:val="fr-CA"/>
        </w:rPr>
        <w:t>SC 32, [2018] 2 R.C.S</w:t>
      </w:r>
      <w:r w:rsidR="009C75CF" w:rsidRPr="009C75CF">
        <w:rPr>
          <w:lang w:val="fr-CA"/>
        </w:rPr>
        <w:t>. 293;</w:t>
      </w:r>
      <w:r w:rsidR="00D7572E">
        <w:rPr>
          <w:lang w:val="fr-CA"/>
        </w:rPr>
        <w:t xml:space="preserve"> </w:t>
      </w:r>
      <w:r w:rsidR="00D7572E">
        <w:rPr>
          <w:i/>
          <w:lang w:val="fr-CA"/>
        </w:rPr>
        <w:t>Brossard (Ville) c. Québec (Commission des droits de la personne)</w:t>
      </w:r>
      <w:r w:rsidR="0005246C">
        <w:rPr>
          <w:lang w:val="fr-CA"/>
        </w:rPr>
        <w:t>,</w:t>
      </w:r>
      <w:r w:rsidR="00D7572E">
        <w:rPr>
          <w:lang w:val="fr-CA"/>
        </w:rPr>
        <w:t xml:space="preserve"> [1988] 2 R.C.S</w:t>
      </w:r>
      <w:r w:rsidR="00D7572E" w:rsidRPr="00D7572E">
        <w:rPr>
          <w:lang w:val="fr-CA"/>
        </w:rPr>
        <w:t>. 279;</w:t>
      </w:r>
      <w:r w:rsidR="00545E93">
        <w:rPr>
          <w:lang w:val="fr-CA"/>
        </w:rPr>
        <w:t xml:space="preserve"> </w:t>
      </w:r>
      <w:r w:rsidR="00545E93">
        <w:rPr>
          <w:i/>
          <w:lang w:val="fr-CA"/>
        </w:rPr>
        <w:t>Medovarski c. Canada (Ministre de la Citoyenneté et de l</w:t>
      </w:r>
      <w:r w:rsidR="00356C64">
        <w:rPr>
          <w:i/>
          <w:lang w:val="fr-CA"/>
        </w:rPr>
        <w:t>’</w:t>
      </w:r>
      <w:r w:rsidR="00545E93">
        <w:rPr>
          <w:i/>
          <w:lang w:val="fr-CA"/>
        </w:rPr>
        <w:t>Immigration)</w:t>
      </w:r>
      <w:r w:rsidR="00545E93">
        <w:rPr>
          <w:lang w:val="fr-CA"/>
        </w:rPr>
        <w:t>, 2005 CSC 51, [2005] 2 R.C.S</w:t>
      </w:r>
      <w:r w:rsidR="00545E93" w:rsidRPr="00545E93">
        <w:rPr>
          <w:lang w:val="fr-CA"/>
        </w:rPr>
        <w:t>. 539;</w:t>
      </w:r>
      <w:r w:rsidR="00981EC3" w:rsidRPr="00981EC3">
        <w:rPr>
          <w:i/>
          <w:lang w:val="fr-CA"/>
        </w:rPr>
        <w:t xml:space="preserve"> </w:t>
      </w:r>
      <w:r w:rsidR="00981EC3">
        <w:rPr>
          <w:i/>
          <w:lang w:val="fr-CA"/>
        </w:rPr>
        <w:t>Greco c</w:t>
      </w:r>
      <w:r w:rsidR="00981EC3" w:rsidRPr="00981EC3">
        <w:rPr>
          <w:i/>
          <w:lang w:val="fr-CA"/>
        </w:rPr>
        <w:t>. Holy See (State of the Vatican City)</w:t>
      </w:r>
      <w:r w:rsidR="00981EC3" w:rsidRPr="00981EC3">
        <w:rPr>
          <w:lang w:val="fr-CA"/>
        </w:rPr>
        <w:t>, [1999] O.J. No. 2467 (QL);</w:t>
      </w:r>
      <w:r w:rsidR="003B04CF" w:rsidRPr="003B04CF">
        <w:rPr>
          <w:i/>
          <w:lang w:val="fr-CA"/>
        </w:rPr>
        <w:t xml:space="preserve"> R. </w:t>
      </w:r>
      <w:r w:rsidR="003B04CF">
        <w:rPr>
          <w:i/>
          <w:lang w:val="fr-CA"/>
        </w:rPr>
        <w:t>c</w:t>
      </w:r>
      <w:r w:rsidR="003B04CF" w:rsidRPr="003B04CF">
        <w:rPr>
          <w:i/>
          <w:lang w:val="fr-CA"/>
        </w:rPr>
        <w:t>. Bonadie</w:t>
      </w:r>
      <w:r w:rsidR="003B04CF" w:rsidRPr="003B04CF">
        <w:rPr>
          <w:lang w:val="fr-CA"/>
        </w:rPr>
        <w:t xml:space="preserve"> (1996), 109 C.C.C. (3d) 356;</w:t>
      </w:r>
      <w:r w:rsidR="00436794">
        <w:rPr>
          <w:lang w:val="fr-CA"/>
        </w:rPr>
        <w:t xml:space="preserve"> </w:t>
      </w:r>
      <w:r w:rsidR="00436794">
        <w:rPr>
          <w:i/>
          <w:lang w:val="fr-CA"/>
        </w:rPr>
        <w:t xml:space="preserve">Al-Ghamdi c. </w:t>
      </w:r>
      <w:r w:rsidR="00733B7F">
        <w:rPr>
          <w:i/>
          <w:lang w:val="fr-CA"/>
        </w:rPr>
        <w:t xml:space="preserve">Canada (Affaires étrangères et </w:t>
      </w:r>
      <w:r w:rsidR="00436794">
        <w:rPr>
          <w:i/>
          <w:lang w:val="fr-CA"/>
        </w:rPr>
        <w:t>Commerce international</w:t>
      </w:r>
      <w:r w:rsidR="00733B7F">
        <w:rPr>
          <w:i/>
          <w:lang w:val="fr-CA"/>
        </w:rPr>
        <w:t xml:space="preserve"> Canada)</w:t>
      </w:r>
      <w:r w:rsidR="00936461">
        <w:rPr>
          <w:lang w:val="fr-CA"/>
        </w:rPr>
        <w:t>, 2007 CF 559.</w:t>
      </w:r>
    </w:p>
    <w:p w14:paraId="53C99D20" w14:textId="77777777" w:rsidR="004D7D95" w:rsidRPr="0040376C" w:rsidRDefault="004D7D95" w:rsidP="00067295">
      <w:pPr>
        <w:pStyle w:val="SCCNormalDoubleSpacing"/>
        <w:spacing w:after="720" w:line="240" w:lineRule="auto"/>
        <w:rPr>
          <w:b/>
          <w:lang w:val="fr-CA"/>
        </w:rPr>
      </w:pPr>
      <w:r w:rsidRPr="0040376C">
        <w:rPr>
          <w:b/>
          <w:lang w:val="fr-CA"/>
        </w:rPr>
        <w:t>Lois et règlements cités</w:t>
      </w:r>
    </w:p>
    <w:p w14:paraId="789DB20F" w14:textId="77777777" w:rsidR="00E80457" w:rsidRDefault="00E80457" w:rsidP="00067295">
      <w:pPr>
        <w:pStyle w:val="SCCNormalDoubleSpacing"/>
        <w:spacing w:after="240" w:line="240" w:lineRule="auto"/>
        <w:ind w:left="539" w:hanging="539"/>
        <w:rPr>
          <w:noProof/>
          <w:lang w:val="fr-CA" w:bidi="en-US"/>
        </w:rPr>
      </w:pPr>
      <w:r w:rsidRPr="00F44DB3">
        <w:rPr>
          <w:i/>
          <w:iCs/>
          <w:lang w:val="fr-CA"/>
        </w:rPr>
        <w:t>Administrative</w:t>
      </w:r>
      <w:r w:rsidRPr="0040376C">
        <w:rPr>
          <w:i/>
          <w:noProof/>
          <w:lang w:val="fr-CA" w:bidi="en-US"/>
        </w:rPr>
        <w:t xml:space="preserve"> Tribunals Act</w:t>
      </w:r>
      <w:r w:rsidRPr="0040376C">
        <w:rPr>
          <w:noProof/>
          <w:lang w:val="fr-CA" w:bidi="en-US"/>
        </w:rPr>
        <w:t>, S.B.C. 2004, c. 45, art. 58, 59.</w:t>
      </w:r>
    </w:p>
    <w:p w14:paraId="54C4D6B2" w14:textId="1DE5D523" w:rsidR="00913287" w:rsidRPr="00913287" w:rsidRDefault="00913287" w:rsidP="00067295">
      <w:pPr>
        <w:pStyle w:val="SCCNormalDoubleSpacing"/>
        <w:spacing w:after="240" w:line="240" w:lineRule="auto"/>
        <w:ind w:left="539" w:hanging="539"/>
        <w:rPr>
          <w:noProof/>
          <w:lang w:val="fr-CA"/>
        </w:rPr>
      </w:pPr>
      <w:r>
        <w:rPr>
          <w:i/>
          <w:iCs/>
          <w:lang w:val="fr-CA"/>
        </w:rPr>
        <w:t>Charte canadienne des droits et libertés</w:t>
      </w:r>
      <w:r w:rsidR="002767DB">
        <w:rPr>
          <w:iCs/>
          <w:lang w:val="fr-CA"/>
        </w:rPr>
        <w:t>, art. </w:t>
      </w:r>
      <w:r>
        <w:rPr>
          <w:iCs/>
          <w:lang w:val="fr-CA"/>
        </w:rPr>
        <w:t>1.</w:t>
      </w:r>
    </w:p>
    <w:p w14:paraId="1E6D3E36" w14:textId="77777777" w:rsidR="00E80457" w:rsidRPr="00CB29EE" w:rsidRDefault="00E80457" w:rsidP="00067295">
      <w:pPr>
        <w:pStyle w:val="SCCNormalDoubleSpacing"/>
        <w:spacing w:after="240" w:line="240" w:lineRule="auto"/>
        <w:ind w:left="539" w:hanging="539"/>
        <w:rPr>
          <w:i/>
          <w:noProof/>
          <w:lang w:val="en-US"/>
        </w:rPr>
      </w:pPr>
      <w:r w:rsidRPr="00067295">
        <w:rPr>
          <w:i/>
          <w:iCs/>
          <w:lang w:val="en-US"/>
        </w:rPr>
        <w:t>Human</w:t>
      </w:r>
      <w:r w:rsidRPr="00CB29EE">
        <w:rPr>
          <w:i/>
          <w:noProof/>
          <w:lang w:val="en-US" w:bidi="en-US"/>
        </w:rPr>
        <w:t xml:space="preserve"> Rights Code</w:t>
      </w:r>
      <w:r w:rsidR="00CC596B">
        <w:rPr>
          <w:noProof/>
          <w:lang w:val="en-US" w:bidi="en-US"/>
        </w:rPr>
        <w:t>, R.S.B.C. 1996, c. </w:t>
      </w:r>
      <w:r w:rsidRPr="00CB29EE">
        <w:rPr>
          <w:noProof/>
          <w:lang w:val="en-US" w:bidi="en-US"/>
        </w:rPr>
        <w:t>210, art. 32.</w:t>
      </w:r>
    </w:p>
    <w:p w14:paraId="4D17F12F" w14:textId="3B2FF080" w:rsidR="00A80E1A" w:rsidRPr="00A80E1A" w:rsidRDefault="00A80E1A" w:rsidP="00067295">
      <w:pPr>
        <w:pStyle w:val="SCCNormalDoubleSpacing"/>
        <w:spacing w:after="240" w:line="240" w:lineRule="auto"/>
        <w:ind w:left="539" w:hanging="539"/>
        <w:rPr>
          <w:noProof/>
          <w:lang w:val="fr-CA"/>
        </w:rPr>
      </w:pPr>
      <w:r>
        <w:rPr>
          <w:i/>
          <w:noProof/>
          <w:lang w:val="fr-CA"/>
        </w:rPr>
        <w:t>Loi constitutionnelle de 1867</w:t>
      </w:r>
      <w:r w:rsidR="004953E7">
        <w:rPr>
          <w:noProof/>
          <w:lang w:val="fr-CA"/>
        </w:rPr>
        <w:t>, art. </w:t>
      </w:r>
      <w:r>
        <w:rPr>
          <w:noProof/>
          <w:lang w:val="fr-CA"/>
        </w:rPr>
        <w:t>96.</w:t>
      </w:r>
    </w:p>
    <w:p w14:paraId="6203D703" w14:textId="238C759B" w:rsidR="00A80E1A" w:rsidRPr="00A80E1A" w:rsidRDefault="00A80E1A" w:rsidP="00A80E1A">
      <w:pPr>
        <w:pStyle w:val="SCCNormalDoubleSpacing"/>
        <w:spacing w:after="240" w:line="240" w:lineRule="auto"/>
        <w:ind w:left="539" w:hanging="539"/>
        <w:rPr>
          <w:noProof/>
          <w:lang w:val="fr-CA"/>
        </w:rPr>
      </w:pPr>
      <w:r>
        <w:rPr>
          <w:i/>
          <w:noProof/>
          <w:lang w:val="fr-CA"/>
        </w:rPr>
        <w:t>Loi constitutionnelle de 1982</w:t>
      </w:r>
      <w:r w:rsidRPr="00A80E1A">
        <w:rPr>
          <w:noProof/>
          <w:lang w:val="fr-CA"/>
        </w:rPr>
        <w:t>,</w:t>
      </w:r>
      <w:r w:rsidR="004953E7">
        <w:rPr>
          <w:noProof/>
          <w:lang w:val="fr-CA"/>
        </w:rPr>
        <w:t xml:space="preserve"> art. </w:t>
      </w:r>
      <w:r>
        <w:rPr>
          <w:noProof/>
          <w:lang w:val="fr-CA"/>
        </w:rPr>
        <w:t>35.</w:t>
      </w:r>
    </w:p>
    <w:p w14:paraId="5FF86566" w14:textId="77777777" w:rsidR="00E80457" w:rsidRPr="0040376C" w:rsidRDefault="00E80457" w:rsidP="00067295">
      <w:pPr>
        <w:pStyle w:val="SCCNormalDoubleSpacing"/>
        <w:spacing w:after="240" w:line="240" w:lineRule="auto"/>
        <w:ind w:left="539" w:hanging="539"/>
        <w:rPr>
          <w:i/>
          <w:noProof/>
          <w:lang w:val="fr-CA"/>
        </w:rPr>
      </w:pPr>
      <w:r w:rsidRPr="0040376C">
        <w:rPr>
          <w:i/>
          <w:noProof/>
          <w:lang w:val="fr-CA"/>
        </w:rPr>
        <w:t xml:space="preserve">Loi </w:t>
      </w:r>
      <w:r w:rsidRPr="00CC596B">
        <w:rPr>
          <w:i/>
          <w:iCs/>
          <w:lang w:val="fr-CA"/>
        </w:rPr>
        <w:t>d</w:t>
      </w:r>
      <w:r w:rsidR="00356C64">
        <w:rPr>
          <w:i/>
          <w:iCs/>
          <w:lang w:val="fr-CA"/>
        </w:rPr>
        <w:t>’</w:t>
      </w:r>
      <w:r w:rsidRPr="00CC596B">
        <w:rPr>
          <w:i/>
          <w:iCs/>
          <w:lang w:val="fr-CA"/>
        </w:rPr>
        <w:t>interprétation</w:t>
      </w:r>
      <w:r w:rsidRPr="0040376C">
        <w:rPr>
          <w:noProof/>
          <w:szCs w:val="24"/>
          <w:shd w:val="clear" w:color="auto" w:fill="FFFFFF"/>
          <w:lang w:val="fr-CA"/>
        </w:rPr>
        <w:t>, L.R.C. 1985, c. I</w:t>
      </w:r>
      <w:r w:rsidRPr="0040376C">
        <w:rPr>
          <w:noProof/>
          <w:szCs w:val="24"/>
          <w:shd w:val="clear" w:color="auto" w:fill="FFFFFF"/>
          <w:lang w:val="fr-CA"/>
        </w:rPr>
        <w:noBreakHyphen/>
        <w:t>2</w:t>
      </w:r>
      <w:r w:rsidR="00B22E26" w:rsidRPr="0040376C">
        <w:rPr>
          <w:noProof/>
          <w:szCs w:val="24"/>
          <w:shd w:val="clear" w:color="auto" w:fill="FFFFFF"/>
          <w:lang w:val="fr-CA"/>
        </w:rPr>
        <w:t>1</w:t>
      </w:r>
      <w:r w:rsidRPr="0040376C">
        <w:rPr>
          <w:noProof/>
          <w:szCs w:val="24"/>
          <w:shd w:val="clear" w:color="auto" w:fill="FFFFFF"/>
          <w:lang w:val="fr-CA"/>
        </w:rPr>
        <w:t xml:space="preserve">, </w:t>
      </w:r>
      <w:r w:rsidR="00CC596B">
        <w:rPr>
          <w:noProof/>
          <w:szCs w:val="24"/>
          <w:shd w:val="clear" w:color="auto" w:fill="FFFFFF"/>
          <w:lang w:val="fr-CA"/>
        </w:rPr>
        <w:t>art. </w:t>
      </w:r>
      <w:r w:rsidRPr="0040376C">
        <w:rPr>
          <w:noProof/>
          <w:szCs w:val="24"/>
          <w:shd w:val="clear" w:color="auto" w:fill="FFFFFF"/>
          <w:lang w:val="fr-CA"/>
        </w:rPr>
        <w:t>35(1).</w:t>
      </w:r>
    </w:p>
    <w:p w14:paraId="5756D458" w14:textId="77777777" w:rsidR="00E80457" w:rsidRPr="0040376C" w:rsidRDefault="00E80457" w:rsidP="00067295">
      <w:pPr>
        <w:pStyle w:val="SCCNormalDoubleSpacing"/>
        <w:spacing w:after="240" w:line="240" w:lineRule="auto"/>
        <w:ind w:left="539" w:hanging="539"/>
        <w:rPr>
          <w:i/>
          <w:noProof/>
          <w:lang w:val="fr-CA"/>
        </w:rPr>
      </w:pPr>
      <w:r w:rsidRPr="0040376C">
        <w:rPr>
          <w:i/>
          <w:noProof/>
          <w:lang w:val="fr-CA"/>
        </w:rPr>
        <w:t xml:space="preserve">Loi </w:t>
      </w:r>
      <w:r w:rsidRPr="00CC596B">
        <w:rPr>
          <w:i/>
          <w:iCs/>
          <w:lang w:val="fr-CA"/>
        </w:rPr>
        <w:t>sur</w:t>
      </w:r>
      <w:r w:rsidRPr="0040376C">
        <w:rPr>
          <w:i/>
          <w:noProof/>
          <w:lang w:val="fr-CA"/>
        </w:rPr>
        <w:t xml:space="preserve"> l</w:t>
      </w:r>
      <w:r w:rsidR="00356C64">
        <w:rPr>
          <w:i/>
          <w:noProof/>
          <w:lang w:val="fr-CA"/>
        </w:rPr>
        <w:t>’</w:t>
      </w:r>
      <w:r w:rsidRPr="0040376C">
        <w:rPr>
          <w:i/>
          <w:noProof/>
          <w:lang w:val="fr-CA"/>
        </w:rPr>
        <w:t>immigration et la protection des réfugiés</w:t>
      </w:r>
      <w:r w:rsidR="00CC596B">
        <w:rPr>
          <w:noProof/>
          <w:lang w:val="fr-CA"/>
        </w:rPr>
        <w:t>, L.C. 2001, c. </w:t>
      </w:r>
      <w:r w:rsidRPr="0040376C">
        <w:rPr>
          <w:noProof/>
          <w:lang w:val="fr-CA"/>
        </w:rPr>
        <w:t>27,</w:t>
      </w:r>
      <w:r w:rsidRPr="0040376C">
        <w:rPr>
          <w:noProof/>
          <w:sz w:val="23"/>
          <w:szCs w:val="23"/>
          <w:lang w:val="fr-CA"/>
        </w:rPr>
        <w:t xml:space="preserve"> </w:t>
      </w:r>
      <w:r w:rsidRPr="0040376C">
        <w:rPr>
          <w:noProof/>
          <w:lang w:val="fr-CA"/>
        </w:rPr>
        <w:t>art. 35 à 37.</w:t>
      </w:r>
    </w:p>
    <w:p w14:paraId="391D0917" w14:textId="77777777" w:rsidR="00E80457" w:rsidRPr="0040376C" w:rsidRDefault="00E80457" w:rsidP="00067295">
      <w:pPr>
        <w:pStyle w:val="SCCNormalDoubleSpacing"/>
        <w:spacing w:after="240" w:line="240" w:lineRule="auto"/>
        <w:ind w:left="539" w:hanging="539"/>
        <w:rPr>
          <w:lang w:val="fr-CA"/>
        </w:rPr>
      </w:pPr>
      <w:r w:rsidRPr="0040376C">
        <w:rPr>
          <w:i/>
          <w:noProof/>
          <w:lang w:val="fr-CA"/>
        </w:rPr>
        <w:t xml:space="preserve">Loi </w:t>
      </w:r>
      <w:r w:rsidRPr="00CC596B">
        <w:rPr>
          <w:i/>
          <w:iCs/>
          <w:lang w:val="fr-CA"/>
        </w:rPr>
        <w:t>sur</w:t>
      </w:r>
      <w:r w:rsidRPr="0040376C">
        <w:rPr>
          <w:i/>
          <w:noProof/>
          <w:lang w:val="fr-CA"/>
        </w:rPr>
        <w:t xml:space="preserve"> la citoyenneté</w:t>
      </w:r>
      <w:r w:rsidRPr="0040376C">
        <w:rPr>
          <w:noProof/>
          <w:lang w:val="fr-CA"/>
        </w:rPr>
        <w:t>,</w:t>
      </w:r>
      <w:r w:rsidRPr="0040376C">
        <w:rPr>
          <w:i/>
          <w:noProof/>
          <w:lang w:val="fr-CA"/>
        </w:rPr>
        <w:t xml:space="preserve"> </w:t>
      </w:r>
      <w:r w:rsidRPr="0040376C">
        <w:rPr>
          <w:noProof/>
          <w:lang w:val="fr-CA"/>
        </w:rPr>
        <w:t>L.R.C. 1985, c. C</w:t>
      </w:r>
      <w:r w:rsidRPr="0040376C">
        <w:rPr>
          <w:noProof/>
          <w:lang w:val="fr-CA"/>
        </w:rPr>
        <w:noBreakHyphen/>
        <w:t>29</w:t>
      </w:r>
      <w:r w:rsidR="00CC596B">
        <w:rPr>
          <w:lang w:val="fr-CA"/>
        </w:rPr>
        <w:t>, art. </w:t>
      </w:r>
      <w:r w:rsidRPr="0040376C">
        <w:rPr>
          <w:lang w:val="fr-CA"/>
        </w:rPr>
        <w:t>3, 10, 22.1 à 22.4.</w:t>
      </w:r>
    </w:p>
    <w:p w14:paraId="29F27805" w14:textId="2F50F86B" w:rsidR="00E80457" w:rsidRPr="0040376C" w:rsidRDefault="00E80457" w:rsidP="00067295">
      <w:pPr>
        <w:pStyle w:val="SCCNormalDoubleSpacing"/>
        <w:spacing w:after="240" w:line="240" w:lineRule="auto"/>
        <w:ind w:left="539" w:hanging="539"/>
        <w:rPr>
          <w:i/>
          <w:noProof/>
          <w:lang w:val="fr-CA" w:bidi="en-US"/>
        </w:rPr>
      </w:pPr>
      <w:r w:rsidRPr="0040376C">
        <w:rPr>
          <w:i/>
          <w:noProof/>
          <w:lang w:val="fr-CA" w:bidi="en-US"/>
        </w:rPr>
        <w:t xml:space="preserve">Loi </w:t>
      </w:r>
      <w:r w:rsidRPr="00CC596B">
        <w:rPr>
          <w:i/>
          <w:iCs/>
          <w:lang w:val="fr-CA"/>
        </w:rPr>
        <w:t>sur</w:t>
      </w:r>
      <w:r w:rsidRPr="0040376C">
        <w:rPr>
          <w:i/>
          <w:noProof/>
          <w:lang w:val="fr-CA" w:bidi="en-US"/>
        </w:rPr>
        <w:t xml:space="preserve"> la citoyenneté canadienne</w:t>
      </w:r>
      <w:r w:rsidR="00CC596B">
        <w:rPr>
          <w:noProof/>
          <w:lang w:val="fr-CA" w:bidi="en-US"/>
        </w:rPr>
        <w:t>, S.R.C.</w:t>
      </w:r>
      <w:r w:rsidR="000E51C1">
        <w:rPr>
          <w:noProof/>
          <w:lang w:val="fr-CA" w:bidi="en-US"/>
        </w:rPr>
        <w:t xml:space="preserve"> 1970</w:t>
      </w:r>
      <w:r w:rsidR="002767DB">
        <w:rPr>
          <w:noProof/>
          <w:lang w:val="fr-CA" w:bidi="en-US"/>
        </w:rPr>
        <w:t>, c. C</w:t>
      </w:r>
      <w:r w:rsidR="002767DB">
        <w:rPr>
          <w:noProof/>
          <w:lang w:val="fr-CA" w:bidi="en-US"/>
        </w:rPr>
        <w:noBreakHyphen/>
      </w:r>
      <w:r w:rsidR="00CC596B">
        <w:rPr>
          <w:noProof/>
          <w:lang w:val="fr-CA" w:bidi="en-US"/>
        </w:rPr>
        <w:t>19, art. </w:t>
      </w:r>
      <w:r w:rsidRPr="0040376C">
        <w:rPr>
          <w:noProof/>
          <w:lang w:val="fr-CA" w:bidi="en-US"/>
        </w:rPr>
        <w:t>5(3).</w:t>
      </w:r>
    </w:p>
    <w:p w14:paraId="55F3284A" w14:textId="77777777" w:rsidR="00E80457" w:rsidRPr="0040376C" w:rsidRDefault="00E80457" w:rsidP="00067295">
      <w:pPr>
        <w:pStyle w:val="SCCNormalDoubleSpacing"/>
        <w:spacing w:after="240" w:line="240" w:lineRule="auto"/>
        <w:ind w:left="539" w:hanging="539"/>
        <w:rPr>
          <w:lang w:val="fr-CA"/>
        </w:rPr>
      </w:pPr>
      <w:r w:rsidRPr="0040376C">
        <w:rPr>
          <w:i/>
          <w:noProof/>
          <w:lang w:val="fr-CA" w:bidi="en-US"/>
        </w:rPr>
        <w:t xml:space="preserve">Loi </w:t>
      </w:r>
      <w:r w:rsidRPr="00F44DB3">
        <w:rPr>
          <w:i/>
          <w:iCs/>
          <w:lang w:val="fr-CA"/>
        </w:rPr>
        <w:t>sur</w:t>
      </w:r>
      <w:r w:rsidRPr="0040376C">
        <w:rPr>
          <w:i/>
          <w:noProof/>
          <w:lang w:val="fr-CA" w:bidi="en-US"/>
        </w:rPr>
        <w:t xml:space="preserve"> les Cours fédérales</w:t>
      </w:r>
      <w:r w:rsidRPr="0040376C">
        <w:rPr>
          <w:noProof/>
          <w:lang w:val="fr-CA" w:bidi="en-US"/>
        </w:rPr>
        <w:t>, L.R.C. 1985, c. F</w:t>
      </w:r>
      <w:r w:rsidRPr="0040376C">
        <w:rPr>
          <w:noProof/>
          <w:lang w:val="fr-CA" w:bidi="en-US"/>
        </w:rPr>
        <w:noBreakHyphen/>
        <w:t xml:space="preserve">7, art. 18 à 18.2, 18.4, </w:t>
      </w:r>
      <w:r w:rsidR="000E51C1">
        <w:rPr>
          <w:noProof/>
          <w:lang w:val="fr-CA" w:bidi="en-US"/>
        </w:rPr>
        <w:t xml:space="preserve">27, </w:t>
      </w:r>
      <w:r w:rsidRPr="0040376C">
        <w:rPr>
          <w:noProof/>
          <w:lang w:val="fr-CA" w:bidi="en-US"/>
        </w:rPr>
        <w:t>28.</w:t>
      </w:r>
    </w:p>
    <w:p w14:paraId="6C5D7BDE" w14:textId="33E86946" w:rsidR="00E80457" w:rsidRPr="00C1218B" w:rsidRDefault="00E80457" w:rsidP="00067295">
      <w:pPr>
        <w:pStyle w:val="SCCNormalDoubleSpacing"/>
        <w:spacing w:after="240" w:line="240" w:lineRule="auto"/>
        <w:ind w:left="539" w:hanging="539"/>
        <w:rPr>
          <w:noProof/>
          <w:lang w:val="fr-CA"/>
        </w:rPr>
      </w:pPr>
      <w:r w:rsidRPr="00CC596B">
        <w:rPr>
          <w:i/>
          <w:iCs/>
          <w:lang w:val="fr-CA"/>
        </w:rPr>
        <w:t>Loi</w:t>
      </w:r>
      <w:r w:rsidRPr="0040376C">
        <w:rPr>
          <w:i/>
          <w:noProof/>
          <w:lang w:val="fr-CA"/>
        </w:rPr>
        <w:t xml:space="preserve"> sur les missions étrangères et les organisations internationales</w:t>
      </w:r>
      <w:r w:rsidRPr="0040376C">
        <w:rPr>
          <w:noProof/>
          <w:lang w:val="fr-CA"/>
        </w:rPr>
        <w:t xml:space="preserve">, L.C. 1991, c. 41, </w:t>
      </w:r>
      <w:r w:rsidR="00CC596B" w:rsidRPr="00000C4F">
        <w:rPr>
          <w:noProof/>
          <w:lang w:val="fr-CA"/>
        </w:rPr>
        <w:t>art. </w:t>
      </w:r>
      <w:r w:rsidR="00000C4F" w:rsidRPr="00000C4F">
        <w:rPr>
          <w:noProof/>
          <w:lang w:val="fr-CA"/>
        </w:rPr>
        <w:t>3</w:t>
      </w:r>
      <w:r w:rsidRPr="00000C4F">
        <w:rPr>
          <w:noProof/>
          <w:lang w:val="fr-CA"/>
        </w:rPr>
        <w:t>,</w:t>
      </w:r>
      <w:r w:rsidR="00000C4F" w:rsidRPr="00000C4F">
        <w:rPr>
          <w:noProof/>
          <w:lang w:val="fr-CA"/>
        </w:rPr>
        <w:t xml:space="preserve"> 4,</w:t>
      </w:r>
      <w:r w:rsidRPr="00000C4F">
        <w:rPr>
          <w:noProof/>
          <w:lang w:val="fr-CA"/>
        </w:rPr>
        <w:t xml:space="preserve"> ann. </w:t>
      </w:r>
      <w:r w:rsidR="00000C4F" w:rsidRPr="00000C4F">
        <w:rPr>
          <w:noProof/>
          <w:lang w:val="fr-CA"/>
        </w:rPr>
        <w:t xml:space="preserve">I, </w:t>
      </w:r>
      <w:r w:rsidR="002767DB">
        <w:rPr>
          <w:noProof/>
          <w:lang w:val="fr-CA"/>
        </w:rPr>
        <w:t>II, art. </w:t>
      </w:r>
      <w:r w:rsidRPr="00000C4F">
        <w:rPr>
          <w:noProof/>
          <w:lang w:val="fr-CA"/>
        </w:rPr>
        <w:t xml:space="preserve">1, </w:t>
      </w:r>
      <w:r w:rsidR="00000C4F" w:rsidRPr="00000C4F">
        <w:rPr>
          <w:noProof/>
          <w:lang w:val="fr-CA"/>
        </w:rPr>
        <w:t xml:space="preserve">41, </w:t>
      </w:r>
      <w:r w:rsidRPr="00000C4F">
        <w:rPr>
          <w:noProof/>
          <w:lang w:val="fr-CA"/>
        </w:rPr>
        <w:t>43, 49, 53.</w:t>
      </w:r>
    </w:p>
    <w:p w14:paraId="5965DD72" w14:textId="77777777" w:rsidR="00BE4727" w:rsidRPr="00BE4727" w:rsidRDefault="00BE4727" w:rsidP="00067295">
      <w:pPr>
        <w:pStyle w:val="SCCNormalDoubleSpacing"/>
        <w:spacing w:after="240" w:line="240" w:lineRule="auto"/>
        <w:ind w:left="539" w:hanging="539"/>
        <w:rPr>
          <w:noProof/>
          <w:lang w:val="fr-CA"/>
        </w:rPr>
      </w:pPr>
      <w:r w:rsidRPr="007A7228">
        <w:rPr>
          <w:i/>
          <w:iCs/>
          <w:lang w:val="fr-CA"/>
        </w:rPr>
        <w:t>Loi</w:t>
      </w:r>
      <w:r>
        <w:rPr>
          <w:i/>
          <w:noProof/>
          <w:lang w:val="fr-CA"/>
        </w:rPr>
        <w:t xml:space="preserve"> visant principalement à favoriser l</w:t>
      </w:r>
      <w:r w:rsidR="00356C64">
        <w:rPr>
          <w:i/>
          <w:noProof/>
          <w:lang w:val="fr-CA"/>
        </w:rPr>
        <w:t>’</w:t>
      </w:r>
      <w:r>
        <w:rPr>
          <w:i/>
          <w:noProof/>
          <w:lang w:val="fr-CA"/>
        </w:rPr>
        <w:t xml:space="preserve">efficacité de la justice pénale et à établir les </w:t>
      </w:r>
      <w:r w:rsidRPr="00F35A7F">
        <w:rPr>
          <w:i/>
          <w:noProof/>
          <w:lang w:val="fr-CA"/>
        </w:rPr>
        <w:t>modalités d</w:t>
      </w:r>
      <w:r w:rsidR="00356C64">
        <w:rPr>
          <w:i/>
          <w:noProof/>
          <w:lang w:val="fr-CA"/>
        </w:rPr>
        <w:t>’</w:t>
      </w:r>
      <w:r w:rsidRPr="00F35A7F">
        <w:rPr>
          <w:i/>
          <w:noProof/>
          <w:lang w:val="fr-CA"/>
        </w:rPr>
        <w:t>intervention de la Cour du Québec dans un pourvoi en appel</w:t>
      </w:r>
      <w:r w:rsidRPr="00F35A7F">
        <w:rPr>
          <w:noProof/>
          <w:lang w:val="fr-CA"/>
        </w:rPr>
        <w:t>, projet de loi 32,</w:t>
      </w:r>
      <w:r>
        <w:rPr>
          <w:noProof/>
          <w:lang w:val="fr-CA"/>
        </w:rPr>
        <w:t xml:space="preserve"> 1</w:t>
      </w:r>
      <w:r w:rsidRPr="00BE4727">
        <w:rPr>
          <w:noProof/>
          <w:vertAlign w:val="superscript"/>
          <w:lang w:val="fr-CA"/>
        </w:rPr>
        <w:t>re</w:t>
      </w:r>
      <w:r>
        <w:rPr>
          <w:noProof/>
          <w:lang w:val="fr-CA"/>
        </w:rPr>
        <w:t xml:space="preserve"> sess., 42</w:t>
      </w:r>
      <w:r w:rsidRPr="00BE4727">
        <w:rPr>
          <w:noProof/>
          <w:vertAlign w:val="superscript"/>
          <w:lang w:val="fr-CA"/>
        </w:rPr>
        <w:t>e</w:t>
      </w:r>
      <w:r>
        <w:rPr>
          <w:noProof/>
          <w:lang w:val="fr-CA"/>
        </w:rPr>
        <w:t xml:space="preserve"> lég., Québec, 2019.</w:t>
      </w:r>
    </w:p>
    <w:p w14:paraId="33ED4A89" w14:textId="14F191F8" w:rsidR="006367EA" w:rsidRPr="00CB29EE" w:rsidRDefault="006367EA" w:rsidP="00067295">
      <w:pPr>
        <w:pStyle w:val="SCCNormalDoubleSpacing"/>
        <w:spacing w:after="240" w:line="240" w:lineRule="auto"/>
        <w:ind w:left="539" w:hanging="539"/>
        <w:rPr>
          <w:rFonts w:eastAsia="Calibri"/>
          <w:szCs w:val="22"/>
          <w:lang w:val="en-US" w:eastAsia="en-US"/>
        </w:rPr>
      </w:pPr>
      <w:r w:rsidRPr="00067295">
        <w:rPr>
          <w:i/>
          <w:iCs/>
          <w:lang w:val="en-US"/>
        </w:rPr>
        <w:t>Municipal</w:t>
      </w:r>
      <w:r w:rsidRPr="00CB29EE">
        <w:rPr>
          <w:rFonts w:eastAsia="Calibri"/>
          <w:i/>
          <w:szCs w:val="22"/>
          <w:lang w:val="en-US" w:eastAsia="en-US"/>
        </w:rPr>
        <w:t xml:space="preserve"> Government Act</w:t>
      </w:r>
      <w:r w:rsidR="002767DB">
        <w:rPr>
          <w:rFonts w:eastAsia="Calibri"/>
          <w:szCs w:val="22"/>
          <w:lang w:val="en-US" w:eastAsia="en-US"/>
        </w:rPr>
        <w:t>, R.S.A. 2000, c. M</w:t>
      </w:r>
      <w:r w:rsidR="002767DB">
        <w:rPr>
          <w:rFonts w:eastAsia="Calibri"/>
          <w:szCs w:val="22"/>
          <w:lang w:val="en-US" w:eastAsia="en-US"/>
        </w:rPr>
        <w:noBreakHyphen/>
      </w:r>
      <w:r w:rsidR="00CC596B">
        <w:rPr>
          <w:rFonts w:eastAsia="Calibri"/>
          <w:szCs w:val="22"/>
          <w:lang w:val="en-US" w:eastAsia="en-US"/>
        </w:rPr>
        <w:t>26, art. </w:t>
      </w:r>
      <w:r w:rsidRPr="00CB29EE">
        <w:rPr>
          <w:rFonts w:eastAsia="Calibri"/>
          <w:szCs w:val="22"/>
          <w:lang w:val="en-US" w:eastAsia="en-US"/>
        </w:rPr>
        <w:t>470.</w:t>
      </w:r>
    </w:p>
    <w:p w14:paraId="315147BB" w14:textId="77777777" w:rsidR="006367EA" w:rsidRPr="00CB29EE" w:rsidRDefault="006367EA" w:rsidP="00067295">
      <w:pPr>
        <w:pStyle w:val="SCCNormalDoubleSpacing"/>
        <w:spacing w:after="240" w:line="240" w:lineRule="auto"/>
        <w:ind w:left="539" w:hanging="539"/>
        <w:rPr>
          <w:lang w:val="en-US"/>
        </w:rPr>
      </w:pPr>
      <w:r w:rsidRPr="00CB29EE">
        <w:rPr>
          <w:i/>
          <w:iCs/>
          <w:lang w:val="en-US"/>
        </w:rPr>
        <w:t>Ontario Human Rights Code, 1961-62</w:t>
      </w:r>
      <w:r w:rsidR="00CC596B">
        <w:rPr>
          <w:lang w:val="en-US"/>
        </w:rPr>
        <w:t>, S.O. 1961</w:t>
      </w:r>
      <w:r w:rsidR="00CC596B">
        <w:rPr>
          <w:lang w:val="en-US"/>
        </w:rPr>
        <w:noBreakHyphen/>
        <w:t>62, c. 93, art. </w:t>
      </w:r>
      <w:r w:rsidRPr="00CB29EE">
        <w:rPr>
          <w:lang w:val="en-US"/>
        </w:rPr>
        <w:t>3.</w:t>
      </w:r>
    </w:p>
    <w:p w14:paraId="1639A23C" w14:textId="5D4CC31F" w:rsidR="00E80457" w:rsidRPr="0033677C" w:rsidRDefault="00E80457" w:rsidP="0033677C">
      <w:pPr>
        <w:pStyle w:val="SCCNormalDoubleSpacing"/>
        <w:spacing w:after="720" w:line="240" w:lineRule="auto"/>
        <w:rPr>
          <w:lang w:val="fr-CA"/>
        </w:rPr>
      </w:pPr>
      <w:r w:rsidRPr="0033677C">
        <w:rPr>
          <w:i/>
          <w:lang w:val="fr-CA"/>
        </w:rPr>
        <w:lastRenderedPageBreak/>
        <w:t>Règlement sur la citoyenneté</w:t>
      </w:r>
      <w:r w:rsidR="002767DB">
        <w:rPr>
          <w:lang w:val="fr-CA"/>
        </w:rPr>
        <w:t>, DORS/93</w:t>
      </w:r>
      <w:r w:rsidR="002767DB">
        <w:rPr>
          <w:lang w:val="fr-CA"/>
        </w:rPr>
        <w:noBreakHyphen/>
      </w:r>
      <w:r w:rsidR="00CC596B" w:rsidRPr="0033677C">
        <w:rPr>
          <w:lang w:val="fr-CA"/>
        </w:rPr>
        <w:t>246, art. </w:t>
      </w:r>
      <w:r w:rsidRPr="0033677C">
        <w:rPr>
          <w:lang w:val="fr-CA"/>
        </w:rPr>
        <w:t>26.</w:t>
      </w:r>
    </w:p>
    <w:p w14:paraId="3C118E58" w14:textId="77777777" w:rsidR="00E80457" w:rsidRPr="0033677C" w:rsidRDefault="00E80457" w:rsidP="00067295">
      <w:pPr>
        <w:pStyle w:val="SCCNormalDoubleSpacing"/>
        <w:spacing w:after="720" w:line="240" w:lineRule="auto"/>
        <w:rPr>
          <w:b/>
          <w:lang w:val="fr-CA"/>
        </w:rPr>
      </w:pPr>
      <w:r w:rsidRPr="0033677C">
        <w:rPr>
          <w:b/>
          <w:lang w:val="fr-CA"/>
        </w:rPr>
        <w:t>Traités et autres instruments internationaux</w:t>
      </w:r>
    </w:p>
    <w:p w14:paraId="088EA8CE" w14:textId="77777777" w:rsidR="00E80457" w:rsidRPr="0040376C" w:rsidRDefault="00E80457" w:rsidP="00067295">
      <w:pPr>
        <w:pStyle w:val="SCCNormalDoubleSpacing"/>
        <w:spacing w:after="240" w:line="240" w:lineRule="auto"/>
        <w:ind w:left="539" w:hanging="539"/>
        <w:rPr>
          <w:lang w:val="fr-CA"/>
        </w:rPr>
      </w:pPr>
      <w:r w:rsidRPr="00F44DB3">
        <w:rPr>
          <w:i/>
          <w:iCs/>
          <w:lang w:val="fr-CA"/>
        </w:rPr>
        <w:t>Convention</w:t>
      </w:r>
      <w:r w:rsidRPr="0040376C">
        <w:rPr>
          <w:i/>
          <w:iCs/>
          <w:lang w:val="fr-CA"/>
        </w:rPr>
        <w:t xml:space="preserve"> de Vienne sur les relations consulaires</w:t>
      </w:r>
      <w:r w:rsidRPr="0040376C">
        <w:rPr>
          <w:lang w:val="fr-CA"/>
        </w:rPr>
        <w:t xml:space="preserve">, R.T. </w:t>
      </w:r>
      <w:r w:rsidRPr="0040376C">
        <w:rPr>
          <w:noProof/>
          <w:lang w:val="fr-CA"/>
        </w:rPr>
        <w:t>Can</w:t>
      </w:r>
      <w:r w:rsidRPr="0040376C">
        <w:rPr>
          <w:lang w:val="fr-CA"/>
        </w:rPr>
        <w:t>. 1974 n</w:t>
      </w:r>
      <w:r w:rsidRPr="0040376C">
        <w:rPr>
          <w:vertAlign w:val="superscript"/>
          <w:lang w:val="fr-CA"/>
        </w:rPr>
        <w:t>o</w:t>
      </w:r>
      <w:r w:rsidRPr="0040376C">
        <w:rPr>
          <w:lang w:val="fr-CA"/>
        </w:rPr>
        <w:t> 25.</w:t>
      </w:r>
    </w:p>
    <w:p w14:paraId="63EE8A5A" w14:textId="77777777" w:rsidR="00E80457" w:rsidRPr="0040376C" w:rsidRDefault="00E80457" w:rsidP="00067295">
      <w:pPr>
        <w:pStyle w:val="SCCNormalDoubleSpacing"/>
        <w:spacing w:after="240" w:line="240" w:lineRule="auto"/>
        <w:ind w:left="539" w:hanging="539"/>
        <w:rPr>
          <w:szCs w:val="24"/>
          <w:lang w:val="fr-CA" w:eastAsia="en-US"/>
        </w:rPr>
      </w:pPr>
      <w:r w:rsidRPr="00F44DB3">
        <w:rPr>
          <w:i/>
          <w:iCs/>
          <w:lang w:val="fr-CA"/>
        </w:rPr>
        <w:t>Convention</w:t>
      </w:r>
      <w:r w:rsidRPr="0040376C">
        <w:rPr>
          <w:i/>
          <w:iCs/>
          <w:szCs w:val="24"/>
          <w:lang w:val="fr-CA" w:eastAsia="en-US"/>
        </w:rPr>
        <w:t xml:space="preserve"> de Vienne sur les relations diplomatiques</w:t>
      </w:r>
      <w:r w:rsidRPr="0040376C">
        <w:rPr>
          <w:szCs w:val="24"/>
          <w:lang w:val="fr-CA" w:eastAsia="en-US"/>
        </w:rPr>
        <w:t xml:space="preserve">, R.T. </w:t>
      </w:r>
      <w:r w:rsidRPr="0040376C">
        <w:rPr>
          <w:noProof/>
          <w:lang w:val="fr-CA"/>
        </w:rPr>
        <w:t>C</w:t>
      </w:r>
      <w:r w:rsidRPr="0040376C">
        <w:rPr>
          <w:szCs w:val="24"/>
          <w:lang w:val="fr-CA" w:eastAsia="en-US"/>
        </w:rPr>
        <w:t>an. 1966 n</w:t>
      </w:r>
      <w:r w:rsidRPr="0040376C">
        <w:rPr>
          <w:szCs w:val="24"/>
          <w:vertAlign w:val="superscript"/>
          <w:lang w:val="fr-CA" w:eastAsia="en-US"/>
        </w:rPr>
        <w:t>o</w:t>
      </w:r>
      <w:r w:rsidRPr="0040376C">
        <w:rPr>
          <w:szCs w:val="24"/>
          <w:lang w:val="fr-CA" w:eastAsia="en-US"/>
        </w:rPr>
        <w:t> 29.</w:t>
      </w:r>
    </w:p>
    <w:p w14:paraId="513E7C48" w14:textId="75AF9C06" w:rsidR="00E80457" w:rsidRPr="0040376C" w:rsidRDefault="00E80457" w:rsidP="004953E7">
      <w:pPr>
        <w:pStyle w:val="SCCNormalDoubleSpacing"/>
        <w:spacing w:after="720" w:line="240" w:lineRule="auto"/>
        <w:ind w:left="547" w:hanging="547"/>
        <w:rPr>
          <w:b/>
          <w:szCs w:val="24"/>
          <w:lang w:val="fr-CA"/>
        </w:rPr>
      </w:pPr>
      <w:r w:rsidRPr="00067295">
        <w:rPr>
          <w:i/>
          <w:lang w:val="fr-CA"/>
        </w:rPr>
        <w:t>Protocole</w:t>
      </w:r>
      <w:r w:rsidRPr="0040376C">
        <w:rPr>
          <w:i/>
          <w:noProof/>
          <w:spacing w:val="-3"/>
          <w:szCs w:val="24"/>
          <w:lang w:val="fr-CA"/>
        </w:rPr>
        <w:t xml:space="preserve"> de signature facultative à la Convention de Vienne sur les relations diplomatiques, concernant </w:t>
      </w:r>
      <w:r w:rsidRPr="0040376C">
        <w:rPr>
          <w:i/>
          <w:noProof/>
          <w:szCs w:val="24"/>
          <w:lang w:val="fr-CA"/>
        </w:rPr>
        <w:t>l</w:t>
      </w:r>
      <w:r w:rsidR="00356C64">
        <w:rPr>
          <w:i/>
          <w:noProof/>
          <w:szCs w:val="24"/>
          <w:lang w:val="fr-CA"/>
        </w:rPr>
        <w:t>’</w:t>
      </w:r>
      <w:r w:rsidRPr="0040376C">
        <w:rPr>
          <w:i/>
          <w:noProof/>
          <w:szCs w:val="24"/>
          <w:lang w:val="fr-CA"/>
        </w:rPr>
        <w:t>acquisition de la nationalité</w:t>
      </w:r>
      <w:r w:rsidRPr="0040376C">
        <w:rPr>
          <w:noProof/>
          <w:szCs w:val="24"/>
          <w:lang w:val="fr-CA"/>
        </w:rPr>
        <w:t xml:space="preserve">, 500 R.T.N.U. </w:t>
      </w:r>
      <w:r w:rsidR="002767DB">
        <w:rPr>
          <w:noProof/>
          <w:szCs w:val="24"/>
          <w:lang w:val="fr-CA"/>
        </w:rPr>
        <w:t>223, art. </w:t>
      </w:r>
      <w:r w:rsidRPr="0040376C">
        <w:rPr>
          <w:noProof/>
          <w:szCs w:val="24"/>
          <w:lang w:val="fr-CA"/>
        </w:rPr>
        <w:t>II.</w:t>
      </w:r>
    </w:p>
    <w:p w14:paraId="6532AAF9" w14:textId="77777777" w:rsidR="004D7D95" w:rsidRPr="0040376C" w:rsidRDefault="004D7D95" w:rsidP="00067295">
      <w:pPr>
        <w:pStyle w:val="SCCNormalDoubleSpacing"/>
        <w:spacing w:after="720" w:line="240" w:lineRule="auto"/>
        <w:rPr>
          <w:b/>
          <w:lang w:val="fr-CA"/>
        </w:rPr>
      </w:pPr>
      <w:r w:rsidRPr="0040376C">
        <w:rPr>
          <w:b/>
          <w:lang w:val="fr-CA"/>
        </w:rPr>
        <w:t>Doctrine et autres documents cités</w:t>
      </w:r>
    </w:p>
    <w:p w14:paraId="63D603F9" w14:textId="07696774" w:rsidR="00951ED1" w:rsidRPr="00793275" w:rsidRDefault="00155F48" w:rsidP="009C7B64">
      <w:pPr>
        <w:pStyle w:val="SCCNormalDoubleSpacing"/>
        <w:spacing w:after="240" w:line="240" w:lineRule="auto"/>
        <w:ind w:left="539" w:hanging="539"/>
        <w:rPr>
          <w:lang w:val="fr-CA"/>
        </w:rPr>
      </w:pPr>
      <w:r w:rsidRPr="00793275">
        <w:rPr>
          <w:lang w:val="fr-CA"/>
        </w:rPr>
        <w:t>Arthurs, H.</w:t>
      </w:r>
      <w:r w:rsidR="001E1601" w:rsidRPr="00793275">
        <w:rPr>
          <w:lang w:val="fr-CA"/>
        </w:rPr>
        <w:t> </w:t>
      </w:r>
      <w:r w:rsidRPr="00793275">
        <w:rPr>
          <w:lang w:val="fr-CA"/>
        </w:rPr>
        <w:t xml:space="preserve">W. « Protection against Judicial Review » (1983), 43 </w:t>
      </w:r>
      <w:r w:rsidRPr="00793275">
        <w:rPr>
          <w:i/>
          <w:lang w:val="fr-CA"/>
        </w:rPr>
        <w:t>R. du B.</w:t>
      </w:r>
      <w:r w:rsidRPr="00793275">
        <w:rPr>
          <w:lang w:val="fr-CA"/>
        </w:rPr>
        <w:t xml:space="preserve"> 277.</w:t>
      </w:r>
    </w:p>
    <w:p w14:paraId="2463486B" w14:textId="398303D4" w:rsidR="005E4477" w:rsidRPr="00CB29EE" w:rsidRDefault="005E4477" w:rsidP="009C7B64">
      <w:pPr>
        <w:pStyle w:val="SCCNormalDoubleSpacing"/>
        <w:spacing w:after="240" w:line="240" w:lineRule="auto"/>
        <w:ind w:left="539" w:hanging="539"/>
        <w:rPr>
          <w:lang w:val="en-US"/>
        </w:rPr>
      </w:pPr>
      <w:r w:rsidRPr="00CB29EE">
        <w:rPr>
          <w:lang w:val="en-US"/>
        </w:rPr>
        <w:t xml:space="preserve">Barak, Aharon. « Overruling Precedent » (1986), 21 </w:t>
      </w:r>
      <w:r w:rsidRPr="00CB29EE">
        <w:rPr>
          <w:i/>
          <w:lang w:val="en-US"/>
        </w:rPr>
        <w:t>Is</w:t>
      </w:r>
      <w:r w:rsidR="00D07ADC">
        <w:rPr>
          <w:i/>
          <w:lang w:val="en-US"/>
        </w:rPr>
        <w:t>.</w:t>
      </w:r>
      <w:r w:rsidRPr="00CB29EE">
        <w:rPr>
          <w:i/>
          <w:lang w:val="en-US"/>
        </w:rPr>
        <w:t>L.R.</w:t>
      </w:r>
      <w:r w:rsidRPr="00CB29EE">
        <w:rPr>
          <w:lang w:val="en-US"/>
        </w:rPr>
        <w:t xml:space="preserve"> 269.</w:t>
      </w:r>
    </w:p>
    <w:p w14:paraId="0FDDE600" w14:textId="3EA71297" w:rsidR="00DC4464" w:rsidRDefault="00951ED1" w:rsidP="009C7B64">
      <w:pPr>
        <w:pStyle w:val="SCCNormalDoubleSpacing"/>
        <w:spacing w:after="240" w:line="240" w:lineRule="auto"/>
        <w:ind w:left="539" w:hanging="539"/>
        <w:rPr>
          <w:lang w:val="en-US"/>
        </w:rPr>
      </w:pPr>
      <w:r w:rsidRPr="00CB29EE">
        <w:rPr>
          <w:lang w:val="en-US"/>
        </w:rPr>
        <w:t>Biddulph, Michelle. « Rethinking the Ramification</w:t>
      </w:r>
      <w:r w:rsidR="001B146E">
        <w:rPr>
          <w:lang w:val="en-US"/>
        </w:rPr>
        <w:t>s</w:t>
      </w:r>
      <w:r w:rsidRPr="00CB29EE">
        <w:rPr>
          <w:lang w:val="en-US"/>
        </w:rPr>
        <w:t xml:space="preserve"> of Reasonableness Review</w:t>
      </w:r>
      <w:r w:rsidR="002767DB">
        <w:rPr>
          <w:lang w:val="en-US"/>
        </w:rPr>
        <w:t> </w:t>
      </w:r>
      <w:r w:rsidRPr="00CB29EE">
        <w:rPr>
          <w:lang w:val="en-US"/>
        </w:rPr>
        <w:t xml:space="preserve">: </w:t>
      </w:r>
      <w:r w:rsidRPr="00CB29EE">
        <w:rPr>
          <w:i/>
          <w:lang w:val="en-US"/>
        </w:rPr>
        <w:t xml:space="preserve">Stare Decisis </w:t>
      </w:r>
      <w:r w:rsidRPr="00CB29EE">
        <w:rPr>
          <w:lang w:val="en-US"/>
        </w:rPr>
        <w:t xml:space="preserve">and Reasonableness Review on Questions of Law » (2018), 56 </w:t>
      </w:r>
      <w:r w:rsidRPr="00CB29EE">
        <w:rPr>
          <w:i/>
          <w:lang w:val="en-US"/>
        </w:rPr>
        <w:t>Al</w:t>
      </w:r>
      <w:r w:rsidRPr="00294660">
        <w:rPr>
          <w:i/>
          <w:lang w:val="en-US"/>
        </w:rPr>
        <w:t xml:space="preserve">ta. L.R. </w:t>
      </w:r>
      <w:r w:rsidRPr="00294660">
        <w:rPr>
          <w:lang w:val="en-US"/>
        </w:rPr>
        <w:t>119.</w:t>
      </w:r>
    </w:p>
    <w:p w14:paraId="4ECD3928" w14:textId="77777777" w:rsidR="00DC4464" w:rsidRPr="00DC4464" w:rsidRDefault="00DC4464" w:rsidP="009C7B64">
      <w:pPr>
        <w:pStyle w:val="SCCNormalDoubleSpacing"/>
        <w:spacing w:after="240" w:line="240" w:lineRule="auto"/>
        <w:ind w:left="539" w:hanging="539"/>
        <w:rPr>
          <w:lang w:val="en-US"/>
        </w:rPr>
      </w:pPr>
      <w:r w:rsidRPr="009C7B64">
        <w:rPr>
          <w:lang w:val="en-US"/>
        </w:rPr>
        <w:t>Bingham</w:t>
      </w:r>
      <w:r>
        <w:t xml:space="preserve">, Tom. </w:t>
      </w:r>
      <w:r>
        <w:rPr>
          <w:i/>
        </w:rPr>
        <w:t>The Rule of Law</w:t>
      </w:r>
      <w:r>
        <w:t>, London, Allen Lane, 2010.</w:t>
      </w:r>
    </w:p>
    <w:p w14:paraId="3216A559" w14:textId="749FA70F" w:rsidR="00CF4FEC" w:rsidRDefault="00951ED1" w:rsidP="009C7B64">
      <w:pPr>
        <w:pStyle w:val="SCCNormalDoubleSpacing"/>
        <w:spacing w:after="240" w:line="240" w:lineRule="auto"/>
        <w:ind w:left="539" w:hanging="539"/>
        <w:rPr>
          <w:color w:val="000000"/>
          <w:lang w:val="en-US"/>
        </w:rPr>
      </w:pPr>
      <w:r w:rsidRPr="00A9763A">
        <w:rPr>
          <w:lang w:val="en-US"/>
        </w:rPr>
        <w:t>Brouwer</w:t>
      </w:r>
      <w:r w:rsidR="000F43BA" w:rsidRPr="00A9763A">
        <w:rPr>
          <w:lang w:val="en-US"/>
        </w:rPr>
        <w:t xml:space="preserve">, Andrew. </w:t>
      </w:r>
      <w:r w:rsidRPr="00A9763A">
        <w:rPr>
          <w:i/>
          <w:lang w:val="en-US"/>
        </w:rPr>
        <w:t>Statelessness i</w:t>
      </w:r>
      <w:r w:rsidR="000F43BA" w:rsidRPr="00A9763A">
        <w:rPr>
          <w:i/>
          <w:lang w:val="en-US"/>
        </w:rPr>
        <w:t xml:space="preserve">n </w:t>
      </w:r>
      <w:r w:rsidR="000F43BA" w:rsidRPr="00A9763A">
        <w:rPr>
          <w:i/>
        </w:rPr>
        <w:t>Canadian Context : A Discussion Paper</w:t>
      </w:r>
      <w:r w:rsidR="000F43BA" w:rsidRPr="00A9763A">
        <w:t xml:space="preserve">, juillet 2003 </w:t>
      </w:r>
      <w:r w:rsidR="00796DCE">
        <w:rPr>
          <w:color w:val="000000"/>
          <w:lang w:val="en-US"/>
        </w:rPr>
        <w:t xml:space="preserve">(en ligne : </w:t>
      </w:r>
      <w:r w:rsidR="000F43BA" w:rsidRPr="00A9763A">
        <w:t>https://www.unhcr.org/protection/statelessness/40629ffc7/statelessness-canadian-context-discussion-paper.html</w:t>
      </w:r>
      <w:r w:rsidR="000F43BA" w:rsidRPr="00A9763A">
        <w:rPr>
          <w:rStyle w:val="Hyperlink"/>
          <w:rFonts w:eastAsiaTheme="majorEastAsia"/>
          <w:color w:val="auto"/>
          <w:u w:val="none"/>
          <w:lang w:val="en-US"/>
        </w:rPr>
        <w:t>; version archivée :</w:t>
      </w:r>
      <w:r w:rsidR="005C4482">
        <w:rPr>
          <w:rStyle w:val="Hyperlink"/>
          <w:rFonts w:eastAsiaTheme="majorEastAsia"/>
          <w:color w:val="auto"/>
          <w:u w:val="none"/>
          <w:lang w:val="en-US"/>
        </w:rPr>
        <w:t xml:space="preserve"> </w:t>
      </w:r>
      <w:hyperlink r:id="rId10" w:history="1">
        <w:r w:rsidR="00CF4FEC" w:rsidRPr="005365B0">
          <w:rPr>
            <w:rFonts w:eastAsiaTheme="majorEastAsia"/>
          </w:rPr>
          <w:t>https://www.scc-csc.ca/cso-dce/2019SCC-CSC65_1_eng.pdf</w:t>
        </w:r>
      </w:hyperlink>
      <w:r w:rsidR="000F43BA" w:rsidRPr="00A9763A">
        <w:rPr>
          <w:color w:val="000000"/>
          <w:lang w:val="en-US"/>
        </w:rPr>
        <w:t>).</w:t>
      </w:r>
    </w:p>
    <w:p w14:paraId="29D21DCD" w14:textId="19869166" w:rsidR="00951ED1" w:rsidRPr="00951ED1" w:rsidRDefault="00437379" w:rsidP="009C7B64">
      <w:pPr>
        <w:pStyle w:val="SCCNormalDoubleSpacing"/>
        <w:spacing w:after="240" w:line="240" w:lineRule="auto"/>
        <w:ind w:left="539" w:hanging="539"/>
        <w:rPr>
          <w:lang w:val="en-US"/>
        </w:rPr>
      </w:pPr>
      <w:r>
        <w:rPr>
          <w:lang w:val="en-US"/>
        </w:rPr>
        <w:t>Brown, Donald J. M.</w:t>
      </w:r>
      <w:r w:rsidR="00480727">
        <w:rPr>
          <w:lang w:val="en-US"/>
        </w:rPr>
        <w:t>,</w:t>
      </w:r>
      <w:r>
        <w:rPr>
          <w:lang w:val="en-US"/>
        </w:rPr>
        <w:t xml:space="preserve"> and John </w:t>
      </w:r>
      <w:r w:rsidR="00480727">
        <w:rPr>
          <w:lang w:val="en-US"/>
        </w:rPr>
        <w:t>M. Evans, with the assistance of David Fairlie.</w:t>
      </w:r>
      <w:r w:rsidR="00951ED1" w:rsidRPr="00E80457">
        <w:rPr>
          <w:lang w:val="en-US"/>
        </w:rPr>
        <w:t xml:space="preserve"> </w:t>
      </w:r>
      <w:r w:rsidR="00951ED1" w:rsidRPr="00E80457">
        <w:rPr>
          <w:i/>
          <w:iCs/>
          <w:lang w:val="en-US"/>
        </w:rPr>
        <w:t>Judicial Review of Administrative Action in Canada</w:t>
      </w:r>
      <w:r w:rsidR="005E4477">
        <w:rPr>
          <w:iCs/>
          <w:lang w:val="en-US"/>
        </w:rPr>
        <w:t>,</w:t>
      </w:r>
      <w:r w:rsidR="004A102F">
        <w:rPr>
          <w:iCs/>
          <w:lang w:val="en-US"/>
        </w:rPr>
        <w:t xml:space="preserve"> vol. 3,</w:t>
      </w:r>
      <w:r w:rsidR="005E4477">
        <w:rPr>
          <w:iCs/>
          <w:lang w:val="en-US"/>
        </w:rPr>
        <w:t xml:space="preserve"> Toronto,</w:t>
      </w:r>
      <w:r w:rsidR="00480727">
        <w:rPr>
          <w:iCs/>
          <w:lang w:val="en-US"/>
        </w:rPr>
        <w:t xml:space="preserve"> Thomson</w:t>
      </w:r>
      <w:r w:rsidR="00951ED1" w:rsidRPr="00E80457">
        <w:rPr>
          <w:iCs/>
          <w:lang w:val="en-US"/>
        </w:rPr>
        <w:t xml:space="preserve"> Reuters, 2013</w:t>
      </w:r>
      <w:r w:rsidR="00951ED1" w:rsidRPr="00E80457">
        <w:rPr>
          <w:i/>
          <w:iCs/>
          <w:lang w:val="en-US"/>
        </w:rPr>
        <w:t xml:space="preserve"> </w:t>
      </w:r>
      <w:r w:rsidR="00951ED1" w:rsidRPr="00E80457">
        <w:rPr>
          <w:lang w:val="en-US"/>
        </w:rPr>
        <w:t xml:space="preserve">(loose-leaf updated </w:t>
      </w:r>
      <w:r w:rsidR="00480727">
        <w:rPr>
          <w:lang w:val="en-US"/>
        </w:rPr>
        <w:t>December 2018, release 4</w:t>
      </w:r>
      <w:r w:rsidR="00951ED1" w:rsidRPr="00480727">
        <w:rPr>
          <w:lang w:val="en-US"/>
        </w:rPr>
        <w:t>).</w:t>
      </w:r>
    </w:p>
    <w:p w14:paraId="7CCE0C79" w14:textId="77777777" w:rsidR="00951ED1" w:rsidRPr="00951ED1" w:rsidRDefault="00951ED1" w:rsidP="009C7B64">
      <w:pPr>
        <w:pStyle w:val="SCCNormalDoubleSpacing"/>
        <w:spacing w:after="240" w:line="240" w:lineRule="auto"/>
        <w:ind w:left="539" w:hanging="539"/>
      </w:pPr>
      <w:r w:rsidRPr="009C7B64">
        <w:rPr>
          <w:lang w:val="en-US"/>
        </w:rPr>
        <w:t>Brownlie</w:t>
      </w:r>
      <w:r w:rsidRPr="00E80457">
        <w:t xml:space="preserve">, Ian. </w:t>
      </w:r>
      <w:r w:rsidRPr="00E80457">
        <w:rPr>
          <w:i/>
          <w:iCs/>
        </w:rPr>
        <w:t>Principles of Public International Law</w:t>
      </w:r>
      <w:r w:rsidRPr="00E80457">
        <w:t>, 5th ed., Oxford, Clarendon Press, 1998.</w:t>
      </w:r>
    </w:p>
    <w:p w14:paraId="07C17758" w14:textId="3E00E84F" w:rsidR="009F37F8" w:rsidRDefault="00951ED1" w:rsidP="009C7B64">
      <w:pPr>
        <w:pStyle w:val="SCCNormalDoubleSpacing"/>
        <w:spacing w:after="240" w:line="240" w:lineRule="auto"/>
        <w:ind w:left="539" w:hanging="539"/>
        <w:rPr>
          <w:lang w:val="fr-CA"/>
        </w:rPr>
      </w:pPr>
      <w:r w:rsidRPr="00F44DB3">
        <w:rPr>
          <w:lang w:val="fr-CA"/>
        </w:rPr>
        <w:t>Canada</w:t>
      </w:r>
      <w:r w:rsidRPr="00294660">
        <w:rPr>
          <w:lang w:val="fr-CA"/>
        </w:rPr>
        <w:t xml:space="preserve">. Chambre des </w:t>
      </w:r>
      <w:r w:rsidRPr="00E80457">
        <w:rPr>
          <w:lang w:val="fr-CA"/>
        </w:rPr>
        <w:t xml:space="preserve">communes. </w:t>
      </w:r>
      <w:r w:rsidRPr="00E80457">
        <w:rPr>
          <w:i/>
          <w:lang w:val="fr-CA"/>
        </w:rPr>
        <w:t>Procès-verbaux et témoign</w:t>
      </w:r>
      <w:r w:rsidR="00027F09">
        <w:rPr>
          <w:i/>
          <w:lang w:val="fr-CA"/>
        </w:rPr>
        <w:t>ages du Comité permanent de la R</w:t>
      </w:r>
      <w:r w:rsidRPr="00E80457">
        <w:rPr>
          <w:i/>
          <w:lang w:val="fr-CA"/>
        </w:rPr>
        <w:t>adiodiffusion, des films et de l</w:t>
      </w:r>
      <w:r w:rsidR="00356C64">
        <w:rPr>
          <w:i/>
          <w:lang w:val="fr-CA"/>
        </w:rPr>
        <w:t>’</w:t>
      </w:r>
      <w:r w:rsidRPr="00E80457">
        <w:rPr>
          <w:i/>
          <w:lang w:val="fr-CA"/>
        </w:rPr>
        <w:t>assistance aux arts</w:t>
      </w:r>
      <w:r w:rsidRPr="00E80457">
        <w:rPr>
          <w:i/>
          <w:iCs/>
          <w:lang w:val="fr-CA"/>
        </w:rPr>
        <w:t>, concernant Bill C</w:t>
      </w:r>
      <w:r w:rsidRPr="00E80457">
        <w:rPr>
          <w:i/>
          <w:iCs/>
          <w:lang w:val="fr-CA"/>
        </w:rPr>
        <w:noBreakHyphen/>
        <w:t>2</w:t>
      </w:r>
      <w:r w:rsidR="00027F09">
        <w:rPr>
          <w:i/>
          <w:iCs/>
          <w:lang w:val="fr-CA"/>
        </w:rPr>
        <w:t>0</w:t>
      </w:r>
      <w:r w:rsidRPr="00E80457">
        <w:rPr>
          <w:i/>
          <w:iCs/>
          <w:lang w:val="fr-CA"/>
        </w:rPr>
        <w:t xml:space="preserve">, Loi concernant la </w:t>
      </w:r>
      <w:r w:rsidR="00027F09" w:rsidRPr="00E80457">
        <w:rPr>
          <w:i/>
          <w:iCs/>
          <w:lang w:val="fr-CA"/>
        </w:rPr>
        <w:t>citoyenneté</w:t>
      </w:r>
      <w:r w:rsidR="00D94A53">
        <w:rPr>
          <w:lang w:val="fr-CA"/>
        </w:rPr>
        <w:t xml:space="preserve">, </w:t>
      </w:r>
      <w:r w:rsidRPr="00E80457">
        <w:rPr>
          <w:lang w:val="fr-CA"/>
        </w:rPr>
        <w:t>n</w:t>
      </w:r>
      <w:r w:rsidRPr="00E80457">
        <w:rPr>
          <w:vertAlign w:val="superscript"/>
          <w:lang w:val="fr-CA"/>
        </w:rPr>
        <w:t>o</w:t>
      </w:r>
      <w:r w:rsidR="00437379">
        <w:rPr>
          <w:lang w:val="fr-CA"/>
        </w:rPr>
        <w:t> </w:t>
      </w:r>
      <w:r w:rsidRPr="00E80457">
        <w:rPr>
          <w:lang w:val="fr-CA"/>
        </w:rPr>
        <w:t>34, 1</w:t>
      </w:r>
      <w:r w:rsidRPr="00E80457">
        <w:rPr>
          <w:vertAlign w:val="superscript"/>
          <w:lang w:val="fr-CA"/>
        </w:rPr>
        <w:t>re</w:t>
      </w:r>
      <w:r w:rsidRPr="00E80457">
        <w:rPr>
          <w:lang w:val="fr-CA"/>
        </w:rPr>
        <w:t xml:space="preserve"> </w:t>
      </w:r>
      <w:r w:rsidR="00027F09">
        <w:rPr>
          <w:lang w:val="fr-CA"/>
        </w:rPr>
        <w:t xml:space="preserve">sess., </w:t>
      </w:r>
      <w:r w:rsidRPr="00E80457">
        <w:rPr>
          <w:lang w:val="fr-CA"/>
        </w:rPr>
        <w:t>3</w:t>
      </w:r>
      <w:r w:rsidR="00027F09">
        <w:rPr>
          <w:lang w:val="fr-CA"/>
        </w:rPr>
        <w:t>0</w:t>
      </w:r>
      <w:r w:rsidRPr="00E80457">
        <w:rPr>
          <w:vertAlign w:val="superscript"/>
          <w:lang w:val="fr-CA"/>
        </w:rPr>
        <w:t xml:space="preserve">e </w:t>
      </w:r>
      <w:r w:rsidR="002F0116">
        <w:rPr>
          <w:lang w:val="fr-CA"/>
        </w:rPr>
        <w:t>lég., 24 février</w:t>
      </w:r>
      <w:r w:rsidR="00FE6C72">
        <w:rPr>
          <w:lang w:val="fr-CA"/>
        </w:rPr>
        <w:t xml:space="preserve"> 1976, </w:t>
      </w:r>
      <w:r w:rsidRPr="00E80457">
        <w:rPr>
          <w:lang w:val="fr-CA"/>
        </w:rPr>
        <w:t>34:23</w:t>
      </w:r>
      <w:r w:rsidR="002767DB">
        <w:rPr>
          <w:lang w:val="fr-CA"/>
        </w:rPr>
        <w:noBreakHyphen/>
      </w:r>
      <w:r w:rsidR="00027F09">
        <w:rPr>
          <w:lang w:val="fr-CA"/>
        </w:rPr>
        <w:t>34:24</w:t>
      </w:r>
      <w:r w:rsidRPr="00E80457">
        <w:rPr>
          <w:lang w:val="fr-CA"/>
        </w:rPr>
        <w:t>.</w:t>
      </w:r>
    </w:p>
    <w:p w14:paraId="240C2856" w14:textId="41AD7047" w:rsidR="009F37F8" w:rsidRPr="009F37F8" w:rsidRDefault="009F37F8" w:rsidP="009C7B64">
      <w:pPr>
        <w:pStyle w:val="SCCNormalDoubleSpacing"/>
        <w:spacing w:after="240" w:line="240" w:lineRule="auto"/>
        <w:ind w:left="539" w:hanging="539"/>
        <w:rPr>
          <w:lang w:val="en-US"/>
        </w:rPr>
      </w:pPr>
      <w:r w:rsidRPr="00E8198C">
        <w:rPr>
          <w:lang w:val="en-US"/>
        </w:rPr>
        <w:t>Coady</w:t>
      </w:r>
      <w:r w:rsidR="00437379" w:rsidRPr="00E8198C">
        <w:rPr>
          <w:lang w:val="en-US"/>
        </w:rPr>
        <w:t>, Jonathan </w:t>
      </w:r>
      <w:r w:rsidRPr="00E8198C">
        <w:rPr>
          <w:lang w:val="en-US"/>
        </w:rPr>
        <w:t xml:space="preserve">M. </w:t>
      </w:r>
      <w:r w:rsidRPr="00E8198C">
        <w:rPr>
          <w:color w:val="000000"/>
          <w:lang w:val="en-US"/>
        </w:rPr>
        <w:t>« </w:t>
      </w:r>
      <w:r w:rsidRPr="00E8198C">
        <w:rPr>
          <w:lang w:val="en-US"/>
        </w:rPr>
        <w:t>The Time Has Come</w:t>
      </w:r>
      <w:r w:rsidR="004953E7">
        <w:rPr>
          <w:lang w:val="en-US"/>
        </w:rPr>
        <w:t> </w:t>
      </w:r>
      <w:r w:rsidRPr="00E8198C">
        <w:rPr>
          <w:lang w:val="en-US"/>
        </w:rPr>
        <w:t>: Standard of Review in Canadian Administrative Law</w:t>
      </w:r>
      <w:r w:rsidRPr="00E8198C">
        <w:rPr>
          <w:color w:val="000000"/>
          <w:lang w:val="en-US"/>
        </w:rPr>
        <w:t> »</w:t>
      </w:r>
      <w:r w:rsidRPr="00E8198C">
        <w:rPr>
          <w:lang w:val="en-US"/>
        </w:rPr>
        <w:t xml:space="preserve"> (2017), 68 </w:t>
      </w:r>
      <w:r w:rsidR="00EA5B9C">
        <w:rPr>
          <w:i/>
          <w:lang w:val="en-US"/>
        </w:rPr>
        <w:t>R.D. U.N.-B.</w:t>
      </w:r>
      <w:r w:rsidRPr="00E8198C">
        <w:rPr>
          <w:lang w:val="en-US"/>
        </w:rPr>
        <w:t xml:space="preserve"> 8</w:t>
      </w:r>
      <w:r>
        <w:t>7.</w:t>
      </w:r>
    </w:p>
    <w:p w14:paraId="01743C05" w14:textId="4FDAA0E0" w:rsidR="00A03443" w:rsidRPr="00294660" w:rsidRDefault="00A03443" w:rsidP="009C7B64">
      <w:pPr>
        <w:pStyle w:val="SCCNormalDoubleSpacing"/>
        <w:spacing w:after="240" w:line="240" w:lineRule="auto"/>
        <w:ind w:left="539" w:hanging="539"/>
        <w:rPr>
          <w:lang w:val="en-US"/>
        </w:rPr>
      </w:pPr>
      <w:r w:rsidRPr="00294660">
        <w:rPr>
          <w:lang w:val="en-US"/>
        </w:rPr>
        <w:lastRenderedPageBreak/>
        <w:t>Cohe</w:t>
      </w:r>
      <w:r w:rsidR="0096404C">
        <w:rPr>
          <w:lang w:val="en-US"/>
        </w:rPr>
        <w:t>n</w:t>
      </w:r>
      <w:r w:rsidR="0096404C">
        <w:rPr>
          <w:lang w:val="en-US"/>
        </w:rPr>
        <w:noBreakHyphen/>
      </w:r>
      <w:r w:rsidR="004953E7">
        <w:rPr>
          <w:lang w:val="en-US"/>
        </w:rPr>
        <w:t>Eliya, Moshe, and Iddo Porat. « </w:t>
      </w:r>
      <w:r w:rsidRPr="00294660">
        <w:rPr>
          <w:lang w:val="en-US"/>
        </w:rPr>
        <w:t>Proportionality and Justification</w:t>
      </w:r>
      <w:r w:rsidR="004953E7">
        <w:rPr>
          <w:lang w:val="en-US"/>
        </w:rPr>
        <w:t> </w:t>
      </w:r>
      <w:r w:rsidR="00895808" w:rsidRPr="00294660">
        <w:rPr>
          <w:lang w:val="en-US"/>
        </w:rPr>
        <w:t>»</w:t>
      </w:r>
      <w:r w:rsidRPr="00294660">
        <w:rPr>
          <w:lang w:val="en-US"/>
        </w:rPr>
        <w:t xml:space="preserve"> (2014), 64 </w:t>
      </w:r>
      <w:r w:rsidRPr="00294660">
        <w:rPr>
          <w:i/>
          <w:lang w:val="en-US"/>
        </w:rPr>
        <w:t>U.T.L.J.</w:t>
      </w:r>
      <w:r w:rsidRPr="00294660">
        <w:rPr>
          <w:lang w:val="en-US"/>
        </w:rPr>
        <w:t xml:space="preserve"> 458.</w:t>
      </w:r>
    </w:p>
    <w:p w14:paraId="632F37F3" w14:textId="22FFB318" w:rsidR="00084B1D" w:rsidRDefault="00437379" w:rsidP="009C7B64">
      <w:pPr>
        <w:pStyle w:val="SCCNormalDoubleSpacing"/>
        <w:spacing w:after="240" w:line="240" w:lineRule="auto"/>
        <w:ind w:left="539" w:hanging="539"/>
        <w:rPr>
          <w:lang w:val="en-US"/>
        </w:rPr>
      </w:pPr>
      <w:r>
        <w:rPr>
          <w:lang w:val="en-US"/>
        </w:rPr>
        <w:t>Cromwell, Thomas </w:t>
      </w:r>
      <w:r w:rsidR="008C2680" w:rsidRPr="00294660">
        <w:rPr>
          <w:lang w:val="en-US"/>
        </w:rPr>
        <w:t xml:space="preserve">A. </w:t>
      </w:r>
      <w:r w:rsidR="008C2680" w:rsidRPr="00294660">
        <w:rPr>
          <w:color w:val="000000"/>
          <w:lang w:val="en-US"/>
        </w:rPr>
        <w:t>« </w:t>
      </w:r>
      <w:r w:rsidR="008C2680" w:rsidRPr="00294660">
        <w:rPr>
          <w:lang w:val="en-US"/>
        </w:rPr>
        <w:t>What I Think I</w:t>
      </w:r>
      <w:r w:rsidR="00356C64">
        <w:rPr>
          <w:lang w:val="en-US"/>
        </w:rPr>
        <w:t>’</w:t>
      </w:r>
      <w:r w:rsidR="008C2680" w:rsidRPr="00294660">
        <w:rPr>
          <w:lang w:val="en-US"/>
        </w:rPr>
        <w:t>ve Learned About Administrative Law</w:t>
      </w:r>
      <w:r w:rsidR="008C2680" w:rsidRPr="00294660">
        <w:rPr>
          <w:color w:val="000000"/>
          <w:lang w:val="en-US"/>
        </w:rPr>
        <w:t> »</w:t>
      </w:r>
      <w:r w:rsidR="008C2680" w:rsidRPr="00294660">
        <w:rPr>
          <w:lang w:val="en-US"/>
        </w:rPr>
        <w:t xml:space="preserve"> (2017), 30 </w:t>
      </w:r>
      <w:r w:rsidR="00545BDA">
        <w:rPr>
          <w:i/>
          <w:lang w:val="en-US"/>
        </w:rPr>
        <w:t>R.C.D.A.P.</w:t>
      </w:r>
      <w:r w:rsidR="008C2680" w:rsidRPr="00294660">
        <w:rPr>
          <w:i/>
          <w:lang w:val="en-US"/>
        </w:rPr>
        <w:t xml:space="preserve"> </w:t>
      </w:r>
      <w:r w:rsidR="008C2680" w:rsidRPr="00294660">
        <w:rPr>
          <w:lang w:val="en-US"/>
        </w:rPr>
        <w:t>307.</w:t>
      </w:r>
    </w:p>
    <w:p w14:paraId="25823E98" w14:textId="58903AAE" w:rsidR="00EB764F" w:rsidRPr="0042446D" w:rsidRDefault="00EB764F" w:rsidP="009C7B64">
      <w:pPr>
        <w:pStyle w:val="SCCNormalDoubleSpacing"/>
        <w:spacing w:after="240" w:line="240" w:lineRule="auto"/>
        <w:ind w:left="539" w:hanging="539"/>
      </w:pPr>
      <w:r w:rsidRPr="009C7B64">
        <w:rPr>
          <w:lang w:val="en-US"/>
        </w:rPr>
        <w:t>Daly</w:t>
      </w:r>
      <w:r>
        <w:t xml:space="preserve">, Paul. </w:t>
      </w:r>
      <w:r w:rsidRPr="00294660">
        <w:rPr>
          <w:color w:val="000000"/>
          <w:lang w:val="en-US"/>
        </w:rPr>
        <w:t>« </w:t>
      </w:r>
      <w:r w:rsidR="004953E7">
        <w:t>Deference on Questions of Law </w:t>
      </w:r>
      <w:r w:rsidRPr="00951ED1">
        <w:rPr>
          <w:lang w:val="en-US"/>
        </w:rPr>
        <w:t xml:space="preserve">» </w:t>
      </w:r>
      <w:r>
        <w:t xml:space="preserve">(2011), 74 </w:t>
      </w:r>
      <w:r>
        <w:rPr>
          <w:i/>
        </w:rPr>
        <w:t>Mod. L. Rev.</w:t>
      </w:r>
      <w:r>
        <w:t xml:space="preserve"> 694.</w:t>
      </w:r>
    </w:p>
    <w:p w14:paraId="10A81FF1" w14:textId="77777777" w:rsidR="002D7BEC" w:rsidRPr="002D7BEC" w:rsidRDefault="002D7BEC" w:rsidP="009C7B64">
      <w:pPr>
        <w:pStyle w:val="SCCNormalDoubleSpacing"/>
        <w:spacing w:after="240" w:line="240" w:lineRule="auto"/>
        <w:ind w:left="539" w:hanging="539"/>
      </w:pPr>
      <w:r w:rsidRPr="009C7B64">
        <w:rPr>
          <w:lang w:val="en-US"/>
        </w:rPr>
        <w:t>Daly</w:t>
      </w:r>
      <w:r>
        <w:t xml:space="preserve">, Paul. </w:t>
      </w:r>
      <w:r w:rsidRPr="00294660">
        <w:rPr>
          <w:color w:val="000000"/>
          <w:lang w:val="en-US"/>
        </w:rPr>
        <w:t>« </w:t>
      </w:r>
      <w:r>
        <w:t>Unreasonable Interpretations of Law</w:t>
      </w:r>
      <w:r w:rsidRPr="00951ED1">
        <w:rPr>
          <w:lang w:val="en-US"/>
        </w:rPr>
        <w:t xml:space="preserve"> » </w:t>
      </w:r>
      <w:r>
        <w:t xml:space="preserve">(2014), 66 </w:t>
      </w:r>
      <w:r>
        <w:rPr>
          <w:i/>
        </w:rPr>
        <w:t>S.C.L.R.</w:t>
      </w:r>
      <w:r>
        <w:t xml:space="preserve"> (2d) 233.</w:t>
      </w:r>
    </w:p>
    <w:p w14:paraId="1CDE2869" w14:textId="48123F70" w:rsidR="00951ED1" w:rsidRPr="00951ED1" w:rsidRDefault="00B63864" w:rsidP="009C7B64">
      <w:pPr>
        <w:pStyle w:val="SCCNormalDoubleSpacing"/>
        <w:spacing w:after="240" w:line="240" w:lineRule="auto"/>
        <w:ind w:left="540" w:hanging="540"/>
        <w:rPr>
          <w:lang w:val="en-US"/>
        </w:rPr>
      </w:pPr>
      <w:r w:rsidRPr="00294660">
        <w:rPr>
          <w:lang w:val="en-US"/>
        </w:rPr>
        <w:t xml:space="preserve">Daly, Paul. </w:t>
      </w:r>
      <w:r w:rsidRPr="00294660">
        <w:rPr>
          <w:color w:val="000000"/>
          <w:lang w:val="en-US"/>
        </w:rPr>
        <w:t>« </w:t>
      </w:r>
      <w:r w:rsidRPr="00294660">
        <w:rPr>
          <w:lang w:val="en-US"/>
        </w:rPr>
        <w:t xml:space="preserve">Struggling Towards Coherence in Canadian Administrative Law? </w:t>
      </w:r>
      <w:r w:rsidRPr="00951ED1">
        <w:rPr>
          <w:lang w:val="en-US"/>
        </w:rPr>
        <w:t xml:space="preserve">Recent Cases on Standard of Review and Reasonableness » (2016), 62 </w:t>
      </w:r>
      <w:r w:rsidR="00D81FD3">
        <w:rPr>
          <w:i/>
          <w:lang w:val="en-US"/>
        </w:rPr>
        <w:t xml:space="preserve">R.D. </w:t>
      </w:r>
      <w:r w:rsidRPr="00951ED1">
        <w:rPr>
          <w:i/>
          <w:lang w:val="en-US"/>
        </w:rPr>
        <w:t>McGill</w:t>
      </w:r>
      <w:r w:rsidRPr="00951ED1">
        <w:rPr>
          <w:lang w:val="en-US"/>
        </w:rPr>
        <w:t xml:space="preserve"> 527.</w:t>
      </w:r>
    </w:p>
    <w:p w14:paraId="11C0FF0B" w14:textId="1382BA00" w:rsidR="002D7BEC" w:rsidRPr="00084B1D" w:rsidRDefault="002D7BEC" w:rsidP="009C7B64">
      <w:pPr>
        <w:pStyle w:val="SCCNormalDoubleSpacing"/>
        <w:spacing w:after="240" w:line="240" w:lineRule="auto"/>
        <w:ind w:left="540" w:hanging="540"/>
        <w:rPr>
          <w:lang w:val="en-US"/>
        </w:rPr>
      </w:pPr>
      <w:r>
        <w:t xml:space="preserve">Daly, Paul. </w:t>
      </w:r>
      <w:r w:rsidRPr="00294660">
        <w:rPr>
          <w:color w:val="000000"/>
          <w:lang w:val="en-US"/>
        </w:rPr>
        <w:t>« </w:t>
      </w:r>
      <w:r>
        <w:t>The Signal and the Noise in Administrative Law</w:t>
      </w:r>
      <w:r w:rsidRPr="00294660">
        <w:rPr>
          <w:color w:val="000000"/>
          <w:lang w:val="en-US"/>
        </w:rPr>
        <w:t> »</w:t>
      </w:r>
      <w:r>
        <w:t xml:space="preserve"> (2017), 68 </w:t>
      </w:r>
      <w:r w:rsidR="00D81FD3">
        <w:rPr>
          <w:i/>
        </w:rPr>
        <w:t>R.D. U.N.</w:t>
      </w:r>
      <w:r w:rsidR="000C518B">
        <w:rPr>
          <w:rFonts w:eastAsia="Calibri"/>
          <w:szCs w:val="22"/>
          <w:lang w:val="en-US" w:eastAsia="en-US"/>
        </w:rPr>
        <w:noBreakHyphen/>
      </w:r>
      <w:r w:rsidR="00D81FD3">
        <w:rPr>
          <w:i/>
        </w:rPr>
        <w:t>B.</w:t>
      </w:r>
      <w:r>
        <w:rPr>
          <w:i/>
        </w:rPr>
        <w:t xml:space="preserve"> </w:t>
      </w:r>
      <w:r w:rsidR="00925A4B">
        <w:t>6</w:t>
      </w:r>
      <w:r w:rsidR="00A171D9">
        <w:t>7</w:t>
      </w:r>
      <w:r>
        <w:t>.</w:t>
      </w:r>
    </w:p>
    <w:p w14:paraId="3404F3A2" w14:textId="6693DFFE" w:rsidR="001A1E66" w:rsidRPr="00080900" w:rsidRDefault="00437379" w:rsidP="009C7B64">
      <w:pPr>
        <w:pStyle w:val="SCCNormalDoubleSpacing"/>
        <w:spacing w:after="240" w:line="240" w:lineRule="auto"/>
        <w:ind w:left="540" w:hanging="540"/>
      </w:pPr>
      <w:r>
        <w:t>DeMarco, Jerry </w:t>
      </w:r>
      <w:r w:rsidR="001A1E66">
        <w:t xml:space="preserve">V. </w:t>
      </w:r>
      <w:r w:rsidR="001A1E66" w:rsidRPr="00294660">
        <w:rPr>
          <w:color w:val="000000"/>
          <w:lang w:val="en-US"/>
        </w:rPr>
        <w:t>« </w:t>
      </w:r>
      <w:r w:rsidR="001A1E66">
        <w:t>Seeking Simplicity in Canada</w:t>
      </w:r>
      <w:r w:rsidR="00356C64">
        <w:t>’</w:t>
      </w:r>
      <w:r w:rsidR="001A1E66">
        <w:t>s Complex World of Judicial Review</w:t>
      </w:r>
      <w:r w:rsidR="001A1E66" w:rsidRPr="00294660">
        <w:rPr>
          <w:color w:val="000000"/>
          <w:lang w:val="en-US"/>
        </w:rPr>
        <w:t> »</w:t>
      </w:r>
      <w:r w:rsidR="001A1E66">
        <w:t xml:space="preserve"> (2019), 32 </w:t>
      </w:r>
      <w:r w:rsidR="000C518B">
        <w:rPr>
          <w:i/>
        </w:rPr>
        <w:t>R.C.D.A.P.</w:t>
      </w:r>
      <w:r w:rsidR="001A1E66">
        <w:t xml:space="preserve"> 67.</w:t>
      </w:r>
    </w:p>
    <w:p w14:paraId="3D034EE4" w14:textId="77777777" w:rsidR="00A71996" w:rsidRPr="00294660" w:rsidRDefault="00A71996" w:rsidP="009C7B64">
      <w:pPr>
        <w:pStyle w:val="SCCNormalDoubleSpacing"/>
        <w:spacing w:after="240" w:line="240" w:lineRule="auto"/>
        <w:ind w:left="540" w:hanging="540"/>
        <w:rPr>
          <w:lang w:val="en-US"/>
        </w:rPr>
      </w:pPr>
      <w:r w:rsidRPr="00294660">
        <w:rPr>
          <w:lang w:val="en-US"/>
        </w:rPr>
        <w:t xml:space="preserve">Dicey, Albert Venn. </w:t>
      </w:r>
      <w:r w:rsidRPr="00294660">
        <w:rPr>
          <w:i/>
          <w:lang w:val="en-US"/>
        </w:rPr>
        <w:t>Introduction to the Study of the Law of the Constitution</w:t>
      </w:r>
      <w:r w:rsidRPr="00294660">
        <w:rPr>
          <w:lang w:val="en-US"/>
        </w:rPr>
        <w:t xml:space="preserve">, </w:t>
      </w:r>
      <w:r w:rsidR="008A0D24" w:rsidRPr="00294660">
        <w:rPr>
          <w:lang w:val="en-US"/>
        </w:rPr>
        <w:t>10</w:t>
      </w:r>
      <w:r w:rsidRPr="00294660">
        <w:rPr>
          <w:lang w:val="en-US"/>
        </w:rPr>
        <w:t xml:space="preserve">th ed., London, Macmillan, </w:t>
      </w:r>
      <w:r w:rsidR="008A0D24" w:rsidRPr="00294660">
        <w:rPr>
          <w:lang w:val="en-US"/>
        </w:rPr>
        <w:t>1959</w:t>
      </w:r>
      <w:r w:rsidRPr="00294660">
        <w:rPr>
          <w:lang w:val="en-US"/>
        </w:rPr>
        <w:t>.</w:t>
      </w:r>
    </w:p>
    <w:p w14:paraId="42F64DC8" w14:textId="77777777" w:rsidR="00294660" w:rsidRPr="004471F8" w:rsidRDefault="00294660" w:rsidP="009C7B64">
      <w:pPr>
        <w:pStyle w:val="SCCNormalDoubleSpacing"/>
        <w:spacing w:after="240" w:line="240" w:lineRule="auto"/>
        <w:ind w:left="540" w:hanging="540"/>
      </w:pPr>
      <w:r>
        <w:t xml:space="preserve">Duxbury, Neil. </w:t>
      </w:r>
      <w:r>
        <w:rPr>
          <w:i/>
        </w:rPr>
        <w:t>The Nature and Authority of Precedent</w:t>
      </w:r>
      <w:r>
        <w:t>, Cambridge, Cambridge University Press, 2008.</w:t>
      </w:r>
    </w:p>
    <w:p w14:paraId="7E12BA09" w14:textId="59D2FDD4" w:rsidR="00603D71" w:rsidRPr="00603D71" w:rsidRDefault="00603D71" w:rsidP="00603D71">
      <w:pPr>
        <w:pStyle w:val="SCCNormalDoubleSpacing"/>
        <w:spacing w:after="240" w:line="240" w:lineRule="auto"/>
        <w:ind w:left="540" w:hanging="540"/>
        <w:rPr>
          <w:color w:val="000000"/>
          <w:lang w:val="en-US"/>
        </w:rPr>
      </w:pPr>
      <w:r w:rsidRPr="00294660">
        <w:rPr>
          <w:lang w:val="en-US"/>
        </w:rPr>
        <w:t xml:space="preserve">Dyzenhaus, </w:t>
      </w:r>
      <w:r w:rsidRPr="00294660">
        <w:rPr>
          <w:color w:val="000000"/>
          <w:lang w:val="en-US"/>
        </w:rPr>
        <w:t>David. « The Politics of Deference</w:t>
      </w:r>
      <w:r w:rsidR="0096404C">
        <w:rPr>
          <w:color w:val="000000"/>
          <w:lang w:val="en-US"/>
        </w:rPr>
        <w:t> </w:t>
      </w:r>
      <w:r w:rsidRPr="00294660">
        <w:rPr>
          <w:color w:val="000000"/>
          <w:lang w:val="en-US"/>
        </w:rPr>
        <w:t>: Judicial Review and Democracy », in </w:t>
      </w:r>
      <w:r w:rsidRPr="00294660">
        <w:rPr>
          <w:rStyle w:val="solexhl"/>
          <w:rFonts w:eastAsiaTheme="majorEastAsia"/>
          <w:color w:val="000000"/>
          <w:lang w:val="en-US"/>
        </w:rPr>
        <w:t>Michael Taggart</w:t>
      </w:r>
      <w:r w:rsidRPr="00294660">
        <w:rPr>
          <w:color w:val="000000"/>
          <w:lang w:val="en-US"/>
        </w:rPr>
        <w:t>, ed., </w:t>
      </w:r>
      <w:r w:rsidRPr="00294660">
        <w:rPr>
          <w:i/>
          <w:iCs/>
          <w:color w:val="000000"/>
          <w:lang w:val="en-US"/>
        </w:rPr>
        <w:t>The Province of Administrative Law</w:t>
      </w:r>
      <w:r w:rsidRPr="00294660">
        <w:rPr>
          <w:color w:val="000000"/>
          <w:lang w:val="en-US"/>
        </w:rPr>
        <w:t>, Oxford, Hart, 1997, 279.</w:t>
      </w:r>
    </w:p>
    <w:p w14:paraId="2F77D6F1" w14:textId="694908FB" w:rsidR="00CB69B0" w:rsidRPr="00F44DB3" w:rsidRDefault="00CB69B0" w:rsidP="009C7B64">
      <w:pPr>
        <w:pStyle w:val="SCCNormalDoubleSpacing"/>
        <w:spacing w:after="240" w:line="240" w:lineRule="auto"/>
        <w:ind w:left="540" w:hanging="540"/>
        <w:rPr>
          <w:lang w:val="en-US"/>
        </w:rPr>
      </w:pPr>
      <w:r w:rsidRPr="00294660">
        <w:rPr>
          <w:lang w:val="en-US"/>
        </w:rPr>
        <w:t>Dyzenhaus, David. « Dignity in Administrative Law</w:t>
      </w:r>
      <w:r w:rsidR="0096404C">
        <w:rPr>
          <w:lang w:val="en-US"/>
        </w:rPr>
        <w:t> </w:t>
      </w:r>
      <w:r w:rsidRPr="00294660">
        <w:rPr>
          <w:lang w:val="en-US"/>
        </w:rPr>
        <w:t xml:space="preserve">: Judicial Deference in a Culture of Justification » (2012), 17 </w:t>
      </w:r>
      <w:r w:rsidR="0037291F">
        <w:rPr>
          <w:i/>
          <w:lang w:val="en-US"/>
        </w:rPr>
        <w:t>R. études const.</w:t>
      </w:r>
      <w:r w:rsidRPr="00F44DB3">
        <w:rPr>
          <w:lang w:val="en-US"/>
        </w:rPr>
        <w:t xml:space="preserve"> 87.</w:t>
      </w:r>
    </w:p>
    <w:p w14:paraId="237DB624" w14:textId="425FC738" w:rsidR="001C1E9B" w:rsidRDefault="005C1196" w:rsidP="009C7B64">
      <w:pPr>
        <w:pStyle w:val="SCCNormalDoubleSpacing"/>
        <w:spacing w:after="240" w:line="240" w:lineRule="auto"/>
        <w:ind w:left="540" w:hanging="540"/>
      </w:pPr>
      <w:r>
        <w:t xml:space="preserve">Evans, John M. </w:t>
      </w:r>
      <w:r w:rsidRPr="00294660">
        <w:rPr>
          <w:lang w:val="en-US"/>
        </w:rPr>
        <w:t>«</w:t>
      </w:r>
      <w:r w:rsidR="00437379">
        <w:rPr>
          <w:lang w:val="en-US"/>
        </w:rPr>
        <w:t> </w:t>
      </w:r>
      <w:r>
        <w:t xml:space="preserve">Standards </w:t>
      </w:r>
      <w:r w:rsidR="00437379">
        <w:t>of Review in Administrative Law </w:t>
      </w:r>
      <w:r w:rsidRPr="00294660">
        <w:rPr>
          <w:lang w:val="en-US"/>
        </w:rPr>
        <w:t>»</w:t>
      </w:r>
      <w:r>
        <w:t xml:space="preserve"> (2013), 26 </w:t>
      </w:r>
      <w:r w:rsidR="00C75676">
        <w:rPr>
          <w:i/>
        </w:rPr>
        <w:t xml:space="preserve">R.C.D.A.P. </w:t>
      </w:r>
      <w:r>
        <w:t>67.</w:t>
      </w:r>
    </w:p>
    <w:p w14:paraId="28C14DB5" w14:textId="728EB0CF" w:rsidR="001C1E9B" w:rsidRPr="00987979" w:rsidRDefault="00437379" w:rsidP="009C7B64">
      <w:pPr>
        <w:pStyle w:val="SCCNormalDoubleSpacing"/>
        <w:spacing w:after="240" w:line="240" w:lineRule="auto"/>
        <w:ind w:left="540" w:hanging="540"/>
      </w:pPr>
      <w:r>
        <w:t>Evans, John </w:t>
      </w:r>
      <w:r w:rsidR="001C1E9B">
        <w:t xml:space="preserve">M. </w:t>
      </w:r>
      <w:r>
        <w:rPr>
          <w:lang w:val="en-US"/>
        </w:rPr>
        <w:t>« </w:t>
      </w:r>
      <w:r w:rsidR="001C1E9B">
        <w:t>Triumph of Reasonableness</w:t>
      </w:r>
      <w:r w:rsidR="0096404C">
        <w:t> </w:t>
      </w:r>
      <w:r w:rsidR="001C1E9B">
        <w:t xml:space="preserve">: But </w:t>
      </w:r>
      <w:r>
        <w:t>How Much Does It Really Matter? </w:t>
      </w:r>
      <w:r w:rsidR="001C1E9B" w:rsidRPr="00294660">
        <w:rPr>
          <w:lang w:val="en-US"/>
        </w:rPr>
        <w:t>»</w:t>
      </w:r>
      <w:r w:rsidR="001C1E9B">
        <w:t xml:space="preserve"> (2014), 27 </w:t>
      </w:r>
      <w:r w:rsidR="00C75676">
        <w:rPr>
          <w:i/>
        </w:rPr>
        <w:t>R.C.D.A.P.</w:t>
      </w:r>
      <w:r w:rsidR="0055688A">
        <w:t xml:space="preserve"> 101.</w:t>
      </w:r>
    </w:p>
    <w:p w14:paraId="1ACEEF4C" w14:textId="77777777" w:rsidR="00D21DA5" w:rsidRPr="003D2400" w:rsidRDefault="00D21DA5" w:rsidP="007B547A">
      <w:pPr>
        <w:pStyle w:val="SCCNormalDoubleSpacing"/>
        <w:spacing w:after="240" w:line="240" w:lineRule="auto"/>
        <w:ind w:left="540" w:hanging="540"/>
      </w:pPr>
      <w:r w:rsidRPr="00793275">
        <w:rPr>
          <w:lang w:val="en-US"/>
        </w:rPr>
        <w:t>Frankfurter</w:t>
      </w:r>
      <w:r>
        <w:t xml:space="preserve">, Felix. </w:t>
      </w:r>
      <w:r w:rsidRPr="00294660">
        <w:rPr>
          <w:lang w:val="en-US"/>
        </w:rPr>
        <w:t>«</w:t>
      </w:r>
      <w:r w:rsidR="00437379">
        <w:rPr>
          <w:lang w:val="en-US"/>
        </w:rPr>
        <w:t> </w:t>
      </w:r>
      <w:r>
        <w:t>Some Reflection</w:t>
      </w:r>
      <w:r w:rsidR="00B530C0">
        <w:t>s</w:t>
      </w:r>
      <w:r>
        <w:t xml:space="preserve"> on the Reading of Statutes</w:t>
      </w:r>
      <w:r w:rsidR="00437379">
        <w:rPr>
          <w:lang w:val="en-US"/>
        </w:rPr>
        <w:t> </w:t>
      </w:r>
      <w:r w:rsidRPr="00294660">
        <w:rPr>
          <w:lang w:val="en-US"/>
        </w:rPr>
        <w:t>»</w:t>
      </w:r>
      <w:r>
        <w:t xml:space="preserve"> (1947), 47 </w:t>
      </w:r>
      <w:r>
        <w:rPr>
          <w:i/>
        </w:rPr>
        <w:t>Colum. L. Rev.</w:t>
      </w:r>
      <w:r>
        <w:t xml:space="preserve"> 527.</w:t>
      </w:r>
    </w:p>
    <w:p w14:paraId="0FBF0896" w14:textId="77777777" w:rsidR="000E6704" w:rsidRPr="00294660" w:rsidRDefault="00437379" w:rsidP="007B547A">
      <w:pPr>
        <w:pStyle w:val="SCCNormalDoubleSpacing"/>
        <w:spacing w:after="240" w:line="240" w:lineRule="auto"/>
        <w:ind w:left="540" w:hanging="540"/>
        <w:rPr>
          <w:lang w:val="en-US"/>
        </w:rPr>
      </w:pPr>
      <w:r w:rsidRPr="00793275">
        <w:rPr>
          <w:lang w:val="en-US"/>
        </w:rPr>
        <w:t>Garner, Bryan </w:t>
      </w:r>
      <w:r w:rsidR="000E6704" w:rsidRPr="00793275">
        <w:rPr>
          <w:lang w:val="en-US"/>
        </w:rPr>
        <w:t xml:space="preserve">A., et al. </w:t>
      </w:r>
      <w:r w:rsidR="000E6704" w:rsidRPr="00294660">
        <w:rPr>
          <w:i/>
          <w:lang w:val="en-US"/>
        </w:rPr>
        <w:t>The Law of Judicial Precedent</w:t>
      </w:r>
      <w:r w:rsidR="00B530C0">
        <w:rPr>
          <w:lang w:val="en-US"/>
        </w:rPr>
        <w:t>,</w:t>
      </w:r>
      <w:r w:rsidR="000E6704" w:rsidRPr="00294660">
        <w:rPr>
          <w:lang w:val="en-US"/>
        </w:rPr>
        <w:t xml:space="preserve"> St. Paul (Minn.), Thomson Reuters, 2016.</w:t>
      </w:r>
    </w:p>
    <w:p w14:paraId="2EB90B08" w14:textId="77777777" w:rsidR="00D91B6E" w:rsidRPr="009102C2" w:rsidRDefault="00437379" w:rsidP="009C7B64">
      <w:pPr>
        <w:pStyle w:val="SCCNormalDoubleSpacing"/>
        <w:spacing w:after="240" w:line="240" w:lineRule="auto"/>
        <w:ind w:left="540" w:hanging="540"/>
      </w:pPr>
      <w:r>
        <w:t>Gerhardt, Michael </w:t>
      </w:r>
      <w:r w:rsidR="00D91B6E">
        <w:t xml:space="preserve">J. </w:t>
      </w:r>
      <w:r w:rsidR="00D91B6E">
        <w:rPr>
          <w:i/>
        </w:rPr>
        <w:t>The Power of Precedent</w:t>
      </w:r>
      <w:r w:rsidR="005E4477">
        <w:t>,</w:t>
      </w:r>
      <w:r w:rsidR="00D91B6E">
        <w:t xml:space="preserve"> New York, Oxford University Press, 2008.</w:t>
      </w:r>
    </w:p>
    <w:p w14:paraId="0BE8EFA7" w14:textId="6422A9AE" w:rsidR="006577CF" w:rsidRPr="006C3B62" w:rsidRDefault="006577CF" w:rsidP="009C7B64">
      <w:pPr>
        <w:pStyle w:val="SCCNormalDoubleSpacing"/>
        <w:spacing w:after="240" w:line="240" w:lineRule="auto"/>
        <w:ind w:left="540" w:hanging="540"/>
      </w:pPr>
      <w:r w:rsidRPr="00294660">
        <w:rPr>
          <w:lang w:val="en-US"/>
        </w:rPr>
        <w:t xml:space="preserve">Grant, Angus, and Lorne Sossin. </w:t>
      </w:r>
      <w:r w:rsidR="00437379">
        <w:rPr>
          <w:lang w:val="en-US"/>
        </w:rPr>
        <w:t>« </w:t>
      </w:r>
      <w:r w:rsidRPr="00294660">
        <w:rPr>
          <w:lang w:val="en-US"/>
        </w:rPr>
        <w:t>Fairness in Context</w:t>
      </w:r>
      <w:r w:rsidR="004B4A47">
        <w:rPr>
          <w:lang w:val="en-US"/>
        </w:rPr>
        <w:t> </w:t>
      </w:r>
      <w:r w:rsidRPr="00294660">
        <w:rPr>
          <w:lang w:val="en-US"/>
        </w:rPr>
        <w:t>: Achieving Fairness Through Access to Administrative Justice</w:t>
      </w:r>
      <w:r w:rsidR="00437379">
        <w:rPr>
          <w:lang w:val="en-US"/>
        </w:rPr>
        <w:t> </w:t>
      </w:r>
      <w:r w:rsidR="00103638" w:rsidRPr="00294660">
        <w:rPr>
          <w:lang w:val="en-US"/>
        </w:rPr>
        <w:t>»</w:t>
      </w:r>
      <w:r w:rsidR="00437379">
        <w:rPr>
          <w:lang w:val="en-US"/>
        </w:rPr>
        <w:t>, in Colleen </w:t>
      </w:r>
      <w:r w:rsidRPr="00294660">
        <w:rPr>
          <w:lang w:val="en-US"/>
        </w:rPr>
        <w:t xml:space="preserve">M. Flood and Lorne Sossin, eds., </w:t>
      </w:r>
      <w:r w:rsidRPr="00294660">
        <w:rPr>
          <w:i/>
          <w:lang w:val="en-US"/>
        </w:rPr>
        <w:t>Admin</w:t>
      </w:r>
      <w:r w:rsidRPr="00E42ACE">
        <w:rPr>
          <w:i/>
        </w:rPr>
        <w:t>istrative Law in Context</w:t>
      </w:r>
      <w:r w:rsidRPr="00E42ACE">
        <w:t>, 3rd ed.</w:t>
      </w:r>
      <w:r w:rsidR="00103638">
        <w:t>,</w:t>
      </w:r>
      <w:r w:rsidRPr="00E42ACE">
        <w:t xml:space="preserve"> </w:t>
      </w:r>
      <w:r w:rsidR="00103638">
        <w:t>Toronto,</w:t>
      </w:r>
      <w:r w:rsidRPr="00E42ACE">
        <w:t xml:space="preserve"> Emond, 2018, 341.</w:t>
      </w:r>
    </w:p>
    <w:p w14:paraId="023E808F" w14:textId="77777777" w:rsidR="00D97033" w:rsidRDefault="006C3B62" w:rsidP="001E1601">
      <w:pPr>
        <w:pStyle w:val="SCCNormalDoubleSpacing"/>
        <w:spacing w:after="240" w:line="240" w:lineRule="auto"/>
        <w:ind w:left="540" w:hanging="540"/>
      </w:pPr>
      <w:r>
        <w:lastRenderedPageBreak/>
        <w:t xml:space="preserve">Green, Andrew. </w:t>
      </w:r>
      <w:r w:rsidRPr="00776A55">
        <w:rPr>
          <w:lang w:val="en-US"/>
        </w:rPr>
        <w:t>«</w:t>
      </w:r>
      <w:r w:rsidR="00437379">
        <w:rPr>
          <w:lang w:val="en-US"/>
        </w:rPr>
        <w:t> </w:t>
      </w:r>
      <w:r>
        <w:t>Can There Be Too Much Context in Administrative Law? Setting the Standard of Review</w:t>
      </w:r>
      <w:r w:rsidR="00437379">
        <w:t xml:space="preserve"> in Canadian Administrative Law </w:t>
      </w:r>
      <w:r w:rsidRPr="00776A55">
        <w:rPr>
          <w:lang w:val="en-US"/>
        </w:rPr>
        <w:t>»</w:t>
      </w:r>
      <w:r>
        <w:t xml:space="preserve"> (2014), 47 </w:t>
      </w:r>
      <w:r>
        <w:rPr>
          <w:i/>
        </w:rPr>
        <w:t>U.B.C. L. Rev.</w:t>
      </w:r>
      <w:r>
        <w:t xml:space="preserve"> 443.</w:t>
      </w:r>
    </w:p>
    <w:p w14:paraId="32D6ABD7" w14:textId="46234C6F" w:rsidR="00D97033" w:rsidRPr="004F3F01" w:rsidRDefault="00437379" w:rsidP="001E1601">
      <w:pPr>
        <w:pStyle w:val="SCCNormalDoubleSpacing"/>
        <w:spacing w:after="240" w:line="240" w:lineRule="auto"/>
        <w:ind w:left="540" w:hanging="540"/>
      </w:pPr>
      <w:r>
        <w:t>Hall, Geoff </w:t>
      </w:r>
      <w:r w:rsidR="00D97033">
        <w:t xml:space="preserve">R. </w:t>
      </w:r>
      <w:r w:rsidR="00D97033" w:rsidRPr="00776A55">
        <w:rPr>
          <w:lang w:val="en-US"/>
        </w:rPr>
        <w:t>«</w:t>
      </w:r>
      <w:r>
        <w:rPr>
          <w:lang w:val="en-US"/>
        </w:rPr>
        <w:t> </w:t>
      </w:r>
      <w:r w:rsidR="00D97033">
        <w:t>Two Unsettled Questions in the Law of Contractual Interpretation</w:t>
      </w:r>
      <w:r w:rsidR="004B4A47">
        <w:t> </w:t>
      </w:r>
      <w:r w:rsidR="00D97033">
        <w:t>: A Call</w:t>
      </w:r>
      <w:r>
        <w:t xml:space="preserve"> to the Supreme Court of Canada </w:t>
      </w:r>
      <w:r w:rsidR="00D97033" w:rsidRPr="00776A55">
        <w:rPr>
          <w:lang w:val="en-US"/>
        </w:rPr>
        <w:t>»</w:t>
      </w:r>
      <w:r w:rsidR="00D97033">
        <w:t xml:space="preserve"> (2011), 50 </w:t>
      </w:r>
      <w:r w:rsidR="00DC3878">
        <w:rPr>
          <w:i/>
        </w:rPr>
        <w:t xml:space="preserve">Rev. can. </w:t>
      </w:r>
      <w:r w:rsidR="002A46C7">
        <w:rPr>
          <w:i/>
        </w:rPr>
        <w:t>d</w:t>
      </w:r>
      <w:r w:rsidR="00DC3878">
        <w:rPr>
          <w:i/>
        </w:rPr>
        <w:t>r. comm.</w:t>
      </w:r>
      <w:r w:rsidR="00D97033">
        <w:t xml:space="preserve"> 434.</w:t>
      </w:r>
    </w:p>
    <w:p w14:paraId="708B324B" w14:textId="7809838C" w:rsidR="001D2071" w:rsidRPr="005E2E8D" w:rsidRDefault="001D2071" w:rsidP="001E1601">
      <w:pPr>
        <w:pStyle w:val="SCCNormalDoubleSpacing"/>
        <w:spacing w:after="240" w:line="240" w:lineRule="auto"/>
        <w:ind w:left="540" w:hanging="540"/>
      </w:pPr>
      <w:r>
        <w:t xml:space="preserve">Iacobucci, Frank. </w:t>
      </w:r>
      <w:r>
        <w:rPr>
          <w:color w:val="000000"/>
        </w:rPr>
        <w:t>« </w:t>
      </w:r>
      <w:r>
        <w:t>Articulating a Rational Standard of Review Doctrine</w:t>
      </w:r>
      <w:r w:rsidR="004B4A47">
        <w:t> </w:t>
      </w:r>
      <w:r>
        <w:t>: A Tribute to John Willis</w:t>
      </w:r>
      <w:r>
        <w:rPr>
          <w:color w:val="000000"/>
        </w:rPr>
        <w:t xml:space="preserve"> » </w:t>
      </w:r>
      <w:r>
        <w:t xml:space="preserve">(2002), 27 </w:t>
      </w:r>
      <w:r>
        <w:rPr>
          <w:i/>
        </w:rPr>
        <w:t>Queen</w:t>
      </w:r>
      <w:r w:rsidR="00356C64">
        <w:rPr>
          <w:i/>
        </w:rPr>
        <w:t>’</w:t>
      </w:r>
      <w:r>
        <w:rPr>
          <w:i/>
        </w:rPr>
        <w:t>s L.J.</w:t>
      </w:r>
      <w:r>
        <w:t xml:space="preserve"> 859.</w:t>
      </w:r>
    </w:p>
    <w:p w14:paraId="27155A43" w14:textId="02C44DFB" w:rsidR="00551533" w:rsidRDefault="00BE49AB" w:rsidP="009C7B64">
      <w:pPr>
        <w:pStyle w:val="SCCNormalDoubleSpacing"/>
        <w:spacing w:after="240" w:line="240" w:lineRule="auto"/>
        <w:ind w:left="540" w:hanging="540"/>
      </w:pPr>
      <w:r>
        <w:t>Laskin, Bora.</w:t>
      </w:r>
      <w:r w:rsidRPr="00776A55">
        <w:rPr>
          <w:lang w:val="en-US"/>
        </w:rPr>
        <w:t xml:space="preserve"> «</w:t>
      </w:r>
      <w:r w:rsidR="00437379">
        <w:t> </w:t>
      </w:r>
      <w:r>
        <w:t>Collective Bargaining in Ontario</w:t>
      </w:r>
      <w:r w:rsidR="004B4A47">
        <w:t> </w:t>
      </w:r>
      <w:r>
        <w:t xml:space="preserve">: A New Legislative </w:t>
      </w:r>
      <w:r w:rsidR="00437379">
        <w:t>Approach </w:t>
      </w:r>
      <w:r w:rsidRPr="00776A55">
        <w:rPr>
          <w:lang w:val="en-US"/>
        </w:rPr>
        <w:t>»</w:t>
      </w:r>
      <w:r w:rsidRPr="00776A55">
        <w:t xml:space="preserve"> </w:t>
      </w:r>
      <w:r>
        <w:t xml:space="preserve">(1943), 21 </w:t>
      </w:r>
      <w:r>
        <w:rPr>
          <w:i/>
        </w:rPr>
        <w:t>R. du B. can.</w:t>
      </w:r>
      <w:r>
        <w:t xml:space="preserve"> 684.</w:t>
      </w:r>
    </w:p>
    <w:p w14:paraId="79348F48" w14:textId="77777777" w:rsidR="00551533" w:rsidRPr="009E27B4" w:rsidRDefault="00551533" w:rsidP="009C7B64">
      <w:pPr>
        <w:pStyle w:val="SCCNormalDoubleSpacing"/>
        <w:spacing w:after="240" w:line="240" w:lineRule="auto"/>
        <w:ind w:left="540" w:hanging="540"/>
      </w:pPr>
      <w:r>
        <w:t xml:space="preserve">Lewans, Matthew. </w:t>
      </w:r>
      <w:r>
        <w:rPr>
          <w:i/>
        </w:rPr>
        <w:t>Administrative Law and Judicial Deference</w:t>
      </w:r>
      <w:r>
        <w:t xml:space="preserve">, Portland (Or.), </w:t>
      </w:r>
      <w:r w:rsidRPr="009E27B4">
        <w:t>Hart Publishing,</w:t>
      </w:r>
      <w:r>
        <w:t xml:space="preserve"> 2016.</w:t>
      </w:r>
    </w:p>
    <w:p w14:paraId="7069C047" w14:textId="25EA205B" w:rsidR="009923E7" w:rsidRPr="002B4C1D" w:rsidRDefault="009923E7" w:rsidP="009C7B64">
      <w:pPr>
        <w:pStyle w:val="SCCNormalDoubleSpacing"/>
        <w:spacing w:after="240" w:line="240" w:lineRule="auto"/>
        <w:ind w:left="540" w:hanging="540"/>
      </w:pPr>
      <w:r>
        <w:t xml:space="preserve">Lewans, Matthew. </w:t>
      </w:r>
      <w:r w:rsidRPr="00776A55">
        <w:rPr>
          <w:lang w:val="en-US"/>
        </w:rPr>
        <w:t>«</w:t>
      </w:r>
      <w:r w:rsidR="00437379">
        <w:t> </w:t>
      </w:r>
      <w:r>
        <w:t>Renovating Judicial Review</w:t>
      </w:r>
      <w:r w:rsidR="00437379">
        <w:t> </w:t>
      </w:r>
      <w:r w:rsidRPr="00776A55">
        <w:rPr>
          <w:lang w:val="en-US"/>
        </w:rPr>
        <w:t>»</w:t>
      </w:r>
      <w:r>
        <w:t xml:space="preserve"> (2017), 68 </w:t>
      </w:r>
      <w:r w:rsidR="000C2FB0">
        <w:rPr>
          <w:i/>
          <w:lang w:val="en-US"/>
        </w:rPr>
        <w:t>R.D. U.N.-B.</w:t>
      </w:r>
      <w:r>
        <w:rPr>
          <w:i/>
        </w:rPr>
        <w:t xml:space="preserve"> </w:t>
      </w:r>
      <w:r w:rsidR="007342FB">
        <w:t>109.</w:t>
      </w:r>
    </w:p>
    <w:p w14:paraId="24025F34" w14:textId="7D4CEC56" w:rsidR="00951ED1" w:rsidRDefault="0066620C" w:rsidP="009C7B64">
      <w:pPr>
        <w:pStyle w:val="SCCNormalDoubleSpacing"/>
        <w:spacing w:after="240" w:line="240" w:lineRule="auto"/>
        <w:ind w:left="540" w:hanging="540"/>
      </w:pPr>
      <w:r>
        <w:t>Macd</w:t>
      </w:r>
      <w:r w:rsidR="00976687">
        <w:t>onald, R.</w:t>
      </w:r>
      <w:r>
        <w:t xml:space="preserve"> </w:t>
      </w:r>
      <w:r w:rsidR="00976687">
        <w:t xml:space="preserve">A. </w:t>
      </w:r>
      <w:r w:rsidR="00976687" w:rsidRPr="00776A55">
        <w:rPr>
          <w:lang w:val="en-US"/>
        </w:rPr>
        <w:t>«</w:t>
      </w:r>
      <w:r w:rsidR="00437379">
        <w:t> </w:t>
      </w:r>
      <w:r w:rsidR="00976687">
        <w:t>Absence of Jurisdiction</w:t>
      </w:r>
      <w:r w:rsidR="004B4A47">
        <w:t> </w:t>
      </w:r>
      <w:r w:rsidR="00976687">
        <w:t>: A Perspective</w:t>
      </w:r>
      <w:r w:rsidR="00437379">
        <w:t> </w:t>
      </w:r>
      <w:r w:rsidR="00976687" w:rsidRPr="00776A55">
        <w:rPr>
          <w:lang w:val="en-US"/>
        </w:rPr>
        <w:t>»</w:t>
      </w:r>
      <w:r w:rsidR="00976687">
        <w:t xml:space="preserve"> (1983), 43 </w:t>
      </w:r>
      <w:r w:rsidR="00976687">
        <w:rPr>
          <w:i/>
        </w:rPr>
        <w:t>R. du B.</w:t>
      </w:r>
      <w:r w:rsidR="00976687">
        <w:t xml:space="preserve"> 307.</w:t>
      </w:r>
    </w:p>
    <w:p w14:paraId="0A0B07AA" w14:textId="34539F7C" w:rsidR="00951ED1" w:rsidRPr="00951ED1" w:rsidRDefault="00437379" w:rsidP="009C7B64">
      <w:pPr>
        <w:pStyle w:val="SCCNormalDoubleSpacing"/>
        <w:spacing w:after="240" w:line="240" w:lineRule="auto"/>
        <w:ind w:left="540" w:hanging="540"/>
        <w:rPr>
          <w:lang w:val="en-US"/>
        </w:rPr>
      </w:pPr>
      <w:r>
        <w:rPr>
          <w:lang w:val="en-US"/>
        </w:rPr>
        <w:t>Macdonald, Roderick </w:t>
      </w:r>
      <w:r w:rsidR="00951ED1" w:rsidRPr="00E80457">
        <w:rPr>
          <w:lang w:val="en-US"/>
        </w:rPr>
        <w:t>A.</w:t>
      </w:r>
      <w:r w:rsidR="0066620C">
        <w:rPr>
          <w:lang w:val="en-US"/>
        </w:rPr>
        <w:t>,</w:t>
      </w:r>
      <w:r w:rsidR="00951ED1" w:rsidRPr="00E80457">
        <w:rPr>
          <w:lang w:val="en-US"/>
        </w:rPr>
        <w:t xml:space="preserve"> and David Lametti. « Reasons for Decision in Administrative Law</w:t>
      </w:r>
      <w:r w:rsidR="00951ED1" w:rsidRPr="00E80457">
        <w:rPr>
          <w:noProof/>
          <w:lang w:val="en-US" w:bidi="en-US"/>
        </w:rPr>
        <w:t> »</w:t>
      </w:r>
      <w:r w:rsidR="00951ED1" w:rsidRPr="00E80457">
        <w:rPr>
          <w:lang w:val="en-US"/>
        </w:rPr>
        <w:t xml:space="preserve"> (1990), 3 </w:t>
      </w:r>
      <w:r w:rsidR="002C5257">
        <w:rPr>
          <w:i/>
          <w:lang w:val="en-US"/>
        </w:rPr>
        <w:t>R.C.D.A.P.</w:t>
      </w:r>
      <w:r w:rsidR="00951ED1" w:rsidRPr="00E80457">
        <w:rPr>
          <w:lang w:val="en-US"/>
        </w:rPr>
        <w:t xml:space="preserve"> 123.</w:t>
      </w:r>
    </w:p>
    <w:p w14:paraId="6431B9F4" w14:textId="77777777" w:rsidR="00951ED1" w:rsidRPr="00951ED1" w:rsidRDefault="00951ED1" w:rsidP="009C7B64">
      <w:pPr>
        <w:pStyle w:val="SCCNormalDoubleSpacing"/>
        <w:spacing w:after="240" w:line="240" w:lineRule="auto"/>
        <w:ind w:left="540" w:hanging="540"/>
        <w:rPr>
          <w:lang w:val="en-US" w:bidi="en-US"/>
        </w:rPr>
      </w:pPr>
      <w:r w:rsidRPr="00E80457">
        <w:rPr>
          <w:lang w:bidi="en-US"/>
        </w:rPr>
        <w:t>Macklin, Audrey. « </w:t>
      </w:r>
      <w:r w:rsidRPr="00E80457">
        <w:rPr>
          <w:lang w:val="en-US" w:bidi="en-US"/>
        </w:rPr>
        <w:t xml:space="preserve">Citizenship Revocation, the Privilege to Have Rights and the Production of the Alien » (2014), 40 </w:t>
      </w:r>
      <w:r w:rsidRPr="00E80457">
        <w:rPr>
          <w:i/>
          <w:lang w:val="en-US" w:bidi="en-US"/>
        </w:rPr>
        <w:t>Queen</w:t>
      </w:r>
      <w:r w:rsidR="00356C64">
        <w:rPr>
          <w:i/>
          <w:lang w:val="en-US" w:bidi="en-US"/>
        </w:rPr>
        <w:t>’</w:t>
      </w:r>
      <w:r w:rsidRPr="00E80457">
        <w:rPr>
          <w:i/>
          <w:lang w:val="en-US" w:bidi="en-US"/>
        </w:rPr>
        <w:t xml:space="preserve">s L.J. </w:t>
      </w:r>
      <w:r w:rsidRPr="00E80457">
        <w:rPr>
          <w:lang w:val="en-US" w:bidi="en-US"/>
        </w:rPr>
        <w:t>1.</w:t>
      </w:r>
    </w:p>
    <w:p w14:paraId="62B7C47E" w14:textId="0B29268B" w:rsidR="00A8700E" w:rsidRDefault="0068565E" w:rsidP="009C7B64">
      <w:pPr>
        <w:pStyle w:val="SCCNormalDoubleSpacing"/>
        <w:spacing w:after="240" w:line="240" w:lineRule="auto"/>
        <w:ind w:left="540" w:hanging="540"/>
      </w:pPr>
      <w:r w:rsidRPr="00951ED1">
        <w:t xml:space="preserve">Macklin, Audrey. </w:t>
      </w:r>
      <w:r w:rsidRPr="00951ED1">
        <w:rPr>
          <w:lang w:val="en-US"/>
        </w:rPr>
        <w:t>«</w:t>
      </w:r>
      <w:r w:rsidR="00437379">
        <w:t> </w:t>
      </w:r>
      <w:r w:rsidRPr="00951ED1">
        <w:t>Standard</w:t>
      </w:r>
      <w:r w:rsidR="00437379">
        <w:t xml:space="preserve"> of Review</w:t>
      </w:r>
      <w:r w:rsidR="004B4A47">
        <w:t> </w:t>
      </w:r>
      <w:r w:rsidR="00437379">
        <w:t>: Back to the Future? </w:t>
      </w:r>
      <w:r w:rsidRPr="00951ED1">
        <w:rPr>
          <w:lang w:val="en-US"/>
        </w:rPr>
        <w:t>»</w:t>
      </w:r>
      <w:r w:rsidR="00437379">
        <w:t>, in Colleen </w:t>
      </w:r>
      <w:r w:rsidRPr="00951ED1">
        <w:t xml:space="preserve">M. Flood and Lorne Sossin, eds., </w:t>
      </w:r>
      <w:r w:rsidRPr="00951ED1">
        <w:rPr>
          <w:i/>
        </w:rPr>
        <w:t>Administrative Law in Context</w:t>
      </w:r>
      <w:r w:rsidRPr="00951ED1">
        <w:t>, 3rd ed., Toronto, Emond, 2018, 381.</w:t>
      </w:r>
    </w:p>
    <w:p w14:paraId="3EFA0378" w14:textId="6FB59864" w:rsidR="00A8700E" w:rsidRPr="00F32757" w:rsidRDefault="00A8700E" w:rsidP="009C7B64">
      <w:pPr>
        <w:pStyle w:val="SCCNormalDoubleSpacing"/>
        <w:spacing w:after="240" w:line="240" w:lineRule="auto"/>
        <w:ind w:left="540" w:hanging="540"/>
      </w:pPr>
      <w:r>
        <w:t xml:space="preserve">Madden, Mike. </w:t>
      </w:r>
      <w:r w:rsidRPr="00776A55">
        <w:rPr>
          <w:lang w:val="en-US"/>
        </w:rPr>
        <w:t>«</w:t>
      </w:r>
      <w:r w:rsidR="009C7B64">
        <w:t> </w:t>
      </w:r>
      <w:r>
        <w:t>Conquering the Common Law Hydra</w:t>
      </w:r>
      <w:r w:rsidR="004B4A47">
        <w:t> </w:t>
      </w:r>
      <w:r>
        <w:t>: A Probably Correct and Reasonable Overview of Current Standards o</w:t>
      </w:r>
      <w:r w:rsidR="009C7B64">
        <w:t>f Appellate and Judicial Review </w:t>
      </w:r>
      <w:r w:rsidRPr="00776A55">
        <w:rPr>
          <w:lang w:val="en-US"/>
        </w:rPr>
        <w:t>»</w:t>
      </w:r>
      <w:r>
        <w:t xml:space="preserve"> (2010), 36 </w:t>
      </w:r>
      <w:r>
        <w:rPr>
          <w:i/>
        </w:rPr>
        <w:t xml:space="preserve">Adv. Q. </w:t>
      </w:r>
      <w:r>
        <w:t>269.</w:t>
      </w:r>
    </w:p>
    <w:p w14:paraId="1863E970" w14:textId="4AEA724B" w:rsidR="00D905A9" w:rsidRPr="00D905A9" w:rsidRDefault="00D905A9" w:rsidP="009C7B64">
      <w:pPr>
        <w:pStyle w:val="SCCNormalDoubleSpacing"/>
        <w:spacing w:after="240" w:line="240" w:lineRule="auto"/>
        <w:ind w:left="540" w:hanging="540"/>
      </w:pPr>
      <w:r>
        <w:t xml:space="preserve">Makela, Finn. </w:t>
      </w:r>
      <w:r w:rsidRPr="00776A55">
        <w:rPr>
          <w:lang w:val="en-US"/>
        </w:rPr>
        <w:t>«</w:t>
      </w:r>
      <w:r w:rsidR="009C7B64">
        <w:t> </w:t>
      </w:r>
      <w:r>
        <w:t>Acquired Expertise of Administrative Tribunals and the Standard of Judicial Review</w:t>
      </w:r>
      <w:r w:rsidR="004B4A47">
        <w:t> </w:t>
      </w:r>
      <w:r>
        <w:t>: The Case of Grievance A</w:t>
      </w:r>
      <w:r w:rsidR="009C7B64">
        <w:t>rbitrators and Human Rights Law </w:t>
      </w:r>
      <w:r w:rsidRPr="00776A55">
        <w:rPr>
          <w:lang w:val="en-US"/>
        </w:rPr>
        <w:t>»</w:t>
      </w:r>
      <w:r>
        <w:t xml:space="preserve"> (2013), 17 </w:t>
      </w:r>
      <w:r>
        <w:rPr>
          <w:i/>
        </w:rPr>
        <w:t xml:space="preserve">C.L.E.L.J. </w:t>
      </w:r>
      <w:r>
        <w:t>345.</w:t>
      </w:r>
    </w:p>
    <w:p w14:paraId="4BFF352B" w14:textId="358CFF6D" w:rsidR="00D5170D" w:rsidRPr="00806C6A" w:rsidRDefault="00D5170D" w:rsidP="009C7B64">
      <w:pPr>
        <w:pStyle w:val="SCCNormalDoubleSpacing"/>
        <w:spacing w:after="240" w:line="240" w:lineRule="auto"/>
        <w:ind w:left="540" w:hanging="540"/>
        <w:rPr>
          <w:lang w:val="en-US"/>
        </w:rPr>
      </w:pPr>
      <w:r w:rsidRPr="00951ED1">
        <w:t xml:space="preserve">McLachlin, Beverley. </w:t>
      </w:r>
      <w:r w:rsidR="00437379">
        <w:rPr>
          <w:lang w:val="en-US"/>
        </w:rPr>
        <w:t>« </w:t>
      </w:r>
      <w:r w:rsidRPr="00951ED1">
        <w:t>The Roles of Administrative Tribunals and Courts</w:t>
      </w:r>
      <w:r w:rsidR="00437379">
        <w:t xml:space="preserve"> in Maintaining the Rule of Law </w:t>
      </w:r>
      <w:r w:rsidRPr="00951ED1">
        <w:rPr>
          <w:lang w:val="en-US"/>
        </w:rPr>
        <w:t>»</w:t>
      </w:r>
      <w:r w:rsidR="00A36C11">
        <w:t xml:space="preserve"> (1998</w:t>
      </w:r>
      <w:r w:rsidRPr="00951ED1">
        <w:t>), 12</w:t>
      </w:r>
      <w:r w:rsidR="00806C6A" w:rsidRPr="00806C6A">
        <w:rPr>
          <w:i/>
          <w:lang w:val="en-US"/>
        </w:rPr>
        <w:t xml:space="preserve"> </w:t>
      </w:r>
      <w:r w:rsidR="00A70421">
        <w:rPr>
          <w:i/>
          <w:lang w:val="en-US"/>
        </w:rPr>
        <w:t>R.C.D.A.P.</w:t>
      </w:r>
      <w:r w:rsidRPr="00806C6A">
        <w:rPr>
          <w:i/>
          <w:lang w:val="en-US"/>
        </w:rPr>
        <w:t xml:space="preserve"> </w:t>
      </w:r>
      <w:r w:rsidRPr="00806C6A">
        <w:rPr>
          <w:lang w:val="en-US"/>
        </w:rPr>
        <w:t>171.</w:t>
      </w:r>
    </w:p>
    <w:p w14:paraId="18A79767" w14:textId="4962FA0D" w:rsidR="00D5170D" w:rsidRDefault="00D5170D" w:rsidP="009C7B64">
      <w:pPr>
        <w:pStyle w:val="SCCNormalDoubleSpacing"/>
        <w:spacing w:after="240" w:line="240" w:lineRule="auto"/>
        <w:ind w:left="540" w:hanging="540"/>
        <w:rPr>
          <w:color w:val="000000"/>
          <w:lang w:val="fr-CA"/>
        </w:rPr>
      </w:pPr>
      <w:r w:rsidRPr="00A9763A">
        <w:rPr>
          <w:color w:val="000000"/>
          <w:lang w:val="fr-CA"/>
        </w:rPr>
        <w:t>McLachlin, Beverley.</w:t>
      </w:r>
      <w:r w:rsidRPr="00A9763A">
        <w:rPr>
          <w:i/>
          <w:iCs/>
          <w:color w:val="000000"/>
          <w:lang w:val="fr-CA"/>
        </w:rPr>
        <w:t xml:space="preserve"> Tribunaux administratifs et tribunaux judiciaires : une relation en évolution</w:t>
      </w:r>
      <w:r w:rsidR="00D773E9" w:rsidRPr="00A9763A">
        <w:rPr>
          <w:color w:val="000000"/>
          <w:lang w:val="fr-CA"/>
        </w:rPr>
        <w:t>, 27 </w:t>
      </w:r>
      <w:r w:rsidR="005C4482">
        <w:rPr>
          <w:color w:val="000000"/>
          <w:lang w:val="fr-CA"/>
        </w:rPr>
        <w:t xml:space="preserve">mai 2013 (en ligne : </w:t>
      </w:r>
      <w:r w:rsidRPr="00A9763A">
        <w:rPr>
          <w:rStyle w:val="Hyperlink"/>
          <w:rFonts w:eastAsiaTheme="majorEastAsia"/>
          <w:color w:val="auto"/>
          <w:u w:val="none"/>
          <w:lang w:val="fr-CA"/>
        </w:rPr>
        <w:t>https://www.scc-csc.ca/judges-juges/spe-dis/bm-2013-05-27-fra.aspx; version archivée :</w:t>
      </w:r>
      <w:r w:rsidR="005C4482">
        <w:rPr>
          <w:rStyle w:val="Hyperlink"/>
          <w:rFonts w:eastAsiaTheme="majorEastAsia"/>
          <w:color w:val="auto"/>
          <w:u w:val="none"/>
          <w:lang w:val="fr-CA"/>
        </w:rPr>
        <w:t xml:space="preserve"> </w:t>
      </w:r>
      <w:hyperlink r:id="rId11" w:history="1">
        <w:r w:rsidR="00CF4FEC" w:rsidRPr="007265C3">
          <w:rPr>
            <w:rFonts w:eastAsiaTheme="majorEastAsia"/>
            <w:lang w:val="fr-CA"/>
          </w:rPr>
          <w:t>https://www.scc-csc.ca/cso-dce/2019SCC-CSC65_2_fra.pdf</w:t>
        </w:r>
      </w:hyperlink>
      <w:r w:rsidRPr="00A9763A">
        <w:rPr>
          <w:color w:val="000000"/>
          <w:lang w:val="fr-CA"/>
        </w:rPr>
        <w:t>).</w:t>
      </w:r>
    </w:p>
    <w:p w14:paraId="706809A8" w14:textId="2FAB41EF" w:rsidR="0008430F" w:rsidRPr="0008430F" w:rsidRDefault="0008430F" w:rsidP="009C7B64">
      <w:pPr>
        <w:pStyle w:val="SCCNormalDoubleSpacing"/>
        <w:spacing w:after="240" w:line="240" w:lineRule="auto"/>
        <w:ind w:left="540" w:hanging="540"/>
      </w:pPr>
      <w:r w:rsidRPr="00D5170D">
        <w:rPr>
          <w:lang w:val="en-US"/>
        </w:rPr>
        <w:t>McLachlin, Beverley</w:t>
      </w:r>
      <w:r w:rsidR="00D5170D" w:rsidRPr="00D5170D">
        <w:rPr>
          <w:lang w:val="en-US"/>
        </w:rPr>
        <w:t>.</w:t>
      </w:r>
      <w:r w:rsidRPr="00D5170D">
        <w:rPr>
          <w:lang w:val="en-US"/>
        </w:rPr>
        <w:t xml:space="preserve"> «</w:t>
      </w:r>
      <w:r w:rsidR="00D773E9">
        <w:rPr>
          <w:lang w:val="en-US"/>
        </w:rPr>
        <w:t> </w:t>
      </w:r>
      <w:r w:rsidRPr="00D5170D">
        <w:rPr>
          <w:lang w:val="en-US"/>
        </w:rPr>
        <w:t>“Administrative Law is Not for Sissies”</w:t>
      </w:r>
      <w:r w:rsidR="004953E7">
        <w:rPr>
          <w:lang w:val="en-US"/>
        </w:rPr>
        <w:t> </w:t>
      </w:r>
      <w:r w:rsidRPr="00D5170D">
        <w:rPr>
          <w:lang w:val="en-US"/>
        </w:rPr>
        <w:t>: Finding a Path Through the Thicket</w:t>
      </w:r>
      <w:r w:rsidR="00D773E9">
        <w:rPr>
          <w:lang w:val="en-US"/>
        </w:rPr>
        <w:t> </w:t>
      </w:r>
      <w:r w:rsidRPr="00D5170D">
        <w:rPr>
          <w:lang w:val="en-US"/>
        </w:rPr>
        <w:t xml:space="preserve">» (2016), 29 </w:t>
      </w:r>
      <w:r w:rsidR="00431B03">
        <w:rPr>
          <w:i/>
          <w:lang w:val="en-US"/>
        </w:rPr>
        <w:t>R.C.D.A.P.</w:t>
      </w:r>
      <w:r>
        <w:t xml:space="preserve"> 127.</w:t>
      </w:r>
    </w:p>
    <w:p w14:paraId="6247578F" w14:textId="77777777" w:rsidR="001B4421" w:rsidRPr="009A3174" w:rsidRDefault="001B4421" w:rsidP="001E1601">
      <w:pPr>
        <w:pStyle w:val="SCCNormalDoubleSpacing"/>
        <w:spacing w:after="240" w:line="240" w:lineRule="auto"/>
        <w:ind w:left="540" w:hanging="540"/>
      </w:pPr>
      <w:r w:rsidRPr="008C6CE4">
        <w:t xml:space="preserve">McLachlin, </w:t>
      </w:r>
      <w:r w:rsidRPr="00895C00">
        <w:t>Beverley.</w:t>
      </w:r>
      <w:r>
        <w:t xml:space="preserve"> </w:t>
      </w:r>
      <w:r w:rsidR="00D773E9">
        <w:rPr>
          <w:lang w:val="en-US"/>
        </w:rPr>
        <w:t>« </w:t>
      </w:r>
      <w:r>
        <w:t>The Role of the Supreme Court of Canada in Shaping the Common Law</w:t>
      </w:r>
      <w:r w:rsidR="00D773E9">
        <w:rPr>
          <w:lang w:val="en-US"/>
        </w:rPr>
        <w:t> </w:t>
      </w:r>
      <w:r w:rsidRPr="00D5170D">
        <w:rPr>
          <w:lang w:val="en-US"/>
        </w:rPr>
        <w:t>»</w:t>
      </w:r>
      <w:r>
        <w:t xml:space="preserve">, in Paul Daly, ed., </w:t>
      </w:r>
      <w:r>
        <w:rPr>
          <w:i/>
        </w:rPr>
        <w:t>Apex Courts and the Common Law</w:t>
      </w:r>
      <w:r>
        <w:t>, Toronto, Un</w:t>
      </w:r>
      <w:r w:rsidR="00C66774">
        <w:t>iversity of Toronto Press, 2019, 25.</w:t>
      </w:r>
    </w:p>
    <w:p w14:paraId="65F6E795" w14:textId="469EC3A0" w:rsidR="00C251F6" w:rsidRPr="00951ED1" w:rsidRDefault="00C251F6" w:rsidP="009C7B64">
      <w:pPr>
        <w:pStyle w:val="SCCNormalDoubleSpacing"/>
        <w:spacing w:after="240" w:line="240" w:lineRule="auto"/>
        <w:ind w:left="540" w:hanging="540"/>
      </w:pPr>
      <w:r w:rsidRPr="00951ED1">
        <w:lastRenderedPageBreak/>
        <w:t xml:space="preserve">Morissette, Yves-Marie. </w:t>
      </w:r>
      <w:r w:rsidRPr="00951ED1">
        <w:rPr>
          <w:lang w:val="en-US"/>
        </w:rPr>
        <w:t>«</w:t>
      </w:r>
      <w:r w:rsidR="00D773E9">
        <w:t> </w:t>
      </w:r>
      <w:r w:rsidRPr="00951ED1">
        <w:t>What is a “reasonable decision”?</w:t>
      </w:r>
      <w:r w:rsidR="00D773E9">
        <w:t> </w:t>
      </w:r>
      <w:r w:rsidRPr="00951ED1">
        <w:rPr>
          <w:lang w:val="en-US"/>
        </w:rPr>
        <w:t>»</w:t>
      </w:r>
      <w:r w:rsidRPr="00951ED1">
        <w:t xml:space="preserve"> (2018), 31 </w:t>
      </w:r>
      <w:r w:rsidR="005C707B">
        <w:rPr>
          <w:i/>
        </w:rPr>
        <w:t>R.C.D.A.P.</w:t>
      </w:r>
      <w:r w:rsidRPr="00951ED1">
        <w:t xml:space="preserve"> 225.</w:t>
      </w:r>
    </w:p>
    <w:p w14:paraId="4C1F28C7" w14:textId="77777777" w:rsidR="00951ED1" w:rsidRPr="00951ED1" w:rsidRDefault="00C63702" w:rsidP="001E1601">
      <w:pPr>
        <w:pStyle w:val="SCCNormalDoubleSpacing"/>
        <w:spacing w:after="240" w:line="240" w:lineRule="auto"/>
        <w:ind w:left="540" w:hanging="540"/>
      </w:pPr>
      <w:r w:rsidRPr="00951ED1">
        <w:t xml:space="preserve">Mullan, David. </w:t>
      </w:r>
      <w:r w:rsidR="00D773E9">
        <w:rPr>
          <w:lang w:val="en-US"/>
        </w:rPr>
        <w:t>« </w:t>
      </w:r>
      <w:r w:rsidRPr="00951ED1">
        <w:t xml:space="preserve">Unresolved Issues on Standard of Review in Canadian Judicial Review of Administrative Action </w:t>
      </w:r>
      <w:r w:rsidR="00D773E9">
        <w:t>—</w:t>
      </w:r>
      <w:r w:rsidRPr="00951ED1">
        <w:t xml:space="preserve"> The Top Fifteen!</w:t>
      </w:r>
      <w:r w:rsidR="00D773E9">
        <w:t> </w:t>
      </w:r>
      <w:r w:rsidRPr="00951ED1">
        <w:rPr>
          <w:lang w:val="en-US"/>
        </w:rPr>
        <w:t>»</w:t>
      </w:r>
      <w:r w:rsidRPr="00951ED1">
        <w:t xml:space="preserve"> (2013), 42 </w:t>
      </w:r>
      <w:r w:rsidRPr="00951ED1">
        <w:rPr>
          <w:i/>
        </w:rPr>
        <w:t>Adv. Q.</w:t>
      </w:r>
      <w:r w:rsidRPr="00951ED1">
        <w:t xml:space="preserve"> 1.</w:t>
      </w:r>
    </w:p>
    <w:p w14:paraId="626C387A" w14:textId="437CC149" w:rsidR="00E744F5" w:rsidRDefault="00BE49AB" w:rsidP="001E1601">
      <w:pPr>
        <w:pStyle w:val="SCCNormalDoubleSpacing"/>
        <w:spacing w:after="240" w:line="240" w:lineRule="auto"/>
        <w:ind w:left="540" w:hanging="540"/>
      </w:pPr>
      <w:r w:rsidRPr="00951ED1">
        <w:t xml:space="preserve">Munro, Katherine. </w:t>
      </w:r>
      <w:r w:rsidRPr="00951ED1">
        <w:rPr>
          <w:lang w:val="en-US"/>
        </w:rPr>
        <w:t>«</w:t>
      </w:r>
      <w:r w:rsidR="00D773E9">
        <w:rPr>
          <w:lang w:val="en-US"/>
        </w:rPr>
        <w:t> </w:t>
      </w:r>
      <w:r w:rsidRPr="00951ED1">
        <w:t>A “Unique Experiment”</w:t>
      </w:r>
      <w:r w:rsidR="005C4482">
        <w:t> </w:t>
      </w:r>
      <w:r w:rsidRPr="00951ED1">
        <w:t>: The Ontario Labour Court, 1943</w:t>
      </w:r>
      <w:r w:rsidR="00D773E9">
        <w:noBreakHyphen/>
        <w:t>1944 </w:t>
      </w:r>
      <w:r w:rsidRPr="00951ED1">
        <w:rPr>
          <w:lang w:val="en-US"/>
        </w:rPr>
        <w:t>»</w:t>
      </w:r>
      <w:r w:rsidRPr="00951ED1">
        <w:t xml:space="preserve"> (2014), 74 </w:t>
      </w:r>
      <w:r w:rsidRPr="00951ED1">
        <w:rPr>
          <w:i/>
        </w:rPr>
        <w:t>Le travail</w:t>
      </w:r>
      <w:r w:rsidRPr="00951ED1">
        <w:t xml:space="preserve"> 199.</w:t>
      </w:r>
    </w:p>
    <w:p w14:paraId="6CBF8685" w14:textId="6CE272B7" w:rsidR="00E744F5" w:rsidRPr="00535318" w:rsidRDefault="00D773E9" w:rsidP="001E1601">
      <w:pPr>
        <w:pStyle w:val="SCCNormalDoubleSpacing"/>
        <w:spacing w:after="240" w:line="240" w:lineRule="auto"/>
        <w:ind w:left="540" w:hanging="540"/>
      </w:pPr>
      <w:r>
        <w:t xml:space="preserve">Pape, Paul J., and </w:t>
      </w:r>
      <w:r w:rsidR="005F369E">
        <w:t xml:space="preserve">John J. Adair. </w:t>
      </w:r>
      <w:r w:rsidR="00E744F5" w:rsidRPr="00951ED1">
        <w:rPr>
          <w:lang w:val="en-US"/>
        </w:rPr>
        <w:t>«</w:t>
      </w:r>
      <w:r w:rsidR="00E744F5" w:rsidRPr="00951ED1">
        <w:t xml:space="preserve"> </w:t>
      </w:r>
      <w:r w:rsidR="00E744F5">
        <w:t>Unreasonable review</w:t>
      </w:r>
      <w:r w:rsidR="00C4132B">
        <w:t> </w:t>
      </w:r>
      <w:r w:rsidR="00E744F5">
        <w:t>: The losing party and the palpabl</w:t>
      </w:r>
      <w:r>
        <w:t>e and overriding error standard </w:t>
      </w:r>
      <w:r w:rsidR="00E744F5" w:rsidRPr="00951ED1">
        <w:rPr>
          <w:lang w:val="en-US"/>
        </w:rPr>
        <w:t>»</w:t>
      </w:r>
      <w:r w:rsidR="00E744F5">
        <w:t xml:space="preserve"> (2008), 27 </w:t>
      </w:r>
      <w:r w:rsidR="00E744F5">
        <w:rPr>
          <w:i/>
        </w:rPr>
        <w:t xml:space="preserve">Adv. J. </w:t>
      </w:r>
      <w:r w:rsidR="00E744F5">
        <w:t>6.</w:t>
      </w:r>
    </w:p>
    <w:p w14:paraId="0A98933B" w14:textId="77777777" w:rsidR="001506C8" w:rsidRPr="00BE38FD" w:rsidRDefault="00D773E9" w:rsidP="001E1601">
      <w:pPr>
        <w:pStyle w:val="SCCNormalDoubleSpacing"/>
        <w:spacing w:after="240" w:line="240" w:lineRule="auto"/>
        <w:ind w:left="540" w:hanging="540"/>
      </w:pPr>
      <w:r>
        <w:t>Perell, Paul </w:t>
      </w:r>
      <w:r w:rsidR="001506C8">
        <w:t xml:space="preserve">M. </w:t>
      </w:r>
      <w:r w:rsidR="001506C8" w:rsidRPr="00951ED1">
        <w:rPr>
          <w:lang w:val="en-US"/>
        </w:rPr>
        <w:t>«</w:t>
      </w:r>
      <w:r>
        <w:t> </w:t>
      </w:r>
      <w:r w:rsidR="001506C8">
        <w:t xml:space="preserve">The Standard of Appellate Review and The </w:t>
      </w:r>
      <w:r>
        <w:t>Ironies of Housen v. Nikolaisen </w:t>
      </w:r>
      <w:r w:rsidR="001506C8" w:rsidRPr="00951ED1">
        <w:rPr>
          <w:lang w:val="en-US"/>
        </w:rPr>
        <w:t>»</w:t>
      </w:r>
      <w:r w:rsidR="001506C8">
        <w:t xml:space="preserve"> (2004), 28 </w:t>
      </w:r>
      <w:r w:rsidR="001506C8">
        <w:rPr>
          <w:i/>
        </w:rPr>
        <w:t>Adv. Q.</w:t>
      </w:r>
      <w:r w:rsidR="005F369E">
        <w:t xml:space="preserve"> 40</w:t>
      </w:r>
      <w:r w:rsidR="001506C8">
        <w:t>.</w:t>
      </w:r>
    </w:p>
    <w:p w14:paraId="1A54FC1A" w14:textId="77777777" w:rsidR="0007414C" w:rsidRPr="004A2FA5" w:rsidRDefault="00D773E9" w:rsidP="001E1601">
      <w:pPr>
        <w:pStyle w:val="SCCNormalDoubleSpacing"/>
        <w:spacing w:after="240" w:line="240" w:lineRule="auto"/>
        <w:ind w:left="540" w:hanging="540"/>
      </w:pPr>
      <w:r>
        <w:t>Powell, Lewis </w:t>
      </w:r>
      <w:r w:rsidR="0007414C">
        <w:t xml:space="preserve">F., Jr. </w:t>
      </w:r>
      <w:r w:rsidR="0007414C" w:rsidRPr="00776A55">
        <w:rPr>
          <w:lang w:val="en-US"/>
        </w:rPr>
        <w:t>«</w:t>
      </w:r>
      <w:r>
        <w:t> </w:t>
      </w:r>
      <w:r w:rsidR="0007414C">
        <w:rPr>
          <w:i/>
        </w:rPr>
        <w:t>Stare Decisis</w:t>
      </w:r>
      <w:r>
        <w:t xml:space="preserve"> and Judicial Restraint </w:t>
      </w:r>
      <w:r w:rsidR="0007414C" w:rsidRPr="00776A55">
        <w:rPr>
          <w:lang w:val="en-US"/>
        </w:rPr>
        <w:t>»</w:t>
      </w:r>
      <w:r w:rsidR="0007414C">
        <w:t xml:space="preserve"> (1990), 47 </w:t>
      </w:r>
      <w:r w:rsidR="0007414C">
        <w:rPr>
          <w:i/>
        </w:rPr>
        <w:t>Wash. &amp; Lee L. Rev.</w:t>
      </w:r>
      <w:r w:rsidR="0007414C">
        <w:t xml:space="preserve"> 281.</w:t>
      </w:r>
    </w:p>
    <w:p w14:paraId="495837BA" w14:textId="77777777" w:rsidR="00A03443" w:rsidRDefault="00AF19B8" w:rsidP="009C7B64">
      <w:pPr>
        <w:pStyle w:val="SCCNormalDoubleSpacing"/>
        <w:spacing w:after="240" w:line="240" w:lineRule="auto"/>
        <w:ind w:left="540" w:hanging="540"/>
        <w:rPr>
          <w:color w:val="000000"/>
        </w:rPr>
      </w:pPr>
      <w:r>
        <w:rPr>
          <w:color w:val="000000"/>
        </w:rPr>
        <w:t>Régimbald, Guy. </w:t>
      </w:r>
      <w:r>
        <w:rPr>
          <w:i/>
          <w:iCs/>
          <w:color w:val="000000"/>
        </w:rPr>
        <w:t>Canadian Administrative Law</w:t>
      </w:r>
      <w:r>
        <w:rPr>
          <w:color w:val="000000"/>
        </w:rPr>
        <w:t>, 2nd ed., Markham (Ont.), LexisNexis, 2015.</w:t>
      </w:r>
    </w:p>
    <w:p w14:paraId="585EC2F2" w14:textId="301948AC" w:rsidR="00B313AC" w:rsidRPr="00B313AC" w:rsidRDefault="00B313AC" w:rsidP="001E1601">
      <w:pPr>
        <w:pStyle w:val="SCCNormalDoubleSpacing"/>
        <w:spacing w:after="240" w:line="240" w:lineRule="auto"/>
        <w:ind w:left="540" w:hanging="540"/>
        <w:rPr>
          <w:lang w:val="en-US"/>
        </w:rPr>
      </w:pPr>
      <w:r>
        <w:t xml:space="preserve">Robertson, Joseph T. </w:t>
      </w:r>
      <w:r>
        <w:rPr>
          <w:lang w:val="en-US"/>
        </w:rPr>
        <w:t>« </w:t>
      </w:r>
      <w:r>
        <w:t>Judicial Defere</w:t>
      </w:r>
      <w:r w:rsidR="00C4132B">
        <w:t>nce to Administrative Tribunals </w:t>
      </w:r>
      <w:r>
        <w:t>: A Guide to 60 Years of Supreme Court Jurisprudence </w:t>
      </w:r>
      <w:r w:rsidRPr="00EE010E">
        <w:rPr>
          <w:lang w:val="en-US"/>
        </w:rPr>
        <w:t>»</w:t>
      </w:r>
      <w:r>
        <w:t xml:space="preserve"> (2014), 66 </w:t>
      </w:r>
      <w:r>
        <w:rPr>
          <w:i/>
        </w:rPr>
        <w:t xml:space="preserve">S.C.L.R. </w:t>
      </w:r>
      <w:r>
        <w:t>(2d) 1.</w:t>
      </w:r>
    </w:p>
    <w:p w14:paraId="466998BA" w14:textId="4742334E" w:rsidR="009C6FAF" w:rsidRPr="004953E7" w:rsidRDefault="00D773E9" w:rsidP="009C7B64">
      <w:pPr>
        <w:pStyle w:val="SCCNormalDoubleSpacing"/>
        <w:spacing w:after="240" w:line="240" w:lineRule="auto"/>
        <w:ind w:left="540" w:hanging="540"/>
      </w:pPr>
      <w:r>
        <w:t>Robertson, Joseph </w:t>
      </w:r>
      <w:r w:rsidR="00CB18CF">
        <w:t xml:space="preserve">T. </w:t>
      </w:r>
      <w:r>
        <w:rPr>
          <w:lang w:val="en-US"/>
        </w:rPr>
        <w:t>« </w:t>
      </w:r>
      <w:r w:rsidR="00CB18CF">
        <w:t>Identifying the Review Standard</w:t>
      </w:r>
      <w:r w:rsidR="00C4132B">
        <w:t> </w:t>
      </w:r>
      <w:r w:rsidR="00CB18CF">
        <w:t>: Administrative Deference in a Nutshell</w:t>
      </w:r>
      <w:r>
        <w:t> </w:t>
      </w:r>
      <w:r w:rsidR="00CB18CF" w:rsidRPr="00EE010E">
        <w:rPr>
          <w:lang w:val="en-US"/>
        </w:rPr>
        <w:t>»</w:t>
      </w:r>
      <w:r w:rsidR="00CB18CF">
        <w:t xml:space="preserve"> (2017), 68 </w:t>
      </w:r>
      <w:r w:rsidR="007C3289">
        <w:rPr>
          <w:i/>
          <w:lang w:val="en-US"/>
        </w:rPr>
        <w:t>R.D. U.N.-B.</w:t>
      </w:r>
      <w:r w:rsidR="007C3289">
        <w:t xml:space="preserve"> 145.</w:t>
      </w:r>
    </w:p>
    <w:p w14:paraId="5C14F71A" w14:textId="7FBE0794" w:rsidR="009C6FAF" w:rsidRDefault="00D773E9" w:rsidP="00A9763A">
      <w:pPr>
        <w:pStyle w:val="SCCNormalDoubleSpacing"/>
        <w:spacing w:after="240" w:line="240" w:lineRule="auto"/>
        <w:ind w:left="540" w:hanging="540"/>
      </w:pPr>
      <w:r w:rsidRPr="00A9763A">
        <w:t>Robertson, Joseph </w:t>
      </w:r>
      <w:r w:rsidR="00A33AA1" w:rsidRPr="00A9763A">
        <w:t xml:space="preserve">T. </w:t>
      </w:r>
      <w:r w:rsidR="00A33AA1" w:rsidRPr="00A9763A">
        <w:rPr>
          <w:rStyle w:val="solexhl"/>
          <w:rFonts w:eastAsiaTheme="majorEastAsia"/>
          <w:i/>
          <w:iCs/>
        </w:rPr>
        <w:t>Administrative Deference</w:t>
      </w:r>
      <w:r w:rsidR="00E74A5A">
        <w:rPr>
          <w:rStyle w:val="solexhl"/>
          <w:rFonts w:eastAsiaTheme="majorEastAsia"/>
          <w:i/>
          <w:iCs/>
        </w:rPr>
        <w:t> </w:t>
      </w:r>
      <w:r w:rsidR="00A33AA1" w:rsidRPr="00A9763A">
        <w:rPr>
          <w:rStyle w:val="solexhl"/>
          <w:rFonts w:eastAsiaTheme="majorEastAsia"/>
          <w:i/>
          <w:iCs/>
        </w:rPr>
        <w:t>: The Canadian Doctrine that Continues to Disappoint</w:t>
      </w:r>
      <w:r w:rsidR="00A33AA1" w:rsidRPr="00A9763A">
        <w:rPr>
          <w:color w:val="000000"/>
          <w:lang w:val="en-US"/>
        </w:rPr>
        <w:t>, 18</w:t>
      </w:r>
      <w:r w:rsidRPr="00A9763A">
        <w:rPr>
          <w:color w:val="000000"/>
          <w:lang w:val="en-US"/>
        </w:rPr>
        <w:t> </w:t>
      </w:r>
      <w:r w:rsidR="00A33AA1" w:rsidRPr="00A9763A">
        <w:rPr>
          <w:color w:val="000000"/>
          <w:lang w:val="en-US"/>
        </w:rPr>
        <w:t>avril 2018 (en ligne :</w:t>
      </w:r>
      <w:r w:rsidR="00784100" w:rsidRPr="00A9763A">
        <w:t xml:space="preserve"> https://poseidon01.ssrn.com/delivery.php?ID=025078121121077073088100069023108009116008031085056044126101104009101077075091124065033020049102118033018088023122126069087098105041060022013112086123073102103009066006050071070102011006127090124116080089064120081125100127104100026094125015101089105111&amp;EXT=pdf</w:t>
      </w:r>
      <w:r w:rsidR="00A33AA1" w:rsidRPr="00A9763A">
        <w:rPr>
          <w:rStyle w:val="Hyperlink"/>
          <w:rFonts w:eastAsiaTheme="majorEastAsia"/>
          <w:color w:val="auto"/>
          <w:u w:val="none"/>
          <w:lang w:val="en-US"/>
        </w:rPr>
        <w:t>; version archivée :</w:t>
      </w:r>
      <w:r w:rsidR="00A33AA1" w:rsidRPr="00A9763A">
        <w:t xml:space="preserve"> </w:t>
      </w:r>
      <w:hyperlink r:id="rId12" w:history="1">
        <w:r w:rsidR="00A9763A" w:rsidRPr="005365B0">
          <w:t>https://www.scc-csc.ca/cso-dce/2019SCC-CSC65_3_eng.pdf</w:t>
        </w:r>
      </w:hyperlink>
      <w:r w:rsidR="00A33AA1" w:rsidRPr="00A9763A">
        <w:t>)</w:t>
      </w:r>
      <w:r w:rsidR="00A9763A">
        <w:t>.</w:t>
      </w:r>
    </w:p>
    <w:p w14:paraId="2B5890FD" w14:textId="016A43CF" w:rsidR="00951ED1" w:rsidRPr="00E80457" w:rsidRDefault="00D773E9" w:rsidP="009C7B64">
      <w:pPr>
        <w:pStyle w:val="SCCNormalDoubleSpacing"/>
        <w:spacing w:after="240" w:line="240" w:lineRule="auto"/>
        <w:ind w:left="540" w:hanging="540"/>
        <w:rPr>
          <w:lang w:val="en-US"/>
        </w:rPr>
      </w:pPr>
      <w:r>
        <w:rPr>
          <w:lang w:val="en-US"/>
        </w:rPr>
        <w:t>Sharpe, Robert </w:t>
      </w:r>
      <w:r w:rsidR="00951ED1" w:rsidRPr="00E80457">
        <w:rPr>
          <w:lang w:val="en-US"/>
        </w:rPr>
        <w:t xml:space="preserve">J. </w:t>
      </w:r>
      <w:r w:rsidR="00951ED1" w:rsidRPr="00E80457">
        <w:rPr>
          <w:i/>
          <w:lang w:val="en-US"/>
        </w:rPr>
        <w:t>Good Judgment</w:t>
      </w:r>
      <w:r w:rsidR="00E74A5A">
        <w:rPr>
          <w:i/>
          <w:lang w:val="en-US"/>
        </w:rPr>
        <w:t> </w:t>
      </w:r>
      <w:r w:rsidR="00E42AD8">
        <w:rPr>
          <w:i/>
        </w:rPr>
        <w:t>: Making Judicial Decisions</w:t>
      </w:r>
      <w:r w:rsidR="00951ED1" w:rsidRPr="00E80457">
        <w:rPr>
          <w:lang w:val="en-US"/>
        </w:rPr>
        <w:t>, Toronto, University of Toronto Press, 2018.</w:t>
      </w:r>
    </w:p>
    <w:p w14:paraId="7FBF0D01" w14:textId="77777777" w:rsidR="004D7D95" w:rsidRPr="00951ED1" w:rsidRDefault="00A03443" w:rsidP="009C7B64">
      <w:pPr>
        <w:pStyle w:val="SCCNormalDoubleSpacing"/>
        <w:spacing w:after="240" w:line="240" w:lineRule="auto"/>
        <w:ind w:left="540" w:hanging="540"/>
        <w:rPr>
          <w:lang w:val="en-US"/>
        </w:rPr>
      </w:pPr>
      <w:r w:rsidRPr="00951ED1">
        <w:t>Stacey, Jocelyn, and Alice Woolley.</w:t>
      </w:r>
      <w:r w:rsidR="00831ED4" w:rsidRPr="00951ED1">
        <w:t xml:space="preserve"> </w:t>
      </w:r>
      <w:r w:rsidR="00D773E9">
        <w:rPr>
          <w:lang w:val="en-US"/>
        </w:rPr>
        <w:t>« </w:t>
      </w:r>
      <w:r w:rsidRPr="00951ED1">
        <w:t>Can Pragmatism Function in Administr</w:t>
      </w:r>
      <w:r w:rsidR="00D773E9">
        <w:t>ative Law? </w:t>
      </w:r>
      <w:r w:rsidR="00895808" w:rsidRPr="00951ED1">
        <w:rPr>
          <w:lang w:val="en-US"/>
        </w:rPr>
        <w:t>»</w:t>
      </w:r>
      <w:r w:rsidRPr="00951ED1">
        <w:t xml:space="preserve"> </w:t>
      </w:r>
      <w:r w:rsidRPr="00951ED1">
        <w:rPr>
          <w:lang w:val="en-US"/>
        </w:rPr>
        <w:t xml:space="preserve">(2016), 74 </w:t>
      </w:r>
      <w:r w:rsidRPr="00951ED1">
        <w:rPr>
          <w:i/>
          <w:lang w:val="en-US"/>
        </w:rPr>
        <w:t>S.C.L.R.</w:t>
      </w:r>
      <w:r w:rsidRPr="00951ED1">
        <w:rPr>
          <w:lang w:val="en-US"/>
        </w:rPr>
        <w:t xml:space="preserve"> (2d) 211</w:t>
      </w:r>
      <w:r w:rsidR="00495BE1" w:rsidRPr="00951ED1">
        <w:rPr>
          <w:lang w:val="en-US"/>
        </w:rPr>
        <w:t>.</w:t>
      </w:r>
    </w:p>
    <w:p w14:paraId="5F62CA0F" w14:textId="5FD08253" w:rsidR="00951ED1" w:rsidRPr="00951ED1" w:rsidRDefault="00D773E9" w:rsidP="009C7B64">
      <w:pPr>
        <w:pStyle w:val="SCCNormalDoubleSpacing"/>
        <w:spacing w:after="240" w:line="240" w:lineRule="auto"/>
        <w:ind w:left="540" w:hanging="540"/>
      </w:pPr>
      <w:r>
        <w:t>Stack, Kevin </w:t>
      </w:r>
      <w:r w:rsidR="003B4060" w:rsidRPr="00951ED1">
        <w:t xml:space="preserve">M. </w:t>
      </w:r>
      <w:r w:rsidR="003B4060" w:rsidRPr="00951ED1">
        <w:rPr>
          <w:lang w:val="en-US"/>
        </w:rPr>
        <w:t>«</w:t>
      </w:r>
      <w:r w:rsidR="004953E7">
        <w:t> </w:t>
      </w:r>
      <w:r w:rsidR="003B4060" w:rsidRPr="00951ED1">
        <w:t>Overcom</w:t>
      </w:r>
      <w:r>
        <w:t>ing Dicey in Administrative Law </w:t>
      </w:r>
      <w:r w:rsidR="003B4060" w:rsidRPr="00951ED1">
        <w:rPr>
          <w:lang w:val="en-US"/>
        </w:rPr>
        <w:t>»</w:t>
      </w:r>
      <w:r w:rsidR="003B4060" w:rsidRPr="00951ED1">
        <w:t xml:space="preserve"> (2018), 68 </w:t>
      </w:r>
      <w:r w:rsidR="003B4060" w:rsidRPr="00951ED1">
        <w:rPr>
          <w:i/>
        </w:rPr>
        <w:t>U.T.L.J.</w:t>
      </w:r>
      <w:r w:rsidR="003B4060" w:rsidRPr="00951ED1">
        <w:t xml:space="preserve"> 293.</w:t>
      </w:r>
    </w:p>
    <w:p w14:paraId="6BEE9476" w14:textId="77777777" w:rsidR="00951ED1" w:rsidRPr="00951ED1" w:rsidRDefault="00951ED1" w:rsidP="009C7B64">
      <w:pPr>
        <w:pStyle w:val="SCCNormalDoubleSpacing"/>
        <w:spacing w:after="240" w:line="240" w:lineRule="auto"/>
        <w:ind w:left="540" w:hanging="540"/>
        <w:rPr>
          <w:noProof/>
          <w:lang w:val="en-US" w:bidi="en-US"/>
        </w:rPr>
      </w:pPr>
      <w:r w:rsidRPr="00E80457">
        <w:rPr>
          <w:noProof/>
          <w:lang w:val="en-US" w:bidi="en-US"/>
        </w:rPr>
        <w:t xml:space="preserve">Stratas, David. « The Canadian Law of Judicial Review : A Plea for Doctrinal Coherence and Consistency » (2016), 42 </w:t>
      </w:r>
      <w:r w:rsidRPr="00E80457">
        <w:rPr>
          <w:i/>
          <w:noProof/>
          <w:lang w:val="en-US" w:bidi="en-US"/>
        </w:rPr>
        <w:t>Queen</w:t>
      </w:r>
      <w:r w:rsidR="00356C64">
        <w:rPr>
          <w:i/>
          <w:noProof/>
          <w:lang w:val="en-US" w:bidi="en-US"/>
        </w:rPr>
        <w:t>’</w:t>
      </w:r>
      <w:r w:rsidRPr="00E80457">
        <w:rPr>
          <w:i/>
          <w:noProof/>
          <w:lang w:val="en-US" w:bidi="en-US"/>
        </w:rPr>
        <w:t>s L.J.</w:t>
      </w:r>
      <w:r w:rsidRPr="00E80457">
        <w:rPr>
          <w:noProof/>
          <w:lang w:val="en-US" w:bidi="en-US"/>
        </w:rPr>
        <w:t xml:space="preserve"> 27.</w:t>
      </w:r>
    </w:p>
    <w:p w14:paraId="3AC26C1A" w14:textId="77777777" w:rsidR="00951ED1" w:rsidRPr="00E80457" w:rsidRDefault="00951ED1" w:rsidP="009C7B64">
      <w:pPr>
        <w:pStyle w:val="SCCNormalDoubleSpacing"/>
        <w:spacing w:after="240" w:line="240" w:lineRule="auto"/>
        <w:ind w:left="540" w:hanging="540"/>
      </w:pPr>
      <w:r w:rsidRPr="00E80457">
        <w:rPr>
          <w:noProof/>
          <w:lang w:val="en-US"/>
        </w:rPr>
        <w:t>Sullivan, Ruth.</w:t>
      </w:r>
      <w:r w:rsidRPr="00E80457">
        <w:rPr>
          <w:i/>
          <w:iCs/>
          <w:noProof/>
          <w:lang w:val="en-US"/>
        </w:rPr>
        <w:t xml:space="preserve"> Sullivan on the Construction of Statutes</w:t>
      </w:r>
      <w:r w:rsidRPr="00E80457">
        <w:rPr>
          <w:noProof/>
          <w:lang w:val="en-US"/>
        </w:rPr>
        <w:t xml:space="preserve">, 6th ed., </w:t>
      </w:r>
      <w:r w:rsidRPr="00E80457">
        <w:rPr>
          <w:lang w:val="en-US"/>
        </w:rPr>
        <w:t>Markham (Ont.), LexisNexis, 2014.</w:t>
      </w:r>
    </w:p>
    <w:p w14:paraId="4FB9F763" w14:textId="77777777" w:rsidR="00EC0316" w:rsidRPr="00951ED1" w:rsidRDefault="00EC0316" w:rsidP="009C7B64">
      <w:pPr>
        <w:pStyle w:val="SCCNormalDoubleSpacing"/>
        <w:spacing w:after="240" w:line="240" w:lineRule="auto"/>
        <w:ind w:left="540" w:hanging="540"/>
      </w:pPr>
      <w:r w:rsidRPr="00951ED1">
        <w:t>Sullivan, Ruth. </w:t>
      </w:r>
      <w:r w:rsidRPr="00951ED1">
        <w:rPr>
          <w:i/>
          <w:iCs/>
        </w:rPr>
        <w:t>Statutory Interpretation</w:t>
      </w:r>
      <w:r w:rsidRPr="00951ED1">
        <w:t>, 3rd ed., Toronto, Irwin Law, 2016.</w:t>
      </w:r>
    </w:p>
    <w:p w14:paraId="2C5477EB" w14:textId="2F8D1B32" w:rsidR="004E0503" w:rsidRPr="00951ED1" w:rsidRDefault="004953E7" w:rsidP="009C7B64">
      <w:pPr>
        <w:pStyle w:val="SCCNormalDoubleSpacing"/>
        <w:spacing w:after="240" w:line="240" w:lineRule="auto"/>
        <w:ind w:left="540" w:hanging="540"/>
        <w:rPr>
          <w:lang w:val="en-US"/>
        </w:rPr>
      </w:pPr>
      <w:r>
        <w:lastRenderedPageBreak/>
        <w:t xml:space="preserve">Van Harten, Gus, et </w:t>
      </w:r>
      <w:r w:rsidR="004E0503" w:rsidRPr="00951ED1">
        <w:rPr>
          <w:rStyle w:val="solexhl"/>
          <w:rFonts w:eastAsiaTheme="majorEastAsia"/>
        </w:rPr>
        <w:t>al</w:t>
      </w:r>
      <w:r>
        <w:t xml:space="preserve">. </w:t>
      </w:r>
      <w:r w:rsidR="004E0503" w:rsidRPr="00951ED1">
        <w:rPr>
          <w:i/>
          <w:iCs/>
        </w:rPr>
        <w:t>Administrative Law : Cases, Text, and Materials</w:t>
      </w:r>
      <w:r w:rsidR="004E0503" w:rsidRPr="00951ED1">
        <w:t>, 7t</w:t>
      </w:r>
      <w:r w:rsidR="00A3259A" w:rsidRPr="00951ED1">
        <w:t>h ed., Toronto, Emond</w:t>
      </w:r>
      <w:r w:rsidR="004E0503" w:rsidRPr="00951ED1">
        <w:t>, 2015.</w:t>
      </w:r>
    </w:p>
    <w:p w14:paraId="3F893BE0" w14:textId="0DB55365" w:rsidR="00584690" w:rsidRPr="00951ED1" w:rsidRDefault="00584690" w:rsidP="009C7B64">
      <w:pPr>
        <w:pStyle w:val="SCCNormalDoubleSpacing"/>
        <w:spacing w:after="240" w:line="240" w:lineRule="auto"/>
        <w:ind w:left="540" w:hanging="540"/>
      </w:pPr>
      <w:r w:rsidRPr="00951ED1">
        <w:t xml:space="preserve">Waldron, Jeremy. </w:t>
      </w:r>
      <w:r w:rsidRPr="00951ED1">
        <w:rPr>
          <w:lang w:val="en-US"/>
        </w:rPr>
        <w:t>«</w:t>
      </w:r>
      <w:r w:rsidR="00D773E9">
        <w:t> </w:t>
      </w:r>
      <w:r w:rsidRPr="00A1317E">
        <w:rPr>
          <w:i/>
        </w:rPr>
        <w:t>Stare Decisis</w:t>
      </w:r>
      <w:r w:rsidRPr="00951ED1">
        <w:t xml:space="preserve"> and the </w:t>
      </w:r>
      <w:r w:rsidR="00D773E9">
        <w:t>Rule of Law</w:t>
      </w:r>
      <w:r w:rsidR="00D0255F">
        <w:t> </w:t>
      </w:r>
      <w:r w:rsidR="00D773E9">
        <w:t>: A Layered Approach </w:t>
      </w:r>
      <w:r w:rsidRPr="00951ED1">
        <w:rPr>
          <w:lang w:val="en-US"/>
        </w:rPr>
        <w:t>»</w:t>
      </w:r>
      <w:r w:rsidRPr="00951ED1">
        <w:t xml:space="preserve"> (2012), 111 </w:t>
      </w:r>
      <w:r w:rsidRPr="00951ED1">
        <w:rPr>
          <w:i/>
        </w:rPr>
        <w:t xml:space="preserve">Mich. L. Rev. </w:t>
      </w:r>
      <w:r w:rsidRPr="00951ED1">
        <w:t>1.</w:t>
      </w:r>
    </w:p>
    <w:p w14:paraId="0ECAE17C" w14:textId="1F36B6C1" w:rsidR="004E0503" w:rsidRPr="00951ED1" w:rsidRDefault="00D773E9" w:rsidP="00067295">
      <w:pPr>
        <w:pStyle w:val="SCCNormalDoubleSpacing"/>
        <w:spacing w:after="720" w:line="240" w:lineRule="auto"/>
        <w:ind w:left="540" w:hanging="540"/>
        <w:rPr>
          <w:lang w:val="en-US"/>
        </w:rPr>
      </w:pPr>
      <w:r>
        <w:t>Willes, John </w:t>
      </w:r>
      <w:r w:rsidR="00D434C5" w:rsidRPr="00951ED1">
        <w:t xml:space="preserve">A. </w:t>
      </w:r>
      <w:r w:rsidR="00D434C5" w:rsidRPr="00951ED1">
        <w:rPr>
          <w:i/>
        </w:rPr>
        <w:t>The Ontario Labour Court</w:t>
      </w:r>
      <w:r w:rsidR="00C4132B">
        <w:rPr>
          <w:i/>
        </w:rPr>
        <w:t> </w:t>
      </w:r>
      <w:r w:rsidR="00D434C5" w:rsidRPr="00951ED1">
        <w:rPr>
          <w:i/>
        </w:rPr>
        <w:t>: 1943-1944</w:t>
      </w:r>
      <w:r w:rsidR="00A14BDB" w:rsidRPr="00951ED1">
        <w:t>,</w:t>
      </w:r>
      <w:r w:rsidR="00D434C5" w:rsidRPr="00951ED1">
        <w:t xml:space="preserve"> </w:t>
      </w:r>
      <w:r w:rsidR="00D434C5" w:rsidRPr="00951ED1">
        <w:rPr>
          <w:lang w:val="en-US"/>
        </w:rPr>
        <w:t>Kingston (Ont.), Industrial Relations Centre, Queen</w:t>
      </w:r>
      <w:r w:rsidR="00356C64">
        <w:rPr>
          <w:lang w:val="en-US"/>
        </w:rPr>
        <w:t>’</w:t>
      </w:r>
      <w:r w:rsidR="00D434C5" w:rsidRPr="00951ED1">
        <w:rPr>
          <w:lang w:val="en-US"/>
        </w:rPr>
        <w:t>s University, 1979.</w:t>
      </w:r>
    </w:p>
    <w:p w14:paraId="1839151C" w14:textId="77777777" w:rsidR="004D7D95" w:rsidRPr="00B32C66" w:rsidRDefault="00265DDF" w:rsidP="00067295">
      <w:pPr>
        <w:pStyle w:val="SCCNormalDoubleSpacing"/>
        <w:spacing w:after="480"/>
        <w:rPr>
          <w:lang w:val="fr-CA"/>
        </w:rPr>
      </w:pPr>
      <w:r w:rsidRPr="00A14BDB">
        <w:rPr>
          <w:lang w:val="en-US"/>
        </w:rPr>
        <w:tab/>
      </w:r>
      <w:r w:rsidRPr="004D7D95">
        <w:rPr>
          <w:lang w:val="fr-CA"/>
        </w:rPr>
        <w:t xml:space="preserve">POURVOI contre un arrêt de la </w:t>
      </w:r>
      <w:r w:rsidRPr="00102521">
        <w:rPr>
          <w:lang w:val="fr-CA"/>
        </w:rPr>
        <w:t>Cour d</w:t>
      </w:r>
      <w:r w:rsidR="00356C64">
        <w:rPr>
          <w:lang w:val="fr-CA"/>
        </w:rPr>
        <w:t>’</w:t>
      </w:r>
      <w:r w:rsidRPr="00102521">
        <w:rPr>
          <w:lang w:val="fr-CA"/>
        </w:rPr>
        <w:t>appel fédérale</w:t>
      </w:r>
      <w:r>
        <w:rPr>
          <w:lang w:val="fr-CA"/>
        </w:rPr>
        <w:t xml:space="preserve"> (les juges </w:t>
      </w:r>
      <w:r w:rsidRPr="00265DDF">
        <w:rPr>
          <w:lang w:val="fr-CA"/>
        </w:rPr>
        <w:t>Stratas, Web</w:t>
      </w:r>
      <w:r w:rsidR="00B32C66">
        <w:rPr>
          <w:lang w:val="fr-CA"/>
        </w:rPr>
        <w:t>b</w:t>
      </w:r>
      <w:r w:rsidRPr="00265DDF">
        <w:rPr>
          <w:lang w:val="fr-CA"/>
        </w:rPr>
        <w:t xml:space="preserve"> </w:t>
      </w:r>
      <w:r>
        <w:rPr>
          <w:lang w:val="fr-CA"/>
        </w:rPr>
        <w:t>et Gleason</w:t>
      </w:r>
      <w:r w:rsidRPr="00265DDF">
        <w:rPr>
          <w:lang w:val="fr-CA"/>
        </w:rPr>
        <w:t>), 2017 CA</w:t>
      </w:r>
      <w:r>
        <w:rPr>
          <w:lang w:val="fr-CA"/>
        </w:rPr>
        <w:t>F</w:t>
      </w:r>
      <w:r w:rsidRPr="00265DDF">
        <w:rPr>
          <w:lang w:val="fr-CA"/>
        </w:rPr>
        <w:t xml:space="preserve"> 132, </w:t>
      </w:r>
      <w:r w:rsidR="00EB6017">
        <w:rPr>
          <w:lang w:val="fr-CA"/>
        </w:rPr>
        <w:t xml:space="preserve">[2018] 3 R.C.F. 75, </w:t>
      </w:r>
      <w:r w:rsidRPr="00265DDF">
        <w:rPr>
          <w:lang w:val="fr-CA"/>
        </w:rPr>
        <w:t xml:space="preserve">52 Imm. L.R. (4th) 1, 30 Admin. </w:t>
      </w:r>
      <w:r w:rsidRPr="00EB6017">
        <w:rPr>
          <w:lang w:val="en-US"/>
        </w:rPr>
        <w:t>L.R. (6th) 1, [2017] A.C.F. n</w:t>
      </w:r>
      <w:r w:rsidRPr="00EB6017">
        <w:rPr>
          <w:vertAlign w:val="superscript"/>
          <w:lang w:val="en-US"/>
        </w:rPr>
        <w:t>o</w:t>
      </w:r>
      <w:r w:rsidRPr="00EB6017">
        <w:rPr>
          <w:lang w:val="en-US"/>
        </w:rPr>
        <w:t xml:space="preserve"> 638 (QL), 2017 CarswellNat 9490 (WL Can.), </w:t>
      </w:r>
      <w:r w:rsidRPr="00793275">
        <w:rPr>
          <w:lang w:val="en-US"/>
        </w:rPr>
        <w:t>qui a infirmé une décision d</w:t>
      </w:r>
      <w:r w:rsidRPr="00EB6017">
        <w:rPr>
          <w:lang w:val="en-US"/>
        </w:rPr>
        <w:t>u juge Bell, 2015 CF 960, [2016] 2 R.C.F. 39,</w:t>
      </w:r>
      <w:r w:rsidR="00EB6017" w:rsidRPr="00EB6017">
        <w:rPr>
          <w:lang w:val="en-US"/>
        </w:rPr>
        <w:t xml:space="preserve"> 38 Imm. L.R. (4th) 110,</w:t>
      </w:r>
      <w:r w:rsidR="00EB6017">
        <w:rPr>
          <w:lang w:val="en-US"/>
        </w:rPr>
        <w:t xml:space="preserve"> [2015]</w:t>
      </w:r>
      <w:r w:rsidRPr="00EB6017">
        <w:rPr>
          <w:lang w:val="en-US"/>
        </w:rPr>
        <w:t xml:space="preserve"> A.C.F. n</w:t>
      </w:r>
      <w:r w:rsidRPr="00EB6017">
        <w:rPr>
          <w:vertAlign w:val="superscript"/>
          <w:lang w:val="en-US"/>
        </w:rPr>
        <w:t>o</w:t>
      </w:r>
      <w:r w:rsidR="00EB6017">
        <w:rPr>
          <w:lang w:val="en-US"/>
        </w:rPr>
        <w:t xml:space="preserve"> 981 (QL), 2015 CarswellNat 4747</w:t>
      </w:r>
      <w:r w:rsidRPr="00EB6017">
        <w:rPr>
          <w:lang w:val="en-US"/>
        </w:rPr>
        <w:t xml:space="preserve"> (WL Can.). </w:t>
      </w:r>
      <w:r w:rsidR="00EB6017" w:rsidRPr="00793275">
        <w:rPr>
          <w:lang w:val="fr-CA"/>
        </w:rPr>
        <w:t xml:space="preserve">Pourvoi </w:t>
      </w:r>
      <w:r w:rsidR="00554A83" w:rsidRPr="00793275">
        <w:rPr>
          <w:lang w:val="fr-CA"/>
        </w:rPr>
        <w:t>rejeté</w:t>
      </w:r>
      <w:r w:rsidR="009D4CF1" w:rsidRPr="00793275">
        <w:rPr>
          <w:lang w:val="fr-CA"/>
        </w:rPr>
        <w:t>.</w:t>
      </w:r>
    </w:p>
    <w:p w14:paraId="60EB9C73" w14:textId="29F1A532" w:rsidR="00B32C66" w:rsidRDefault="00B92151" w:rsidP="00067295">
      <w:pPr>
        <w:pStyle w:val="SCCNormalDoubleSpacing"/>
        <w:spacing w:after="480"/>
        <w:rPr>
          <w:rStyle w:val="SCCCounselPartyRoleChar"/>
          <w:lang w:val="fr-CA"/>
        </w:rPr>
      </w:pPr>
      <w:r w:rsidRPr="00B32C66">
        <w:rPr>
          <w:rStyle w:val="SCCCounselNameChar"/>
          <w:lang w:val="fr-CA"/>
        </w:rPr>
        <w:tab/>
      </w:r>
      <w:r w:rsidR="00A84DA2" w:rsidRPr="00D350E6">
        <w:rPr>
          <w:rStyle w:val="SCCCounselNameChar"/>
          <w:lang w:val="fr-CA"/>
        </w:rPr>
        <w:t>Michael H. Morris</w:t>
      </w:r>
      <w:r w:rsidR="00A84DA2" w:rsidRPr="00D350E6">
        <w:rPr>
          <w:rStyle w:val="SCCCounselNameChar"/>
          <w:i w:val="0"/>
          <w:lang w:val="fr-CA"/>
        </w:rPr>
        <w:t>,</w:t>
      </w:r>
      <w:r w:rsidR="00A84DA2" w:rsidRPr="00D350E6">
        <w:rPr>
          <w:rStyle w:val="SCCCounselNameChar"/>
          <w:lang w:val="fr-CA"/>
        </w:rPr>
        <w:t xml:space="preserve"> Marianne Zorić</w:t>
      </w:r>
      <w:r w:rsidR="00A84DA2" w:rsidRPr="00D350E6">
        <w:rPr>
          <w:rStyle w:val="SCCCounselNameChar"/>
          <w:i w:val="0"/>
          <w:lang w:val="fr-CA"/>
        </w:rPr>
        <w:t xml:space="preserve"> et </w:t>
      </w:r>
      <w:r w:rsidR="00A84DA2" w:rsidRPr="00D350E6">
        <w:rPr>
          <w:rStyle w:val="SCCCounselNameChar"/>
          <w:lang w:val="fr-CA"/>
        </w:rPr>
        <w:t>John Provart</w:t>
      </w:r>
      <w:r w:rsidR="00B32C66" w:rsidRPr="00BF3034">
        <w:rPr>
          <w:rStyle w:val="SCCCounselPartyRoleChar"/>
          <w:lang w:val="fr-CA"/>
        </w:rPr>
        <w:t>, pour l</w:t>
      </w:r>
      <w:r w:rsidR="00356C64">
        <w:rPr>
          <w:rStyle w:val="SCCCounselPartyRoleChar"/>
          <w:lang w:val="fr-CA"/>
        </w:rPr>
        <w:t>’</w:t>
      </w:r>
      <w:r w:rsidR="00B32C66" w:rsidRPr="00BF3034">
        <w:rPr>
          <w:rStyle w:val="SCCCounselPartyRoleChar"/>
          <w:lang w:val="fr-CA"/>
        </w:rPr>
        <w:t>appelant.</w:t>
      </w:r>
    </w:p>
    <w:p w14:paraId="49DDDA58" w14:textId="77777777" w:rsidR="00BF3034" w:rsidRPr="00BF3034" w:rsidRDefault="00BF3034" w:rsidP="00067295">
      <w:pPr>
        <w:pStyle w:val="SCCNormalDoubleSpacing"/>
        <w:spacing w:after="480"/>
        <w:rPr>
          <w:lang w:val="fr-CA"/>
        </w:rPr>
      </w:pPr>
      <w:r w:rsidRPr="00BF3034">
        <w:rPr>
          <w:rStyle w:val="SCCCounselNameChar"/>
          <w:lang w:val="fr-CA"/>
        </w:rPr>
        <w:tab/>
      </w:r>
      <w:r w:rsidR="00B32C66" w:rsidRPr="00BF3034">
        <w:rPr>
          <w:rStyle w:val="SCCCounselNameChar"/>
          <w:lang w:val="fr-CA"/>
        </w:rPr>
        <w:t>Hadayt Nazami</w:t>
      </w:r>
      <w:r w:rsidR="00B32C66" w:rsidRPr="00BF3034">
        <w:rPr>
          <w:rStyle w:val="SCCCounselNameChar"/>
          <w:i w:val="0"/>
          <w:lang w:val="fr-CA"/>
        </w:rPr>
        <w:t>,</w:t>
      </w:r>
      <w:r w:rsidR="00B32C66" w:rsidRPr="00BF3034">
        <w:rPr>
          <w:rStyle w:val="SCCCounselNameChar"/>
          <w:lang w:val="fr-CA"/>
        </w:rPr>
        <w:t xml:space="preserve"> Barbara Jackman </w:t>
      </w:r>
      <w:r w:rsidR="00B32C66" w:rsidRPr="00BF3034">
        <w:rPr>
          <w:rStyle w:val="SCCCounselNameChar"/>
          <w:i w:val="0"/>
          <w:lang w:val="fr-CA"/>
        </w:rPr>
        <w:t xml:space="preserve">et </w:t>
      </w:r>
      <w:r w:rsidR="00B32C66" w:rsidRPr="00BF3034">
        <w:rPr>
          <w:rStyle w:val="SCCCounselNameChar"/>
          <w:lang w:val="fr-CA"/>
        </w:rPr>
        <w:t>Sujith Xavier</w:t>
      </w:r>
      <w:r w:rsidR="00B32C66" w:rsidRPr="00BF3034">
        <w:rPr>
          <w:rStyle w:val="SCCCounselNameChar"/>
          <w:i w:val="0"/>
          <w:lang w:val="fr-CA"/>
        </w:rPr>
        <w:t>, pour l</w:t>
      </w:r>
      <w:r w:rsidR="00356C64">
        <w:rPr>
          <w:rStyle w:val="SCCCounselNameChar"/>
          <w:i w:val="0"/>
          <w:lang w:val="fr-CA"/>
        </w:rPr>
        <w:t>’</w:t>
      </w:r>
      <w:r w:rsidR="00B32C66" w:rsidRPr="00BF3034">
        <w:rPr>
          <w:rStyle w:val="SCCCounselNameChar"/>
          <w:i w:val="0"/>
          <w:lang w:val="fr-CA"/>
        </w:rPr>
        <w:t>in</w:t>
      </w:r>
      <w:r w:rsidR="00B32C66" w:rsidRPr="00B32C66">
        <w:rPr>
          <w:rStyle w:val="SCCCounselNameChar"/>
          <w:i w:val="0"/>
          <w:lang w:val="fr-CA"/>
        </w:rPr>
        <w:t>timé</w:t>
      </w:r>
      <w:r w:rsidR="00B32C66" w:rsidRPr="00BF3034">
        <w:rPr>
          <w:rStyle w:val="SCCCounselNameChar"/>
          <w:i w:val="0"/>
          <w:lang w:val="fr-CA"/>
        </w:rPr>
        <w:t>.</w:t>
      </w:r>
    </w:p>
    <w:p w14:paraId="5F0E3164" w14:textId="110DC9CE" w:rsidR="00EC3DEE" w:rsidRPr="00EC3DEE" w:rsidRDefault="00392D30" w:rsidP="00067295">
      <w:pPr>
        <w:pStyle w:val="SCCNormalDoubleSpacing"/>
        <w:spacing w:after="480"/>
        <w:rPr>
          <w:lang w:val="fr-CA"/>
        </w:rPr>
      </w:pPr>
      <w:r>
        <w:rPr>
          <w:rStyle w:val="SCCCounselNameChar"/>
          <w:lang w:val="fr-CA"/>
        </w:rPr>
        <w:tab/>
      </w:r>
      <w:r w:rsidRPr="00102521">
        <w:rPr>
          <w:rStyle w:val="SCCCounselNameChar"/>
          <w:lang w:val="fr-CA"/>
        </w:rPr>
        <w:t>Sara Blake</w:t>
      </w:r>
      <w:r w:rsidRPr="00102521">
        <w:rPr>
          <w:rStyle w:val="SCCCounselSeparatorChar"/>
          <w:lang w:val="fr-CA"/>
        </w:rPr>
        <w:t xml:space="preserve"> et </w:t>
      </w:r>
      <w:r w:rsidRPr="00102521">
        <w:rPr>
          <w:rStyle w:val="SCCCounselNameChar"/>
          <w:lang w:val="fr-CA"/>
        </w:rPr>
        <w:t>Judie Im</w:t>
      </w:r>
      <w:r w:rsidRPr="00102521">
        <w:rPr>
          <w:rStyle w:val="SCCCounselPartyRoleChar"/>
          <w:lang w:val="fr-CA"/>
        </w:rPr>
        <w:t>, pour l</w:t>
      </w:r>
      <w:r w:rsidR="00356C64">
        <w:rPr>
          <w:rStyle w:val="SCCCounselPartyRoleChar"/>
          <w:lang w:val="fr-CA"/>
        </w:rPr>
        <w:t>’</w:t>
      </w:r>
      <w:r w:rsidR="00720DEF">
        <w:rPr>
          <w:rStyle w:val="SCCCounselPartyRoleChar"/>
          <w:lang w:val="fr-CA"/>
        </w:rPr>
        <w:t>intervenant</w:t>
      </w:r>
      <w:r w:rsidRPr="00102521">
        <w:rPr>
          <w:rStyle w:val="SCCCounselPartyRoleChar"/>
          <w:lang w:val="fr-CA"/>
        </w:rPr>
        <w:t xml:space="preserve"> </w:t>
      </w:r>
      <w:r w:rsidR="00720DEF">
        <w:rPr>
          <w:rStyle w:val="SCCCounselPartyRoleChar"/>
          <w:lang w:val="fr-CA"/>
        </w:rPr>
        <w:t>le</w:t>
      </w:r>
      <w:r>
        <w:rPr>
          <w:rStyle w:val="SCCCounselPartyRoleChar"/>
          <w:lang w:val="fr-CA"/>
        </w:rPr>
        <w:t xml:space="preserve"> </w:t>
      </w:r>
      <w:r w:rsidR="009D4CF1">
        <w:rPr>
          <w:rStyle w:val="SCCCounselPartyRoleChar"/>
          <w:lang w:val="fr-CA"/>
        </w:rPr>
        <w:t>p</w:t>
      </w:r>
      <w:r w:rsidR="00720DEF">
        <w:rPr>
          <w:rStyle w:val="SCCCounselPartyRoleChar"/>
          <w:lang w:val="fr-CA"/>
        </w:rPr>
        <w:t>rocureur général</w:t>
      </w:r>
      <w:r w:rsidRPr="00102521">
        <w:rPr>
          <w:rStyle w:val="SCCCounselPartyRoleChar"/>
          <w:lang w:val="fr-CA"/>
        </w:rPr>
        <w:t xml:space="preserve"> de l</w:t>
      </w:r>
      <w:r w:rsidR="00356C64">
        <w:rPr>
          <w:rStyle w:val="SCCCounselPartyRoleChar"/>
          <w:lang w:val="fr-CA"/>
        </w:rPr>
        <w:t>’</w:t>
      </w:r>
      <w:r w:rsidRPr="00102521">
        <w:rPr>
          <w:rStyle w:val="SCCCounselPartyRoleChar"/>
          <w:lang w:val="fr-CA"/>
        </w:rPr>
        <w:t>Ontario</w:t>
      </w:r>
      <w:r w:rsidRPr="00EC3DEE">
        <w:rPr>
          <w:rStyle w:val="SCCCounselPartyRoleChar"/>
          <w:lang w:val="fr-CA"/>
        </w:rPr>
        <w:t>.</w:t>
      </w:r>
    </w:p>
    <w:p w14:paraId="3E89B7D9" w14:textId="77777777" w:rsidR="00EC3DEE" w:rsidRPr="00EC3DEE" w:rsidRDefault="00EC3DEE" w:rsidP="00067295">
      <w:pPr>
        <w:pStyle w:val="SCCNormalDoubleSpacing"/>
        <w:spacing w:after="480"/>
        <w:rPr>
          <w:rStyle w:val="SCCCounselPartyRoleChar"/>
          <w:lang w:val="fr-CA"/>
        </w:rPr>
      </w:pPr>
      <w:r w:rsidRPr="00AE25E1">
        <w:rPr>
          <w:rStyle w:val="SCCCounselPartyRoleChar"/>
          <w:lang w:val="fr-CA"/>
        </w:rPr>
        <w:tab/>
      </w:r>
      <w:r w:rsidRPr="00EC3DEE">
        <w:rPr>
          <w:rStyle w:val="SCCCounselNameChar"/>
          <w:lang w:val="fr-CA"/>
        </w:rPr>
        <w:t>Stéphane Rochette</w:t>
      </w:r>
      <w:r w:rsidRPr="00EC3DEE">
        <w:rPr>
          <w:rStyle w:val="SCCCounselPartyRoleChar"/>
          <w:lang w:val="fr-CA"/>
        </w:rPr>
        <w:t>, pour l</w:t>
      </w:r>
      <w:r w:rsidR="00356C64">
        <w:rPr>
          <w:rStyle w:val="SCCCounselPartyRoleChar"/>
          <w:lang w:val="fr-CA"/>
        </w:rPr>
        <w:t>’</w:t>
      </w:r>
      <w:r w:rsidRPr="00EC3DEE">
        <w:rPr>
          <w:rStyle w:val="SCCCounselPartyRoleChar"/>
          <w:lang w:val="fr-CA"/>
        </w:rPr>
        <w:t xml:space="preserve">intervenante la </w:t>
      </w:r>
      <w:r w:rsidR="009D4CF1">
        <w:rPr>
          <w:rStyle w:val="SCCCounselPartyRoleChar"/>
          <w:lang w:val="fr-CA"/>
        </w:rPr>
        <w:t>p</w:t>
      </w:r>
      <w:r w:rsidRPr="00EC3DEE">
        <w:rPr>
          <w:rStyle w:val="SCCCounselPartyRoleChar"/>
          <w:lang w:val="fr-CA"/>
        </w:rPr>
        <w:t>rocureure générale du Qu</w:t>
      </w:r>
      <w:r>
        <w:rPr>
          <w:rStyle w:val="SCCCounselPartyRoleChar"/>
          <w:lang w:val="fr-CA"/>
        </w:rPr>
        <w:t>ébec</w:t>
      </w:r>
      <w:r w:rsidRPr="00EC3DEE">
        <w:rPr>
          <w:rStyle w:val="SCCCounselPartyRoleChar"/>
          <w:lang w:val="fr-CA"/>
        </w:rPr>
        <w:t>.</w:t>
      </w:r>
    </w:p>
    <w:p w14:paraId="445ED699" w14:textId="4EFC8507" w:rsidR="00EC3DEE" w:rsidRPr="00EC3DEE" w:rsidRDefault="00EC3DEE" w:rsidP="00067295">
      <w:pPr>
        <w:pStyle w:val="SCCNormalDoubleSpacing"/>
        <w:spacing w:after="480"/>
        <w:rPr>
          <w:rStyle w:val="SCCCounselPartyRoleChar"/>
          <w:lang w:val="fr-CA"/>
        </w:rPr>
      </w:pPr>
      <w:r w:rsidRPr="00EC3DEE">
        <w:rPr>
          <w:rStyle w:val="SCCCounselPartyRoleChar"/>
          <w:lang w:val="fr-CA"/>
        </w:rPr>
        <w:tab/>
      </w:r>
      <w:r w:rsidR="007A7228">
        <w:rPr>
          <w:rStyle w:val="SCCCounselPartyRoleChar"/>
          <w:i/>
          <w:lang w:val="fr-CA"/>
        </w:rPr>
        <w:t>J. </w:t>
      </w:r>
      <w:r w:rsidRPr="00EC3DEE">
        <w:rPr>
          <w:rStyle w:val="SCCCounselPartyRoleChar"/>
          <w:i/>
          <w:lang w:val="fr-CA"/>
        </w:rPr>
        <w:t>Gareth Morley</w:t>
      </w:r>
      <w:r w:rsidR="00720DEF">
        <w:rPr>
          <w:rStyle w:val="SCCCounselPartyRoleChar"/>
          <w:lang w:val="fr-CA"/>
        </w:rPr>
        <w:t xml:space="preserve"> et</w:t>
      </w:r>
      <w:r w:rsidRPr="00EC3DEE">
        <w:rPr>
          <w:rStyle w:val="SCCCounselPartyRoleChar"/>
          <w:lang w:val="fr-CA"/>
        </w:rPr>
        <w:t xml:space="preserve"> </w:t>
      </w:r>
      <w:r w:rsidRPr="00EC3DEE">
        <w:rPr>
          <w:rStyle w:val="SCCCounselPartyRoleChar"/>
          <w:i/>
          <w:lang w:val="fr-CA"/>
        </w:rPr>
        <w:t>Katie Hamilton</w:t>
      </w:r>
      <w:r w:rsidRPr="00EC3DEE">
        <w:rPr>
          <w:rStyle w:val="SCCCounselPartyRoleChar"/>
          <w:lang w:val="fr-CA"/>
        </w:rPr>
        <w:t>, pour l</w:t>
      </w:r>
      <w:r w:rsidR="00356C64">
        <w:rPr>
          <w:rStyle w:val="SCCCounselPartyRoleChar"/>
          <w:lang w:val="fr-CA"/>
        </w:rPr>
        <w:t>’</w:t>
      </w:r>
      <w:r w:rsidRPr="00EC3DEE">
        <w:rPr>
          <w:rStyle w:val="SCCCounselPartyRoleChar"/>
          <w:lang w:val="fr-CA"/>
        </w:rPr>
        <w:t xml:space="preserve">intervenant le </w:t>
      </w:r>
      <w:r w:rsidR="009D4CF1">
        <w:rPr>
          <w:rStyle w:val="SCCCounselPartyRoleChar"/>
          <w:lang w:val="fr-CA"/>
        </w:rPr>
        <w:t>p</w:t>
      </w:r>
      <w:r w:rsidRPr="00EC3DEE">
        <w:rPr>
          <w:rStyle w:val="SCCCounselPartyRoleChar"/>
          <w:lang w:val="fr-CA"/>
        </w:rPr>
        <w:t>rocureur gén</w:t>
      </w:r>
      <w:r w:rsidR="00D34D80">
        <w:rPr>
          <w:rStyle w:val="SCCCounselPartyRoleChar"/>
          <w:lang w:val="fr-CA"/>
        </w:rPr>
        <w:t>éral de la Colombie</w:t>
      </w:r>
      <w:r w:rsidR="00D34D80">
        <w:rPr>
          <w:rStyle w:val="SCCCounselPartyRoleChar"/>
          <w:lang w:val="fr-CA"/>
        </w:rPr>
        <w:noBreakHyphen/>
      </w:r>
      <w:r w:rsidR="009D4CF1">
        <w:rPr>
          <w:rStyle w:val="SCCCounselPartyRoleChar"/>
          <w:lang w:val="fr-CA"/>
        </w:rPr>
        <w:t>Britannique</w:t>
      </w:r>
      <w:r w:rsidRPr="00EC3DEE">
        <w:rPr>
          <w:rStyle w:val="SCCCounselPartyRoleChar"/>
          <w:lang w:val="fr-CA"/>
        </w:rPr>
        <w:t>.</w:t>
      </w:r>
    </w:p>
    <w:p w14:paraId="055B9276" w14:textId="77777777" w:rsidR="00EC3DEE" w:rsidRDefault="00EC3DEE" w:rsidP="00067295">
      <w:pPr>
        <w:pStyle w:val="SCCNormalDoubleSpacing"/>
        <w:spacing w:after="480"/>
        <w:rPr>
          <w:rStyle w:val="SCCCounselPartyRoleChar"/>
          <w:lang w:val="fr-CA"/>
        </w:rPr>
      </w:pPr>
      <w:r w:rsidRPr="00EC3DEE">
        <w:rPr>
          <w:rStyle w:val="SCCCounselNameChar"/>
          <w:lang w:val="fr-CA"/>
        </w:rPr>
        <w:tab/>
        <w:t>Kyle McCreary</w:t>
      </w:r>
      <w:r w:rsidR="00720DEF">
        <w:rPr>
          <w:rStyle w:val="SCCCounselSeparatorChar"/>
          <w:lang w:val="fr-CA"/>
        </w:rPr>
        <w:t xml:space="preserve"> et</w:t>
      </w:r>
      <w:r w:rsidRPr="00EC3DEE">
        <w:rPr>
          <w:rStyle w:val="SCCCounselSeparatorChar"/>
          <w:lang w:val="fr-CA"/>
        </w:rPr>
        <w:t xml:space="preserve"> </w:t>
      </w:r>
      <w:r w:rsidRPr="00EC3DEE">
        <w:rPr>
          <w:rStyle w:val="SCCCounselNameChar"/>
          <w:lang w:val="fr-CA"/>
        </w:rPr>
        <w:t>Johnna Van Parys</w:t>
      </w:r>
      <w:r w:rsidRPr="00EC3DEE">
        <w:rPr>
          <w:rStyle w:val="SCCCounselPartyRoleChar"/>
          <w:lang w:val="fr-CA"/>
        </w:rPr>
        <w:t>, pour l</w:t>
      </w:r>
      <w:r w:rsidR="00356C64">
        <w:rPr>
          <w:rStyle w:val="SCCCounselPartyRoleChar"/>
          <w:lang w:val="fr-CA"/>
        </w:rPr>
        <w:t>’</w:t>
      </w:r>
      <w:r w:rsidR="009D4CF1">
        <w:rPr>
          <w:rStyle w:val="SCCCounselPartyRoleChar"/>
          <w:lang w:val="fr-CA"/>
        </w:rPr>
        <w:t>intervenant le p</w:t>
      </w:r>
      <w:r w:rsidRPr="00EC3DEE">
        <w:rPr>
          <w:rStyle w:val="SCCCounselPartyRoleChar"/>
          <w:lang w:val="fr-CA"/>
        </w:rPr>
        <w:t>rocu</w:t>
      </w:r>
      <w:r w:rsidR="009D4CF1">
        <w:rPr>
          <w:rStyle w:val="SCCCounselPartyRoleChar"/>
          <w:lang w:val="fr-CA"/>
        </w:rPr>
        <w:t>reur général de la Saskatchewan</w:t>
      </w:r>
      <w:r w:rsidRPr="00EC3DEE">
        <w:rPr>
          <w:rStyle w:val="SCCCounselPartyRoleChar"/>
          <w:lang w:val="fr-CA"/>
        </w:rPr>
        <w:t>.</w:t>
      </w:r>
    </w:p>
    <w:p w14:paraId="250E7B68" w14:textId="77777777" w:rsidR="003D3796" w:rsidRPr="00EC3DEE" w:rsidRDefault="003D3796" w:rsidP="00067295">
      <w:pPr>
        <w:pStyle w:val="SCCNormalDoubleSpacing"/>
        <w:spacing w:after="480"/>
        <w:rPr>
          <w:lang w:val="fr-CA"/>
        </w:rPr>
      </w:pPr>
      <w:r>
        <w:rPr>
          <w:rStyle w:val="SCCCounselNameChar"/>
          <w:i w:val="0"/>
          <w:lang w:val="fr-CA"/>
        </w:rPr>
        <w:lastRenderedPageBreak/>
        <w:tab/>
      </w:r>
      <w:r>
        <w:rPr>
          <w:rStyle w:val="SCCCounselNameChar"/>
          <w:lang w:val="fr-CA"/>
        </w:rPr>
        <w:t>Jamie Liew</w:t>
      </w:r>
      <w:r w:rsidRPr="006C35AC">
        <w:rPr>
          <w:rStyle w:val="SCCCounselPartyRoleChar"/>
          <w:lang w:val="fr-CA"/>
        </w:rPr>
        <w:t xml:space="preserve">, </w:t>
      </w:r>
      <w:r>
        <w:rPr>
          <w:rStyle w:val="SCCCounselPartyRoleChar"/>
          <w:lang w:val="fr-CA"/>
        </w:rPr>
        <w:t>pour l</w:t>
      </w:r>
      <w:r w:rsidR="00356C64">
        <w:rPr>
          <w:rStyle w:val="SCCCounselPartyRoleChar"/>
          <w:lang w:val="fr-CA"/>
        </w:rPr>
        <w:t>’</w:t>
      </w:r>
      <w:r>
        <w:rPr>
          <w:rStyle w:val="SCCCounselPartyRoleChar"/>
          <w:lang w:val="fr-CA"/>
        </w:rPr>
        <w:t xml:space="preserve">intervenant le </w:t>
      </w:r>
      <w:r w:rsidRPr="006C35AC">
        <w:rPr>
          <w:lang w:val="fr-CA"/>
        </w:rPr>
        <w:t>Conseil canadien pour les réfugiés</w:t>
      </w:r>
      <w:r>
        <w:rPr>
          <w:lang w:val="fr-CA"/>
        </w:rPr>
        <w:t>.</w:t>
      </w:r>
    </w:p>
    <w:p w14:paraId="37A103A6" w14:textId="68719C4B" w:rsidR="00A833FB" w:rsidRPr="00102521" w:rsidRDefault="00B92151" w:rsidP="00067295">
      <w:pPr>
        <w:pStyle w:val="SCCNormalDoubleSpacing"/>
        <w:spacing w:after="480"/>
        <w:rPr>
          <w:lang w:val="fr-CA"/>
        </w:rPr>
      </w:pPr>
      <w:r w:rsidRPr="00102521">
        <w:rPr>
          <w:rStyle w:val="SCCCounselNameChar"/>
          <w:lang w:val="fr-CA"/>
        </w:rPr>
        <w:tab/>
        <w:t>Karen Andrews</w:t>
      </w:r>
      <w:r w:rsidRPr="00102521">
        <w:rPr>
          <w:rStyle w:val="SCCCounselPartyRoleChar"/>
          <w:lang w:val="fr-CA"/>
        </w:rPr>
        <w:t>, pour l</w:t>
      </w:r>
      <w:r w:rsidR="00356C64">
        <w:rPr>
          <w:rStyle w:val="SCCCounselPartyRoleChar"/>
          <w:lang w:val="fr-CA"/>
        </w:rPr>
        <w:t>’</w:t>
      </w:r>
      <w:r w:rsidR="00053A33">
        <w:rPr>
          <w:rStyle w:val="SCCCounselPartyRoleChar"/>
          <w:lang w:val="fr-CA"/>
        </w:rPr>
        <w:t>intervenant</w:t>
      </w:r>
      <w:r w:rsidRPr="00102521">
        <w:rPr>
          <w:rStyle w:val="SCCCounselPartyRoleChar"/>
          <w:lang w:val="fr-CA"/>
        </w:rPr>
        <w:t xml:space="preserve"> </w:t>
      </w:r>
      <w:r w:rsidR="00B32C66">
        <w:rPr>
          <w:rStyle w:val="SCCCounselPartyRoleChar"/>
          <w:lang w:val="fr-CA"/>
        </w:rPr>
        <w:t xml:space="preserve">le </w:t>
      </w:r>
      <w:r w:rsidRPr="00102521">
        <w:rPr>
          <w:rStyle w:val="SCCCounselPartyRoleChar"/>
          <w:lang w:val="fr-CA"/>
        </w:rPr>
        <w:t xml:space="preserve">Centre ontarien de défense des droits des </w:t>
      </w:r>
      <w:r w:rsidRPr="0059132D">
        <w:rPr>
          <w:rStyle w:val="SCCCounselPartyRoleChar"/>
          <w:lang w:val="fr-CA"/>
        </w:rPr>
        <w:t>locataires</w:t>
      </w:r>
      <w:r w:rsidR="00EE5A62" w:rsidRPr="0059132D">
        <w:rPr>
          <w:rStyle w:val="SCCCounselPartyRoleChar"/>
          <w:lang w:val="fr-CA"/>
        </w:rPr>
        <w:t xml:space="preserve"> </w:t>
      </w:r>
      <w:r w:rsidR="0059132D" w:rsidRPr="0059132D">
        <w:rPr>
          <w:lang w:val="fr-CA"/>
        </w:rPr>
        <w:t>-</w:t>
      </w:r>
      <w:r w:rsidR="00EE5A62">
        <w:rPr>
          <w:lang w:val="fr-CA"/>
        </w:rPr>
        <w:t xml:space="preserve"> Programme d</w:t>
      </w:r>
      <w:r w:rsidR="00356C64">
        <w:rPr>
          <w:lang w:val="fr-CA"/>
        </w:rPr>
        <w:t>’</w:t>
      </w:r>
      <w:r w:rsidR="00EE5A62">
        <w:rPr>
          <w:lang w:val="fr-CA"/>
        </w:rPr>
        <w:t>avocats de service en droit du logement</w:t>
      </w:r>
      <w:r w:rsidR="00053A33" w:rsidRPr="00EC3DEE">
        <w:rPr>
          <w:rStyle w:val="SCCCounselPartyRoleChar"/>
          <w:lang w:val="fr-CA"/>
        </w:rPr>
        <w:t>.</w:t>
      </w:r>
    </w:p>
    <w:p w14:paraId="3715B9FE" w14:textId="77777777" w:rsidR="00A833FB" w:rsidRPr="00102521" w:rsidRDefault="00B62B37" w:rsidP="00067295">
      <w:pPr>
        <w:pStyle w:val="SCCNormalDoubleSpacing"/>
        <w:spacing w:after="480"/>
        <w:rPr>
          <w:lang w:val="fr-CA"/>
        </w:rPr>
      </w:pPr>
      <w:r>
        <w:rPr>
          <w:rStyle w:val="SCCCounselNameChar"/>
          <w:lang w:val="fr-CA"/>
        </w:rPr>
        <w:tab/>
        <w:t>Matthew</w:t>
      </w:r>
      <w:r w:rsidR="00B92151" w:rsidRPr="00102521">
        <w:rPr>
          <w:rStyle w:val="SCCCounselNameChar"/>
          <w:lang w:val="fr-CA"/>
        </w:rPr>
        <w:t xml:space="preserve"> Britton</w:t>
      </w:r>
      <w:r w:rsidR="00053A33">
        <w:rPr>
          <w:rStyle w:val="SCCCounselSeparatorChar"/>
          <w:lang w:val="fr-CA"/>
        </w:rPr>
        <w:t xml:space="preserve"> et</w:t>
      </w:r>
      <w:r w:rsidR="00B92151" w:rsidRPr="00102521">
        <w:rPr>
          <w:rStyle w:val="SCCCounselSeparatorChar"/>
          <w:lang w:val="fr-CA"/>
        </w:rPr>
        <w:t xml:space="preserve"> </w:t>
      </w:r>
      <w:r w:rsidR="007A7228">
        <w:rPr>
          <w:rStyle w:val="SCCCounselNameChar"/>
          <w:lang w:val="fr-CA"/>
        </w:rPr>
        <w:t>Jennifer </w:t>
      </w:r>
      <w:r w:rsidR="00053A33">
        <w:rPr>
          <w:rStyle w:val="SCCCounselNameChar"/>
          <w:lang w:val="fr-CA"/>
        </w:rPr>
        <w:t>M. Lynch</w:t>
      </w:r>
      <w:r w:rsidR="00B92151" w:rsidRPr="00102521">
        <w:rPr>
          <w:rStyle w:val="SCCCounselPartyRoleChar"/>
          <w:lang w:val="fr-CA"/>
        </w:rPr>
        <w:t>, pour l</w:t>
      </w:r>
      <w:r w:rsidR="00053A33">
        <w:rPr>
          <w:rStyle w:val="SCCCounselPartyRoleChar"/>
          <w:lang w:val="fr-CA"/>
        </w:rPr>
        <w:t xml:space="preserve">es </w:t>
      </w:r>
      <w:r w:rsidR="00B92151" w:rsidRPr="00102521">
        <w:rPr>
          <w:rStyle w:val="SCCCounselPartyRoleChar"/>
          <w:lang w:val="fr-CA"/>
        </w:rPr>
        <w:t>interven</w:t>
      </w:r>
      <w:r w:rsidR="008864CC">
        <w:rPr>
          <w:rStyle w:val="SCCCounselPartyRoleChar"/>
          <w:lang w:val="fr-CA"/>
        </w:rPr>
        <w:t>ant</w:t>
      </w:r>
      <w:r w:rsidR="00E32C63">
        <w:rPr>
          <w:rStyle w:val="SCCCounselPartyRoleChar"/>
          <w:lang w:val="fr-CA"/>
        </w:rPr>
        <w:t>e</w:t>
      </w:r>
      <w:r w:rsidR="00053A33">
        <w:rPr>
          <w:rStyle w:val="SCCCounselPartyRoleChar"/>
          <w:lang w:val="fr-CA"/>
        </w:rPr>
        <w:t>s</w:t>
      </w:r>
      <w:r w:rsidR="00B92151" w:rsidRPr="00102521">
        <w:rPr>
          <w:rStyle w:val="SCCCounselPartyRoleChar"/>
          <w:lang w:val="fr-CA"/>
        </w:rPr>
        <w:t xml:space="preserve"> </w:t>
      </w:r>
      <w:r w:rsidR="00B32C66">
        <w:rPr>
          <w:rStyle w:val="SCCCounselPartyRoleChar"/>
          <w:lang w:val="fr-CA"/>
        </w:rPr>
        <w:t xml:space="preserve">la </w:t>
      </w:r>
      <w:r w:rsidR="00B92151" w:rsidRPr="00102521">
        <w:rPr>
          <w:rStyle w:val="SCCCounselPartyRoleChar"/>
          <w:lang w:val="fr-CA"/>
        </w:rPr>
        <w:t>Commission des valeurs mobilières de l</w:t>
      </w:r>
      <w:r w:rsidR="00356C64">
        <w:rPr>
          <w:rStyle w:val="SCCCounselPartyRoleChar"/>
          <w:lang w:val="fr-CA"/>
        </w:rPr>
        <w:t>’</w:t>
      </w:r>
      <w:r w:rsidR="00B92151" w:rsidRPr="00102521">
        <w:rPr>
          <w:rStyle w:val="SCCCounselPartyRoleChar"/>
          <w:lang w:val="fr-CA"/>
        </w:rPr>
        <w:t>Onta</w:t>
      </w:r>
      <w:r w:rsidR="00B32C66">
        <w:rPr>
          <w:rStyle w:val="SCCCounselPartyRoleChar"/>
          <w:lang w:val="fr-CA"/>
        </w:rPr>
        <w:t xml:space="preserve">rio, </w:t>
      </w:r>
      <w:r w:rsidR="00B92151" w:rsidRPr="00102521">
        <w:rPr>
          <w:rStyle w:val="SCCCounselPartyRoleChar"/>
          <w:lang w:val="fr-CA"/>
        </w:rPr>
        <w:t>British Columbia Securities Commission et Alberta Securities Commission</w:t>
      </w:r>
      <w:r w:rsidR="003D3796" w:rsidRPr="00EC3DEE">
        <w:rPr>
          <w:rStyle w:val="SCCCounselPartyRoleChar"/>
          <w:lang w:val="fr-CA"/>
        </w:rPr>
        <w:t>.</w:t>
      </w:r>
    </w:p>
    <w:p w14:paraId="578D1213" w14:textId="77777777" w:rsidR="003D3796" w:rsidRPr="00102521" w:rsidRDefault="00B92151" w:rsidP="00067295">
      <w:pPr>
        <w:pStyle w:val="SCCNormalDoubleSpacing"/>
        <w:spacing w:after="480"/>
        <w:rPr>
          <w:lang w:val="fr-CA"/>
        </w:rPr>
      </w:pPr>
      <w:r w:rsidRPr="00102521">
        <w:rPr>
          <w:rStyle w:val="SCCCounselNameChar"/>
          <w:lang w:val="fr-CA"/>
        </w:rPr>
        <w:tab/>
        <w:t>Laura Bowman</w:t>
      </w:r>
      <w:r w:rsidRPr="00102521">
        <w:rPr>
          <w:rStyle w:val="SCCCounselSeparatorChar"/>
          <w:lang w:val="fr-CA"/>
        </w:rPr>
        <w:t xml:space="preserve"> et </w:t>
      </w:r>
      <w:r w:rsidRPr="00102521">
        <w:rPr>
          <w:rStyle w:val="SCCCounselNameChar"/>
          <w:lang w:val="fr-CA"/>
        </w:rPr>
        <w:t>Bronwyn Roe</w:t>
      </w:r>
      <w:r w:rsidRPr="00102521">
        <w:rPr>
          <w:rStyle w:val="SCCCounselPartyRoleChar"/>
          <w:lang w:val="fr-CA"/>
        </w:rPr>
        <w:t>, pour l</w:t>
      </w:r>
      <w:r w:rsidR="00356C64">
        <w:rPr>
          <w:rStyle w:val="SCCCounselPartyRoleChar"/>
          <w:lang w:val="fr-CA"/>
        </w:rPr>
        <w:t>’</w:t>
      </w:r>
      <w:r w:rsidR="008864CC">
        <w:rPr>
          <w:rStyle w:val="SCCCounselPartyRoleChar"/>
          <w:lang w:val="fr-CA"/>
        </w:rPr>
        <w:t>intervenant</w:t>
      </w:r>
      <w:r w:rsidR="00E32C63">
        <w:rPr>
          <w:rStyle w:val="SCCCounselPartyRoleChar"/>
          <w:lang w:val="fr-CA"/>
        </w:rPr>
        <w:t>e</w:t>
      </w:r>
      <w:r w:rsidRPr="00102521">
        <w:rPr>
          <w:rStyle w:val="SCCCounselPartyRoleChar"/>
          <w:lang w:val="fr-CA"/>
        </w:rPr>
        <w:t xml:space="preserve"> Ecojustice Canada Society</w:t>
      </w:r>
      <w:r w:rsidR="003D3796" w:rsidRPr="00EC3DEE">
        <w:rPr>
          <w:rStyle w:val="SCCCounselPartyRoleChar"/>
          <w:lang w:val="fr-CA"/>
        </w:rPr>
        <w:t>.</w:t>
      </w:r>
    </w:p>
    <w:p w14:paraId="59FB43B5" w14:textId="2024FF36" w:rsidR="003D3796" w:rsidRDefault="00B92151" w:rsidP="00067295">
      <w:pPr>
        <w:pStyle w:val="SCCNormalDoubleSpacing"/>
        <w:spacing w:after="480"/>
        <w:rPr>
          <w:rStyle w:val="SCCCounselPartyRoleChar"/>
          <w:lang w:val="fr-CA"/>
        </w:rPr>
      </w:pPr>
      <w:r w:rsidRPr="00102521">
        <w:rPr>
          <w:rStyle w:val="SCCCounselNameChar"/>
          <w:lang w:val="fr-CA"/>
        </w:rPr>
        <w:tab/>
      </w:r>
      <w:r w:rsidR="008864CC" w:rsidRPr="00102521">
        <w:rPr>
          <w:rStyle w:val="SCCCounselNameChar"/>
          <w:lang w:val="fr-CA"/>
        </w:rPr>
        <w:t xml:space="preserve">David Corbett </w:t>
      </w:r>
      <w:r w:rsidR="008864CC">
        <w:rPr>
          <w:rStyle w:val="SCCCounselNameChar"/>
          <w:i w:val="0"/>
          <w:lang w:val="fr-CA"/>
        </w:rPr>
        <w:t>et</w:t>
      </w:r>
      <w:r w:rsidR="008864CC">
        <w:rPr>
          <w:rStyle w:val="SCCCounselNameChar"/>
          <w:lang w:val="fr-CA"/>
        </w:rPr>
        <w:t xml:space="preserve"> </w:t>
      </w:r>
      <w:r w:rsidRPr="00102521">
        <w:rPr>
          <w:rStyle w:val="SCCCounselNameChar"/>
          <w:lang w:val="fr-CA"/>
        </w:rPr>
        <w:t>Michelle Alton</w:t>
      </w:r>
      <w:r w:rsidRPr="00102521">
        <w:rPr>
          <w:rStyle w:val="SCCCounselPartyRoleChar"/>
          <w:lang w:val="fr-CA"/>
        </w:rPr>
        <w:t>, pour l</w:t>
      </w:r>
      <w:r w:rsidR="00053A33">
        <w:rPr>
          <w:rStyle w:val="SCCCounselPartyRoleChar"/>
          <w:lang w:val="fr-CA"/>
        </w:rPr>
        <w:t>es intervenants</w:t>
      </w:r>
      <w:r w:rsidRPr="00102521">
        <w:rPr>
          <w:rStyle w:val="SCCCounselPartyRoleChar"/>
          <w:lang w:val="fr-CA"/>
        </w:rPr>
        <w:t xml:space="preserve"> </w:t>
      </w:r>
      <w:r w:rsidR="00B32C66">
        <w:rPr>
          <w:rStyle w:val="SCCCounselPartyRoleChar"/>
          <w:lang w:val="fr-CA"/>
        </w:rPr>
        <w:t xml:space="preserve">le </w:t>
      </w:r>
      <w:r w:rsidRPr="00102521">
        <w:rPr>
          <w:rStyle w:val="SCCCounselPartyRoleChar"/>
          <w:lang w:val="fr-CA"/>
        </w:rPr>
        <w:t>Tribunal d</w:t>
      </w:r>
      <w:r w:rsidR="00356C64">
        <w:rPr>
          <w:rStyle w:val="SCCCounselPartyRoleChar"/>
          <w:lang w:val="fr-CA"/>
        </w:rPr>
        <w:t>’</w:t>
      </w:r>
      <w:r w:rsidRPr="00102521">
        <w:rPr>
          <w:rStyle w:val="SCCCounselPartyRoleChar"/>
          <w:lang w:val="fr-CA"/>
        </w:rPr>
        <w:t>appel de la sécurité professionnelle et de l</w:t>
      </w:r>
      <w:r w:rsidR="00356C64">
        <w:rPr>
          <w:rStyle w:val="SCCCounselPartyRoleChar"/>
          <w:lang w:val="fr-CA"/>
        </w:rPr>
        <w:t>’</w:t>
      </w:r>
      <w:r w:rsidRPr="00102521">
        <w:rPr>
          <w:rStyle w:val="SCCCounselPartyRoleChar"/>
          <w:lang w:val="fr-CA"/>
        </w:rPr>
        <w:t xml:space="preserve">assurance </w:t>
      </w:r>
      <w:r w:rsidR="00053A33">
        <w:rPr>
          <w:rStyle w:val="SCCCounselPartyRoleChar"/>
          <w:lang w:val="fr-CA"/>
        </w:rPr>
        <w:t>contre les accidents du travail</w:t>
      </w:r>
      <w:r w:rsidR="008864CC">
        <w:rPr>
          <w:rStyle w:val="SCCCounselPartyRoleChar"/>
          <w:lang w:val="fr-CA"/>
        </w:rPr>
        <w:t xml:space="preserve"> (Ontario)</w:t>
      </w:r>
      <w:r w:rsidR="00053A33">
        <w:rPr>
          <w:rStyle w:val="SCCCounselPartyRoleChar"/>
          <w:lang w:val="fr-CA"/>
        </w:rPr>
        <w:t>,</w:t>
      </w:r>
      <w:r w:rsidRPr="00102521">
        <w:rPr>
          <w:rStyle w:val="SCCCounselPartyRoleChar"/>
          <w:lang w:val="fr-CA"/>
        </w:rPr>
        <w:t xml:space="preserve"> Workers</w:t>
      </w:r>
      <w:r w:rsidR="00356C64">
        <w:rPr>
          <w:rStyle w:val="SCCCounselPartyRoleChar"/>
          <w:lang w:val="fr-CA"/>
        </w:rPr>
        <w:t>’</w:t>
      </w:r>
      <w:r w:rsidRPr="00102521">
        <w:rPr>
          <w:rStyle w:val="SCCCounselPartyRoleChar"/>
          <w:lang w:val="fr-CA"/>
        </w:rPr>
        <w:t xml:space="preserve"> Compensation Appeals Tribunal (</w:t>
      </w:r>
      <w:r w:rsidR="00C4132B">
        <w:rPr>
          <w:rStyle w:val="SCCCounselPartyRoleChar"/>
          <w:lang w:val="fr-CA"/>
        </w:rPr>
        <w:t>Territoires du Nord</w:t>
      </w:r>
      <w:r w:rsidR="00C4132B">
        <w:rPr>
          <w:rStyle w:val="SCCCounselPartyRoleChar"/>
          <w:lang w:val="fr-CA"/>
        </w:rPr>
        <w:noBreakHyphen/>
      </w:r>
      <w:r w:rsidR="008864CC">
        <w:rPr>
          <w:rStyle w:val="SCCCounselPartyRoleChar"/>
          <w:lang w:val="fr-CA"/>
        </w:rPr>
        <w:t xml:space="preserve">Ouest et </w:t>
      </w:r>
      <w:r w:rsidR="00053A33">
        <w:rPr>
          <w:rStyle w:val="SCCCounselPartyRoleChar"/>
          <w:lang w:val="fr-CA"/>
        </w:rPr>
        <w:t>Nunavut),</w:t>
      </w:r>
      <w:r w:rsidRPr="00102521">
        <w:rPr>
          <w:rStyle w:val="SCCCounselPartyRoleChar"/>
          <w:lang w:val="fr-CA"/>
        </w:rPr>
        <w:t xml:space="preserve"> </w:t>
      </w:r>
      <w:r w:rsidR="00B32C66">
        <w:rPr>
          <w:rStyle w:val="SCCCounselPartyRoleChar"/>
          <w:lang w:val="fr-CA"/>
        </w:rPr>
        <w:t xml:space="preserve">le </w:t>
      </w:r>
      <w:r w:rsidRPr="00102521">
        <w:rPr>
          <w:rStyle w:val="SCCCounselPartyRoleChar"/>
          <w:lang w:val="fr-CA"/>
        </w:rPr>
        <w:t>Tribunal d</w:t>
      </w:r>
      <w:r w:rsidR="00356C64">
        <w:rPr>
          <w:rStyle w:val="SCCCounselPartyRoleChar"/>
          <w:lang w:val="fr-CA"/>
        </w:rPr>
        <w:t>’</w:t>
      </w:r>
      <w:r w:rsidRPr="00102521">
        <w:rPr>
          <w:rStyle w:val="SCCCounselPartyRoleChar"/>
          <w:lang w:val="fr-CA"/>
        </w:rPr>
        <w:t>appel des décisions de la Commission des accid</w:t>
      </w:r>
      <w:r w:rsidR="00053A33">
        <w:rPr>
          <w:rStyle w:val="SCCCounselPartyRoleChar"/>
          <w:lang w:val="fr-CA"/>
        </w:rPr>
        <w:t>ents du travail de la Nouvelle-É</w:t>
      </w:r>
      <w:r w:rsidR="00053A33" w:rsidRPr="00102521">
        <w:rPr>
          <w:rStyle w:val="SCCCounselPartyRoleChar"/>
          <w:lang w:val="fr-CA"/>
        </w:rPr>
        <w:t>cosse</w:t>
      </w:r>
      <w:r w:rsidR="00053A33">
        <w:rPr>
          <w:rStyle w:val="SCCCounselPartyRoleChar"/>
          <w:lang w:val="fr-CA"/>
        </w:rPr>
        <w:t xml:space="preserve">, </w:t>
      </w:r>
      <w:r w:rsidR="00053A33" w:rsidRPr="00102521">
        <w:rPr>
          <w:rStyle w:val="SCCCounselPartyRoleChar"/>
          <w:lang w:val="fr-CA"/>
        </w:rPr>
        <w:t>Appeals Commission for Alberta Workers</w:t>
      </w:r>
      <w:r w:rsidR="00356C64">
        <w:rPr>
          <w:rStyle w:val="SCCCounselPartyRoleChar"/>
          <w:lang w:val="fr-CA"/>
        </w:rPr>
        <w:t>’</w:t>
      </w:r>
      <w:r w:rsidR="00053A33" w:rsidRPr="00102521">
        <w:rPr>
          <w:rStyle w:val="SCCCounselPartyRoleChar"/>
          <w:lang w:val="fr-CA"/>
        </w:rPr>
        <w:t xml:space="preserve"> Compensation et </w:t>
      </w:r>
      <w:r w:rsidR="00B32C66">
        <w:rPr>
          <w:rStyle w:val="SCCCounselPartyRoleChar"/>
          <w:lang w:val="fr-CA"/>
        </w:rPr>
        <w:t xml:space="preserve">le </w:t>
      </w:r>
      <w:r w:rsidR="00053A33" w:rsidRPr="00102521">
        <w:rPr>
          <w:rStyle w:val="SCCCounselPartyRoleChar"/>
          <w:lang w:val="fr-CA"/>
        </w:rPr>
        <w:t>Tribunal d</w:t>
      </w:r>
      <w:r w:rsidR="00356C64">
        <w:rPr>
          <w:rStyle w:val="SCCCounselPartyRoleChar"/>
          <w:lang w:val="fr-CA"/>
        </w:rPr>
        <w:t>’</w:t>
      </w:r>
      <w:r w:rsidR="00053A33" w:rsidRPr="00102521">
        <w:rPr>
          <w:rStyle w:val="SCCCounselPartyRoleChar"/>
          <w:lang w:val="fr-CA"/>
        </w:rPr>
        <w:t>ap</w:t>
      </w:r>
      <w:r w:rsidR="008864CC">
        <w:rPr>
          <w:rStyle w:val="SCCCounselPartyRoleChar"/>
          <w:lang w:val="fr-CA"/>
        </w:rPr>
        <w:t>pel des accidents au travail (</w:t>
      </w:r>
      <w:r w:rsidR="00C4132B">
        <w:rPr>
          <w:rStyle w:val="SCCCounselPartyRoleChar"/>
          <w:lang w:val="fr-CA"/>
        </w:rPr>
        <w:t>Nouveau</w:t>
      </w:r>
      <w:r w:rsidR="00C4132B">
        <w:rPr>
          <w:rStyle w:val="SCCCounselPartyRoleChar"/>
          <w:lang w:val="fr-CA"/>
        </w:rPr>
        <w:noBreakHyphen/>
      </w:r>
      <w:r w:rsidR="00053A33" w:rsidRPr="00102521">
        <w:rPr>
          <w:rStyle w:val="SCCCounselPartyRoleChar"/>
          <w:lang w:val="fr-CA"/>
        </w:rPr>
        <w:t>Brunswick</w:t>
      </w:r>
      <w:r w:rsidR="008864CC">
        <w:rPr>
          <w:rStyle w:val="SCCCounselPartyRoleChar"/>
          <w:lang w:val="fr-CA"/>
        </w:rPr>
        <w:t>)</w:t>
      </w:r>
      <w:r w:rsidR="003D3796" w:rsidRPr="00EC3DEE">
        <w:rPr>
          <w:rStyle w:val="SCCCounselPartyRoleChar"/>
          <w:lang w:val="fr-CA"/>
        </w:rPr>
        <w:t>.</w:t>
      </w:r>
    </w:p>
    <w:p w14:paraId="17616AAC" w14:textId="77777777" w:rsidR="003D3796" w:rsidRPr="00102521" w:rsidRDefault="00CF3731" w:rsidP="00067295">
      <w:pPr>
        <w:pStyle w:val="SCCNormalDoubleSpacing"/>
        <w:spacing w:after="480"/>
        <w:rPr>
          <w:lang w:val="fr-CA"/>
        </w:rPr>
      </w:pPr>
      <w:r w:rsidRPr="00102521">
        <w:rPr>
          <w:rStyle w:val="SCCCounselNameChar"/>
          <w:lang w:val="fr-CA"/>
        </w:rPr>
        <w:tab/>
      </w:r>
      <w:r>
        <w:rPr>
          <w:rStyle w:val="SCCCounselNameChar"/>
          <w:i w:val="0"/>
          <w:lang w:val="fr-CA"/>
        </w:rPr>
        <w:t xml:space="preserve">Argumentation écrite seulement par </w:t>
      </w:r>
      <w:r w:rsidRPr="00CF3731">
        <w:rPr>
          <w:rStyle w:val="SCCCounselNameChar"/>
          <w:lang w:val="fr-CA"/>
        </w:rPr>
        <w:t>Gavin R. Cameron</w:t>
      </w:r>
      <w:r>
        <w:rPr>
          <w:rStyle w:val="SCCCounselNameChar"/>
          <w:lang w:val="fr-CA"/>
        </w:rPr>
        <w:t xml:space="preserve"> </w:t>
      </w:r>
      <w:r>
        <w:rPr>
          <w:rStyle w:val="SCCCounselNameChar"/>
          <w:i w:val="0"/>
          <w:lang w:val="fr-CA"/>
        </w:rPr>
        <w:t xml:space="preserve">et </w:t>
      </w:r>
      <w:r w:rsidRPr="00CF3731">
        <w:rPr>
          <w:rStyle w:val="SCCCounselNameChar"/>
          <w:lang w:val="fr-CA"/>
        </w:rPr>
        <w:t>Tom Posyniak</w:t>
      </w:r>
      <w:r>
        <w:rPr>
          <w:rStyle w:val="SCCCounselNameChar"/>
          <w:i w:val="0"/>
          <w:lang w:val="fr-CA"/>
        </w:rPr>
        <w:t>, pour l’intervenant</w:t>
      </w:r>
      <w:r w:rsidR="00E32C63">
        <w:rPr>
          <w:rStyle w:val="SCCCounselNameChar"/>
          <w:i w:val="0"/>
          <w:lang w:val="fr-CA"/>
        </w:rPr>
        <w:t>e</w:t>
      </w:r>
      <w:r w:rsidRPr="00CF3731">
        <w:rPr>
          <w:rStyle w:val="SCCCounselPartyRoleChar"/>
          <w:lang w:val="fr-CA"/>
        </w:rPr>
        <w:t xml:space="preserve"> British Columbia International Commercial Arbitration Centre Foundation.</w:t>
      </w:r>
    </w:p>
    <w:p w14:paraId="0F45FBE3" w14:textId="77777777" w:rsidR="003D3796" w:rsidRPr="00102521" w:rsidRDefault="00B92151" w:rsidP="00067295">
      <w:pPr>
        <w:pStyle w:val="SCCNormalDoubleSpacing"/>
        <w:spacing w:after="480"/>
        <w:rPr>
          <w:lang w:val="fr-CA"/>
        </w:rPr>
      </w:pPr>
      <w:r w:rsidRPr="00102521">
        <w:rPr>
          <w:rStyle w:val="SCCCounselNameChar"/>
          <w:lang w:val="fr-CA"/>
        </w:rPr>
        <w:tab/>
        <w:t>Terrence</w:t>
      </w:r>
      <w:r w:rsidR="007A7228">
        <w:rPr>
          <w:rStyle w:val="SCCCounselNameChar"/>
          <w:lang w:val="fr-CA"/>
        </w:rPr>
        <w:t> </w:t>
      </w:r>
      <w:r w:rsidRPr="00102521">
        <w:rPr>
          <w:rStyle w:val="SCCCounselNameChar"/>
          <w:lang w:val="fr-CA"/>
        </w:rPr>
        <w:t>J. O</w:t>
      </w:r>
      <w:r w:rsidR="00356C64">
        <w:rPr>
          <w:rStyle w:val="SCCCounselNameChar"/>
          <w:lang w:val="fr-CA"/>
        </w:rPr>
        <w:t>’</w:t>
      </w:r>
      <w:r w:rsidRPr="00102521">
        <w:rPr>
          <w:rStyle w:val="SCCCounselNameChar"/>
          <w:lang w:val="fr-CA"/>
        </w:rPr>
        <w:t>Sullivan</w:t>
      </w:r>
      <w:r w:rsidR="00053A33">
        <w:rPr>
          <w:rStyle w:val="SCCCounselSeparatorChar"/>
          <w:lang w:val="fr-CA"/>
        </w:rPr>
        <w:t xml:space="preserve"> et</w:t>
      </w:r>
      <w:r w:rsidRPr="00102521">
        <w:rPr>
          <w:rStyle w:val="SCCCounselSeparatorChar"/>
          <w:lang w:val="fr-CA"/>
        </w:rPr>
        <w:t xml:space="preserve"> </w:t>
      </w:r>
      <w:r w:rsidRPr="00102521">
        <w:rPr>
          <w:rStyle w:val="SCCCounselNameChar"/>
          <w:lang w:val="fr-CA"/>
        </w:rPr>
        <w:t>Paul Michell</w:t>
      </w:r>
      <w:r w:rsidRPr="00102521">
        <w:rPr>
          <w:rStyle w:val="SCCCounselPartyRoleChar"/>
          <w:lang w:val="fr-CA"/>
        </w:rPr>
        <w:t>, pour l</w:t>
      </w:r>
      <w:r w:rsidR="00356C64">
        <w:rPr>
          <w:rStyle w:val="SCCCounselPartyRoleChar"/>
          <w:lang w:val="fr-CA"/>
        </w:rPr>
        <w:t>’</w:t>
      </w:r>
      <w:r w:rsidR="00AB4021">
        <w:rPr>
          <w:rStyle w:val="SCCCounselPartyRoleChar"/>
          <w:lang w:val="fr-CA"/>
        </w:rPr>
        <w:t xml:space="preserve">intervenant le </w:t>
      </w:r>
      <w:r w:rsidRPr="00102521">
        <w:rPr>
          <w:rStyle w:val="SCCCounselPartyRoleChar"/>
          <w:lang w:val="fr-CA"/>
        </w:rPr>
        <w:t xml:space="preserve">Conseil des </w:t>
      </w:r>
      <w:r w:rsidR="00AB4021" w:rsidRPr="00102521">
        <w:rPr>
          <w:rStyle w:val="SCCCounselPartyRoleChar"/>
          <w:lang w:val="fr-CA"/>
        </w:rPr>
        <w:t>tribunaux</w:t>
      </w:r>
      <w:r w:rsidRPr="00102521">
        <w:rPr>
          <w:rStyle w:val="SCCCounselPartyRoleChar"/>
          <w:lang w:val="fr-CA"/>
        </w:rPr>
        <w:t xml:space="preserve"> administratifs canadiens</w:t>
      </w:r>
      <w:r w:rsidR="003D3796" w:rsidRPr="00EC3DEE">
        <w:rPr>
          <w:rStyle w:val="SCCCounselPartyRoleChar"/>
          <w:lang w:val="fr-CA"/>
        </w:rPr>
        <w:t>.</w:t>
      </w:r>
    </w:p>
    <w:p w14:paraId="0ADCFE2C" w14:textId="2CC17C46" w:rsidR="003D3796" w:rsidRDefault="00B92151" w:rsidP="00067295">
      <w:pPr>
        <w:pStyle w:val="SCCNormalDoubleSpacing"/>
        <w:spacing w:after="480"/>
        <w:rPr>
          <w:rStyle w:val="SCCCounselPartyRoleChar"/>
          <w:lang w:val="fr-CA"/>
        </w:rPr>
      </w:pPr>
      <w:r w:rsidRPr="00102521">
        <w:rPr>
          <w:rStyle w:val="SCCCounselNameChar"/>
          <w:lang w:val="fr-CA"/>
        </w:rPr>
        <w:lastRenderedPageBreak/>
        <w:tab/>
      </w:r>
      <w:r w:rsidR="00CF3731">
        <w:rPr>
          <w:rStyle w:val="SCCCounselNameChar"/>
          <w:i w:val="0"/>
          <w:lang w:val="fr-CA"/>
        </w:rPr>
        <w:t xml:space="preserve">Argumentation écrite seulement par </w:t>
      </w:r>
      <w:r w:rsidR="00E12984" w:rsidRPr="00CF3731">
        <w:rPr>
          <w:rStyle w:val="SCCCounselNameChar"/>
          <w:lang w:val="fr-CA"/>
        </w:rPr>
        <w:t>Susan L. Stewart</w:t>
      </w:r>
      <w:r w:rsidR="00E12984" w:rsidRPr="00E12984">
        <w:rPr>
          <w:rStyle w:val="SCCCounselNameChar"/>
          <w:i w:val="0"/>
          <w:lang w:val="fr-CA"/>
        </w:rPr>
        <w:t xml:space="preserve">, </w:t>
      </w:r>
      <w:r w:rsidR="00CF3731" w:rsidRPr="00CF3731">
        <w:rPr>
          <w:rStyle w:val="SCCCounselNameChar"/>
          <w:lang w:val="fr-CA"/>
        </w:rPr>
        <w:t>Linda R. Rothstein</w:t>
      </w:r>
      <w:r w:rsidR="00CF3731" w:rsidRPr="00CF3731">
        <w:rPr>
          <w:rStyle w:val="SCCCounselNameChar"/>
          <w:i w:val="0"/>
          <w:lang w:val="fr-CA"/>
        </w:rPr>
        <w:t xml:space="preserve">, </w:t>
      </w:r>
      <w:r w:rsidR="00CF3731" w:rsidRPr="00CF3731">
        <w:rPr>
          <w:rStyle w:val="SCCCounselNameChar"/>
          <w:lang w:val="fr-CA"/>
        </w:rPr>
        <w:t>Michael Fenrick</w:t>
      </w:r>
      <w:r w:rsidR="00CF3731" w:rsidRPr="00CF3731">
        <w:rPr>
          <w:rStyle w:val="SCCCounselNameChar"/>
          <w:i w:val="0"/>
          <w:lang w:val="fr-CA"/>
        </w:rPr>
        <w:t xml:space="preserve">, </w:t>
      </w:r>
      <w:r w:rsidR="00CF3731" w:rsidRPr="00CF3731">
        <w:rPr>
          <w:rStyle w:val="SCCCounselNameChar"/>
          <w:lang w:val="fr-CA"/>
        </w:rPr>
        <w:t>Angela E. Rae</w:t>
      </w:r>
      <w:r w:rsidR="00E12984">
        <w:rPr>
          <w:rStyle w:val="SCCCounselNameChar"/>
          <w:i w:val="0"/>
          <w:lang w:val="fr-CA"/>
        </w:rPr>
        <w:t xml:space="preserve"> et</w:t>
      </w:r>
      <w:r w:rsidR="00CF3731" w:rsidRPr="00CF3731">
        <w:rPr>
          <w:rStyle w:val="SCCCounselNameChar"/>
          <w:i w:val="0"/>
          <w:lang w:val="fr-CA"/>
        </w:rPr>
        <w:t xml:space="preserve"> </w:t>
      </w:r>
      <w:r w:rsidR="00CF3731" w:rsidRPr="00CF3731">
        <w:rPr>
          <w:rStyle w:val="SCCCounselNameChar"/>
          <w:lang w:val="fr-CA"/>
        </w:rPr>
        <w:t>Anne Marie Heenan</w:t>
      </w:r>
      <w:r w:rsidR="00CF3731">
        <w:rPr>
          <w:rStyle w:val="SCCCounselPartyRoleChar"/>
          <w:lang w:val="fr-CA"/>
        </w:rPr>
        <w:t xml:space="preserve">, </w:t>
      </w:r>
      <w:r w:rsidR="00AB4021">
        <w:rPr>
          <w:rStyle w:val="SCCCounselPartyRoleChar"/>
          <w:lang w:val="fr-CA"/>
        </w:rPr>
        <w:t>pour les intervenant</w:t>
      </w:r>
      <w:r w:rsidR="00E32C63">
        <w:rPr>
          <w:rStyle w:val="SCCCounselPartyRoleChar"/>
          <w:lang w:val="fr-CA"/>
        </w:rPr>
        <w:t>e</w:t>
      </w:r>
      <w:r w:rsidR="00AB4021">
        <w:rPr>
          <w:rStyle w:val="SCCCounselPartyRoleChar"/>
          <w:lang w:val="fr-CA"/>
        </w:rPr>
        <w:t>s</w:t>
      </w:r>
      <w:r w:rsidRPr="00AB4021">
        <w:rPr>
          <w:rStyle w:val="SCCCounselPartyRoleChar"/>
          <w:lang w:val="fr-CA"/>
        </w:rPr>
        <w:t xml:space="preserve"> National Academy of Arbitrators</w:t>
      </w:r>
      <w:r w:rsidR="00AB4021">
        <w:rPr>
          <w:rStyle w:val="SCCCounselPartyRoleChar"/>
          <w:lang w:val="fr-CA"/>
        </w:rPr>
        <w:t xml:space="preserve">, </w:t>
      </w:r>
      <w:r w:rsidR="00D34D80">
        <w:rPr>
          <w:rStyle w:val="SCCCounselPartyRoleChar"/>
          <w:lang w:val="fr-CA"/>
        </w:rPr>
        <w:t>Ontario Labour</w:t>
      </w:r>
      <w:r w:rsidR="00D34D80">
        <w:rPr>
          <w:rStyle w:val="SCCCounselPartyRoleChar"/>
          <w:lang w:val="fr-CA"/>
        </w:rPr>
        <w:noBreakHyphen/>
      </w:r>
      <w:r w:rsidR="00AB4021" w:rsidRPr="00102521">
        <w:rPr>
          <w:rStyle w:val="SCCCounselPartyRoleChar"/>
          <w:lang w:val="fr-CA"/>
        </w:rPr>
        <w:t>Management Arbitrators</w:t>
      </w:r>
      <w:r w:rsidR="00356C64">
        <w:rPr>
          <w:rStyle w:val="SCCCounselPartyRoleChar"/>
          <w:lang w:val="fr-CA"/>
        </w:rPr>
        <w:t>’</w:t>
      </w:r>
      <w:r w:rsidR="00AB4021" w:rsidRPr="00102521">
        <w:rPr>
          <w:rStyle w:val="SCCCounselPartyRoleChar"/>
          <w:lang w:val="fr-CA"/>
        </w:rPr>
        <w:t xml:space="preserve"> Association </w:t>
      </w:r>
      <w:r w:rsidR="00867745">
        <w:rPr>
          <w:rStyle w:val="SCCCounselPartyRoleChar"/>
          <w:lang w:val="fr-CA"/>
        </w:rPr>
        <w:t>et</w:t>
      </w:r>
      <w:r w:rsidR="00AB4021" w:rsidRPr="00102521">
        <w:rPr>
          <w:rStyle w:val="SCCCounselPartyRoleChar"/>
          <w:lang w:val="fr-CA"/>
        </w:rPr>
        <w:t xml:space="preserve"> </w:t>
      </w:r>
      <w:r w:rsidR="00E32C63">
        <w:rPr>
          <w:rStyle w:val="SCCCounselPartyRoleChar"/>
          <w:lang w:val="fr-CA"/>
        </w:rPr>
        <w:t xml:space="preserve">la </w:t>
      </w:r>
      <w:r w:rsidR="00AB4021" w:rsidRPr="00102521">
        <w:rPr>
          <w:rStyle w:val="SCCCounselPartyRoleChar"/>
          <w:lang w:val="fr-CA"/>
        </w:rPr>
        <w:t>Conférence des arbitres du Québec</w:t>
      </w:r>
      <w:r w:rsidR="003D3796" w:rsidRPr="00EC3DEE">
        <w:rPr>
          <w:rStyle w:val="SCCCounselPartyRoleChar"/>
          <w:lang w:val="fr-CA"/>
        </w:rPr>
        <w:t>.</w:t>
      </w:r>
    </w:p>
    <w:p w14:paraId="5B0F9521" w14:textId="77777777" w:rsidR="003D3796" w:rsidRPr="00102521" w:rsidRDefault="00B92151" w:rsidP="00067295">
      <w:pPr>
        <w:pStyle w:val="SCCNormalDoubleSpacing"/>
        <w:spacing w:after="480"/>
        <w:rPr>
          <w:lang w:val="fr-CA"/>
        </w:rPr>
      </w:pPr>
      <w:r w:rsidRPr="00102521">
        <w:rPr>
          <w:rStyle w:val="SCCCounselNameChar"/>
          <w:lang w:val="fr-CA"/>
        </w:rPr>
        <w:tab/>
        <w:t>Steven Barrett</w:t>
      </w:r>
      <w:r w:rsidRPr="00102521">
        <w:rPr>
          <w:rStyle w:val="SCCCounselPartyRoleChar"/>
          <w:lang w:val="fr-CA"/>
        </w:rPr>
        <w:t>, pour l</w:t>
      </w:r>
      <w:r w:rsidR="00356C64">
        <w:rPr>
          <w:rStyle w:val="SCCCounselPartyRoleChar"/>
          <w:lang w:val="fr-CA"/>
        </w:rPr>
        <w:t>’</w:t>
      </w:r>
      <w:r w:rsidR="00AB4021">
        <w:rPr>
          <w:rStyle w:val="SCCCounselPartyRoleChar"/>
          <w:lang w:val="fr-CA"/>
        </w:rPr>
        <w:t>intervenant le</w:t>
      </w:r>
      <w:r w:rsidRPr="00102521">
        <w:rPr>
          <w:rStyle w:val="SCCCounselPartyRoleChar"/>
          <w:lang w:val="fr-CA"/>
        </w:rPr>
        <w:t xml:space="preserve"> Congrès du travail du Canada</w:t>
      </w:r>
      <w:r w:rsidR="003D3796" w:rsidRPr="00EC3DEE">
        <w:rPr>
          <w:rStyle w:val="SCCCounselPartyRoleChar"/>
          <w:lang w:val="fr-CA"/>
        </w:rPr>
        <w:t>.</w:t>
      </w:r>
    </w:p>
    <w:p w14:paraId="7FD90733" w14:textId="052DF046" w:rsidR="003D3796" w:rsidRPr="00102521" w:rsidRDefault="00B92151" w:rsidP="00067295">
      <w:pPr>
        <w:pStyle w:val="SCCNormalDoubleSpacing"/>
        <w:spacing w:after="480"/>
        <w:rPr>
          <w:lang w:val="fr-CA"/>
        </w:rPr>
      </w:pPr>
      <w:r w:rsidRPr="00102521">
        <w:rPr>
          <w:rStyle w:val="SCCCounselNameChar"/>
          <w:lang w:val="fr-CA"/>
        </w:rPr>
        <w:tab/>
      </w:r>
      <w:r w:rsidR="00F30822">
        <w:rPr>
          <w:rStyle w:val="SCCCounselNameChar"/>
          <w:i w:val="0"/>
          <w:lang w:val="fr-CA"/>
        </w:rPr>
        <w:t xml:space="preserve">Argumentation écrite seulement par </w:t>
      </w:r>
      <w:r w:rsidR="00F30822" w:rsidRPr="00F30822">
        <w:rPr>
          <w:rStyle w:val="SCCCounselNameChar"/>
          <w:lang w:val="fr-CA"/>
        </w:rPr>
        <w:t>William W. Shores</w:t>
      </w:r>
      <w:r w:rsidR="00F30822" w:rsidRPr="00F30822">
        <w:rPr>
          <w:rStyle w:val="SCCCounselNameChar"/>
          <w:i w:val="0"/>
          <w:lang w:val="fr-CA"/>
        </w:rPr>
        <w:t>,</w:t>
      </w:r>
      <w:r w:rsidR="00F30822" w:rsidRPr="00F30822">
        <w:rPr>
          <w:rStyle w:val="SCCCounselNameChar"/>
          <w:lang w:val="fr-CA"/>
        </w:rPr>
        <w:t xml:space="preserve"> c.r.</w:t>
      </w:r>
      <w:r w:rsidR="002F7454" w:rsidRPr="002F7454">
        <w:rPr>
          <w:rStyle w:val="SCCCounselNameChar"/>
          <w:i w:val="0"/>
          <w:lang w:val="fr-CA"/>
        </w:rPr>
        <w:t>,</w:t>
      </w:r>
      <w:r w:rsidR="00F30822">
        <w:rPr>
          <w:rStyle w:val="SCCCounselNameChar"/>
          <w:i w:val="0"/>
          <w:lang w:val="fr-CA"/>
        </w:rPr>
        <w:t xml:space="preserve"> et </w:t>
      </w:r>
      <w:r w:rsidR="00F30822" w:rsidRPr="00F30822">
        <w:rPr>
          <w:rStyle w:val="SCCCounselNameChar"/>
          <w:lang w:val="fr-CA"/>
        </w:rPr>
        <w:t>Kirk N. Lambrecht</w:t>
      </w:r>
      <w:r w:rsidR="00F30822" w:rsidRPr="00F30822">
        <w:rPr>
          <w:rStyle w:val="SCCCounselNameChar"/>
          <w:i w:val="0"/>
          <w:lang w:val="fr-CA"/>
        </w:rPr>
        <w:t>,</w:t>
      </w:r>
      <w:r w:rsidR="00F30822">
        <w:rPr>
          <w:rStyle w:val="SCCCounselNameChar"/>
          <w:i w:val="0"/>
          <w:lang w:val="fr-CA"/>
        </w:rPr>
        <w:t xml:space="preserve"> </w:t>
      </w:r>
      <w:r w:rsidR="00F30822">
        <w:rPr>
          <w:rStyle w:val="SCCCounselNameChar"/>
          <w:lang w:val="fr-CA"/>
        </w:rPr>
        <w:t>c.r.</w:t>
      </w:r>
      <w:r w:rsidR="00F30822">
        <w:rPr>
          <w:rStyle w:val="SCCCounselNameChar"/>
          <w:i w:val="0"/>
          <w:lang w:val="fr-CA"/>
        </w:rPr>
        <w:t xml:space="preserve">, </w:t>
      </w:r>
      <w:r w:rsidRPr="00102521">
        <w:rPr>
          <w:rStyle w:val="SCCCounselPartyRoleChar"/>
          <w:lang w:val="fr-CA"/>
        </w:rPr>
        <w:t>pour l</w:t>
      </w:r>
      <w:r w:rsidR="00356C64">
        <w:rPr>
          <w:rStyle w:val="SCCCounselPartyRoleChar"/>
          <w:lang w:val="fr-CA"/>
        </w:rPr>
        <w:t>’</w:t>
      </w:r>
      <w:r w:rsidR="00867745">
        <w:rPr>
          <w:rStyle w:val="SCCCounselPartyRoleChar"/>
          <w:lang w:val="fr-CA"/>
        </w:rPr>
        <w:t>intervenante</w:t>
      </w:r>
      <w:r w:rsidRPr="00102521">
        <w:rPr>
          <w:rStyle w:val="SCCCounselPartyRoleChar"/>
          <w:lang w:val="fr-CA"/>
        </w:rPr>
        <w:t xml:space="preserve"> </w:t>
      </w:r>
      <w:r w:rsidR="00867745">
        <w:rPr>
          <w:rStyle w:val="SCCCounselPartyRoleChar"/>
          <w:lang w:val="fr-CA"/>
        </w:rPr>
        <w:t>l</w:t>
      </w:r>
      <w:r w:rsidR="00356C64">
        <w:rPr>
          <w:rStyle w:val="SCCCounselPartyRoleChar"/>
          <w:lang w:val="fr-CA"/>
        </w:rPr>
        <w:t>’</w:t>
      </w:r>
      <w:r w:rsidR="003D3796">
        <w:rPr>
          <w:rStyle w:val="SCCCounselPartyRoleChar"/>
          <w:lang w:val="fr-CA"/>
        </w:rPr>
        <w:t>Association nationale des organisme</w:t>
      </w:r>
      <w:r w:rsidR="00B275E8">
        <w:rPr>
          <w:rStyle w:val="SCCCounselPartyRoleChar"/>
          <w:lang w:val="fr-CA"/>
        </w:rPr>
        <w:t>s</w:t>
      </w:r>
      <w:r w:rsidR="003D3796">
        <w:rPr>
          <w:rStyle w:val="SCCCounselPartyRoleChar"/>
          <w:lang w:val="fr-CA"/>
        </w:rPr>
        <w:t xml:space="preserve"> de réglementation de la p</w:t>
      </w:r>
      <w:r w:rsidRPr="00102521">
        <w:rPr>
          <w:rStyle w:val="SCCCounselPartyRoleChar"/>
          <w:lang w:val="fr-CA"/>
        </w:rPr>
        <w:t>harmacie</w:t>
      </w:r>
      <w:r w:rsidR="003D3796" w:rsidRPr="00EC3DEE">
        <w:rPr>
          <w:rStyle w:val="SCCCounselPartyRoleChar"/>
          <w:lang w:val="fr-CA"/>
        </w:rPr>
        <w:t>.</w:t>
      </w:r>
    </w:p>
    <w:p w14:paraId="43F6252A" w14:textId="77777777" w:rsidR="00A833FB" w:rsidRPr="00102521" w:rsidRDefault="00B92151" w:rsidP="00067295">
      <w:pPr>
        <w:pStyle w:val="SCCNormalDoubleSpacing"/>
        <w:spacing w:after="480"/>
        <w:rPr>
          <w:lang w:val="fr-CA"/>
        </w:rPr>
      </w:pPr>
      <w:r w:rsidRPr="00102521">
        <w:rPr>
          <w:rStyle w:val="SCCCounselNameChar"/>
          <w:lang w:val="fr-CA"/>
        </w:rPr>
        <w:tab/>
        <w:t>Brendan Van Niejenhuis</w:t>
      </w:r>
      <w:r w:rsidRPr="00102521">
        <w:rPr>
          <w:rStyle w:val="SCCCounselSeparatorChar"/>
          <w:lang w:val="fr-CA"/>
        </w:rPr>
        <w:t xml:space="preserve"> et </w:t>
      </w:r>
      <w:r w:rsidRPr="00102521">
        <w:rPr>
          <w:rStyle w:val="SCCCounselNameChar"/>
          <w:lang w:val="fr-CA"/>
        </w:rPr>
        <w:t>Andrea Gonsalves</w:t>
      </w:r>
      <w:r w:rsidRPr="00102521">
        <w:rPr>
          <w:rStyle w:val="SCCCounselPartyRoleChar"/>
          <w:lang w:val="fr-CA"/>
        </w:rPr>
        <w:t>, pour l</w:t>
      </w:r>
      <w:r w:rsidR="00356C64">
        <w:rPr>
          <w:rStyle w:val="SCCCounselPartyRoleChar"/>
          <w:lang w:val="fr-CA"/>
        </w:rPr>
        <w:t>’</w:t>
      </w:r>
      <w:r w:rsidR="00AB4021">
        <w:rPr>
          <w:rStyle w:val="SCCCounselPartyRoleChar"/>
          <w:lang w:val="fr-CA"/>
        </w:rPr>
        <w:t>intervenant</w:t>
      </w:r>
      <w:r w:rsidR="00696915">
        <w:rPr>
          <w:rStyle w:val="SCCCounselPartyRoleChar"/>
          <w:lang w:val="fr-CA"/>
        </w:rPr>
        <w:t>e</w:t>
      </w:r>
      <w:r w:rsidRPr="00102521">
        <w:rPr>
          <w:rStyle w:val="SCCCounselPartyRoleChar"/>
          <w:lang w:val="fr-CA"/>
        </w:rPr>
        <w:t xml:space="preserve"> Queen</w:t>
      </w:r>
      <w:r w:rsidR="00356C64">
        <w:rPr>
          <w:rStyle w:val="SCCCounselPartyRoleChar"/>
          <w:lang w:val="fr-CA"/>
        </w:rPr>
        <w:t>’</w:t>
      </w:r>
      <w:r w:rsidRPr="00102521">
        <w:rPr>
          <w:rStyle w:val="SCCCounselPartyRoleChar"/>
          <w:lang w:val="fr-CA"/>
        </w:rPr>
        <w:t>s Prison Law Clinic</w:t>
      </w:r>
      <w:r w:rsidR="003D3796" w:rsidRPr="00EC3DEE">
        <w:rPr>
          <w:rStyle w:val="SCCCounselPartyRoleChar"/>
          <w:lang w:val="fr-CA"/>
        </w:rPr>
        <w:t>.</w:t>
      </w:r>
    </w:p>
    <w:p w14:paraId="54FC9CFD" w14:textId="77777777" w:rsidR="00A833FB" w:rsidRDefault="00B92151" w:rsidP="00067295">
      <w:pPr>
        <w:pStyle w:val="SCCNormalDoubleSpacing"/>
        <w:spacing w:after="480"/>
        <w:rPr>
          <w:rStyle w:val="SCCCounselPartyRoleChar"/>
        </w:rPr>
      </w:pPr>
      <w:r w:rsidRPr="00102521">
        <w:rPr>
          <w:rStyle w:val="SCCCounselNameChar"/>
          <w:lang w:val="fr-CA"/>
        </w:rPr>
        <w:tab/>
      </w:r>
      <w:r>
        <w:rPr>
          <w:rStyle w:val="SCCCounselNameChar"/>
        </w:rPr>
        <w:t>Adam Goldenberg</w:t>
      </w:r>
      <w:r>
        <w:rPr>
          <w:rStyle w:val="SCCCounselSeparatorChar"/>
        </w:rPr>
        <w:t xml:space="preserve">, </w:t>
      </w:r>
      <w:r w:rsidR="00AB4021">
        <w:rPr>
          <w:rStyle w:val="SCCCounselPartyRoleChar"/>
        </w:rPr>
        <w:t>pour l</w:t>
      </w:r>
      <w:r w:rsidR="00356C64">
        <w:rPr>
          <w:rStyle w:val="SCCCounselPartyRoleChar"/>
        </w:rPr>
        <w:t>’</w:t>
      </w:r>
      <w:r w:rsidR="00AB4021">
        <w:rPr>
          <w:rStyle w:val="SCCCounselPartyRoleChar"/>
        </w:rPr>
        <w:t>intervenant</w:t>
      </w:r>
      <w:r>
        <w:rPr>
          <w:rStyle w:val="SCCCounselPartyRoleChar"/>
        </w:rPr>
        <w:t xml:space="preserve"> Advocates for the Rule of Law</w:t>
      </w:r>
      <w:r w:rsidR="003D3796" w:rsidRPr="003D3796">
        <w:rPr>
          <w:rStyle w:val="SCCCounselPartyRoleChar"/>
        </w:rPr>
        <w:t>.</w:t>
      </w:r>
    </w:p>
    <w:p w14:paraId="7A1F82DA" w14:textId="77777777" w:rsidR="00DC64DF" w:rsidRPr="00DC64DF" w:rsidRDefault="00DC64DF" w:rsidP="00067295">
      <w:pPr>
        <w:pStyle w:val="SCCNormalDoubleSpacing"/>
        <w:spacing w:after="480"/>
        <w:rPr>
          <w:lang w:val="fr-CA"/>
        </w:rPr>
      </w:pPr>
      <w:r w:rsidRPr="004F0998">
        <w:rPr>
          <w:rStyle w:val="SCCCounselNameChar"/>
          <w:lang w:val="en-US"/>
        </w:rPr>
        <w:tab/>
      </w:r>
      <w:r w:rsidRPr="006C35AC">
        <w:rPr>
          <w:rStyle w:val="SCCCounselNameChar"/>
          <w:lang w:val="fr-CA"/>
        </w:rPr>
        <w:t>Toni Schweitzer</w:t>
      </w:r>
      <w:r>
        <w:rPr>
          <w:rStyle w:val="SCCCounselPartyRoleChar"/>
          <w:lang w:val="fr-CA"/>
        </w:rPr>
        <w:t>, pour l’intervenant</w:t>
      </w:r>
      <w:r w:rsidRPr="006C35AC">
        <w:rPr>
          <w:rStyle w:val="SCCCounselPartyRoleChar"/>
          <w:lang w:val="fr-CA"/>
        </w:rPr>
        <w:t xml:space="preserve"> Parkdale Community Legal Services.</w:t>
      </w:r>
    </w:p>
    <w:p w14:paraId="25EBE972" w14:textId="77777777" w:rsidR="00A833FB" w:rsidRPr="00102521" w:rsidRDefault="00B92151" w:rsidP="00067295">
      <w:pPr>
        <w:pStyle w:val="SCCNormalDoubleSpacing"/>
        <w:spacing w:after="480"/>
        <w:rPr>
          <w:lang w:val="fr-CA"/>
        </w:rPr>
      </w:pPr>
      <w:r w:rsidRPr="00DC64DF">
        <w:rPr>
          <w:rStyle w:val="SCCCounselNameChar"/>
          <w:lang w:val="fr-CA"/>
        </w:rPr>
        <w:tab/>
      </w:r>
      <w:r w:rsidRPr="00102521">
        <w:rPr>
          <w:rStyle w:val="SCCCounselNameChar"/>
          <w:lang w:val="fr-CA"/>
        </w:rPr>
        <w:t>Paul Warchuk</w:t>
      </w:r>
      <w:r w:rsidRPr="00102521">
        <w:rPr>
          <w:rStyle w:val="SCCCounselSeparatorChar"/>
          <w:lang w:val="fr-CA"/>
        </w:rPr>
        <w:t xml:space="preserve"> et </w:t>
      </w:r>
      <w:r w:rsidRPr="00102521">
        <w:rPr>
          <w:rStyle w:val="SCCCounselNameChar"/>
          <w:lang w:val="fr-CA"/>
        </w:rPr>
        <w:t>Francis Lévesque</w:t>
      </w:r>
      <w:r w:rsidRPr="00102521">
        <w:rPr>
          <w:rStyle w:val="SCCCounselPartyRoleChar"/>
          <w:lang w:val="fr-CA"/>
        </w:rPr>
        <w:t>, pour l</w:t>
      </w:r>
      <w:r w:rsidR="00356C64">
        <w:rPr>
          <w:rStyle w:val="SCCCounselPartyRoleChar"/>
          <w:lang w:val="fr-CA"/>
        </w:rPr>
        <w:t>’</w:t>
      </w:r>
      <w:r w:rsidR="00AB4021">
        <w:rPr>
          <w:rStyle w:val="SCCCounselPartyRoleChar"/>
          <w:lang w:val="fr-CA"/>
        </w:rPr>
        <w:t>intervenant</w:t>
      </w:r>
      <w:r w:rsidRPr="00102521">
        <w:rPr>
          <w:rStyle w:val="SCCCounselPartyRoleChar"/>
          <w:lang w:val="fr-CA"/>
        </w:rPr>
        <w:t xml:space="preserve"> Cambridge Comparative Administrative Law Forum</w:t>
      </w:r>
      <w:r w:rsidR="003D3796" w:rsidRPr="00EC3DEE">
        <w:rPr>
          <w:rStyle w:val="SCCCounselPartyRoleChar"/>
          <w:lang w:val="fr-CA"/>
        </w:rPr>
        <w:t>.</w:t>
      </w:r>
    </w:p>
    <w:p w14:paraId="666784D1" w14:textId="58796496" w:rsidR="00A833FB" w:rsidRPr="00102521" w:rsidRDefault="00B92151" w:rsidP="00067295">
      <w:pPr>
        <w:pStyle w:val="SCCNormalDoubleSpacing"/>
        <w:spacing w:after="480"/>
        <w:rPr>
          <w:lang w:val="fr-CA"/>
        </w:rPr>
      </w:pPr>
      <w:r w:rsidRPr="00102521">
        <w:rPr>
          <w:rStyle w:val="SCCCounselNameChar"/>
          <w:lang w:val="fr-CA"/>
        </w:rPr>
        <w:tab/>
      </w:r>
      <w:r w:rsidR="00DC64DF" w:rsidRPr="00102521">
        <w:rPr>
          <w:rStyle w:val="SCCCounselNameChar"/>
          <w:lang w:val="fr-CA"/>
        </w:rPr>
        <w:t xml:space="preserve">James Plotkin </w:t>
      </w:r>
      <w:r w:rsidR="00DC64DF">
        <w:rPr>
          <w:rStyle w:val="SCCCounselNameChar"/>
          <w:i w:val="0"/>
          <w:lang w:val="fr-CA"/>
        </w:rPr>
        <w:t xml:space="preserve">et </w:t>
      </w:r>
      <w:r w:rsidRPr="00102521">
        <w:rPr>
          <w:rStyle w:val="SCCCounselNameChar"/>
          <w:lang w:val="fr-CA"/>
        </w:rPr>
        <w:t>Alyssa Tomkins</w:t>
      </w:r>
      <w:r w:rsidRPr="00102521">
        <w:rPr>
          <w:rStyle w:val="SCCCounselPartyRoleChar"/>
          <w:lang w:val="fr-CA"/>
        </w:rPr>
        <w:t>, pour l</w:t>
      </w:r>
      <w:r w:rsidR="00356C64">
        <w:rPr>
          <w:rStyle w:val="SCCCounselPartyRoleChar"/>
          <w:lang w:val="fr-CA"/>
        </w:rPr>
        <w:t>’</w:t>
      </w:r>
      <w:r w:rsidR="00AB4021">
        <w:rPr>
          <w:rStyle w:val="SCCCounselPartyRoleChar"/>
          <w:lang w:val="fr-CA"/>
        </w:rPr>
        <w:t>intervenant</w:t>
      </w:r>
      <w:r w:rsidRPr="00102521">
        <w:rPr>
          <w:rStyle w:val="SCCCounselPartyRoleChar"/>
          <w:lang w:val="fr-CA"/>
        </w:rPr>
        <w:t xml:space="preserve">e </w:t>
      </w:r>
      <w:r w:rsidR="00AB4021">
        <w:rPr>
          <w:rStyle w:val="SCCCounselPartyRoleChar"/>
          <w:lang w:val="fr-CA"/>
        </w:rPr>
        <w:t xml:space="preserve">la </w:t>
      </w:r>
      <w:r w:rsidRPr="00102521">
        <w:rPr>
          <w:rStyle w:val="SCCCounselPartyRoleChar"/>
          <w:lang w:val="fr-CA"/>
        </w:rPr>
        <w:t>Clinique d</w:t>
      </w:r>
      <w:r w:rsidR="00356C64">
        <w:rPr>
          <w:rStyle w:val="SCCCounselPartyRoleChar"/>
          <w:lang w:val="fr-CA"/>
        </w:rPr>
        <w:t>’</w:t>
      </w:r>
      <w:r w:rsidRPr="00102521">
        <w:rPr>
          <w:rStyle w:val="SCCCounselPartyRoleChar"/>
          <w:lang w:val="fr-CA"/>
        </w:rPr>
        <w:t xml:space="preserve">intérêt </w:t>
      </w:r>
      <w:r w:rsidR="00743107">
        <w:rPr>
          <w:rStyle w:val="SCCCounselPartyRoleChar"/>
          <w:lang w:val="fr-CA"/>
        </w:rPr>
        <w:t>public</w:t>
      </w:r>
      <w:r w:rsidRPr="00102521">
        <w:rPr>
          <w:rStyle w:val="SCCCounselPartyRoleChar"/>
          <w:lang w:val="fr-CA"/>
        </w:rPr>
        <w:t xml:space="preserve"> et de politique d</w:t>
      </w:r>
      <w:r w:rsidR="00356C64">
        <w:rPr>
          <w:rStyle w:val="SCCCounselPartyRoleChar"/>
          <w:lang w:val="fr-CA"/>
        </w:rPr>
        <w:t>’</w:t>
      </w:r>
      <w:r w:rsidR="00C4132B">
        <w:rPr>
          <w:rStyle w:val="SCCCounselPartyRoleChar"/>
          <w:lang w:val="fr-CA"/>
        </w:rPr>
        <w:t>internet du Canada Samuelson</w:t>
      </w:r>
      <w:r w:rsidR="00C4132B">
        <w:rPr>
          <w:rStyle w:val="SCCCounselPartyRoleChar"/>
          <w:lang w:val="fr-CA"/>
        </w:rPr>
        <w:noBreakHyphen/>
      </w:r>
      <w:r w:rsidRPr="00102521">
        <w:rPr>
          <w:rStyle w:val="SCCCounselPartyRoleChar"/>
          <w:lang w:val="fr-CA"/>
        </w:rPr>
        <w:t>Glushko</w:t>
      </w:r>
      <w:r w:rsidR="003D3796" w:rsidRPr="00EC3DEE">
        <w:rPr>
          <w:rStyle w:val="SCCCounselPartyRoleChar"/>
          <w:lang w:val="fr-CA"/>
        </w:rPr>
        <w:t>.</w:t>
      </w:r>
    </w:p>
    <w:p w14:paraId="2C5F2DEE" w14:textId="77777777" w:rsidR="003D3796" w:rsidRDefault="00B92151" w:rsidP="00067295">
      <w:pPr>
        <w:pStyle w:val="SCCNormalDoubleSpacing"/>
        <w:spacing w:after="480"/>
        <w:rPr>
          <w:rStyle w:val="SCCCounselPartyRoleChar"/>
          <w:lang w:val="fr-CA"/>
        </w:rPr>
      </w:pPr>
      <w:r w:rsidRPr="00102521">
        <w:rPr>
          <w:rStyle w:val="SCCCounselNameChar"/>
          <w:lang w:val="fr-CA"/>
        </w:rPr>
        <w:tab/>
      </w:r>
      <w:r w:rsidR="00AB4021" w:rsidRPr="00AE25E1">
        <w:rPr>
          <w:rStyle w:val="SCCCounselNameChar"/>
          <w:lang w:val="fr-CA"/>
        </w:rPr>
        <w:t>Guy Régimbald</w:t>
      </w:r>
      <w:r w:rsidR="00AB4021" w:rsidRPr="00AE25E1">
        <w:rPr>
          <w:rStyle w:val="SCCCounselNameChar"/>
          <w:i w:val="0"/>
          <w:lang w:val="fr-CA"/>
        </w:rPr>
        <w:t xml:space="preserve">, </w:t>
      </w:r>
      <w:r w:rsidRPr="00102521">
        <w:rPr>
          <w:rStyle w:val="SCCCounselPartyRoleChar"/>
          <w:lang w:val="fr-CA"/>
        </w:rPr>
        <w:t>pour l</w:t>
      </w:r>
      <w:r w:rsidR="00356C64">
        <w:rPr>
          <w:rStyle w:val="SCCCounselPartyRoleChar"/>
          <w:lang w:val="fr-CA"/>
        </w:rPr>
        <w:t>’</w:t>
      </w:r>
      <w:r w:rsidR="00AE25E1">
        <w:rPr>
          <w:rStyle w:val="SCCCounselPartyRoleChar"/>
          <w:lang w:val="fr-CA"/>
        </w:rPr>
        <w:t>intervenante</w:t>
      </w:r>
      <w:r w:rsidRPr="00102521">
        <w:rPr>
          <w:rStyle w:val="SCCCounselPartyRoleChar"/>
          <w:lang w:val="fr-CA"/>
        </w:rPr>
        <w:t xml:space="preserve"> </w:t>
      </w:r>
      <w:r w:rsidR="00AE25E1">
        <w:rPr>
          <w:rStyle w:val="SCCCounselPartyRoleChar"/>
          <w:lang w:val="fr-CA"/>
        </w:rPr>
        <w:t>l</w:t>
      </w:r>
      <w:r w:rsidR="00356C64">
        <w:rPr>
          <w:rStyle w:val="SCCCounselPartyRoleChar"/>
          <w:lang w:val="fr-CA"/>
        </w:rPr>
        <w:t>’</w:t>
      </w:r>
      <w:r w:rsidRPr="00102521">
        <w:rPr>
          <w:rStyle w:val="SCCCounselPartyRoleChar"/>
          <w:lang w:val="fr-CA"/>
        </w:rPr>
        <w:t xml:space="preserve">Association du </w:t>
      </w:r>
      <w:r w:rsidR="00DC64DF">
        <w:rPr>
          <w:rStyle w:val="SCCCounselPartyRoleChar"/>
          <w:lang w:val="fr-CA"/>
        </w:rPr>
        <w:t>B</w:t>
      </w:r>
      <w:r w:rsidRPr="00102521">
        <w:rPr>
          <w:rStyle w:val="SCCCounselPartyRoleChar"/>
          <w:lang w:val="fr-CA"/>
        </w:rPr>
        <w:t xml:space="preserve">arreau </w:t>
      </w:r>
      <w:r w:rsidR="00682E67">
        <w:rPr>
          <w:rStyle w:val="SCCCounselPartyRoleChar"/>
          <w:lang w:val="fr-CA"/>
        </w:rPr>
        <w:t>c</w:t>
      </w:r>
      <w:r w:rsidRPr="00102521">
        <w:rPr>
          <w:rStyle w:val="SCCCounselPartyRoleChar"/>
          <w:lang w:val="fr-CA"/>
        </w:rPr>
        <w:t>anadien</w:t>
      </w:r>
      <w:r w:rsidR="003D3796" w:rsidRPr="00EC3DEE">
        <w:rPr>
          <w:rStyle w:val="SCCCounselPartyRoleChar"/>
          <w:lang w:val="fr-CA"/>
        </w:rPr>
        <w:t>.</w:t>
      </w:r>
    </w:p>
    <w:p w14:paraId="5A71BB6E" w14:textId="77777777" w:rsidR="003D3796" w:rsidRPr="006C35AC" w:rsidRDefault="003D3796" w:rsidP="00067295">
      <w:pPr>
        <w:pStyle w:val="SCCNormalDoubleSpacing"/>
        <w:spacing w:after="480"/>
        <w:rPr>
          <w:lang w:val="fr-CA"/>
        </w:rPr>
      </w:pPr>
      <w:r>
        <w:rPr>
          <w:rStyle w:val="SCCCounselPartyRoleChar"/>
          <w:lang w:val="fr-CA"/>
        </w:rPr>
        <w:lastRenderedPageBreak/>
        <w:tab/>
      </w:r>
      <w:r w:rsidRPr="00CC5668">
        <w:rPr>
          <w:rStyle w:val="SCCCounselPartyRoleChar"/>
          <w:i/>
          <w:lang w:val="fr-CA"/>
        </w:rPr>
        <w:t xml:space="preserve">Audrey </w:t>
      </w:r>
      <w:r w:rsidRPr="00CC5668">
        <w:rPr>
          <w:rStyle w:val="SCCCounselNameChar"/>
          <w:lang w:val="fr-CA"/>
        </w:rPr>
        <w:t>Macklin</w:t>
      </w:r>
      <w:r w:rsidR="005D2BB7">
        <w:rPr>
          <w:rStyle w:val="SCCCounselPartyRoleChar"/>
          <w:lang w:val="fr-CA"/>
        </w:rPr>
        <w:t xml:space="preserve"> et</w:t>
      </w:r>
      <w:r w:rsidRPr="00CC5668">
        <w:rPr>
          <w:rStyle w:val="SCCCounselPartyRoleChar"/>
          <w:lang w:val="fr-CA"/>
        </w:rPr>
        <w:t xml:space="preserve"> </w:t>
      </w:r>
      <w:r w:rsidRPr="00CC5668">
        <w:rPr>
          <w:rStyle w:val="SCCCounselNameChar"/>
          <w:lang w:val="fr-CA"/>
        </w:rPr>
        <w:t>Anthony Navaneelan</w:t>
      </w:r>
      <w:r w:rsidRPr="00CC5668">
        <w:rPr>
          <w:rStyle w:val="SCCCounselNameChar"/>
          <w:i w:val="0"/>
          <w:lang w:val="fr-CA"/>
        </w:rPr>
        <w:t>,</w:t>
      </w:r>
      <w:r w:rsidRPr="00CC5668">
        <w:rPr>
          <w:rStyle w:val="SCCCounselPartyRoleChar"/>
          <w:lang w:val="fr-CA"/>
        </w:rPr>
        <w:t xml:space="preserve"> </w:t>
      </w:r>
      <w:r w:rsidRPr="006C35AC">
        <w:rPr>
          <w:rStyle w:val="SCCCounselPartyRoleChar"/>
          <w:lang w:val="fr-CA"/>
        </w:rPr>
        <w:t>pour l</w:t>
      </w:r>
      <w:r w:rsidR="00356C64">
        <w:rPr>
          <w:rStyle w:val="SCCCounselPartyRoleChar"/>
          <w:lang w:val="fr-CA"/>
        </w:rPr>
        <w:t>’</w:t>
      </w:r>
      <w:r w:rsidRPr="006C35AC">
        <w:rPr>
          <w:rStyle w:val="SCCCounselPartyRoleChar"/>
          <w:lang w:val="fr-CA"/>
        </w:rPr>
        <w:t>intervenant</w:t>
      </w:r>
      <w:r>
        <w:rPr>
          <w:rStyle w:val="SCCCounselPartyRoleChar"/>
          <w:lang w:val="fr-CA"/>
        </w:rPr>
        <w:t>e l</w:t>
      </w:r>
      <w:r w:rsidR="00356C64">
        <w:rPr>
          <w:rStyle w:val="SCCCounselPartyRoleChar"/>
          <w:lang w:val="fr-CA"/>
        </w:rPr>
        <w:t>’</w:t>
      </w:r>
      <w:r w:rsidRPr="006C35AC">
        <w:rPr>
          <w:rStyle w:val="SCCCounselPartyRoleChar"/>
          <w:lang w:val="fr-CA"/>
        </w:rPr>
        <w:t>Association canadienne des avocats et avocates en droit des réfugiés.</w:t>
      </w:r>
    </w:p>
    <w:p w14:paraId="58305F19" w14:textId="77777777" w:rsidR="003D3796" w:rsidRPr="006C35AC" w:rsidRDefault="003D3796" w:rsidP="00067295">
      <w:pPr>
        <w:pStyle w:val="SCCNormalDoubleSpacing"/>
        <w:spacing w:after="480"/>
        <w:rPr>
          <w:lang w:val="fr-CA"/>
        </w:rPr>
      </w:pPr>
      <w:r w:rsidRPr="006C35AC">
        <w:rPr>
          <w:rStyle w:val="SCCCounselNameChar"/>
          <w:lang w:val="fr-CA"/>
        </w:rPr>
        <w:tab/>
      </w:r>
      <w:r w:rsidR="005D2BB7">
        <w:rPr>
          <w:rStyle w:val="SCCCounselNameChar"/>
          <w:i w:val="0"/>
          <w:lang w:val="fr-CA"/>
        </w:rPr>
        <w:t xml:space="preserve">Argumentation écrite seulement par </w:t>
      </w:r>
      <w:r w:rsidR="005D2BB7" w:rsidRPr="00832223">
        <w:rPr>
          <w:rStyle w:val="SCCCounselNameChar"/>
          <w:lang w:val="fr-CA"/>
        </w:rPr>
        <w:t xml:space="preserve">David Cote </w:t>
      </w:r>
      <w:r w:rsidR="005D2BB7" w:rsidRPr="00832223">
        <w:rPr>
          <w:rStyle w:val="SCCCounselNameChar"/>
          <w:i w:val="0"/>
          <w:lang w:val="fr-CA"/>
        </w:rPr>
        <w:t>et</w:t>
      </w:r>
      <w:r w:rsidR="005D2BB7" w:rsidRPr="005D2BB7">
        <w:rPr>
          <w:rStyle w:val="SCCCounselNameChar"/>
          <w:i w:val="0"/>
          <w:lang w:val="fr-CA"/>
        </w:rPr>
        <w:t xml:space="preserve"> </w:t>
      </w:r>
      <w:r w:rsidR="005D2BB7" w:rsidRPr="005D2BB7">
        <w:rPr>
          <w:rStyle w:val="SCCCounselNameChar"/>
          <w:lang w:val="fr-CA"/>
        </w:rPr>
        <w:t>Subodh Bharati</w:t>
      </w:r>
      <w:r w:rsidR="005D2BB7" w:rsidRPr="005D2BB7">
        <w:rPr>
          <w:rStyle w:val="SCCCounselNameChar"/>
          <w:i w:val="0"/>
          <w:lang w:val="fr-CA"/>
        </w:rPr>
        <w:t>,</w:t>
      </w:r>
      <w:r w:rsidR="005D2BB7" w:rsidRPr="005D2BB7">
        <w:rPr>
          <w:rStyle w:val="SCCCounselNameChar"/>
          <w:lang w:val="fr-CA"/>
        </w:rPr>
        <w:t xml:space="preserve"> </w:t>
      </w:r>
      <w:r w:rsidRPr="006C35AC">
        <w:rPr>
          <w:rStyle w:val="SCCCounselPartyRoleChar"/>
          <w:lang w:val="fr-CA"/>
        </w:rPr>
        <w:t>pour l</w:t>
      </w:r>
      <w:r w:rsidR="00356C64">
        <w:rPr>
          <w:rStyle w:val="SCCCounselPartyRoleChar"/>
          <w:lang w:val="fr-CA"/>
        </w:rPr>
        <w:t>’</w:t>
      </w:r>
      <w:r>
        <w:rPr>
          <w:rStyle w:val="SCCCounselPartyRoleChar"/>
          <w:lang w:val="fr-CA"/>
        </w:rPr>
        <w:t>intervenant</w:t>
      </w:r>
      <w:r w:rsidRPr="006C35AC">
        <w:rPr>
          <w:rStyle w:val="SCCCounselPartyRoleChar"/>
          <w:lang w:val="fr-CA"/>
        </w:rPr>
        <w:t xml:space="preserve"> Community &amp; Legal Aid Services Programme.</w:t>
      </w:r>
    </w:p>
    <w:p w14:paraId="52BD30C0" w14:textId="77777777" w:rsidR="003D3796" w:rsidRPr="006C35AC" w:rsidRDefault="001940D1" w:rsidP="00067295">
      <w:pPr>
        <w:pStyle w:val="SCCNormalDoubleSpacing"/>
        <w:spacing w:after="480"/>
        <w:rPr>
          <w:lang w:val="fr-CA"/>
        </w:rPr>
      </w:pPr>
      <w:r>
        <w:rPr>
          <w:rStyle w:val="SCCCounselNameChar"/>
          <w:lang w:val="fr-CA"/>
        </w:rPr>
        <w:tab/>
        <w:t>Guillaume Cliche</w:t>
      </w:r>
      <w:r>
        <w:rPr>
          <w:rStyle w:val="SCCCounselNameChar"/>
          <w:lang w:val="fr-CA"/>
        </w:rPr>
        <w:noBreakHyphen/>
      </w:r>
      <w:r w:rsidR="003D3796" w:rsidRPr="006C35AC">
        <w:rPr>
          <w:rStyle w:val="SCCCounselNameChar"/>
          <w:lang w:val="fr-CA"/>
        </w:rPr>
        <w:t>Rivard</w:t>
      </w:r>
      <w:r w:rsidR="003D3796" w:rsidRPr="006C35AC">
        <w:rPr>
          <w:rStyle w:val="SCCCounselSeparatorChar"/>
          <w:lang w:val="fr-CA"/>
        </w:rPr>
        <w:t xml:space="preserve"> et </w:t>
      </w:r>
      <w:r w:rsidR="003D3796">
        <w:rPr>
          <w:rStyle w:val="SCCCounselNameChar"/>
          <w:lang w:val="fr-CA"/>
        </w:rPr>
        <w:t>Peter Shams</w:t>
      </w:r>
      <w:r w:rsidR="003D3796" w:rsidRPr="006C35AC">
        <w:rPr>
          <w:rStyle w:val="SCCCounselPartyRoleChar"/>
          <w:lang w:val="fr-CA"/>
        </w:rPr>
        <w:t>, pour l</w:t>
      </w:r>
      <w:r w:rsidR="00356C64">
        <w:rPr>
          <w:rStyle w:val="SCCCounselPartyRoleChar"/>
          <w:lang w:val="fr-CA"/>
        </w:rPr>
        <w:t>’</w:t>
      </w:r>
      <w:r w:rsidR="003D3796">
        <w:rPr>
          <w:rStyle w:val="SCCCounselPartyRoleChar"/>
          <w:lang w:val="fr-CA"/>
        </w:rPr>
        <w:t>intervenante</w:t>
      </w:r>
      <w:r w:rsidR="003D3796" w:rsidRPr="006C35AC">
        <w:rPr>
          <w:rStyle w:val="SCCCounselPartyRoleChar"/>
          <w:lang w:val="fr-CA"/>
        </w:rPr>
        <w:t xml:space="preserve"> </w:t>
      </w:r>
      <w:r w:rsidR="003D3796">
        <w:rPr>
          <w:rStyle w:val="SCCCounselPartyRoleChar"/>
          <w:lang w:val="fr-CA"/>
        </w:rPr>
        <w:t>l</w:t>
      </w:r>
      <w:r w:rsidR="00356C64">
        <w:rPr>
          <w:rStyle w:val="SCCCounselPartyRoleChar"/>
          <w:lang w:val="fr-CA"/>
        </w:rPr>
        <w:t>’</w:t>
      </w:r>
      <w:r w:rsidR="003D3796" w:rsidRPr="006C35AC">
        <w:rPr>
          <w:rStyle w:val="SCCCounselPartyRoleChar"/>
          <w:lang w:val="fr-CA"/>
        </w:rPr>
        <w:t>Association québécoise des avocats et avocates en droit de l</w:t>
      </w:r>
      <w:r w:rsidR="00356C64">
        <w:rPr>
          <w:rStyle w:val="SCCCounselPartyRoleChar"/>
          <w:lang w:val="fr-CA"/>
        </w:rPr>
        <w:t>’</w:t>
      </w:r>
      <w:r w:rsidR="003D3796" w:rsidRPr="006C35AC">
        <w:rPr>
          <w:rStyle w:val="SCCCounselPartyRoleChar"/>
          <w:lang w:val="fr-CA"/>
        </w:rPr>
        <w:t>immigration.</w:t>
      </w:r>
    </w:p>
    <w:p w14:paraId="3F041A74" w14:textId="77777777" w:rsidR="00A833FB" w:rsidRDefault="00B92151" w:rsidP="00067295">
      <w:pPr>
        <w:pStyle w:val="SCCNormalDoubleSpacing"/>
        <w:spacing w:after="480"/>
        <w:rPr>
          <w:rStyle w:val="SCCCounselPartyRoleChar"/>
          <w:lang w:val="fr-CA"/>
        </w:rPr>
      </w:pPr>
      <w:r w:rsidRPr="00102521">
        <w:rPr>
          <w:rStyle w:val="SCCCounselNameChar"/>
          <w:lang w:val="fr-CA"/>
        </w:rPr>
        <w:tab/>
      </w:r>
      <w:r w:rsidR="00AE25E1">
        <w:rPr>
          <w:rStyle w:val="SCCCounselNameChar"/>
          <w:lang w:val="fr-CA"/>
        </w:rPr>
        <w:t>Nicholas McHaffie</w:t>
      </w:r>
      <w:r w:rsidRPr="00102521">
        <w:rPr>
          <w:rStyle w:val="SCCCounselPartyRoleChar"/>
          <w:lang w:val="fr-CA"/>
        </w:rPr>
        <w:t>, pour l</w:t>
      </w:r>
      <w:r w:rsidR="00356C64">
        <w:rPr>
          <w:rStyle w:val="SCCCounselPartyRoleChar"/>
          <w:lang w:val="fr-CA"/>
        </w:rPr>
        <w:t>’</w:t>
      </w:r>
      <w:r w:rsidR="00AE25E1">
        <w:rPr>
          <w:rStyle w:val="SCCCounselPartyRoleChar"/>
          <w:lang w:val="fr-CA"/>
        </w:rPr>
        <w:t>intervenante</w:t>
      </w:r>
      <w:r w:rsidRPr="00102521">
        <w:rPr>
          <w:rStyle w:val="SCCCounselPartyRoleChar"/>
          <w:lang w:val="fr-CA"/>
        </w:rPr>
        <w:t xml:space="preserve"> </w:t>
      </w:r>
      <w:r w:rsidR="00AE25E1">
        <w:rPr>
          <w:rStyle w:val="SCCCounselPartyRoleChar"/>
          <w:lang w:val="fr-CA"/>
        </w:rPr>
        <w:t xml:space="preserve">la </w:t>
      </w:r>
      <w:r w:rsidRPr="00102521">
        <w:rPr>
          <w:rStyle w:val="SCCCounselPartyRoleChar"/>
          <w:lang w:val="fr-CA"/>
        </w:rPr>
        <w:t>Société de soutien à l</w:t>
      </w:r>
      <w:r w:rsidR="00356C64">
        <w:rPr>
          <w:rStyle w:val="SCCCounselPartyRoleChar"/>
          <w:lang w:val="fr-CA"/>
        </w:rPr>
        <w:t>’</w:t>
      </w:r>
      <w:r w:rsidRPr="00102521">
        <w:rPr>
          <w:rStyle w:val="SCCCounselPartyRoleChar"/>
          <w:lang w:val="fr-CA"/>
        </w:rPr>
        <w:t xml:space="preserve">enfance et à la famille des </w:t>
      </w:r>
      <w:r w:rsidR="00AE25E1">
        <w:rPr>
          <w:rStyle w:val="SCCCounselPartyRoleChar"/>
          <w:lang w:val="fr-CA"/>
        </w:rPr>
        <w:t>Premières N</w:t>
      </w:r>
      <w:r w:rsidRPr="00102521">
        <w:rPr>
          <w:rStyle w:val="SCCCounselPartyRoleChar"/>
          <w:lang w:val="fr-CA"/>
        </w:rPr>
        <w:t>ations du Canada</w:t>
      </w:r>
      <w:r w:rsidR="003D3796" w:rsidRPr="00EC3DEE">
        <w:rPr>
          <w:rStyle w:val="SCCCounselPartyRoleChar"/>
          <w:lang w:val="fr-CA"/>
        </w:rPr>
        <w:t>.</w:t>
      </w:r>
    </w:p>
    <w:p w14:paraId="267B9274" w14:textId="31CC1A21" w:rsidR="00AE2373" w:rsidRDefault="001C2CA2" w:rsidP="00AE2373">
      <w:pPr>
        <w:pStyle w:val="SCCNormalDoubleSpacing"/>
        <w:spacing w:after="480"/>
        <w:rPr>
          <w:rStyle w:val="SCCCounselPartyRoleChar"/>
          <w:lang w:val="fr-CA"/>
        </w:rPr>
      </w:pPr>
      <w:r w:rsidRPr="00102521">
        <w:rPr>
          <w:rStyle w:val="SCCCounselNameChar"/>
          <w:lang w:val="fr-CA"/>
        </w:rPr>
        <w:tab/>
      </w:r>
      <w:r w:rsidRPr="00704D46">
        <w:rPr>
          <w:rStyle w:val="SCCCounselNameChar"/>
          <w:lang w:val="fr-CA"/>
        </w:rPr>
        <w:t>Daniel Jutras</w:t>
      </w:r>
      <w:r w:rsidR="00867745" w:rsidRPr="00704D46">
        <w:rPr>
          <w:rStyle w:val="SCCCounselNameChar"/>
          <w:lang w:val="fr-CA"/>
        </w:rPr>
        <w:t xml:space="preserve"> </w:t>
      </w:r>
      <w:r w:rsidR="00867745" w:rsidRPr="00704D46">
        <w:rPr>
          <w:rStyle w:val="SCCCounselNameChar"/>
          <w:i w:val="0"/>
          <w:lang w:val="fr-CA"/>
        </w:rPr>
        <w:t xml:space="preserve">et </w:t>
      </w:r>
      <w:r w:rsidR="00867745" w:rsidRPr="00704D46">
        <w:rPr>
          <w:rStyle w:val="SCCCounselNameChar"/>
          <w:lang w:val="fr-CA"/>
        </w:rPr>
        <w:t>Audrey Boctor</w:t>
      </w:r>
      <w:r w:rsidRPr="00704D46">
        <w:rPr>
          <w:rStyle w:val="SCCCounselPartyRoleChar"/>
          <w:lang w:val="fr-CA"/>
        </w:rPr>
        <w:t xml:space="preserve">, </w:t>
      </w:r>
      <w:r w:rsidR="00867745" w:rsidRPr="00704D46">
        <w:rPr>
          <w:rStyle w:val="SCCCounselPartyRoleChar"/>
          <w:lang w:val="fr-CA"/>
        </w:rPr>
        <w:t>en qualité d</w:t>
      </w:r>
      <w:r w:rsidR="00356C64">
        <w:rPr>
          <w:rStyle w:val="SCCCounselPartyRoleChar"/>
          <w:lang w:val="fr-CA"/>
        </w:rPr>
        <w:t>’</w:t>
      </w:r>
      <w:r w:rsidR="00867745" w:rsidRPr="001D5776">
        <w:rPr>
          <w:rStyle w:val="SCCCounselPartyRoleChar"/>
          <w:i/>
          <w:lang w:val="fr-CA"/>
        </w:rPr>
        <w:t>amici</w:t>
      </w:r>
      <w:r w:rsidRPr="00704D46">
        <w:rPr>
          <w:rStyle w:val="SCCCounselPartyRoleChar"/>
          <w:lang w:val="fr-CA"/>
        </w:rPr>
        <w:t xml:space="preserve"> </w:t>
      </w:r>
      <w:r w:rsidRPr="001D5776">
        <w:rPr>
          <w:rStyle w:val="SCCCounselPartyRoleChar"/>
          <w:i/>
          <w:lang w:val="fr-CA"/>
        </w:rPr>
        <w:t>curiae</w:t>
      </w:r>
      <w:r w:rsidR="00867745" w:rsidRPr="00704D46">
        <w:rPr>
          <w:rStyle w:val="SCCCounselPartyRoleChar"/>
          <w:lang w:val="fr-CA"/>
        </w:rPr>
        <w:t xml:space="preserve">, </w:t>
      </w:r>
      <w:r w:rsidR="00D61BE4" w:rsidRPr="00704D46">
        <w:rPr>
          <w:rStyle w:val="SCCCounselPartyRoleChar"/>
          <w:lang w:val="fr-CA"/>
        </w:rPr>
        <w:t xml:space="preserve">et </w:t>
      </w:r>
      <w:r w:rsidR="001D5776" w:rsidRPr="00704D46">
        <w:rPr>
          <w:rStyle w:val="SCCCounselNameChar"/>
          <w:lang w:val="fr-CA"/>
        </w:rPr>
        <w:t xml:space="preserve">Olga Redko </w:t>
      </w:r>
      <w:r w:rsidR="001D5776" w:rsidRPr="001D5776">
        <w:rPr>
          <w:rStyle w:val="SCCCounselNameChar"/>
          <w:i w:val="0"/>
          <w:lang w:val="fr-CA"/>
        </w:rPr>
        <w:t xml:space="preserve">et </w:t>
      </w:r>
      <w:r w:rsidR="00867745" w:rsidRPr="00704D46">
        <w:rPr>
          <w:rStyle w:val="SCCCounselNameChar"/>
          <w:lang w:val="fr-CA"/>
        </w:rPr>
        <w:t>Edward Béchard Torres</w:t>
      </w:r>
      <w:r w:rsidR="00867745" w:rsidRPr="00704D46">
        <w:rPr>
          <w:rStyle w:val="SCCCounselPartyRoleChar"/>
          <w:lang w:val="fr-CA"/>
        </w:rPr>
        <w:t>.</w:t>
      </w:r>
    </w:p>
    <w:p w14:paraId="54DCE746" w14:textId="7E13326F" w:rsidR="00AE2373" w:rsidRDefault="00AE2373" w:rsidP="002773B3">
      <w:pPr>
        <w:spacing w:after="720"/>
        <w:rPr>
          <w:rFonts w:eastAsia="Calibri"/>
          <w:szCs w:val="24"/>
          <w:lang w:val="fr-CA"/>
        </w:rPr>
      </w:pPr>
      <w:r w:rsidRPr="00F24E11">
        <w:rPr>
          <w:rFonts w:eastAsia="Calibri"/>
          <w:szCs w:val="24"/>
          <w:lang w:val="fr-CA"/>
        </w:rPr>
        <w:t>Version française du jugement rendu par</w:t>
      </w:r>
    </w:p>
    <w:p w14:paraId="1949788D" w14:textId="113EDC63" w:rsidR="00AE2373" w:rsidRPr="00000DCC" w:rsidRDefault="002773B3" w:rsidP="00AE2373">
      <w:pPr>
        <w:pStyle w:val="ParaNoNdepar-AltN"/>
        <w:tabs>
          <w:tab w:val="clear" w:pos="1166"/>
          <w:tab w:val="clear" w:pos="1422"/>
          <w:tab w:val="num" w:pos="1170"/>
        </w:tabs>
        <w:spacing w:before="0"/>
        <w:rPr>
          <w:rFonts w:cs="Times New Roman"/>
          <w:noProof/>
          <w:lang w:val="fr-CA"/>
        </w:rPr>
      </w:pPr>
      <w:r w:rsidRPr="002773B3">
        <w:rPr>
          <w:smallCaps/>
          <w:noProof/>
          <w:lang w:val="fr-CA"/>
        </w:rPr>
        <w:t>Le juge en chef et les juges Moldaver, Gascon, Côté, Brown, Rowe et Martin</w:t>
      </w:r>
      <w:r w:rsidRPr="00000DCC">
        <w:rPr>
          <w:noProof/>
          <w:lang w:val="fr-CA"/>
        </w:rPr>
        <w:t xml:space="preserve"> —</w:t>
      </w:r>
      <w:r>
        <w:rPr>
          <w:noProof/>
          <w:lang w:val="fr-CA"/>
        </w:rPr>
        <w:t xml:space="preserve"> </w:t>
      </w:r>
      <w:r w:rsidR="00AE2373" w:rsidRPr="00000DCC">
        <w:rPr>
          <w:rFonts w:cs="Times New Roman"/>
          <w:noProof/>
          <w:lang w:val="fr-CA"/>
        </w:rPr>
        <w:t xml:space="preserve">Le présent pourvoi et les pourvois connexes </w:t>
      </w:r>
      <w:r w:rsidR="00AE2373" w:rsidRPr="00000DCC">
        <w:rPr>
          <w:rFonts w:cs="Times New Roman"/>
          <w:lang w:val="fr-CA"/>
        </w:rPr>
        <w:t xml:space="preserve">(voir </w:t>
      </w:r>
      <w:r w:rsidR="00AE2373" w:rsidRPr="00000DCC">
        <w:rPr>
          <w:rFonts w:cs="Times New Roman"/>
          <w:i/>
          <w:lang w:val="fr-CA"/>
        </w:rPr>
        <w:t>Bell Canada c. Canada (Procureur général)</w:t>
      </w:r>
      <w:r w:rsidR="00AE2373" w:rsidRPr="008038D8">
        <w:rPr>
          <w:rFonts w:cs="Times New Roman"/>
          <w:lang w:val="fr-CA"/>
        </w:rPr>
        <w:t>,</w:t>
      </w:r>
      <w:r w:rsidR="00AE2373" w:rsidRPr="00000DCC">
        <w:rPr>
          <w:rFonts w:cs="Times New Roman"/>
          <w:i/>
          <w:lang w:val="fr-CA"/>
        </w:rPr>
        <w:t xml:space="preserve"> </w:t>
      </w:r>
      <w:r w:rsidR="00AE2373" w:rsidRPr="00000DCC">
        <w:rPr>
          <w:rFonts w:cs="Times New Roman"/>
          <w:lang w:val="fr-CA"/>
        </w:rPr>
        <w:t>2019 CSC 66</w:t>
      </w:r>
      <w:r w:rsidR="005365B0">
        <w:rPr>
          <w:rFonts w:cs="Times New Roman"/>
          <w:lang w:val="fr-CA"/>
        </w:rPr>
        <w:t>, [2019] 4</w:t>
      </w:r>
      <w:r w:rsidR="002D3145">
        <w:rPr>
          <w:rFonts w:cs="Times New Roman"/>
          <w:lang w:val="fr-CA"/>
        </w:rPr>
        <w:t xml:space="preserve"> R.C.S. </w:t>
      </w:r>
      <w:r w:rsidR="004F2B0A">
        <w:rPr>
          <w:rFonts w:cs="Times New Roman"/>
          <w:lang w:val="fr-CA"/>
        </w:rPr>
        <w:t>845</w:t>
      </w:r>
      <w:r w:rsidR="00AE2373" w:rsidRPr="00000DCC">
        <w:rPr>
          <w:rFonts w:cs="Times New Roman"/>
          <w:lang w:val="fr-CA"/>
        </w:rPr>
        <w:t>)</w:t>
      </w:r>
      <w:r w:rsidR="00AE2373" w:rsidRPr="00000DCC">
        <w:rPr>
          <w:rFonts w:cs="Times New Roman"/>
          <w:noProof/>
          <w:lang w:val="fr-CA"/>
        </w:rPr>
        <w:t>, donnent à la Cour l’occasion de se pencher de nouveau sur sa façon d’aborder le contrôle judiciaire des décisions administratives.</w:t>
      </w:r>
    </w:p>
    <w:p w14:paraId="32A26A4D" w14:textId="77777777" w:rsidR="00AE2373" w:rsidRPr="00000DCC" w:rsidRDefault="00AE2373" w:rsidP="00AE2373">
      <w:pPr>
        <w:pStyle w:val="ParaNoNdepar-AltN"/>
        <w:tabs>
          <w:tab w:val="clear" w:pos="1166"/>
          <w:tab w:val="clear" w:pos="1422"/>
          <w:tab w:val="left" w:pos="1170"/>
        </w:tabs>
        <w:spacing w:before="0"/>
        <w:rPr>
          <w:rFonts w:cs="Times New Roman"/>
          <w:noProof/>
          <w:lang w:val="fr-CA"/>
        </w:rPr>
      </w:pPr>
      <w:r w:rsidRPr="00000DCC">
        <w:rPr>
          <w:rFonts w:cs="Times New Roman"/>
          <w:noProof/>
          <w:lang w:val="fr-CA"/>
        </w:rPr>
        <w:t xml:space="preserve">Dans les présents motifs, nous traitons de deux aspects clés de la jurisprudence actuelle en droit administratif qu’il est nécessaire de réexaminer et de clarifier. D’abord, nous traçons la nouvelle voie à suivre pour déterminer la norme de </w:t>
      </w:r>
      <w:r w:rsidRPr="00000DCC">
        <w:rPr>
          <w:rFonts w:cs="Times New Roman"/>
          <w:noProof/>
          <w:lang w:val="fr-CA"/>
        </w:rPr>
        <w:lastRenderedPageBreak/>
        <w:t xml:space="preserve">contrôle applicable lorsqu’une cour de justice contrôle une décision administrative au fond. Ensuite, nous donnons des indications additionnelles aux cours de révision qui procèdent au contrôle selon la norme de la décision raisonnable. Le cadre d’analyse révisé est encore guidé par les principes en matière de contrôle judiciaire qu’a énoncés la Cour dans l’arrêt </w:t>
      </w:r>
      <w:r w:rsidRPr="00000DCC">
        <w:rPr>
          <w:rFonts w:cs="Times New Roman"/>
          <w:i/>
          <w:noProof/>
          <w:lang w:val="fr-CA"/>
        </w:rPr>
        <w:t>Dunsmuir c. Nouveau</w:t>
      </w:r>
      <w:r w:rsidRPr="00000DCC">
        <w:rPr>
          <w:rFonts w:cs="Times New Roman"/>
          <w:i/>
          <w:noProof/>
          <w:lang w:val="fr-CA"/>
        </w:rPr>
        <w:noBreakHyphen/>
        <w:t>Brunswick</w:t>
      </w:r>
      <w:r w:rsidRPr="00000DCC">
        <w:rPr>
          <w:rFonts w:cs="Times New Roman"/>
          <w:noProof/>
          <w:lang w:val="fr-CA"/>
        </w:rPr>
        <w:t>, 2008 CSC 9, [2008] 1 R.C.S. 190 : le contrôle judiciaire a pour fonction de préserver la primauté du droit tout en donnant effet à la volonté du législateur. Nous insistons également sur la nécessité de développer et de renforcer une culture de la justification au sein du processus décisionnel administratif.</w:t>
      </w:r>
    </w:p>
    <w:p w14:paraId="1BD4E4D7"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Nous examinons ensuite le fond de l’affaire en l’espèce, qui porte sur une demande de contrôle judiciaire d’une décision rendue par la greffière de la citoyenneté canadienne concernant M. Alexander Vavilov, né au Canada de parents qui se sont plus tard révélés être des espions russes. Se fondant sur une interprétation de l’al. 3(2)a) de la </w:t>
      </w:r>
      <w:r w:rsidRPr="00000DCC">
        <w:rPr>
          <w:rFonts w:cs="Times New Roman"/>
          <w:i/>
          <w:noProof/>
          <w:lang w:val="fr-CA"/>
        </w:rPr>
        <w:t>Loi sur la citoyenneté</w:t>
      </w:r>
      <w:r w:rsidRPr="00000DCC">
        <w:rPr>
          <w:rFonts w:cs="Times New Roman"/>
          <w:noProof/>
          <w:lang w:val="fr-CA"/>
        </w:rPr>
        <w:t>,</w:t>
      </w:r>
      <w:r w:rsidRPr="00000DCC">
        <w:rPr>
          <w:rFonts w:cs="Times New Roman"/>
          <w:i/>
          <w:noProof/>
          <w:lang w:val="fr-CA"/>
        </w:rPr>
        <w:t xml:space="preserve"> </w:t>
      </w:r>
      <w:r w:rsidRPr="00000DCC">
        <w:rPr>
          <w:rFonts w:cs="Times New Roman"/>
          <w:noProof/>
          <w:lang w:val="fr-CA"/>
        </w:rPr>
        <w:t>L.R.C. 1985, c. C</w:t>
      </w:r>
      <w:r w:rsidRPr="00000DCC">
        <w:rPr>
          <w:rFonts w:cs="Times New Roman"/>
          <w:noProof/>
          <w:lang w:val="fr-CA"/>
        </w:rPr>
        <w:noBreakHyphen/>
        <w:t xml:space="preserve">29, la greffière a conclu que M. Vavilov n’était pas un citoyen canadien et a annulé son certificat de citoyenneté en application du par. 26(3) du </w:t>
      </w:r>
      <w:r w:rsidRPr="00000DCC">
        <w:rPr>
          <w:rFonts w:cs="Times New Roman"/>
          <w:i/>
          <w:noProof/>
          <w:lang w:val="fr-CA"/>
        </w:rPr>
        <w:t>Règlement sur la citoyenneté</w:t>
      </w:r>
      <w:r w:rsidRPr="00000DCC">
        <w:rPr>
          <w:rFonts w:cs="Times New Roman"/>
          <w:noProof/>
          <w:lang w:val="fr-CA"/>
        </w:rPr>
        <w:t>, DORS/93</w:t>
      </w:r>
      <w:r w:rsidRPr="00000DCC">
        <w:rPr>
          <w:rFonts w:cs="Times New Roman"/>
          <w:noProof/>
          <w:lang w:val="fr-CA"/>
        </w:rPr>
        <w:noBreakHyphen/>
        <w:t>246. Selon nous, la norme de contrôle applicable est celle de la décision raisonnable et la décision de la greffière était déraisonnable. Nous sommes donc d’avis de confirmer l’arrêt par lequel la Cour d’appel fédérale la casse et de rejeter le pourvoi du ministre de la Citoyenneté et de l’Immigration.</w:t>
      </w:r>
    </w:p>
    <w:p w14:paraId="515BCFEA" w14:textId="77777777" w:rsidR="00AE2373" w:rsidRPr="00000DCC" w:rsidRDefault="00AE2373" w:rsidP="00AE2373">
      <w:pPr>
        <w:pStyle w:val="Title1LevelTitre1Niveau-AltL"/>
        <w:tabs>
          <w:tab w:val="left" w:pos="1560"/>
        </w:tabs>
        <w:spacing w:before="0"/>
        <w:rPr>
          <w:rFonts w:cs="Times New Roman"/>
          <w:noProof/>
          <w:lang w:val="fr-CA"/>
        </w:rPr>
      </w:pPr>
      <w:r w:rsidRPr="00000DCC">
        <w:rPr>
          <w:rFonts w:cs="Times New Roman"/>
          <w:noProof/>
          <w:lang w:val="fr-CA"/>
        </w:rPr>
        <w:t>La nécessité de clarifier et de simplifier le droit relatif au contrôle judiciaire</w:t>
      </w:r>
    </w:p>
    <w:p w14:paraId="4A442C9B"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Au cours des dernières décennies, le droit canadien relatif au contrôle judiciaire des décisions administratives a connu une évolution jurisprudentielle </w:t>
      </w:r>
      <w:r w:rsidRPr="00000DCC">
        <w:rPr>
          <w:rFonts w:cs="Times New Roman"/>
          <w:noProof/>
          <w:lang w:val="fr-CA"/>
        </w:rPr>
        <w:lastRenderedPageBreak/>
        <w:t>continue et donné lieu à un vigoureux débat doctrinal. Ce domaine du droit touche des questions fondamentales pour notre ordre juridique et constitutionnel et tente d’assurer la bonne marche des rapports entre les décideurs administratifs, les cours de justice et les membres de notre société.</w:t>
      </w:r>
      <w:r w:rsidRPr="00000DCC" w:rsidDel="008D2736">
        <w:rPr>
          <w:rFonts w:cs="Times New Roman"/>
          <w:noProof/>
          <w:lang w:val="fr-CA"/>
        </w:rPr>
        <w:t xml:space="preserve"> </w:t>
      </w:r>
      <w:r w:rsidRPr="00000DCC">
        <w:rPr>
          <w:rFonts w:cs="Times New Roman"/>
          <w:noProof/>
          <w:lang w:val="fr-CA"/>
        </w:rPr>
        <w:t>Parallèlement au droit, le rôle du processus décisionnel administratif au Canada a connu sa propre évolution. Aujourd’hui, l’administration d’innombrables organismes publics et régimes de réglementation est confiée par la loi à des délégataires ayant un pouvoir décisionnel. Le nombre, la diversité et l’importance des affaires dont sont saisis ces délégataires font du processus décisionnel administratif l’une des principales manifestations du pouvoir de l’État dans la vie de la population canadienne.</w:t>
      </w:r>
    </w:p>
    <w:p w14:paraId="34702607"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Vu l’omniprésence du processus décisionnel administratif et son importance pratique, il est essentiel que les décideurs administratifs, les personnes visées par leurs décisions et les tribunaux chargés de contrôler ces décisions disposent d’indications claires sur la façon dont le contrôle judiciaire doit être exercé.</w:t>
      </w:r>
    </w:p>
    <w:p w14:paraId="4D6FADB6"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Dans son jugement qui accorde l’autorisation de pourvoi dans la présente affaire et les affaires connexes, la Cour a clairement indiqué qu’elle considère les présents pourvois comme une occasion de se pencher sur le droit applicable au contrôle judiciaire des décisions administratives tel que traité dans l’arrêt </w:t>
      </w:r>
      <w:r w:rsidRPr="00000DCC">
        <w:rPr>
          <w:rFonts w:cs="Times New Roman"/>
          <w:i/>
          <w:noProof/>
          <w:lang w:val="fr-CA"/>
        </w:rPr>
        <w:t xml:space="preserve">Dunsmuir </w:t>
      </w:r>
      <w:r w:rsidRPr="00000DCC">
        <w:rPr>
          <w:rFonts w:cs="Times New Roman"/>
          <w:noProof/>
          <w:lang w:val="fr-CA"/>
        </w:rPr>
        <w:t xml:space="preserve">et les arrêts subséquents. Vu l’importance de cet enjeu, la Cour a nommé deux </w:t>
      </w:r>
      <w:r w:rsidRPr="00000DCC">
        <w:rPr>
          <w:rFonts w:cs="Times New Roman"/>
          <w:i/>
          <w:noProof/>
          <w:lang w:val="fr-CA"/>
        </w:rPr>
        <w:t>amici curiae</w:t>
      </w:r>
      <w:r w:rsidRPr="00000DCC">
        <w:rPr>
          <w:rFonts w:cs="Times New Roman"/>
          <w:noProof/>
          <w:lang w:val="fr-CA"/>
        </w:rPr>
        <w:t>,</w:t>
      </w:r>
      <w:r w:rsidRPr="00000DCC">
        <w:rPr>
          <w:rFonts w:cs="Times New Roman"/>
          <w:i/>
          <w:noProof/>
          <w:lang w:val="fr-CA"/>
        </w:rPr>
        <w:t xml:space="preserve"> </w:t>
      </w:r>
      <w:r w:rsidRPr="00000DCC">
        <w:rPr>
          <w:rFonts w:cs="Times New Roman"/>
          <w:noProof/>
          <w:lang w:val="fr-CA"/>
        </w:rPr>
        <w:t xml:space="preserve">invité les parties à consacrer une bonne partie de leurs arguments à la question de la norme de contrôle et accordé l’autorisation d’intervenir à 27 intervenants, dont 4 procureurs généraux et de nombreuses organisations représentatives de tout l’éventail du droit administratif canadien. Nous avons en conséquence reçu une grande quantité </w:t>
      </w:r>
      <w:r w:rsidRPr="00000DCC">
        <w:rPr>
          <w:rFonts w:cs="Times New Roman"/>
          <w:noProof/>
          <w:lang w:val="fr-CA"/>
        </w:rPr>
        <w:lastRenderedPageBreak/>
        <w:t xml:space="preserve">d’observations utiles sur ce sujet. Bien que la Cour ait examiné la question dans l’arrêt </w:t>
      </w:r>
      <w:r w:rsidRPr="00000DCC">
        <w:rPr>
          <w:rFonts w:cs="Times New Roman"/>
          <w:i/>
          <w:noProof/>
          <w:lang w:val="fr-CA"/>
        </w:rPr>
        <w:t>Dunsmuir</w:t>
      </w:r>
      <w:r w:rsidRPr="00000DCC">
        <w:rPr>
          <w:rFonts w:cs="Times New Roman"/>
          <w:noProof/>
          <w:lang w:val="fr-CA"/>
        </w:rPr>
        <w:t>, certains aspects du droit demeurent épineux. Les observations présentées à la Cour ont mis en relief deux aspects du cadre d’analyse actuel qu’il est nécessaire de clarifier.</w:t>
      </w:r>
    </w:p>
    <w:p w14:paraId="506810C8" w14:textId="77777777" w:rsidR="00AE2373" w:rsidRPr="00000DCC" w:rsidRDefault="00AE2373" w:rsidP="00AE2373">
      <w:pPr>
        <w:pStyle w:val="ParaNoNdepar-AltN"/>
        <w:tabs>
          <w:tab w:val="clear" w:pos="1166"/>
          <w:tab w:val="clear" w:pos="1422"/>
          <w:tab w:val="num" w:pos="1170"/>
        </w:tabs>
        <w:spacing w:before="0"/>
        <w:rPr>
          <w:rFonts w:cs="Times New Roman"/>
          <w:noProof/>
          <w:lang w:val="en-US"/>
        </w:rPr>
      </w:pPr>
      <w:r w:rsidRPr="00000DCC">
        <w:rPr>
          <w:rFonts w:cs="Times New Roman"/>
          <w:noProof/>
          <w:lang w:val="fr-CA"/>
        </w:rPr>
        <w:t>Le premier aspect concerne l’analyse visant à déterminer la norme de contrôle applicable. Il est devenu évident que la promesse de simplicité et de prévisibilité formulée</w:t>
      </w:r>
      <w:r w:rsidRPr="00000DCC">
        <w:rPr>
          <w:rFonts w:eastAsia="Times New Roman" w:cs="Times New Roman"/>
          <w:noProof/>
          <w:szCs w:val="24"/>
          <w:lang w:val="fr-CA" w:eastAsia="en-CA"/>
        </w:rPr>
        <w:t xml:space="preserve"> </w:t>
      </w:r>
      <w:r w:rsidRPr="00000DCC">
        <w:rPr>
          <w:rFonts w:cs="Times New Roman"/>
          <w:noProof/>
          <w:lang w:val="fr-CA"/>
        </w:rPr>
        <w:t xml:space="preserve">à cet égard dans l’arrêt </w:t>
      </w:r>
      <w:r w:rsidRPr="00000DCC">
        <w:rPr>
          <w:rFonts w:cs="Times New Roman"/>
          <w:i/>
          <w:noProof/>
          <w:lang w:val="fr-CA"/>
        </w:rPr>
        <w:t>Dunsmuir</w:t>
      </w:r>
      <w:r w:rsidRPr="00000DCC">
        <w:rPr>
          <w:rFonts w:cs="Times New Roman"/>
          <w:noProof/>
          <w:lang w:val="fr-CA"/>
        </w:rPr>
        <w:t xml:space="preserve"> ne s’est pas pleinement réalisée.</w:t>
      </w:r>
      <w:r w:rsidRPr="00000DCC">
        <w:rPr>
          <w:rFonts w:eastAsiaTheme="minorHAnsi" w:cs="Times New Roman"/>
          <w:noProof/>
          <w:lang w:val="fr-CA" w:bidi="en-US"/>
        </w:rPr>
        <w:t xml:space="preserve"> </w:t>
      </w:r>
      <w:r w:rsidRPr="00000DCC">
        <w:rPr>
          <w:rFonts w:cs="Times New Roman"/>
          <w:noProof/>
          <w:lang w:val="fr-CA"/>
        </w:rPr>
        <w:t xml:space="preserve">Dans l’arrêt </w:t>
      </w:r>
      <w:r w:rsidRPr="00000DCC">
        <w:rPr>
          <w:rFonts w:cs="Times New Roman"/>
          <w:i/>
          <w:noProof/>
          <w:lang w:val="fr-CA"/>
        </w:rPr>
        <w:t>Dunsmuir</w:t>
      </w:r>
      <w:r w:rsidRPr="00000DCC">
        <w:rPr>
          <w:rFonts w:cs="Times New Roman"/>
          <w:noProof/>
          <w:lang w:val="fr-CA"/>
        </w:rPr>
        <w:t xml:space="preserve">, les juges majoritaires de la Cour ont fusionné la norme de la décision « manifestement déraisonnable » et la norme de la décision « raisonnable </w:t>
      </w:r>
      <w:r w:rsidRPr="00000DCC">
        <w:rPr>
          <w:rFonts w:cs="Times New Roman"/>
          <w:i/>
          <w:noProof/>
          <w:lang w:val="fr-CA"/>
        </w:rPr>
        <w:t>simpliciter</w:t>
      </w:r>
      <w:r w:rsidRPr="00000DCC">
        <w:rPr>
          <w:rFonts w:cs="Times New Roman"/>
          <w:noProof/>
          <w:lang w:val="fr-CA"/>
        </w:rPr>
        <w:t xml:space="preserve"> » en une seule norme de la décision « raisonnable », en ramenant ainsi les normes de contrôle de trois à deux : par. 34</w:t>
      </w:r>
      <w:r w:rsidRPr="00000DCC">
        <w:rPr>
          <w:rFonts w:cs="Times New Roman"/>
          <w:noProof/>
          <w:lang w:val="fr-CA"/>
        </w:rPr>
        <w:noBreakHyphen/>
        <w:t xml:space="preserve">50. </w:t>
      </w:r>
      <w:r w:rsidRPr="00000DCC">
        <w:rPr>
          <w:rFonts w:cs="Times New Roman"/>
          <w:noProof/>
          <w:lang w:val="fr-CA" w:bidi="en-US"/>
        </w:rPr>
        <w:t>En outre, la Cour a voulu simplifier l’analyse relative à la norme de contrôle : par. 51</w:t>
      </w:r>
      <w:r w:rsidRPr="00000DCC">
        <w:rPr>
          <w:rFonts w:cs="Times New Roman"/>
          <w:noProof/>
          <w:lang w:val="fr-CA" w:bidi="en-US"/>
        </w:rPr>
        <w:noBreakHyphen/>
        <w:t>64.</w:t>
      </w:r>
      <w:r w:rsidRPr="00000DCC">
        <w:rPr>
          <w:rFonts w:cs="Times New Roman"/>
          <w:noProof/>
          <w:lang w:val="fr-CA"/>
        </w:rPr>
        <w:t xml:space="preserve"> Depuis cet arrêt, la jurisprudence a évolué et reconnaît dorénavant que la norme de la décision raisonnable est la norme qui s’applique à la plupart des catégories de questions qui se posent dans le cadre d’un contrôle judiciaire; notamment, son application se présume lorsque le décideur interprète sa loi habilitante : voir, p. ex., </w:t>
      </w:r>
      <w:r w:rsidRPr="00000DCC">
        <w:rPr>
          <w:rFonts w:cs="Times New Roman"/>
          <w:i/>
          <w:noProof/>
          <w:lang w:val="fr-CA" w:bidi="en-US"/>
        </w:rPr>
        <w:t>Alberta (Information and Privacy Commissioner) c. Alberta Teachers’ Association</w:t>
      </w:r>
      <w:r w:rsidRPr="00000DCC">
        <w:rPr>
          <w:rFonts w:cs="Times New Roman"/>
          <w:noProof/>
          <w:lang w:val="fr-CA" w:bidi="en-US"/>
        </w:rPr>
        <w:t xml:space="preserve">, 2011 CSC 61, </w:t>
      </w:r>
      <w:r w:rsidRPr="00000DCC">
        <w:rPr>
          <w:rFonts w:cs="Times New Roman"/>
          <w:noProof/>
          <w:lang w:val="fr-CA"/>
        </w:rPr>
        <w:t xml:space="preserve">[2011] 3 R.C.S. 654; </w:t>
      </w:r>
      <w:r w:rsidRPr="00000DCC">
        <w:rPr>
          <w:rFonts w:cs="Times New Roman"/>
          <w:i/>
          <w:noProof/>
          <w:lang w:val="fr-CA"/>
        </w:rPr>
        <w:t>Mouvement laïque québécois c. Saguenay (Ville)</w:t>
      </w:r>
      <w:r w:rsidRPr="00000DCC">
        <w:rPr>
          <w:rFonts w:cs="Times New Roman"/>
          <w:noProof/>
          <w:lang w:val="fr-CA"/>
        </w:rPr>
        <w:t xml:space="preserve">, 2015 CSC 16, [2015] 2 R.C.S. 3, par. 46; </w:t>
      </w:r>
      <w:r w:rsidRPr="00000DCC">
        <w:rPr>
          <w:rFonts w:cs="Times New Roman"/>
          <w:i/>
          <w:noProof/>
          <w:lang w:val="fr-CA"/>
        </w:rPr>
        <w:t xml:space="preserve">Compagnie des chemins de fer nationaux du Canada c. Canada </w:t>
      </w:r>
      <w:r w:rsidRPr="00000DCC">
        <w:rPr>
          <w:rFonts w:cs="Times New Roman"/>
          <w:i/>
          <w:iCs/>
          <w:noProof/>
          <w:lang w:val="fr-CA"/>
        </w:rPr>
        <w:t>(Procureur général)</w:t>
      </w:r>
      <w:r w:rsidRPr="00000DCC">
        <w:rPr>
          <w:rFonts w:cs="Times New Roman"/>
          <w:noProof/>
          <w:lang w:val="fr-CA"/>
        </w:rPr>
        <w:t xml:space="preserve">, 2014 CSC 40, [2014] 2 R.C.S. 135, par. 55; </w:t>
      </w:r>
      <w:r w:rsidRPr="00000DCC">
        <w:rPr>
          <w:rFonts w:cs="Times New Roman"/>
          <w:i/>
          <w:noProof/>
          <w:lang w:val="fr-CA"/>
        </w:rPr>
        <w:t>Front des artistes canadiens</w:t>
      </w:r>
      <w:r w:rsidRPr="00000DCC">
        <w:rPr>
          <w:rFonts w:cs="Times New Roman"/>
          <w:i/>
          <w:iCs/>
          <w:noProof/>
          <w:lang w:val="fr-CA"/>
        </w:rPr>
        <w:t xml:space="preserve"> c. Musée des beaux</w:t>
      </w:r>
      <w:r w:rsidRPr="00000DCC">
        <w:rPr>
          <w:rFonts w:cs="Times New Roman"/>
          <w:i/>
          <w:iCs/>
          <w:noProof/>
          <w:lang w:val="fr-CA"/>
        </w:rPr>
        <w:noBreakHyphen/>
        <w:t>arts du Canada</w:t>
      </w:r>
      <w:r w:rsidRPr="00000DCC">
        <w:rPr>
          <w:rFonts w:cs="Times New Roman"/>
          <w:noProof/>
          <w:lang w:val="fr-CA"/>
        </w:rPr>
        <w:t>, 2014 CSC 42, [2014] 2 R.C.S. 197,</w:t>
      </w:r>
      <w:r w:rsidRPr="00000DCC">
        <w:rPr>
          <w:rFonts w:cs="Times New Roman"/>
          <w:i/>
          <w:iCs/>
          <w:noProof/>
          <w:lang w:val="fr-CA"/>
        </w:rPr>
        <w:t xml:space="preserve"> </w:t>
      </w:r>
      <w:r w:rsidRPr="00000DCC">
        <w:rPr>
          <w:rFonts w:cs="Times New Roman"/>
          <w:noProof/>
          <w:lang w:val="fr-CA"/>
        </w:rPr>
        <w:t>par. 13;</w:t>
      </w:r>
      <w:r w:rsidRPr="00000DCC">
        <w:rPr>
          <w:rFonts w:cs="Times New Roman"/>
          <w:i/>
          <w:iCs/>
          <w:noProof/>
          <w:lang w:val="fr-CA"/>
        </w:rPr>
        <w:t xml:space="preserve"> Smith c. Alliance Pipeline Ltd.</w:t>
      </w:r>
      <w:r w:rsidRPr="00000DCC">
        <w:rPr>
          <w:rFonts w:cs="Times New Roman"/>
          <w:noProof/>
          <w:lang w:val="fr-CA"/>
        </w:rPr>
        <w:t xml:space="preserve">, 2011 CSC 7, [2011] 1 R.C.S. 160, par. 26 et 28; </w:t>
      </w:r>
      <w:r w:rsidRPr="00000DCC">
        <w:rPr>
          <w:rFonts w:cs="Times New Roman"/>
          <w:i/>
          <w:iCs/>
          <w:noProof/>
          <w:lang w:val="fr-CA"/>
        </w:rPr>
        <w:t>Canada (Citoyenneté et Immigration) c. Khosa</w:t>
      </w:r>
      <w:r w:rsidRPr="00000DCC">
        <w:rPr>
          <w:rFonts w:cs="Times New Roman"/>
          <w:iCs/>
          <w:noProof/>
          <w:lang w:val="fr-CA"/>
        </w:rPr>
        <w:t>,</w:t>
      </w:r>
      <w:r w:rsidRPr="00000DCC">
        <w:rPr>
          <w:rFonts w:cs="Times New Roman"/>
          <w:i/>
          <w:iCs/>
          <w:noProof/>
          <w:lang w:val="fr-CA"/>
        </w:rPr>
        <w:t xml:space="preserve"> </w:t>
      </w:r>
      <w:r w:rsidRPr="00000DCC">
        <w:rPr>
          <w:rFonts w:cs="Times New Roman"/>
          <w:iCs/>
          <w:noProof/>
          <w:lang w:val="fr-CA"/>
        </w:rPr>
        <w:t>2009 CSC 12</w:t>
      </w:r>
      <w:r w:rsidRPr="00000DCC">
        <w:rPr>
          <w:rFonts w:cs="Times New Roman"/>
          <w:noProof/>
          <w:lang w:val="fr-CA"/>
        </w:rPr>
        <w:t xml:space="preserve">, [2009] 1 R.C.S. 339, par. 25; </w:t>
      </w:r>
      <w:r w:rsidRPr="00000DCC">
        <w:rPr>
          <w:rFonts w:cs="Times New Roman"/>
          <w:i/>
          <w:iCs/>
          <w:noProof/>
          <w:lang w:val="fr-CA"/>
        </w:rPr>
        <w:t>Dunsmuir</w:t>
      </w:r>
      <w:r w:rsidRPr="00000DCC">
        <w:rPr>
          <w:rFonts w:cs="Times New Roman"/>
          <w:noProof/>
          <w:lang w:val="fr-CA"/>
        </w:rPr>
        <w:t xml:space="preserve">, par. 54. La Cour a par ailleurs précisé que cette présomption peut être </w:t>
      </w:r>
      <w:r w:rsidRPr="00000DCC">
        <w:rPr>
          <w:rFonts w:cs="Times New Roman"/>
          <w:noProof/>
          <w:lang w:val="fr-CA"/>
        </w:rPr>
        <w:lastRenderedPageBreak/>
        <w:t xml:space="preserve">réfutée en établissant que la question sous examen appartient à une catégorie de questions qui sont assujetties à la norme de la décision correcte : voir </w:t>
      </w:r>
      <w:r w:rsidRPr="00000DCC">
        <w:rPr>
          <w:rFonts w:cs="Times New Roman"/>
          <w:i/>
          <w:noProof/>
          <w:lang w:val="fr-CA"/>
        </w:rPr>
        <w:t>McLean c. Colombie</w:t>
      </w:r>
      <w:r w:rsidRPr="00000DCC">
        <w:rPr>
          <w:rFonts w:cs="Times New Roman"/>
          <w:i/>
          <w:noProof/>
          <w:lang w:val="fr-CA"/>
        </w:rPr>
        <w:noBreakHyphen/>
        <w:t>Britannique (Securities Commission)</w:t>
      </w:r>
      <w:r w:rsidRPr="00000DCC">
        <w:rPr>
          <w:rFonts w:cs="Times New Roman"/>
          <w:noProof/>
          <w:lang w:val="fr-CA"/>
        </w:rPr>
        <w:t xml:space="preserve">, 2013 CSC 67, [2013] 3 R.C.S. 895, par. 22. Elle peut aussi être réfutée en établissant que, d’après le contexte, le législateur a voulu que la norme de contrôle applicable soit celle de la décision correcte : </w:t>
      </w:r>
      <w:r w:rsidRPr="00000DCC">
        <w:rPr>
          <w:rFonts w:cs="Times New Roman"/>
          <w:i/>
          <w:noProof/>
          <w:lang w:val="fr-CA"/>
        </w:rPr>
        <w:t>McLean</w:t>
      </w:r>
      <w:r w:rsidRPr="00000DCC">
        <w:rPr>
          <w:rFonts w:cs="Times New Roman"/>
          <w:noProof/>
          <w:lang w:val="fr-CA"/>
        </w:rPr>
        <w:t>, par. 22;</w:t>
      </w:r>
      <w:r w:rsidRPr="00000DCC">
        <w:rPr>
          <w:rFonts w:cs="Times New Roman"/>
          <w:i/>
          <w:noProof/>
          <w:lang w:val="fr-CA"/>
        </w:rPr>
        <w:t xml:space="preserve"> Edmonton (Ville) c. Edmonton East (Capilano) Shopping Centres Ltd.</w:t>
      </w:r>
      <w:r w:rsidRPr="00000DCC">
        <w:rPr>
          <w:rFonts w:cs="Times New Roman"/>
          <w:noProof/>
          <w:lang w:val="fr-CA"/>
        </w:rPr>
        <w:t xml:space="preserve">, 2016 CSC 47, [2016] 2 R.C.S. 293, par. 32; </w:t>
      </w:r>
      <w:r w:rsidRPr="00000DCC">
        <w:rPr>
          <w:rFonts w:cs="Times New Roman"/>
          <w:i/>
          <w:noProof/>
          <w:lang w:val="fr-CA" w:bidi="en-US"/>
        </w:rPr>
        <w:t>Canada</w:t>
      </w:r>
      <w:r w:rsidRPr="00000DCC">
        <w:rPr>
          <w:rFonts w:cs="Times New Roman"/>
          <w:noProof/>
          <w:lang w:val="fr-CA" w:bidi="en-US"/>
        </w:rPr>
        <w:t xml:space="preserve"> </w:t>
      </w:r>
      <w:r w:rsidRPr="00000DCC">
        <w:rPr>
          <w:rFonts w:cs="Times New Roman"/>
          <w:i/>
          <w:noProof/>
          <w:lang w:val="fr-CA" w:bidi="en-US"/>
        </w:rPr>
        <w:t>(Commission canadienne des droits de la personne) c. Canada (Procureur général)</w:t>
      </w:r>
      <w:r w:rsidRPr="00000DCC">
        <w:rPr>
          <w:rFonts w:cs="Times New Roman"/>
          <w:noProof/>
          <w:lang w:val="fr-CA" w:bidi="en-US"/>
        </w:rPr>
        <w:t>, 2018 CSC 31,</w:t>
      </w:r>
      <w:r w:rsidRPr="00000DCC">
        <w:rPr>
          <w:rFonts w:cs="Times New Roman"/>
          <w:noProof/>
          <w:lang w:val="fr-CA"/>
        </w:rPr>
        <w:t xml:space="preserve"> [2018] 2 R.C.S. 230 (« </w:t>
      </w:r>
      <w:r w:rsidRPr="00000DCC">
        <w:rPr>
          <w:rFonts w:cs="Times New Roman"/>
          <w:i/>
          <w:noProof/>
          <w:lang w:val="fr-CA"/>
        </w:rPr>
        <w:t xml:space="preserve">CCDP </w:t>
      </w:r>
      <w:r w:rsidRPr="00000DCC">
        <w:rPr>
          <w:rFonts w:cs="Times New Roman"/>
          <w:noProof/>
          <w:lang w:val="fr-CA"/>
        </w:rPr>
        <w:t>»), par. 45</w:t>
      </w:r>
      <w:r w:rsidRPr="00000DCC">
        <w:rPr>
          <w:rFonts w:cs="Times New Roman"/>
          <w:noProof/>
          <w:lang w:val="fr-CA"/>
        </w:rPr>
        <w:noBreakHyphen/>
        <w:t>46</w:t>
      </w:r>
      <w:r w:rsidRPr="00000DCC">
        <w:rPr>
          <w:rFonts w:cs="Times New Roman"/>
          <w:noProof/>
          <w:lang w:val="fr-CA" w:bidi="en-US"/>
        </w:rPr>
        <w:t xml:space="preserve">. </w:t>
      </w:r>
      <w:r w:rsidRPr="00000DCC">
        <w:rPr>
          <w:rFonts w:cs="Times New Roman"/>
          <w:noProof/>
          <w:lang w:val="fr-CA"/>
        </w:rPr>
        <w:t xml:space="preserve">Cependant, l’incertitude quant à savoir dans quel cas l’analyse contextuelle demeure indiquée, ainsi que le débat sur la portée des catégories de questions auxquelles s’applique la norme de la décision correcte ont parfois semé la confusion et compliqué l’analyse : voir, p. ex., P. Daly, « Struggling Towards Coherence in Canadian Administrative Law? </w:t>
      </w:r>
      <w:r w:rsidRPr="00000DCC">
        <w:rPr>
          <w:rFonts w:cs="Times New Roman"/>
          <w:noProof/>
          <w:lang w:val="en-US"/>
        </w:rPr>
        <w:t xml:space="preserve">Recent Cases on Standard of Review and Reasonableness » (2016), 62 </w:t>
      </w:r>
      <w:r w:rsidRPr="00000DCC">
        <w:rPr>
          <w:rFonts w:cs="Times New Roman"/>
          <w:i/>
          <w:noProof/>
          <w:lang w:val="en-US"/>
        </w:rPr>
        <w:t>R.D. McGill</w:t>
      </w:r>
      <w:r w:rsidRPr="00000DCC">
        <w:rPr>
          <w:rFonts w:cs="Times New Roman"/>
          <w:noProof/>
          <w:lang w:val="en-US"/>
        </w:rPr>
        <w:t xml:space="preserve"> 527.</w:t>
      </w:r>
    </w:p>
    <w:p w14:paraId="4358B78D"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En outre, cette analyse s’est à certains égards écartée des fondements théoriques du contrôle judiciaire. Si l’application de la norme de la décision raisonnable est fondée en partie sur</w:t>
      </w:r>
      <w:r w:rsidRPr="00000DCC">
        <w:rPr>
          <w:rFonts w:eastAsiaTheme="minorHAnsi" w:cs="Times New Roman"/>
          <w:noProof/>
          <w:lang w:val="fr-CA" w:bidi="en-US"/>
        </w:rPr>
        <w:t xml:space="preserve"> </w:t>
      </w:r>
      <w:r w:rsidRPr="00000DCC">
        <w:rPr>
          <w:rFonts w:cs="Times New Roman"/>
          <w:noProof/>
          <w:lang w:val="fr-CA" w:bidi="en-US"/>
        </w:rPr>
        <w:t>la nécessité</w:t>
      </w:r>
      <w:r w:rsidRPr="00000DCC">
        <w:rPr>
          <w:rFonts w:cs="Times New Roman"/>
          <w:noProof/>
          <w:lang w:val="fr-CA"/>
        </w:rPr>
        <w:t xml:space="preserve"> pour les cours de justice d’éviter « toute immixtion injustifiée » compte tenu de la volonté du législateur de laisser aux organismes administratifs, plutôt qu’à elles, le soin de trancher certaines questions </w:t>
      </w:r>
      <w:r w:rsidRPr="00000DCC">
        <w:rPr>
          <w:rFonts w:cs="Times New Roman"/>
          <w:noProof/>
          <w:lang w:val="fr-CA" w:bidi="en-US"/>
        </w:rPr>
        <w:t xml:space="preserve">(voir </w:t>
      </w:r>
      <w:r w:rsidRPr="00000DCC">
        <w:rPr>
          <w:rFonts w:cs="Times New Roman"/>
          <w:i/>
          <w:noProof/>
          <w:lang w:val="fr-CA" w:bidi="en-US"/>
        </w:rPr>
        <w:t>Dunsmuir</w:t>
      </w:r>
      <w:r w:rsidRPr="00000DCC">
        <w:rPr>
          <w:rFonts w:cs="Times New Roman"/>
          <w:noProof/>
          <w:lang w:val="fr-CA" w:bidi="en-US"/>
        </w:rPr>
        <w:t xml:space="preserve">, par. 27), </w:t>
      </w:r>
      <w:r w:rsidRPr="00000DCC">
        <w:rPr>
          <w:rFonts w:cs="Times New Roman"/>
          <w:noProof/>
          <w:lang w:val="fr-CA"/>
        </w:rPr>
        <w:t>son application générale s’est imposée même lorsque le législateur a instauré un régime institutionnel différent en créant un mécanisme d’appel par voie législative.</w:t>
      </w:r>
    </w:p>
    <w:p w14:paraId="3D866F78"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lang w:val="fr-CA"/>
        </w:rPr>
        <w:t xml:space="preserve">L’incertitude qui a suivi l’arrêt </w:t>
      </w:r>
      <w:r w:rsidRPr="00000DCC">
        <w:rPr>
          <w:rFonts w:cs="Times New Roman"/>
          <w:i/>
          <w:lang w:val="fr-CA"/>
        </w:rPr>
        <w:t>Dunsmuir</w:t>
      </w:r>
      <w:r w:rsidRPr="00000DCC">
        <w:rPr>
          <w:rFonts w:cs="Times New Roman"/>
          <w:lang w:val="fr-CA"/>
        </w:rPr>
        <w:t xml:space="preserve"> a été mise en évidence par des critiques judiciaires et doctrinales, des plaideurs qui ont comparu devant notre Cour et </w:t>
      </w:r>
      <w:r w:rsidRPr="00000DCC">
        <w:rPr>
          <w:rFonts w:cs="Times New Roman"/>
          <w:lang w:val="fr-CA"/>
        </w:rPr>
        <w:lastRenderedPageBreak/>
        <w:t xml:space="preserve">des organisations représentant des Canadiens et des Canadiennes qui interagissent avec des décideurs administratifs. Il ne s’agit pas de critiques sans importance ou de difficultés théoriques. Ces critiques touchent au cœur de la cohérence de notre jurisprudence en droit administratif et aux ramifications pratiques de ce manque de cohérence. Notre Cour en a pris note elle aussi. Dans l’arrêt </w:t>
      </w:r>
      <w:r w:rsidRPr="00000DCC">
        <w:rPr>
          <w:rFonts w:cs="Times New Roman"/>
          <w:i/>
          <w:lang w:val="fr-CA"/>
        </w:rPr>
        <w:t>Wilson c. Énergie Atomique du Canada Ltée</w:t>
      </w:r>
      <w:r w:rsidRPr="00000DCC">
        <w:rPr>
          <w:rFonts w:cs="Times New Roman"/>
          <w:lang w:val="fr-CA"/>
        </w:rPr>
        <w:t>, 2016 CSC 29, [2016] 1 R.C.S. 770, par. 19, la juge Abella a exprimé le besoin de « simplifier le labyrinthe actuel de la norme de contrôle applicable » et a donné des suggestions dans le but d’amorcer un dialogue nécessaire sur la voie à suivre. C’est dans ce contexte que la Cour a décidé d’accorder l’autorisation d’appel pour instruire ensemble la présente affaire et les affaires connexes.</w:t>
      </w:r>
    </w:p>
    <w:p w14:paraId="696F20DD"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Ce cheminement nous amène à conclure qu’il est nécessaire de revoir l’approche de la Cour afin d’apporter une cohérence et une prévisibilité accrues à ce domaine du droit. Nous adoptons donc un cadre d’analyse révisé permettant de déterminer la norme de contrôle applicable</w:t>
      </w:r>
      <w:r w:rsidRPr="00000DCC">
        <w:rPr>
          <w:rFonts w:eastAsiaTheme="minorHAnsi" w:cs="Times New Roman"/>
          <w:noProof/>
          <w:lang w:val="fr-CA" w:bidi="en-US"/>
        </w:rPr>
        <w:t xml:space="preserve"> </w:t>
      </w:r>
      <w:r w:rsidRPr="00000DCC">
        <w:rPr>
          <w:rFonts w:cs="Times New Roman"/>
          <w:noProof/>
          <w:lang w:val="fr-CA" w:bidi="en-US"/>
        </w:rPr>
        <w:t>lorsqu’une cour de justice se penche sur le fond d’une décision administrative</w:t>
      </w:r>
      <w:r w:rsidRPr="00000DCC">
        <w:rPr>
          <w:rFonts w:cs="Times New Roman"/>
          <w:noProof/>
          <w:lang w:val="fr-CA"/>
        </w:rPr>
        <w:t>. Ce cadre d’analyse repose sur la présomption voulant que la norme de la décision raisonnable soit la norme applicable dans tous les cas. Les cours de révision ne devraient déroger à cette présomption que lorsqu’une indication claire de l’intention du législateur ou la primauté du droit l’exige.</w:t>
      </w:r>
    </w:p>
    <w:p w14:paraId="674CA90E"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Le deuxième aspect concerne la nécessité d’indications plus précises de la Cour sur l’application appropriée de la norme de contrôle de la décision raisonnable. La Cour a entendu les préoccupations exprimées au sujet de la norme de la décision raisonnable qui est parfois perçue comme favorisant un système de justice à deux vitesses où les personnes visées par des décisions administratives n’ont droit qu’à un </w:t>
      </w:r>
      <w:r w:rsidRPr="00000DCC">
        <w:rPr>
          <w:rFonts w:cs="Times New Roman"/>
          <w:noProof/>
          <w:lang w:val="fr-CA"/>
        </w:rPr>
        <w:lastRenderedPageBreak/>
        <w:t xml:space="preserve">résultat se situant entre une solution « assez bonne » et une solution « pas trop mauvaise ». </w:t>
      </w:r>
      <w:r w:rsidRPr="00000DCC">
        <w:rPr>
          <w:rFonts w:eastAsia="Times New Roman" w:cs="Times New Roman"/>
          <w:noProof/>
          <w:szCs w:val="24"/>
          <w:lang w:val="fr-CA" w:eastAsia="en-CA"/>
        </w:rPr>
        <w:t>Ces préoccupations ont été reprises par d</w:t>
      </w:r>
      <w:r w:rsidRPr="00000DCC">
        <w:rPr>
          <w:rFonts w:cs="Times New Roman"/>
          <w:noProof/>
          <w:lang w:val="fr-CA"/>
        </w:rPr>
        <w:t>es membres de la profession juridique, des organisations de la société civile et des cliniques juridiques. La Cour se doit de prendre ces points de vue au sérieux</w:t>
      </w:r>
      <w:r w:rsidRPr="00000DCC">
        <w:rPr>
          <w:rFonts w:eastAsia="Times New Roman" w:cs="Times New Roman"/>
          <w:noProof/>
          <w:szCs w:val="24"/>
          <w:lang w:val="fr-CA" w:eastAsia="en-CA"/>
        </w:rPr>
        <w:t xml:space="preserve"> </w:t>
      </w:r>
      <w:r w:rsidRPr="00000DCC">
        <w:rPr>
          <w:rFonts w:cs="Times New Roman"/>
          <w:noProof/>
          <w:lang w:val="fr-CA"/>
        </w:rPr>
        <w:t>et de voir à ce que le cadre d’analyse qu’elle retient s’adapte à tous les types de décisions administratives, qui vont de l’immigration, de l’administration carcérale et des programmes de sécurité sociale aux relations de travail, à la réglementation des valeurs mobilières et à la politique énergétique.</w:t>
      </w:r>
    </w:p>
    <w:p w14:paraId="02FE7813"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Ces préoccupations sur l’application de la norme de la décision raisonnable témoignent de la nécessité d’expliquer plus clairement ce que signifie cette norme et comment elle devrait être appliquée en pratique. Le contrôle selon la norme de la décision raisonnable est méthodologiquement distinct du contrôle selon la norme de la décision correcte. Il tient compte de la nécessité de respecter le choix du législateur de déléguer le pouvoir décisionnel à un décideur administratif plutôt qu’à une cour de révision. Afin de remplir la promesse formulée dans l’arrêt </w:t>
      </w:r>
      <w:r w:rsidRPr="00000DCC">
        <w:rPr>
          <w:rFonts w:cs="Times New Roman"/>
          <w:i/>
          <w:noProof/>
          <w:lang w:val="fr-CA"/>
        </w:rPr>
        <w:t>Dunsmuir</w:t>
      </w:r>
      <w:r w:rsidRPr="00000DCC">
        <w:rPr>
          <w:rFonts w:cs="Times New Roman"/>
          <w:noProof/>
          <w:lang w:val="fr-CA"/>
        </w:rPr>
        <w:t xml:space="preserve"> d’assurer « la légalité, la rationalité et l’équité du processus administratif et de la décision rendue », le contrôle selon la norme de la décision raisonnable doit comporter une évaluation sensible et respectueuse, mais aussi rigoureuse, des décisions administratives : par. 28.</w:t>
      </w:r>
    </w:p>
    <w:p w14:paraId="77511949"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Le contrôle selon la norme de la décision raisonnable est une approche visant à faire en sorte que les cours de justice interviennent dans les affaires administratives uniquement lorsque cela est vraiment nécessaire pour préserver la légitimité, la rationalité et l’équité du processus administratif. Il tire son origine du principe de la retenue judiciaire et témoigne d’un respect envers le rôle distinct des décideurs administratifs. Toutefois, il ne s’agit pas d’une « simple formalité » ni d’un </w:t>
      </w:r>
      <w:r w:rsidRPr="00000DCC">
        <w:rPr>
          <w:rFonts w:cs="Times New Roman"/>
          <w:noProof/>
          <w:lang w:val="fr-CA"/>
        </w:rPr>
        <w:lastRenderedPageBreak/>
        <w:t>moyen visant à soustraire les décideurs administratifs à leur obligation de rendre des comptes. Ce type de contrôle demeure rigoureux.</w:t>
      </w:r>
    </w:p>
    <w:p w14:paraId="7D44020D" w14:textId="005E310F"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D’une part, les cours de justice doivent reconnaître la légitimité et la compétence des décideurs administratifs dans leur propre domaine et adopter une attitude de respect. D’autre part, les décideurs administratifs doivent adhérer à une culture de la justification et démontrer que l’exercice du pouvoir public qui leur est délégué peut être [</w:t>
      </w:r>
      <w:r w:rsidRPr="00000DCC">
        <w:rPr>
          <w:rFonts w:cs="Times New Roman"/>
          <w:smallCaps/>
          <w:noProof/>
          <w:lang w:val="fr-CA"/>
        </w:rPr>
        <w:t>traduction</w:t>
      </w:r>
      <w:r w:rsidRPr="00000DCC">
        <w:rPr>
          <w:rFonts w:cs="Times New Roman"/>
          <w:noProof/>
          <w:lang w:val="fr-CA"/>
        </w:rPr>
        <w:t xml:space="preserve">] « justifié aux yeux des citoyens et citoyennes sur les plans de la rationalité et de l’équité » : la très honorable B. McLachlin, « The Roles of Administrative Tribunals and Courts in Maintaining the Rule of Law » (1998), 12 </w:t>
      </w:r>
      <w:r w:rsidRPr="00000DCC">
        <w:rPr>
          <w:rFonts w:cs="Times New Roman"/>
          <w:i/>
          <w:noProof/>
          <w:lang w:val="fr-CA"/>
        </w:rPr>
        <w:t xml:space="preserve">R.C.D.A.P. </w:t>
      </w:r>
      <w:r w:rsidRPr="00000DCC">
        <w:rPr>
          <w:rFonts w:cs="Times New Roman"/>
          <w:noProof/>
          <w:lang w:val="fr-CA"/>
        </w:rPr>
        <w:t>171, p. 174 (</w:t>
      </w:r>
      <w:r w:rsidR="00A52946">
        <w:rPr>
          <w:rFonts w:cs="Times New Roman"/>
          <w:noProof/>
          <w:lang w:val="fr-CA"/>
        </w:rPr>
        <w:t>italique omis</w:t>
      </w:r>
      <w:r w:rsidRPr="00000DCC">
        <w:rPr>
          <w:rFonts w:cs="Times New Roman"/>
          <w:noProof/>
          <w:lang w:val="fr-CA"/>
        </w:rPr>
        <w:t>); voir également M. Cohen</w:t>
      </w:r>
      <w:r w:rsidRPr="00000DCC">
        <w:rPr>
          <w:rFonts w:cs="Times New Roman"/>
          <w:noProof/>
          <w:lang w:val="fr-CA"/>
        </w:rPr>
        <w:noBreakHyphen/>
        <w:t>Eliya et I. Porat, « Proportionality and Justification » (2014), 64 </w:t>
      </w:r>
      <w:r w:rsidRPr="00000DCC">
        <w:rPr>
          <w:rFonts w:cs="Times New Roman"/>
          <w:i/>
          <w:noProof/>
          <w:lang w:val="fr-CA"/>
        </w:rPr>
        <w:t>U.T.L.J. </w:t>
      </w:r>
      <w:r w:rsidRPr="00000DCC">
        <w:rPr>
          <w:rFonts w:cs="Times New Roman"/>
          <w:noProof/>
          <w:lang w:val="fr-CA"/>
        </w:rPr>
        <w:t>458, p. 467</w:t>
      </w:r>
      <w:r w:rsidRPr="00000DCC">
        <w:rPr>
          <w:rFonts w:cs="Times New Roman"/>
          <w:noProof/>
          <w:lang w:val="fr-CA"/>
        </w:rPr>
        <w:noBreakHyphen/>
        <w:t>470.</w:t>
      </w:r>
    </w:p>
    <w:p w14:paraId="350F994B"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Lorsqu’elle effectue un contrôle selon la norme de la décision raisonnable, la cour de révision doit tenir compte du résultat de la décision administrative eu égard au raisonnement sous</w:t>
      </w:r>
      <w:r w:rsidRPr="00000DCC">
        <w:rPr>
          <w:rFonts w:cs="Times New Roman"/>
          <w:noProof/>
          <w:lang w:val="fr-CA"/>
        </w:rPr>
        <w:noBreakHyphen/>
        <w:t>jacent à celle</w:t>
      </w:r>
      <w:r w:rsidRPr="00000DCC">
        <w:rPr>
          <w:rFonts w:cs="Times New Roman"/>
          <w:noProof/>
          <w:lang w:val="fr-CA"/>
        </w:rPr>
        <w:noBreakHyphen/>
        <w:t>ci afin de s’assurer que la décision dans son ensemble est transparente, intelligible et justifiée. Ce qui distingue le contrôle selon la norme de la décision raisonnable du contrôle selon la norme de la décision correcte tient au fait que la cour de justice effectuant le premier type de contrôle doit centrer son attention sur la décision même qu’a rendue le décideur administratif, notamment sur sa justification, et non sur la conclusion à laquelle elle serait parvenue à la place du décideur administratif.</w:t>
      </w:r>
    </w:p>
    <w:p w14:paraId="3278B3BB" w14:textId="77777777" w:rsidR="00AE2373" w:rsidRPr="00000DCC" w:rsidRDefault="00AE2373" w:rsidP="00AE2373">
      <w:pPr>
        <w:pStyle w:val="Title1LevelTitre1Niveau-AltL"/>
        <w:tabs>
          <w:tab w:val="left" w:pos="1560"/>
        </w:tabs>
        <w:spacing w:before="0"/>
        <w:rPr>
          <w:rFonts w:cs="Times New Roman"/>
          <w:noProof/>
          <w:lang w:val="fr-CA"/>
        </w:rPr>
      </w:pPr>
      <w:r w:rsidRPr="00000DCC">
        <w:rPr>
          <w:rFonts w:cs="Times New Roman"/>
          <w:noProof/>
          <w:lang w:val="fr-CA"/>
        </w:rPr>
        <w:t>La détermination de la norme de contrôle applicable</w:t>
      </w:r>
    </w:p>
    <w:p w14:paraId="5B93CC79"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Pr>
          <w:rFonts w:cs="Times New Roman"/>
          <w:noProof/>
          <w:lang w:val="fr-CA"/>
        </w:rPr>
        <w:lastRenderedPageBreak/>
        <w:t>Dans les sections</w:t>
      </w:r>
      <w:r w:rsidRPr="00000DCC">
        <w:rPr>
          <w:rFonts w:cs="Times New Roman"/>
          <w:noProof/>
          <w:lang w:val="fr-CA"/>
        </w:rPr>
        <w:t xml:space="preserve"> qui suivent, nous exposons un cadre d’analyse révisé permettant à une cour de justice de déterminer la norme de contrôle applicable en cas de contestation qui porte sur le fond d’une décision administrative.</w:t>
      </w:r>
      <w:r w:rsidRPr="00000DCC">
        <w:rPr>
          <w:rFonts w:eastAsia="Times New Roman" w:cs="Times New Roman"/>
          <w:noProof/>
          <w:szCs w:val="24"/>
          <w:lang w:val="fr-CA" w:eastAsia="en-CA"/>
        </w:rPr>
        <w:t xml:space="preserve"> </w:t>
      </w:r>
      <w:r w:rsidRPr="00000DCC">
        <w:rPr>
          <w:rFonts w:cs="Times New Roman"/>
          <w:noProof/>
          <w:lang w:val="fr-CA"/>
        </w:rPr>
        <w:t>Ce cadre d’analyse repose sur la présomption voulant que la norme de la décision raisonnable soit la norme applicable chaque fois qu’une cour contrôle une décision administrative.</w:t>
      </w:r>
    </w:p>
    <w:p w14:paraId="501818FF"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La présomption d’application de la norme de la décision raisonnable peut être réfutée dans deux types de situations. La première est celle où le législateur a indiqué qu’il souhaite l’application d’une norme différente ou d’un ensemble de normes différentes. C’est le cas lorsque le législateur a prescrit expressément la norme de contrôle applicable. C’est aussi le cas lorsque le législateur a prévu un mécanisme d’appel d’une décision administrative devant une cour, indiquant ainsi son intention que les cours de justice recourent, en matière de contrôle, aux normes applicables en appel. La deuxième situation où la présomption d’application de la norme de la décision raisonnable est réfutée est celle où la primauté du droit commande l’application de la norme de la décision correcte. C’est le cas pour certaines catégories de questions, soit les questions constitutionnelles, les questions de droit générales d’importance capitale pour le système juridique dans son ensemble et les questions liées aux délimitations des comp</w:t>
      </w:r>
      <w:r>
        <w:rPr>
          <w:rFonts w:cs="Times New Roman"/>
          <w:noProof/>
          <w:lang w:val="fr-CA"/>
        </w:rPr>
        <w:t>étences respectives d’organismes</w:t>
      </w:r>
      <w:r w:rsidRPr="00000DCC">
        <w:rPr>
          <w:rFonts w:cs="Times New Roman"/>
          <w:noProof/>
          <w:lang w:val="fr-CA"/>
        </w:rPr>
        <w:t xml:space="preserve"> administratifs. Conjuguée à ces exceptions limitées, la règle générale qui prévoit l’application de la norme de la décision raisonnable met en place une méthode complète pour déterminer la norme de contrôle applicable. En conséquence, les cours de justice ne sont plus tenues de recourir à une « analyse contextuelle » (</w:t>
      </w:r>
      <w:r w:rsidRPr="00000DCC">
        <w:rPr>
          <w:rFonts w:cs="Times New Roman"/>
          <w:i/>
          <w:noProof/>
          <w:lang w:val="fr-CA"/>
        </w:rPr>
        <w:t>CCDP</w:t>
      </w:r>
      <w:r w:rsidRPr="00000DCC">
        <w:rPr>
          <w:rFonts w:cs="Times New Roman"/>
          <w:noProof/>
          <w:lang w:val="fr-CA"/>
        </w:rPr>
        <w:t>, par. 45</w:t>
      </w:r>
      <w:r w:rsidRPr="00000DCC">
        <w:rPr>
          <w:rFonts w:cs="Times New Roman"/>
          <w:noProof/>
          <w:lang w:val="fr-CA"/>
        </w:rPr>
        <w:noBreakHyphen/>
        <w:t xml:space="preserve">47; voir aussi </w:t>
      </w:r>
      <w:r w:rsidRPr="00000DCC">
        <w:rPr>
          <w:rFonts w:cs="Times New Roman"/>
          <w:i/>
          <w:noProof/>
          <w:lang w:val="fr-CA"/>
        </w:rPr>
        <w:t>Dunsmuir</w:t>
      </w:r>
      <w:r w:rsidRPr="00000DCC">
        <w:rPr>
          <w:rFonts w:cs="Times New Roman"/>
          <w:noProof/>
          <w:lang w:val="fr-CA"/>
        </w:rPr>
        <w:t>, par. 62</w:t>
      </w:r>
      <w:r w:rsidRPr="00000DCC">
        <w:rPr>
          <w:rFonts w:cs="Times New Roman"/>
          <w:noProof/>
          <w:lang w:val="fr-CA"/>
        </w:rPr>
        <w:noBreakHyphen/>
        <w:t xml:space="preserve">64; </w:t>
      </w:r>
      <w:r w:rsidRPr="00000DCC">
        <w:rPr>
          <w:rFonts w:cs="Times New Roman"/>
          <w:i/>
          <w:noProof/>
          <w:lang w:val="fr-CA"/>
        </w:rPr>
        <w:t>McLean</w:t>
      </w:r>
      <w:r w:rsidRPr="00000DCC">
        <w:rPr>
          <w:rFonts w:cs="Times New Roman"/>
          <w:noProof/>
          <w:lang w:val="fr-CA"/>
        </w:rPr>
        <w:t>, par. 22) pour établir la bonne norme de contrôle.</w:t>
      </w:r>
    </w:p>
    <w:p w14:paraId="4783BCB6"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lastRenderedPageBreak/>
        <w:t xml:space="preserve">Avant d’exposer plus en détail le cadre d’analyse permettant de déterminer la norme de contrôle applicable, nous tenons à reconnaître que les présents motifs s’écartent à certains égards de la jurisprudence actuelle de la Cour en la matière. Seules des circonstances convaincantes peuvent justifier un réexamen comme celui effectué en l’espèce. Nous ne prenons pas cette décision à la légère. La décision d’opérer un changement de cap oblige toujours la Cour à soupeser soigneusement l’incidence de cette décision sur la certitude et la prévisibilité juridiques par rapport aux coûts liés au fait de continuer à souscrire à une approche erronée : voir </w:t>
      </w:r>
      <w:r w:rsidRPr="00000DCC">
        <w:rPr>
          <w:rFonts w:cs="Times New Roman"/>
          <w:i/>
          <w:noProof/>
          <w:lang w:val="fr-CA"/>
        </w:rPr>
        <w:t>Canada (Procureur général) c. Bedford</w:t>
      </w:r>
      <w:r w:rsidRPr="00000DCC">
        <w:rPr>
          <w:rFonts w:cs="Times New Roman"/>
          <w:noProof/>
          <w:lang w:val="fr-CA"/>
        </w:rPr>
        <w:t xml:space="preserve">, 2013 CSC 72, [2013] 3 R.C.S. 1101, par. 47; </w:t>
      </w:r>
      <w:r w:rsidRPr="00000DCC">
        <w:rPr>
          <w:rFonts w:cs="Times New Roman"/>
          <w:i/>
          <w:noProof/>
          <w:lang w:val="fr-CA"/>
        </w:rPr>
        <w:t>Canada c. Craig</w:t>
      </w:r>
      <w:r w:rsidRPr="00000DCC">
        <w:rPr>
          <w:rFonts w:cs="Times New Roman"/>
          <w:noProof/>
          <w:lang w:val="fr-CA"/>
        </w:rPr>
        <w:t>, 2012 CSC 43, [2012] 2 R.C.S. 489, par. 24</w:t>
      </w:r>
      <w:r w:rsidRPr="00000DCC">
        <w:rPr>
          <w:rFonts w:cs="Times New Roman"/>
          <w:noProof/>
          <w:lang w:val="fr-CA"/>
        </w:rPr>
        <w:noBreakHyphen/>
        <w:t xml:space="preserve">27; </w:t>
      </w:r>
      <w:r w:rsidRPr="00000DCC">
        <w:rPr>
          <w:rFonts w:cs="Times New Roman"/>
          <w:i/>
          <w:noProof/>
          <w:lang w:val="fr-CA"/>
        </w:rPr>
        <w:t>Ontario (Procureur général) c. Fraser</w:t>
      </w:r>
      <w:r w:rsidRPr="00000DCC">
        <w:rPr>
          <w:rFonts w:cs="Times New Roman"/>
          <w:noProof/>
          <w:lang w:val="fr-CA"/>
        </w:rPr>
        <w:t>, 2011 CSC 20, [2011] 2 R.C.S. 3, par. 56</w:t>
      </w:r>
      <w:r w:rsidRPr="00000DCC">
        <w:rPr>
          <w:rFonts w:cs="Times New Roman"/>
          <w:noProof/>
          <w:lang w:val="fr-CA"/>
        </w:rPr>
        <w:noBreakHyphen/>
        <w:t>57, 129</w:t>
      </w:r>
      <w:r w:rsidRPr="00000DCC">
        <w:rPr>
          <w:rFonts w:cs="Times New Roman"/>
          <w:noProof/>
          <w:lang w:val="fr-CA"/>
        </w:rPr>
        <w:noBreakHyphen/>
        <w:t xml:space="preserve">131 et 139; </w:t>
      </w:r>
      <w:r w:rsidRPr="00000DCC">
        <w:rPr>
          <w:rFonts w:cs="Times New Roman"/>
          <w:i/>
          <w:noProof/>
          <w:lang w:val="fr-CA"/>
        </w:rPr>
        <w:t>R. c. Henry</w:t>
      </w:r>
      <w:r w:rsidRPr="00000DCC">
        <w:rPr>
          <w:rFonts w:cs="Times New Roman"/>
          <w:noProof/>
          <w:lang w:val="fr-CA"/>
        </w:rPr>
        <w:t>, 2005 CSC 76, [2005] 3 R.C.S. 609, par. 43</w:t>
      </w:r>
      <w:r w:rsidRPr="00000DCC">
        <w:rPr>
          <w:rFonts w:cs="Times New Roman"/>
          <w:noProof/>
          <w:lang w:val="fr-CA"/>
        </w:rPr>
        <w:noBreakHyphen/>
        <w:t xml:space="preserve">44; </w:t>
      </w:r>
      <w:r w:rsidRPr="00000DCC">
        <w:rPr>
          <w:rFonts w:cs="Times New Roman"/>
          <w:i/>
          <w:noProof/>
          <w:lang w:val="fr-CA"/>
        </w:rPr>
        <w:t>R. c. Bernard</w:t>
      </w:r>
      <w:r w:rsidRPr="00000DCC">
        <w:rPr>
          <w:rFonts w:cs="Times New Roman"/>
          <w:noProof/>
          <w:lang w:val="fr-CA"/>
        </w:rPr>
        <w:t>, [1988] 2 R.C.S. 833, p. 849</w:t>
      </w:r>
      <w:r w:rsidRPr="00000DCC">
        <w:rPr>
          <w:rFonts w:cs="Times New Roman"/>
          <w:noProof/>
          <w:lang w:val="fr-CA"/>
        </w:rPr>
        <w:noBreakHyphen/>
        <w:t>850.</w:t>
      </w:r>
    </w:p>
    <w:p w14:paraId="23EB764C"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À cet égard, nous rappelons les propos du juge Gibbs dans </w:t>
      </w:r>
      <w:r w:rsidRPr="00000DCC">
        <w:rPr>
          <w:rFonts w:cs="Times New Roman"/>
          <w:i/>
          <w:iCs/>
          <w:noProof/>
          <w:lang w:val="fr-CA"/>
        </w:rPr>
        <w:t>Queensland c. Commonwealth</w:t>
      </w:r>
      <w:r w:rsidRPr="00000DCC">
        <w:rPr>
          <w:rFonts w:cs="Times New Roman"/>
          <w:noProof/>
          <w:lang w:val="fr-CA"/>
        </w:rPr>
        <w:t xml:space="preserve"> </w:t>
      </w:r>
      <w:r w:rsidRPr="00000DCC">
        <w:rPr>
          <w:rStyle w:val="reflex3-block"/>
          <w:rFonts w:cs="Times New Roman"/>
          <w:noProof/>
          <w:lang w:val="fr-CA"/>
        </w:rPr>
        <w:t xml:space="preserve">(1977), </w:t>
      </w:r>
      <w:r w:rsidRPr="00000DCC">
        <w:rPr>
          <w:rStyle w:val="reflex3-alt"/>
          <w:rFonts w:cs="Times New Roman"/>
          <w:noProof/>
          <w:lang w:val="fr-CA"/>
        </w:rPr>
        <w:t xml:space="preserve">139 C.L.R. 585 (H.C.A.), auxquels notre Cour a souscrit dans l’arrêt </w:t>
      </w:r>
      <w:r w:rsidRPr="00000DCC">
        <w:rPr>
          <w:rStyle w:val="reflex3-alt"/>
          <w:rFonts w:cs="Times New Roman"/>
          <w:i/>
          <w:noProof/>
          <w:lang w:val="fr-CA"/>
        </w:rPr>
        <w:t>Craig</w:t>
      </w:r>
      <w:r w:rsidRPr="00000DCC">
        <w:rPr>
          <w:rStyle w:val="reflex3-alt"/>
          <w:rFonts w:cs="Times New Roman"/>
          <w:noProof/>
          <w:lang w:val="fr-CA"/>
        </w:rPr>
        <w:t>, par. 26 :</w:t>
      </w:r>
    </w:p>
    <w:p w14:paraId="1B2615D5" w14:textId="43716719" w:rsidR="00AE2373" w:rsidRPr="00000DCC" w:rsidRDefault="00AE2373" w:rsidP="00AE2373">
      <w:pPr>
        <w:pStyle w:val="Citation-AltC"/>
        <w:tabs>
          <w:tab w:val="left" w:pos="1170"/>
        </w:tabs>
        <w:ind w:hanging="446"/>
        <w:contextualSpacing w:val="0"/>
        <w:rPr>
          <w:noProof/>
          <w:lang w:val="fr-CA"/>
        </w:rPr>
      </w:pPr>
      <w:r w:rsidRPr="00000DCC">
        <w:rPr>
          <w:smallCaps/>
          <w:noProof/>
          <w:lang w:val="fr-CA"/>
        </w:rPr>
        <w:tab/>
        <w:t>[traduction]</w:t>
      </w:r>
      <w:r w:rsidRPr="00000DCC">
        <w:rPr>
          <w:noProof/>
          <w:lang w:val="fr-CA"/>
        </w:rPr>
        <w:t xml:space="preserve"> Nul juge ne peut ignorer les décisions et le raisonnement de ses prédécesseurs et arriver à ses propres conclusions comme si la jurisprudence n’existait pas, ou qu’une décision cessait d’être opposable dès l’ajournement d’une session. Contrairement au législateur, le juge ne peut entreprendre une réforme qui réduit à néant les décisions antérieures et les principes établis précédemment. Ce n’est qu’après avoir examiné la décision antérieure de la cour le plus attentivement et le plus respectueusement possible, et après avoir dûment </w:t>
      </w:r>
      <w:r w:rsidR="00752A7F">
        <w:rPr>
          <w:noProof/>
          <w:lang w:val="fr-CA"/>
        </w:rPr>
        <w:t xml:space="preserve">considéré </w:t>
      </w:r>
      <w:r w:rsidRPr="00000DCC">
        <w:rPr>
          <w:noProof/>
          <w:lang w:val="fr-CA"/>
        </w:rPr>
        <w:t>toutes les circonstances, que le juge peut faire primer sa propre opinion sur elle.</w:t>
      </w:r>
    </w:p>
    <w:p w14:paraId="1F204627" w14:textId="26C6D335"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Néanmoins, la Cour a revu des précédents qui avaient été jugés non fondés en principe, dont il a été démontré qu’ils étaient inapplicables et indûment complexes, </w:t>
      </w:r>
      <w:r w:rsidRPr="00000DCC">
        <w:rPr>
          <w:rFonts w:cs="Times New Roman"/>
          <w:noProof/>
          <w:lang w:val="fr-CA"/>
        </w:rPr>
        <w:lastRenderedPageBreak/>
        <w:t>ou qui s’étaient attirés d’importantes critiques valables, notamment judiciaires et doctrinales</w:t>
      </w:r>
      <w:r w:rsidR="00D0255F">
        <w:rPr>
          <w:rFonts w:cs="Times New Roman"/>
          <w:noProof/>
          <w:lang w:val="fr-CA"/>
        </w:rPr>
        <w:t> </w:t>
      </w:r>
      <w:r w:rsidRPr="00000DCC">
        <w:rPr>
          <w:rFonts w:cs="Times New Roman"/>
          <w:noProof/>
          <w:lang w:val="fr-CA"/>
        </w:rPr>
        <w:t xml:space="preserve">: </w:t>
      </w:r>
      <w:r w:rsidRPr="00000DCC">
        <w:rPr>
          <w:rFonts w:cs="Times New Roman"/>
          <w:i/>
          <w:noProof/>
          <w:lang w:val="fr-CA"/>
        </w:rPr>
        <w:t>Craig</w:t>
      </w:r>
      <w:r w:rsidRPr="00000DCC">
        <w:rPr>
          <w:rFonts w:cs="Times New Roman"/>
          <w:noProof/>
          <w:lang w:val="fr-CA"/>
        </w:rPr>
        <w:t>, par. 28</w:t>
      </w:r>
      <w:r w:rsidRPr="00000DCC">
        <w:rPr>
          <w:rFonts w:cs="Times New Roman"/>
          <w:noProof/>
          <w:lang w:val="fr-CA"/>
        </w:rPr>
        <w:noBreakHyphen/>
        <w:t xml:space="preserve">30; </w:t>
      </w:r>
      <w:r w:rsidRPr="00000DCC">
        <w:rPr>
          <w:rFonts w:cs="Times New Roman"/>
          <w:i/>
          <w:noProof/>
          <w:lang w:val="fr-CA"/>
        </w:rPr>
        <w:t>Henry</w:t>
      </w:r>
      <w:r w:rsidRPr="00000DCC">
        <w:rPr>
          <w:rFonts w:cs="Times New Roman"/>
          <w:noProof/>
          <w:lang w:val="fr-CA"/>
        </w:rPr>
        <w:t>, par. 45</w:t>
      </w:r>
      <w:r w:rsidRPr="00000DCC">
        <w:rPr>
          <w:rFonts w:cs="Times New Roman"/>
          <w:noProof/>
          <w:lang w:val="fr-CA"/>
        </w:rPr>
        <w:noBreakHyphen/>
        <w:t xml:space="preserve">47; </w:t>
      </w:r>
      <w:r w:rsidRPr="00000DCC">
        <w:rPr>
          <w:rFonts w:cs="Times New Roman"/>
          <w:i/>
          <w:noProof/>
          <w:lang w:val="fr-CA"/>
        </w:rPr>
        <w:t>Fraser</w:t>
      </w:r>
      <w:r w:rsidRPr="00000DCC">
        <w:rPr>
          <w:rFonts w:cs="Times New Roman"/>
          <w:noProof/>
          <w:lang w:val="fr-CA"/>
        </w:rPr>
        <w:t xml:space="preserve">, par. 135 (le juge Rothstein, motifs concordants </w:t>
      </w:r>
      <w:r>
        <w:rPr>
          <w:rFonts w:cs="Times New Roman"/>
          <w:noProof/>
          <w:lang w:val="fr-CA"/>
        </w:rPr>
        <w:t>quant au</w:t>
      </w:r>
      <w:r w:rsidRPr="00000DCC">
        <w:rPr>
          <w:rFonts w:cs="Times New Roman"/>
          <w:noProof/>
          <w:lang w:val="fr-CA"/>
        </w:rPr>
        <w:t xml:space="preserve"> résultat); </w:t>
      </w:r>
      <w:r w:rsidRPr="00000DCC">
        <w:rPr>
          <w:rFonts w:cs="Times New Roman"/>
          <w:i/>
          <w:noProof/>
          <w:lang w:val="fr-CA"/>
        </w:rPr>
        <w:t>Bernard</w:t>
      </w:r>
      <w:r w:rsidRPr="00000DCC">
        <w:rPr>
          <w:rFonts w:cs="Times New Roman"/>
          <w:noProof/>
          <w:lang w:val="fr-CA"/>
        </w:rPr>
        <w:t>, p. 858</w:t>
      </w:r>
      <w:r w:rsidRPr="00000DCC">
        <w:rPr>
          <w:rFonts w:cs="Times New Roman"/>
          <w:noProof/>
          <w:lang w:val="fr-CA"/>
        </w:rPr>
        <w:noBreakHyphen/>
        <w:t xml:space="preserve">859. Si le respect de la jurisprudence établie favorise généralement la certitude et la prévisibilité, dans certains cas, ce respect crée ou perpétue l’incertitude du droit : </w:t>
      </w:r>
      <w:r w:rsidRPr="00000DCC">
        <w:rPr>
          <w:rFonts w:cs="Times New Roman"/>
          <w:i/>
          <w:noProof/>
          <w:lang w:val="fr-CA"/>
        </w:rPr>
        <w:t>Ministre des Affaires indiennes et du Nord canadien c. Ranville</w:t>
      </w:r>
      <w:r w:rsidRPr="00000DCC">
        <w:rPr>
          <w:rFonts w:cs="Times New Roman"/>
          <w:noProof/>
          <w:lang w:val="fr-CA"/>
        </w:rPr>
        <w:t xml:space="preserve">, [1982] 2 R.C.S. 518, p. 528; </w:t>
      </w:r>
      <w:r w:rsidRPr="00000DCC">
        <w:rPr>
          <w:rFonts w:cs="Times New Roman"/>
          <w:i/>
          <w:noProof/>
          <w:lang w:val="fr-CA"/>
        </w:rPr>
        <w:t>Bernard</w:t>
      </w:r>
      <w:r w:rsidRPr="00000DCC">
        <w:rPr>
          <w:rFonts w:cs="Times New Roman"/>
          <w:noProof/>
          <w:lang w:val="fr-CA"/>
        </w:rPr>
        <w:t xml:space="preserve">, p. 858; </w:t>
      </w:r>
      <w:r w:rsidRPr="00000DCC">
        <w:rPr>
          <w:rFonts w:cs="Times New Roman"/>
          <w:i/>
          <w:noProof/>
          <w:lang w:val="fr-CA"/>
        </w:rPr>
        <w:t>R. c. B. (K.G.)</w:t>
      </w:r>
      <w:r w:rsidRPr="00000DCC">
        <w:rPr>
          <w:rFonts w:cs="Times New Roman"/>
          <w:noProof/>
          <w:lang w:val="fr-CA"/>
        </w:rPr>
        <w:t xml:space="preserve">, [1993] 1 R.C.S. 740, p. 778. Dans ces circonstances, « en [. . .] suivant simplement [l’arrêt antérieur] par respect pour le principe du </w:t>
      </w:r>
      <w:r w:rsidRPr="00000DCC">
        <w:rPr>
          <w:rFonts w:cs="Times New Roman"/>
          <w:i/>
          <w:iCs/>
          <w:noProof/>
          <w:lang w:val="fr-CA"/>
        </w:rPr>
        <w:t>stare decisis</w:t>
      </w:r>
      <w:r w:rsidRPr="00000DCC">
        <w:rPr>
          <w:rFonts w:cs="Times New Roman"/>
          <w:noProof/>
          <w:lang w:val="fr-CA"/>
        </w:rPr>
        <w:t>, on se [trouve à] aller à l’encontre de la valeur fondamentale sous</w:t>
      </w:r>
      <w:r w:rsidRPr="00000DCC">
        <w:rPr>
          <w:rFonts w:cs="Times New Roman"/>
          <w:noProof/>
          <w:lang w:val="fr-CA"/>
        </w:rPr>
        <w:noBreakHyphen/>
        <w:t>tendant ce principe, c’est</w:t>
      </w:r>
      <w:r w:rsidRPr="00000DCC">
        <w:rPr>
          <w:rFonts w:cs="Times New Roman"/>
          <w:noProof/>
          <w:lang w:val="fr-CA"/>
        </w:rPr>
        <w:noBreakHyphen/>
        <w:t>à</w:t>
      </w:r>
      <w:r w:rsidRPr="00000DCC">
        <w:rPr>
          <w:rFonts w:cs="Times New Roman"/>
          <w:noProof/>
          <w:lang w:val="fr-CA"/>
        </w:rPr>
        <w:noBreakHyphen/>
        <w:t xml:space="preserve">dire celle de la clarté et de la certitude du droit » : </w:t>
      </w:r>
      <w:r w:rsidRPr="00000DCC">
        <w:rPr>
          <w:rFonts w:cs="Times New Roman"/>
          <w:i/>
          <w:noProof/>
          <w:lang w:val="fr-CA"/>
        </w:rPr>
        <w:t>Bernard</w:t>
      </w:r>
      <w:r w:rsidRPr="00000DCC">
        <w:rPr>
          <w:rFonts w:cs="Times New Roman"/>
          <w:noProof/>
          <w:lang w:val="fr-CA"/>
        </w:rPr>
        <w:t>, p. 858. Ces considérations s’appliquent en l’espèce.</w:t>
      </w:r>
    </w:p>
    <w:p w14:paraId="342FFB5E" w14:textId="7563C8DC"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Certains aspects du cadre d’analyse actuel ne sont pas clairs et sont indûment complexes. Ce manque de clarté a pour effet pratique que les cours de justice ont parfois de la difficulté à effectuer l’analyse relative à la norme de contrôle. De coûteux débats entourant la norme appropriée et son application continuent d’éclipser le contrôle sur le fond dans bien des cas, ce qui mine l’accès à la justice. Les propos du juge Binnie dans ses motifs concordants dans l’arrêt </w:t>
      </w:r>
      <w:r w:rsidRPr="00000DCC">
        <w:rPr>
          <w:rFonts w:cs="Times New Roman"/>
          <w:i/>
          <w:noProof/>
          <w:lang w:val="fr-CA"/>
        </w:rPr>
        <w:t>Dunsmuir</w:t>
      </w:r>
      <w:r w:rsidRPr="00000DCC">
        <w:rPr>
          <w:rFonts w:cs="Times New Roman"/>
          <w:noProof/>
          <w:lang w:val="fr-CA"/>
        </w:rPr>
        <w:t>, par</w:t>
      </w:r>
      <w:r w:rsidR="00F63F15">
        <w:rPr>
          <w:rFonts w:cs="Times New Roman"/>
          <w:noProof/>
          <w:lang w:val="fr-CA"/>
        </w:rPr>
        <w:t>. 133, sont toujours pertinents </w:t>
      </w:r>
      <w:r w:rsidRPr="00000DCC">
        <w:rPr>
          <w:rFonts w:cs="Times New Roman"/>
          <w:noProof/>
          <w:lang w:val="fr-CA"/>
        </w:rPr>
        <w:t>:</w:t>
      </w:r>
    </w:p>
    <w:p w14:paraId="2FCB1DA4" w14:textId="2863A287" w:rsidR="00AE2373" w:rsidRPr="00000DCC" w:rsidRDefault="00AE2373" w:rsidP="00AE2373">
      <w:pPr>
        <w:pStyle w:val="Citation-AltC"/>
        <w:tabs>
          <w:tab w:val="left" w:pos="1560"/>
        </w:tabs>
        <w:ind w:hanging="446"/>
        <w:contextualSpacing w:val="0"/>
        <w:rPr>
          <w:noProof/>
          <w:lang w:val="fr-CA"/>
        </w:rPr>
      </w:pPr>
      <w:r w:rsidRPr="00000DCC">
        <w:rPr>
          <w:noProof/>
          <w:lang w:val="fr-CA"/>
        </w:rPr>
        <w:tab/>
      </w:r>
      <w:r w:rsidR="004F2B0A">
        <w:rPr>
          <w:noProof/>
          <w:lang w:val="fr-CA"/>
        </w:rPr>
        <w:t>... l</w:t>
      </w:r>
      <w:r w:rsidRPr="00000DCC">
        <w:rPr>
          <w:noProof/>
          <w:lang w:val="fr-CA"/>
        </w:rPr>
        <w:t>e contrôle judiciaire est à la fois trop coûteux et trop long. On comprend le justiciable d’hésiter à s’adresser aux tribunaux pour obtenir réparation à l’égard de ce qu’il considère comme une injustice administrative lorsque son avocat ne peut même pas prévoir avec certitude quelle norme de contrôle s’appliquera. [. . .] Le justiciable qui va de l’avant constate que la cour ne met pas l’accent sur sa prétention ou sur la mesure prise par l’État, mais qu’elle arbitre plutôt un long et mystérieux débat sur [</w:t>
      </w:r>
      <w:r>
        <w:rPr>
          <w:noProof/>
          <w:lang w:val="fr-CA"/>
        </w:rPr>
        <w:t>l’analyse du</w:t>
      </w:r>
      <w:r w:rsidRPr="00000DCC">
        <w:rPr>
          <w:noProof/>
          <w:lang w:val="fr-CA"/>
        </w:rPr>
        <w:t xml:space="preserve"> choix de la norme]. [. . .] La décision favorable rendue par la cour de révision peut être infirmée en appel au motif que la bonne « norme de contrôle » n’a pas été appliquée. La petite entreprise à qui on refuse un </w:t>
      </w:r>
      <w:r w:rsidRPr="00000DCC">
        <w:rPr>
          <w:noProof/>
          <w:lang w:val="fr-CA"/>
        </w:rPr>
        <w:lastRenderedPageBreak/>
        <w:t>permis ou le professionnel qui fait l’objet d’une mesure disciplinaire devrait pouvoir demander le contrôle judiciaire de la décision sans miser son commerce ou sa maison sur l’issue de l’instance.</w:t>
      </w:r>
      <w:r w:rsidR="00C45A9A">
        <w:rPr>
          <w:noProof/>
          <w:lang w:val="fr-CA"/>
        </w:rPr>
        <w:t> </w:t>
      </w:r>
    </w:p>
    <w:p w14:paraId="1E3CE3EA" w14:textId="279EB30A" w:rsidR="00AE2373" w:rsidRPr="00000DCC" w:rsidRDefault="00AE2373" w:rsidP="00AE2373">
      <w:pPr>
        <w:pStyle w:val="ParaNoNdepar-AltN"/>
        <w:numPr>
          <w:ilvl w:val="0"/>
          <w:numId w:val="0"/>
        </w:numPr>
        <w:tabs>
          <w:tab w:val="clear" w:pos="1166"/>
        </w:tabs>
        <w:spacing w:before="0"/>
        <w:rPr>
          <w:rFonts w:cs="Times New Roman"/>
          <w:noProof/>
          <w:lang w:val="fr-CA"/>
        </w:rPr>
      </w:pPr>
      <w:r w:rsidRPr="00000DCC">
        <w:rPr>
          <w:rFonts w:cs="Times New Roman"/>
          <w:lang w:val="fr-CA"/>
        </w:rPr>
        <w:t xml:space="preserve">Malheureusement, nous nous retrouvons dans une situation semblable depuis l’arrêt </w:t>
      </w:r>
      <w:r w:rsidRPr="00000DCC">
        <w:rPr>
          <w:rFonts w:cs="Times New Roman"/>
          <w:i/>
          <w:lang w:val="fr-CA"/>
        </w:rPr>
        <w:t>Dunsmuir</w:t>
      </w:r>
      <w:r w:rsidRPr="00000DCC">
        <w:rPr>
          <w:rFonts w:cs="Times New Roman"/>
          <w:lang w:val="fr-CA"/>
        </w:rPr>
        <w:t xml:space="preserve">. Comme l’a fait remarquer la juge Karakatsanis dans l’arrêt </w:t>
      </w:r>
      <w:r w:rsidRPr="00000DCC">
        <w:rPr>
          <w:rFonts w:cs="Times New Roman"/>
          <w:i/>
          <w:lang w:val="fr-CA"/>
        </w:rPr>
        <w:t>Edmonton East</w:t>
      </w:r>
      <w:r w:rsidRPr="00000DCC">
        <w:rPr>
          <w:rFonts w:cs="Times New Roman"/>
          <w:lang w:val="fr-CA"/>
        </w:rPr>
        <w:t xml:space="preserve">, au par. 35, « [l]e recours à une analyse contextuelle peut être source d’incertitude et d’interminables litiges au sujet de la norme de contrôle applicable ». Bien que les avocats et les </w:t>
      </w:r>
      <w:r>
        <w:rPr>
          <w:rFonts w:cs="Times New Roman"/>
          <w:lang w:val="fr-CA"/>
        </w:rPr>
        <w:t xml:space="preserve">cours de justice </w:t>
      </w:r>
      <w:r w:rsidRPr="00000DCC">
        <w:rPr>
          <w:rFonts w:cs="Times New Roman"/>
          <w:lang w:val="fr-CA"/>
        </w:rPr>
        <w:t>tentent de surmonter la difficulté de déterminer la norme de contrôle et la bonne façon de l’appliquer, les plaideurs</w:t>
      </w:r>
      <w:r>
        <w:rPr>
          <w:rFonts w:cs="Times New Roman"/>
          <w:lang w:val="fr-CA"/>
        </w:rPr>
        <w:t xml:space="preserve"> prennent note que</w:t>
      </w:r>
      <w:r w:rsidRPr="00000DCC">
        <w:rPr>
          <w:rFonts w:cs="Times New Roman"/>
          <w:lang w:val="fr-CA"/>
        </w:rPr>
        <w:t xml:space="preserve">, « [p]endant ce temps, l’analyse au fond </w:t>
      </w:r>
      <w:r>
        <w:rPr>
          <w:rFonts w:cs="Times New Roman"/>
          <w:lang w:val="fr-CA"/>
        </w:rPr>
        <w:t>attend</w:t>
      </w:r>
      <w:r w:rsidR="00BC2F53">
        <w:rPr>
          <w:rFonts w:cs="Times New Roman"/>
          <w:lang w:val="fr-CA"/>
        </w:rPr>
        <w:t xml:space="preserve"> en coulisses » </w:t>
      </w:r>
      <w:r w:rsidRPr="00000DCC">
        <w:rPr>
          <w:rFonts w:cs="Times New Roman"/>
          <w:lang w:val="fr-CA"/>
        </w:rPr>
        <w:t xml:space="preserve">: </w:t>
      </w:r>
      <w:r w:rsidRPr="00000DCC">
        <w:rPr>
          <w:rFonts w:cs="Times New Roman"/>
          <w:i/>
          <w:lang w:val="fr-CA"/>
        </w:rPr>
        <w:t>Wilson</w:t>
      </w:r>
      <w:r w:rsidRPr="00000DCC">
        <w:rPr>
          <w:rFonts w:cs="Times New Roman"/>
          <w:lang w:val="fr-CA"/>
        </w:rPr>
        <w:t>, par. 25, la juge Abella.</w:t>
      </w:r>
    </w:p>
    <w:p w14:paraId="2100387D"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Comme il a été souligné dans l’arrêt </w:t>
      </w:r>
      <w:r w:rsidRPr="00000DCC">
        <w:rPr>
          <w:rFonts w:cs="Times New Roman"/>
          <w:i/>
          <w:noProof/>
          <w:lang w:val="fr-CA"/>
        </w:rPr>
        <w:t>CCDP</w:t>
      </w:r>
      <w:r w:rsidRPr="00000DCC">
        <w:rPr>
          <w:rFonts w:cs="Times New Roman"/>
          <w:noProof/>
          <w:lang w:val="fr-CA"/>
        </w:rPr>
        <w:t xml:space="preserve">, « [d]epuis plusieurs années, notre Cour tente de simplifier l’analyse relative à la norme de contrôle applicable, afin de “faire en sorte que les parties cessent de débattre des critères applicables et fassent plutôt valoir leurs prétentions sur le fond” » : par. 27, citant </w:t>
      </w:r>
      <w:r w:rsidRPr="00000DCC">
        <w:rPr>
          <w:rFonts w:cs="Times New Roman"/>
          <w:i/>
          <w:noProof/>
          <w:lang w:val="fr-CA"/>
        </w:rPr>
        <w:t>Alberta Teachers</w:t>
      </w:r>
      <w:r w:rsidRPr="00000DCC">
        <w:rPr>
          <w:rFonts w:cs="Times New Roman"/>
          <w:noProof/>
          <w:lang w:val="fr-CA"/>
        </w:rPr>
        <w:t xml:space="preserve">, par. 36, citant </w:t>
      </w:r>
      <w:r w:rsidRPr="00000DCC">
        <w:rPr>
          <w:rFonts w:cs="Times New Roman"/>
          <w:i/>
          <w:noProof/>
          <w:lang w:val="fr-CA"/>
        </w:rPr>
        <w:t>Dunsmuir</w:t>
      </w:r>
      <w:r w:rsidRPr="00000DCC">
        <w:rPr>
          <w:rFonts w:cs="Times New Roman"/>
          <w:noProof/>
          <w:lang w:val="fr-CA"/>
        </w:rPr>
        <w:t>, par. 145, le juge Binnie. Les changements de principe exposés ci</w:t>
      </w:r>
      <w:r w:rsidRPr="00000DCC">
        <w:rPr>
          <w:rFonts w:cs="Times New Roman"/>
          <w:noProof/>
          <w:lang w:val="fr-CA"/>
        </w:rPr>
        <w:noBreakHyphen/>
        <w:t>dessous visent à promouvoir les valeurs qui sous</w:t>
      </w:r>
      <w:r w:rsidRPr="00000DCC">
        <w:rPr>
          <w:rFonts w:cs="Times New Roman"/>
          <w:noProof/>
          <w:lang w:val="fr-CA"/>
        </w:rPr>
        <w:noBreakHyphen/>
        <w:t xml:space="preserve">tendent la règle du </w:t>
      </w:r>
      <w:r w:rsidRPr="00000DCC">
        <w:rPr>
          <w:rFonts w:cs="Times New Roman"/>
          <w:i/>
          <w:noProof/>
          <w:lang w:val="fr-CA"/>
        </w:rPr>
        <w:t>stare decisis</w:t>
      </w:r>
      <w:r w:rsidRPr="00000DCC">
        <w:rPr>
          <w:rFonts w:cs="Times New Roman"/>
          <w:noProof/>
          <w:lang w:val="fr-CA"/>
        </w:rPr>
        <w:t xml:space="preserve"> et à rendre le droit applicable en matière de norme de contrôle plus certain, cohérent et facile à appliquer à l’avenir.</w:t>
      </w:r>
    </w:p>
    <w:p w14:paraId="2083DAE5" w14:textId="77777777" w:rsidR="00AE2373" w:rsidRPr="00000DCC" w:rsidRDefault="00AE2373" w:rsidP="00AE2373">
      <w:pPr>
        <w:pStyle w:val="Title2LevelTitre2Niveau"/>
        <w:numPr>
          <w:ilvl w:val="1"/>
          <w:numId w:val="8"/>
        </w:numPr>
        <w:tabs>
          <w:tab w:val="left" w:pos="1560"/>
        </w:tabs>
        <w:spacing w:before="0"/>
        <w:rPr>
          <w:rFonts w:cs="Times New Roman"/>
          <w:noProof/>
          <w:lang w:val="fr-CA"/>
        </w:rPr>
      </w:pPr>
      <w:r w:rsidRPr="00000DCC">
        <w:rPr>
          <w:rFonts w:cs="Times New Roman"/>
          <w:noProof/>
          <w:lang w:val="fr-CA"/>
        </w:rPr>
        <w:t>La présomption selon laquelle la norme applicable est celle de la décision raisonnable</w:t>
      </w:r>
    </w:p>
    <w:p w14:paraId="7D71419A" w14:textId="77777777" w:rsidR="00AE2373" w:rsidRPr="00000DCC" w:rsidRDefault="00AE2373" w:rsidP="00AE2373">
      <w:pPr>
        <w:pStyle w:val="ParaNoNdepar-AltN"/>
        <w:tabs>
          <w:tab w:val="clear" w:pos="1166"/>
          <w:tab w:val="clear" w:pos="1422"/>
          <w:tab w:val="left" w:pos="1170"/>
        </w:tabs>
        <w:spacing w:before="0"/>
        <w:rPr>
          <w:rFonts w:cs="Times New Roman"/>
          <w:noProof/>
          <w:lang w:val="fr-CA"/>
        </w:rPr>
      </w:pPr>
      <w:r w:rsidRPr="00000DCC">
        <w:rPr>
          <w:rFonts w:cs="Times New Roman"/>
          <w:noProof/>
          <w:lang w:val="fr-CA"/>
        </w:rPr>
        <w:t>Lorsqu’une cour examine une décision administrative</w:t>
      </w:r>
      <w:r w:rsidRPr="00000DCC">
        <w:rPr>
          <w:rFonts w:eastAsiaTheme="minorHAnsi" w:cs="Times New Roman"/>
          <w:noProof/>
          <w:lang w:val="fr-CA" w:bidi="en-US"/>
        </w:rPr>
        <w:t xml:space="preserve"> sur le fond </w:t>
      </w:r>
      <w:r w:rsidRPr="00000DCC">
        <w:rPr>
          <w:rFonts w:cs="Times New Roman"/>
          <w:noProof/>
          <w:lang w:val="fr-CA" w:bidi="en-US"/>
        </w:rPr>
        <w:t>(c.</w:t>
      </w:r>
      <w:r w:rsidRPr="00000DCC">
        <w:rPr>
          <w:rFonts w:cs="Times New Roman"/>
          <w:noProof/>
          <w:lang w:val="fr-CA" w:bidi="en-US"/>
        </w:rPr>
        <w:noBreakHyphen/>
        <w:t>à</w:t>
      </w:r>
      <w:r w:rsidRPr="00000DCC">
        <w:rPr>
          <w:rFonts w:cs="Times New Roman"/>
          <w:noProof/>
          <w:lang w:val="fr-CA" w:bidi="en-US"/>
        </w:rPr>
        <w:noBreakHyphen/>
        <w:t xml:space="preserve">d. le contrôle judiciaire d’une mesure administrative qui ne comporte pas d’examen d’un </w:t>
      </w:r>
      <w:r w:rsidRPr="00000DCC">
        <w:rPr>
          <w:rFonts w:cs="Times New Roman"/>
          <w:noProof/>
          <w:lang w:val="fr-CA" w:bidi="en-US"/>
        </w:rPr>
        <w:lastRenderedPageBreak/>
        <w:t>manquement à la justice naturelle ou à l’obligation d’équité procédurale),</w:t>
      </w:r>
      <w:r w:rsidRPr="00000DCC">
        <w:rPr>
          <w:rFonts w:cs="Times New Roman"/>
          <w:noProof/>
          <w:lang w:val="fr-CA"/>
        </w:rPr>
        <w:t xml:space="preserve"> la norme de contrôle qu’elle applique doit refléter l’intention du législateur sur le rôle de la cour de révision, sauf dans les cas où la primauté du droit empêche de donner effet à cette intention. L’analyse a donc comme point de départ une présomption selon laquelle le législateur a voulu que la norme de contrôle applicable soit celle de la décision raisonnable.</w:t>
      </w:r>
    </w:p>
    <w:p w14:paraId="7CEEBCE8" w14:textId="77777777" w:rsidR="00AE2373" w:rsidRPr="00000DCC" w:rsidRDefault="00AE2373" w:rsidP="00AE2373">
      <w:pPr>
        <w:pStyle w:val="ParaNoNdepar-AltN"/>
        <w:tabs>
          <w:tab w:val="clear" w:pos="1166"/>
          <w:tab w:val="clear" w:pos="1422"/>
          <w:tab w:val="left" w:pos="1170"/>
        </w:tabs>
        <w:spacing w:before="0"/>
        <w:rPr>
          <w:rFonts w:cs="Times New Roman"/>
          <w:noProof/>
          <w:lang w:val="fr-CA"/>
        </w:rPr>
      </w:pPr>
      <w:r w:rsidRPr="00000DCC">
        <w:rPr>
          <w:rFonts w:cs="Times New Roman"/>
          <w:noProof/>
          <w:lang w:val="fr-CA"/>
        </w:rPr>
        <w:t xml:space="preserve">Le Parlement et les législatures provinciales sont habilités par la Constitution à créer des organismes administratifs et à les investir de larges pouvoirs légaux : </w:t>
      </w:r>
      <w:r w:rsidRPr="00000DCC">
        <w:rPr>
          <w:rFonts w:cs="Times New Roman"/>
          <w:i/>
          <w:noProof/>
          <w:lang w:val="fr-CA"/>
        </w:rPr>
        <w:t>Dunsmuir</w:t>
      </w:r>
      <w:r w:rsidRPr="00000DCC">
        <w:rPr>
          <w:rFonts w:cs="Times New Roman"/>
          <w:noProof/>
          <w:lang w:val="fr-CA"/>
        </w:rPr>
        <w:t>, par. 27. Si le législateur a constitué un décideur administratif dans le but précis d’administrer un régime législatif, il faut présumer que le législateur a également voulu que ce décideur soit en mesure d’accomplir son mandat et d’interpréter la loi qui s’applique à toutes les questions qui lui sont soumises. Si le législateur n’a pas prescrit expressément que les cours de justice ont un rôle à jouer dans le contrôle des décisions de ce décideur, on peut aisément présumer que le législateur a voulu que celui</w:t>
      </w:r>
      <w:r w:rsidRPr="00000DCC">
        <w:rPr>
          <w:rFonts w:cs="Times New Roman"/>
          <w:noProof/>
          <w:lang w:val="fr-CA"/>
        </w:rPr>
        <w:noBreakHyphen/>
        <w:t xml:space="preserve">ci puisse fonctionner en faisant le moins possible l’objet d’une intervention judiciaire. Toutefois, étant donné que le contrôle judiciaire bénéficie de la protection de l’art. 96 de la </w:t>
      </w:r>
      <w:r w:rsidRPr="00000DCC">
        <w:rPr>
          <w:rFonts w:cs="Times New Roman"/>
          <w:i/>
          <w:noProof/>
          <w:lang w:val="fr-CA"/>
        </w:rPr>
        <w:t>Loi constitutionnelle de 1867</w:t>
      </w:r>
      <w:r w:rsidRPr="00000DCC">
        <w:rPr>
          <w:rFonts w:cs="Times New Roman"/>
          <w:noProof/>
          <w:lang w:val="fr-CA"/>
        </w:rPr>
        <w:t xml:space="preserve">, le législateur ne peut soustraire le processus décisionnel administratif à tout examen judiciaire : </w:t>
      </w:r>
      <w:r w:rsidRPr="00000DCC">
        <w:rPr>
          <w:rFonts w:cs="Times New Roman"/>
          <w:i/>
          <w:noProof/>
          <w:lang w:val="fr-CA"/>
        </w:rPr>
        <w:t>Dunsmuir</w:t>
      </w:r>
      <w:r w:rsidRPr="00000DCC">
        <w:rPr>
          <w:rFonts w:cs="Times New Roman"/>
          <w:noProof/>
          <w:lang w:val="fr-CA"/>
        </w:rPr>
        <w:t xml:space="preserve">, par. 31; </w:t>
      </w:r>
      <w:r w:rsidRPr="00000DCC">
        <w:rPr>
          <w:rFonts w:cs="Times New Roman"/>
          <w:i/>
          <w:noProof/>
          <w:lang w:val="fr-CA"/>
        </w:rPr>
        <w:t>Crevier c. Procureur général du Québec</w:t>
      </w:r>
      <w:r w:rsidRPr="00000DCC">
        <w:rPr>
          <w:rFonts w:cs="Times New Roman"/>
          <w:noProof/>
          <w:lang w:val="fr-CA"/>
        </w:rPr>
        <w:t>, [1981] 2 R.C.S. 220, p. 236</w:t>
      </w:r>
      <w:r w:rsidRPr="00000DCC">
        <w:rPr>
          <w:rFonts w:cs="Times New Roman"/>
          <w:noProof/>
          <w:lang w:val="fr-CA"/>
        </w:rPr>
        <w:noBreakHyphen/>
        <w:t xml:space="preserve">237; </w:t>
      </w:r>
      <w:r w:rsidRPr="00000DCC">
        <w:rPr>
          <w:rFonts w:cs="Times New Roman"/>
          <w:i/>
          <w:noProof/>
          <w:lang w:val="fr-CA"/>
        </w:rPr>
        <w:t>U.E.S., Local 298 c. Bibeault</w:t>
      </w:r>
      <w:r w:rsidRPr="00000DCC">
        <w:rPr>
          <w:rFonts w:cs="Times New Roman"/>
          <w:noProof/>
          <w:lang w:val="fr-CA"/>
        </w:rPr>
        <w:t>, [1988] 2 R.C.S. 1048, p. 1090. Il n’en demeure pas moins que le respect de ces choix d’organisation institutionnelle de la part du législateur oblige la cour de révision à adopter une attitude de retenue lors du contrôle judiciaire.</w:t>
      </w:r>
    </w:p>
    <w:p w14:paraId="6DD21C2B" w14:textId="77777777" w:rsidR="00AE2373" w:rsidRPr="00000DCC" w:rsidRDefault="00AE2373" w:rsidP="00AE2373">
      <w:pPr>
        <w:pStyle w:val="ParaNoNdepar-AltN"/>
        <w:tabs>
          <w:tab w:val="clear" w:pos="1166"/>
          <w:tab w:val="clear" w:pos="1422"/>
          <w:tab w:val="left" w:pos="1170"/>
        </w:tabs>
        <w:spacing w:before="0"/>
        <w:rPr>
          <w:rFonts w:cs="Times New Roman"/>
          <w:noProof/>
          <w:lang w:val="fr-CA"/>
        </w:rPr>
      </w:pPr>
      <w:r w:rsidRPr="00000DCC">
        <w:rPr>
          <w:rFonts w:cs="Times New Roman"/>
          <w:noProof/>
          <w:lang w:val="fr-CA"/>
        </w:rPr>
        <w:lastRenderedPageBreak/>
        <w:t xml:space="preserve">Depuis plusieurs années, la jurisprudence de notre Cour évolue vers une reconnaissance du fait que la norme de la décision raisonnable devrait être le point de départ du contrôle judiciaire d’une décision administrative. En effet, la présomption d’application de la norme de la décision raisonnable est déjà une caractéristique bien établie de l’analyse relative à la norme de contrôle applicable dans les cas où le décideur administratif interprète sa loi constitutive : voir </w:t>
      </w:r>
      <w:r w:rsidRPr="00000DCC">
        <w:rPr>
          <w:rFonts w:cs="Times New Roman"/>
          <w:i/>
          <w:noProof/>
          <w:lang w:val="fr-CA"/>
        </w:rPr>
        <w:t>Alberta Teachers</w:t>
      </w:r>
      <w:r w:rsidRPr="00000DCC">
        <w:rPr>
          <w:rFonts w:cs="Times New Roman"/>
          <w:noProof/>
          <w:lang w:val="fr-CA"/>
        </w:rPr>
        <w:t xml:space="preserve">, par. 30; </w:t>
      </w:r>
      <w:r w:rsidRPr="00000DCC">
        <w:rPr>
          <w:rFonts w:cs="Times New Roman"/>
          <w:i/>
          <w:noProof/>
          <w:lang w:val="fr-CA"/>
        </w:rPr>
        <w:t>Saguenay</w:t>
      </w:r>
      <w:r w:rsidRPr="00000DCC">
        <w:rPr>
          <w:rFonts w:cs="Times New Roman"/>
          <w:noProof/>
          <w:lang w:val="fr-CA"/>
        </w:rPr>
        <w:t xml:space="preserve">, par. 46; </w:t>
      </w:r>
      <w:r w:rsidRPr="00000DCC">
        <w:rPr>
          <w:rFonts w:cs="Times New Roman"/>
          <w:i/>
          <w:noProof/>
          <w:lang w:val="fr-CA"/>
        </w:rPr>
        <w:t>Edmonton East</w:t>
      </w:r>
      <w:r w:rsidRPr="00000DCC">
        <w:rPr>
          <w:rFonts w:cs="Times New Roman"/>
          <w:noProof/>
          <w:lang w:val="fr-CA"/>
        </w:rPr>
        <w:t>, par. 22. À notre avis, il y a maintenant lieu d’affirmer que chaque fois qu’une cour examine une décision administrative, elle doit partir de la présomption que la norme de contrôle applicable à l’égard de tous les aspects de cette décision est celle de la décision raisonnable. Si cette présomption vise l’interprétation de sa loi habilitante par le décideur administratif, elle s’applique aussi de façon plus générale aux autres aspects de sa décision.</w:t>
      </w:r>
    </w:p>
    <w:p w14:paraId="308FA29F" w14:textId="1901C45F" w:rsidR="00AE2373" w:rsidRPr="00000DCC" w:rsidRDefault="00AE2373" w:rsidP="00AE2373">
      <w:pPr>
        <w:pStyle w:val="ParaNoNdepar-AltN"/>
        <w:tabs>
          <w:tab w:val="clear" w:pos="1166"/>
          <w:tab w:val="clear" w:pos="1422"/>
          <w:tab w:val="left" w:pos="1170"/>
        </w:tabs>
        <w:spacing w:before="0"/>
        <w:rPr>
          <w:rFonts w:cs="Times New Roman"/>
          <w:noProof/>
          <w:lang w:val="fr-CA"/>
        </w:rPr>
      </w:pPr>
      <w:r w:rsidRPr="00000DCC">
        <w:rPr>
          <w:rFonts w:cs="Times New Roman"/>
          <w:noProof/>
          <w:lang w:val="fr-CA"/>
        </w:rPr>
        <w:t>Avant d’expliquer comment la présomption d’application de la norme de la décision raisonnable peut être réfutée, nous estimons qu’il est souhaitable de clarifier un aspect du fondement conceptuel de cette présomption. Depuis l’arrêt</w:t>
      </w:r>
      <w:r>
        <w:rPr>
          <w:i/>
          <w:noProof/>
          <w:lang w:val="fr-CA"/>
        </w:rPr>
        <w:t xml:space="preserve"> Syndicat canadien de la Fonction publique, section locale 963 c. Société des alcools du Nouveau</w:t>
      </w:r>
      <w:r>
        <w:rPr>
          <w:i/>
          <w:noProof/>
          <w:lang w:val="fr-CA"/>
        </w:rPr>
        <w:noBreakHyphen/>
        <w:t>Brunswick</w:t>
      </w:r>
      <w:r w:rsidRPr="00E80457">
        <w:rPr>
          <w:noProof/>
          <w:lang w:val="fr-CA"/>
        </w:rPr>
        <w:t>, [1979] 2 R.C.S. 227</w:t>
      </w:r>
      <w:r w:rsidR="00A66A6F">
        <w:rPr>
          <w:noProof/>
          <w:lang w:val="fr-CA"/>
        </w:rPr>
        <w:t xml:space="preserve"> (« </w:t>
      </w:r>
      <w:r w:rsidR="00A66A6F">
        <w:rPr>
          <w:i/>
          <w:noProof/>
          <w:lang w:val="fr-CA"/>
        </w:rPr>
        <w:t>S.C.F.P.</w:t>
      </w:r>
      <w:r w:rsidR="00A66A6F">
        <w:rPr>
          <w:noProof/>
          <w:lang w:val="fr-CA"/>
        </w:rPr>
        <w:t> »)</w:t>
      </w:r>
      <w:r w:rsidRPr="00000DCC">
        <w:rPr>
          <w:rFonts w:cs="Times New Roman"/>
          <w:noProof/>
          <w:lang w:val="fr-CA"/>
        </w:rPr>
        <w:t>, la principale raison d’être de la norme de contrôle fondée sur la déférence en droit administratif est le respect du choix d’organisation institutionnelle du législateur consistant à déléguer certaines questions à des décideurs non judiciaires par voie législative :</w:t>
      </w:r>
      <w:r w:rsidRPr="00000DCC">
        <w:rPr>
          <w:rFonts w:eastAsia="Times New Roman" w:cs="Times New Roman"/>
          <w:i/>
          <w:noProof/>
          <w:szCs w:val="24"/>
          <w:lang w:val="fr-CA" w:eastAsia="en-CA"/>
        </w:rPr>
        <w:t xml:space="preserve"> </w:t>
      </w:r>
      <w:r w:rsidRPr="00000DCC">
        <w:rPr>
          <w:rFonts w:cs="Times New Roman"/>
          <w:i/>
          <w:noProof/>
          <w:lang w:val="fr-CA"/>
        </w:rPr>
        <w:t>S.C.F.P.</w:t>
      </w:r>
      <w:r w:rsidRPr="00000DCC">
        <w:rPr>
          <w:rFonts w:cs="Times New Roman"/>
          <w:noProof/>
          <w:lang w:val="fr-CA"/>
        </w:rPr>
        <w:t>, p. 235</w:t>
      </w:r>
      <w:r w:rsidRPr="00000DCC">
        <w:rPr>
          <w:rFonts w:cs="Times New Roman"/>
          <w:noProof/>
          <w:lang w:val="fr-CA"/>
        </w:rPr>
        <w:noBreakHyphen/>
        <w:t>236. Toutefois, la Cour a par la suite établi un certain nombre d’autres raisons justifiant l’application de la norme de la décision raisonnable, dont certaines ont influencé l’analyse relative à la norme de contrôle à divers moments.</w:t>
      </w:r>
    </w:p>
    <w:p w14:paraId="115E7120" w14:textId="0F61488D"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lastRenderedPageBreak/>
        <w:t>Plus précisément, la Cour a retenu que l’expertise relative du décideur administratif à l’égard des questions qui lui sont soumises est un motif justifiant l’application de la norme de la décision raisonnable :</w:t>
      </w:r>
      <w:r w:rsidRPr="00000DCC">
        <w:rPr>
          <w:rFonts w:eastAsiaTheme="minorHAnsi" w:cs="Times New Roman"/>
          <w:noProof/>
          <w:lang w:val="fr-CA" w:bidi="en-US"/>
        </w:rPr>
        <w:t xml:space="preserve"> </w:t>
      </w:r>
      <w:r w:rsidRPr="00000DCC">
        <w:rPr>
          <w:rFonts w:cs="Times New Roman"/>
          <w:noProof/>
          <w:lang w:val="fr-CA" w:bidi="en-US"/>
        </w:rPr>
        <w:t xml:space="preserve">voir, p. ex., </w:t>
      </w:r>
      <w:r w:rsidRPr="00000DCC">
        <w:rPr>
          <w:rFonts w:cs="Times New Roman"/>
          <w:i/>
          <w:noProof/>
          <w:lang w:val="fr-CA" w:bidi="en-US"/>
        </w:rPr>
        <w:t>S.C.F.P.</w:t>
      </w:r>
      <w:r w:rsidRPr="00000DCC">
        <w:rPr>
          <w:rFonts w:cs="Times New Roman"/>
          <w:noProof/>
          <w:lang w:val="fr-CA" w:bidi="en-US"/>
        </w:rPr>
        <w:t xml:space="preserve">, p. 236; </w:t>
      </w:r>
      <w:r w:rsidRPr="00000DCC">
        <w:rPr>
          <w:rFonts w:cs="Times New Roman"/>
          <w:i/>
          <w:noProof/>
          <w:lang w:val="fr-CA" w:bidi="en-US"/>
        </w:rPr>
        <w:t xml:space="preserve">Pushpanathan </w:t>
      </w:r>
      <w:r w:rsidRPr="00000DCC">
        <w:rPr>
          <w:rFonts w:cs="Times New Roman"/>
          <w:i/>
          <w:iCs/>
          <w:noProof/>
          <w:lang w:val="fr-CA"/>
        </w:rPr>
        <w:t>c.</w:t>
      </w:r>
      <w:r w:rsidRPr="00000DCC">
        <w:rPr>
          <w:rFonts w:cs="Times New Roman"/>
          <w:i/>
          <w:noProof/>
          <w:lang w:val="fr-CA"/>
        </w:rPr>
        <w:t xml:space="preserve"> Canada (Ministre de la Citoyenneté et de l’Immigration)</w:t>
      </w:r>
      <w:r w:rsidR="00C217E4">
        <w:rPr>
          <w:rFonts w:cs="Times New Roman"/>
          <w:noProof/>
          <w:lang w:val="fr-CA"/>
        </w:rPr>
        <w:t>, [1998] 1 R.C.S. </w:t>
      </w:r>
      <w:r w:rsidRPr="00000DCC">
        <w:rPr>
          <w:rFonts w:cs="Times New Roman"/>
          <w:noProof/>
          <w:lang w:val="fr-CA"/>
        </w:rPr>
        <w:t>982</w:t>
      </w:r>
      <w:r w:rsidRPr="00000DCC">
        <w:rPr>
          <w:rFonts w:cs="Times New Roman"/>
          <w:noProof/>
          <w:lang w:val="fr-CA" w:bidi="en-US"/>
        </w:rPr>
        <w:t>, par. 32</w:t>
      </w:r>
      <w:r w:rsidRPr="00000DCC">
        <w:rPr>
          <w:rFonts w:cs="Times New Roman"/>
          <w:noProof/>
          <w:lang w:val="fr-CA" w:bidi="en-US"/>
        </w:rPr>
        <w:noBreakHyphen/>
        <w:t xml:space="preserve">35; </w:t>
      </w:r>
      <w:r w:rsidRPr="00000DCC">
        <w:rPr>
          <w:rFonts w:cs="Times New Roman"/>
          <w:i/>
          <w:noProof/>
          <w:lang w:val="fr-CA"/>
        </w:rPr>
        <w:t>Pezim c. Colombie</w:t>
      </w:r>
      <w:r w:rsidRPr="00000DCC">
        <w:rPr>
          <w:rFonts w:cs="Times New Roman"/>
          <w:i/>
          <w:noProof/>
          <w:lang w:val="fr-CA"/>
        </w:rPr>
        <w:noBreakHyphen/>
        <w:t>Britannique (Superintendent of Brokers)</w:t>
      </w:r>
      <w:r w:rsidRPr="00000DCC">
        <w:rPr>
          <w:rFonts w:cs="Times New Roman"/>
          <w:noProof/>
          <w:lang w:val="fr-CA"/>
        </w:rPr>
        <w:t xml:space="preserve">, [1994] 2 R.C.S. 557, </w:t>
      </w:r>
      <w:r w:rsidRPr="00000DCC">
        <w:rPr>
          <w:rFonts w:cs="Times New Roman"/>
          <w:noProof/>
          <w:lang w:val="fr-CA" w:bidi="en-US"/>
        </w:rPr>
        <w:t>p. 591</w:t>
      </w:r>
      <w:r w:rsidRPr="00000DCC">
        <w:rPr>
          <w:rFonts w:cs="Times New Roman"/>
          <w:noProof/>
          <w:lang w:val="fr-CA" w:bidi="en-US"/>
        </w:rPr>
        <w:noBreakHyphen/>
        <w:t>592;</w:t>
      </w:r>
      <w:r w:rsidRPr="00000DCC">
        <w:rPr>
          <w:rFonts w:cs="Times New Roman"/>
          <w:noProof/>
          <w:lang w:val="fr-CA"/>
        </w:rPr>
        <w:t xml:space="preserve"> </w:t>
      </w:r>
      <w:r w:rsidRPr="00000DCC">
        <w:rPr>
          <w:rFonts w:cs="Times New Roman"/>
          <w:i/>
          <w:iCs/>
          <w:noProof/>
          <w:lang w:val="fr-CA"/>
        </w:rPr>
        <w:t>Canada (Directeur des enquêtes et recherches) c. Southam Inc.</w:t>
      </w:r>
      <w:r w:rsidRPr="00000DCC">
        <w:rPr>
          <w:rFonts w:cs="Times New Roman"/>
          <w:noProof/>
          <w:lang w:val="fr-CA"/>
        </w:rPr>
        <w:t>, [1997] 1 R.C.S. 748, par. 50</w:t>
      </w:r>
      <w:r w:rsidRPr="00000DCC">
        <w:rPr>
          <w:rFonts w:cs="Times New Roman"/>
          <w:noProof/>
          <w:lang w:val="fr-CA"/>
        </w:rPr>
        <w:noBreakHyphen/>
        <w:t xml:space="preserve">53; </w:t>
      </w:r>
      <w:r w:rsidRPr="00000DCC">
        <w:rPr>
          <w:rFonts w:cs="Times New Roman"/>
          <w:i/>
          <w:noProof/>
          <w:lang w:val="fr-CA" w:bidi="en-US"/>
        </w:rPr>
        <w:t>Dunsmuir</w:t>
      </w:r>
      <w:r w:rsidRPr="00000DCC">
        <w:rPr>
          <w:rFonts w:cs="Times New Roman"/>
          <w:noProof/>
          <w:lang w:val="fr-CA" w:bidi="en-US"/>
        </w:rPr>
        <w:t>, par. 49, citant D. J. Mullan, « Establishing the Standard of Review</w:t>
      </w:r>
      <w:r w:rsidR="00BC2F53">
        <w:rPr>
          <w:rFonts w:cs="Times New Roman"/>
          <w:noProof/>
          <w:lang w:val="fr-CA" w:bidi="en-US"/>
        </w:rPr>
        <w:t> </w:t>
      </w:r>
      <w:r w:rsidRPr="00000DCC">
        <w:rPr>
          <w:rFonts w:cs="Times New Roman"/>
          <w:noProof/>
          <w:lang w:val="fr-CA" w:bidi="en-US"/>
        </w:rPr>
        <w:t xml:space="preserve">: The Struggle for Complexity? » (2004), 17 </w:t>
      </w:r>
      <w:r w:rsidRPr="00000DCC">
        <w:rPr>
          <w:rFonts w:cs="Times New Roman"/>
          <w:i/>
          <w:noProof/>
          <w:lang w:val="fr-CA" w:bidi="en-US"/>
        </w:rPr>
        <w:t>R.</w:t>
      </w:r>
      <w:r w:rsidRPr="00000DCC">
        <w:rPr>
          <w:rFonts w:cs="Times New Roman"/>
          <w:i/>
          <w:iCs/>
          <w:noProof/>
          <w:lang w:val="fr-CA" w:bidi="en-US"/>
        </w:rPr>
        <w:t>C.D.A.P.</w:t>
      </w:r>
      <w:r w:rsidRPr="00000DCC">
        <w:rPr>
          <w:rFonts w:cs="Times New Roman"/>
          <w:noProof/>
          <w:lang w:val="fr-CA" w:bidi="en-US"/>
        </w:rPr>
        <w:t xml:space="preserve"> 59, p. 93; voir également </w:t>
      </w:r>
      <w:r w:rsidRPr="00000DCC">
        <w:rPr>
          <w:rFonts w:cs="Times New Roman"/>
          <w:i/>
          <w:noProof/>
          <w:lang w:val="fr-CA" w:bidi="en-US"/>
        </w:rPr>
        <w:t>Dunsmuir</w:t>
      </w:r>
      <w:r w:rsidRPr="00000DCC">
        <w:rPr>
          <w:rFonts w:cs="Times New Roman"/>
          <w:noProof/>
          <w:lang w:val="fr-CA" w:bidi="en-US"/>
        </w:rPr>
        <w:t xml:space="preserve">, par. 68. Mais </w:t>
      </w:r>
      <w:r w:rsidRPr="00000DCC">
        <w:rPr>
          <w:rFonts w:cs="Times New Roman"/>
          <w:noProof/>
          <w:lang w:val="fr-CA"/>
        </w:rPr>
        <w:t>la jurisprudence de la Cour a parfois souffert de profondes divisions sur l’impact de la notion d’expertise dans le contexte administratif, sur la façon dont elle devrait être appréciée et sur la manière dont elle devrait guider l’analyse relative à la norme de contrôle </w:t>
      </w:r>
      <w:r w:rsidRPr="00000DCC">
        <w:rPr>
          <w:rFonts w:cs="Times New Roman"/>
          <w:noProof/>
          <w:lang w:val="fr-CA" w:bidi="en-US"/>
        </w:rPr>
        <w:t>: voir</w:t>
      </w:r>
      <w:r w:rsidR="00FF002B">
        <w:rPr>
          <w:rFonts w:cs="Times New Roman"/>
          <w:noProof/>
          <w:lang w:val="fr-CA" w:bidi="en-US"/>
        </w:rPr>
        <w:t>,</w:t>
      </w:r>
      <w:r w:rsidRPr="00000DCC">
        <w:rPr>
          <w:rFonts w:cs="Times New Roman"/>
          <w:noProof/>
          <w:lang w:val="fr-CA" w:bidi="en-US"/>
        </w:rPr>
        <w:t xml:space="preserve"> p. ex.</w:t>
      </w:r>
      <w:r w:rsidR="00FF002B">
        <w:rPr>
          <w:rFonts w:cs="Times New Roman"/>
          <w:noProof/>
          <w:lang w:val="fr-CA" w:bidi="en-US"/>
        </w:rPr>
        <w:t>,</w:t>
      </w:r>
      <w:r w:rsidRPr="00000DCC">
        <w:rPr>
          <w:rFonts w:cs="Times New Roman"/>
          <w:noProof/>
          <w:lang w:val="fr-CA" w:bidi="en-US"/>
        </w:rPr>
        <w:t xml:space="preserve"> </w:t>
      </w:r>
      <w:r w:rsidRPr="00000DCC">
        <w:rPr>
          <w:rFonts w:cs="Times New Roman"/>
          <w:i/>
          <w:noProof/>
          <w:lang w:val="fr-CA" w:bidi="en-US"/>
        </w:rPr>
        <w:t>Khosa</w:t>
      </w:r>
      <w:r w:rsidRPr="00000DCC">
        <w:rPr>
          <w:rFonts w:cs="Times New Roman"/>
          <w:noProof/>
          <w:lang w:val="fr-CA" w:bidi="en-US"/>
        </w:rPr>
        <w:t>, par. 23</w:t>
      </w:r>
      <w:r w:rsidRPr="00000DCC">
        <w:rPr>
          <w:rFonts w:cs="Times New Roman"/>
          <w:noProof/>
          <w:lang w:val="fr-CA" w:bidi="en-US"/>
        </w:rPr>
        <w:noBreakHyphen/>
        <w:t>25, le juge Binnie au nom de la majorité, comparativement aux par. 93</w:t>
      </w:r>
      <w:r w:rsidRPr="00000DCC">
        <w:rPr>
          <w:rFonts w:cs="Times New Roman"/>
          <w:noProof/>
          <w:lang w:val="fr-CA" w:bidi="en-US"/>
        </w:rPr>
        <w:noBreakHyphen/>
        <w:t>96, le juge Rothstein</w:t>
      </w:r>
      <w:r>
        <w:rPr>
          <w:rFonts w:cs="Times New Roman"/>
          <w:noProof/>
          <w:lang w:val="fr-CA" w:bidi="en-US"/>
        </w:rPr>
        <w:t>, motifs concordants quant</w:t>
      </w:r>
      <w:r w:rsidRPr="00000DCC">
        <w:rPr>
          <w:rFonts w:cs="Times New Roman"/>
          <w:noProof/>
          <w:lang w:val="fr-CA" w:bidi="en-US"/>
        </w:rPr>
        <w:t xml:space="preserve"> au résultat; </w:t>
      </w:r>
      <w:r w:rsidRPr="00000DCC">
        <w:rPr>
          <w:rFonts w:cs="Times New Roman"/>
          <w:i/>
          <w:noProof/>
          <w:lang w:val="fr-CA" w:bidi="en-US"/>
        </w:rPr>
        <w:t>Edmonton East</w:t>
      </w:r>
      <w:r w:rsidRPr="00000DCC">
        <w:rPr>
          <w:rFonts w:cs="Times New Roman"/>
          <w:noProof/>
          <w:lang w:val="fr-CA" w:bidi="en-US"/>
        </w:rPr>
        <w:t>, par. 33, la juge Karakatsanis au nom de la majorité, comparativement aux par. 81</w:t>
      </w:r>
      <w:r w:rsidRPr="00000DCC">
        <w:rPr>
          <w:rFonts w:cs="Times New Roman"/>
          <w:noProof/>
          <w:lang w:val="fr-CA" w:bidi="en-US"/>
        </w:rPr>
        <w:noBreakHyphen/>
        <w:t>86, les juges Côté et Brown, dissidents.</w:t>
      </w:r>
      <w:r w:rsidRPr="00000DCC">
        <w:rPr>
          <w:rFonts w:cs="Times New Roman"/>
          <w:noProof/>
          <w:lang w:val="fr-CA"/>
        </w:rPr>
        <w:t xml:space="preserve"> À l’ère de ce que l’on appelait l’approche « pragmatique et fonctionnelle », énoncée pour la première fois dans l’arrêt </w:t>
      </w:r>
      <w:r w:rsidRPr="00000DCC">
        <w:rPr>
          <w:rFonts w:cs="Times New Roman"/>
          <w:i/>
          <w:noProof/>
          <w:lang w:val="fr-CA"/>
        </w:rPr>
        <w:t>Bibeault</w:t>
      </w:r>
      <w:r w:rsidRPr="00000DCC">
        <w:rPr>
          <w:rFonts w:cs="Times New Roman"/>
          <w:noProof/>
          <w:lang w:val="fr-CA"/>
        </w:rPr>
        <w:t xml:space="preserve">, l’expertise du décideur par rapport à celle de la cour de révision constituait l’un des principaux facteurs contextuels censés indiquer l’intention du législateur concernant la norme de contrôle, mais l’expertise relative du décideur n’était pas présumée. La question de savoir si le décideur avait une plus grande expertise que la cour de révision était plutôt appréciée en fonction de la question précise en litige et d’une analyse contextuelle pouvant incorporer des facteurs comme les compétences des membres de l’organisme administratif, leur expérience dans un domaine particulier et leur participation à l’élaboration des politiques : voir, p. ex., </w:t>
      </w:r>
      <w:r w:rsidRPr="00000DCC">
        <w:rPr>
          <w:rFonts w:cs="Times New Roman"/>
          <w:i/>
          <w:noProof/>
          <w:lang w:val="fr-CA"/>
        </w:rPr>
        <w:t>Pezim</w:t>
      </w:r>
      <w:r w:rsidRPr="00000DCC">
        <w:rPr>
          <w:rFonts w:cs="Times New Roman"/>
          <w:noProof/>
          <w:lang w:val="fr-CA"/>
        </w:rPr>
        <w:t>,</w:t>
      </w:r>
      <w:r w:rsidRPr="00000DCC">
        <w:rPr>
          <w:rFonts w:cs="Times New Roman"/>
          <w:i/>
          <w:noProof/>
          <w:lang w:val="fr-CA"/>
        </w:rPr>
        <w:t xml:space="preserve"> </w:t>
      </w:r>
      <w:r w:rsidRPr="00000DCC">
        <w:rPr>
          <w:rFonts w:cs="Times New Roman"/>
          <w:noProof/>
          <w:lang w:val="fr-CA"/>
        </w:rPr>
        <w:t>p. 591</w:t>
      </w:r>
      <w:r w:rsidRPr="00000DCC">
        <w:rPr>
          <w:rFonts w:cs="Times New Roman"/>
          <w:noProof/>
          <w:lang w:val="fr-CA"/>
        </w:rPr>
        <w:noBreakHyphen/>
        <w:t>592;</w:t>
      </w:r>
      <w:r w:rsidRPr="00000DCC">
        <w:rPr>
          <w:rFonts w:cs="Times New Roman"/>
          <w:i/>
          <w:noProof/>
          <w:lang w:val="fr-CA"/>
        </w:rPr>
        <w:t xml:space="preserve"> Southam</w:t>
      </w:r>
      <w:r w:rsidRPr="00000DCC">
        <w:rPr>
          <w:rFonts w:cs="Times New Roman"/>
          <w:noProof/>
          <w:lang w:val="fr-CA"/>
        </w:rPr>
        <w:t>, par. 50</w:t>
      </w:r>
      <w:r w:rsidRPr="00000DCC">
        <w:rPr>
          <w:rFonts w:cs="Times New Roman"/>
          <w:noProof/>
          <w:lang w:val="fr-CA"/>
        </w:rPr>
        <w:noBreakHyphen/>
        <w:t xml:space="preserve">53; </w:t>
      </w:r>
      <w:r w:rsidRPr="00000DCC">
        <w:rPr>
          <w:rFonts w:cs="Times New Roman"/>
          <w:i/>
          <w:iCs/>
          <w:noProof/>
          <w:lang w:val="fr-CA"/>
        </w:rPr>
        <w:t xml:space="preserve">Dr Q </w:t>
      </w:r>
      <w:r w:rsidRPr="00000DCC">
        <w:rPr>
          <w:rFonts w:cs="Times New Roman"/>
          <w:i/>
          <w:iCs/>
          <w:noProof/>
          <w:lang w:val="fr-CA"/>
        </w:rPr>
        <w:lastRenderedPageBreak/>
        <w:t>c. College of Physicians and Surgeons of British Columbia</w:t>
      </w:r>
      <w:r w:rsidRPr="00000DCC">
        <w:rPr>
          <w:rFonts w:cs="Times New Roman"/>
          <w:noProof/>
          <w:lang w:val="fr-CA"/>
        </w:rPr>
        <w:t>, 2003 CSC 19, [2003] 1 R.C.S. 226, par. 28</w:t>
      </w:r>
      <w:r w:rsidRPr="00000DCC">
        <w:rPr>
          <w:rFonts w:cs="Times New Roman"/>
          <w:noProof/>
          <w:lang w:val="fr-CA"/>
        </w:rPr>
        <w:noBreakHyphen/>
        <w:t xml:space="preserve">29; </w:t>
      </w:r>
      <w:r w:rsidRPr="00000DCC">
        <w:rPr>
          <w:rFonts w:cs="Times New Roman"/>
          <w:i/>
          <w:noProof/>
          <w:lang w:val="fr-CA"/>
        </w:rPr>
        <w:t>Canada (Sous</w:t>
      </w:r>
      <w:r w:rsidRPr="00000DCC">
        <w:rPr>
          <w:rFonts w:cs="Times New Roman"/>
          <w:i/>
          <w:noProof/>
          <w:lang w:val="fr-CA"/>
        </w:rPr>
        <w:noBreakHyphen/>
        <w:t>ministre du Revenu national) c. Mattel Canada Inc.</w:t>
      </w:r>
      <w:r w:rsidRPr="00000DCC">
        <w:rPr>
          <w:rFonts w:cs="Times New Roman"/>
          <w:noProof/>
          <w:lang w:val="fr-CA"/>
        </w:rPr>
        <w:t>, 2001 CSC 36, [2001] 2 R.C.S. 100, par. 28</w:t>
      </w:r>
      <w:r w:rsidRPr="00000DCC">
        <w:rPr>
          <w:rFonts w:cs="Times New Roman"/>
          <w:noProof/>
          <w:lang w:val="fr-CA"/>
        </w:rPr>
        <w:noBreakHyphen/>
        <w:t xml:space="preserve">32; </w:t>
      </w:r>
      <w:r w:rsidRPr="00000DCC">
        <w:rPr>
          <w:rFonts w:cs="Times New Roman"/>
          <w:i/>
          <w:noProof/>
          <w:lang w:val="fr-CA"/>
        </w:rPr>
        <w:t>Moreau</w:t>
      </w:r>
      <w:r w:rsidRPr="00000DCC">
        <w:rPr>
          <w:rFonts w:cs="Times New Roman"/>
          <w:i/>
          <w:noProof/>
          <w:lang w:val="fr-CA"/>
        </w:rPr>
        <w:noBreakHyphen/>
        <w:t>Bérubé c. Nouveau</w:t>
      </w:r>
      <w:r w:rsidRPr="00000DCC">
        <w:rPr>
          <w:rFonts w:cs="Times New Roman"/>
          <w:i/>
          <w:noProof/>
          <w:lang w:val="fr-CA"/>
        </w:rPr>
        <w:noBreakHyphen/>
        <w:t>Brunswick (Conseil de la magistrature)</w:t>
      </w:r>
      <w:r w:rsidRPr="00000DCC">
        <w:rPr>
          <w:rFonts w:cs="Times New Roman"/>
          <w:noProof/>
          <w:lang w:val="fr-CA"/>
        </w:rPr>
        <w:t>, 2002 CSC 11, [2002] 1 R.C.S. 249, par. 50.</w:t>
      </w:r>
    </w:p>
    <w:p w14:paraId="6F26976A"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Malheureusement, l’analyse contextuelle s’est révélée complexe et d’utilité limitée pour donner une orientation pratique aux cours de justice qui tentent d’évaluer l’expertise relative du décideur administratif. Plus récemment, la méthode prédominante adoptée par notre Cour a consisté à reconnaître que l’expertise est simplement inhérente à un organisme administratif en raison des fonctions spécialisées que lui a confiées le législateur : </w:t>
      </w:r>
      <w:r w:rsidRPr="00000DCC">
        <w:rPr>
          <w:rFonts w:cs="Times New Roman"/>
          <w:i/>
          <w:noProof/>
          <w:lang w:val="fr-CA"/>
        </w:rPr>
        <w:t>Edmonton East</w:t>
      </w:r>
      <w:r w:rsidRPr="00000DCC">
        <w:rPr>
          <w:rFonts w:cs="Times New Roman"/>
          <w:noProof/>
          <w:lang w:val="fr-CA"/>
        </w:rPr>
        <w:t>, par. 33. Or, s’il est dorénavant tenu pour acquis que le décideur administratif possède une expertise spécialisée en ce qui concerne l’ensemble des questions dont il est saisi, la notion d’expertise n’aide plus la cour de révision à distinguer les questions qui commandent l’application de la norme de la décision raisonnable de celles qui ne la commandent pas.</w:t>
      </w:r>
    </w:p>
    <w:p w14:paraId="368B9F97"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Bien sûr, le rôle spécialisé du décideur administratif qui permet à celui</w:t>
      </w:r>
      <w:r w:rsidRPr="00000DCC">
        <w:rPr>
          <w:rFonts w:cs="Times New Roman"/>
          <w:noProof/>
          <w:lang w:val="fr-CA"/>
        </w:rPr>
        <w:noBreakHyphen/>
        <w:t xml:space="preserve">ci d’approfondir son expertise et son expérience institutionnelle n’est pas la seule raison pour laquelle le législateur peut choisir de lui déléguer un pouvoir décisionnel. Au fil des ans, la Cour a ainsi souligné plusieurs autres raisons convaincantes justifiant la délégation de l’administration d’un régime législatif à un décideur en particulier. Mentionnons la proximité des décideurs et des parties intéressées ainsi que la réceptivité envers ces dernières; la capacité des décideurs de trancher de manière </w:t>
      </w:r>
      <w:r w:rsidRPr="00000DCC">
        <w:rPr>
          <w:rFonts w:cs="Times New Roman"/>
          <w:noProof/>
          <w:lang w:val="fr-CA"/>
        </w:rPr>
        <w:lastRenderedPageBreak/>
        <w:t>rapide, souple et efficace; et leur faculté d’alléger et de simplifier la procédure pour favoriser ainsi l’accès à la justice.</w:t>
      </w:r>
    </w:p>
    <w:p w14:paraId="257634DB" w14:textId="2B253955"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bidi="en-US"/>
        </w:rPr>
        <w:t xml:space="preserve">Si l’expertise spécialisée et ces autres considérations peuvent toutes justifier la délégation du pouvoir décisionnel, une cour de révision n’est pas tenue d’établir laquelle de ces considérations s’applique dans le cas d’un décideur donné afin de déterminer la norme de contrôle applicable. Nous sommes plutôt d’avis que c’est </w:t>
      </w:r>
      <w:r w:rsidRPr="00000DCC">
        <w:rPr>
          <w:rFonts w:cs="Times New Roman"/>
          <w:i/>
          <w:noProof/>
          <w:lang w:val="fr-CA" w:bidi="en-US"/>
        </w:rPr>
        <w:t xml:space="preserve">le fait même </w:t>
      </w:r>
      <w:r w:rsidRPr="00000DCC">
        <w:rPr>
          <w:rFonts w:cs="Times New Roman"/>
          <w:noProof/>
          <w:lang w:val="fr-CA" w:bidi="en-US"/>
        </w:rPr>
        <w:t xml:space="preserve">que le législateur choisit de déléguer le pouvoir décisionnel qui justifie l’application par défaut de la norme de la décision raisonnable. La Cour a de fait déjà reconnu ce fondement de l’application de la norme de la décision raisonnable aux décisions administratives. Dans l’arrêt </w:t>
      </w:r>
      <w:r w:rsidRPr="00000DCC">
        <w:rPr>
          <w:rFonts w:cs="Times New Roman"/>
          <w:i/>
          <w:noProof/>
          <w:lang w:val="fr-CA" w:bidi="en-US"/>
        </w:rPr>
        <w:t>Khosa</w:t>
      </w:r>
      <w:r w:rsidRPr="00000DCC">
        <w:rPr>
          <w:rFonts w:cs="Times New Roman"/>
          <w:noProof/>
          <w:lang w:val="fr-CA" w:bidi="en-US"/>
        </w:rPr>
        <w:t xml:space="preserve">, par exemple, les juges majoritaires ont interprété l’arrêt </w:t>
      </w:r>
      <w:r w:rsidRPr="00000DCC">
        <w:rPr>
          <w:rFonts w:cs="Times New Roman"/>
          <w:i/>
          <w:noProof/>
          <w:lang w:val="fr-CA" w:bidi="en-US"/>
        </w:rPr>
        <w:t>Dunsmuir</w:t>
      </w:r>
      <w:r w:rsidRPr="00000DCC">
        <w:rPr>
          <w:rFonts w:cs="Times New Roman"/>
          <w:noProof/>
          <w:lang w:val="fr-CA" w:bidi="en-US"/>
        </w:rPr>
        <w:t xml:space="preserve"> comme appuyant la proposition selon laquelle, « </w:t>
      </w:r>
      <w:r w:rsidRPr="00000DCC">
        <w:rPr>
          <w:rFonts w:cs="Times New Roman"/>
          <w:noProof/>
          <w:lang w:val="fr-CA"/>
        </w:rPr>
        <w:t xml:space="preserve">sans égard à l’existence d’une clause privative, il est maintenant admis qu’une certaine déférence s’impose lorsqu’une décision particulière a été confiée à un décideur administratif plutôt qu’aux tribunaux judiciaires » : par. 25. Plus récemment, dans l’arrêt </w:t>
      </w:r>
      <w:r w:rsidRPr="00000DCC">
        <w:rPr>
          <w:rFonts w:cs="Times New Roman"/>
          <w:i/>
          <w:noProof/>
          <w:lang w:val="fr-CA"/>
        </w:rPr>
        <w:t>Edmonton East</w:t>
      </w:r>
      <w:r w:rsidRPr="00000DCC">
        <w:rPr>
          <w:rFonts w:cs="Times New Roman"/>
          <w:noProof/>
          <w:lang w:val="fr-CA"/>
        </w:rPr>
        <w:t>, la juge Karakatsanis a expliqué que la présomption de contrôle judiciaire selon la norme de la décision raisonnable « respecte le principe de la suprématie législative et la décision de déléguer le pouvoir décisionnel à un tribunal administratif plutôt qu’aux cours de justice » : par. 22.</w:t>
      </w:r>
      <w:r w:rsidRPr="00A07225">
        <w:rPr>
          <w:rFonts w:cs="Times New Roman"/>
          <w:noProof/>
          <w:lang w:val="fr-CA"/>
        </w:rPr>
        <w:t xml:space="preserve"> </w:t>
      </w:r>
      <w:r w:rsidRPr="00000DCC">
        <w:rPr>
          <w:rFonts w:cs="Times New Roman"/>
          <w:noProof/>
          <w:lang w:val="fr-CA"/>
        </w:rPr>
        <w:t xml:space="preserve">Qui plus est, dans l’arrêt </w:t>
      </w:r>
      <w:r w:rsidRPr="00000DCC">
        <w:rPr>
          <w:rFonts w:cs="Times New Roman"/>
          <w:i/>
          <w:noProof/>
          <w:lang w:val="fr-CA"/>
        </w:rPr>
        <w:t>CCDP</w:t>
      </w:r>
      <w:r w:rsidRPr="00000DCC">
        <w:rPr>
          <w:rFonts w:cs="Times New Roman"/>
          <w:noProof/>
          <w:lang w:val="fr-CA"/>
        </w:rPr>
        <w:t>,</w:t>
      </w:r>
      <w:r w:rsidRPr="00000DCC">
        <w:rPr>
          <w:rFonts w:cs="Times New Roman"/>
          <w:i/>
          <w:noProof/>
          <w:lang w:val="fr-CA"/>
        </w:rPr>
        <w:t xml:space="preserve"> </w:t>
      </w:r>
      <w:r w:rsidRPr="00000DCC">
        <w:rPr>
          <w:rFonts w:cs="Times New Roman"/>
          <w:noProof/>
          <w:lang w:val="fr-CA"/>
        </w:rPr>
        <w:t>le juge Gascon a précisé que « le fait que le législateur a confié certains pouvoirs à un décideur administratif plutôt qu’aux tribunaux judiciaires porte à croire qu’il avait l’intention que la déférence s’impose » : par. 50.</w:t>
      </w:r>
      <w:r w:rsidRPr="00000DCC">
        <w:rPr>
          <w:rFonts w:cs="Times New Roman"/>
          <w:noProof/>
          <w:lang w:val="fr-CA" w:bidi="en-US"/>
        </w:rPr>
        <w:t xml:space="preserve"> Autrement dit, la présomption d’application de la norme de la décision raisonnable se justifie à la fois par le respect de ce choix en matière d’organisation institutionnelle et du principe démocratique, ainsi que par la nécessité </w:t>
      </w:r>
      <w:r w:rsidRPr="00000DCC">
        <w:rPr>
          <w:rFonts w:cs="Times New Roman"/>
          <w:noProof/>
          <w:lang w:val="fr-CA" w:bidi="en-US"/>
        </w:rPr>
        <w:lastRenderedPageBreak/>
        <w:t>que les cours de justice évitent « toute immixtion injustifiée » dans l’exercice par le décideur</w:t>
      </w:r>
      <w:r w:rsidR="00BC2F53">
        <w:rPr>
          <w:rFonts w:cs="Times New Roman"/>
          <w:noProof/>
          <w:lang w:val="fr-CA" w:bidi="en-US"/>
        </w:rPr>
        <w:t xml:space="preserve"> administratif de ses fonctions </w:t>
      </w:r>
      <w:r w:rsidRPr="00000DCC">
        <w:rPr>
          <w:rFonts w:cs="Times New Roman"/>
          <w:noProof/>
          <w:lang w:val="fr-CA" w:bidi="en-US"/>
        </w:rPr>
        <w:t xml:space="preserve">: </w:t>
      </w:r>
      <w:r w:rsidRPr="00000DCC">
        <w:rPr>
          <w:rFonts w:cs="Times New Roman"/>
          <w:i/>
          <w:noProof/>
          <w:lang w:val="fr-CA" w:bidi="en-US"/>
        </w:rPr>
        <w:t>Dunsmuir</w:t>
      </w:r>
      <w:r w:rsidRPr="00000DCC">
        <w:rPr>
          <w:rFonts w:cs="Times New Roman"/>
          <w:noProof/>
          <w:lang w:val="fr-CA" w:bidi="en-US"/>
        </w:rPr>
        <w:t>, par. 27</w:t>
      </w:r>
      <w:r w:rsidRPr="00000DCC">
        <w:rPr>
          <w:rFonts w:cs="Times New Roman"/>
          <w:noProof/>
          <w:lang w:val="fr-CA"/>
        </w:rPr>
        <w:t>.</w:t>
      </w:r>
    </w:p>
    <w:p w14:paraId="42D67699"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lang w:val="fr-CA"/>
        </w:rPr>
        <w:t>Puisque nous retenons dans les présents motifs la présomption d’application de la norme de la décision raisonnable en tant que point de départ, nous tenons à préciser que l’expertise n’est plus pertinente pour déterminer la norme de contrôle applicable, comme c’était le cas dans l’analyse contextuelle. Nous n’enlevons toutefois pas à l’expertise la place qu’elle occupe dans le processus décisionnel administratif. Cette considération est tout simplement incorporée au nouveau point de départ et, comme nous l’expliquons plus loin, l’expertise demeure pertinente lors de l’exercice du contrôle judiciaire selon la norme de la décision raisonnable.</w:t>
      </w:r>
    </w:p>
    <w:p w14:paraId="38909889"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Cela dit, notre position de départ voulant que la norme de contrôle applicable soit celle de la décision raisonnable n’est pas inconciliable avec la primauté du droit. Puisque cette approche repose sur le respect du choix fait par le législateur, les cours de justice doivent aussi donner effet aux indications expresses de ce dernier sur l’application d’une norme de contrôle différente. De la même manière, la cour de révision doit être prête à déroger à la présomption d’application de la norme de la décision raisonnable dans les cas où le respect de la primauté du droit exige une réponse unique, décisive et définitive à la question dont elle est saisie. Nous examinons chacune de ces situations à tour de rôle.</w:t>
      </w:r>
    </w:p>
    <w:p w14:paraId="1E388827" w14:textId="77777777" w:rsidR="00AE2373" w:rsidRPr="00000DCC" w:rsidRDefault="00AE2373" w:rsidP="00AE2373">
      <w:pPr>
        <w:pStyle w:val="Title2LevelTitre2Niveau"/>
        <w:tabs>
          <w:tab w:val="left" w:pos="1560"/>
        </w:tabs>
        <w:spacing w:before="0"/>
        <w:rPr>
          <w:rFonts w:cs="Times New Roman"/>
          <w:noProof/>
          <w:lang w:val="fr-CA"/>
        </w:rPr>
      </w:pPr>
      <w:r w:rsidRPr="00000DCC">
        <w:rPr>
          <w:rFonts w:cs="Times New Roman"/>
          <w:noProof/>
          <w:lang w:val="fr-CA"/>
        </w:rPr>
        <w:t>La dérogation à la présomption d’application de la norme de la décision raisonnable compte tenu de l’intention du législateur</w:t>
      </w:r>
    </w:p>
    <w:p w14:paraId="79CC0579" w14:textId="77777777" w:rsidR="00AE2373" w:rsidRPr="00000DCC" w:rsidRDefault="00AE2373" w:rsidP="00AE2373">
      <w:pPr>
        <w:pStyle w:val="ParaNoNdepar-AltN"/>
        <w:tabs>
          <w:tab w:val="clear" w:pos="1166"/>
          <w:tab w:val="clear" w:pos="1422"/>
          <w:tab w:val="num" w:pos="1170"/>
        </w:tabs>
        <w:spacing w:before="0"/>
        <w:rPr>
          <w:rFonts w:cs="Times New Roman"/>
          <w:noProof/>
          <w:lang w:val="fr-CA" w:bidi="en-US"/>
        </w:rPr>
      </w:pPr>
      <w:r w:rsidRPr="00000DCC">
        <w:rPr>
          <w:rFonts w:cs="Times New Roman"/>
          <w:noProof/>
          <w:lang w:val="fr-CA" w:bidi="en-US"/>
        </w:rPr>
        <w:lastRenderedPageBreak/>
        <w:t xml:space="preserve">La Cour a écrit que le respect de l’intention du législateur « doit nous guider » en matière de contrôle judiciaire : </w:t>
      </w:r>
      <w:r w:rsidRPr="00000DCC">
        <w:rPr>
          <w:rFonts w:cs="Times New Roman"/>
          <w:i/>
          <w:noProof/>
          <w:lang w:val="fr-CA" w:bidi="en-US"/>
        </w:rPr>
        <w:t>S.C.F.P. c. Ontario (Ministre du Travail)</w:t>
      </w:r>
      <w:r w:rsidRPr="00000DCC">
        <w:rPr>
          <w:rFonts w:cs="Times New Roman"/>
          <w:noProof/>
          <w:lang w:val="fr-CA" w:bidi="en-US"/>
        </w:rPr>
        <w:t>, 2003 CSC 29, [2003] 1 R.C.S. 539, par. 149. Cette position demeure pertinente. La présomption relative à l’application de la norme de la décision raisonnable décrite ci</w:t>
      </w:r>
      <w:r w:rsidRPr="00000DCC">
        <w:rPr>
          <w:rFonts w:cs="Times New Roman"/>
          <w:noProof/>
          <w:lang w:val="fr-CA" w:bidi="en-US"/>
        </w:rPr>
        <w:noBreakHyphen/>
        <w:t>dessus a pour objet de donner effet à la volonté du législateur de s’en remettre, pour certaines choses, à un décideur administratif plutôt qu’aux cours de justice. Cette présomption peut donc être réfutée si le législateur prévoit l’application d’une norme de contrôle différente, ce qu’il peut faire de deux façons. Premièrement, le législateur peut prescrire expressément, dans une loi, la norme de contrôle applicable aux décisions d’un décideur administratif en particulier. Deuxièmement, le législateur peut indiquer qu’une dérogation à la présomption de contrôle selon la norme de la décision raisonnable est de mise en prévoyant un mécanisme d’appel à l’encontre d’un décideur administratif devant une cour de justice,</w:t>
      </w:r>
      <w:r w:rsidRPr="00000DCC">
        <w:rPr>
          <w:rFonts w:eastAsiaTheme="minorHAnsi" w:cs="Times New Roman"/>
          <w:noProof/>
          <w:lang w:val="fr-CA" w:bidi="en-US"/>
        </w:rPr>
        <w:t xml:space="preserve"> ce qui dénote que les </w:t>
      </w:r>
      <w:r w:rsidRPr="00000DCC">
        <w:rPr>
          <w:rFonts w:cs="Times New Roman"/>
          <w:noProof/>
          <w:lang w:val="fr-CA" w:bidi="en-US"/>
        </w:rPr>
        <w:t xml:space="preserve">normes générales </w:t>
      </w:r>
      <w:r>
        <w:rPr>
          <w:rFonts w:cs="Times New Roman"/>
          <w:noProof/>
          <w:lang w:val="fr-CA" w:bidi="en-US"/>
        </w:rPr>
        <w:t>en matière d’</w:t>
      </w:r>
      <w:r w:rsidRPr="00000DCC">
        <w:rPr>
          <w:rFonts w:cs="Times New Roman"/>
          <w:noProof/>
          <w:lang w:val="fr-CA" w:bidi="en-US"/>
        </w:rPr>
        <w:t>appel trouvent application.</w:t>
      </w:r>
    </w:p>
    <w:p w14:paraId="22FAF3D6" w14:textId="77777777" w:rsidR="00AE2373" w:rsidRPr="00000DCC" w:rsidRDefault="00AE2373" w:rsidP="00AE2373">
      <w:pPr>
        <w:pStyle w:val="Title3LevelTitre3Niveau"/>
        <w:tabs>
          <w:tab w:val="left" w:pos="1560"/>
        </w:tabs>
        <w:jc w:val="left"/>
        <w:rPr>
          <w:rFonts w:cs="Times New Roman"/>
          <w:noProof/>
          <w:lang w:val="fr-CA"/>
        </w:rPr>
      </w:pPr>
      <w:r w:rsidRPr="00000DCC">
        <w:rPr>
          <w:rFonts w:cs="Times New Roman"/>
          <w:noProof/>
          <w:lang w:val="fr-CA"/>
        </w:rPr>
        <w:t>Les normes de contrôle établies par voie législative</w:t>
      </w:r>
    </w:p>
    <w:p w14:paraId="10691C68" w14:textId="0F70412E"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bidi="en-US"/>
        </w:rPr>
        <w:t xml:space="preserve">Tout cadre d’analyse fondé sur l’intention du législateur doit respecter, dans la mesure du possible, les dispositions législatives claires qui prescrivent la norme de contrôle applicable. Notre Cour a régulièrement affirmé qu’il faut donner effet aux normes de contrôle prescrites par la loi : voir, p. ex., </w:t>
      </w:r>
      <w:r w:rsidRPr="00000DCC">
        <w:rPr>
          <w:rFonts w:cs="Times New Roman"/>
          <w:i/>
          <w:noProof/>
          <w:lang w:val="fr-CA" w:bidi="en-US"/>
        </w:rPr>
        <w:t>R. c. Owen</w:t>
      </w:r>
      <w:r w:rsidRPr="00000DCC">
        <w:rPr>
          <w:rFonts w:cs="Times New Roman"/>
          <w:noProof/>
          <w:lang w:val="fr-CA" w:bidi="en-US"/>
        </w:rPr>
        <w:t>, 2003 CSC 33, [2003] 1 R.C.S. 779, par. 31</w:t>
      </w:r>
      <w:r w:rsidRPr="00000DCC">
        <w:rPr>
          <w:rFonts w:cs="Times New Roman"/>
          <w:noProof/>
          <w:lang w:val="fr-CA" w:bidi="en-US"/>
        </w:rPr>
        <w:noBreakHyphen/>
        <w:t xml:space="preserve">32; </w:t>
      </w:r>
      <w:r w:rsidRPr="00000DCC">
        <w:rPr>
          <w:rFonts w:cs="Times New Roman"/>
          <w:i/>
          <w:noProof/>
          <w:lang w:val="fr-CA" w:bidi="en-US"/>
        </w:rPr>
        <w:t>Khosa</w:t>
      </w:r>
      <w:r w:rsidRPr="00000DCC">
        <w:rPr>
          <w:rFonts w:cs="Times New Roman"/>
          <w:noProof/>
          <w:lang w:val="fr-CA" w:bidi="en-US"/>
        </w:rPr>
        <w:t>, par. 18</w:t>
      </w:r>
      <w:r w:rsidRPr="00000DCC">
        <w:rPr>
          <w:rFonts w:cs="Times New Roman"/>
          <w:noProof/>
          <w:lang w:val="fr-CA" w:bidi="en-US"/>
        </w:rPr>
        <w:noBreakHyphen/>
        <w:t xml:space="preserve">19; </w:t>
      </w:r>
      <w:r w:rsidRPr="00000DCC">
        <w:rPr>
          <w:rFonts w:cs="Times New Roman"/>
          <w:i/>
          <w:noProof/>
          <w:lang w:val="fr-CA" w:bidi="en-US"/>
        </w:rPr>
        <w:t>Colombie</w:t>
      </w:r>
      <w:r w:rsidRPr="00000DCC">
        <w:rPr>
          <w:rFonts w:cs="Times New Roman"/>
          <w:i/>
          <w:noProof/>
          <w:lang w:val="fr-CA" w:bidi="en-US"/>
        </w:rPr>
        <w:noBreakHyphen/>
        <w:t>Britannique (Workers’ Compensation Board) c. Figliola</w:t>
      </w:r>
      <w:r w:rsidRPr="00000DCC">
        <w:rPr>
          <w:rFonts w:cs="Times New Roman"/>
          <w:noProof/>
          <w:lang w:val="fr-CA" w:bidi="en-US"/>
        </w:rPr>
        <w:t xml:space="preserve">, 2011 CSC 52, [2011] 3 R.C.S. 422, par. 20; </w:t>
      </w:r>
      <w:r w:rsidRPr="00000DCC">
        <w:rPr>
          <w:rFonts w:cs="Times New Roman"/>
          <w:i/>
          <w:noProof/>
          <w:lang w:val="fr-CA" w:bidi="en-US"/>
        </w:rPr>
        <w:t>Moore c. Colombie</w:t>
      </w:r>
      <w:r w:rsidRPr="00000DCC">
        <w:rPr>
          <w:rFonts w:cs="Times New Roman"/>
          <w:i/>
          <w:noProof/>
          <w:lang w:val="fr-CA" w:bidi="en-US"/>
        </w:rPr>
        <w:noBreakHyphen/>
        <w:t>Britannique (Éducation)</w:t>
      </w:r>
      <w:r>
        <w:rPr>
          <w:rFonts w:cs="Times New Roman"/>
          <w:noProof/>
          <w:lang w:val="fr-CA" w:bidi="en-US"/>
        </w:rPr>
        <w:t>, 2012</w:t>
      </w:r>
      <w:r w:rsidRPr="00000DCC">
        <w:rPr>
          <w:rFonts w:cs="Times New Roman"/>
          <w:noProof/>
          <w:lang w:val="fr-CA" w:bidi="en-US"/>
        </w:rPr>
        <w:t xml:space="preserve"> CSC 61, [2012] 3 R.C.S. 360, par. 55; </w:t>
      </w:r>
      <w:r w:rsidRPr="00000DCC">
        <w:rPr>
          <w:rFonts w:cs="Times New Roman"/>
          <w:i/>
          <w:noProof/>
          <w:lang w:val="fr-CA" w:bidi="en-US"/>
        </w:rPr>
        <w:t>McCormick c. Fasken Martineau DuMoulin S.E.N.C.</w:t>
      </w:r>
      <w:r w:rsidR="00B411BD">
        <w:rPr>
          <w:rFonts w:cs="Times New Roman"/>
          <w:i/>
          <w:noProof/>
          <w:lang w:val="fr-CA" w:bidi="en-US"/>
        </w:rPr>
        <w:t>R</w:t>
      </w:r>
      <w:r w:rsidRPr="00000DCC">
        <w:rPr>
          <w:rFonts w:cs="Times New Roman"/>
          <w:i/>
          <w:noProof/>
          <w:lang w:val="fr-CA" w:bidi="en-US"/>
        </w:rPr>
        <w:t>.</w:t>
      </w:r>
      <w:r w:rsidR="00B411BD">
        <w:rPr>
          <w:rFonts w:cs="Times New Roman"/>
          <w:i/>
          <w:noProof/>
          <w:lang w:val="fr-CA" w:bidi="en-US"/>
        </w:rPr>
        <w:t>L</w:t>
      </w:r>
      <w:r w:rsidRPr="00000DCC">
        <w:rPr>
          <w:rFonts w:cs="Times New Roman"/>
          <w:i/>
          <w:noProof/>
          <w:lang w:val="fr-CA" w:bidi="en-US"/>
        </w:rPr>
        <w:t>./s.r.l.</w:t>
      </w:r>
      <w:r w:rsidRPr="00000DCC">
        <w:rPr>
          <w:rFonts w:cs="Times New Roman"/>
          <w:noProof/>
          <w:lang w:val="fr-CA" w:bidi="en-US"/>
        </w:rPr>
        <w:t xml:space="preserve">, 2014 CSC 39, [2014] </w:t>
      </w:r>
      <w:r w:rsidRPr="00000DCC">
        <w:rPr>
          <w:rFonts w:cs="Times New Roman"/>
          <w:noProof/>
          <w:lang w:val="fr-CA" w:bidi="en-US"/>
        </w:rPr>
        <w:lastRenderedPageBreak/>
        <w:t xml:space="preserve">2 R.C.S. 108, par. 16; </w:t>
      </w:r>
      <w:r w:rsidRPr="00000DCC">
        <w:rPr>
          <w:rFonts w:cs="Times New Roman"/>
          <w:i/>
          <w:noProof/>
          <w:lang w:val="fr-CA" w:bidi="en-US"/>
        </w:rPr>
        <w:t>Colombie</w:t>
      </w:r>
      <w:r w:rsidRPr="00000DCC">
        <w:rPr>
          <w:rFonts w:cs="Times New Roman"/>
          <w:i/>
          <w:noProof/>
          <w:lang w:val="fr-CA" w:bidi="en-US"/>
        </w:rPr>
        <w:noBreakHyphen/>
        <w:t>Britannique (Workers’ Compensation Appeal Tribunal) c. Fraser Health Authority</w:t>
      </w:r>
      <w:r w:rsidRPr="00000DCC">
        <w:rPr>
          <w:rFonts w:cs="Times New Roman"/>
          <w:noProof/>
          <w:lang w:val="fr-CA" w:bidi="en-US"/>
        </w:rPr>
        <w:t xml:space="preserve">, 2016 CSC 25, [2016] 1 R.C.S. 587, par. 8 et 29; </w:t>
      </w:r>
      <w:r w:rsidRPr="00000DCC">
        <w:rPr>
          <w:rFonts w:cs="Times New Roman"/>
          <w:i/>
          <w:noProof/>
          <w:lang w:val="fr-CA" w:bidi="en-US"/>
        </w:rPr>
        <w:t>British Columbia Human Rights Tribunal c. Schrenk</w:t>
      </w:r>
      <w:r w:rsidRPr="00000DCC">
        <w:rPr>
          <w:rFonts w:cs="Times New Roman"/>
          <w:noProof/>
          <w:lang w:val="fr-CA" w:bidi="en-US"/>
        </w:rPr>
        <w:t>, 2017 CSC 62, [2017] 2 R.C.S. 795, par. 28</w:t>
      </w:r>
      <w:r w:rsidRPr="00000DCC">
        <w:rPr>
          <w:rFonts w:cs="Times New Roman"/>
          <w:noProof/>
          <w:lang w:val="fr-CA"/>
        </w:rPr>
        <w:t>.</w:t>
      </w:r>
    </w:p>
    <w:p w14:paraId="2B737615"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bidi="en-US"/>
        </w:rPr>
        <w:t>Ainsi, lorsque le législateur indique que les cours de justice ont l’obligation d’appliquer la norme de la décision correcte lors du contrôle de certaines questions, c’est la norme qu’il convient alors d’appliquer. En Colombie</w:t>
      </w:r>
      <w:r w:rsidRPr="00000DCC">
        <w:rPr>
          <w:rFonts w:cs="Times New Roman"/>
          <w:noProof/>
          <w:lang w:val="fr-CA" w:bidi="en-US"/>
        </w:rPr>
        <w:noBreakHyphen/>
        <w:t>Britannique, la législature a fixé la norme de contrôle applicable pour de nombreux tribunaux administratifs en se fondant sur l’</w:t>
      </w:r>
      <w:r w:rsidRPr="00000DCC">
        <w:rPr>
          <w:rFonts w:cs="Times New Roman"/>
          <w:i/>
          <w:noProof/>
          <w:lang w:val="fr-CA" w:bidi="en-US"/>
        </w:rPr>
        <w:t>Administrative Tribunals Act</w:t>
      </w:r>
      <w:r w:rsidRPr="00000DCC">
        <w:rPr>
          <w:rFonts w:cs="Times New Roman"/>
          <w:noProof/>
          <w:lang w:val="fr-CA" w:bidi="en-US"/>
        </w:rPr>
        <w:t>, S.B.C. 2004, c. 45 : voir art. 58 et 59. Par exemple, elle a prévu que les questions d’interprétation des lois dont est saisi le tribunal des droits de la personne de la Colombie</w:t>
      </w:r>
      <w:r w:rsidRPr="00000DCC">
        <w:rPr>
          <w:rFonts w:cs="Times New Roman"/>
          <w:noProof/>
          <w:lang w:val="fr-CA" w:bidi="en-US"/>
        </w:rPr>
        <w:noBreakHyphen/>
        <w:t xml:space="preserve">Britannique doivent être contrôlées selon la norme de la décision correcte : </w:t>
      </w:r>
      <w:r w:rsidRPr="00000DCC">
        <w:rPr>
          <w:rFonts w:cs="Times New Roman"/>
          <w:i/>
          <w:noProof/>
          <w:lang w:val="fr-CA" w:bidi="en-US"/>
        </w:rPr>
        <w:t>ibid.</w:t>
      </w:r>
      <w:r w:rsidRPr="00000DCC">
        <w:rPr>
          <w:rFonts w:cs="Times New Roman"/>
          <w:noProof/>
          <w:lang w:val="fr-CA" w:bidi="en-US"/>
        </w:rPr>
        <w:t xml:space="preserve">, par. 59(1); </w:t>
      </w:r>
      <w:r w:rsidRPr="00000DCC">
        <w:rPr>
          <w:rFonts w:cs="Times New Roman"/>
          <w:i/>
          <w:noProof/>
          <w:lang w:val="fr-CA" w:bidi="en-US"/>
        </w:rPr>
        <w:t>Human Rights Code</w:t>
      </w:r>
      <w:r w:rsidRPr="00000DCC">
        <w:rPr>
          <w:rFonts w:cs="Times New Roman"/>
          <w:noProof/>
          <w:lang w:val="fr-CA" w:bidi="en-US"/>
        </w:rPr>
        <w:t>, R.S.B.C. 1996, c. 210, art. 32</w:t>
      </w:r>
      <w:r w:rsidRPr="00000DCC">
        <w:rPr>
          <w:rFonts w:cs="Times New Roman"/>
          <w:noProof/>
          <w:lang w:val="fr-CA"/>
        </w:rPr>
        <w:t>.</w:t>
      </w:r>
      <w:r w:rsidRPr="00000DCC">
        <w:rPr>
          <w:rFonts w:eastAsia="Times New Roman" w:cs="Times New Roman"/>
          <w:noProof/>
          <w:szCs w:val="24"/>
          <w:lang w:val="fr-CA" w:eastAsia="en-CA" w:bidi="en-US"/>
        </w:rPr>
        <w:t xml:space="preserve"> </w:t>
      </w:r>
      <w:r w:rsidRPr="00000DCC">
        <w:rPr>
          <w:rFonts w:cs="Times New Roman"/>
          <w:noProof/>
          <w:lang w:val="fr-CA"/>
        </w:rPr>
        <w:t>Nous sommes toujours d’avis que, dans les cas où le législateur énonce la norme de contrôle applicable, les cours de justice sont tenues au respect de celle</w:t>
      </w:r>
      <w:r w:rsidRPr="00000DCC">
        <w:rPr>
          <w:rFonts w:cs="Times New Roman"/>
          <w:noProof/>
          <w:lang w:val="fr-CA"/>
        </w:rPr>
        <w:noBreakHyphen/>
        <w:t>ci, dans les limites qu’impose la primauté du droit.</w:t>
      </w:r>
    </w:p>
    <w:p w14:paraId="0785D53B" w14:textId="77777777" w:rsidR="00AE2373" w:rsidRPr="00000DCC" w:rsidRDefault="00AE2373" w:rsidP="00AE2373">
      <w:pPr>
        <w:pStyle w:val="Title3LevelTitre3Niveau"/>
        <w:numPr>
          <w:ilvl w:val="2"/>
          <w:numId w:val="8"/>
        </w:numPr>
        <w:tabs>
          <w:tab w:val="left" w:pos="1560"/>
        </w:tabs>
        <w:spacing w:before="0"/>
        <w:jc w:val="left"/>
        <w:rPr>
          <w:rFonts w:cs="Times New Roman"/>
          <w:noProof/>
          <w:lang w:val="fr-CA"/>
        </w:rPr>
      </w:pPr>
      <w:r w:rsidRPr="00000DCC">
        <w:rPr>
          <w:rFonts w:cs="Times New Roman"/>
          <w:noProof/>
          <w:lang w:val="fr-CA"/>
        </w:rPr>
        <w:t>Les mécanismes d’appel prévus par la loi</w:t>
      </w:r>
    </w:p>
    <w:p w14:paraId="3451E47E" w14:textId="6B0D8601"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Nous avons réaffirmé que, dans l’analyse relative à la norme de contrôle, les cours de justice devaient autant que possible respecter les choix d’organisation institutionnelle du législateur consistant à déléguer certaines questions par voie législative. À notre avis, compte tenu de cette position de principe, les cours de justice doivent aussi donner effet à l’intention du législateur qui se manifeste par la présence d’un mécanisme d’appel à l’encontre d’une décision administrative et qui prévoit l’exercice d’une fonction d’appel au regard d’une telle décision. De la même manière </w:t>
      </w:r>
      <w:r w:rsidRPr="00000DCC">
        <w:rPr>
          <w:rFonts w:cs="Times New Roman"/>
          <w:noProof/>
          <w:lang w:val="fr-CA"/>
        </w:rPr>
        <w:lastRenderedPageBreak/>
        <w:t>que le législateur peut, dans le respect des limites fixées par la Constitution, mettre des décisions administratives à l’abri d’une intervention judiciaire, il peut également choisir d’établir un régime qui</w:t>
      </w:r>
      <w:r w:rsidR="00F143D7">
        <w:rPr>
          <w:rFonts w:cs="Times New Roman"/>
          <w:noProof/>
          <w:lang w:val="fr-CA"/>
        </w:rPr>
        <w:t>,</w:t>
      </w:r>
      <w:r w:rsidRPr="00000DCC">
        <w:rPr>
          <w:rFonts w:cs="Times New Roman"/>
          <w:noProof/>
          <w:lang w:val="fr-CA"/>
        </w:rPr>
        <w:t xml:space="preserve"> « loin d’exclure les cours, les intègre dans le mécanisme d’application prévu » : </w:t>
      </w:r>
      <w:r w:rsidRPr="00000DCC">
        <w:rPr>
          <w:rFonts w:cs="Times New Roman"/>
          <w:i/>
          <w:noProof/>
          <w:lang w:val="fr-CA"/>
        </w:rPr>
        <w:t xml:space="preserve">Seneca College </w:t>
      </w:r>
      <w:r>
        <w:rPr>
          <w:rFonts w:cs="Times New Roman"/>
          <w:i/>
          <w:noProof/>
          <w:lang w:val="fr-CA"/>
        </w:rPr>
        <w:t xml:space="preserve">of Applied Arts and Technology </w:t>
      </w:r>
      <w:r w:rsidRPr="00000DCC">
        <w:rPr>
          <w:rFonts w:cs="Times New Roman"/>
          <w:i/>
          <w:noProof/>
          <w:lang w:val="fr-CA"/>
        </w:rPr>
        <w:t>c. Bhadauria</w:t>
      </w:r>
      <w:r w:rsidRPr="00000DCC">
        <w:rPr>
          <w:rFonts w:cs="Times New Roman"/>
          <w:noProof/>
          <w:lang w:val="fr-CA"/>
        </w:rPr>
        <w:t>, [1981] 2 R.C.S. 181, p. 195. Lorsqu’il accorde aux parties la possibilité de porter en appel, de plein droit ou sur autorisation, une décision administrative devant une cour de justice, le législateur assujettit le régime administratif à une compétence d’appel et indique qu’il s’attend à ce que la cour vérifie attentivement cette décision lors d’un processus d’appel. Cette volonté expresse réfute forcément la présomption générale d’application de la norme de la décision raisonnable fondée sur l’intention de respecter le choix du législateur de renvoyer certaines questions à un organisme autre qu’une cour de justice. Il y a lieu de donner effet à cette volonté. Comme le fait observer l’intervenante la procureure générale du Québec dans son mémoire, « </w:t>
      </w:r>
      <w:r w:rsidR="00727BFE">
        <w:rPr>
          <w:rFonts w:cs="Times New Roman"/>
          <w:noProof/>
          <w:lang w:val="fr-CA"/>
        </w:rPr>
        <w:t>[</w:t>
      </w:r>
      <w:r w:rsidRPr="00000DCC">
        <w:rPr>
          <w:rFonts w:cs="Times New Roman"/>
          <w:noProof/>
          <w:lang w:val="fr-CA"/>
        </w:rPr>
        <w:t>l</w:t>
      </w:r>
      <w:r w:rsidR="00727BFE">
        <w:rPr>
          <w:rFonts w:cs="Times New Roman"/>
          <w:noProof/>
          <w:lang w:val="fr-CA"/>
        </w:rPr>
        <w:t>]</w:t>
      </w:r>
      <w:r w:rsidRPr="00000DCC">
        <w:rPr>
          <w:rFonts w:cs="Times New Roman"/>
          <w:noProof/>
          <w:lang w:val="fr-CA"/>
        </w:rPr>
        <w:t>’obligation de déférence ne doit pas stériliser un tel mécanisme d’appel, jusqu’à dénaturer le processus décisionnel que le législateur voulait mettre en place » : par. 2.</w:t>
      </w:r>
    </w:p>
    <w:p w14:paraId="44B7881F"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bidi="en-US"/>
        </w:rPr>
        <w:t xml:space="preserve">Il convient donc de reconnaître que, lorsque le législateur prévoit un appel à l’encontre d’une décision administrative devant une cour de justice, la cour saisie de l’appel doit recourir aux normes applicables en appel pour réviser la décision. Ainsi, la norme de contrôle applicable doit être déterminée eu égard à la nature de la question et à la jurisprudence de notre Cour en la matière. Par exemple, lorsqu’une cour de justice </w:t>
      </w:r>
      <w:r>
        <w:rPr>
          <w:rFonts w:cs="Times New Roman"/>
          <w:noProof/>
          <w:lang w:val="fr-CA" w:bidi="en-US"/>
        </w:rPr>
        <w:t xml:space="preserve">entend </w:t>
      </w:r>
      <w:r w:rsidRPr="00000DCC">
        <w:rPr>
          <w:rFonts w:cs="Times New Roman"/>
          <w:noProof/>
          <w:lang w:val="fr-CA" w:bidi="en-US"/>
        </w:rPr>
        <w:t>l’appel d’une décision administrative, elle se prononcera sur des questions de droit, touchant notamment à l’interprétation législative et à la portée de la compétence du décideur, selon la norme de la décision correcte conformément à l’arrêt </w:t>
      </w:r>
      <w:r w:rsidRPr="00000DCC">
        <w:rPr>
          <w:rFonts w:cs="Times New Roman"/>
          <w:i/>
          <w:noProof/>
          <w:lang w:val="fr-CA" w:bidi="en-US"/>
        </w:rPr>
        <w:t>Housen c. Nikolaisen</w:t>
      </w:r>
      <w:r w:rsidRPr="00000DCC">
        <w:rPr>
          <w:rFonts w:cs="Times New Roman"/>
          <w:noProof/>
          <w:lang w:val="fr-CA" w:bidi="en-US"/>
        </w:rPr>
        <w:t xml:space="preserve">, 2002 CSC 33, [2002] 2 R.C.S. 235, par. 8. Si l’appel prévu par la loi porte </w:t>
      </w:r>
      <w:r w:rsidRPr="00000DCC">
        <w:rPr>
          <w:rFonts w:cs="Times New Roman"/>
          <w:noProof/>
          <w:lang w:val="fr-CA" w:bidi="en-US"/>
        </w:rPr>
        <w:lastRenderedPageBreak/>
        <w:t xml:space="preserve">notamment sur des questions de fait, la norme de contrôle sera celle de l’erreur manifeste et déterminante (applicable également à l’égard des questions mixtes de fait et de droit en l’absence d’un principe juridique facilement isolable) : voir </w:t>
      </w:r>
      <w:r w:rsidRPr="00000DCC">
        <w:rPr>
          <w:rFonts w:cs="Times New Roman"/>
          <w:i/>
          <w:noProof/>
          <w:lang w:val="fr-CA" w:bidi="en-US"/>
        </w:rPr>
        <w:t>Housen</w:t>
      </w:r>
      <w:r w:rsidRPr="00000DCC">
        <w:rPr>
          <w:rFonts w:cs="Times New Roman"/>
          <w:noProof/>
          <w:lang w:val="fr-CA" w:bidi="en-US"/>
        </w:rPr>
        <w:t>, par. 10, 19 et 26</w:t>
      </w:r>
      <w:r w:rsidRPr="00000DCC">
        <w:rPr>
          <w:rFonts w:cs="Times New Roman"/>
          <w:noProof/>
          <w:lang w:val="fr-CA" w:bidi="en-US"/>
        </w:rPr>
        <w:noBreakHyphen/>
        <w:t xml:space="preserve">37. </w:t>
      </w:r>
      <w:r w:rsidRPr="00000DCC">
        <w:rPr>
          <w:rFonts w:cs="Times New Roman"/>
          <w:noProof/>
          <w:lang w:val="fr-CA"/>
        </w:rPr>
        <w:t>Évidemment, si le législateur entend prévoir l’application en appel d’une autre norme de contrôle, il lui est toujours loisible d’exprimer son intention en énonçant dans la loi la norme de contrôle applicable.</w:t>
      </w:r>
    </w:p>
    <w:p w14:paraId="4FEDD8A4"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Il est vrai que donner un tel sens aux mécanismes d’appel prévus par la loi s’écarte de la jurisprudence récente de notre Cour. Cependant, après un examen attentif, nous estimons que ce virage s’impose afin d’apporter uniformité et équilibre conceptuel à l’analyse relative à la norme de contrôle. En outre, cette approche est justifiée par la mise en balance des valeurs de la certitude et de la justesse : </w:t>
      </w:r>
      <w:r w:rsidRPr="00000DCC">
        <w:rPr>
          <w:rFonts w:cs="Times New Roman"/>
          <w:i/>
          <w:noProof/>
          <w:lang w:val="fr-CA"/>
        </w:rPr>
        <w:t>Craig</w:t>
      </w:r>
      <w:r w:rsidRPr="00000DCC">
        <w:rPr>
          <w:rFonts w:cs="Times New Roman"/>
          <w:noProof/>
          <w:lang w:val="fr-CA"/>
        </w:rPr>
        <w:t>, par. 27. Notre conclusion repose sur les considérations suivantes.</w:t>
      </w:r>
    </w:p>
    <w:p w14:paraId="729CDB13" w14:textId="3E961948" w:rsidR="00AE2373" w:rsidRPr="00000DCC" w:rsidRDefault="00AE2373" w:rsidP="00AE2373">
      <w:pPr>
        <w:pStyle w:val="ParaNoNdepar-AltN"/>
        <w:tabs>
          <w:tab w:val="clear" w:pos="1422"/>
        </w:tabs>
        <w:spacing w:before="0"/>
        <w:rPr>
          <w:rFonts w:cs="Times New Roman"/>
          <w:lang w:val="fr-CA"/>
        </w:rPr>
      </w:pPr>
      <w:r w:rsidRPr="00000DCC">
        <w:rPr>
          <w:rFonts w:cs="Times New Roman"/>
          <w:noProof/>
          <w:lang w:val="fr-CA" w:bidi="en-US"/>
        </w:rPr>
        <w:t>D’abord, d’importantes critiques judiciaires et doctrinales ont été formulées au sujet de cette conception somme toute récente que notre Cour s’est faite des droits d’appel accordés par la loi : voir, p. ex., Y.</w:t>
      </w:r>
      <w:r w:rsidRPr="00000DCC">
        <w:rPr>
          <w:rFonts w:cs="Times New Roman"/>
          <w:noProof/>
          <w:lang w:val="fr-CA" w:bidi="en-US"/>
        </w:rPr>
        <w:noBreakHyphen/>
        <w:t>M. Morissette, «</w:t>
      </w:r>
      <w:r w:rsidR="00405899">
        <w:rPr>
          <w:rFonts w:cs="Times New Roman"/>
          <w:noProof/>
          <w:lang w:val="fr-CA" w:bidi="en-US"/>
        </w:rPr>
        <w:t> What is a “reasonable decision</w:t>
      </w:r>
      <w:r w:rsidR="00405899" w:rsidRPr="00D350E6">
        <w:rPr>
          <w:rFonts w:eastAsia="Times New Roman" w:cs="Times New Roman"/>
          <w:szCs w:val="24"/>
          <w:lang w:val="fr-CA" w:eastAsia="en-CA"/>
        </w:rPr>
        <w:t>”?</w:t>
      </w:r>
      <w:r w:rsidRPr="00000DCC">
        <w:rPr>
          <w:rFonts w:cs="Times New Roman"/>
          <w:noProof/>
          <w:lang w:val="fr-CA" w:bidi="en-US"/>
        </w:rPr>
        <w:t> » (2018)</w:t>
      </w:r>
      <w:r>
        <w:rPr>
          <w:rFonts w:cs="Times New Roman"/>
          <w:noProof/>
          <w:lang w:val="fr-CA" w:bidi="en-US"/>
        </w:rPr>
        <w:t>,</w:t>
      </w:r>
      <w:r w:rsidRPr="00000DCC">
        <w:rPr>
          <w:rFonts w:cs="Times New Roman"/>
          <w:noProof/>
          <w:lang w:val="fr-CA" w:bidi="en-US"/>
        </w:rPr>
        <w:t xml:space="preserve"> 31 </w:t>
      </w:r>
      <w:r w:rsidRPr="00000DCC">
        <w:rPr>
          <w:rFonts w:cs="Times New Roman"/>
          <w:i/>
          <w:noProof/>
          <w:lang w:val="fr-CA" w:bidi="en-US"/>
        </w:rPr>
        <w:t xml:space="preserve">R.C.D.A.P. </w:t>
      </w:r>
      <w:r w:rsidRPr="00000DCC">
        <w:rPr>
          <w:rFonts w:cs="Times New Roman"/>
          <w:noProof/>
          <w:lang w:val="fr-CA" w:bidi="en-US"/>
        </w:rPr>
        <w:t xml:space="preserve">225, p. 244; l’honorable </w:t>
      </w:r>
      <w:r w:rsidRPr="00000DCC">
        <w:rPr>
          <w:rFonts w:cs="Times New Roman"/>
          <w:lang w:val="fr-CA"/>
        </w:rPr>
        <w:t>J.</w:t>
      </w:r>
      <w:r w:rsidR="001D25F7">
        <w:rPr>
          <w:rFonts w:cs="Times New Roman"/>
          <w:lang w:val="fr-CA"/>
        </w:rPr>
        <w:t> </w:t>
      </w:r>
      <w:r w:rsidRPr="00000DCC">
        <w:rPr>
          <w:rFonts w:cs="Times New Roman"/>
          <w:lang w:val="fr-CA"/>
        </w:rPr>
        <w:t xml:space="preserve">T. Robertson, </w:t>
      </w:r>
      <w:r w:rsidRPr="00000DCC">
        <w:rPr>
          <w:rFonts w:cs="Times New Roman"/>
          <w:i/>
          <w:lang w:val="fr-CA"/>
        </w:rPr>
        <w:t>Administrative Deference</w:t>
      </w:r>
      <w:r w:rsidR="00F53C42">
        <w:rPr>
          <w:rFonts w:cs="Times New Roman"/>
          <w:i/>
          <w:lang w:val="fr-CA"/>
        </w:rPr>
        <w:t> </w:t>
      </w:r>
      <w:r w:rsidRPr="00000DCC">
        <w:rPr>
          <w:rFonts w:cs="Times New Roman"/>
          <w:i/>
          <w:lang w:val="fr-CA"/>
        </w:rPr>
        <w:t>: The Canadian Doctrine that Continues to Disappoint</w:t>
      </w:r>
      <w:r w:rsidRPr="00000DCC">
        <w:rPr>
          <w:rFonts w:cs="Times New Roman"/>
          <w:lang w:val="fr-CA"/>
        </w:rPr>
        <w:t xml:space="preserve"> (18 avril 2018) (en ligne), p. 8;</w:t>
      </w:r>
      <w:r w:rsidRPr="00000DCC">
        <w:rPr>
          <w:rFonts w:cs="Times New Roman"/>
          <w:noProof/>
          <w:lang w:val="fr-CA" w:bidi="en-US"/>
        </w:rPr>
        <w:t xml:space="preserve"> </w:t>
      </w:r>
      <w:r>
        <w:rPr>
          <w:rFonts w:cs="Times New Roman"/>
          <w:noProof/>
          <w:lang w:val="fr-CA" w:bidi="en-US"/>
        </w:rPr>
        <w:t xml:space="preserve">l’honorable </w:t>
      </w:r>
      <w:r w:rsidRPr="00000DCC">
        <w:rPr>
          <w:rFonts w:cs="Times New Roman"/>
          <w:noProof/>
          <w:lang w:val="fr-CA" w:bidi="en-US"/>
        </w:rPr>
        <w:t>D. Stratas, « The Canadian Law of Judicial Review</w:t>
      </w:r>
      <w:r w:rsidR="00F53C42">
        <w:rPr>
          <w:rFonts w:cs="Times New Roman"/>
          <w:noProof/>
          <w:lang w:val="fr-CA" w:bidi="en-US"/>
        </w:rPr>
        <w:t> </w:t>
      </w:r>
      <w:r w:rsidRPr="00000DCC">
        <w:rPr>
          <w:rFonts w:cs="Times New Roman"/>
          <w:noProof/>
          <w:lang w:val="fr-CA" w:bidi="en-US"/>
        </w:rPr>
        <w:t xml:space="preserve">: A Plea for Doctrinal Coherence and Consistency » (2016), 42 </w:t>
      </w:r>
      <w:r w:rsidRPr="00000DCC">
        <w:rPr>
          <w:rFonts w:cs="Times New Roman"/>
          <w:i/>
          <w:noProof/>
          <w:lang w:val="fr-CA" w:bidi="en-US"/>
        </w:rPr>
        <w:t>Queen’s L.J.</w:t>
      </w:r>
      <w:r w:rsidRPr="00000DCC">
        <w:rPr>
          <w:rFonts w:cs="Times New Roman"/>
          <w:noProof/>
          <w:lang w:val="fr-CA" w:bidi="en-US"/>
        </w:rPr>
        <w:t xml:space="preserve"> 27, p. 33; Daly, p. 541</w:t>
      </w:r>
      <w:r w:rsidRPr="00000DCC">
        <w:rPr>
          <w:rFonts w:cs="Times New Roman"/>
          <w:noProof/>
          <w:lang w:val="fr-CA" w:bidi="en-US"/>
        </w:rPr>
        <w:noBreakHyphen/>
        <w:t xml:space="preserve">542; </w:t>
      </w:r>
      <w:r w:rsidRPr="00000DCC">
        <w:rPr>
          <w:rFonts w:cs="Times New Roman"/>
          <w:i/>
          <w:noProof/>
          <w:lang w:val="fr-CA" w:bidi="en-US"/>
        </w:rPr>
        <w:t>Québec (Procureure générale) c. Montréal (Ville)</w:t>
      </w:r>
      <w:r w:rsidRPr="00000DCC">
        <w:rPr>
          <w:rFonts w:cs="Times New Roman"/>
          <w:noProof/>
          <w:lang w:val="fr-CA" w:bidi="en-US"/>
        </w:rPr>
        <w:t>, 2016 QCCA 2108</w:t>
      </w:r>
      <w:r w:rsidR="000158C7">
        <w:rPr>
          <w:rFonts w:cs="Times New Roman"/>
          <w:noProof/>
          <w:lang w:val="fr-CA" w:bidi="en-US"/>
        </w:rPr>
        <w:t>, 17 Admin. L.R. (6th) 328</w:t>
      </w:r>
      <w:r w:rsidRPr="00000DCC">
        <w:rPr>
          <w:rFonts w:cs="Times New Roman"/>
          <w:noProof/>
          <w:lang w:val="fr-CA" w:bidi="en-US"/>
        </w:rPr>
        <w:t>, par. 36</w:t>
      </w:r>
      <w:r w:rsidRPr="00000DCC">
        <w:rPr>
          <w:rFonts w:cs="Times New Roman"/>
          <w:noProof/>
          <w:lang w:val="fr-CA" w:bidi="en-US"/>
        </w:rPr>
        <w:noBreakHyphen/>
        <w:t>46;</w:t>
      </w:r>
      <w:r w:rsidRPr="00000DCC">
        <w:rPr>
          <w:rFonts w:cs="Times New Roman"/>
          <w:i/>
          <w:noProof/>
          <w:lang w:val="fr-CA" w:bidi="en-US"/>
        </w:rPr>
        <w:t xml:space="preserve"> Bell Canada c. 726</w:t>
      </w:r>
      <w:r w:rsidR="00AA2B4B">
        <w:rPr>
          <w:rFonts w:cs="Times New Roman"/>
          <w:i/>
          <w:noProof/>
          <w:lang w:val="fr-CA" w:bidi="en-US"/>
        </w:rPr>
        <w:t>2591</w:t>
      </w:r>
      <w:r w:rsidRPr="00000DCC">
        <w:rPr>
          <w:rFonts w:cs="Times New Roman"/>
          <w:i/>
          <w:noProof/>
          <w:lang w:val="fr-CA" w:bidi="en-US"/>
        </w:rPr>
        <w:t xml:space="preserve"> Canada Ltd.</w:t>
      </w:r>
      <w:r w:rsidRPr="00000DCC">
        <w:rPr>
          <w:rFonts w:cs="Times New Roman"/>
          <w:noProof/>
          <w:lang w:val="fr-CA" w:bidi="en-US"/>
        </w:rPr>
        <w:t>, 2018 CAF 174, par. 190</w:t>
      </w:r>
      <w:r w:rsidRPr="00000DCC">
        <w:rPr>
          <w:rFonts w:cs="Times New Roman"/>
          <w:noProof/>
          <w:lang w:val="fr-CA" w:bidi="en-US"/>
        </w:rPr>
        <w:noBreakHyphen/>
        <w:t>192</w:t>
      </w:r>
      <w:r w:rsidR="004F2B0A">
        <w:rPr>
          <w:rFonts w:cs="Times New Roman"/>
          <w:noProof/>
          <w:lang w:val="fr-CA" w:bidi="en-US"/>
        </w:rPr>
        <w:t xml:space="preserve"> (CanLII)</w:t>
      </w:r>
      <w:r w:rsidRPr="00000DCC">
        <w:rPr>
          <w:rFonts w:cs="Times New Roman"/>
          <w:noProof/>
          <w:lang w:val="fr-CA" w:bidi="en-US"/>
        </w:rPr>
        <w:t>, motifs concordants du juge Nadon, et par. 66 et 69</w:t>
      </w:r>
      <w:r w:rsidRPr="00000DCC">
        <w:rPr>
          <w:rFonts w:cs="Times New Roman"/>
          <w:noProof/>
          <w:lang w:val="fr-CA" w:bidi="en-US"/>
        </w:rPr>
        <w:noBreakHyphen/>
        <w:t xml:space="preserve">72, motifs dissidents du juge Rennie; </w:t>
      </w:r>
      <w:r w:rsidRPr="00000DCC">
        <w:rPr>
          <w:rFonts w:cs="Times New Roman"/>
          <w:i/>
          <w:noProof/>
          <w:lang w:val="fr-CA" w:bidi="en-US"/>
        </w:rPr>
        <w:t xml:space="preserve">Garneau Community </w:t>
      </w:r>
      <w:r w:rsidRPr="00000DCC">
        <w:rPr>
          <w:rFonts w:cs="Times New Roman"/>
          <w:i/>
          <w:noProof/>
          <w:lang w:val="fr-CA" w:bidi="en-US"/>
        </w:rPr>
        <w:lastRenderedPageBreak/>
        <w:t>League c. Edmonton (City)</w:t>
      </w:r>
      <w:r w:rsidRPr="00000DCC">
        <w:rPr>
          <w:rFonts w:cs="Times New Roman"/>
          <w:noProof/>
          <w:lang w:val="fr-CA" w:bidi="en-US"/>
        </w:rPr>
        <w:t xml:space="preserve">, 2017 ABCA 374, </w:t>
      </w:r>
      <w:r w:rsidRPr="00000DCC">
        <w:rPr>
          <w:rFonts w:cs="Times New Roman"/>
          <w:noProof/>
          <w:lang w:val="fr-CA"/>
        </w:rPr>
        <w:t>60 Alta. L.R. (6th) 1,</w:t>
      </w:r>
      <w:r w:rsidRPr="00000DCC">
        <w:rPr>
          <w:rFonts w:cs="Times New Roman"/>
          <w:noProof/>
          <w:lang w:val="fr-CA" w:bidi="en-US"/>
        </w:rPr>
        <w:t xml:space="preserve"> par. 91 et 93</w:t>
      </w:r>
      <w:r w:rsidRPr="00000DCC">
        <w:rPr>
          <w:rFonts w:cs="Times New Roman"/>
          <w:noProof/>
          <w:lang w:val="fr-CA" w:bidi="en-US"/>
        </w:rPr>
        <w:noBreakHyphen/>
        <w:t xml:space="preserve">95, motifs concordants du juge Slatter; </w:t>
      </w:r>
      <w:r w:rsidRPr="00000DCC">
        <w:rPr>
          <w:rFonts w:cs="Times New Roman"/>
          <w:i/>
          <w:noProof/>
          <w:lang w:val="fr-CA" w:bidi="en-US"/>
        </w:rPr>
        <w:t>Nova Scotia (Attorney General) c. S&amp;D Smith Central Supplies Limited</w:t>
      </w:r>
      <w:r w:rsidRPr="00000DCC">
        <w:rPr>
          <w:rFonts w:cs="Times New Roman"/>
          <w:noProof/>
          <w:lang w:val="fr-CA" w:bidi="en-US"/>
        </w:rPr>
        <w:t>, 2019 NSCA 22, par. 250, 255</w:t>
      </w:r>
      <w:r w:rsidRPr="00000DCC">
        <w:rPr>
          <w:rFonts w:cs="Times New Roman"/>
          <w:noProof/>
          <w:lang w:val="fr-CA" w:bidi="en-US"/>
        </w:rPr>
        <w:noBreakHyphen/>
        <w:t>264 et 274</w:t>
      </w:r>
      <w:r w:rsidRPr="00000DCC">
        <w:rPr>
          <w:rFonts w:cs="Times New Roman"/>
          <w:noProof/>
          <w:lang w:val="fr-CA" w:bidi="en-US"/>
        </w:rPr>
        <w:noBreakHyphen/>
        <w:t xml:space="preserve">302 (CanLII), motifs dissidents du juge Beveridge; </w:t>
      </w:r>
      <w:r w:rsidRPr="00000DCC">
        <w:rPr>
          <w:rFonts w:cs="Times New Roman"/>
          <w:i/>
          <w:noProof/>
          <w:lang w:val="fr-CA" w:bidi="en-US"/>
        </w:rPr>
        <w:t xml:space="preserve">Atlantic Mining NS Corp. </w:t>
      </w:r>
      <w:r w:rsidRPr="00000DCC">
        <w:rPr>
          <w:rFonts w:cs="Times New Roman"/>
          <w:i/>
          <w:noProof/>
          <w:lang w:val="en-US" w:bidi="en-US"/>
        </w:rPr>
        <w:t>(D.D.V. Gold Limited) c. Oakley</w:t>
      </w:r>
      <w:r w:rsidRPr="00000DCC">
        <w:rPr>
          <w:rFonts w:cs="Times New Roman"/>
          <w:noProof/>
          <w:lang w:val="en-US" w:bidi="en-US"/>
        </w:rPr>
        <w:t>, 2019 NSCA 14, par. 9</w:t>
      </w:r>
      <w:r w:rsidRPr="00000DCC">
        <w:rPr>
          <w:rFonts w:cs="Times New Roman"/>
          <w:noProof/>
          <w:lang w:val="en-US" w:bidi="en-US"/>
        </w:rPr>
        <w:noBreakHyphen/>
        <w:t xml:space="preserve">14 (CanLII). </w:t>
      </w:r>
      <w:r w:rsidRPr="00000DCC">
        <w:rPr>
          <w:rFonts w:cs="Times New Roman"/>
          <w:noProof/>
          <w:lang w:val="fr-CA" w:bidi="en-US"/>
        </w:rPr>
        <w:t xml:space="preserve">Ces </w:t>
      </w:r>
      <w:r w:rsidRPr="00000DCC">
        <w:rPr>
          <w:rFonts w:eastAsia="Times New Roman" w:cs="Times New Roman"/>
          <w:szCs w:val="24"/>
          <w:lang w:val="fr-CA" w:eastAsia="en-CA"/>
        </w:rPr>
        <w:t>critiques insistent sur l’incohérence inhérente à un cadre d’analyse de la norme de contrôle fondé sur l’intention du législateur qui refuse par ailleurs de donner un sens à un droit d’appel conféré expressément par la loi. D’après ces critiques, le choix du législateur n’est pas unidimen</w:t>
      </w:r>
      <w:r w:rsidR="00860164">
        <w:rPr>
          <w:rFonts w:eastAsia="Times New Roman" w:cs="Times New Roman"/>
          <w:szCs w:val="24"/>
          <w:lang w:val="fr-CA" w:eastAsia="en-CA"/>
        </w:rPr>
        <w:t>s</w:t>
      </w:r>
      <w:r w:rsidRPr="00000DCC">
        <w:rPr>
          <w:rFonts w:eastAsia="Times New Roman" w:cs="Times New Roman"/>
          <w:szCs w:val="24"/>
          <w:lang w:val="fr-CA" w:eastAsia="en-CA"/>
        </w:rPr>
        <w:t>ionnel; il pointe plutôt vers deux directions opposées. Si, d’un côté, le choix du législateur de déléguer des pouvoirs à un décideur administratif fonde une présomption d’application de la norme de la décision raisonnable, de l’autre côté, son choix de créer dans la loi un droit d’appel manifeste une intention d’attribuer un rôle de tribunal d’appel aux cours de révision.</w:t>
      </w:r>
    </w:p>
    <w:p w14:paraId="068D5D65" w14:textId="77777777" w:rsidR="00AE2373" w:rsidRPr="00000DCC" w:rsidRDefault="00AE2373" w:rsidP="00AE2373">
      <w:pPr>
        <w:pStyle w:val="ParaNoNdepar-AltN"/>
        <w:tabs>
          <w:tab w:val="clear" w:pos="1422"/>
        </w:tabs>
        <w:spacing w:before="0"/>
        <w:rPr>
          <w:rFonts w:cs="Times New Roman"/>
          <w:lang w:val="fr-CA"/>
        </w:rPr>
      </w:pPr>
      <w:r w:rsidRPr="00000DCC">
        <w:rPr>
          <w:rFonts w:cs="Times New Roman"/>
          <w:noProof/>
          <w:lang w:val="fr-CA" w:bidi="en-US"/>
        </w:rPr>
        <w:t>Notre Cour a déjà jugé que l’existence d’importantes critiques valables</w:t>
      </w:r>
      <w:r w:rsidRPr="00000DCC">
        <w:rPr>
          <w:rFonts w:cs="Times New Roman"/>
          <w:noProof/>
          <w:lang w:val="fr-CA"/>
        </w:rPr>
        <w:t xml:space="preserve">, notamment judiciaires et doctrinales, peut justifier le réexamen d’un précédent : </w:t>
      </w:r>
      <w:r w:rsidRPr="00000DCC">
        <w:rPr>
          <w:rFonts w:cs="Times New Roman"/>
          <w:i/>
          <w:noProof/>
          <w:lang w:val="fr-CA"/>
        </w:rPr>
        <w:t>Craig</w:t>
      </w:r>
      <w:r w:rsidRPr="00000DCC">
        <w:rPr>
          <w:rFonts w:cs="Times New Roman"/>
          <w:noProof/>
          <w:lang w:val="fr-CA"/>
        </w:rPr>
        <w:t xml:space="preserve">, par. 29; </w:t>
      </w:r>
      <w:r w:rsidRPr="00000DCC">
        <w:rPr>
          <w:rFonts w:cs="Times New Roman"/>
          <w:i/>
          <w:noProof/>
          <w:lang w:val="fr-CA" w:bidi="en-US"/>
        </w:rPr>
        <w:t>R. c. Robinson</w:t>
      </w:r>
      <w:r w:rsidRPr="00000DCC">
        <w:rPr>
          <w:rFonts w:cs="Times New Roman"/>
          <w:noProof/>
          <w:lang w:val="fr-CA" w:bidi="en-US"/>
        </w:rPr>
        <w:t>, [1996] 1 R.C.S. 683, par. 35</w:t>
      </w:r>
      <w:r w:rsidRPr="00000DCC">
        <w:rPr>
          <w:rFonts w:cs="Times New Roman"/>
          <w:noProof/>
          <w:lang w:val="fr-CA" w:bidi="en-US"/>
        </w:rPr>
        <w:noBreakHyphen/>
        <w:t>41</w:t>
      </w:r>
      <w:r w:rsidRPr="00000DCC">
        <w:rPr>
          <w:rFonts w:cs="Times New Roman"/>
          <w:noProof/>
          <w:lang w:val="fr-CA"/>
        </w:rPr>
        <w:t xml:space="preserve">. Cette considération s’applique en l’espèce. </w:t>
      </w:r>
      <w:r w:rsidRPr="00000DCC">
        <w:rPr>
          <w:rFonts w:eastAsia="Times New Roman" w:cs="Times New Roman"/>
          <w:szCs w:val="24"/>
          <w:lang w:val="fr-CA" w:eastAsia="en-CA"/>
        </w:rPr>
        <w:t>Plus précisément, l’affirmation selon laquelle l’examen des droits d’appel conférés par la loi représente une rupture avec le fondement conceptuel qui sous</w:t>
      </w:r>
      <w:r w:rsidRPr="00000DCC">
        <w:rPr>
          <w:rFonts w:eastAsia="Times New Roman" w:cs="Times New Roman"/>
          <w:szCs w:val="24"/>
          <w:lang w:val="fr-CA" w:eastAsia="en-CA"/>
        </w:rPr>
        <w:noBreakHyphen/>
        <w:t xml:space="preserve">tend le cadre d’analyse de la norme de contrôle est en soi une raison convaincante de revoir l’approche actuelle : </w:t>
      </w:r>
      <w:r w:rsidRPr="00000DCC">
        <w:rPr>
          <w:rFonts w:eastAsia="Times New Roman" w:cs="Times New Roman"/>
          <w:i/>
          <w:szCs w:val="24"/>
          <w:lang w:val="fr-CA" w:eastAsia="en-CA"/>
        </w:rPr>
        <w:t>Khosa</w:t>
      </w:r>
      <w:r w:rsidRPr="00000DCC">
        <w:rPr>
          <w:rFonts w:eastAsia="Times New Roman" w:cs="Times New Roman"/>
          <w:szCs w:val="24"/>
          <w:lang w:val="fr-CA" w:eastAsia="en-CA"/>
        </w:rPr>
        <w:t xml:space="preserve">, par. 87, le juge Rothstein, </w:t>
      </w:r>
      <w:r>
        <w:rPr>
          <w:rFonts w:eastAsia="Times New Roman" w:cs="Times New Roman"/>
          <w:szCs w:val="24"/>
          <w:lang w:val="fr-CA" w:eastAsia="en-CA"/>
        </w:rPr>
        <w:t xml:space="preserve">motifs concordants quant </w:t>
      </w:r>
      <w:r w:rsidRPr="00000DCC">
        <w:rPr>
          <w:rFonts w:eastAsia="Times New Roman" w:cs="Times New Roman"/>
          <w:szCs w:val="24"/>
          <w:lang w:val="fr-CA" w:eastAsia="en-CA"/>
        </w:rPr>
        <w:t>au résultat.</w:t>
      </w:r>
    </w:p>
    <w:p w14:paraId="784497F9" w14:textId="78CC8326"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bidi="en-US"/>
        </w:rPr>
        <w:t xml:space="preserve">Ensuite, rien ne justifie de façon satisfaisante la tendance récente de notre Cour de ne pas tenir compte des droits d’appel conférés par la loi sauf en présence d’un </w:t>
      </w:r>
      <w:r w:rsidRPr="00000DCC">
        <w:rPr>
          <w:rFonts w:cs="Times New Roman"/>
          <w:noProof/>
          <w:lang w:val="fr-CA" w:bidi="en-US"/>
        </w:rPr>
        <w:lastRenderedPageBreak/>
        <w:t xml:space="preserve">libellé exceptionnel : voir </w:t>
      </w:r>
      <w:r w:rsidRPr="00000DCC">
        <w:rPr>
          <w:rFonts w:cs="Times New Roman"/>
          <w:i/>
          <w:noProof/>
          <w:lang w:val="fr-CA" w:bidi="en-US"/>
        </w:rPr>
        <w:t>Tervita Corp. c. Canada (Commissaire de la concurrence)</w:t>
      </w:r>
      <w:r w:rsidRPr="00000DCC">
        <w:rPr>
          <w:rFonts w:cs="Times New Roman"/>
          <w:noProof/>
          <w:lang w:val="fr-CA" w:bidi="en-US"/>
        </w:rPr>
        <w:t>, 2015 CSC 3, [2015] 1 R.C.S. 161, par. 35</w:t>
      </w:r>
      <w:r w:rsidRPr="00000DCC">
        <w:rPr>
          <w:rFonts w:cs="Times New Roman"/>
          <w:noProof/>
          <w:lang w:val="fr-CA" w:bidi="en-US"/>
        </w:rPr>
        <w:noBreakHyphen/>
        <w:t>39. En effet, la Cour rompt ainsi avec la jurisprudence antérieure</w:t>
      </w:r>
      <w:r>
        <w:rPr>
          <w:rFonts w:cs="Times New Roman"/>
          <w:noProof/>
          <w:lang w:val="fr-CA" w:bidi="en-US"/>
        </w:rPr>
        <w:t> </w:t>
      </w:r>
      <w:r w:rsidRPr="00000DCC">
        <w:rPr>
          <w:rFonts w:cs="Times New Roman"/>
          <w:lang w:val="fr-CA"/>
        </w:rPr>
        <w:t>: l’honorable J.</w:t>
      </w:r>
      <w:r>
        <w:rPr>
          <w:rFonts w:cs="Times New Roman"/>
          <w:lang w:val="fr-CA"/>
        </w:rPr>
        <w:t xml:space="preserve"> </w:t>
      </w:r>
      <w:r w:rsidRPr="00000DCC">
        <w:rPr>
          <w:rFonts w:cs="Times New Roman"/>
          <w:lang w:val="fr-CA"/>
        </w:rPr>
        <w:t>T. Robertson, « Judicial Deference to Administrative Tribunals</w:t>
      </w:r>
      <w:r w:rsidR="00F53C42">
        <w:rPr>
          <w:rFonts w:cs="Times New Roman"/>
          <w:lang w:val="fr-CA"/>
        </w:rPr>
        <w:t> </w:t>
      </w:r>
      <w:r w:rsidRPr="00000DCC">
        <w:rPr>
          <w:rFonts w:cs="Times New Roman"/>
          <w:lang w:val="fr-CA"/>
        </w:rPr>
        <w:t xml:space="preserve">: A Guide to 60 Years of Supreme Court Jurisprudence » (2014), 66 </w:t>
      </w:r>
      <w:r w:rsidRPr="00000DCC">
        <w:rPr>
          <w:rFonts w:cs="Times New Roman"/>
          <w:i/>
          <w:lang w:val="fr-CA"/>
        </w:rPr>
        <w:t>S.C.L.R.</w:t>
      </w:r>
      <w:r w:rsidRPr="00000DCC">
        <w:rPr>
          <w:rFonts w:cs="Times New Roman"/>
          <w:lang w:val="fr-CA"/>
        </w:rPr>
        <w:t xml:space="preserve"> (2d) 1, p. 91</w:t>
      </w:r>
      <w:r w:rsidRPr="00000DCC">
        <w:rPr>
          <w:rFonts w:cs="Times New Roman"/>
          <w:lang w:val="fr-CA"/>
        </w:rPr>
        <w:noBreakHyphen/>
        <w:t>93</w:t>
      </w:r>
      <w:r w:rsidRPr="00000DCC">
        <w:rPr>
          <w:rFonts w:cs="Times New Roman"/>
          <w:noProof/>
          <w:lang w:val="fr-CA" w:bidi="en-US"/>
        </w:rPr>
        <w:t>. Selon l’ancienne approche « pragmatique et fonctionnelle » adoptée pour déterminer la norme de contrôle applicable, l’existence d’une clause privative ou d’un droit d’appel prévu par la loi faisait partie des quatre facteurs contextuels dont la cour de justice tenait compte pour cerner la norme que le législateur entendait appliquer à une décision particulière. Quoiqu’elle ne constituait pas un facteur déterminant, la disposition législative créant le droit d’appel était considérée comme un facteur clé témoignant de l’intention du législateur que les cours de justice appliquent une norme de contrôle moins déférente</w:t>
      </w:r>
      <w:r w:rsidR="00032F3C">
        <w:rPr>
          <w:rFonts w:cs="Times New Roman"/>
          <w:noProof/>
          <w:lang w:val="fr-CA" w:bidi="en-US"/>
        </w:rPr>
        <w:t> </w:t>
      </w:r>
      <w:r w:rsidRPr="00000DCC">
        <w:rPr>
          <w:rFonts w:cs="Times New Roman"/>
          <w:noProof/>
          <w:lang w:val="fr-CA"/>
        </w:rPr>
        <w:t>:</w:t>
      </w:r>
      <w:r w:rsidRPr="00000DCC">
        <w:rPr>
          <w:rFonts w:cs="Times New Roman"/>
          <w:noProof/>
          <w:lang w:val="fr-CA" w:bidi="en-US"/>
        </w:rPr>
        <w:t xml:space="preserve"> voir, p. ex., </w:t>
      </w:r>
      <w:r w:rsidRPr="00000DCC">
        <w:rPr>
          <w:rFonts w:cs="Times New Roman"/>
          <w:i/>
          <w:noProof/>
          <w:lang w:val="fr-CA"/>
        </w:rPr>
        <w:t>Pezim</w:t>
      </w:r>
      <w:r w:rsidRPr="00000DCC">
        <w:rPr>
          <w:rFonts w:cs="Times New Roman"/>
          <w:noProof/>
          <w:lang w:val="fr-CA" w:bidi="en-US"/>
        </w:rPr>
        <w:t>, p. 589</w:t>
      </w:r>
      <w:r w:rsidRPr="00000DCC">
        <w:rPr>
          <w:rFonts w:cs="Times New Roman"/>
          <w:noProof/>
          <w:lang w:val="fr-CA" w:bidi="en-US"/>
        </w:rPr>
        <w:noBreakHyphen/>
        <w:t>592;</w:t>
      </w:r>
      <w:r w:rsidRPr="00000DCC">
        <w:rPr>
          <w:rFonts w:cs="Times New Roman"/>
          <w:i/>
          <w:noProof/>
          <w:lang w:val="fr-CA" w:bidi="en-US"/>
        </w:rPr>
        <w:t xml:space="preserve"> </w:t>
      </w:r>
      <w:r w:rsidRPr="00000DCC">
        <w:rPr>
          <w:rFonts w:cs="Times New Roman"/>
          <w:i/>
          <w:noProof/>
          <w:lang w:val="fr-CA"/>
        </w:rPr>
        <w:t xml:space="preserve">British Columbia Telephone Co. </w:t>
      </w:r>
      <w:r w:rsidRPr="00000DCC">
        <w:rPr>
          <w:rFonts w:cs="Times New Roman"/>
          <w:i/>
          <w:iCs/>
          <w:noProof/>
          <w:lang w:val="fr-CA"/>
        </w:rPr>
        <w:t>c.</w:t>
      </w:r>
      <w:r w:rsidRPr="00000DCC">
        <w:rPr>
          <w:rFonts w:cs="Times New Roman"/>
          <w:i/>
          <w:noProof/>
          <w:lang w:val="fr-CA"/>
        </w:rPr>
        <w:t xml:space="preserve"> Shaw Cable Systems (B.C.) Ltd.</w:t>
      </w:r>
      <w:r w:rsidRPr="00000DCC">
        <w:rPr>
          <w:rFonts w:cs="Times New Roman"/>
          <w:noProof/>
          <w:lang w:val="fr-CA"/>
        </w:rPr>
        <w:t>, [1995] 2 R.C.S. 739, par. 28</w:t>
      </w:r>
      <w:r w:rsidRPr="00000DCC">
        <w:rPr>
          <w:rFonts w:cs="Times New Roman"/>
          <w:noProof/>
          <w:lang w:val="fr-CA"/>
        </w:rPr>
        <w:noBreakHyphen/>
        <w:t>31;</w:t>
      </w:r>
      <w:r w:rsidRPr="00000DCC">
        <w:rPr>
          <w:rFonts w:cs="Times New Roman"/>
          <w:i/>
          <w:noProof/>
          <w:lang w:val="fr-CA"/>
        </w:rPr>
        <w:t xml:space="preserve"> Southam</w:t>
      </w:r>
      <w:r w:rsidRPr="00000DCC">
        <w:rPr>
          <w:rFonts w:cs="Times New Roman"/>
          <w:noProof/>
          <w:lang w:val="fr-CA" w:bidi="en-US"/>
        </w:rPr>
        <w:t>, par. 30</w:t>
      </w:r>
      <w:r w:rsidRPr="00000DCC">
        <w:rPr>
          <w:rFonts w:cs="Times New Roman"/>
          <w:noProof/>
          <w:lang w:val="fr-CA" w:bidi="en-US"/>
        </w:rPr>
        <w:noBreakHyphen/>
        <w:t>32, 46 et 54</w:t>
      </w:r>
      <w:r w:rsidRPr="00000DCC">
        <w:rPr>
          <w:rFonts w:cs="Times New Roman"/>
          <w:noProof/>
          <w:lang w:val="fr-CA" w:bidi="en-US"/>
        </w:rPr>
        <w:noBreakHyphen/>
        <w:t xml:space="preserve">55; </w:t>
      </w:r>
      <w:r w:rsidRPr="00000DCC">
        <w:rPr>
          <w:rFonts w:cs="Times New Roman"/>
          <w:i/>
          <w:noProof/>
          <w:lang w:val="fr-CA"/>
        </w:rPr>
        <w:t>Pushpanathan</w:t>
      </w:r>
      <w:r w:rsidRPr="00000DCC">
        <w:rPr>
          <w:rFonts w:cs="Times New Roman"/>
          <w:noProof/>
          <w:lang w:val="fr-CA"/>
        </w:rPr>
        <w:t xml:space="preserve">, </w:t>
      </w:r>
      <w:r w:rsidRPr="00000DCC">
        <w:rPr>
          <w:rFonts w:cs="Times New Roman"/>
          <w:noProof/>
          <w:lang w:val="fr-CA" w:bidi="en-US"/>
        </w:rPr>
        <w:t>par. 30</w:t>
      </w:r>
      <w:r w:rsidRPr="00000DCC">
        <w:rPr>
          <w:rFonts w:cs="Times New Roman"/>
          <w:noProof/>
          <w:lang w:val="fr-CA" w:bidi="en-US"/>
        </w:rPr>
        <w:noBreakHyphen/>
        <w:t xml:space="preserve">31; </w:t>
      </w:r>
      <w:r w:rsidRPr="00000DCC">
        <w:rPr>
          <w:rFonts w:cs="Times New Roman"/>
          <w:i/>
          <w:noProof/>
          <w:lang w:val="fr-CA" w:bidi="en-US"/>
        </w:rPr>
        <w:t>Dr Q</w:t>
      </w:r>
      <w:r w:rsidRPr="00000DCC">
        <w:rPr>
          <w:rFonts w:cs="Times New Roman"/>
          <w:noProof/>
          <w:lang w:val="fr-CA" w:bidi="en-US"/>
        </w:rPr>
        <w:t xml:space="preserve">, par. 27; </w:t>
      </w:r>
      <w:r w:rsidRPr="00000DCC">
        <w:rPr>
          <w:rFonts w:cs="Times New Roman"/>
          <w:i/>
          <w:noProof/>
          <w:lang w:val="fr-CA" w:bidi="en-US"/>
        </w:rPr>
        <w:t>Mattel</w:t>
      </w:r>
      <w:r w:rsidRPr="00000DCC">
        <w:rPr>
          <w:rFonts w:cs="Times New Roman"/>
          <w:noProof/>
          <w:lang w:val="fr-CA" w:bidi="en-US"/>
        </w:rPr>
        <w:t>, par. 26</w:t>
      </w:r>
      <w:r w:rsidRPr="00000DCC">
        <w:rPr>
          <w:rFonts w:cs="Times New Roman"/>
          <w:noProof/>
          <w:lang w:val="fr-CA" w:bidi="en-US"/>
        </w:rPr>
        <w:noBreakHyphen/>
        <w:t>27;</w:t>
      </w:r>
      <w:r w:rsidRPr="00000DCC">
        <w:rPr>
          <w:rFonts w:cs="Times New Roman"/>
          <w:i/>
          <w:iCs/>
          <w:noProof/>
          <w:lang w:val="fr-CA"/>
        </w:rPr>
        <w:t xml:space="preserve"> Barreau du Nouveau</w:t>
      </w:r>
      <w:r w:rsidRPr="00000DCC">
        <w:rPr>
          <w:rFonts w:cs="Times New Roman"/>
          <w:i/>
          <w:iCs/>
          <w:noProof/>
          <w:lang w:val="fr-CA"/>
        </w:rPr>
        <w:noBreakHyphen/>
        <w:t>Brunswick c. Ryan</w:t>
      </w:r>
      <w:r w:rsidRPr="00000DCC">
        <w:rPr>
          <w:rFonts w:cs="Times New Roman"/>
          <w:noProof/>
          <w:lang w:val="fr-CA"/>
        </w:rPr>
        <w:t>, 2003 CSC 20, [2003] 1 R.C.S. 247, par. 21 et 27</w:t>
      </w:r>
      <w:r w:rsidRPr="00000DCC">
        <w:rPr>
          <w:rFonts w:cs="Times New Roman"/>
          <w:noProof/>
          <w:lang w:val="fr-CA"/>
        </w:rPr>
        <w:noBreakHyphen/>
        <w:t xml:space="preserve">29; </w:t>
      </w:r>
      <w:r w:rsidRPr="00000DCC">
        <w:rPr>
          <w:rFonts w:cs="Times New Roman"/>
          <w:i/>
          <w:noProof/>
          <w:lang w:val="fr-CA"/>
        </w:rPr>
        <w:t xml:space="preserve">Barrie Public Utilities </w:t>
      </w:r>
      <w:r w:rsidRPr="00000DCC">
        <w:rPr>
          <w:rFonts w:cs="Times New Roman"/>
          <w:i/>
          <w:iCs/>
          <w:noProof/>
          <w:lang w:val="fr-CA"/>
        </w:rPr>
        <w:t>c.</w:t>
      </w:r>
      <w:r w:rsidRPr="00000DCC">
        <w:rPr>
          <w:rFonts w:cs="Times New Roman"/>
          <w:i/>
          <w:noProof/>
          <w:lang w:val="fr-CA"/>
        </w:rPr>
        <w:t xml:space="preserve"> Assoc</w:t>
      </w:r>
      <w:r w:rsidR="001E2939">
        <w:rPr>
          <w:rFonts w:cs="Times New Roman"/>
          <w:i/>
          <w:noProof/>
          <w:lang w:val="fr-CA"/>
        </w:rPr>
        <w:t>.</w:t>
      </w:r>
      <w:r w:rsidRPr="00000DCC">
        <w:rPr>
          <w:rFonts w:cs="Times New Roman"/>
          <w:i/>
          <w:noProof/>
          <w:lang w:val="fr-CA"/>
        </w:rPr>
        <w:t xml:space="preserve"> canadienne de télévision par câble</w:t>
      </w:r>
      <w:r w:rsidRPr="00000DCC">
        <w:rPr>
          <w:rFonts w:cs="Times New Roman"/>
          <w:noProof/>
          <w:lang w:val="fr-CA"/>
        </w:rPr>
        <w:t xml:space="preserve">, 2003 CSC 28, [2003] 1 R.C.S. 476, par. 11; </w:t>
      </w:r>
      <w:r w:rsidRPr="00000DCC">
        <w:rPr>
          <w:rFonts w:cs="Times New Roman"/>
          <w:i/>
          <w:noProof/>
          <w:lang w:val="fr-CA"/>
        </w:rPr>
        <w:t xml:space="preserve">Monsanto Canada Inc. </w:t>
      </w:r>
      <w:r w:rsidRPr="00000DCC">
        <w:rPr>
          <w:rFonts w:cs="Times New Roman"/>
          <w:i/>
          <w:iCs/>
          <w:noProof/>
          <w:lang w:val="fr-CA"/>
        </w:rPr>
        <w:t>c.</w:t>
      </w:r>
      <w:r w:rsidRPr="00000DCC">
        <w:rPr>
          <w:rFonts w:cs="Times New Roman"/>
          <w:i/>
          <w:noProof/>
          <w:lang w:val="fr-CA"/>
        </w:rPr>
        <w:t xml:space="preserve"> Ontario (Surintendant des services financiers)</w:t>
      </w:r>
      <w:r w:rsidRPr="00000DCC">
        <w:rPr>
          <w:rFonts w:cs="Times New Roman"/>
          <w:noProof/>
          <w:lang w:val="fr-CA"/>
        </w:rPr>
        <w:t>, 2004 CSC 54, [2004] 3 R.C.S. 152, par. 7</w:t>
      </w:r>
      <w:r w:rsidRPr="00000DCC">
        <w:rPr>
          <w:rFonts w:cs="Times New Roman"/>
          <w:noProof/>
          <w:lang w:val="fr-CA" w:bidi="en-US"/>
        </w:rPr>
        <w:t>.</w:t>
      </w:r>
    </w:p>
    <w:p w14:paraId="7A8712B4" w14:textId="413112FE"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bidi="en-US"/>
        </w:rPr>
        <w:t xml:space="preserve">La Cour a certes statué parfois que, même dans le cas d’un appel prévu par la loi, les conclusions juridiques qui touchent directement à l’expertise du décideur commandaient une norme de contrôle empreinte de déférence : voir, p. ex., </w:t>
      </w:r>
      <w:r w:rsidRPr="00000DCC">
        <w:rPr>
          <w:rFonts w:cs="Times New Roman"/>
          <w:i/>
          <w:noProof/>
          <w:lang w:val="fr-CA" w:bidi="en-US"/>
        </w:rPr>
        <w:t>Pezim</w:t>
      </w:r>
      <w:r w:rsidRPr="00000DCC">
        <w:rPr>
          <w:rFonts w:cs="Times New Roman"/>
          <w:noProof/>
          <w:lang w:val="fr-CA" w:bidi="en-US"/>
        </w:rPr>
        <w:t xml:space="preserve">. Cependant, dans d’autres cas, la Cour a conclu que l’existence d’un mécanisme d’appel prévu par la loi et le fait que le décideur n’avait pas une plus grande expertise que les </w:t>
      </w:r>
      <w:r w:rsidRPr="00000DCC">
        <w:rPr>
          <w:rFonts w:cs="Times New Roman"/>
          <w:noProof/>
          <w:lang w:val="fr-CA" w:bidi="en-US"/>
        </w:rPr>
        <w:lastRenderedPageBreak/>
        <w:t>cours à l’égard de la question étudiée indiquaient que la norme de contrôle applicable était celle de la décision correcte, notamment en matière d’interprétation de la loi constit</w:t>
      </w:r>
      <w:r w:rsidR="00776B95">
        <w:rPr>
          <w:rFonts w:cs="Times New Roman"/>
          <w:noProof/>
          <w:lang w:val="fr-CA" w:bidi="en-US"/>
        </w:rPr>
        <w:t>utive du décideur administratif </w:t>
      </w:r>
      <w:r w:rsidRPr="00000DCC">
        <w:rPr>
          <w:rFonts w:cs="Times New Roman"/>
          <w:noProof/>
          <w:lang w:val="fr-CA" w:bidi="en-US"/>
        </w:rPr>
        <w:t xml:space="preserve">: voir, p. ex., </w:t>
      </w:r>
      <w:r w:rsidRPr="00000DCC">
        <w:rPr>
          <w:rFonts w:cs="Times New Roman"/>
          <w:i/>
          <w:noProof/>
          <w:lang w:val="fr-CA" w:bidi="en-US"/>
        </w:rPr>
        <w:t>Mattel</w:t>
      </w:r>
      <w:r w:rsidRPr="00000DCC">
        <w:rPr>
          <w:rFonts w:cs="Times New Roman"/>
          <w:noProof/>
          <w:lang w:val="fr-CA" w:bidi="en-US"/>
        </w:rPr>
        <w:t>, par. 26</w:t>
      </w:r>
      <w:r w:rsidRPr="00000DCC">
        <w:rPr>
          <w:rFonts w:cs="Times New Roman"/>
          <w:noProof/>
          <w:lang w:val="fr-CA" w:bidi="en-US"/>
        </w:rPr>
        <w:noBreakHyphen/>
        <w:t>33;</w:t>
      </w:r>
      <w:r w:rsidRPr="00000DCC">
        <w:rPr>
          <w:rFonts w:cs="Times New Roman"/>
          <w:i/>
          <w:noProof/>
          <w:lang w:val="fr-CA"/>
        </w:rPr>
        <w:t xml:space="preserve"> Barrie Public Utilities</w:t>
      </w:r>
      <w:r w:rsidRPr="00000DCC">
        <w:rPr>
          <w:rFonts w:cs="Times New Roman"/>
          <w:noProof/>
          <w:lang w:val="fr-CA"/>
        </w:rPr>
        <w:t>, par. 9</w:t>
      </w:r>
      <w:r w:rsidRPr="00000DCC">
        <w:rPr>
          <w:rFonts w:cs="Times New Roman"/>
          <w:noProof/>
          <w:lang w:val="fr-CA"/>
        </w:rPr>
        <w:noBreakHyphen/>
        <w:t>19;</w:t>
      </w:r>
      <w:r w:rsidRPr="00000DCC">
        <w:rPr>
          <w:rFonts w:cs="Times New Roman"/>
          <w:noProof/>
          <w:lang w:val="fr-CA" w:bidi="en-US"/>
        </w:rPr>
        <w:t xml:space="preserve"> </w:t>
      </w:r>
      <w:r w:rsidRPr="00000DCC">
        <w:rPr>
          <w:rFonts w:cs="Times New Roman"/>
          <w:i/>
          <w:noProof/>
          <w:lang w:val="fr-CA" w:bidi="en-US"/>
        </w:rPr>
        <w:t>Monsanto</w:t>
      </w:r>
      <w:r w:rsidRPr="00000DCC">
        <w:rPr>
          <w:rFonts w:cs="Times New Roman"/>
          <w:noProof/>
          <w:lang w:val="fr-CA" w:bidi="en-US"/>
        </w:rPr>
        <w:t>, par. 6</w:t>
      </w:r>
      <w:r w:rsidRPr="00000DCC">
        <w:rPr>
          <w:rFonts w:cs="Times New Roman"/>
          <w:noProof/>
          <w:lang w:val="fr-CA" w:bidi="en-US"/>
        </w:rPr>
        <w:noBreakHyphen/>
        <w:t>16</w:t>
      </w:r>
      <w:r w:rsidRPr="00000DCC">
        <w:rPr>
          <w:rFonts w:cs="Times New Roman"/>
          <w:noProof/>
          <w:lang w:val="fr-CA"/>
        </w:rPr>
        <w:t>.</w:t>
      </w:r>
    </w:p>
    <w:p w14:paraId="2AE58F49"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bidi="en-US"/>
        </w:rPr>
        <w:t xml:space="preserve">Or, dans les arrêts </w:t>
      </w:r>
      <w:r w:rsidRPr="00000DCC">
        <w:rPr>
          <w:rFonts w:cs="Times New Roman"/>
          <w:i/>
          <w:noProof/>
          <w:lang w:val="fr-CA" w:bidi="en-US"/>
        </w:rPr>
        <w:t>Dunsmuir</w:t>
      </w:r>
      <w:r w:rsidRPr="00000DCC">
        <w:rPr>
          <w:rFonts w:cs="Times New Roman"/>
          <w:noProof/>
          <w:lang w:val="fr-CA" w:bidi="en-US"/>
        </w:rPr>
        <w:t>,</w:t>
      </w:r>
      <w:r w:rsidRPr="00000DCC">
        <w:rPr>
          <w:rFonts w:cs="Times New Roman"/>
          <w:i/>
          <w:noProof/>
          <w:lang w:val="fr-CA" w:bidi="en-US"/>
        </w:rPr>
        <w:t xml:space="preserve"> Alberta Teachers</w:t>
      </w:r>
      <w:r w:rsidRPr="00000DCC">
        <w:rPr>
          <w:rFonts w:cs="Times New Roman"/>
          <w:noProof/>
          <w:lang w:val="fr-CA" w:bidi="en-US"/>
        </w:rPr>
        <w:t xml:space="preserve">, </w:t>
      </w:r>
      <w:r w:rsidRPr="00000DCC">
        <w:rPr>
          <w:rFonts w:cs="Times New Roman"/>
          <w:i/>
          <w:noProof/>
          <w:lang w:val="fr-CA" w:bidi="en-US"/>
        </w:rPr>
        <w:t>Edmonton East</w:t>
      </w:r>
      <w:r w:rsidRPr="00000DCC">
        <w:rPr>
          <w:rFonts w:cs="Times New Roman"/>
          <w:noProof/>
          <w:lang w:val="fr-CA" w:bidi="en-US"/>
        </w:rPr>
        <w:t xml:space="preserve"> et la jurisprudence subséquente, où la Cour a simplifié l’analyse relative à la norme de contrôle pour passer d’une approche contextuelle à une approche davantage orientée vers des catégories, les mécanismes d’appel prévus par la loi ont cessé de jouer un rôle dans l’analyse. Bien qu’elle ait pu s’avérer louable, cette simplification de l’analyse relative à la norme de contrôle ne justifie pas que l’on cesse de donner </w:t>
      </w:r>
      <w:r w:rsidRPr="00000DCC">
        <w:rPr>
          <w:rFonts w:cs="Times New Roman"/>
          <w:i/>
          <w:noProof/>
          <w:lang w:val="fr-CA" w:bidi="en-US"/>
        </w:rPr>
        <w:t>quelque</w:t>
      </w:r>
      <w:r w:rsidRPr="00000DCC">
        <w:rPr>
          <w:rFonts w:cs="Times New Roman"/>
          <w:noProof/>
          <w:lang w:val="fr-CA" w:bidi="en-US"/>
        </w:rPr>
        <w:t xml:space="preserve"> effet que ce soit aux mécanismes d’appel prévus par la loi</w:t>
      </w:r>
      <w:r w:rsidRPr="00000DCC">
        <w:rPr>
          <w:rFonts w:cs="Times New Roman"/>
          <w:noProof/>
          <w:lang w:val="fr-CA"/>
        </w:rPr>
        <w:t xml:space="preserve">. L’arrêt </w:t>
      </w:r>
      <w:r w:rsidRPr="00000DCC">
        <w:rPr>
          <w:rFonts w:cs="Times New Roman"/>
          <w:i/>
          <w:lang w:val="fr-CA"/>
        </w:rPr>
        <w:t xml:space="preserve">Dunsmuir </w:t>
      </w:r>
      <w:r w:rsidRPr="00000DCC">
        <w:rPr>
          <w:rFonts w:cs="Times New Roman"/>
          <w:lang w:val="fr-CA"/>
        </w:rPr>
        <w:t>lui</w:t>
      </w:r>
      <w:r w:rsidRPr="00000DCC">
        <w:rPr>
          <w:rFonts w:cs="Times New Roman"/>
          <w:lang w:val="fr-CA"/>
        </w:rPr>
        <w:noBreakHyphen/>
        <w:t>même donne peu d’indications sur la raison d’être de ce changement. Les juges majoritaires dans cet arrêt n’ont rien dit sur le rôle que joue le droit d’appel accordé par la loi dans la détermination de la norme de contrôle applicable et n’ont pas parlé du traitement réservé autrefois aux droits d’appel de cette nature par l’approche pragmatique et fonctionnelle.</w:t>
      </w:r>
    </w:p>
    <w:p w14:paraId="43B69BCA" w14:textId="2BC4DEEE"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bidi="en-US"/>
        </w:rPr>
        <w:t xml:space="preserve">De façon plus générale, il n’y a aucune raison convaincante de présumer que le législateur voulait que le mot « appel » revête un sens tout à fait différent dans une loi à caractère administratif que, par exemple, dans un contexte du droit criminel ou commercial. Accepter que le mot « appel » porte sur le même type de procédure dans tous ces contextes s’accorde également avec la présomption d’uniformité d’expression, selon laquelle le législateur est présumé employer des mots de telle sorte que les mêmes termes ont le même sens, dans une même loi ainsi que d’une loi à </w:t>
      </w:r>
      <w:r w:rsidRPr="00000DCC">
        <w:rPr>
          <w:rFonts w:cs="Times New Roman"/>
          <w:noProof/>
          <w:lang w:val="fr-CA" w:bidi="en-US"/>
        </w:rPr>
        <w:lastRenderedPageBreak/>
        <w:t xml:space="preserve">l’autre : </w:t>
      </w:r>
      <w:r w:rsidRPr="00000DCC">
        <w:rPr>
          <w:rFonts w:cs="Times New Roman"/>
          <w:noProof/>
          <w:lang w:val="fr-CA"/>
        </w:rPr>
        <w:t>R. Sullivan,</w:t>
      </w:r>
      <w:r w:rsidRPr="00000DCC">
        <w:rPr>
          <w:rFonts w:cs="Times New Roman"/>
          <w:i/>
          <w:iCs/>
          <w:noProof/>
          <w:lang w:val="fr-CA"/>
        </w:rPr>
        <w:t xml:space="preserve"> Sullivan on the Construction of Statutes</w:t>
      </w:r>
      <w:r w:rsidRPr="00000DCC">
        <w:rPr>
          <w:rFonts w:cs="Times New Roman"/>
          <w:noProof/>
          <w:lang w:val="fr-CA"/>
        </w:rPr>
        <w:t xml:space="preserve"> (6</w:t>
      </w:r>
      <w:r w:rsidRPr="00000DCC">
        <w:rPr>
          <w:rFonts w:cs="Times New Roman"/>
          <w:noProof/>
          <w:vertAlign w:val="superscript"/>
          <w:lang w:val="fr-CA"/>
        </w:rPr>
        <w:t>e</w:t>
      </w:r>
      <w:r w:rsidRPr="00000DCC">
        <w:rPr>
          <w:rFonts w:cs="Times New Roman"/>
          <w:noProof/>
          <w:lang w:val="fr-CA"/>
        </w:rPr>
        <w:t> éd. 2014)</w:t>
      </w:r>
      <w:r w:rsidRPr="00000DCC">
        <w:rPr>
          <w:rFonts w:cs="Times New Roman"/>
          <w:noProof/>
          <w:lang w:val="fr-CA" w:bidi="en-US"/>
        </w:rPr>
        <w:t xml:space="preserve">, p. 217. Le fait de tenir pour acquis que le législateur entend par « appel » le recours à une norme de contrôle applicable en appel permet également d’expliquer pourquoi bon nombre de textes législatifs prévoient </w:t>
      </w:r>
      <w:r w:rsidRPr="00000DCC">
        <w:rPr>
          <w:rFonts w:cs="Times New Roman"/>
          <w:i/>
          <w:noProof/>
          <w:lang w:val="fr-CA" w:bidi="en-US"/>
        </w:rPr>
        <w:t xml:space="preserve">à la fois </w:t>
      </w:r>
      <w:r w:rsidRPr="00000DCC">
        <w:rPr>
          <w:rFonts w:cs="Times New Roman"/>
          <w:noProof/>
          <w:lang w:val="fr-CA" w:bidi="en-US"/>
        </w:rPr>
        <w:t>des mécanismes d’appel et de contrôle judiciaire dans différents contextes, conférant ainsi deux rôles possibles aux cours de révision</w:t>
      </w:r>
      <w:r w:rsidR="00776B95">
        <w:rPr>
          <w:rFonts w:cs="Times New Roman"/>
          <w:noProof/>
          <w:lang w:val="fr-CA" w:bidi="en-US"/>
        </w:rPr>
        <w:t> </w:t>
      </w:r>
      <w:r w:rsidRPr="00000DCC">
        <w:rPr>
          <w:rFonts w:cs="Times New Roman"/>
          <w:noProof/>
          <w:lang w:val="fr-CA" w:bidi="en-US"/>
        </w:rPr>
        <w:t>: voir</w:t>
      </w:r>
      <w:r w:rsidR="00344586">
        <w:rPr>
          <w:rFonts w:cs="Times New Roman"/>
          <w:noProof/>
          <w:lang w:val="fr-CA" w:bidi="en-US"/>
        </w:rPr>
        <w:t>,</w:t>
      </w:r>
      <w:r w:rsidR="00AA54E0">
        <w:rPr>
          <w:rFonts w:cs="Times New Roman"/>
          <w:noProof/>
          <w:lang w:val="fr-CA" w:bidi="en-US"/>
        </w:rPr>
        <w:t xml:space="preserve"> p. </w:t>
      </w:r>
      <w:r w:rsidRPr="00000DCC">
        <w:rPr>
          <w:rFonts w:cs="Times New Roman"/>
          <w:noProof/>
          <w:lang w:val="fr-CA" w:bidi="en-US"/>
        </w:rPr>
        <w:t xml:space="preserve">ex., la </w:t>
      </w:r>
      <w:r w:rsidRPr="00000DCC">
        <w:rPr>
          <w:rFonts w:cs="Times New Roman"/>
          <w:i/>
          <w:noProof/>
          <w:lang w:val="fr-CA" w:bidi="en-US"/>
        </w:rPr>
        <w:t>Loi sur les Cours fédérales</w:t>
      </w:r>
      <w:r w:rsidRPr="00000DCC">
        <w:rPr>
          <w:rFonts w:cs="Times New Roman"/>
          <w:noProof/>
          <w:lang w:val="fr-CA" w:bidi="en-US"/>
        </w:rPr>
        <w:t>, L.R.C. 1985, c. F</w:t>
      </w:r>
      <w:r w:rsidRPr="00000DCC">
        <w:rPr>
          <w:rFonts w:cs="Times New Roman"/>
          <w:noProof/>
          <w:lang w:val="fr-CA" w:bidi="en-US"/>
        </w:rPr>
        <w:noBreakHyphen/>
        <w:t>7, art. 27 et 28</w:t>
      </w:r>
      <w:r w:rsidRPr="00000DCC">
        <w:rPr>
          <w:rFonts w:cs="Times New Roman"/>
          <w:noProof/>
          <w:lang w:val="fr-CA"/>
        </w:rPr>
        <w:t xml:space="preserve">. Cela vient renforcer l’idée qu’il est nécessaire de donner effet aux droits d’appel conférés par la loi. La suggestion de nos collègues que notre position à cet égard « repose » sur ce qu’elles appellent un « argument textuel » </w:t>
      </w:r>
      <w:r w:rsidRPr="00000DCC">
        <w:rPr>
          <w:rFonts w:cs="Times New Roman"/>
          <w:lang w:val="fr-CA"/>
        </w:rPr>
        <w:t>(par. 246) est inexacte.</w:t>
      </w:r>
    </w:p>
    <w:p w14:paraId="4F837E08"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bidi="en-US"/>
        </w:rPr>
        <w:t>L’examen du contexte général des mécanismes d’appel prévus par la loi fait ressortir l’absence de justification rationnelle</w:t>
      </w:r>
      <w:r w:rsidRPr="00000DCC">
        <w:rPr>
          <w:rFonts w:eastAsia="Times New Roman" w:cs="Times New Roman"/>
          <w:noProof/>
          <w:szCs w:val="24"/>
          <w:lang w:val="fr-CA" w:eastAsia="en-CA" w:bidi="en-US"/>
        </w:rPr>
        <w:t xml:space="preserve"> </w:t>
      </w:r>
      <w:r w:rsidRPr="00000DCC">
        <w:rPr>
          <w:rFonts w:cs="Times New Roman"/>
          <w:noProof/>
          <w:lang w:val="fr-CA" w:bidi="en-US"/>
        </w:rPr>
        <w:t>au fait de ne pas tenir compte de ceux</w:t>
      </w:r>
      <w:r w:rsidRPr="00000DCC">
        <w:rPr>
          <w:rFonts w:cs="Times New Roman"/>
          <w:noProof/>
          <w:lang w:val="fr-CA" w:bidi="en-US"/>
        </w:rPr>
        <w:noBreakHyphen/>
        <w:t>ci. Ainsi, l’existence d’un droit d’appel circonscrit, par exemple sur des questions de droit ou sur autorisation judiciaire, ne fait pas obstacle à l’examen d’autres éléments de la décision par voie de contrôle judiciaire. Par contre, si les mêmes normes de contrôle s’appliquaient, que la question en cause soit visée ou non par le droit d’appel ou que la personne faisant l’objet de la décision administrative ait obtenu ou non l’autorisation d’interjeter appel ou ait présenté ou non une demande de contrôle judiciaire, la disposition créant le droit d’appel serait alors tout à fait redondante. Or, cela serait contraire au principe bien établi voulant que le législateur ne parle pas pour ne rien dire </w:t>
      </w:r>
      <w:r w:rsidRPr="00000DCC">
        <w:rPr>
          <w:rFonts w:cs="Times New Roman"/>
          <w:noProof/>
          <w:lang w:val="fr-CA"/>
        </w:rPr>
        <w:t>:</w:t>
      </w:r>
      <w:r w:rsidRPr="00000DCC">
        <w:rPr>
          <w:rFonts w:eastAsiaTheme="minorHAnsi" w:cs="Times New Roman"/>
          <w:i/>
          <w:iCs/>
          <w:noProof/>
          <w:lang w:val="fr-CA" w:bidi="en-US"/>
        </w:rPr>
        <w:t xml:space="preserve"> </w:t>
      </w:r>
      <w:r w:rsidRPr="00000DCC">
        <w:rPr>
          <w:rFonts w:cs="Times New Roman"/>
          <w:i/>
          <w:iCs/>
          <w:noProof/>
          <w:lang w:val="fr-CA" w:bidi="en-US"/>
        </w:rPr>
        <w:t>Procureur général du Québec c. Carrières Ste</w:t>
      </w:r>
      <w:r w:rsidRPr="00000DCC">
        <w:rPr>
          <w:rFonts w:cs="Times New Roman"/>
          <w:i/>
          <w:iCs/>
          <w:noProof/>
          <w:lang w:val="fr-CA" w:bidi="en-US"/>
        </w:rPr>
        <w:noBreakHyphen/>
        <w:t>Thérèse Ltée</w:t>
      </w:r>
      <w:r w:rsidRPr="00000DCC">
        <w:rPr>
          <w:rFonts w:cs="Times New Roman"/>
          <w:noProof/>
          <w:lang w:val="fr-CA" w:bidi="en-US"/>
        </w:rPr>
        <w:t>, [1985] 1 R.C.S. 831, p. 838.</w:t>
      </w:r>
    </w:p>
    <w:p w14:paraId="0286D718" w14:textId="70E4D0B6"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bidi="en-US"/>
        </w:rPr>
        <w:t xml:space="preserve">Enfin, et ceci est déterminant, les pourvois dont la Cour est saisie ont permis de procéder à un examen exhaustif et fouillé de l’analyse relative à la norme de </w:t>
      </w:r>
      <w:r w:rsidRPr="00000DCC">
        <w:rPr>
          <w:rFonts w:cs="Times New Roman"/>
          <w:noProof/>
          <w:lang w:val="fr-CA" w:bidi="en-US"/>
        </w:rPr>
        <w:lastRenderedPageBreak/>
        <w:t xml:space="preserve">contrôle afin de remédier aux difficultés conceptuelles et pratiques qui contribuent à rendre ce domaine du droit éprouvant tant pour les justiciables que pour les cours de justice. Pour atteindre cet objectif, le cadre d’analyse révisé doit permettre l’application des mécanismes d’appel prévus par la loi, et ce, pour au moins deux raisons. La première est d’ordre conceptuel. Dans le passé, notre Cour a fait abstraction d’une disposition créant un droit d’appel notamment dans le cas où le décideur possède une expertise relative supérieure — ce que la Cour a appelé le principe de la « spécialisation des fonctions » dans </w:t>
      </w:r>
      <w:r w:rsidRPr="00000DCC">
        <w:rPr>
          <w:rFonts w:cs="Times New Roman"/>
          <w:i/>
          <w:noProof/>
          <w:lang w:val="fr-CA" w:bidi="en-US"/>
        </w:rPr>
        <w:t>Pezim</w:t>
      </w:r>
      <w:r w:rsidR="00572ABA">
        <w:rPr>
          <w:rFonts w:cs="Times New Roman"/>
          <w:noProof/>
          <w:lang w:val="fr-CA" w:bidi="en-US"/>
        </w:rPr>
        <w:t xml:space="preserve">, </w:t>
      </w:r>
      <w:r w:rsidRPr="00000DCC">
        <w:rPr>
          <w:rFonts w:cs="Times New Roman"/>
          <w:noProof/>
          <w:lang w:val="fr-CA" w:bidi="en-US"/>
        </w:rPr>
        <w:t>p. 591. Or, comme nous l’avons mentionné, la présomption d’application de la norme de la décision raisonnable en cas de contrôle judiciaire n’est plus fondée sur la notion d’expertise relative. Elle repose plutôt maintenant sur le respect du choix d’organisation institutionnelle de la part du législateur qui a préféré confier le pouvoir décisionnel à un décideur administratif plutôt qu’à une cour de justice. Il serait incompatible avec ce fondement conceptuel de la présomption d’application de la norme de la décision raisonnable de faire fi d’indications claires que le législateur a délibérément voulu conférer un rôle plus actif aux cours de justice. Tout comme le fait de reconnaître la présomption d’application de la norme de la décision raisonnable à toutes les questions respecte la volonté du législateur de s’en remettre d’abord et avant tout à un décideur administratif pour certaines choses, la dérogation à cette présomption générale dans le cas d’un appel prévu par la loi respecte la volonté du législateur de conférer un rôle plus actif aux cours de justice dans la supervision du processus décisionnel administratif</w:t>
      </w:r>
      <w:r w:rsidRPr="00000DCC">
        <w:rPr>
          <w:rFonts w:cs="Times New Roman"/>
          <w:noProof/>
          <w:lang w:val="fr-CA"/>
        </w:rPr>
        <w:t>.</w:t>
      </w:r>
    </w:p>
    <w:p w14:paraId="09F67390"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bidi="en-US"/>
        </w:rPr>
        <w:t xml:space="preserve">La deuxième raison tient à ceci. Tenant compte de l’évolution de la jurisprudence au cours des dernières années, les présents motifs ferment de manière définitive la porte au recours à l’analyse contextuelle pour déterminer la norme de </w:t>
      </w:r>
      <w:r w:rsidRPr="00000DCC">
        <w:rPr>
          <w:rFonts w:cs="Times New Roman"/>
          <w:noProof/>
          <w:lang w:val="fr-CA" w:bidi="en-US"/>
        </w:rPr>
        <w:lastRenderedPageBreak/>
        <w:t>contrôle applicable, et ce, afin d’alléger et de simplifier le cadre d’analyse applicable à la norme de contrôle. Devant cette mise à l’écart d</w:t>
      </w:r>
      <w:r w:rsidRPr="00000DCC">
        <w:rPr>
          <w:rFonts w:cs="Times New Roman"/>
          <w:noProof/>
          <w:lang w:val="fr-CA"/>
        </w:rPr>
        <w:t>e l’approche contextuelle dans le choix de la norme de contrôle applicable, il devient nécessaire que les droits d’appel prévus par la loi jouent le rôle qui est le leur. L’élimination de l’approche contextuelle fait en sorte que les droits d’appel accordés par la loi doivent maintenant soit ne jouer aucun rôle en droit administratif, soit être reconnus comme indiquant une dérogation à l’application par défaut de la norme de la décision raisonnable. La seconde thèse doit prévaloir.</w:t>
      </w:r>
    </w:p>
    <w:p w14:paraId="4EBC0580" w14:textId="46997226"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lang w:val="fr-CA"/>
        </w:rPr>
        <w:t xml:space="preserve">Nos collègues reconnaissent que le temps est venu d’en finir avec l’approche contextuelle énoncée dans l’arrêt </w:t>
      </w:r>
      <w:r w:rsidRPr="00000DCC">
        <w:rPr>
          <w:rFonts w:cs="Times New Roman"/>
          <w:i/>
          <w:lang w:val="fr-CA"/>
        </w:rPr>
        <w:t xml:space="preserve">Dunsmuir </w:t>
      </w:r>
      <w:r w:rsidRPr="00000DCC">
        <w:rPr>
          <w:rFonts w:cs="Times New Roman"/>
          <w:lang w:val="fr-CA"/>
        </w:rPr>
        <w:t>et d’adopter une présomption d’application de la norme de la décision raisonnable. Nous divergeons d’opinion sur la mesure dans laquelle cette rupture avec l’approche contextuelle requiert des modifications correspondantes à d’autres aspects de la jurisprudence en matière de norme de contrôle. Nous considérons que l’élimination de l’approche contextuelle constitue un ajustement progressif mais important aux fondements du contrôle judiciaire canadien. S’il est vrai que la jurisprudence de notre Cour a, au cours des dernières années, précisé que l’approche contextuelle devrait être appliquée « avec parcimonie » (</w:t>
      </w:r>
      <w:r w:rsidRPr="00000DCC">
        <w:rPr>
          <w:rFonts w:cs="Times New Roman"/>
          <w:i/>
          <w:lang w:val="fr-CA"/>
        </w:rPr>
        <w:t>CCDP</w:t>
      </w:r>
      <w:r w:rsidRPr="00000DCC">
        <w:rPr>
          <w:rFonts w:cs="Times New Roman"/>
          <w:lang w:val="fr-CA"/>
        </w:rPr>
        <w:t>, par. 46), il est inexact de soutenir que l’état de notre jurisprudence est tel que l’élimination de l’analyse contextuelle était « </w:t>
      </w:r>
      <w:r w:rsidR="00CA6046">
        <w:rPr>
          <w:rFonts w:cs="Times New Roman"/>
          <w:lang w:val="fr-CA"/>
        </w:rPr>
        <w:t>pratiquement</w:t>
      </w:r>
      <w:r w:rsidRPr="00000DCC">
        <w:rPr>
          <w:rFonts w:cs="Times New Roman"/>
          <w:lang w:val="fr-CA"/>
        </w:rPr>
        <w:t xml:space="preserve"> achevée » : motifs des juges Abella et Karakatsanis, par. 277; voir</w:t>
      </w:r>
      <w:r w:rsidR="004066EA">
        <w:rPr>
          <w:rFonts w:cs="Times New Roman"/>
          <w:lang w:val="fr-CA"/>
        </w:rPr>
        <w:t>,</w:t>
      </w:r>
      <w:r w:rsidRPr="00000DCC">
        <w:rPr>
          <w:rFonts w:cs="Times New Roman"/>
          <w:lang w:val="fr-CA"/>
        </w:rPr>
        <w:t xml:space="preserve"> à ce sujet</w:t>
      </w:r>
      <w:r w:rsidR="004066EA">
        <w:rPr>
          <w:rFonts w:cs="Times New Roman"/>
          <w:lang w:val="fr-CA"/>
        </w:rPr>
        <w:t>,</w:t>
      </w:r>
      <w:r w:rsidRPr="00000DCC">
        <w:rPr>
          <w:rFonts w:cs="Times New Roman"/>
          <w:lang w:val="fr-CA"/>
        </w:rPr>
        <w:t xml:space="preserve"> </w:t>
      </w:r>
      <w:r w:rsidRPr="00000DCC">
        <w:rPr>
          <w:rFonts w:cs="Times New Roman"/>
          <w:i/>
          <w:lang w:val="fr-CA"/>
        </w:rPr>
        <w:t>CCDP</w:t>
      </w:r>
      <w:r w:rsidRPr="00000DCC">
        <w:rPr>
          <w:rFonts w:cs="Times New Roman"/>
          <w:lang w:val="fr-CA"/>
        </w:rPr>
        <w:t>, par. 44</w:t>
      </w:r>
      <w:r w:rsidRPr="00000DCC">
        <w:rPr>
          <w:rFonts w:cs="Times New Roman"/>
          <w:lang w:val="fr-CA"/>
        </w:rPr>
        <w:noBreakHyphen/>
        <w:t xml:space="preserve">54; </w:t>
      </w:r>
      <w:r w:rsidRPr="00000DCC">
        <w:rPr>
          <w:rFonts w:cs="Times New Roman"/>
          <w:i/>
          <w:lang w:val="fr-CA"/>
        </w:rPr>
        <w:t>Saguenay</w:t>
      </w:r>
      <w:r w:rsidRPr="00000DCC">
        <w:rPr>
          <w:rFonts w:cs="Times New Roman"/>
          <w:lang w:val="fr-CA"/>
        </w:rPr>
        <w:t xml:space="preserve">, par. 46; </w:t>
      </w:r>
      <w:r w:rsidRPr="00000DCC">
        <w:rPr>
          <w:rFonts w:cs="Times New Roman"/>
          <w:i/>
          <w:lang w:val="fr-CA"/>
        </w:rPr>
        <w:t>Tervita</w:t>
      </w:r>
      <w:r w:rsidRPr="00000DCC">
        <w:rPr>
          <w:rFonts w:cs="Times New Roman"/>
          <w:lang w:val="fr-CA"/>
        </w:rPr>
        <w:t xml:space="preserve">, par. 35; </w:t>
      </w:r>
      <w:r w:rsidRPr="00000DCC">
        <w:rPr>
          <w:rFonts w:cs="Times New Roman"/>
          <w:i/>
          <w:lang w:val="fr-CA"/>
        </w:rPr>
        <w:t>McLean</w:t>
      </w:r>
      <w:r w:rsidRPr="00000DCC">
        <w:rPr>
          <w:rFonts w:cs="Times New Roman"/>
          <w:lang w:val="fr-CA"/>
        </w:rPr>
        <w:t xml:space="preserve">, par. 22; </w:t>
      </w:r>
      <w:r w:rsidRPr="00000DCC">
        <w:rPr>
          <w:rFonts w:cs="Times New Roman"/>
          <w:i/>
          <w:lang w:val="fr-CA"/>
        </w:rPr>
        <w:t>Edmonton East</w:t>
      </w:r>
      <w:r w:rsidRPr="00000DCC">
        <w:rPr>
          <w:rFonts w:cs="Times New Roman"/>
          <w:lang w:val="fr-CA"/>
        </w:rPr>
        <w:t xml:space="preserve">, par. 32; </w:t>
      </w:r>
      <w:r w:rsidRPr="00000DCC">
        <w:rPr>
          <w:rFonts w:cs="Times New Roman"/>
          <w:i/>
          <w:lang w:val="fr-CA"/>
        </w:rPr>
        <w:t>Rogers Communications Inc. c. Société canadienne des auteurs, compositeurs et éditeurs de musique</w:t>
      </w:r>
      <w:r w:rsidRPr="00000DCC">
        <w:rPr>
          <w:rFonts w:cs="Times New Roman"/>
          <w:lang w:val="fr-CA"/>
        </w:rPr>
        <w:t xml:space="preserve">, 2012 CSC 35, [2012] 2 R.C.S. 283, par. 15. L’analyse contextuelle forme un volet du cadre d’analyse général de la norme de contrôle établi </w:t>
      </w:r>
      <w:r w:rsidRPr="00000DCC">
        <w:rPr>
          <w:rFonts w:cs="Times New Roman"/>
          <w:lang w:val="fr-CA"/>
        </w:rPr>
        <w:lastRenderedPageBreak/>
        <w:t xml:space="preserve">dans l’arrêt </w:t>
      </w:r>
      <w:r w:rsidRPr="00000DCC">
        <w:rPr>
          <w:rFonts w:cs="Times New Roman"/>
          <w:i/>
          <w:lang w:val="fr-CA"/>
        </w:rPr>
        <w:t>Dunsmuir</w:t>
      </w:r>
      <w:r w:rsidRPr="00000DCC">
        <w:rPr>
          <w:rFonts w:cs="Times New Roman"/>
          <w:lang w:val="fr-CA"/>
        </w:rPr>
        <w:t>. Une rupture avec cet aspect du cadre d’analyse énoncé dans l’arrêt</w:t>
      </w:r>
      <w:r w:rsidRPr="00000DCC">
        <w:rPr>
          <w:rFonts w:cs="Times New Roman"/>
          <w:i/>
          <w:lang w:val="fr-CA"/>
        </w:rPr>
        <w:t xml:space="preserve"> Dunsmuir </w:t>
      </w:r>
      <w:r w:rsidRPr="00000DCC">
        <w:rPr>
          <w:rFonts w:cs="Times New Roman"/>
          <w:lang w:val="fr-CA"/>
        </w:rPr>
        <w:t>exige un rééquilibrage réfléchi du cadre d’analyse dans son ensemble afin de maintenir l’équilibre, fondamental en droit administratif, entre les rôles des décideurs administratifs et ceux des cours de révision.</w:t>
      </w:r>
    </w:p>
    <w:p w14:paraId="1E2BD416"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À notre avis, vu le point de départ qui repose sur cette présomption d’application de la norme de la décision raisonnable, et en l’absence d’une</w:t>
      </w:r>
      <w:r w:rsidRPr="00000DCC">
        <w:rPr>
          <w:rFonts w:cs="Times New Roman"/>
          <w:noProof/>
          <w:lang w:val="fr-CA" w:bidi="en-US"/>
        </w:rPr>
        <w:t xml:space="preserve"> analyse contextuelle, le présent cadre d’analyse se doit de donner effet à l’intention du législateur en matière de mécanismes d’appel prévus par la loi. Il s’agit là d’indications claires de la volonté du législateur sur la norme de contrôle applicable, lesquelles imposent aux cours de révision d’appliquer les normes d’intervention qui prévalent en appel</w:t>
      </w:r>
      <w:r w:rsidRPr="00000DCC">
        <w:rPr>
          <w:rFonts w:cs="Times New Roman"/>
          <w:noProof/>
          <w:lang w:val="fr-CA"/>
        </w:rPr>
        <w:t>. À l’inverse, dans un tel cadre d’analyse qui repose sur la présomption d’application de la norme de la décision raisonnable, les facteurs contextuels que les cours de justice voyaient autrefois comme des signes militant en faveur d’un contrôle empreint de déférence, telles les clauses privatives, ne remplissent dorénavant aucune fonction indépendante ou supplémentaire dans la détermination de la norme de contrôle applicable.</w:t>
      </w:r>
    </w:p>
    <w:p w14:paraId="12741D52"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bidi="en-US"/>
        </w:rPr>
        <w:t>Nous apportons ici trois précisions sur le rôle que joue le mécanisme d’appel prévu par la loi dans le choix de la norme de contrôle applicable. Premièrement, nous soulignons que les régimes législatifs peuvent accorder aux parties le droit de porter en appel une décision administrative devant une cour de justice en tout temps (c’est</w:t>
      </w:r>
      <w:r w:rsidRPr="00000DCC">
        <w:rPr>
          <w:rFonts w:cs="Times New Roman"/>
          <w:noProof/>
          <w:lang w:val="fr-CA" w:bidi="en-US"/>
        </w:rPr>
        <w:noBreakHyphen/>
        <w:t>à</w:t>
      </w:r>
      <w:r w:rsidRPr="00000DCC">
        <w:rPr>
          <w:rFonts w:cs="Times New Roman"/>
          <w:noProof/>
          <w:lang w:val="fr-CA" w:bidi="en-US"/>
        </w:rPr>
        <w:noBreakHyphen/>
        <w:t>dire, de plein droit) ou sur autorisation. Si l’obligation d’obtenir une autorisation détermine si un appel à l’encontre d’une décision sera instruit, elle n’a aucun impact sur la norme qui prévaut en appel une fois l’autorisation accordée</w:t>
      </w:r>
      <w:r w:rsidRPr="00000DCC">
        <w:rPr>
          <w:rFonts w:cs="Times New Roman"/>
          <w:noProof/>
          <w:lang w:val="fr-CA"/>
        </w:rPr>
        <w:t>.</w:t>
      </w:r>
    </w:p>
    <w:p w14:paraId="0B9597A7" w14:textId="481A3231" w:rsidR="00AE2373" w:rsidRPr="00000DCC" w:rsidRDefault="00AE2373" w:rsidP="00AE2373">
      <w:pPr>
        <w:pStyle w:val="ParaNoNdepar-AltN"/>
        <w:tabs>
          <w:tab w:val="clear" w:pos="1166"/>
          <w:tab w:val="clear" w:pos="1422"/>
          <w:tab w:val="left" w:pos="1170"/>
        </w:tabs>
        <w:spacing w:before="0"/>
        <w:rPr>
          <w:rFonts w:cs="Times New Roman"/>
          <w:noProof/>
          <w:lang w:val="fr-CA"/>
        </w:rPr>
      </w:pPr>
      <w:r w:rsidRPr="00000DCC">
        <w:rPr>
          <w:rFonts w:cs="Times New Roman"/>
          <w:noProof/>
          <w:lang w:val="fr-CA" w:bidi="en-US"/>
        </w:rPr>
        <w:lastRenderedPageBreak/>
        <w:t>Deuxièmement, nous rappelons que ce ne sont pas toutes les dispositions législatives envisage</w:t>
      </w:r>
      <w:r>
        <w:rPr>
          <w:rFonts w:cs="Times New Roman"/>
          <w:noProof/>
          <w:lang w:val="fr-CA" w:bidi="en-US"/>
        </w:rPr>
        <w:t>a</w:t>
      </w:r>
      <w:r w:rsidRPr="00000DCC">
        <w:rPr>
          <w:rFonts w:cs="Times New Roman"/>
          <w:noProof/>
          <w:lang w:val="fr-CA" w:bidi="en-US"/>
        </w:rPr>
        <w:t xml:space="preserve">nt la possibilité qu’une cour de justice puisse contrôler une décision administrative </w:t>
      </w:r>
      <w:r>
        <w:rPr>
          <w:rFonts w:cs="Times New Roman"/>
          <w:noProof/>
          <w:lang w:val="fr-CA" w:bidi="en-US"/>
        </w:rPr>
        <w:t>qui confèrent</w:t>
      </w:r>
      <w:r w:rsidRPr="00000DCC">
        <w:rPr>
          <w:rFonts w:cs="Times New Roman"/>
          <w:noProof/>
          <w:lang w:val="fr-CA" w:bidi="en-US"/>
        </w:rPr>
        <w:t xml:space="preserve"> dans les faits un droit d’appel. Certaines dispositions reconnaissent simplement que toute décision administrative est susceptible de contrôle judiciaire et traitent de questions de procédure ou d’autres éléments semblables du contrôle judiciaire applicable dans un contexte particulier. Comme elles n’attribuent pas de fonction d’appel aux cours de justice, ces dispositions ne permettent pas de recourir aux normes d’intervention applicables en appel. Parmi ces dispositions figurent les art. 18 à 18.2, 18.4 et 28 de la </w:t>
      </w:r>
      <w:r w:rsidRPr="00000DCC">
        <w:rPr>
          <w:rFonts w:cs="Times New Roman"/>
          <w:i/>
          <w:noProof/>
          <w:lang w:val="fr-CA" w:bidi="en-US"/>
        </w:rPr>
        <w:t>Loi sur les Cours fédérales</w:t>
      </w:r>
      <w:r w:rsidRPr="00000DCC">
        <w:rPr>
          <w:rFonts w:cs="Times New Roman"/>
          <w:noProof/>
          <w:lang w:val="fr-CA" w:bidi="en-US"/>
        </w:rPr>
        <w:t xml:space="preserve"> qui donnent à la Cour fédérale et à la Cour d’appel fédérale compétence pour connaître des demandes de contrôle judiciaire visant des offices fédéraux, accorder réparation le cas échéant et se prononcer sur les aspects procéduraux de ces demandes</w:t>
      </w:r>
      <w:r w:rsidR="006C3B27">
        <w:rPr>
          <w:rFonts w:cs="Times New Roman"/>
          <w:noProof/>
          <w:lang w:val="fr-CA" w:bidi="en-US"/>
        </w:rPr>
        <w:t> </w:t>
      </w:r>
      <w:r w:rsidRPr="00000DCC">
        <w:rPr>
          <w:rFonts w:cs="Times New Roman"/>
          <w:noProof/>
          <w:lang w:val="fr-CA" w:bidi="en-US"/>
        </w:rPr>
        <w:t xml:space="preserve">: voir </w:t>
      </w:r>
      <w:r w:rsidRPr="00000DCC">
        <w:rPr>
          <w:rFonts w:cs="Times New Roman"/>
          <w:i/>
          <w:noProof/>
          <w:lang w:val="fr-CA" w:bidi="en-US"/>
        </w:rPr>
        <w:t>Khosa</w:t>
      </w:r>
      <w:r w:rsidRPr="00000DCC">
        <w:rPr>
          <w:rFonts w:cs="Times New Roman"/>
          <w:noProof/>
          <w:lang w:val="fr-CA" w:bidi="en-US"/>
        </w:rPr>
        <w:t xml:space="preserve">, par. 34. Un autre exemple est celui de l’art. 470, dans sa version actuelle, de la </w:t>
      </w:r>
      <w:r w:rsidRPr="00000DCC">
        <w:rPr>
          <w:rFonts w:cs="Times New Roman"/>
          <w:i/>
          <w:noProof/>
          <w:lang w:val="fr-CA" w:bidi="en-US"/>
        </w:rPr>
        <w:t>Municipal Government Act</w:t>
      </w:r>
      <w:r w:rsidRPr="00000DCC">
        <w:rPr>
          <w:rFonts w:cs="Times New Roman"/>
          <w:noProof/>
          <w:lang w:val="fr-CA" w:bidi="en-US"/>
        </w:rPr>
        <w:t>, R.S.A. 2000, c. M</w:t>
      </w:r>
      <w:r w:rsidRPr="00000DCC">
        <w:rPr>
          <w:rFonts w:cs="Times New Roman"/>
          <w:noProof/>
          <w:lang w:val="fr-CA" w:bidi="en-US"/>
        </w:rPr>
        <w:noBreakHyphen/>
        <w:t xml:space="preserve">26, de l’Alberta, qui ne prévoit pas de droit d’appel devant une cour de justice, mais porte plutôt sur des considérations et des conséquences procédurales </w:t>
      </w:r>
      <w:r w:rsidRPr="00000DCC">
        <w:rPr>
          <w:rFonts w:cs="Times New Roman"/>
          <w:smallCaps/>
          <w:noProof/>
          <w:lang w:val="fr-CA" w:bidi="en-US"/>
        </w:rPr>
        <w:t>[traduction]</w:t>
      </w:r>
      <w:r w:rsidRPr="00000DCC">
        <w:rPr>
          <w:rFonts w:cs="Times New Roman"/>
          <w:noProof/>
          <w:lang w:val="fr-CA" w:bidi="en-US"/>
        </w:rPr>
        <w:t xml:space="preserve"> « [d]ans le cas où la décision</w:t>
      </w:r>
      <w:r w:rsidRPr="00000DCC">
        <w:rPr>
          <w:rFonts w:cs="Times New Roman"/>
          <w:noProof/>
          <w:lang w:val="fr-CA"/>
        </w:rPr>
        <w:t xml:space="preserve"> d’un comité de révision des évaluations fait l’objet d’une demande de contrôle judiciaire » : par. 470(1).</w:t>
      </w:r>
    </w:p>
    <w:p w14:paraId="04E79260"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bidi="en-US"/>
        </w:rPr>
        <w:t xml:space="preserve">Troisièmement, nous soulignons que les droits d’appel conférés par la loi sont souvent circonscrits : leur portée peut être restreinte en fonction des types de questions sur lesquelles une partie peut interjeter appel (par exemple, lorsque le droit d’appel ne vise que des questions de droit), ou en fonction du type de décision susceptible d’être portée en appel (lorsque, par exemple, certaines décisions d’un décideur administratif sont sans appel devant une cour de justice), ou bien en fonction de la partie ou des parties qui peuvent porter la cause en appel. La présence d’un droit </w:t>
      </w:r>
      <w:r w:rsidRPr="00000DCC">
        <w:rPr>
          <w:rFonts w:cs="Times New Roman"/>
          <w:noProof/>
          <w:lang w:val="fr-CA" w:bidi="en-US"/>
        </w:rPr>
        <w:lastRenderedPageBreak/>
        <w:t>d’appel circonscrit dans le cadre d’un régime législatif ne fait pas obstacle en soi aux demandes de contrôle judiciaire visant des décisions ou des questions qui ne sont pas visées par le mécanisme d’appel, ni aux recours intentés par des personnes qui n’ont aucun droit d’appel. Dans de tels cas, ce contrôle judiciaire diffère toutefois d’un appel, et la présomption d’application de la norme de la décision raisonnable lors du contrôle judiciaire ne sera pas réfutée en invoquant le mécanisme d’appel autrement prévu par la loi</w:t>
      </w:r>
      <w:r w:rsidRPr="00000DCC">
        <w:rPr>
          <w:rFonts w:cs="Times New Roman"/>
          <w:noProof/>
          <w:lang w:val="fr-CA"/>
        </w:rPr>
        <w:t>.</w:t>
      </w:r>
    </w:p>
    <w:p w14:paraId="42E722E6" w14:textId="77777777" w:rsidR="00AE2373" w:rsidRPr="00000DCC" w:rsidRDefault="00AE2373" w:rsidP="00AE2373">
      <w:pPr>
        <w:pStyle w:val="Title2LevelTitre2Niveau"/>
        <w:numPr>
          <w:ilvl w:val="1"/>
          <w:numId w:val="8"/>
        </w:numPr>
        <w:tabs>
          <w:tab w:val="left" w:pos="1560"/>
        </w:tabs>
        <w:spacing w:before="0"/>
        <w:jc w:val="left"/>
        <w:rPr>
          <w:rFonts w:cs="Times New Roman"/>
          <w:noProof/>
          <w:lang w:val="fr-CA"/>
        </w:rPr>
      </w:pPr>
      <w:r w:rsidRPr="00000DCC">
        <w:rPr>
          <w:rFonts w:cs="Times New Roman"/>
          <w:noProof/>
          <w:lang w:val="fr-CA"/>
        </w:rPr>
        <w:t>La norme de la décision correcte s’impose lorsque la primauté du droit l’exige</w:t>
      </w:r>
    </w:p>
    <w:p w14:paraId="3832A9F9"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bidi="en-US"/>
        </w:rPr>
        <w:t xml:space="preserve">À notre avis, le respect de la primauté du droit exige que les cours de justice appliquent la norme de la décision correcte à l’égard de certains types de questions de droit : les questions constitutionnelles, les questions de droit générales d’une importance capitale pour le système juridique dans son ensemble, et les questions liées aux délimitations des compétences respectives d’organismes administratifs. L’application de la norme de la décision correcte à l’égard de ces questions s’accorde avec le rôle unique du pouvoir judiciaire dans l’interprétation de la Constitution, et fait en sorte que les cours de justice ont le dernier mot sur des questions à l’égard desquelles la primauté du droit exige une cohérence et une réponse décisive et définitive s’impose : </w:t>
      </w:r>
      <w:r w:rsidRPr="00000DCC">
        <w:rPr>
          <w:rFonts w:cs="Times New Roman"/>
          <w:i/>
          <w:noProof/>
          <w:lang w:val="fr-CA" w:bidi="en-US"/>
        </w:rPr>
        <w:t>Dunsmuir</w:t>
      </w:r>
      <w:r w:rsidRPr="00000DCC">
        <w:rPr>
          <w:rFonts w:cs="Times New Roman"/>
          <w:noProof/>
          <w:lang w:val="fr-CA" w:bidi="en-US"/>
        </w:rPr>
        <w:t>, par. 58</w:t>
      </w:r>
      <w:r w:rsidRPr="00000DCC">
        <w:rPr>
          <w:rFonts w:cs="Times New Roman"/>
          <w:noProof/>
          <w:lang w:val="fr-CA"/>
        </w:rPr>
        <w:t>.</w:t>
      </w:r>
    </w:p>
    <w:p w14:paraId="0AAF75D3"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bidi="en-US"/>
        </w:rPr>
        <w:t xml:space="preserve">La cour de révision qui applique la norme de la décision correcte peut choisir de confirmer la conclusion du décideur </w:t>
      </w:r>
      <w:r>
        <w:rPr>
          <w:rFonts w:cs="Times New Roman"/>
          <w:noProof/>
          <w:lang w:val="fr-CA" w:bidi="en-US"/>
        </w:rPr>
        <w:t xml:space="preserve">administratif </w:t>
      </w:r>
      <w:r w:rsidRPr="00000DCC">
        <w:rPr>
          <w:rFonts w:cs="Times New Roman"/>
          <w:noProof/>
          <w:lang w:val="fr-CA" w:bidi="en-US"/>
        </w:rPr>
        <w:t xml:space="preserve">ou de lui substituer sa propre conclusion : </w:t>
      </w:r>
      <w:r w:rsidRPr="00000DCC">
        <w:rPr>
          <w:rFonts w:cs="Times New Roman"/>
          <w:i/>
          <w:noProof/>
          <w:lang w:val="fr-CA" w:bidi="en-US"/>
        </w:rPr>
        <w:t>Dunsmuir</w:t>
      </w:r>
      <w:r w:rsidRPr="00000DCC">
        <w:rPr>
          <w:rFonts w:cs="Times New Roman"/>
          <w:noProof/>
          <w:lang w:val="fr-CA" w:bidi="en-US"/>
        </w:rPr>
        <w:t xml:space="preserve">, par. 50. S’il est opportun que la cour de révision tienne compte du raisonnement du décideur administratif — et puisse en fait le trouver </w:t>
      </w:r>
      <w:r w:rsidRPr="00000DCC">
        <w:rPr>
          <w:rFonts w:cs="Times New Roman"/>
          <w:noProof/>
          <w:lang w:val="fr-CA" w:bidi="en-US"/>
        </w:rPr>
        <w:lastRenderedPageBreak/>
        <w:t>convaincant et le faire sien — elle est en fin de compte habilitée à tirer ses propres conclusions sur la question en litige</w:t>
      </w:r>
      <w:r w:rsidRPr="00000DCC">
        <w:rPr>
          <w:rFonts w:cs="Times New Roman"/>
          <w:noProof/>
          <w:lang w:val="fr-CA"/>
        </w:rPr>
        <w:t>.</w:t>
      </w:r>
    </w:p>
    <w:p w14:paraId="0847D441" w14:textId="77777777" w:rsidR="00AE2373" w:rsidRPr="00000DCC" w:rsidRDefault="00AE2373" w:rsidP="00AE2373">
      <w:pPr>
        <w:numPr>
          <w:ilvl w:val="2"/>
          <w:numId w:val="8"/>
        </w:numPr>
        <w:tabs>
          <w:tab w:val="left" w:pos="1560"/>
        </w:tabs>
        <w:spacing w:after="720"/>
        <w:outlineLvl w:val="2"/>
        <w:rPr>
          <w:rFonts w:eastAsiaTheme="minorHAnsi"/>
          <w:noProof/>
          <w:szCs w:val="22"/>
          <w:u w:val="single"/>
          <w:lang w:val="fr-CA" w:eastAsia="en-US"/>
        </w:rPr>
      </w:pPr>
      <w:r w:rsidRPr="00000DCC">
        <w:rPr>
          <w:rFonts w:eastAsiaTheme="minorHAnsi"/>
          <w:noProof/>
          <w:szCs w:val="22"/>
          <w:u w:val="single"/>
          <w:lang w:val="fr-CA" w:eastAsia="en-US"/>
        </w:rPr>
        <w:t>Les questions constitutionnelles</w:t>
      </w:r>
    </w:p>
    <w:p w14:paraId="46A688B8"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L’examen des questions touchant au partage des compétences entre le Parlement et les provinces, au rapport entre le législateur et les autres organes de l’État, à la portée des droits ancestraux et droits issus de traités reconnus à l’art. 35 de la </w:t>
      </w:r>
      <w:r w:rsidRPr="00000DCC">
        <w:rPr>
          <w:rFonts w:cs="Times New Roman"/>
          <w:i/>
          <w:noProof/>
          <w:lang w:val="fr-CA"/>
        </w:rPr>
        <w:t>Loi constitutionnelle de 1982</w:t>
      </w:r>
      <w:r w:rsidRPr="00000DCC">
        <w:rPr>
          <w:rFonts w:cs="Times New Roman"/>
          <w:noProof/>
          <w:lang w:val="fr-CA"/>
        </w:rPr>
        <w:t xml:space="preserve">, et à d’autres questions de droit constitutionnel nécessite une réponse décisive et définitive des cours de justice. Il faut donc continuer d’appliquer la norme de la décision correcte au moment d’examiner les questions de cette nature : </w:t>
      </w:r>
      <w:r w:rsidRPr="00000DCC">
        <w:rPr>
          <w:rFonts w:cs="Times New Roman"/>
          <w:i/>
          <w:noProof/>
          <w:lang w:val="fr-CA"/>
        </w:rPr>
        <w:t>Dunsmuir</w:t>
      </w:r>
      <w:r w:rsidRPr="00000DCC">
        <w:rPr>
          <w:rFonts w:cs="Times New Roman"/>
          <w:noProof/>
          <w:lang w:val="fr-CA"/>
        </w:rPr>
        <w:t xml:space="preserve">, par. 58; </w:t>
      </w:r>
      <w:r w:rsidRPr="00000DCC">
        <w:rPr>
          <w:rFonts w:cs="Times New Roman"/>
          <w:i/>
          <w:noProof/>
          <w:lang w:val="fr-CA"/>
        </w:rPr>
        <w:t>Westcoast Energy Inc. c. Canada (Office national de l’énergie)</w:t>
      </w:r>
      <w:r w:rsidRPr="00000DCC">
        <w:rPr>
          <w:rFonts w:cs="Times New Roman"/>
          <w:noProof/>
          <w:lang w:val="fr-CA"/>
        </w:rPr>
        <w:t>, [1998] 1 R.C.S. 322.</w:t>
      </w:r>
    </w:p>
    <w:p w14:paraId="7DD7E324"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bidi="en-US"/>
        </w:rPr>
        <w:t>La Constitution tant écrite que non écrite circonscrit l’ensemble des mesures prises par l’État. Les législateurs et les décideurs administratifs sont tenus de respecter la Constitution. Un législateur ne saurait modifier la portée de ses propres pouvoirs constitutionnels par voie législative. Il ne saurait non plus modifier les limites constitutionnelles de ses pouvoirs exécutifs en déléguant ceux</w:t>
      </w:r>
      <w:r w:rsidRPr="00000DCC">
        <w:rPr>
          <w:rFonts w:cs="Times New Roman"/>
          <w:noProof/>
          <w:lang w:val="fr-CA" w:bidi="en-US"/>
        </w:rPr>
        <w:noBreakHyphen/>
        <w:t>ci à un organe administratif. En d’autres termes, si un législateur peut choisir les pouvoirs à déléguer à un organisme administratif, il ne peut déléguer des pouvoirs dont la Constitution ne l’investit pas. Le pouvoir constitutionnel d’agir doit comporter des limites définies et uniformes, ce qui commande l’application de la norme de la décision correcte</w:t>
      </w:r>
      <w:r w:rsidRPr="00000DCC">
        <w:rPr>
          <w:rFonts w:cs="Times New Roman"/>
          <w:noProof/>
          <w:lang w:val="fr-CA"/>
        </w:rPr>
        <w:t>.</w:t>
      </w:r>
    </w:p>
    <w:p w14:paraId="5E31D649" w14:textId="77777777" w:rsidR="00AE2373" w:rsidRPr="00000DCC" w:rsidRDefault="00AE2373" w:rsidP="00AE2373">
      <w:pPr>
        <w:pStyle w:val="ParaNoNdepar-AltN"/>
        <w:tabs>
          <w:tab w:val="clear" w:pos="1166"/>
          <w:tab w:val="clear" w:pos="1422"/>
          <w:tab w:val="num" w:pos="1170"/>
        </w:tabs>
        <w:spacing w:before="0"/>
        <w:rPr>
          <w:rFonts w:cs="Times New Roman"/>
          <w:noProof/>
          <w:sz w:val="19"/>
          <w:szCs w:val="19"/>
          <w:lang w:val="fr-CA"/>
        </w:rPr>
      </w:pPr>
      <w:r w:rsidRPr="00000DCC">
        <w:rPr>
          <w:rFonts w:cs="Times New Roman"/>
          <w:noProof/>
          <w:lang w:val="fr-CA"/>
        </w:rPr>
        <w:t xml:space="preserve">Bien que des </w:t>
      </w:r>
      <w:r w:rsidRPr="00000DCC">
        <w:rPr>
          <w:rFonts w:cs="Times New Roman"/>
          <w:i/>
          <w:noProof/>
          <w:lang w:val="fr-CA"/>
        </w:rPr>
        <w:t>amici curiae</w:t>
      </w:r>
      <w:r w:rsidRPr="00000DCC">
        <w:rPr>
          <w:rFonts w:cs="Times New Roman"/>
          <w:noProof/>
          <w:lang w:val="fr-CA"/>
        </w:rPr>
        <w:t xml:space="preserve"> aient remis en question la méthode de détermination de la</w:t>
      </w:r>
      <w:r>
        <w:rPr>
          <w:rFonts w:cs="Times New Roman"/>
          <w:noProof/>
          <w:lang w:val="fr-CA"/>
        </w:rPr>
        <w:t xml:space="preserve"> </w:t>
      </w:r>
      <w:r w:rsidRPr="00000DCC">
        <w:rPr>
          <w:rFonts w:cs="Times New Roman"/>
          <w:noProof/>
          <w:lang w:val="fr-CA"/>
        </w:rPr>
        <w:t xml:space="preserve">norme de contrôle établie dans l’arrêt </w:t>
      </w:r>
      <w:r w:rsidRPr="00000DCC">
        <w:rPr>
          <w:rFonts w:cs="Times New Roman"/>
          <w:i/>
          <w:noProof/>
          <w:lang w:val="fr-CA"/>
        </w:rPr>
        <w:t>Doré c. Barreau du Québec</w:t>
      </w:r>
      <w:r w:rsidRPr="00000DCC">
        <w:rPr>
          <w:rFonts w:cs="Times New Roman"/>
          <w:noProof/>
          <w:lang w:val="fr-CA"/>
        </w:rPr>
        <w:t xml:space="preserve">, </w:t>
      </w:r>
      <w:r w:rsidRPr="00000DCC">
        <w:rPr>
          <w:rFonts w:cs="Times New Roman"/>
          <w:noProof/>
          <w:lang w:val="fr-CA"/>
        </w:rPr>
        <w:lastRenderedPageBreak/>
        <w:t xml:space="preserve">2012 CSC 12, [2012] 1 R.C.S. 395, le présent pourvoi ne nécessite pas que nous nous y attardions. Il importe par contre d’établir une distinction entre les cas où il est allégué que la décision administrative sous examen a pour effet de restreindre de façon injustifiable les droits consacrés par la </w:t>
      </w:r>
      <w:r w:rsidRPr="00000DCC">
        <w:rPr>
          <w:rFonts w:cs="Times New Roman"/>
          <w:i/>
          <w:noProof/>
          <w:lang w:val="fr-CA"/>
        </w:rPr>
        <w:t>Charte</w:t>
      </w:r>
      <w:r w:rsidRPr="00000DCC">
        <w:rPr>
          <w:rFonts w:cs="Times New Roman"/>
          <w:noProof/>
          <w:lang w:val="fr-CA"/>
        </w:rPr>
        <w:t xml:space="preserve"> </w:t>
      </w:r>
      <w:r w:rsidRPr="00000DCC">
        <w:rPr>
          <w:rFonts w:cs="Times New Roman"/>
          <w:i/>
          <w:noProof/>
          <w:lang w:val="fr-CA"/>
        </w:rPr>
        <w:t>canadienne des droits et libertés</w:t>
      </w:r>
      <w:r w:rsidRPr="00000DCC">
        <w:rPr>
          <w:rFonts w:cs="Times New Roman"/>
          <w:noProof/>
          <w:lang w:val="fr-CA"/>
        </w:rPr>
        <w:t xml:space="preserve"> (comme dans l’arrêt </w:t>
      </w:r>
      <w:r w:rsidRPr="00000DCC">
        <w:rPr>
          <w:rFonts w:cs="Times New Roman"/>
          <w:i/>
          <w:noProof/>
          <w:lang w:val="fr-CA"/>
        </w:rPr>
        <w:t>Doré</w:t>
      </w:r>
      <w:r w:rsidRPr="00000DCC">
        <w:rPr>
          <w:rFonts w:cs="Times New Roman"/>
          <w:noProof/>
          <w:lang w:val="fr-CA"/>
        </w:rPr>
        <w:t xml:space="preserve">) et les cas où le contrôle judiciaire porte sur la question de savoir si l’une des dispositions de la loi habilitante de l’organisme décisionnel viole la </w:t>
      </w:r>
      <w:r w:rsidRPr="00000DCC">
        <w:rPr>
          <w:rFonts w:cs="Times New Roman"/>
          <w:i/>
          <w:noProof/>
          <w:lang w:val="fr-CA"/>
        </w:rPr>
        <w:t xml:space="preserve">Charte </w:t>
      </w:r>
      <w:r w:rsidRPr="00000DCC">
        <w:rPr>
          <w:rFonts w:cs="Times New Roman"/>
          <w:noProof/>
          <w:lang w:val="fr-CA"/>
        </w:rPr>
        <w:t xml:space="preserve">(voir, p. ex., </w:t>
      </w:r>
      <w:r w:rsidRPr="00000DCC">
        <w:rPr>
          <w:rFonts w:cs="Times New Roman"/>
          <w:i/>
          <w:noProof/>
          <w:lang w:val="fr-CA"/>
        </w:rPr>
        <w:t>Nouvelle</w:t>
      </w:r>
      <w:r w:rsidRPr="00000DCC">
        <w:rPr>
          <w:rFonts w:cs="Times New Roman"/>
          <w:i/>
          <w:noProof/>
          <w:lang w:val="fr-CA"/>
        </w:rPr>
        <w:noBreakHyphen/>
        <w:t>Écosse (Workers’ Compensation Board) c. Martin</w:t>
      </w:r>
      <w:r w:rsidRPr="00000DCC">
        <w:rPr>
          <w:rFonts w:cs="Times New Roman"/>
          <w:noProof/>
          <w:lang w:val="fr-CA"/>
        </w:rPr>
        <w:t>, 2003 CSC 54, [2003] 2 R.C.S. 504, par. 65). Suivant la jurisprudence de notre Cour, l’interprétation d’un décideur administratif sur ce dernier point doit être contrôlée selon la norme de la décision correcte. Les présents motifs n’ont pas pour effet d’écarter cette jurisprudence.</w:t>
      </w:r>
    </w:p>
    <w:p w14:paraId="38F69240" w14:textId="77777777" w:rsidR="00AE2373" w:rsidRPr="00000DCC" w:rsidRDefault="00AE2373" w:rsidP="00AE2373">
      <w:pPr>
        <w:pStyle w:val="Title3LevelTitre3Niveau"/>
        <w:numPr>
          <w:ilvl w:val="2"/>
          <w:numId w:val="8"/>
        </w:numPr>
        <w:tabs>
          <w:tab w:val="left" w:pos="1560"/>
        </w:tabs>
        <w:spacing w:before="0"/>
        <w:rPr>
          <w:rFonts w:cs="Times New Roman"/>
          <w:noProof/>
          <w:lang w:val="fr-CA"/>
        </w:rPr>
      </w:pPr>
      <w:r w:rsidRPr="00000DCC">
        <w:rPr>
          <w:rFonts w:cs="Times New Roman"/>
          <w:noProof/>
          <w:lang w:val="fr-CA"/>
        </w:rPr>
        <w:t>Les questions de droit générales d’importance capitale pour le système juridique dans son ensemble</w:t>
      </w:r>
    </w:p>
    <w:p w14:paraId="66557205"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bidi="en-US"/>
        </w:rPr>
        <w:t xml:space="preserve">Outre les questions constitutionnelles, la Cour a reconnu à la majorité dans l’arrêt </w:t>
      </w:r>
      <w:r w:rsidRPr="00000DCC">
        <w:rPr>
          <w:rFonts w:cs="Times New Roman"/>
          <w:i/>
          <w:noProof/>
          <w:lang w:val="fr-CA" w:bidi="en-US"/>
        </w:rPr>
        <w:t>Dunsmuir</w:t>
      </w:r>
      <w:r w:rsidRPr="00000DCC">
        <w:rPr>
          <w:rFonts w:cs="Times New Roman"/>
          <w:noProof/>
          <w:lang w:val="fr-CA" w:bidi="en-US"/>
        </w:rPr>
        <w:t xml:space="preserve"> qu’une question de droit générale « à la fois, d’une importance capitale pour le système juridique dans son ensemble et étrangère au domaine d’expertise de l’arbitre » commande l’application de la norme de la décision correcte : par. 60, citant </w:t>
      </w:r>
      <w:r w:rsidRPr="00000DCC">
        <w:rPr>
          <w:rFonts w:cs="Times New Roman"/>
          <w:i/>
          <w:noProof/>
          <w:lang w:val="fr-CA" w:bidi="en-US"/>
        </w:rPr>
        <w:t>Toronto (Ville) c. S.C.F.P., section locale 79</w:t>
      </w:r>
      <w:r w:rsidRPr="00000DCC">
        <w:rPr>
          <w:rFonts w:cs="Times New Roman"/>
          <w:noProof/>
          <w:lang w:val="fr-CA" w:bidi="en-US"/>
        </w:rPr>
        <w:t xml:space="preserve">, 2003 CSC 63, </w:t>
      </w:r>
      <w:r w:rsidRPr="00000DCC">
        <w:rPr>
          <w:rFonts w:cs="Times New Roman"/>
          <w:noProof/>
          <w:lang w:val="fr-CA"/>
        </w:rPr>
        <w:t>[2003] 3 R.C.S. 77,</w:t>
      </w:r>
      <w:r w:rsidRPr="00000DCC">
        <w:rPr>
          <w:rFonts w:cs="Times New Roman"/>
          <w:noProof/>
          <w:lang w:val="fr-CA" w:bidi="en-US"/>
        </w:rPr>
        <w:t xml:space="preserve"> par. 62, motifs concordants du juge LeBel. Nous demeurons d’avis que la primauté du droit exige que les cours de justice tranchent de manière définitive les questions de droit générales qui sont « d’importance capitale pour le système juridique dans son ensemble ». Toutefois, au regard des principes qui sous</w:t>
      </w:r>
      <w:r w:rsidRPr="00000DCC">
        <w:rPr>
          <w:rFonts w:cs="Times New Roman"/>
          <w:noProof/>
          <w:lang w:val="fr-CA" w:bidi="en-US"/>
        </w:rPr>
        <w:noBreakHyphen/>
        <w:t xml:space="preserve">tendent de telles questions, il n’est pas nécessaire d’examiner l’expertise spécialisée du décideur pour déterminer s’il faut appliquer la norme de la décision correcte en pareils cas. Comme </w:t>
      </w:r>
      <w:r w:rsidRPr="00000DCC">
        <w:rPr>
          <w:rFonts w:cs="Times New Roman"/>
          <w:noProof/>
          <w:lang w:val="fr-CA" w:bidi="en-US"/>
        </w:rPr>
        <w:lastRenderedPageBreak/>
        <w:t>l’indique le par. 31 des présents motifs, la prise en compte de l’expertise est incorporée au nouveau point de départ adopté dans les présents motifs, à savoir la présomption d’application de la norme de la décision raisonnable.</w:t>
      </w:r>
    </w:p>
    <w:p w14:paraId="770422AC"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bidi="en-US"/>
        </w:rPr>
        <w:t>Comme les juges majoritaires de la Cour l’ont reconnu dans l’arrêt </w:t>
      </w:r>
      <w:r w:rsidRPr="00000DCC">
        <w:rPr>
          <w:rFonts w:cs="Times New Roman"/>
          <w:i/>
          <w:noProof/>
          <w:lang w:val="fr-CA" w:bidi="en-US"/>
        </w:rPr>
        <w:t>Dunsmuir</w:t>
      </w:r>
      <w:r w:rsidRPr="00000DCC">
        <w:rPr>
          <w:rFonts w:cs="Times New Roman"/>
          <w:noProof/>
          <w:lang w:val="fr-CA" w:bidi="en-US"/>
        </w:rPr>
        <w:t xml:space="preserve">, la principale raison d’être de cette catégorie de questions est la nécessité de trancher certaines questions de droit générales « de manière uniforme et cohérente étant donné [leurs] répercussions sur l’administration de la justice dans son ensemble » : </w:t>
      </w:r>
      <w:r w:rsidRPr="00000DCC">
        <w:rPr>
          <w:rFonts w:cs="Times New Roman"/>
          <w:i/>
          <w:noProof/>
          <w:lang w:val="fr-CA" w:bidi="en-US"/>
        </w:rPr>
        <w:t>Dunsmuir</w:t>
      </w:r>
      <w:r w:rsidRPr="00000DCC">
        <w:rPr>
          <w:rFonts w:cs="Times New Roman"/>
          <w:noProof/>
          <w:lang w:val="fr-CA" w:bidi="en-US"/>
        </w:rPr>
        <w:t xml:space="preserve">, par. 60. Dans ces cas, la norme de contrôle de la décision correcte s’impose à l’égard des questions de droit générales qui sont « d’une importance fondamentale, de grande portée » et susceptibles d’avoir des répercussions juridiques significatives sur le système de justice dans son ensemble ou sur d’autres institutions gouvernementales : voir </w:t>
      </w:r>
      <w:r w:rsidRPr="00000DCC">
        <w:rPr>
          <w:rFonts w:cs="Times New Roman"/>
          <w:i/>
          <w:noProof/>
          <w:lang w:val="fr-CA" w:bidi="en-US"/>
        </w:rPr>
        <w:t>Toronto (Ville)</w:t>
      </w:r>
      <w:r w:rsidRPr="00000DCC">
        <w:rPr>
          <w:rFonts w:cs="Times New Roman"/>
          <w:noProof/>
          <w:lang w:val="fr-CA" w:bidi="en-US"/>
        </w:rPr>
        <w:t xml:space="preserve">, par. 70; </w:t>
      </w:r>
      <w:r w:rsidRPr="00000DCC">
        <w:rPr>
          <w:rFonts w:cs="Times New Roman"/>
          <w:i/>
          <w:noProof/>
          <w:lang w:val="fr-CA" w:bidi="en-US"/>
        </w:rPr>
        <w:t>Alberta (Information and Privacy Commissioner) c. University of Calgary</w:t>
      </w:r>
      <w:r w:rsidRPr="00000DCC">
        <w:rPr>
          <w:rFonts w:cs="Times New Roman"/>
          <w:noProof/>
          <w:lang w:val="fr-CA" w:bidi="en-US"/>
        </w:rPr>
        <w:t>, 2016 CSC 53, [2016] 2 R.C.S. 555, par. </w:t>
      </w:r>
      <w:r w:rsidRPr="00000DCC">
        <w:rPr>
          <w:rFonts w:cs="Times New Roman"/>
          <w:noProof/>
          <w:lang w:val="fr-CA"/>
        </w:rPr>
        <w:t xml:space="preserve">20; </w:t>
      </w:r>
      <w:r w:rsidRPr="00000DCC">
        <w:rPr>
          <w:rFonts w:cs="Times New Roman"/>
          <w:i/>
          <w:noProof/>
          <w:lang w:val="fr-CA"/>
        </w:rPr>
        <w:t>Compagnie des chemins de fer nationaux du Canada</w:t>
      </w:r>
      <w:r w:rsidRPr="00000DCC">
        <w:rPr>
          <w:rFonts w:cs="Times New Roman"/>
          <w:noProof/>
          <w:lang w:val="fr-CA"/>
        </w:rPr>
        <w:t xml:space="preserve">, par. 60; </w:t>
      </w:r>
      <w:r w:rsidRPr="00000DCC">
        <w:rPr>
          <w:rFonts w:cs="Times New Roman"/>
          <w:i/>
          <w:noProof/>
          <w:lang w:val="fr-CA"/>
        </w:rPr>
        <w:t>Chagnon c. Syndicat de la fonction publique et parapublique du Québec</w:t>
      </w:r>
      <w:r w:rsidRPr="00000DCC">
        <w:rPr>
          <w:rFonts w:cs="Times New Roman"/>
          <w:noProof/>
          <w:lang w:val="fr-CA"/>
        </w:rPr>
        <w:t>, 2018 CSC 39, [2018] 2 R.C.S. 687, par. </w:t>
      </w:r>
      <w:r w:rsidRPr="00000DCC">
        <w:rPr>
          <w:rFonts w:cs="Times New Roman"/>
          <w:noProof/>
          <w:lang w:val="fr-CA" w:bidi="en-US"/>
        </w:rPr>
        <w:t xml:space="preserve">17; </w:t>
      </w:r>
      <w:r w:rsidRPr="00000DCC">
        <w:rPr>
          <w:rFonts w:cs="Times New Roman"/>
          <w:i/>
          <w:noProof/>
          <w:lang w:val="fr-CA" w:bidi="en-US"/>
        </w:rPr>
        <w:t>Saguenay</w:t>
      </w:r>
      <w:r w:rsidRPr="00000DCC">
        <w:rPr>
          <w:rFonts w:cs="Times New Roman"/>
          <w:noProof/>
          <w:lang w:val="fr-CA" w:bidi="en-US"/>
        </w:rPr>
        <w:t xml:space="preserve">, par. 51; </w:t>
      </w:r>
      <w:r w:rsidRPr="00000DCC">
        <w:rPr>
          <w:rFonts w:cs="Times New Roman"/>
          <w:i/>
          <w:noProof/>
          <w:lang w:val="fr-CA" w:bidi="en-US"/>
        </w:rPr>
        <w:t>Canada (Commission canadienne des droits de la personne) c. Canada (Procureur général)</w:t>
      </w:r>
      <w:r w:rsidRPr="00000DCC">
        <w:rPr>
          <w:rFonts w:cs="Times New Roman"/>
          <w:noProof/>
          <w:lang w:val="fr-CA" w:bidi="en-US"/>
        </w:rPr>
        <w:t>, 2011 CSC 53, [2011] 3 R.C.S. 471 (« </w:t>
      </w:r>
      <w:r w:rsidRPr="00000DCC">
        <w:rPr>
          <w:rFonts w:cs="Times New Roman"/>
          <w:i/>
          <w:noProof/>
          <w:lang w:val="fr-CA" w:bidi="en-US"/>
        </w:rPr>
        <w:t>Mowat </w:t>
      </w:r>
      <w:r w:rsidRPr="00000DCC">
        <w:rPr>
          <w:rFonts w:cs="Times New Roman"/>
          <w:noProof/>
          <w:lang w:val="fr-CA" w:bidi="en-US"/>
        </w:rPr>
        <w:t>»), par. 22</w:t>
      </w:r>
      <w:r w:rsidRPr="00000DCC">
        <w:rPr>
          <w:rFonts w:cs="Times New Roman"/>
          <w:noProof/>
          <w:lang w:val="fr-CA"/>
        </w:rPr>
        <w:t xml:space="preserve">; </w:t>
      </w:r>
      <w:r w:rsidRPr="00000DCC">
        <w:rPr>
          <w:rFonts w:cs="Times New Roman"/>
          <w:i/>
          <w:noProof/>
          <w:lang w:val="fr-CA" w:bidi="en-US"/>
        </w:rPr>
        <w:t>Commission scolaire de Laval c. Syndicat de l’enseignement de la région de Laval</w:t>
      </w:r>
      <w:r w:rsidRPr="00000DCC">
        <w:rPr>
          <w:rFonts w:cs="Times New Roman"/>
          <w:noProof/>
          <w:lang w:val="fr-CA" w:bidi="en-US"/>
        </w:rPr>
        <w:t xml:space="preserve">, 2016 CSC 8, [2016] 1 R.C.S. 29, par. 38. Par exemple, la question soulevée dans </w:t>
      </w:r>
      <w:r w:rsidRPr="00000DCC">
        <w:rPr>
          <w:rFonts w:cs="Times New Roman"/>
          <w:i/>
          <w:noProof/>
          <w:lang w:val="fr-CA" w:bidi="en-US"/>
        </w:rPr>
        <w:t>University of Calgary</w:t>
      </w:r>
      <w:r w:rsidRPr="00000DCC">
        <w:rPr>
          <w:rFonts w:cs="Times New Roman"/>
          <w:noProof/>
          <w:lang w:val="fr-CA" w:bidi="en-US"/>
        </w:rPr>
        <w:t xml:space="preserve"> ne pouvait pas être tranchée par application de la norme de la décision raisonnable en raison des conséquences juridiques de la décision sur une vaste gamme d’autres régimes législatifs et en raison de la nécessité d’une protection uniforme du secret professionnel de l’avocat — en cause dans cette affaire — pour le bon fonctionnement du système de justice : </w:t>
      </w:r>
      <w:r w:rsidRPr="00000DCC">
        <w:rPr>
          <w:rFonts w:cs="Times New Roman"/>
          <w:i/>
          <w:noProof/>
          <w:lang w:val="fr-CA" w:bidi="en-US"/>
        </w:rPr>
        <w:t>University of Calgary</w:t>
      </w:r>
      <w:r w:rsidRPr="00000DCC">
        <w:rPr>
          <w:rFonts w:cs="Times New Roman"/>
          <w:noProof/>
          <w:lang w:val="fr-CA" w:bidi="en-US"/>
        </w:rPr>
        <w:t xml:space="preserve">, </w:t>
      </w:r>
      <w:r w:rsidRPr="00000DCC">
        <w:rPr>
          <w:rFonts w:cs="Times New Roman"/>
          <w:noProof/>
          <w:lang w:val="fr-CA" w:bidi="en-US"/>
        </w:rPr>
        <w:lastRenderedPageBreak/>
        <w:t>par. 19</w:t>
      </w:r>
      <w:r w:rsidRPr="00000DCC">
        <w:rPr>
          <w:rFonts w:cs="Times New Roman"/>
          <w:noProof/>
          <w:lang w:val="fr-CA" w:bidi="en-US"/>
        </w:rPr>
        <w:noBreakHyphen/>
        <w:t>26</w:t>
      </w:r>
      <w:r w:rsidRPr="00000DCC">
        <w:rPr>
          <w:rFonts w:cs="Times New Roman"/>
          <w:noProof/>
          <w:lang w:val="fr-CA"/>
        </w:rPr>
        <w:t xml:space="preserve">. Ainsi que le montre cette jurisprudence, résoudre des questions de droit générales « d’importance capitale pour le système </w:t>
      </w:r>
      <w:r w:rsidRPr="00000DCC">
        <w:rPr>
          <w:rFonts w:cs="Times New Roman"/>
          <w:noProof/>
          <w:lang w:val="fr-CA" w:bidi="en-US"/>
        </w:rPr>
        <w:t>juridique dans son ensemble</w:t>
      </w:r>
      <w:r w:rsidRPr="00000DCC">
        <w:rPr>
          <w:rFonts w:cs="Times New Roman"/>
          <w:noProof/>
          <w:lang w:val="fr-CA"/>
        </w:rPr>
        <w:t> » a des répercussions qui transcendent la décision en cause, d’où le besoin de « réponses uniformes et cohérentes ».</w:t>
      </w:r>
    </w:p>
    <w:p w14:paraId="74B32029"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bidi="en-US"/>
        </w:rPr>
        <w:t>La jurisprudence de notre Cour continue de fournir des indications importantes sur ce qui constitue une question de droit générale d’une importance capitale pour le système juridique dans son ensemble. Par exemple, on a jugé que les questions de droit générales suivantes sont d’importance capitale pour le système juridique dans son ensemble : lorsqu’une procédure administrative est prescrite par l’application des doctrines de l’autorité de la chose jugée et de l’abus de procédure</w:t>
      </w:r>
      <w:r w:rsidRPr="00000DCC">
        <w:rPr>
          <w:rFonts w:cs="Times New Roman"/>
          <w:i/>
          <w:noProof/>
          <w:lang w:val="fr-CA" w:bidi="en-US"/>
        </w:rPr>
        <w:t xml:space="preserve"> </w:t>
      </w:r>
      <w:r w:rsidRPr="00000DCC">
        <w:rPr>
          <w:rFonts w:cs="Times New Roman"/>
          <w:noProof/>
          <w:lang w:val="fr-CA" w:bidi="en-US"/>
        </w:rPr>
        <w:t>(</w:t>
      </w:r>
      <w:r w:rsidRPr="00000DCC">
        <w:rPr>
          <w:rFonts w:cs="Times New Roman"/>
          <w:i/>
          <w:noProof/>
          <w:lang w:val="fr-CA" w:bidi="en-US"/>
        </w:rPr>
        <w:t>Toronto (Ville)</w:t>
      </w:r>
      <w:r w:rsidRPr="00000DCC">
        <w:rPr>
          <w:rFonts w:cs="Times New Roman"/>
          <w:noProof/>
          <w:lang w:val="fr-CA" w:bidi="en-US"/>
        </w:rPr>
        <w:t>, par. 15); la portée de l’obligation de neutralité religieuse de l’État (</w:t>
      </w:r>
      <w:r w:rsidRPr="00000DCC">
        <w:rPr>
          <w:rFonts w:cs="Times New Roman"/>
          <w:i/>
          <w:noProof/>
          <w:lang w:val="fr-CA" w:bidi="en-US"/>
        </w:rPr>
        <w:t>Saguenay</w:t>
      </w:r>
      <w:r w:rsidRPr="00000DCC">
        <w:rPr>
          <w:rFonts w:cs="Times New Roman"/>
          <w:noProof/>
          <w:lang w:val="fr-CA" w:bidi="en-US"/>
        </w:rPr>
        <w:t>, par. 49); le bien</w:t>
      </w:r>
      <w:r w:rsidRPr="00000DCC">
        <w:rPr>
          <w:rFonts w:cs="Times New Roman"/>
          <w:noProof/>
          <w:lang w:val="fr-CA" w:bidi="en-US"/>
        </w:rPr>
        <w:noBreakHyphen/>
        <w:t>fondé des limites du secret professionnel de l’avocat (</w:t>
      </w:r>
      <w:r w:rsidRPr="00000DCC">
        <w:rPr>
          <w:rFonts w:cs="Times New Roman"/>
          <w:i/>
          <w:noProof/>
          <w:lang w:val="fr-CA" w:bidi="en-US"/>
        </w:rPr>
        <w:t>University of Calgary</w:t>
      </w:r>
      <w:r w:rsidRPr="00000DCC">
        <w:rPr>
          <w:rFonts w:cs="Times New Roman"/>
          <w:noProof/>
          <w:lang w:val="fr-CA" w:bidi="en-US"/>
        </w:rPr>
        <w:t>, par. </w:t>
      </w:r>
      <w:r w:rsidRPr="00000DCC">
        <w:rPr>
          <w:rFonts w:cs="Times New Roman"/>
          <w:noProof/>
          <w:lang w:val="fr-CA"/>
        </w:rPr>
        <w:t>20); et la portée du privilège parlementaire (</w:t>
      </w:r>
      <w:r w:rsidRPr="00000DCC">
        <w:rPr>
          <w:rFonts w:cs="Times New Roman"/>
          <w:i/>
          <w:noProof/>
          <w:lang w:val="fr-CA"/>
        </w:rPr>
        <w:t>Chagnon</w:t>
      </w:r>
      <w:r w:rsidRPr="00000DCC">
        <w:rPr>
          <w:rFonts w:cs="Times New Roman"/>
          <w:noProof/>
          <w:lang w:val="fr-CA"/>
        </w:rPr>
        <w:t>, par. 17).</w:t>
      </w:r>
      <w:r w:rsidRPr="00000DCC">
        <w:rPr>
          <w:rFonts w:eastAsia="Times New Roman" w:cs="Times New Roman"/>
          <w:noProof/>
          <w:szCs w:val="24"/>
          <w:lang w:val="fr-CA" w:eastAsia="en-CA" w:bidi="en-US"/>
        </w:rPr>
        <w:t xml:space="preserve"> I</w:t>
      </w:r>
      <w:r w:rsidRPr="00000DCC">
        <w:rPr>
          <w:rFonts w:cs="Times New Roman"/>
          <w:noProof/>
          <w:lang w:val="fr-CA" w:bidi="en-US"/>
        </w:rPr>
        <w:t xml:space="preserve">l importe par contre de préciser qu’il y a lieu d’interpréter avec prudence ces décisions, puisque l’expertise perd dorénavant sa pertinence lorsqu’il s’agit d’identifier les questions </w:t>
      </w:r>
      <w:r w:rsidRPr="00000DCC">
        <w:rPr>
          <w:rFonts w:cs="Times New Roman"/>
          <w:noProof/>
          <w:lang w:val="fr-CA"/>
        </w:rPr>
        <w:t xml:space="preserve">appartenant à cette catégorie : </w:t>
      </w:r>
      <w:r w:rsidRPr="00000DCC">
        <w:rPr>
          <w:rFonts w:cs="Times New Roman"/>
          <w:noProof/>
          <w:lang w:val="fr-CA" w:bidi="en-US"/>
        </w:rPr>
        <w:t xml:space="preserve">voir, p. ex., </w:t>
      </w:r>
      <w:r w:rsidRPr="00000DCC">
        <w:rPr>
          <w:rFonts w:cs="Times New Roman"/>
          <w:i/>
          <w:noProof/>
          <w:lang w:val="fr-CA" w:bidi="en-US"/>
        </w:rPr>
        <w:t>CCDP</w:t>
      </w:r>
      <w:r w:rsidRPr="00000DCC">
        <w:rPr>
          <w:rFonts w:cs="Times New Roman"/>
          <w:noProof/>
          <w:lang w:val="fr-CA" w:bidi="en-US"/>
        </w:rPr>
        <w:t>, par. 43</w:t>
      </w:r>
      <w:r w:rsidRPr="00000DCC">
        <w:rPr>
          <w:rFonts w:cs="Times New Roman"/>
          <w:noProof/>
          <w:lang w:val="fr-CA"/>
        </w:rPr>
        <w:t>.</w:t>
      </w:r>
    </w:p>
    <w:p w14:paraId="16E5B284" w14:textId="48DD0768"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Nous tenons à préciser que le simple fait qu’un conflit puisse être « d’intérêt public général » ne suffit pas pour qu’une question entre dans cette catégorie — pas plus que ne l’est le fait qu’une question formulée dans un sens général ou abstrait porte sur un enjeu important : voir, p. ex., </w:t>
      </w:r>
      <w:r w:rsidRPr="00000DCC">
        <w:rPr>
          <w:rFonts w:cs="Times New Roman"/>
          <w:i/>
          <w:noProof/>
          <w:lang w:val="fr-CA"/>
        </w:rPr>
        <w:t>Syndicat canadien des communications, de l’énergie et du papier, section locale 30 c. Pâtes &amp; Papier Irving, Ltée</w:t>
      </w:r>
      <w:r w:rsidRPr="00000DCC">
        <w:rPr>
          <w:rFonts w:cs="Times New Roman"/>
          <w:noProof/>
          <w:lang w:val="fr-CA"/>
        </w:rPr>
        <w:t xml:space="preserve">, 2013 CSC 34, [2013] 2 R.C.S. 458, par. 66; </w:t>
      </w:r>
      <w:r w:rsidRPr="00000DCC">
        <w:rPr>
          <w:rFonts w:cs="Times New Roman"/>
          <w:i/>
          <w:noProof/>
          <w:lang w:val="fr-CA"/>
        </w:rPr>
        <w:t>McLean</w:t>
      </w:r>
      <w:r w:rsidRPr="00000DCC">
        <w:rPr>
          <w:rFonts w:cs="Times New Roman"/>
          <w:noProof/>
          <w:lang w:val="fr-CA"/>
        </w:rPr>
        <w:t xml:space="preserve">, par. 28; </w:t>
      </w:r>
      <w:r w:rsidRPr="00000DCC">
        <w:rPr>
          <w:rFonts w:cs="Times New Roman"/>
          <w:i/>
          <w:noProof/>
          <w:lang w:val="fr-CA"/>
        </w:rPr>
        <w:t>Barreau du Québec c. Québec (Procureur</w:t>
      </w:r>
      <w:r w:rsidR="00233ED9">
        <w:rPr>
          <w:rFonts w:cs="Times New Roman"/>
          <w:i/>
          <w:noProof/>
          <w:lang w:val="fr-CA"/>
        </w:rPr>
        <w:t>e</w:t>
      </w:r>
      <w:r w:rsidRPr="00000DCC">
        <w:rPr>
          <w:rFonts w:cs="Times New Roman"/>
          <w:i/>
          <w:noProof/>
          <w:lang w:val="fr-CA"/>
        </w:rPr>
        <w:t xml:space="preserve"> général</w:t>
      </w:r>
      <w:r w:rsidR="00233ED9">
        <w:rPr>
          <w:rFonts w:cs="Times New Roman"/>
          <w:i/>
          <w:noProof/>
          <w:lang w:val="fr-CA"/>
        </w:rPr>
        <w:t>e</w:t>
      </w:r>
      <w:r w:rsidRPr="00000DCC">
        <w:rPr>
          <w:rFonts w:cs="Times New Roman"/>
          <w:i/>
          <w:noProof/>
          <w:lang w:val="fr-CA"/>
        </w:rPr>
        <w:t>)</w:t>
      </w:r>
      <w:r w:rsidRPr="00000DCC">
        <w:rPr>
          <w:rFonts w:cs="Times New Roman"/>
          <w:noProof/>
          <w:lang w:val="fr-CA"/>
        </w:rPr>
        <w:t xml:space="preserve">, 2017 CSC 56, [2017] 2 R.C.S. 488, par. 18. La jurisprudence </w:t>
      </w:r>
      <w:r w:rsidRPr="00000DCC">
        <w:rPr>
          <w:rFonts w:cs="Times New Roman"/>
          <w:noProof/>
          <w:lang w:val="fr-CA"/>
        </w:rPr>
        <w:lastRenderedPageBreak/>
        <w:t xml:space="preserve">renferme de nombreux exemples de questions que notre Cour </w:t>
      </w:r>
      <w:r w:rsidRPr="00000DCC">
        <w:rPr>
          <w:rFonts w:cs="Times New Roman"/>
          <w:i/>
          <w:noProof/>
          <w:lang w:val="fr-CA"/>
        </w:rPr>
        <w:t>n’</w:t>
      </w:r>
      <w:r w:rsidRPr="00000DCC">
        <w:rPr>
          <w:rFonts w:cs="Times New Roman"/>
          <w:noProof/>
          <w:lang w:val="fr-CA"/>
        </w:rPr>
        <w:t xml:space="preserve">a </w:t>
      </w:r>
      <w:r w:rsidRPr="00000DCC">
        <w:rPr>
          <w:rFonts w:cs="Times New Roman"/>
          <w:i/>
          <w:noProof/>
          <w:lang w:val="fr-CA"/>
        </w:rPr>
        <w:t>pas</w:t>
      </w:r>
      <w:r w:rsidRPr="00000DCC">
        <w:rPr>
          <w:rFonts w:cs="Times New Roman"/>
          <w:noProof/>
          <w:lang w:val="fr-CA"/>
        </w:rPr>
        <w:t xml:space="preserve"> considérées comme étant des questions de droit générales d’importance capitale pour le système juridique dans son ensemble. Mentionnons, entre autres, la question de savoir si un certain tribunal administratif peut accorder ou non un type particulier d’indemnité (</w:t>
      </w:r>
      <w:r w:rsidRPr="00000DCC">
        <w:rPr>
          <w:rFonts w:cs="Times New Roman"/>
          <w:i/>
          <w:noProof/>
          <w:lang w:val="fr-CA"/>
        </w:rPr>
        <w:t>Mowat</w:t>
      </w:r>
      <w:r w:rsidRPr="00000DCC">
        <w:rPr>
          <w:rFonts w:cs="Times New Roman"/>
          <w:noProof/>
          <w:lang w:val="fr-CA"/>
        </w:rPr>
        <w:t>, par. 25); les cas dans lesquels un arbitre peut appliquer une préclusion à titre de réparation (</w:t>
      </w:r>
      <w:r w:rsidRPr="00000DCC">
        <w:rPr>
          <w:rFonts w:cs="Times New Roman"/>
          <w:i/>
          <w:noProof/>
          <w:lang w:val="fr-CA"/>
        </w:rPr>
        <w:t>Nor</w:t>
      </w:r>
      <w:r w:rsidRPr="00000DCC">
        <w:rPr>
          <w:rFonts w:cs="Times New Roman"/>
          <w:i/>
          <w:noProof/>
          <w:lang w:val="fr-CA"/>
        </w:rPr>
        <w:noBreakHyphen/>
        <w:t>Man Regional Health Authority Inc. c. Manitoba Association of Health Care Professionals</w:t>
      </w:r>
      <w:r w:rsidRPr="00000DCC">
        <w:rPr>
          <w:rFonts w:cs="Times New Roman"/>
          <w:noProof/>
          <w:lang w:val="fr-CA"/>
        </w:rPr>
        <w:t>, 2011 CSC 59, [2011] 3 R.C.S. 616, par. 37</w:t>
      </w:r>
      <w:r w:rsidRPr="00000DCC">
        <w:rPr>
          <w:rFonts w:cs="Times New Roman"/>
          <w:noProof/>
          <w:lang w:val="fr-CA"/>
        </w:rPr>
        <w:noBreakHyphen/>
        <w:t>38); l’interprétation d’une disposition législative prescrivant le délai pour mener à terme une enquête (</w:t>
      </w:r>
      <w:r w:rsidRPr="00000DCC">
        <w:rPr>
          <w:rFonts w:cs="Times New Roman"/>
          <w:i/>
          <w:noProof/>
          <w:lang w:val="fr-CA"/>
        </w:rPr>
        <w:t>Alberta Teachers</w:t>
      </w:r>
      <w:r w:rsidRPr="00000DCC">
        <w:rPr>
          <w:rFonts w:cs="Times New Roman"/>
          <w:noProof/>
          <w:lang w:val="fr-CA"/>
        </w:rPr>
        <w:t>, par. 32); la portée des droits de la direction prévus dans une convention collective (</w:t>
      </w:r>
      <w:r w:rsidRPr="00000DCC">
        <w:rPr>
          <w:rFonts w:cs="Times New Roman"/>
          <w:i/>
          <w:noProof/>
          <w:lang w:val="fr-CA"/>
        </w:rPr>
        <w:t>Pâtes &amp; Papier Irving</w:t>
      </w:r>
      <w:r w:rsidRPr="00000DCC">
        <w:rPr>
          <w:rFonts w:cs="Times New Roman"/>
          <w:noProof/>
          <w:lang w:val="fr-CA"/>
        </w:rPr>
        <w:t>, par. 7, 15</w:t>
      </w:r>
      <w:r w:rsidRPr="00000DCC">
        <w:rPr>
          <w:rFonts w:cs="Times New Roman"/>
          <w:noProof/>
          <w:lang w:val="fr-CA"/>
        </w:rPr>
        <w:noBreakHyphen/>
        <w:t>16 et 66, les juges Rothstein et Moldaver, dissidents mais non sur ce point); l’application d’un délai de prescription en vertu d’une loi portant sur les valeurs mobilières (</w:t>
      </w:r>
      <w:r w:rsidRPr="00000DCC">
        <w:rPr>
          <w:rFonts w:cs="Times New Roman"/>
          <w:i/>
          <w:noProof/>
          <w:lang w:val="fr-CA"/>
        </w:rPr>
        <w:t>McLean</w:t>
      </w:r>
      <w:r w:rsidRPr="00000DCC">
        <w:rPr>
          <w:rFonts w:cs="Times New Roman"/>
          <w:noProof/>
          <w:lang w:val="fr-CA"/>
        </w:rPr>
        <w:t>, par. 28</w:t>
      </w:r>
      <w:r w:rsidRPr="00000DCC">
        <w:rPr>
          <w:rFonts w:cs="Times New Roman"/>
          <w:noProof/>
          <w:lang w:val="fr-CA"/>
        </w:rPr>
        <w:noBreakHyphen/>
        <w:t>31); la possibilité pour une partie à un contrat confidentiel de porter plainte</w:t>
      </w:r>
      <w:r>
        <w:rPr>
          <w:rFonts w:cs="Times New Roman"/>
          <w:noProof/>
          <w:lang w:val="fr-CA"/>
        </w:rPr>
        <w:t xml:space="preserve"> </w:t>
      </w:r>
      <w:r w:rsidRPr="00000DCC">
        <w:rPr>
          <w:rFonts w:cs="Times New Roman"/>
          <w:noProof/>
          <w:lang w:val="fr-CA"/>
        </w:rPr>
        <w:t>sous un</w:t>
      </w:r>
      <w:r>
        <w:rPr>
          <w:rFonts w:cs="Times New Roman"/>
          <w:noProof/>
          <w:lang w:val="fr-CA"/>
        </w:rPr>
        <w:t xml:space="preserve"> </w:t>
      </w:r>
      <w:r w:rsidRPr="00000DCC">
        <w:rPr>
          <w:rFonts w:cs="Times New Roman"/>
          <w:noProof/>
          <w:lang w:val="fr-CA"/>
        </w:rPr>
        <w:t>régime particulier de réglementation (</w:t>
      </w:r>
      <w:r w:rsidRPr="00000DCC">
        <w:rPr>
          <w:rFonts w:cs="Times New Roman"/>
          <w:i/>
          <w:noProof/>
          <w:lang w:val="fr-CA"/>
        </w:rPr>
        <w:t>Compagnie des chemins de fer nationaux du Canada</w:t>
      </w:r>
      <w:r w:rsidRPr="00000DCC">
        <w:rPr>
          <w:rFonts w:cs="Times New Roman"/>
          <w:noProof/>
          <w:lang w:val="fr-CA"/>
        </w:rPr>
        <w:t>, par. 60); et la portée d’une exception permettant aux non-avocats de représenter un ministre dans certaines instances (</w:t>
      </w:r>
      <w:r w:rsidRPr="00000DCC">
        <w:rPr>
          <w:rFonts w:cs="Times New Roman"/>
          <w:i/>
          <w:noProof/>
          <w:lang w:val="fr-CA"/>
        </w:rPr>
        <w:t>Barreau du Québec</w:t>
      </w:r>
      <w:r w:rsidRPr="00000DCC">
        <w:rPr>
          <w:rFonts w:cs="Times New Roman"/>
          <w:noProof/>
          <w:lang w:val="fr-CA"/>
        </w:rPr>
        <w:t>, par. 17</w:t>
      </w:r>
      <w:r w:rsidRPr="00000DCC">
        <w:rPr>
          <w:rFonts w:cs="Times New Roman"/>
          <w:noProof/>
          <w:lang w:val="fr-CA"/>
        </w:rPr>
        <w:noBreakHyphen/>
        <w:t xml:space="preserve">18). Comme ces commentaires l’indiquent et ces exemples le montrent, le simple fait que l’expertise n’occupe plus de place dans la sélection de la norme de contrôle ne veut pas dire que les </w:t>
      </w:r>
      <w:r w:rsidRPr="00000DCC">
        <w:rPr>
          <w:rFonts w:cs="Times New Roman"/>
          <w:lang w:val="fr-CA"/>
        </w:rPr>
        <w:t>questions d’importance capitale forment désormais une vaste catégorie fourre</w:t>
      </w:r>
      <w:r w:rsidRPr="00000DCC">
        <w:rPr>
          <w:rFonts w:cs="Times New Roman"/>
          <w:lang w:val="fr-CA"/>
        </w:rPr>
        <w:noBreakHyphen/>
        <w:t>tout à laquelle s’applique la norme de la décision correcte.</w:t>
      </w:r>
    </w:p>
    <w:p w14:paraId="04FE41E8" w14:textId="77777777" w:rsidR="00AE2373" w:rsidRPr="00000DCC" w:rsidRDefault="00AE2373" w:rsidP="00AE2373">
      <w:pPr>
        <w:pStyle w:val="ParaNoNdepar-AltN"/>
        <w:tabs>
          <w:tab w:val="clear" w:pos="1166"/>
          <w:tab w:val="clear" w:pos="1422"/>
          <w:tab w:val="num" w:pos="1170"/>
        </w:tabs>
        <w:spacing w:before="0"/>
        <w:rPr>
          <w:rFonts w:cs="Times New Roman"/>
          <w:noProof/>
          <w:lang w:val="fr-CA" w:bidi="en-US"/>
        </w:rPr>
      </w:pPr>
      <w:r w:rsidRPr="00000DCC">
        <w:rPr>
          <w:rFonts w:cs="Times New Roman"/>
          <w:noProof/>
          <w:lang w:val="fr-CA" w:bidi="en-US"/>
        </w:rPr>
        <w:t xml:space="preserve">En somme, les questions de droit générales d’importance capitale pour le système juridique dans son ensemble exigent une réponse unique et définitive. Lorsque ces questions se posent, la primauté du droit requiert que les cours de justice apportent </w:t>
      </w:r>
      <w:r w:rsidRPr="00000DCC">
        <w:rPr>
          <w:rFonts w:cs="Times New Roman"/>
          <w:noProof/>
          <w:lang w:val="fr-CA" w:bidi="en-US"/>
        </w:rPr>
        <w:lastRenderedPageBreak/>
        <w:t>un niveau de certitude juridique qui soit supérieur à celui que permet le contrôle en fonction de la norme de la décision raisonnable</w:t>
      </w:r>
      <w:r w:rsidRPr="00000DCC">
        <w:rPr>
          <w:rFonts w:cs="Times New Roman"/>
          <w:noProof/>
          <w:lang w:val="fr-CA"/>
        </w:rPr>
        <w:t>.</w:t>
      </w:r>
    </w:p>
    <w:p w14:paraId="29330D7E" w14:textId="77777777" w:rsidR="00AE2373" w:rsidRPr="00000DCC" w:rsidRDefault="00AE2373" w:rsidP="00AE2373">
      <w:pPr>
        <w:pStyle w:val="Title3LevelTitre3Niveau"/>
        <w:numPr>
          <w:ilvl w:val="2"/>
          <w:numId w:val="8"/>
        </w:numPr>
        <w:tabs>
          <w:tab w:val="left" w:pos="1560"/>
        </w:tabs>
        <w:spacing w:before="0"/>
        <w:rPr>
          <w:rFonts w:cs="Times New Roman"/>
          <w:noProof/>
          <w:lang w:val="fr-CA"/>
        </w:rPr>
      </w:pPr>
      <w:r w:rsidRPr="00000DCC">
        <w:rPr>
          <w:rFonts w:cs="Times New Roman"/>
          <w:noProof/>
          <w:lang w:val="fr-CA"/>
        </w:rPr>
        <w:t>Les questions liées aux délimitations des compétences respectives d’organismes administratifs</w:t>
      </w:r>
    </w:p>
    <w:p w14:paraId="269954B2"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bidi="en-US"/>
        </w:rPr>
        <w:t xml:space="preserve">Enfin, la primauté du droit veut que la norme de la décision correcte s’applique à la délimitation des compétences respectives d’organismes administratifs : </w:t>
      </w:r>
      <w:r w:rsidRPr="00000DCC">
        <w:rPr>
          <w:rFonts w:cs="Times New Roman"/>
          <w:i/>
          <w:noProof/>
          <w:lang w:val="fr-CA" w:bidi="en-US"/>
        </w:rPr>
        <w:t>Dunsmuir</w:t>
      </w:r>
      <w:r w:rsidRPr="00000DCC">
        <w:rPr>
          <w:rFonts w:cs="Times New Roman"/>
          <w:noProof/>
          <w:lang w:val="fr-CA" w:bidi="en-US"/>
        </w:rPr>
        <w:t>, par. 61. Une telle question s’est posée dans l’arrêt </w:t>
      </w:r>
      <w:r w:rsidRPr="00000DCC">
        <w:rPr>
          <w:rFonts w:cs="Times New Roman"/>
          <w:i/>
          <w:noProof/>
          <w:lang w:val="fr-CA" w:bidi="en-US"/>
        </w:rPr>
        <w:t>Regina Police Assn. Inc. c. Regina (Ville) Board of Police Commissioners</w:t>
      </w:r>
      <w:r w:rsidRPr="00000DCC">
        <w:rPr>
          <w:rFonts w:cs="Times New Roman"/>
          <w:noProof/>
          <w:lang w:val="fr-CA" w:bidi="en-US"/>
        </w:rPr>
        <w:t xml:space="preserve">, 2000 CSC 14, [2000] 1 R.C.S. 360, où le débat portait sur la compétence d’un arbitre en matière de relations de travail pour statuer sur des questions de discipline et de renvoi de policiers qui étaient par ailleurs régies par un régime législatif complet. De même, dans l’arrêt </w:t>
      </w:r>
      <w:r w:rsidRPr="00000DCC">
        <w:rPr>
          <w:rFonts w:cs="Times New Roman"/>
          <w:i/>
          <w:noProof/>
          <w:lang w:val="fr-CA" w:bidi="en-US"/>
        </w:rPr>
        <w:t>Québec (Commission des droits de la personne et des droits de la jeunesse) c. Québec (Procureur général)</w:t>
      </w:r>
      <w:r w:rsidRPr="00000DCC">
        <w:rPr>
          <w:rFonts w:cs="Times New Roman"/>
          <w:noProof/>
          <w:lang w:val="fr-CA" w:bidi="en-US"/>
        </w:rPr>
        <w:t>, 2004 CSC 39, [2004] 2 R.C.S. 185, la Cour était saisie d’un conflit de compétence entre un arbitre en droit du travail et le Tribunal des droits de la personne du Québec</w:t>
      </w:r>
      <w:r w:rsidRPr="00000DCC">
        <w:rPr>
          <w:rFonts w:cs="Times New Roman"/>
          <w:noProof/>
          <w:lang w:val="fr-CA"/>
        </w:rPr>
        <w:t>.</w:t>
      </w:r>
    </w:p>
    <w:p w14:paraId="6352F3CC"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bidi="en-US"/>
        </w:rPr>
        <w:t xml:space="preserve">Il est rare que les décisions administratives soient contestées pour ce motif. Le cas échéant, toutefois, la primauté du droit commande l’intervention des cours de justice lorsqu’un organisme administratif interprète l’étendue de ses pouvoirs d’une manière qui est incompatible avec la compétence d’un autre organisme administratif. La raison d’être de cette catégorie de questions est simple : la primauté du droit ne saurait tolérer des ordonnances et des procédures qui entraînent un véritable conflit opérationnel entre deux organismes administratifs, de sorte qu’une partie se retrouve aux prises avec deux décisions contradictoires : voir </w:t>
      </w:r>
      <w:r w:rsidRPr="00000DCC">
        <w:rPr>
          <w:rFonts w:cs="Times New Roman"/>
          <w:i/>
          <w:noProof/>
          <w:lang w:val="fr-CA" w:bidi="en-US"/>
        </w:rPr>
        <w:t>British Columbia Telephone Co.</w:t>
      </w:r>
      <w:r w:rsidRPr="00000DCC">
        <w:rPr>
          <w:rFonts w:cs="Times New Roman"/>
          <w:noProof/>
          <w:lang w:val="fr-CA" w:bidi="en-US"/>
        </w:rPr>
        <w:t xml:space="preserve">, par. 80, motifs concordants de la juge McLachlin (plus tard juge en chef). Les membres </w:t>
      </w:r>
      <w:r w:rsidRPr="00000DCC">
        <w:rPr>
          <w:rFonts w:cs="Times New Roman"/>
          <w:noProof/>
          <w:lang w:val="fr-CA" w:bidi="en-US"/>
        </w:rPr>
        <w:lastRenderedPageBreak/>
        <w:t>du public doivent savoir à qui s’adresser en vue de régler un litige. À l’instar des questions de droit générales d’importance capitale pour le système juridique dans son ensemble, l’application de la norme de la décision correcte s’impose dans ces cas par souci de prévisibilité, de certitude et de caractère définitif du processus décisionnel en droit administratif</w:t>
      </w:r>
      <w:r w:rsidRPr="00000DCC">
        <w:rPr>
          <w:rFonts w:cs="Times New Roman"/>
          <w:noProof/>
          <w:lang w:val="fr-CA"/>
        </w:rPr>
        <w:t>.</w:t>
      </w:r>
    </w:p>
    <w:p w14:paraId="005FCFBA" w14:textId="77777777" w:rsidR="00AE2373" w:rsidRPr="00000DCC" w:rsidRDefault="00AE2373" w:rsidP="00AE2373">
      <w:pPr>
        <w:pStyle w:val="Title2LevelTitre2Niveau"/>
        <w:numPr>
          <w:ilvl w:val="1"/>
          <w:numId w:val="8"/>
        </w:numPr>
        <w:tabs>
          <w:tab w:val="left" w:pos="1560"/>
        </w:tabs>
        <w:spacing w:before="0"/>
        <w:rPr>
          <w:rFonts w:cs="Times New Roman"/>
          <w:noProof/>
          <w:lang w:val="fr-CA"/>
        </w:rPr>
      </w:pPr>
      <w:r w:rsidRPr="00000DCC">
        <w:rPr>
          <w:rFonts w:cs="Times New Roman"/>
          <w:noProof/>
          <w:lang w:val="fr-CA"/>
        </w:rPr>
        <w:t>Un mot sur les questions de compétence</w:t>
      </w:r>
    </w:p>
    <w:p w14:paraId="76B0B449" w14:textId="609B2726"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bidi="en-US"/>
        </w:rPr>
        <w:t xml:space="preserve">Nous sommes d’avis de mettre fin à la reconnaissance des questions de compétence comme une catégorie distincte devant faire l’objet d’un contrôle selon la norme de la décision correcte. Selon la majorité dans l’arrêt </w:t>
      </w:r>
      <w:r w:rsidRPr="00000DCC">
        <w:rPr>
          <w:rFonts w:cs="Times New Roman"/>
          <w:i/>
          <w:noProof/>
          <w:lang w:val="fr-CA" w:bidi="en-US"/>
        </w:rPr>
        <w:t>Dunsmuir</w:t>
      </w:r>
      <w:r w:rsidRPr="00000DCC">
        <w:rPr>
          <w:rFonts w:cs="Times New Roman"/>
          <w:noProof/>
          <w:lang w:val="fr-CA" w:bidi="en-US"/>
        </w:rPr>
        <w:t xml:space="preserve">, il ne faisait « aucun doute » (par. 50) que les questions liées à la compétence (ou les questions touchant véritablement à la compétence) devaient être examinées selon la norme de la décision correcte. Une véritable question de compétence se posait « lorsque le tribunal administratif [devait] déterminer expressément si les pouvoirs dont le législateur l’a investi l’autoris[ai]ent à trancher une question » : voir </w:t>
      </w:r>
      <w:r w:rsidRPr="00000DCC">
        <w:rPr>
          <w:rFonts w:cs="Times New Roman"/>
          <w:i/>
          <w:noProof/>
          <w:lang w:val="fr-CA" w:bidi="en-US"/>
        </w:rPr>
        <w:t>Dunsmuir</w:t>
      </w:r>
      <w:r w:rsidRPr="00000DCC">
        <w:rPr>
          <w:rFonts w:cs="Times New Roman"/>
          <w:noProof/>
          <w:lang w:val="fr-CA" w:bidi="en-US"/>
        </w:rPr>
        <w:t xml:space="preserve">, par. 59; </w:t>
      </w:r>
      <w:r w:rsidR="00A94779">
        <w:rPr>
          <w:rFonts w:cs="Times New Roman"/>
          <w:i/>
          <w:iCs/>
          <w:noProof/>
          <w:lang w:val="fr-CA" w:bidi="en-US"/>
        </w:rPr>
        <w:t xml:space="preserve">Québec </w:t>
      </w:r>
      <w:r w:rsidRPr="00000DCC">
        <w:rPr>
          <w:rFonts w:cs="Times New Roman"/>
          <w:i/>
          <w:iCs/>
          <w:noProof/>
          <w:lang w:val="fr-CA" w:bidi="en-US"/>
        </w:rPr>
        <w:t>(Procureur</w:t>
      </w:r>
      <w:r w:rsidR="00A94779">
        <w:rPr>
          <w:rFonts w:cs="Times New Roman"/>
          <w:i/>
          <w:iCs/>
          <w:noProof/>
          <w:lang w:val="fr-CA" w:bidi="en-US"/>
        </w:rPr>
        <w:t>e</w:t>
      </w:r>
      <w:r w:rsidRPr="00000DCC">
        <w:rPr>
          <w:rFonts w:cs="Times New Roman"/>
          <w:i/>
          <w:iCs/>
          <w:noProof/>
          <w:lang w:val="fr-CA" w:bidi="en-US"/>
        </w:rPr>
        <w:t xml:space="preserve"> général</w:t>
      </w:r>
      <w:r w:rsidR="00A94779">
        <w:rPr>
          <w:rFonts w:cs="Times New Roman"/>
          <w:i/>
          <w:iCs/>
          <w:noProof/>
          <w:lang w:val="fr-CA" w:bidi="en-US"/>
        </w:rPr>
        <w:t>e</w:t>
      </w:r>
      <w:r w:rsidRPr="00000DCC">
        <w:rPr>
          <w:rFonts w:cs="Times New Roman"/>
          <w:i/>
          <w:iCs/>
          <w:noProof/>
          <w:lang w:val="fr-CA" w:bidi="en-US"/>
        </w:rPr>
        <w:t>)</w:t>
      </w:r>
      <w:r w:rsidR="00736365">
        <w:rPr>
          <w:rFonts w:cs="Times New Roman"/>
          <w:i/>
          <w:iCs/>
          <w:noProof/>
          <w:lang w:val="fr-CA" w:bidi="en-US"/>
        </w:rPr>
        <w:t xml:space="preserve"> </w:t>
      </w:r>
      <w:r w:rsidRPr="00000DCC">
        <w:rPr>
          <w:rFonts w:cs="Times New Roman"/>
          <w:i/>
          <w:iCs/>
          <w:noProof/>
          <w:lang w:val="fr-CA" w:bidi="en-US"/>
        </w:rPr>
        <w:t>c.</w:t>
      </w:r>
      <w:r w:rsidR="00736365">
        <w:rPr>
          <w:rFonts w:cs="Times New Roman"/>
          <w:i/>
          <w:iCs/>
          <w:noProof/>
          <w:lang w:val="fr-CA" w:bidi="en-US"/>
        </w:rPr>
        <w:t xml:space="preserve"> </w:t>
      </w:r>
      <w:r w:rsidRPr="00000DCC">
        <w:rPr>
          <w:rFonts w:cs="Times New Roman"/>
          <w:i/>
          <w:iCs/>
          <w:noProof/>
          <w:lang w:val="fr-CA" w:bidi="en-US"/>
        </w:rPr>
        <w:t>Guérin</w:t>
      </w:r>
      <w:r w:rsidRPr="00000DCC">
        <w:rPr>
          <w:rFonts w:cs="Times New Roman"/>
          <w:noProof/>
          <w:lang w:val="fr-CA" w:bidi="en-US"/>
        </w:rPr>
        <w:t>, 2017 CSC 42</w:t>
      </w:r>
      <w:r w:rsidRPr="00000DCC">
        <w:rPr>
          <w:rFonts w:cs="Times New Roman"/>
          <w:iCs/>
          <w:noProof/>
          <w:lang w:val="fr-CA" w:bidi="en-US"/>
        </w:rPr>
        <w:t>,</w:t>
      </w:r>
      <w:r w:rsidRPr="00000DCC">
        <w:rPr>
          <w:rFonts w:cs="Times New Roman"/>
          <w:i/>
          <w:iCs/>
          <w:noProof/>
          <w:lang w:val="fr-CA" w:bidi="en-US"/>
        </w:rPr>
        <w:t xml:space="preserve"> </w:t>
      </w:r>
      <w:r w:rsidRPr="00000DCC">
        <w:rPr>
          <w:rFonts w:cs="Times New Roman"/>
          <w:iCs/>
          <w:noProof/>
          <w:lang w:val="fr-CA" w:bidi="en-US"/>
        </w:rPr>
        <w:t>[2017] 2 R.C.S. 3, par. 32</w:t>
      </w:r>
      <w:r w:rsidRPr="00000DCC">
        <w:rPr>
          <w:rFonts w:cs="Times New Roman"/>
          <w:noProof/>
          <w:lang w:val="fr-CA" w:bidi="en-US"/>
        </w:rPr>
        <w:t xml:space="preserve">. Or, depuis l’arrêt </w:t>
      </w:r>
      <w:r w:rsidRPr="00000DCC">
        <w:rPr>
          <w:rFonts w:cs="Times New Roman"/>
          <w:i/>
          <w:noProof/>
          <w:lang w:val="fr-CA" w:bidi="en-US"/>
        </w:rPr>
        <w:t>Dunsmuir</w:t>
      </w:r>
      <w:r w:rsidRPr="00000DCC">
        <w:rPr>
          <w:rFonts w:cs="Times New Roman"/>
          <w:noProof/>
          <w:lang w:val="fr-CA" w:bidi="en-US"/>
        </w:rPr>
        <w:t xml:space="preserve">, des opinions des juges majoritaires de la Cour ont mis en doute la pertinence de cette catégorie, ont peiné à en définir la portée et ont affirmé « douter sérieusement que la question appartienne </w:t>
      </w:r>
      <w:r w:rsidRPr="00000DCC">
        <w:rPr>
          <w:rFonts w:cs="Times New Roman"/>
          <w:noProof/>
          <w:lang w:val="fr-CA"/>
        </w:rPr>
        <w:t xml:space="preserve">à une catégorie distincte de questions de droit » : </w:t>
      </w:r>
      <w:r w:rsidRPr="00000DCC">
        <w:rPr>
          <w:rFonts w:cs="Times New Roman"/>
          <w:i/>
          <w:noProof/>
          <w:lang w:val="fr-CA"/>
        </w:rPr>
        <w:t>McLean</w:t>
      </w:r>
      <w:r w:rsidRPr="00000DCC">
        <w:rPr>
          <w:rFonts w:cs="Times New Roman"/>
          <w:noProof/>
          <w:lang w:val="fr-CA"/>
        </w:rPr>
        <w:t xml:space="preserve">, par. 25, renvoyant à </w:t>
      </w:r>
      <w:r w:rsidRPr="00000DCC">
        <w:rPr>
          <w:rFonts w:cs="Times New Roman"/>
          <w:i/>
          <w:noProof/>
          <w:lang w:val="fr-CA" w:bidi="en-US"/>
        </w:rPr>
        <w:t>Alberta Teachers</w:t>
      </w:r>
      <w:r w:rsidRPr="00000DCC">
        <w:rPr>
          <w:rFonts w:cs="Times New Roman"/>
          <w:noProof/>
          <w:lang w:val="fr-CA" w:bidi="en-US"/>
        </w:rPr>
        <w:t xml:space="preserve">, par. 34; </w:t>
      </w:r>
      <w:r w:rsidRPr="00000DCC">
        <w:rPr>
          <w:rFonts w:cs="Times New Roman"/>
          <w:i/>
          <w:noProof/>
          <w:lang w:val="fr-CA" w:bidi="en-US"/>
        </w:rPr>
        <w:t>Edmonton East</w:t>
      </w:r>
      <w:r w:rsidRPr="00000DCC">
        <w:rPr>
          <w:rFonts w:cs="Times New Roman"/>
          <w:noProof/>
          <w:lang w:val="fr-CA" w:bidi="en-US"/>
        </w:rPr>
        <w:t xml:space="preserve">, par. 26; </w:t>
      </w:r>
      <w:r w:rsidRPr="00000DCC">
        <w:rPr>
          <w:rFonts w:cs="Times New Roman"/>
          <w:i/>
          <w:iCs/>
          <w:noProof/>
          <w:lang w:val="fr-CA" w:bidi="en-US"/>
        </w:rPr>
        <w:t>Guérin</w:t>
      </w:r>
      <w:r w:rsidRPr="00000DCC">
        <w:rPr>
          <w:rFonts w:cs="Times New Roman"/>
          <w:iCs/>
          <w:noProof/>
          <w:lang w:val="fr-CA" w:bidi="en-US"/>
        </w:rPr>
        <w:t>,</w:t>
      </w:r>
      <w:r w:rsidRPr="00000DCC">
        <w:rPr>
          <w:rFonts w:cs="Times New Roman"/>
          <w:noProof/>
          <w:lang w:val="fr-CA" w:bidi="en-US"/>
        </w:rPr>
        <w:t xml:space="preserve"> par. 32</w:t>
      </w:r>
      <w:r w:rsidRPr="00000DCC">
        <w:rPr>
          <w:rFonts w:cs="Times New Roman"/>
          <w:noProof/>
          <w:lang w:val="fr-CA" w:bidi="en-US"/>
        </w:rPr>
        <w:noBreakHyphen/>
        <w:t>36;</w:t>
      </w:r>
      <w:r w:rsidRPr="00000DCC">
        <w:rPr>
          <w:rFonts w:cs="Times New Roman"/>
          <w:noProof/>
          <w:lang w:val="fr-CA"/>
        </w:rPr>
        <w:t xml:space="preserve"> </w:t>
      </w:r>
      <w:r w:rsidRPr="00000DCC">
        <w:rPr>
          <w:rFonts w:cs="Times New Roman"/>
          <w:i/>
          <w:iCs/>
          <w:noProof/>
          <w:lang w:val="fr-CA"/>
        </w:rPr>
        <w:t>CCDP</w:t>
      </w:r>
      <w:r w:rsidRPr="00000DCC">
        <w:rPr>
          <w:rFonts w:cs="Times New Roman"/>
          <w:noProof/>
          <w:lang w:val="fr-CA"/>
        </w:rPr>
        <w:t>, par. 31</w:t>
      </w:r>
      <w:r w:rsidRPr="00000DCC">
        <w:rPr>
          <w:rFonts w:cs="Times New Roman"/>
          <w:noProof/>
          <w:lang w:val="fr-CA"/>
        </w:rPr>
        <w:noBreakHyphen/>
        <w:t>41.</w:t>
      </w:r>
    </w:p>
    <w:p w14:paraId="74014AAE"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bidi="en-US"/>
        </w:rPr>
        <w:t xml:space="preserve">Comme l’a fait remarquer le juge Gascon dans l’arrêt </w:t>
      </w:r>
      <w:r w:rsidRPr="00000DCC">
        <w:rPr>
          <w:rFonts w:cs="Times New Roman"/>
          <w:i/>
          <w:noProof/>
          <w:lang w:val="fr-CA" w:bidi="en-US"/>
        </w:rPr>
        <w:t>CCDP</w:t>
      </w:r>
      <w:r w:rsidRPr="00000DCC">
        <w:rPr>
          <w:rFonts w:cs="Times New Roman"/>
          <w:noProof/>
          <w:lang w:val="fr-CA" w:bidi="en-US"/>
        </w:rPr>
        <w:t>,</w:t>
      </w:r>
      <w:r w:rsidRPr="00000DCC">
        <w:rPr>
          <w:rFonts w:cs="Times New Roman"/>
          <w:i/>
          <w:noProof/>
          <w:lang w:val="fr-CA" w:bidi="en-US"/>
        </w:rPr>
        <w:t xml:space="preserve"> </w:t>
      </w:r>
      <w:r w:rsidRPr="00000DCC">
        <w:rPr>
          <w:rFonts w:cs="Times New Roman"/>
          <w:noProof/>
          <w:lang w:val="fr-CA" w:bidi="en-US"/>
        </w:rPr>
        <w:t xml:space="preserve">la « compétence » en droit administratif est, de par sa nature même, un concept « aux contours flous » : par. 38. Il en est ainsi, parce que, en théorie, toute contestation d’une </w:t>
      </w:r>
      <w:r w:rsidRPr="00000DCC">
        <w:rPr>
          <w:rFonts w:cs="Times New Roman"/>
          <w:noProof/>
          <w:lang w:val="fr-CA" w:bidi="en-US"/>
        </w:rPr>
        <w:lastRenderedPageBreak/>
        <w:t xml:space="preserve">décision administrative peut être qualifiée de question qui « touche à la compétence », en ce sens qu’elle sème un doute à savoir si le décideur était habilité à agir comme il l’a fait : voir </w:t>
      </w:r>
      <w:r w:rsidRPr="00000DCC">
        <w:rPr>
          <w:rFonts w:cs="Times New Roman"/>
          <w:i/>
          <w:noProof/>
          <w:lang w:val="fr-CA" w:bidi="en-US"/>
        </w:rPr>
        <w:t>CCDP</w:t>
      </w:r>
      <w:r w:rsidRPr="00000DCC">
        <w:rPr>
          <w:rFonts w:cs="Times New Roman"/>
          <w:noProof/>
          <w:lang w:val="fr-CA" w:bidi="en-US"/>
        </w:rPr>
        <w:t xml:space="preserve">, par. 38; </w:t>
      </w:r>
      <w:r w:rsidRPr="00000DCC">
        <w:rPr>
          <w:rFonts w:cs="Times New Roman"/>
          <w:i/>
          <w:noProof/>
          <w:lang w:val="fr-CA" w:bidi="en-US"/>
        </w:rPr>
        <w:t>Alberta</w:t>
      </w:r>
      <w:r w:rsidRPr="00000DCC">
        <w:rPr>
          <w:rFonts w:cs="Times New Roman"/>
          <w:noProof/>
          <w:lang w:val="fr-CA" w:bidi="en-US"/>
        </w:rPr>
        <w:t xml:space="preserve"> </w:t>
      </w:r>
      <w:r w:rsidRPr="00000DCC">
        <w:rPr>
          <w:rFonts w:cs="Times New Roman"/>
          <w:i/>
          <w:noProof/>
          <w:lang w:val="fr-CA" w:bidi="en-US"/>
        </w:rPr>
        <w:t>Teachers</w:t>
      </w:r>
      <w:r w:rsidRPr="00000DCC">
        <w:rPr>
          <w:rFonts w:cs="Times New Roman"/>
          <w:noProof/>
          <w:lang w:val="fr-CA" w:bidi="en-US"/>
        </w:rPr>
        <w:t xml:space="preserve">, par. 34; voir également </w:t>
      </w:r>
      <w:r w:rsidRPr="00000DCC">
        <w:rPr>
          <w:rFonts w:cs="Times New Roman"/>
          <w:i/>
          <w:noProof/>
          <w:lang w:val="fr-CA" w:bidi="en-US"/>
        </w:rPr>
        <w:t>City of Arlington, Texas c. Federal Communications Commission</w:t>
      </w:r>
      <w:r w:rsidRPr="00000DCC">
        <w:rPr>
          <w:rFonts w:cs="Times New Roman"/>
          <w:noProof/>
          <w:lang w:val="fr-CA" w:bidi="en-US"/>
        </w:rPr>
        <w:t xml:space="preserve">, 569 U.S. 290 (2013), p. 299. Si notre Cour indique dans sa jurisprudence que seule une catégorie beaucoup plus circonscrite de questions touchant « véritablement » à la compétence appelle la norme de la décision correcte, elle fait aussi remarquer qu’il n’existe aucune « balise claire » qui permet de distinguer ces questions de celles touchant à l’interprétation de sa loi habilitante par un décideur administratif : voir </w:t>
      </w:r>
      <w:r w:rsidRPr="00000DCC">
        <w:rPr>
          <w:rFonts w:cs="Times New Roman"/>
          <w:i/>
          <w:noProof/>
          <w:lang w:val="fr-CA" w:bidi="en-US"/>
        </w:rPr>
        <w:t>CCDP</w:t>
      </w:r>
      <w:r w:rsidRPr="00000DCC">
        <w:rPr>
          <w:rFonts w:cs="Times New Roman"/>
          <w:noProof/>
          <w:lang w:val="fr-CA" w:bidi="en-US"/>
        </w:rPr>
        <w:t>, par. 38. Malgré les opinions divergentes sur la possibilité de délimiter la catégorie des questions touchant « véritablement » à la compétence, on s’entend généralement pour dire qu’il est « souvent difficile de distinguer l’exercice d’un pouvoir délégué qui soulève des questions touchant véritablement à la compétence de l’exercice du pouvoir qui fait intervenir l’application ordinaire d’une loi habilitante » </w:t>
      </w:r>
      <w:r w:rsidRPr="00000DCC">
        <w:rPr>
          <w:rFonts w:cs="Times New Roman"/>
          <w:noProof/>
          <w:lang w:val="fr-CA"/>
        </w:rPr>
        <w:t xml:space="preserve">: </w:t>
      </w:r>
      <w:r w:rsidRPr="00000DCC">
        <w:rPr>
          <w:rFonts w:cs="Times New Roman"/>
          <w:i/>
          <w:noProof/>
          <w:lang w:val="fr-CA" w:bidi="en-US"/>
        </w:rPr>
        <w:t>CCDP</w:t>
      </w:r>
      <w:r w:rsidRPr="00000DCC">
        <w:rPr>
          <w:rFonts w:cs="Times New Roman"/>
          <w:noProof/>
          <w:lang w:val="fr-CA" w:bidi="en-US"/>
        </w:rPr>
        <w:t>, par. 111, motifs concordants du juge Brown. Cette tension ressort peut</w:t>
      </w:r>
      <w:r w:rsidRPr="00000DCC">
        <w:rPr>
          <w:rFonts w:cs="Times New Roman"/>
          <w:noProof/>
          <w:lang w:val="fr-CA" w:bidi="en-US"/>
        </w:rPr>
        <w:noBreakHyphen/>
        <w:t>être le plus dans les cas où le législateur a délégué un large pouvoir à un organe administratif qui permet à celui</w:t>
      </w:r>
      <w:r w:rsidRPr="00000DCC">
        <w:rPr>
          <w:rFonts w:cs="Times New Roman"/>
          <w:noProof/>
          <w:lang w:val="fr-CA" w:bidi="en-US"/>
        </w:rPr>
        <w:noBreakHyphen/>
        <w:t xml:space="preserve">ci de concevoir des règlements dans la poursuite des objectifs de sa loi habilitante : voir, p. ex., </w:t>
      </w:r>
      <w:r w:rsidRPr="00000DCC">
        <w:rPr>
          <w:rFonts w:cs="Times New Roman"/>
          <w:i/>
          <w:noProof/>
          <w:lang w:val="fr-CA" w:bidi="en-US"/>
        </w:rPr>
        <w:t>Green c. Société du Barreau du Manitoba</w:t>
      </w:r>
      <w:r w:rsidRPr="00000DCC">
        <w:rPr>
          <w:rFonts w:cs="Times New Roman"/>
          <w:noProof/>
          <w:lang w:val="fr-CA" w:bidi="en-US"/>
        </w:rPr>
        <w:t xml:space="preserve">, 2017 CSC 20, [2017] 1 R.C.S. 360; </w:t>
      </w:r>
      <w:r w:rsidRPr="00000DCC">
        <w:rPr>
          <w:rFonts w:cs="Times New Roman"/>
          <w:i/>
          <w:noProof/>
          <w:lang w:val="fr-CA"/>
        </w:rPr>
        <w:t>West Fraser Mills Ltd. c. Colombie</w:t>
      </w:r>
      <w:r w:rsidRPr="00000DCC">
        <w:rPr>
          <w:rFonts w:cs="Times New Roman"/>
          <w:i/>
          <w:noProof/>
          <w:lang w:val="fr-CA"/>
        </w:rPr>
        <w:noBreakHyphen/>
        <w:t>Britannique (Workers’ Compensation Appeal Tribunal)</w:t>
      </w:r>
      <w:r w:rsidRPr="00000DCC">
        <w:rPr>
          <w:rFonts w:cs="Times New Roman"/>
          <w:noProof/>
          <w:lang w:val="fr-CA"/>
        </w:rPr>
        <w:t xml:space="preserve">, 2018 CSC 22, </w:t>
      </w:r>
      <w:r w:rsidRPr="00000DCC">
        <w:rPr>
          <w:rFonts w:cs="Times New Roman"/>
          <w:noProof/>
          <w:lang w:val="fr-CA" w:bidi="en-US"/>
        </w:rPr>
        <w:t>[2018] 1 R.C.S. 635</w:t>
      </w:r>
      <w:r w:rsidRPr="00000DCC">
        <w:rPr>
          <w:rFonts w:cs="Times New Roman"/>
          <w:noProof/>
          <w:lang w:val="fr-CA"/>
        </w:rPr>
        <w:t>.</w:t>
      </w:r>
    </w:p>
    <w:p w14:paraId="709AEEAB"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bidi="en-US"/>
        </w:rPr>
        <w:t xml:space="preserve">Tout en soulignant cette difficulté inhérente — ainsi que l’effet néfaste de l’incertitude juridique qui en découle sur les justiciables — les juges majoritaires dans l’arrêt </w:t>
      </w:r>
      <w:r w:rsidRPr="00000DCC">
        <w:rPr>
          <w:rFonts w:cs="Times New Roman"/>
          <w:i/>
          <w:noProof/>
          <w:lang w:val="fr-CA" w:bidi="en-US"/>
        </w:rPr>
        <w:t xml:space="preserve">CCDP </w:t>
      </w:r>
      <w:r w:rsidRPr="00000DCC">
        <w:rPr>
          <w:rFonts w:cs="Times New Roman"/>
          <w:noProof/>
          <w:lang w:val="fr-CA" w:bidi="en-US"/>
        </w:rPr>
        <w:t xml:space="preserve">ont néanmoins laissé en suspens la question de savoir si la catégorie des questions touchant véritablement à la compétence était toujours nécessaire. Après avoir </w:t>
      </w:r>
      <w:r w:rsidRPr="00000DCC">
        <w:rPr>
          <w:rFonts w:cs="Times New Roman"/>
          <w:noProof/>
          <w:lang w:val="fr-CA" w:bidi="en-US"/>
        </w:rPr>
        <w:lastRenderedPageBreak/>
        <w:t>entendu les observations présentées à cet égard et saisi l’occasion de nous pencher sur ce point, nous sommes aujourd’hui en mesure de conclure qu’il n’est pas nécessaire de maintenir cette catégorie au sein des questions appelant la norme de la décision correcte. Les arguments à l’appui du maintien de cette catégorie — notamment la préoccupation relative au pouvoir du décideur, titulaire de pouvoirs délégués, de déterminer l’étendue de sa propre compétence — peuvent faire l’objet d’un examen adéquat au moyen du cadre d’analyse, exposé plus loin, qui doit servir à effectuer un contrôle selon la norme de la décision raisonnable. Le contrôle judiciaire selon cette norme est à la fois rigoureux et adapté au contexte. En l’appliquant adéquatement, les cours de justice sont en mesure d’accomplir leur devoir constitutionnel de veiller à ce que les organismes administratifs agissent dans les limites des pouvoirs qui leur sont conférés sans qu’il soit nécessaire de procéder à un examen préliminaire pour établir si une interprétation particulière soulève une question touchant « véritablement » et « étroitement » à la compétence et sans avoir à recourir à la norme de la décision correcte</w:t>
      </w:r>
      <w:r w:rsidRPr="00000DCC">
        <w:rPr>
          <w:rFonts w:cs="Times New Roman"/>
          <w:noProof/>
          <w:lang w:val="fr-CA"/>
        </w:rPr>
        <w:t>.</w:t>
      </w:r>
    </w:p>
    <w:p w14:paraId="02C300E6"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La norme de la décision raisonnable ne permet pas aux décideurs administratifs d’interpréter leur loi habilitante à leur gré et ne les autorise donc pas à élargir la portée de leurs pouvoirs au</w:t>
      </w:r>
      <w:r w:rsidRPr="00000DCC">
        <w:rPr>
          <w:rFonts w:cs="Times New Roman"/>
          <w:noProof/>
          <w:lang w:val="fr-CA"/>
        </w:rPr>
        <w:noBreakHyphen/>
        <w:t xml:space="preserve">delà de ce que souhaitait le législateur. Elle vient plutôt confirmer que le régime législatif applicable servira toujours à circonscrire les actes ainsi que les pouvoirs des décideurs administratifs. Même dans les cas où l’interprétation que le décideur donne de ses pouvoirs fait l’objet d’un contrôle selon la norme de la décision raisonnable, un texte législatif formulé en termes précis ou étroits aura forcément pour effet de restreindre les interprétations </w:t>
      </w:r>
      <w:r w:rsidRPr="00000DCC">
        <w:rPr>
          <w:rFonts w:cs="Times New Roman"/>
          <w:i/>
          <w:noProof/>
          <w:lang w:val="fr-CA"/>
        </w:rPr>
        <w:t xml:space="preserve">raisonnables </w:t>
      </w:r>
      <w:r w:rsidRPr="00000DCC">
        <w:rPr>
          <w:rFonts w:cs="Times New Roman"/>
          <w:noProof/>
          <w:lang w:val="fr-CA"/>
        </w:rPr>
        <w:t>que le décideur peut retenir —</w:t>
      </w:r>
      <w:r w:rsidRPr="00000DCC">
        <w:rPr>
          <w:rFonts w:cs="Times New Roman"/>
          <w:noProof/>
          <w:lang w:val="fr-CA" w:bidi="en-US"/>
        </w:rPr>
        <w:t xml:space="preserve"> en les limitant peut</w:t>
      </w:r>
      <w:r w:rsidRPr="00000DCC">
        <w:rPr>
          <w:rFonts w:cs="Times New Roman"/>
          <w:noProof/>
          <w:lang w:val="fr-CA" w:bidi="en-US"/>
        </w:rPr>
        <w:noBreakHyphen/>
        <w:t>être à une seule</w:t>
      </w:r>
      <w:r w:rsidRPr="00000DCC">
        <w:rPr>
          <w:rFonts w:cs="Times New Roman"/>
          <w:noProof/>
          <w:lang w:val="fr-CA"/>
        </w:rPr>
        <w:t xml:space="preserve">. À l’inverse, lorsque le </w:t>
      </w:r>
      <w:r w:rsidRPr="00000DCC">
        <w:rPr>
          <w:rFonts w:cs="Times New Roman"/>
          <w:noProof/>
          <w:lang w:val="fr-CA"/>
        </w:rPr>
        <w:lastRenderedPageBreak/>
        <w:t>législateur confère au décideur de vastes pouvoirs au moyen d’un texte législatif rédigé en termes généraux, et ne prévoit aucun droit d’appel devant une cour de justice, il y a lieu de donner effet à son intention d’accorder une plus grande latitude au décideur sur l’interprétation de sa loi habilitante. Sans pour autant chercher à importer en bloc la jurisprudence américaine sur ce point, nous estimons pertinents les propos suivants formulés par la Cour suprême des États</w:t>
      </w:r>
      <w:r w:rsidRPr="00000DCC">
        <w:rPr>
          <w:rFonts w:cs="Times New Roman"/>
          <w:noProof/>
          <w:lang w:val="fr-CA"/>
        </w:rPr>
        <w:noBreakHyphen/>
        <w:t xml:space="preserve">Unis dans l’arrêt </w:t>
      </w:r>
      <w:r w:rsidRPr="00000DCC">
        <w:rPr>
          <w:rFonts w:cs="Times New Roman"/>
          <w:i/>
          <w:noProof/>
          <w:lang w:val="fr-CA"/>
        </w:rPr>
        <w:t>Arlington</w:t>
      </w:r>
      <w:r w:rsidRPr="00000DCC">
        <w:rPr>
          <w:rFonts w:cs="Times New Roman"/>
          <w:noProof/>
          <w:lang w:val="fr-CA"/>
        </w:rPr>
        <w:t>, p. 307 :</w:t>
      </w:r>
    </w:p>
    <w:p w14:paraId="0E0624E4" w14:textId="73AC9BC4" w:rsidR="00AE2373" w:rsidRPr="00000DCC" w:rsidRDefault="00AE2373" w:rsidP="00AE2373">
      <w:pPr>
        <w:pStyle w:val="Citation-AltC"/>
        <w:tabs>
          <w:tab w:val="left" w:pos="1560"/>
        </w:tabs>
        <w:ind w:hanging="446"/>
        <w:contextualSpacing w:val="0"/>
        <w:rPr>
          <w:noProof/>
          <w:lang w:val="fr-CA"/>
        </w:rPr>
      </w:pPr>
      <w:r w:rsidRPr="00000DCC">
        <w:rPr>
          <w:smallCaps/>
          <w:noProof/>
          <w:lang w:val="fr-CA"/>
        </w:rPr>
        <w:tab/>
        <w:t>[traduction]</w:t>
      </w:r>
      <w:r w:rsidRPr="00000DCC">
        <w:rPr>
          <w:noProof/>
          <w:lang w:val="fr-CA"/>
        </w:rPr>
        <w:t xml:space="preserve"> Il faut éviter le syndrome du « loup dans la bergerie » non pas en créant une catégorie arbitraire et indéfinissable de décisions d’organismes à l’égard desquelles il n’y a pas lieu de faire preuve de déférence, mais en prenant au sérieux et en appliquant rigoureusement, dans tous les cas, les restrictions prévues par la loi relativement aux pouvoirs conférés à un organisme. Si [le législateur] trace une ligne de démarcation claire, l’organisme ne peut aller au</w:t>
      </w:r>
      <w:r w:rsidRPr="00000DCC">
        <w:rPr>
          <w:noProof/>
          <w:lang w:val="fr-CA"/>
        </w:rPr>
        <w:noBreakHyphen/>
        <w:t>delà de celle</w:t>
      </w:r>
      <w:r w:rsidRPr="00000DCC">
        <w:rPr>
          <w:noProof/>
          <w:lang w:val="fr-CA"/>
        </w:rPr>
        <w:noBreakHyphen/>
        <w:t>ci; si [le législateur] trace une ligne de démarcation ambiguë, l’organisme ne peut dépasser les limites de l’ambiguïté même. Or, pour l’application rigoureuse de cette dernière règle, la cour de justice n’est pas nécessairement tenue de s’arrêter et d’essayer de comprendre si la question d’interprétation soulevée touche à la « compétence ».</w:t>
      </w:r>
      <w:r w:rsidR="00E41DF0">
        <w:rPr>
          <w:noProof/>
          <w:lang w:val="fr-CA"/>
        </w:rPr>
        <w:t> </w:t>
      </w:r>
    </w:p>
    <w:p w14:paraId="1CC1EE30" w14:textId="77777777" w:rsidR="00AE2373" w:rsidRPr="00000DCC" w:rsidRDefault="00AE2373" w:rsidP="00AE2373">
      <w:pPr>
        <w:pStyle w:val="Title2LevelTitre2Niveau"/>
        <w:tabs>
          <w:tab w:val="left" w:pos="1560"/>
        </w:tabs>
        <w:spacing w:before="0"/>
        <w:rPr>
          <w:rFonts w:cs="Times New Roman"/>
          <w:noProof/>
          <w:lang w:val="fr-CA"/>
        </w:rPr>
      </w:pPr>
      <w:r w:rsidRPr="00000DCC">
        <w:rPr>
          <w:rFonts w:cs="Times New Roman"/>
          <w:noProof/>
          <w:lang w:val="fr-CA"/>
        </w:rPr>
        <w:t>Les autres circonstances qui nécessitent de déroger à l’application de la norme de la décision raisonnable</w:t>
      </w:r>
    </w:p>
    <w:p w14:paraId="56DB6A1F"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bidi="en-US"/>
        </w:rPr>
        <w:t xml:space="preserve">Dans les présents motifs, nous avons relevé cinq situations où se justifie une dérogation à la présomption de contrôle selon la norme de la décision raisonnable, soit sur le fondement de l’intention du législateur (en l’occurrence, les normes de contrôle établies par voie législative et les mécanismes d’appel prévus par la loi), soit parce que la primauté du droit exige un contrôle selon la norme de la décision correcte (en l’occurrence, les questions constitutionnelles, les questions de droit générales d’importance capitale pour le système juridique dans son ensemble, ainsi que les questions </w:t>
      </w:r>
      <w:r w:rsidRPr="00000DCC">
        <w:rPr>
          <w:rFonts w:cs="Times New Roman"/>
          <w:noProof/>
          <w:lang w:val="fr-CA"/>
        </w:rPr>
        <w:t>liées aux délimitations des compétences respectives d’organismes administratifs)</w:t>
      </w:r>
      <w:r w:rsidRPr="00000DCC">
        <w:rPr>
          <w:rFonts w:cs="Times New Roman"/>
          <w:noProof/>
          <w:lang w:val="fr-CA" w:bidi="en-US"/>
        </w:rPr>
        <w:t xml:space="preserve">. Ce cadre d’analyse découle d’un examen minutieux, entrepris après </w:t>
      </w:r>
      <w:r w:rsidRPr="00000DCC">
        <w:rPr>
          <w:rFonts w:cs="Times New Roman"/>
          <w:noProof/>
          <w:lang w:val="fr-CA" w:bidi="en-US"/>
        </w:rPr>
        <w:lastRenderedPageBreak/>
        <w:t>avoir reçu des observations approfondies et procédé à une étude fouillée de la jurisprudence applicable. Pour le moment, nous estimons que les présents motifs couvrent l’ensemble des situations dans lesquelles il convient que la cour de révision déroge à la présomption de contrôle selon la norme de la décision raisonnable</w:t>
      </w:r>
      <w:r w:rsidRPr="00000DCC">
        <w:rPr>
          <w:rFonts w:cs="Times New Roman"/>
          <w:noProof/>
          <w:lang w:val="fr-CA"/>
        </w:rPr>
        <w:t xml:space="preserve">. Comme nous l’avons déjà indiqué, les cours de justice ne devraient plus recourir à l’analyse contextuelle pour déterminer la norme de contrôle applicable ou pour réfuter la présomption d’application de la norme de la décision raisonnable. En finir avec cette approche contextuelle fera en sorte, nous l’espérons, que « les parties cessent de débattre des critères applicables et fassent plutôt valoir leurs prétentions sur le fond » : </w:t>
      </w:r>
      <w:r w:rsidRPr="00000DCC">
        <w:rPr>
          <w:rFonts w:cs="Times New Roman"/>
          <w:i/>
          <w:noProof/>
          <w:lang w:val="fr-CA"/>
        </w:rPr>
        <w:t>Alberta Teachers</w:t>
      </w:r>
      <w:r w:rsidRPr="00000DCC">
        <w:rPr>
          <w:rFonts w:cs="Times New Roman"/>
          <w:noProof/>
          <w:lang w:val="fr-CA"/>
        </w:rPr>
        <w:t>,</w:t>
      </w:r>
      <w:r w:rsidRPr="00000DCC">
        <w:rPr>
          <w:rFonts w:cs="Times New Roman"/>
          <w:i/>
          <w:noProof/>
          <w:lang w:val="fr-CA"/>
        </w:rPr>
        <w:t xml:space="preserve"> </w:t>
      </w:r>
      <w:r w:rsidRPr="00000DCC">
        <w:rPr>
          <w:rFonts w:cs="Times New Roman"/>
          <w:noProof/>
          <w:lang w:val="fr-CA"/>
        </w:rPr>
        <w:t xml:space="preserve">par. 36, citant </w:t>
      </w:r>
      <w:r w:rsidRPr="00000DCC">
        <w:rPr>
          <w:rFonts w:cs="Times New Roman"/>
          <w:i/>
          <w:noProof/>
          <w:lang w:val="fr-CA"/>
        </w:rPr>
        <w:t>Dunsmuir</w:t>
      </w:r>
      <w:r w:rsidRPr="00000DCC">
        <w:rPr>
          <w:rFonts w:cs="Times New Roman"/>
          <w:noProof/>
          <w:lang w:val="fr-CA"/>
        </w:rPr>
        <w:t>, par. 145, motifs concordants du juge Binnie.</w:t>
      </w:r>
    </w:p>
    <w:p w14:paraId="3A831A6D"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bidi="en-US"/>
        </w:rPr>
        <w:t xml:space="preserve">Toutefois, nous ne fermons pas définitivement la porte à la possibilité qu’une autre catégorie puisse ultérieurement être reconnue comme appelant une dérogation à la présomption de contrôle selon la norme de la décision raisonnable. Notre réticence à qualifier d’exhaustive la liste d’exceptions à l’application de la norme de la décision raisonnable ne doit cependant pas être interprétée comme visant à favoriser l’établissement routinier de nouvelles catégories de situations commandant l’application de la norme de la décision correcte. Cette réticence relève plutôt de la constatation qu’il serait illusoire de déclarer que nous avons envisagé toutes les combinaisons possibles de circonstances dans lesquelles l’intention du législateur ou la primauté du droit pourront commander une dérogation à la présomption d’application de la norme de la décision raisonnable. Cela dit, la reconnaissance de tout nouveau fondement pour l’application de la norme de la décision correcte devrait revêtir un caractère exceptionnel et devrait respecter le cadre d’analyse et les principes </w:t>
      </w:r>
      <w:r w:rsidRPr="00000DCC">
        <w:rPr>
          <w:rFonts w:cs="Times New Roman"/>
          <w:noProof/>
          <w:lang w:val="fr-CA" w:bidi="en-US"/>
        </w:rPr>
        <w:lastRenderedPageBreak/>
        <w:t>prépondérants énoncés dans les présents motifs. Autrement dit, toute nouvelle catégorie de questions qui justifie une dérogation à la norme de la décision raisonnable sur le fondement de l’intention du législateur devrait comporter une indication de cette volonté tout aussi solide et convaincante que les indications mentionnées dans les présents motifs (c.</w:t>
      </w:r>
      <w:r w:rsidRPr="00000DCC">
        <w:rPr>
          <w:rFonts w:cs="Times New Roman"/>
          <w:noProof/>
          <w:lang w:val="fr-CA" w:bidi="en-US"/>
        </w:rPr>
        <w:noBreakHyphen/>
        <w:t>à</w:t>
      </w:r>
      <w:r w:rsidRPr="00000DCC">
        <w:rPr>
          <w:rFonts w:cs="Times New Roman"/>
          <w:noProof/>
          <w:lang w:val="fr-CA" w:bidi="en-US"/>
        </w:rPr>
        <w:noBreakHyphen/>
        <w:t>d. une norme de contrôle établie par voie législative ou un mécanisme d’appel prévu par la loi). De la même manière, la reconnaissance d’une nouvelle catégorie de questions qui commande l’application de la norme de la décision correcte sur le fondement de la primauté du droit ne serait justifiée que dans le cas où le défaut d’appliquer la norme de la décision correcte risquerait d’ébranler la primauté du droit et mettrait en péril le bon fonctionnement du système de justice d’une façon analogue aux trois situations décrites dans les présents motifs</w:t>
      </w:r>
      <w:r w:rsidRPr="00000DCC">
        <w:rPr>
          <w:rFonts w:cs="Times New Roman"/>
          <w:noProof/>
          <w:lang w:val="fr-CA"/>
        </w:rPr>
        <w:t>.</w:t>
      </w:r>
    </w:p>
    <w:p w14:paraId="5299A867"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Selon les </w:t>
      </w:r>
      <w:r w:rsidRPr="00000DCC">
        <w:rPr>
          <w:rFonts w:cs="Times New Roman"/>
          <w:i/>
          <w:noProof/>
          <w:lang w:val="fr-CA"/>
        </w:rPr>
        <w:t>amici curiae</w:t>
      </w:r>
      <w:r w:rsidRPr="00000DCC">
        <w:rPr>
          <w:rFonts w:cs="Times New Roman"/>
          <w:noProof/>
          <w:lang w:val="fr-CA"/>
        </w:rPr>
        <w:t xml:space="preserve">, outre les trois catégories de questions de droit que nous avons déjà mentionnées, la Cour devrait reconnaître l’existence d’une autre catégorie de questions de droit qui commande l’application de la norme de la décision correcte sur le fondement de la primauté du droit : les questions de droit qui sèment constamment la discorde ou la dissension interne au sein d’un organisme administratif et qui mènent à l’incohérence du droit. Les </w:t>
      </w:r>
      <w:r w:rsidRPr="00000DCC">
        <w:rPr>
          <w:rFonts w:cs="Times New Roman"/>
          <w:i/>
          <w:noProof/>
          <w:lang w:val="fr-CA"/>
        </w:rPr>
        <w:t>amici curiae</w:t>
      </w:r>
      <w:r w:rsidRPr="00000DCC">
        <w:rPr>
          <w:rFonts w:cs="Times New Roman"/>
          <w:noProof/>
          <w:lang w:val="fr-CA"/>
        </w:rPr>
        <w:t xml:space="preserve"> font valoir que l’application de la norme de la décision correcte s’impose en pareil cas parce que la primauté du droit est mise à mal lorsque l’incohérence du droit </w:t>
      </w:r>
      <w:r w:rsidRPr="00000DCC">
        <w:rPr>
          <w:rFonts w:cs="Times New Roman"/>
          <w:noProof/>
          <w:lang w:val="fr-CA" w:bidi="en-US"/>
        </w:rPr>
        <w:t xml:space="preserve">devient la norme et que </w:t>
      </w:r>
      <w:r w:rsidRPr="00000DCC">
        <w:rPr>
          <w:rFonts w:cs="Times New Roman"/>
          <w:noProof/>
          <w:lang w:val="fr-CA"/>
        </w:rPr>
        <w:t xml:space="preserve">les règles de droit dépendent de l’identité du décideur. Ils ajoutent que, dans les cas où des interprétations juridiques concurrentes et raisonnables persistent au niveau administratif — de sorte que la loi peut signifier à la fois « oui » et « non » — il appartient aux cours de justice d’intervenir et de trancher de manière décisive, et ce, </w:t>
      </w:r>
      <w:r w:rsidRPr="00000DCC">
        <w:rPr>
          <w:rFonts w:cs="Times New Roman"/>
          <w:noProof/>
          <w:lang w:val="fr-CA"/>
        </w:rPr>
        <w:lastRenderedPageBreak/>
        <w:t>sans faire preuve de déférence envers le décideur administratif : mémoire des</w:t>
      </w:r>
      <w:r w:rsidRPr="00000DCC">
        <w:rPr>
          <w:rFonts w:cs="Times New Roman"/>
          <w:i/>
          <w:noProof/>
          <w:lang w:val="fr-CA"/>
        </w:rPr>
        <w:t xml:space="preserve"> amici curiae</w:t>
      </w:r>
      <w:r w:rsidRPr="00000DCC">
        <w:rPr>
          <w:rFonts w:cs="Times New Roman"/>
          <w:noProof/>
          <w:lang w:val="fr-CA"/>
        </w:rPr>
        <w:t>, par. 91.</w:t>
      </w:r>
    </w:p>
    <w:p w14:paraId="6BDE6B54"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Nous ne sommes pas convaincus que la Cour devrait reconnaître l’existence d’une catégorie distincte de questions de droit qui appellent la norme de la décision correcte dans le cas où ces questions sèment constamment la discorde au sein d’un organisme administratif. Dans l’arrêt </w:t>
      </w:r>
      <w:r w:rsidRPr="00000DCC">
        <w:rPr>
          <w:rFonts w:cs="Times New Roman"/>
          <w:i/>
          <w:noProof/>
          <w:lang w:val="fr-CA"/>
        </w:rPr>
        <w:t>Domtar Inc. c. Québec (Commission d’appel en matière de lésions professionnelles)</w:t>
      </w:r>
      <w:r w:rsidRPr="00000DCC">
        <w:rPr>
          <w:rFonts w:cs="Times New Roman"/>
          <w:noProof/>
          <w:lang w:val="fr-CA"/>
        </w:rPr>
        <w:t xml:space="preserve">, [1993] 2 R.C.S. 756, notre Cour a conclu que « l’absence d’unanimité [parmi les membres d’un tribunal administratif] est [. . .] le prix à payer pour la liberté et l’indépendance décisionnelle accordées aux membres de ces mêmes tribunaux » : p. 800; voir aussi </w:t>
      </w:r>
      <w:r w:rsidRPr="00000DCC">
        <w:rPr>
          <w:rFonts w:cs="Times New Roman"/>
          <w:i/>
          <w:noProof/>
          <w:lang w:val="fr-CA"/>
        </w:rPr>
        <w:t>Ellis</w:t>
      </w:r>
      <w:r w:rsidRPr="00000DCC">
        <w:rPr>
          <w:rFonts w:cs="Times New Roman"/>
          <w:i/>
          <w:noProof/>
          <w:lang w:val="fr-CA"/>
        </w:rPr>
        <w:noBreakHyphen/>
        <w:t>Don Ltd. c. Ontario (Commission des relations de travail)</w:t>
      </w:r>
      <w:r w:rsidRPr="00000DCC">
        <w:rPr>
          <w:rFonts w:cs="Times New Roman"/>
          <w:noProof/>
          <w:lang w:val="fr-CA"/>
        </w:rPr>
        <w:t xml:space="preserve">, 2001 CSC 4, [2001] 1 R.C.S. 221, par. 28. Cela dit, nous convenons que le scénario hypothétique que proposent les </w:t>
      </w:r>
      <w:r w:rsidRPr="00000DCC">
        <w:rPr>
          <w:rFonts w:cs="Times New Roman"/>
          <w:i/>
          <w:noProof/>
          <w:lang w:val="fr-CA"/>
        </w:rPr>
        <w:t>amici curiae</w:t>
      </w:r>
      <w:r w:rsidRPr="00000DCC">
        <w:rPr>
          <w:rFonts w:cs="Times New Roman"/>
          <w:noProof/>
          <w:lang w:val="fr-CA"/>
        </w:rPr>
        <w:t xml:space="preserve"> — où les règles de droit dépendent de l’identité du décideur et mènent à une incohérence du droit — va à l’encontre de la primauté du droit. Nous tenons cependant à préciser que le cadre d’application plus rigoureux de la norme de la décision raisonnable énoncé ci</w:t>
      </w:r>
      <w:r w:rsidRPr="00000DCC">
        <w:rPr>
          <w:rFonts w:cs="Times New Roman"/>
          <w:noProof/>
          <w:lang w:val="fr-CA"/>
        </w:rPr>
        <w:noBreakHyphen/>
        <w:t xml:space="preserve">dessous, qui tient compte de la valeur que représente la cohérence et du risque d’arbitraire, permet, de concert avec les processus administratifs internes qui favorisent l’uniformité et avec le contrôle que peut exercer le législateur (voir </w:t>
      </w:r>
      <w:r w:rsidRPr="00000DCC">
        <w:rPr>
          <w:rFonts w:cs="Times New Roman"/>
          <w:i/>
          <w:noProof/>
          <w:lang w:val="fr-CA"/>
        </w:rPr>
        <w:t>Domtar</w:t>
      </w:r>
      <w:r w:rsidRPr="00000DCC">
        <w:rPr>
          <w:rFonts w:cs="Times New Roman"/>
          <w:noProof/>
          <w:lang w:val="fr-CA"/>
        </w:rPr>
        <w:t>,</w:t>
      </w:r>
      <w:r w:rsidRPr="00000DCC">
        <w:rPr>
          <w:rFonts w:cs="Times New Roman"/>
          <w:i/>
          <w:noProof/>
          <w:lang w:val="fr-CA"/>
        </w:rPr>
        <w:t xml:space="preserve"> </w:t>
      </w:r>
      <w:r w:rsidRPr="00000DCC">
        <w:rPr>
          <w:rFonts w:cs="Times New Roman"/>
          <w:noProof/>
          <w:lang w:val="fr-CA"/>
        </w:rPr>
        <w:t>p. 801), de se prémunir face aux menaces à la primauté du droit. En outre, il est difficile de cerner à quel moment une divergence interne sur une question de droit deviendrait grave, persistante et impossible à régler au point de créer une « incohérence du droit » et de commander l’intervention d’une cour de justice. Compte tenu de ces difficultés sur le plan pratique, des précédents de notre Cour et de la nature hypothétique du problème, nous nous abstenons de reconnaître l’existence d’une telle catégorie dans le présent pourvoi.</w:t>
      </w:r>
    </w:p>
    <w:p w14:paraId="4EC875A4" w14:textId="77777777" w:rsidR="00AE2373" w:rsidRPr="00000DCC" w:rsidRDefault="00AE2373" w:rsidP="00AE2373">
      <w:pPr>
        <w:pStyle w:val="Title1LevelTitre1Niveau-AltL"/>
        <w:numPr>
          <w:ilvl w:val="0"/>
          <w:numId w:val="8"/>
        </w:numPr>
        <w:tabs>
          <w:tab w:val="left" w:pos="1560"/>
        </w:tabs>
        <w:spacing w:before="0"/>
        <w:jc w:val="left"/>
        <w:rPr>
          <w:rFonts w:cs="Times New Roman"/>
          <w:noProof/>
          <w:lang w:val="fr-CA"/>
        </w:rPr>
      </w:pPr>
      <w:r w:rsidRPr="00000DCC">
        <w:rPr>
          <w:rFonts w:cs="Times New Roman"/>
          <w:noProof/>
          <w:lang w:val="fr-CA"/>
        </w:rPr>
        <w:lastRenderedPageBreak/>
        <w:t>L’exercice du contrôle selon la norme de la décision raisonnable</w:t>
      </w:r>
    </w:p>
    <w:p w14:paraId="7B5605CB"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La jurisprudence de notre Cour en droit administratif a historiquement été axée sur le cadre d’analyse utilisé pour déterminer la norme de contrôle applicable, tout en donnant peu d’indications sur la façon de procéder en pratique à un contrôle fondé sur la norme de la décision raisonnable.</w:t>
      </w:r>
    </w:p>
    <w:p w14:paraId="2E292832" w14:textId="77777777" w:rsidR="00AE2373" w:rsidRPr="00000DCC" w:rsidRDefault="00AE2373" w:rsidP="00AE2373">
      <w:pPr>
        <w:pStyle w:val="ParaNoNdepar-AltN"/>
        <w:tabs>
          <w:tab w:val="clear" w:pos="1166"/>
          <w:tab w:val="clear" w:pos="1422"/>
          <w:tab w:val="left" w:pos="1170"/>
        </w:tabs>
        <w:spacing w:before="0"/>
        <w:rPr>
          <w:rFonts w:cs="Times New Roman"/>
          <w:noProof/>
          <w:lang w:val="fr-CA"/>
        </w:rPr>
      </w:pPr>
      <w:r w:rsidRPr="00000DCC">
        <w:rPr>
          <w:rFonts w:cs="Times New Roman"/>
          <w:noProof/>
          <w:lang w:val="fr-CA"/>
        </w:rPr>
        <w:t xml:space="preserve">Dans cette partie de nos motifs, nous fournissons de telles indications. L’approche retenue est axée sur la justification, s’appuie sur une cohérence sur le plan méthodologique, et renforce le principe voulant que « la prise de décisions motivées constitue la pierre angulaire de la légitimité des institutions » : mémoire des </w:t>
      </w:r>
      <w:r w:rsidRPr="00000DCC">
        <w:rPr>
          <w:rFonts w:cs="Times New Roman"/>
          <w:i/>
          <w:noProof/>
          <w:lang w:val="fr-CA"/>
        </w:rPr>
        <w:t>amici curiae</w:t>
      </w:r>
      <w:r w:rsidRPr="00000DCC">
        <w:rPr>
          <w:rFonts w:cs="Times New Roman"/>
          <w:noProof/>
          <w:lang w:val="fr-CA"/>
        </w:rPr>
        <w:t>,</w:t>
      </w:r>
      <w:r w:rsidRPr="00000DCC">
        <w:rPr>
          <w:rFonts w:cs="Times New Roman"/>
          <w:i/>
          <w:noProof/>
          <w:lang w:val="fr-CA"/>
        </w:rPr>
        <w:t xml:space="preserve"> </w:t>
      </w:r>
      <w:r w:rsidRPr="00000DCC">
        <w:rPr>
          <w:rFonts w:cs="Times New Roman"/>
          <w:noProof/>
          <w:lang w:val="fr-CA"/>
        </w:rPr>
        <w:t>par. 12.</w:t>
      </w:r>
    </w:p>
    <w:p w14:paraId="7BF7CBEB" w14:textId="77777777" w:rsidR="00AE2373" w:rsidRPr="00000DCC" w:rsidRDefault="00AE2373" w:rsidP="00AE2373">
      <w:pPr>
        <w:pStyle w:val="ParaNoNdepar-AltN"/>
        <w:tabs>
          <w:tab w:val="clear" w:pos="1166"/>
          <w:tab w:val="clear" w:pos="1422"/>
          <w:tab w:val="left" w:pos="1170"/>
        </w:tabs>
        <w:spacing w:before="0"/>
        <w:rPr>
          <w:rFonts w:cs="Times New Roman"/>
          <w:noProof/>
          <w:lang w:val="fr-CA"/>
        </w:rPr>
      </w:pPr>
      <w:r w:rsidRPr="00000DCC">
        <w:rPr>
          <w:rFonts w:cs="Times New Roman"/>
          <w:lang w:val="fr-CA"/>
        </w:rPr>
        <w:t>Nous signalons que la manière dont nos collègues abordent le contrôle selon la norme de la décision raisonnable ne diffère pas fondamentalement de la nôtre. Nos collègues affirment que les cours de révision devraient respecter les décideurs administratifs et leur expertise spécialisée; ne devraient pas se demander comment elles auraient elles-mêmes tranché une question; et devraient se concentrer sur la question de savoir si la partie demanderesse a démontré le caractère déraisonnable de la décision : par. 288, 289 et 291. Nous sommes du même avis. Comme nous le mentionnons déjà au par. 13, le contrôle selon la norme de la décision raisonnable a pour point de départ la retenue judiciaire et le respect du rôle distinct des décideurs administratifs. De plus, comme nous l’expliquons ci</w:t>
      </w:r>
      <w:r w:rsidRPr="00000DCC">
        <w:rPr>
          <w:rFonts w:cs="Times New Roman"/>
          <w:lang w:val="fr-CA"/>
        </w:rPr>
        <w:noBreakHyphen/>
        <w:t>dessous, le contrôle selon la norme de la décision raisonnable tient compte de toutes les circonstances pertinentes pour déterminer si la partie demanderesse s’est acquittée de son fardeau.</w:t>
      </w:r>
    </w:p>
    <w:p w14:paraId="6C56FAB1" w14:textId="77777777" w:rsidR="00AE2373" w:rsidRPr="00000DCC" w:rsidRDefault="00AE2373" w:rsidP="00AE2373">
      <w:pPr>
        <w:pStyle w:val="Title2LevelTitre2Niveau"/>
        <w:numPr>
          <w:ilvl w:val="1"/>
          <w:numId w:val="8"/>
        </w:numPr>
        <w:tabs>
          <w:tab w:val="left" w:pos="1560"/>
        </w:tabs>
        <w:spacing w:before="0"/>
        <w:jc w:val="left"/>
        <w:rPr>
          <w:rFonts w:cs="Times New Roman"/>
          <w:noProof/>
          <w:lang w:val="fr-CA"/>
        </w:rPr>
      </w:pPr>
      <w:r w:rsidRPr="00000DCC">
        <w:rPr>
          <w:rFonts w:cs="Times New Roman"/>
          <w:noProof/>
          <w:lang w:val="fr-CA"/>
        </w:rPr>
        <w:lastRenderedPageBreak/>
        <w:t>L’équité procédurale et le contrôle judiciaire sur le fond</w:t>
      </w:r>
    </w:p>
    <w:p w14:paraId="5FDC501C"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Avant de procéder à l’analyse de la méthode proposée de contrôle selon la norme de la décision raisonnable, nous convenons que les exigences de l’obligation d’équité procédurale dans une affaire donnée — et notamment la question de savoir si cette obligation exige qu’un décideur motive sa décision — auront une incidence sur l’exercice par une cour de justice du contrôle en fonction de la norme de la décision raisonnable.</w:t>
      </w:r>
    </w:p>
    <w:p w14:paraId="21FA2D19"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bidi="en-US"/>
        </w:rPr>
        <w:t>Il est de jurisprudence constante que l’équité procédurale n’exige pas que toutes les décisions administratives soient motivées.</w:t>
      </w:r>
      <w:r w:rsidRPr="00000DCC" w:rsidDel="007B756E">
        <w:rPr>
          <w:rFonts w:cs="Times New Roman"/>
          <w:noProof/>
          <w:lang w:val="fr-CA" w:bidi="en-US"/>
        </w:rPr>
        <w:t xml:space="preserve"> </w:t>
      </w:r>
      <w:r w:rsidRPr="00000DCC">
        <w:rPr>
          <w:rFonts w:cs="Times New Roman"/>
          <w:noProof/>
          <w:lang w:val="fr-CA" w:bidi="en-US"/>
        </w:rPr>
        <w:t xml:space="preserve">L’obligation d’équité procédurale en droit administratif est « éminemment variable », intrinsèquement souple et tributaire du contexte : </w:t>
      </w:r>
      <w:r w:rsidRPr="00000DCC">
        <w:rPr>
          <w:rFonts w:cs="Times New Roman"/>
          <w:i/>
          <w:noProof/>
          <w:lang w:val="fr-CA" w:bidi="en-US"/>
        </w:rPr>
        <w:t>Knight c. Indian Head School Division No. 19</w:t>
      </w:r>
      <w:r w:rsidRPr="00000DCC">
        <w:rPr>
          <w:rFonts w:cs="Times New Roman"/>
          <w:noProof/>
          <w:lang w:val="fr-CA" w:bidi="en-US"/>
        </w:rPr>
        <w:t xml:space="preserve">, [1990] 1 R.C.S. 653, p. 682; </w:t>
      </w:r>
      <w:r w:rsidRPr="00000DCC">
        <w:rPr>
          <w:rFonts w:cs="Times New Roman"/>
          <w:i/>
          <w:noProof/>
          <w:lang w:val="fr-CA" w:bidi="en-US"/>
        </w:rPr>
        <w:t>Baker c. Canada (Ministre de la Citoyenneté et de l’Immigration)</w:t>
      </w:r>
      <w:r w:rsidRPr="00000DCC">
        <w:rPr>
          <w:rFonts w:cs="Times New Roman"/>
          <w:noProof/>
          <w:lang w:val="fr-CA" w:bidi="en-US"/>
        </w:rPr>
        <w:t>,</w:t>
      </w:r>
      <w:r w:rsidRPr="00000DCC">
        <w:rPr>
          <w:rFonts w:cs="Times New Roman"/>
          <w:i/>
          <w:noProof/>
          <w:lang w:val="fr-CA" w:bidi="en-US"/>
        </w:rPr>
        <w:t xml:space="preserve"> </w:t>
      </w:r>
      <w:r w:rsidRPr="00000DCC">
        <w:rPr>
          <w:rFonts w:cs="Times New Roman"/>
          <w:noProof/>
          <w:lang w:val="fr-CA" w:bidi="en-US"/>
        </w:rPr>
        <w:t>[1999] 2 R.C.S. 817, par. 22</w:t>
      </w:r>
      <w:r w:rsidRPr="00000DCC">
        <w:rPr>
          <w:rFonts w:cs="Times New Roman"/>
          <w:noProof/>
          <w:lang w:val="fr-CA" w:bidi="en-US"/>
        </w:rPr>
        <w:noBreakHyphen/>
        <w:t xml:space="preserve">23; </w:t>
      </w:r>
      <w:r w:rsidRPr="00000DCC">
        <w:rPr>
          <w:rFonts w:cs="Times New Roman"/>
          <w:i/>
          <w:noProof/>
          <w:lang w:val="fr-CA" w:bidi="en-US"/>
        </w:rPr>
        <w:t>Moreau</w:t>
      </w:r>
      <w:r w:rsidRPr="00000DCC">
        <w:rPr>
          <w:rFonts w:cs="Times New Roman"/>
          <w:i/>
          <w:noProof/>
          <w:lang w:val="fr-CA" w:bidi="en-US"/>
        </w:rPr>
        <w:noBreakHyphen/>
        <w:t>Bérubé</w:t>
      </w:r>
      <w:r w:rsidRPr="00000DCC">
        <w:rPr>
          <w:rFonts w:cs="Times New Roman"/>
          <w:noProof/>
          <w:lang w:val="fr-CA" w:bidi="en-US"/>
        </w:rPr>
        <w:t>, par. 74</w:t>
      </w:r>
      <w:r w:rsidRPr="00000DCC">
        <w:rPr>
          <w:rFonts w:cs="Times New Roman"/>
          <w:noProof/>
          <w:lang w:val="fr-CA" w:bidi="en-US"/>
        </w:rPr>
        <w:noBreakHyphen/>
        <w:t xml:space="preserve">75; </w:t>
      </w:r>
      <w:r w:rsidRPr="00000DCC">
        <w:rPr>
          <w:rFonts w:cs="Times New Roman"/>
          <w:i/>
          <w:noProof/>
          <w:lang w:val="fr-CA" w:bidi="en-US"/>
        </w:rPr>
        <w:t>Dunsmuir</w:t>
      </w:r>
      <w:r w:rsidRPr="00000DCC">
        <w:rPr>
          <w:rFonts w:cs="Times New Roman"/>
          <w:noProof/>
          <w:lang w:val="fr-CA" w:bidi="en-US"/>
        </w:rPr>
        <w:t xml:space="preserve">, par. 79. Dans le cas d’un contexte décisionnel administratif qui donne lieu à une obligation d’équité procédurale, les exigences procédurales applicables sont déterminées eu égard à l’ensemble des circonstances : </w:t>
      </w:r>
      <w:r w:rsidRPr="00000DCC">
        <w:rPr>
          <w:rFonts w:cs="Times New Roman"/>
          <w:i/>
          <w:noProof/>
          <w:lang w:val="fr-CA" w:bidi="en-US"/>
        </w:rPr>
        <w:t>Baker</w:t>
      </w:r>
      <w:r w:rsidRPr="00000DCC">
        <w:rPr>
          <w:rFonts w:cs="Times New Roman"/>
          <w:noProof/>
          <w:lang w:val="fr-CA" w:bidi="en-US"/>
        </w:rPr>
        <w:t xml:space="preserve">, par. 21. Dans l’arrêt </w:t>
      </w:r>
      <w:r w:rsidRPr="00000DCC">
        <w:rPr>
          <w:rFonts w:cs="Times New Roman"/>
          <w:i/>
          <w:noProof/>
          <w:lang w:val="fr-CA" w:bidi="en-US"/>
        </w:rPr>
        <w:t>Baker</w:t>
      </w:r>
      <w:r w:rsidRPr="00000DCC">
        <w:rPr>
          <w:rFonts w:cs="Times New Roman"/>
          <w:noProof/>
          <w:lang w:val="fr-CA" w:bidi="en-US"/>
        </w:rPr>
        <w:t>, la Cour a dressé une liste non exhaustive de facteurs qui servent à définir le contenu de l’obligation d’équité procédurale dans un cas donné, notamment la nécessité de fournir des motifs écrits. Parmi ces facteurs, mentionnons (1) la nature de la décision recherchée et le processus suivi pour y parvenir; (2) la nature du régime législatif; (3) l’importance de la décision pour l’individu ou les individus visés; (4) les attentes légitimes de la personne qui conteste la décision; et (5) les choix de procédure faits par le décideur administratif lui</w:t>
      </w:r>
      <w:r w:rsidRPr="00000DCC">
        <w:rPr>
          <w:rFonts w:cs="Times New Roman"/>
          <w:noProof/>
          <w:lang w:val="fr-CA" w:bidi="en-US"/>
        </w:rPr>
        <w:noBreakHyphen/>
        <w:t xml:space="preserve">même : </w:t>
      </w:r>
      <w:r w:rsidRPr="00000DCC">
        <w:rPr>
          <w:rFonts w:cs="Times New Roman"/>
          <w:i/>
          <w:noProof/>
          <w:lang w:val="fr-CA" w:bidi="en-US"/>
        </w:rPr>
        <w:t>Baker</w:t>
      </w:r>
      <w:r w:rsidRPr="00000DCC">
        <w:rPr>
          <w:rFonts w:cs="Times New Roman"/>
          <w:noProof/>
          <w:lang w:val="fr-CA" w:bidi="en-US"/>
        </w:rPr>
        <w:t>, par. </w:t>
      </w:r>
      <w:r w:rsidRPr="00000DCC">
        <w:rPr>
          <w:rFonts w:cs="Times New Roman"/>
          <w:noProof/>
          <w:lang w:val="fr-CA"/>
        </w:rPr>
        <w:t>23</w:t>
      </w:r>
      <w:r w:rsidRPr="00000DCC">
        <w:rPr>
          <w:rFonts w:cs="Times New Roman"/>
          <w:noProof/>
          <w:lang w:val="fr-CA"/>
        </w:rPr>
        <w:noBreakHyphen/>
        <w:t>27; voir également</w:t>
      </w:r>
      <w:r w:rsidRPr="00000DCC">
        <w:rPr>
          <w:rFonts w:cs="Times New Roman"/>
          <w:i/>
          <w:noProof/>
          <w:lang w:val="fr-CA"/>
        </w:rPr>
        <w:t xml:space="preserve"> Congrégation des témoins de Jéhovah de </w:t>
      </w:r>
      <w:r w:rsidRPr="00000DCC">
        <w:rPr>
          <w:rFonts w:cs="Times New Roman"/>
          <w:i/>
          <w:noProof/>
          <w:lang w:val="fr-CA"/>
        </w:rPr>
        <w:lastRenderedPageBreak/>
        <w:t>St</w:t>
      </w:r>
      <w:r w:rsidRPr="00000DCC">
        <w:rPr>
          <w:rFonts w:cs="Times New Roman"/>
          <w:i/>
          <w:noProof/>
          <w:lang w:val="fr-CA"/>
        </w:rPr>
        <w:noBreakHyphen/>
        <w:t>Jérôme</w:t>
      </w:r>
      <w:r w:rsidRPr="00000DCC">
        <w:rPr>
          <w:rFonts w:cs="Times New Roman"/>
          <w:i/>
          <w:noProof/>
          <w:lang w:val="fr-CA"/>
        </w:rPr>
        <w:noBreakHyphen/>
        <w:t>Lafontaine c. Lafontaine (Village)</w:t>
      </w:r>
      <w:r w:rsidRPr="00000DCC">
        <w:rPr>
          <w:rFonts w:cs="Times New Roman"/>
          <w:noProof/>
          <w:lang w:val="fr-CA"/>
        </w:rPr>
        <w:t>,</w:t>
      </w:r>
      <w:r w:rsidRPr="00000DCC">
        <w:rPr>
          <w:rFonts w:cs="Times New Roman"/>
          <w:i/>
          <w:noProof/>
          <w:lang w:val="fr-CA"/>
        </w:rPr>
        <w:t xml:space="preserve"> </w:t>
      </w:r>
      <w:r w:rsidRPr="00000DCC">
        <w:rPr>
          <w:rFonts w:cs="Times New Roman"/>
          <w:noProof/>
          <w:lang w:val="fr-CA"/>
        </w:rPr>
        <w:t>2004 CSC 48, [2004] 2 R.C.S. 650, par. </w:t>
      </w:r>
      <w:r w:rsidRPr="00000DCC">
        <w:rPr>
          <w:rFonts w:cs="Times New Roman"/>
          <w:noProof/>
          <w:lang w:val="fr-CA" w:bidi="en-US"/>
        </w:rPr>
        <w:t>5. Parmi les cas où des motifs écrits sont généralement nécessaires</w:t>
      </w:r>
      <w:r>
        <w:rPr>
          <w:rFonts w:cs="Times New Roman"/>
          <w:noProof/>
          <w:lang w:val="fr-CA" w:bidi="en-US"/>
        </w:rPr>
        <w:t>,</w:t>
      </w:r>
      <w:r w:rsidRPr="00000DCC">
        <w:rPr>
          <w:rFonts w:cs="Times New Roman"/>
          <w:noProof/>
          <w:lang w:val="fr-CA" w:bidi="en-US"/>
        </w:rPr>
        <w:t xml:space="preserve"> on compte les situations où le processus décisionnel accorde aux parties le droit de participer, où une décision défavorable aurait une incidence considérable sur l’intéressé, ou encore celles où il existe un droit d’appel : </w:t>
      </w:r>
      <w:r w:rsidRPr="00000DCC">
        <w:rPr>
          <w:rFonts w:cs="Times New Roman"/>
          <w:i/>
          <w:noProof/>
          <w:lang w:val="fr-CA" w:bidi="en-US"/>
        </w:rPr>
        <w:t>Baker</w:t>
      </w:r>
      <w:r w:rsidRPr="00000DCC">
        <w:rPr>
          <w:rFonts w:cs="Times New Roman"/>
          <w:noProof/>
          <w:lang w:val="fr-CA" w:bidi="en-US"/>
        </w:rPr>
        <w:t xml:space="preserve">, par. 43; </w:t>
      </w:r>
      <w:r w:rsidRPr="00000DCC">
        <w:rPr>
          <w:rFonts w:cs="Times New Roman"/>
          <w:noProof/>
          <w:lang w:val="fr-CA"/>
        </w:rPr>
        <w:t xml:space="preserve">D. J. M. Brown et l’honorable J. M. Evans, avec l’aide de D. Fairlie, </w:t>
      </w:r>
      <w:r w:rsidRPr="00000DCC">
        <w:rPr>
          <w:rFonts w:cs="Times New Roman"/>
          <w:i/>
          <w:iCs/>
          <w:noProof/>
          <w:lang w:val="fr-CA"/>
        </w:rPr>
        <w:t xml:space="preserve">Judicial Review of Administrative Action in Canada </w:t>
      </w:r>
      <w:r w:rsidRPr="00000DCC">
        <w:rPr>
          <w:rFonts w:cs="Times New Roman"/>
          <w:noProof/>
          <w:lang w:val="fr-CA"/>
        </w:rPr>
        <w:t>(feuilles mobiles), vol. 3, p. 12</w:t>
      </w:r>
      <w:r w:rsidRPr="00000DCC">
        <w:rPr>
          <w:rFonts w:cs="Times New Roman"/>
          <w:noProof/>
          <w:lang w:val="fr-CA"/>
        </w:rPr>
        <w:noBreakHyphen/>
        <w:t>54.</w:t>
      </w:r>
    </w:p>
    <w:p w14:paraId="15A0D347"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Dans le présent pourvoi et dans les pourvois connexes, il s’agit de situations où il était nécessaire de motiver les décisions administratives contestées et où des motifs ont d’ailleurs été fournis. Notre analyse de la méthode qu’il convient d’utiliser pour effectuer un contrôle selon la norme de la décision raisonnable est donc axée sur la révision dans des circonstances où la décision administrative doit être motivée et où la cour de révision dispose des motifs à l’appui de ces décisions.</w:t>
      </w:r>
    </w:p>
    <w:p w14:paraId="55D6114D" w14:textId="21EED7D5"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Nonobstant les différences importantes qui existent entre le contexte administratif et le contexte judiciaire, les motifs répondent à bon nombre des mêmes besoins dans les deux contextes</w:t>
      </w:r>
      <w:r w:rsidR="0080316C">
        <w:rPr>
          <w:rFonts w:cs="Times New Roman"/>
          <w:noProof/>
          <w:lang w:val="fr-CA"/>
        </w:rPr>
        <w:t> </w:t>
      </w:r>
      <w:r w:rsidRPr="00000DCC">
        <w:rPr>
          <w:rFonts w:cs="Times New Roman"/>
          <w:noProof/>
          <w:lang w:val="fr-CA"/>
        </w:rPr>
        <w:t xml:space="preserve">: </w:t>
      </w:r>
      <w:r w:rsidRPr="00000DCC">
        <w:rPr>
          <w:rFonts w:cs="Times New Roman"/>
          <w:i/>
          <w:noProof/>
          <w:lang w:val="fr-CA"/>
        </w:rPr>
        <w:t>R. c. Sheppard</w:t>
      </w:r>
      <w:r w:rsidRPr="00000DCC">
        <w:rPr>
          <w:rFonts w:cs="Times New Roman"/>
          <w:noProof/>
          <w:lang w:val="fr-CA"/>
        </w:rPr>
        <w:t>,</w:t>
      </w:r>
      <w:r w:rsidRPr="00000DCC">
        <w:rPr>
          <w:rFonts w:cs="Times New Roman"/>
          <w:i/>
          <w:noProof/>
          <w:lang w:val="fr-CA"/>
        </w:rPr>
        <w:t xml:space="preserve"> </w:t>
      </w:r>
      <w:r w:rsidRPr="00000DCC">
        <w:rPr>
          <w:rFonts w:cs="Times New Roman"/>
          <w:noProof/>
          <w:lang w:val="fr-CA"/>
        </w:rPr>
        <w:t>2002 CSC 26, [2002] 1 R.C.S. 869, par. 15 et 22</w:t>
      </w:r>
      <w:r w:rsidRPr="00000DCC">
        <w:rPr>
          <w:rFonts w:cs="Times New Roman"/>
          <w:noProof/>
          <w:lang w:val="fr-CA"/>
        </w:rPr>
        <w:noBreakHyphen/>
        <w:t xml:space="preserve">23. Les motifs donnés par les décideurs administratifs servent à expliquer le processus décisionnel et la raison d’être de la décision en cause. Ils permettent de montrer aux parties concernées que leurs arguments ont été pris en compte et démontrent que la décision a été rendue de manière équitable et licite. Les motifs servent de bouclier contre l’arbitraire et la perception d’arbitraire dans l’exercice d’un pouvoir public : </w:t>
      </w:r>
      <w:r w:rsidRPr="00000DCC">
        <w:rPr>
          <w:rFonts w:cs="Times New Roman"/>
          <w:i/>
          <w:noProof/>
          <w:lang w:val="fr-CA"/>
        </w:rPr>
        <w:t>Congrégation des témoins de Jéhovah de St</w:t>
      </w:r>
      <w:r w:rsidRPr="00000DCC">
        <w:rPr>
          <w:rFonts w:cs="Times New Roman"/>
          <w:i/>
          <w:noProof/>
          <w:lang w:val="fr-CA"/>
        </w:rPr>
        <w:noBreakHyphen/>
        <w:t>Jérôme</w:t>
      </w:r>
      <w:r w:rsidRPr="00000DCC">
        <w:rPr>
          <w:rFonts w:cs="Times New Roman"/>
          <w:i/>
          <w:noProof/>
          <w:lang w:val="fr-CA"/>
        </w:rPr>
        <w:noBreakHyphen/>
        <w:t>Lafontaine</w:t>
      </w:r>
      <w:r w:rsidRPr="00000DCC">
        <w:rPr>
          <w:rFonts w:cs="Times New Roman"/>
          <w:noProof/>
          <w:lang w:val="fr-CA"/>
        </w:rPr>
        <w:t>, par. 12</w:t>
      </w:r>
      <w:r w:rsidRPr="00000DCC">
        <w:rPr>
          <w:rFonts w:cs="Times New Roman"/>
          <w:noProof/>
          <w:lang w:val="fr-CA"/>
        </w:rPr>
        <w:noBreakHyphen/>
        <w:t>13. Comme l’a</w:t>
      </w:r>
      <w:r>
        <w:rPr>
          <w:rFonts w:cs="Times New Roman"/>
          <w:noProof/>
          <w:lang w:val="fr-CA"/>
        </w:rPr>
        <w:t xml:space="preserve"> fait remarquer la</w:t>
      </w:r>
      <w:r w:rsidRPr="00000DCC">
        <w:rPr>
          <w:rFonts w:cs="Times New Roman"/>
          <w:noProof/>
          <w:lang w:val="fr-CA"/>
        </w:rPr>
        <w:t xml:space="preserve"> juge L’Heureux</w:t>
      </w:r>
      <w:r w:rsidRPr="00000DCC">
        <w:rPr>
          <w:rFonts w:cs="Times New Roman"/>
          <w:noProof/>
          <w:lang w:val="fr-CA"/>
        </w:rPr>
        <w:noBreakHyphen/>
        <w:t xml:space="preserve">Dubé dans l’arrêt </w:t>
      </w:r>
      <w:r w:rsidRPr="00000DCC">
        <w:rPr>
          <w:rFonts w:cs="Times New Roman"/>
          <w:i/>
          <w:noProof/>
          <w:lang w:val="fr-CA"/>
        </w:rPr>
        <w:t>Baker</w:t>
      </w:r>
      <w:r w:rsidRPr="00000DCC">
        <w:rPr>
          <w:rFonts w:cs="Times New Roman"/>
          <w:noProof/>
          <w:lang w:val="fr-CA"/>
        </w:rPr>
        <w:t xml:space="preserve">, « [i]l </w:t>
      </w:r>
      <w:r w:rsidRPr="00000DCC">
        <w:rPr>
          <w:rFonts w:cs="Times New Roman"/>
          <w:noProof/>
          <w:lang w:val="fr-CA"/>
        </w:rPr>
        <w:lastRenderedPageBreak/>
        <w:t>est plus probable que les personnes touchées ont l’impression d’être traitées avec équité et de façon appropriée si des motifs sont fournis » : par. 39, citant S.</w:t>
      </w:r>
      <w:r w:rsidR="009D7719">
        <w:rPr>
          <w:rFonts w:cs="Times New Roman"/>
          <w:noProof/>
          <w:lang w:val="fr-CA"/>
        </w:rPr>
        <w:t> </w:t>
      </w:r>
      <w:r w:rsidRPr="00000DCC">
        <w:rPr>
          <w:rFonts w:cs="Times New Roman"/>
          <w:noProof/>
          <w:lang w:val="fr-CA"/>
        </w:rPr>
        <w:t xml:space="preserve">A. de Smith, J. Jowell et lord Woolf, </w:t>
      </w:r>
      <w:r w:rsidRPr="00000DCC">
        <w:rPr>
          <w:rFonts w:cs="Times New Roman"/>
          <w:i/>
          <w:noProof/>
          <w:lang w:val="fr-CA"/>
        </w:rPr>
        <w:t xml:space="preserve">Judicial Review of Administrative Action </w:t>
      </w:r>
      <w:r w:rsidRPr="00000DCC">
        <w:rPr>
          <w:rFonts w:cs="Times New Roman"/>
          <w:noProof/>
          <w:lang w:val="fr-CA"/>
        </w:rPr>
        <w:t>(5</w:t>
      </w:r>
      <w:r w:rsidRPr="00000DCC">
        <w:rPr>
          <w:rFonts w:cs="Times New Roman"/>
          <w:noProof/>
          <w:vertAlign w:val="superscript"/>
          <w:lang w:val="fr-CA"/>
        </w:rPr>
        <w:t>e</w:t>
      </w:r>
      <w:r w:rsidRPr="00000DCC">
        <w:rPr>
          <w:rFonts w:cs="Times New Roman"/>
          <w:noProof/>
          <w:lang w:val="fr-CA"/>
        </w:rPr>
        <w:t> éd. 1995), p. 459</w:t>
      </w:r>
      <w:r w:rsidRPr="00000DCC">
        <w:rPr>
          <w:rFonts w:cs="Times New Roman"/>
          <w:noProof/>
          <w:lang w:val="fr-CA"/>
        </w:rPr>
        <w:noBreakHyphen/>
        <w:t xml:space="preserve">460. Et comme l’écrivent de manière convaincante Jocelyn Stacey et l’honorable Alice Woolley, </w:t>
      </w:r>
      <w:r w:rsidRPr="00000DCC">
        <w:rPr>
          <w:rFonts w:cs="Times New Roman"/>
          <w:smallCaps/>
          <w:noProof/>
          <w:lang w:val="fr-CA"/>
        </w:rPr>
        <w:t>[traduction]</w:t>
      </w:r>
      <w:r w:rsidRPr="00000DCC">
        <w:rPr>
          <w:rFonts w:cs="Times New Roman"/>
          <w:noProof/>
          <w:lang w:val="fr-CA"/>
        </w:rPr>
        <w:t xml:space="preserve"> « les décisions rendues par les pouvoirs publics acquièrent leur autorité sur le plan juridique et démocratique par le biais d’un processus de justification publique » au moyen duquel les décideurs « motivent leurs décisions en tenant compte du contexte constitutionnel, législatif et de common law dans lequel ils œuvrent » : « Can Pragmatism Function in Administrative Law? » (2016), 74 </w:t>
      </w:r>
      <w:r w:rsidRPr="00000DCC">
        <w:rPr>
          <w:rFonts w:cs="Times New Roman"/>
          <w:i/>
          <w:noProof/>
          <w:lang w:val="fr-CA"/>
        </w:rPr>
        <w:t>S.C.L.R.</w:t>
      </w:r>
      <w:r w:rsidRPr="00000DCC">
        <w:rPr>
          <w:rFonts w:cs="Times New Roman"/>
          <w:noProof/>
          <w:lang w:val="fr-CA"/>
        </w:rPr>
        <w:t xml:space="preserve"> (2d) 211, p. 220.</w:t>
      </w:r>
    </w:p>
    <w:p w14:paraId="10628DE5" w14:textId="44C024A4"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Qui plus est, le processus de rédaction des motifs incite nécessairement le décideur administratif à étudier soigneusement son propre raisonnement et à mieux</w:t>
      </w:r>
      <w:r>
        <w:rPr>
          <w:rFonts w:cs="Times New Roman"/>
          <w:noProof/>
          <w:lang w:val="fr-CA"/>
        </w:rPr>
        <w:t xml:space="preserve"> </w:t>
      </w:r>
      <w:r w:rsidRPr="00000DCC">
        <w:rPr>
          <w:rFonts w:cs="Times New Roman"/>
          <w:noProof/>
          <w:lang w:val="fr-CA"/>
        </w:rPr>
        <w:t>formuler son analyse</w:t>
      </w:r>
      <w:r w:rsidR="0080316C">
        <w:rPr>
          <w:rFonts w:cs="Times New Roman"/>
          <w:noProof/>
          <w:lang w:val="fr-CA"/>
        </w:rPr>
        <w:t> </w:t>
      </w:r>
      <w:r w:rsidRPr="00000DCC">
        <w:rPr>
          <w:rFonts w:cs="Times New Roman"/>
          <w:noProof/>
          <w:lang w:val="fr-CA"/>
        </w:rPr>
        <w:t xml:space="preserve">: </w:t>
      </w:r>
      <w:r w:rsidRPr="00000DCC">
        <w:rPr>
          <w:rFonts w:cs="Times New Roman"/>
          <w:i/>
          <w:noProof/>
          <w:lang w:val="fr-CA"/>
        </w:rPr>
        <w:t>Baker</w:t>
      </w:r>
      <w:r w:rsidRPr="00000DCC">
        <w:rPr>
          <w:rFonts w:cs="Times New Roman"/>
          <w:noProof/>
          <w:lang w:val="fr-CA"/>
        </w:rPr>
        <w:t xml:space="preserve">, par. 39. C’est ce que le juge Sharpe désignait — quoique dans le contexte judiciaire — comme </w:t>
      </w:r>
      <w:r w:rsidRPr="00000DCC">
        <w:rPr>
          <w:rFonts w:cs="Times New Roman"/>
          <w:smallCaps/>
          <w:noProof/>
          <w:lang w:val="fr-CA"/>
        </w:rPr>
        <w:t>[traduction]</w:t>
      </w:r>
      <w:r w:rsidRPr="00000DCC">
        <w:rPr>
          <w:rFonts w:cs="Times New Roman"/>
          <w:noProof/>
          <w:lang w:val="fr-CA"/>
        </w:rPr>
        <w:t xml:space="preserve"> « la discipline de motiver une décision » : </w:t>
      </w:r>
      <w:r w:rsidRPr="00000DCC">
        <w:rPr>
          <w:rFonts w:cs="Times New Roman"/>
          <w:i/>
          <w:noProof/>
          <w:lang w:val="fr-CA"/>
        </w:rPr>
        <w:t>Good Judgment</w:t>
      </w:r>
      <w:r w:rsidR="00AA5F75">
        <w:rPr>
          <w:rFonts w:cs="Times New Roman"/>
          <w:i/>
          <w:noProof/>
          <w:lang w:val="fr-CA"/>
        </w:rPr>
        <w:t> </w:t>
      </w:r>
      <w:r w:rsidRPr="00000DCC">
        <w:rPr>
          <w:rFonts w:cs="Times New Roman"/>
          <w:i/>
          <w:noProof/>
          <w:lang w:val="fr-CA"/>
        </w:rPr>
        <w:t xml:space="preserve">: Making Judicial Decisions </w:t>
      </w:r>
      <w:r w:rsidRPr="00000DCC">
        <w:rPr>
          <w:rFonts w:cs="Times New Roman"/>
          <w:noProof/>
          <w:lang w:val="fr-CA"/>
        </w:rPr>
        <w:t xml:space="preserve">(2018), p. 134; voir aussi </w:t>
      </w:r>
      <w:r w:rsidRPr="00000DCC">
        <w:rPr>
          <w:rFonts w:cs="Times New Roman"/>
          <w:i/>
          <w:noProof/>
          <w:lang w:val="fr-CA"/>
        </w:rPr>
        <w:t>Sheppard</w:t>
      </w:r>
      <w:r w:rsidRPr="00000DCC">
        <w:rPr>
          <w:rFonts w:cs="Times New Roman"/>
          <w:noProof/>
          <w:lang w:val="fr-CA"/>
        </w:rPr>
        <w:t>, par. 23.</w:t>
      </w:r>
    </w:p>
    <w:p w14:paraId="2FEA3248" w14:textId="1DDFF466" w:rsidR="00AE2373" w:rsidRPr="00000DCC" w:rsidRDefault="00AE2373" w:rsidP="002537C6">
      <w:pPr>
        <w:pStyle w:val="ParaNoNdepar-AltN"/>
        <w:rPr>
          <w:noProof/>
          <w:lang w:val="fr-CA"/>
        </w:rPr>
      </w:pPr>
      <w:r w:rsidRPr="00000DCC">
        <w:rPr>
          <w:noProof/>
          <w:lang w:val="fr-CA" w:bidi="en-US"/>
        </w:rPr>
        <w:t>Les motifs favorisent un contrôle judiciaire valable en mettant en lumière la justification de la décision</w:t>
      </w:r>
      <w:r w:rsidR="00D25B64">
        <w:rPr>
          <w:noProof/>
          <w:lang w:val="fr-CA" w:bidi="en-US"/>
        </w:rPr>
        <w:t> </w:t>
      </w:r>
      <w:r w:rsidRPr="00000DCC">
        <w:rPr>
          <w:noProof/>
          <w:lang w:val="fr-CA" w:bidi="en-US"/>
        </w:rPr>
        <w:t xml:space="preserve">: </w:t>
      </w:r>
      <w:r w:rsidRPr="00000DCC">
        <w:rPr>
          <w:i/>
          <w:noProof/>
          <w:lang w:val="fr-CA" w:bidi="en-US"/>
        </w:rPr>
        <w:t>Baker</w:t>
      </w:r>
      <w:r w:rsidRPr="00000DCC">
        <w:rPr>
          <w:noProof/>
          <w:lang w:val="fr-CA" w:bidi="en-US"/>
        </w:rPr>
        <w:t xml:space="preserve">, par. 39. Dans l’arrêt </w:t>
      </w:r>
      <w:r w:rsidRPr="00000DCC">
        <w:rPr>
          <w:i/>
          <w:noProof/>
          <w:lang w:val="fr-CA"/>
        </w:rPr>
        <w:t>Newfoundland and Labrador Nurses’ Union c. Terre</w:t>
      </w:r>
      <w:r w:rsidRPr="00000DCC">
        <w:rPr>
          <w:i/>
          <w:noProof/>
          <w:lang w:val="fr-CA"/>
        </w:rPr>
        <w:noBreakHyphen/>
        <w:t>Neuve</w:t>
      </w:r>
      <w:r w:rsidRPr="00000DCC">
        <w:rPr>
          <w:i/>
          <w:noProof/>
          <w:lang w:val="fr-CA"/>
        </w:rPr>
        <w:noBreakHyphen/>
        <w:t>et</w:t>
      </w:r>
      <w:r w:rsidRPr="00000DCC">
        <w:rPr>
          <w:i/>
          <w:noProof/>
          <w:lang w:val="fr-CA"/>
        </w:rPr>
        <w:noBreakHyphen/>
        <w:t>Labrador (</w:t>
      </w:r>
      <w:r w:rsidR="002103C2">
        <w:rPr>
          <w:i/>
          <w:noProof/>
          <w:lang w:val="fr-CA"/>
        </w:rPr>
        <w:t>Conseil du Trésor</w:t>
      </w:r>
      <w:r w:rsidRPr="00000DCC">
        <w:rPr>
          <w:i/>
          <w:noProof/>
          <w:lang w:val="fr-CA"/>
        </w:rPr>
        <w:t>)</w:t>
      </w:r>
      <w:r w:rsidRPr="00000DCC">
        <w:rPr>
          <w:noProof/>
          <w:lang w:val="fr-CA"/>
        </w:rPr>
        <w:t>, 2011 CSC 62, [2011] 3 R.C.S. 708,</w:t>
      </w:r>
      <w:r w:rsidRPr="00000DCC">
        <w:rPr>
          <w:noProof/>
          <w:lang w:val="fr-CA" w:bidi="en-US"/>
        </w:rPr>
        <w:t xml:space="preserve"> la Cour a réaffirmé que « l’objet des motifs, dans les cas où il faut en exposer, est d’établir </w:t>
      </w:r>
      <w:r w:rsidRPr="00000DCC">
        <w:rPr>
          <w:noProof/>
          <w:lang w:val="fr-CA"/>
        </w:rPr>
        <w:t xml:space="preserve">“la </w:t>
      </w:r>
      <w:r w:rsidRPr="00000DCC">
        <w:rPr>
          <w:noProof/>
          <w:lang w:val="fr-CA" w:bidi="en-US"/>
        </w:rPr>
        <w:t>justification de la décision [ainsi que] la transparence et [. . .] l’intelligibilité du processus décisionnel</w:t>
      </w:r>
      <w:r w:rsidR="002537C6" w:rsidRPr="002537C6">
        <w:rPr>
          <w:noProof/>
          <w:lang w:val="fr-CA" w:bidi="en-US"/>
        </w:rPr>
        <w:t>”</w:t>
      </w:r>
      <w:r w:rsidRPr="00000DCC">
        <w:rPr>
          <w:noProof/>
          <w:lang w:val="fr-CA" w:bidi="en-US"/>
        </w:rPr>
        <w:t xml:space="preserve"> » : par. 1, citant </w:t>
      </w:r>
      <w:r w:rsidRPr="00000DCC">
        <w:rPr>
          <w:i/>
          <w:noProof/>
          <w:lang w:val="fr-CA" w:bidi="en-US"/>
        </w:rPr>
        <w:t>Dunsmuir</w:t>
      </w:r>
      <w:r w:rsidRPr="00000DCC">
        <w:rPr>
          <w:noProof/>
          <w:lang w:val="fr-CA" w:bidi="en-US"/>
        </w:rPr>
        <w:t xml:space="preserve">, par. 47; voir aussi </w:t>
      </w:r>
      <w:r w:rsidRPr="00000DCC">
        <w:rPr>
          <w:i/>
          <w:iCs/>
          <w:noProof/>
          <w:lang w:val="fr-CA"/>
        </w:rPr>
        <w:t>Suresh c. Canada (Ministre de la Citoyenneté et de l’Immigration)</w:t>
      </w:r>
      <w:r w:rsidRPr="00000DCC">
        <w:rPr>
          <w:noProof/>
          <w:lang w:val="fr-CA"/>
        </w:rPr>
        <w:t xml:space="preserve">, 2002 CSC 1, </w:t>
      </w:r>
      <w:r w:rsidRPr="00000DCC">
        <w:rPr>
          <w:noProof/>
          <w:lang w:val="fr-CA"/>
        </w:rPr>
        <w:lastRenderedPageBreak/>
        <w:t>[2002] 1 R.C.S. 3, par. 126</w:t>
      </w:r>
      <w:r w:rsidRPr="00000DCC">
        <w:rPr>
          <w:noProof/>
          <w:lang w:val="fr-CA" w:bidi="en-US"/>
        </w:rPr>
        <w:t>. Notre analyse prend donc comme point de départ que, lorsque des motifs sont requis, ceux</w:t>
      </w:r>
      <w:r w:rsidRPr="00000DCC">
        <w:rPr>
          <w:noProof/>
          <w:lang w:val="fr-CA" w:bidi="en-US"/>
        </w:rPr>
        <w:noBreakHyphen/>
        <w:t>ci constituent le mécanisme principal par lequel les décideurs administratifs démontrent le caractère raisonnable de leurs décisions, tant aux parties touchées qu’aux cours de révision. En conséquence, la communication des motifs à l’appui d’une décision administrative est susceptible d’avoir des répercussions sur sa légitimité, à la fois au regard de l’équité procédurale et du caractère raisonnable de ceux</w:t>
      </w:r>
      <w:r w:rsidRPr="00000DCC">
        <w:rPr>
          <w:noProof/>
          <w:lang w:val="fr-CA" w:bidi="en-US"/>
        </w:rPr>
        <w:noBreakHyphen/>
        <w:t>ci sur le fond.</w:t>
      </w:r>
    </w:p>
    <w:p w14:paraId="4697AE73" w14:textId="77777777" w:rsidR="00AE2373" w:rsidRPr="00000DCC" w:rsidRDefault="00AE2373" w:rsidP="00AE2373">
      <w:pPr>
        <w:pStyle w:val="Title2LevelTitre2Niveau"/>
        <w:numPr>
          <w:ilvl w:val="1"/>
          <w:numId w:val="8"/>
        </w:numPr>
        <w:tabs>
          <w:tab w:val="left" w:pos="1560"/>
        </w:tabs>
        <w:spacing w:before="0"/>
        <w:rPr>
          <w:rFonts w:cs="Times New Roman"/>
          <w:noProof/>
          <w:lang w:val="fr-CA"/>
        </w:rPr>
      </w:pPr>
      <w:r w:rsidRPr="00000DCC">
        <w:rPr>
          <w:rFonts w:cs="Times New Roman"/>
          <w:noProof/>
          <w:lang w:val="fr-CA"/>
        </w:rPr>
        <w:t>Le contrôle selon la norme de la décision raisonnable porte sur le processus décisionnel et ses résultats</w:t>
      </w:r>
    </w:p>
    <w:p w14:paraId="440C57C1"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Le contrôle selon la norme de la décision raisonnable vise à donner effet à l’intention du législateur de confier certaines décisions à un organisme administratif, tout en exerçant la fonction constitutionnelle du contrôle judiciaire qui vise à s’assurer que l’exercice du pouvoir étatique est assujetti à la primauté du droit : voir </w:t>
      </w:r>
      <w:r w:rsidRPr="00000DCC">
        <w:rPr>
          <w:rFonts w:cs="Times New Roman"/>
          <w:i/>
          <w:noProof/>
          <w:lang w:val="fr-CA"/>
        </w:rPr>
        <w:t>Dunsmuir</w:t>
      </w:r>
      <w:r w:rsidRPr="00000DCC">
        <w:rPr>
          <w:rFonts w:cs="Times New Roman"/>
          <w:noProof/>
          <w:lang w:val="fr-CA"/>
        </w:rPr>
        <w:t>, par. 27</w:t>
      </w:r>
      <w:r w:rsidRPr="00000DCC">
        <w:rPr>
          <w:rFonts w:cs="Times New Roman"/>
          <w:noProof/>
          <w:lang w:val="fr-CA"/>
        </w:rPr>
        <w:noBreakHyphen/>
        <w:t xml:space="preserve">28 et 48; </w:t>
      </w:r>
      <w:r w:rsidRPr="00000DCC">
        <w:rPr>
          <w:rFonts w:cs="Times New Roman"/>
          <w:i/>
          <w:iCs/>
          <w:noProof/>
          <w:lang w:val="fr-CA"/>
        </w:rPr>
        <w:t>Catalyst Paper Corp. c. North Cowichan (District)</w:t>
      </w:r>
      <w:r w:rsidRPr="00000DCC">
        <w:rPr>
          <w:rFonts w:cs="Times New Roman"/>
          <w:noProof/>
          <w:lang w:val="fr-CA"/>
        </w:rPr>
        <w:t xml:space="preserve">, 2012 CSC 2, [2012] 1 R.C.S. 5, par. 10; </w:t>
      </w:r>
      <w:r w:rsidRPr="00000DCC">
        <w:rPr>
          <w:rFonts w:cs="Times New Roman"/>
          <w:i/>
          <w:noProof/>
          <w:lang w:val="fr-CA"/>
        </w:rPr>
        <w:t>Renvoi relatif à la rémunération des juges de la Cour provinciale de l’Île</w:t>
      </w:r>
      <w:r w:rsidRPr="00000DCC">
        <w:rPr>
          <w:rFonts w:cs="Times New Roman"/>
          <w:i/>
          <w:noProof/>
          <w:lang w:val="fr-CA"/>
        </w:rPr>
        <w:noBreakHyphen/>
        <w:t>du</w:t>
      </w:r>
      <w:r w:rsidRPr="00000DCC">
        <w:rPr>
          <w:rFonts w:cs="Times New Roman"/>
          <w:i/>
          <w:noProof/>
          <w:lang w:val="fr-CA"/>
        </w:rPr>
        <w:noBreakHyphen/>
        <w:t>Prince</w:t>
      </w:r>
      <w:r w:rsidRPr="00000DCC">
        <w:rPr>
          <w:rFonts w:cs="Times New Roman"/>
          <w:i/>
          <w:noProof/>
          <w:lang w:val="fr-CA"/>
        </w:rPr>
        <w:noBreakHyphen/>
        <w:t>Édouard</w:t>
      </w:r>
      <w:r w:rsidRPr="00000DCC">
        <w:rPr>
          <w:rFonts w:cs="Times New Roman"/>
          <w:noProof/>
          <w:lang w:val="fr-CA"/>
        </w:rPr>
        <w:t>, [1997] 3 R.C.S. 3, par. 10.</w:t>
      </w:r>
    </w:p>
    <w:p w14:paraId="288F691F" w14:textId="4C3A116D"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Il s’ensuit que le contrôle en fonction de la norme de la décision raisonnable doit s’intéresser à la décision effectivement rendue par le décideur, notamment au raisonnement suivi et au résultat de la décision. Le rôle des cours de justice consiste, en pareil cas, à </w:t>
      </w:r>
      <w:r w:rsidRPr="00000DCC">
        <w:rPr>
          <w:rFonts w:cs="Times New Roman"/>
          <w:i/>
          <w:noProof/>
          <w:lang w:val="fr-CA"/>
        </w:rPr>
        <w:t xml:space="preserve">réviser </w:t>
      </w:r>
      <w:r w:rsidRPr="00000DCC">
        <w:rPr>
          <w:rFonts w:cs="Times New Roman"/>
          <w:noProof/>
          <w:lang w:val="fr-CA"/>
        </w:rPr>
        <w:t>la décision et, en général à tout le moins, à s’abstenir de trancher elles</w:t>
      </w:r>
      <w:r w:rsidRPr="00000DCC">
        <w:rPr>
          <w:rFonts w:cs="Times New Roman"/>
          <w:noProof/>
          <w:lang w:val="fr-CA"/>
        </w:rPr>
        <w:noBreakHyphen/>
        <w:t xml:space="preserve">mêmes la question en litige. Une cour de justice qui applique la norme de contrôle de la décision raisonnable ne se demande donc pas quelle décision elle aurait rendue à la place du décideur administratif, ne tente pas de prendre </w:t>
      </w:r>
      <w:r w:rsidRPr="00000DCC">
        <w:rPr>
          <w:rFonts w:cs="Times New Roman"/>
          <w:noProof/>
          <w:lang w:val="fr-CA"/>
        </w:rPr>
        <w:lastRenderedPageBreak/>
        <w:t xml:space="preserve">en compte l’« éventail » des conclusions qu’aurait pu tirer le décideur, ne se livre pas à une analyse </w:t>
      </w:r>
      <w:r w:rsidRPr="00000DCC">
        <w:rPr>
          <w:rFonts w:cs="Times New Roman"/>
          <w:i/>
          <w:noProof/>
          <w:lang w:val="fr-CA"/>
        </w:rPr>
        <w:t>de novo</w:t>
      </w:r>
      <w:r w:rsidRPr="00000DCC">
        <w:rPr>
          <w:rFonts w:cs="Times New Roman"/>
          <w:noProof/>
          <w:lang w:val="fr-CA"/>
        </w:rPr>
        <w:t>, et ne cherche pas à déterminer la solution « correcte » au problème. Dans l’arrêt </w:t>
      </w:r>
      <w:r w:rsidRPr="00000DCC">
        <w:rPr>
          <w:rFonts w:cs="Times New Roman"/>
          <w:i/>
          <w:noProof/>
          <w:lang w:val="fr-CA"/>
        </w:rPr>
        <w:t>Delios</w:t>
      </w:r>
      <w:r w:rsidRPr="00000DCC">
        <w:rPr>
          <w:rFonts w:cs="Times New Roman"/>
          <w:noProof/>
          <w:lang w:val="fr-CA"/>
        </w:rPr>
        <w:t xml:space="preserve"> </w:t>
      </w:r>
      <w:r w:rsidRPr="00000DCC">
        <w:rPr>
          <w:rFonts w:cs="Times New Roman"/>
          <w:i/>
          <w:noProof/>
          <w:lang w:val="fr-CA"/>
        </w:rPr>
        <w:t>c. Canada (Procureur général)</w:t>
      </w:r>
      <w:r w:rsidRPr="00000DCC">
        <w:rPr>
          <w:rFonts w:cs="Times New Roman"/>
          <w:noProof/>
          <w:lang w:val="fr-CA"/>
        </w:rPr>
        <w:t>, 2015 CAF 117, la Cour d’appel fédérale a signalé que « le juge réformateur n’établit pas son propre critère pour ensuite jauger ce qu’a fait l’administrateur » : par. 28</w:t>
      </w:r>
      <w:r w:rsidR="006D2BF0">
        <w:rPr>
          <w:rFonts w:cs="Times New Roman"/>
          <w:noProof/>
          <w:lang w:val="fr-CA"/>
        </w:rPr>
        <w:t xml:space="preserve"> (CanLII)</w:t>
      </w:r>
      <w:r w:rsidRPr="00000DCC">
        <w:rPr>
          <w:rFonts w:cs="Times New Roman"/>
          <w:noProof/>
          <w:lang w:val="fr-CA"/>
        </w:rPr>
        <w:t xml:space="preserve">; voir aussi </w:t>
      </w:r>
      <w:r w:rsidRPr="00000DCC">
        <w:rPr>
          <w:rFonts w:cs="Times New Roman"/>
          <w:i/>
          <w:noProof/>
          <w:lang w:val="fr-CA"/>
        </w:rPr>
        <w:t>Ryan</w:t>
      </w:r>
      <w:r w:rsidRPr="00000DCC">
        <w:rPr>
          <w:rFonts w:cs="Times New Roman"/>
          <w:noProof/>
          <w:lang w:val="fr-CA"/>
        </w:rPr>
        <w:t>, par. 50</w:t>
      </w:r>
      <w:r w:rsidRPr="00000DCC">
        <w:rPr>
          <w:rFonts w:cs="Times New Roman"/>
          <w:noProof/>
          <w:lang w:val="fr-CA"/>
        </w:rPr>
        <w:noBreakHyphen/>
        <w:t>51. La cour de révision n’est plutôt appelée qu’à décider du caractère raisonnable de la décision rendue par le décideur administratif — ce qui inclut à la fois le raisonnement suivi et le résultat obtenu.</w:t>
      </w:r>
    </w:p>
    <w:p w14:paraId="20C09438" w14:textId="5B15A2E3"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Comme nous l’avons expliqué précédemment, les motifs écrits fournis par le décideur administratif servent à communiquer la justification de sa décision. Toute méthode raisonnée de contrôle selon la norme de la décision raisonnable s’intéresse avant tout aux motifs de la décision. Dans le cadre de son analyse du caractère raisonnable d’une décision, une cour de révision doit d’abord examiner les motifs donnés avec « une attention respectueuse », et chercher à comprendre le fil du raisonnement suivi par le décideur pour en arriver à sa conclusion : voir </w:t>
      </w:r>
      <w:r w:rsidRPr="00000DCC">
        <w:rPr>
          <w:rFonts w:cs="Times New Roman"/>
          <w:i/>
          <w:noProof/>
          <w:lang w:val="fr-CA"/>
        </w:rPr>
        <w:t>Dunsmuir</w:t>
      </w:r>
      <w:r w:rsidRPr="00000DCC">
        <w:rPr>
          <w:rFonts w:cs="Times New Roman"/>
          <w:noProof/>
          <w:lang w:val="fr-CA"/>
        </w:rPr>
        <w:t>, par. 48, citant D. Dyzenhaus, « The Politics of Deference</w:t>
      </w:r>
      <w:r w:rsidR="005B79AB">
        <w:rPr>
          <w:rFonts w:cs="Times New Roman"/>
          <w:noProof/>
          <w:lang w:val="fr-CA"/>
        </w:rPr>
        <w:t> </w:t>
      </w:r>
      <w:r w:rsidRPr="00000DCC">
        <w:rPr>
          <w:rFonts w:cs="Times New Roman"/>
          <w:noProof/>
          <w:lang w:val="fr-CA"/>
        </w:rPr>
        <w:t xml:space="preserve">: Judicial Review and Democracy », dans M. Taggart, dir., </w:t>
      </w:r>
      <w:r w:rsidRPr="00000DCC">
        <w:rPr>
          <w:rFonts w:cs="Times New Roman"/>
          <w:i/>
          <w:iCs/>
          <w:noProof/>
          <w:lang w:val="fr-CA"/>
        </w:rPr>
        <w:t>The Province of Administrative Law</w:t>
      </w:r>
      <w:r w:rsidRPr="00000DCC">
        <w:rPr>
          <w:rFonts w:cs="Times New Roman"/>
          <w:noProof/>
          <w:lang w:val="fr-CA"/>
        </w:rPr>
        <w:t xml:space="preserve"> (1997), 279, p. 286.</w:t>
      </w:r>
    </w:p>
    <w:p w14:paraId="1702E689"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Comprendre le raisonnement qui a mené à la décision administrative permet à la cour de révision de déterminer si la décision dans son ensemble est raisonnable. Comme nous l’expliquerons davantage, une décision raisonnable doit être fondée sur une analyse intrinsèquement cohérente et rationnelle et est justifiée au regard des contraintes juridiques et factuelles auxquelles le décideur est assujetti. La </w:t>
      </w:r>
      <w:r w:rsidRPr="00000DCC">
        <w:rPr>
          <w:rFonts w:cs="Times New Roman"/>
          <w:noProof/>
          <w:lang w:val="fr-CA"/>
        </w:rPr>
        <w:lastRenderedPageBreak/>
        <w:t>norme de la décision raisonnable exige de la cour de justice qu’elle fasse preuve de déférence envers une telle décision.</w:t>
      </w:r>
    </w:p>
    <w:p w14:paraId="6552E677"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L’attention accordée aux motifs formulés par le décideur est une manifestation de l’attitude de respect dont font preuve les cours de justice envers le processus décisionnel : voir </w:t>
      </w:r>
      <w:r w:rsidRPr="00000DCC">
        <w:rPr>
          <w:rFonts w:cs="Times New Roman"/>
          <w:i/>
          <w:noProof/>
          <w:lang w:val="fr-CA"/>
        </w:rPr>
        <w:t>Dunsmuir</w:t>
      </w:r>
      <w:r w:rsidRPr="00000DCC">
        <w:rPr>
          <w:rFonts w:cs="Times New Roman"/>
          <w:noProof/>
          <w:lang w:val="fr-CA"/>
        </w:rPr>
        <w:t>, par. 47</w:t>
      </w:r>
      <w:r w:rsidRPr="00000DCC">
        <w:rPr>
          <w:rFonts w:cs="Times New Roman"/>
          <w:noProof/>
          <w:lang w:val="fr-CA"/>
        </w:rPr>
        <w:noBreakHyphen/>
        <w:t>49. Il ressort explicitement de l’arrêt </w:t>
      </w:r>
      <w:r w:rsidRPr="00000DCC">
        <w:rPr>
          <w:rFonts w:cs="Times New Roman"/>
          <w:i/>
          <w:noProof/>
          <w:lang w:val="fr-CA"/>
        </w:rPr>
        <w:t>Dunsmuir</w:t>
      </w:r>
      <w:r w:rsidRPr="00000DCC">
        <w:rPr>
          <w:rFonts w:cs="Times New Roman"/>
          <w:noProof/>
          <w:lang w:val="fr-CA"/>
        </w:rPr>
        <w:t xml:space="preserve"> que la cour de justice qui procède à un contrôle selon la norme de la décision raisonnable « se demande dès lors si la décision et sa justification possèdent les attributs de la raisonnabilité » : par. 47. Selon l’arrêt </w:t>
      </w:r>
      <w:r w:rsidRPr="00000DCC">
        <w:rPr>
          <w:rFonts w:cs="Times New Roman"/>
          <w:i/>
          <w:noProof/>
          <w:lang w:val="fr-CA"/>
        </w:rPr>
        <w:t>Dunsmuir</w:t>
      </w:r>
      <w:r w:rsidRPr="00000DCC">
        <w:rPr>
          <w:rFonts w:cs="Times New Roman"/>
          <w:noProof/>
          <w:lang w:val="fr-CA"/>
        </w:rPr>
        <w:t xml:space="preserve">, le caractère raisonnable « tient principalement à la justification de la décision, à la transparence et à l’intelligibilité du processus décisionnel, ainsi qu’à l’appartenance de la décision aux issues possibles acceptables pouvant se justifier au regard des faits et du droit » : </w:t>
      </w:r>
      <w:r w:rsidRPr="00000DCC">
        <w:rPr>
          <w:rFonts w:cs="Times New Roman"/>
          <w:i/>
          <w:noProof/>
          <w:lang w:val="fr-CA"/>
        </w:rPr>
        <w:t>ibid</w:t>
      </w:r>
      <w:r w:rsidRPr="007F3658">
        <w:rPr>
          <w:rFonts w:cs="Times New Roman"/>
          <w:noProof/>
          <w:lang w:val="fr-CA"/>
        </w:rPr>
        <w:t>.</w:t>
      </w:r>
      <w:r w:rsidRPr="00000DCC">
        <w:rPr>
          <w:rFonts w:cs="Times New Roman"/>
          <w:noProof/>
          <w:lang w:val="fr-CA"/>
        </w:rPr>
        <w:t xml:space="preserve"> En somme, il ne suffit pas que la décision soit </w:t>
      </w:r>
      <w:r w:rsidRPr="00000DCC">
        <w:rPr>
          <w:rFonts w:cs="Times New Roman"/>
          <w:i/>
          <w:noProof/>
          <w:lang w:val="fr-CA"/>
        </w:rPr>
        <w:t>justifiable</w:t>
      </w:r>
      <w:r w:rsidRPr="00000DCC">
        <w:rPr>
          <w:rFonts w:cs="Times New Roman"/>
          <w:noProof/>
          <w:lang w:val="fr-CA"/>
        </w:rPr>
        <w:t>. Dans les cas où des motifs s’imposent, le décideur doit également, au moyen de ceux</w:t>
      </w:r>
      <w:r w:rsidRPr="00000DCC">
        <w:rPr>
          <w:rFonts w:cs="Times New Roman"/>
          <w:noProof/>
          <w:lang w:val="fr-CA"/>
        </w:rPr>
        <w:noBreakHyphen/>
        <w:t xml:space="preserve">ci, </w:t>
      </w:r>
      <w:r w:rsidRPr="00000DCC">
        <w:rPr>
          <w:rFonts w:cs="Times New Roman"/>
          <w:i/>
          <w:noProof/>
          <w:lang w:val="fr-CA"/>
        </w:rPr>
        <w:t>justifier</w:t>
      </w:r>
      <w:r w:rsidRPr="00000DCC">
        <w:rPr>
          <w:rFonts w:cs="Times New Roman"/>
          <w:noProof/>
          <w:lang w:val="fr-CA"/>
        </w:rPr>
        <w:t xml:space="preserve"> sa décision auprès des personnes auxquelles elle s’applique. Si certains résultats peuvent se détacher du contexte juridique et factuel au point de ne jamais s’appuyer sur un raisonnement intelligible et rationnel, un résultat par ailleurs raisonnable ne saurait être non plus tenu pour valide s’il repose sur un fondement erroné.</w:t>
      </w:r>
    </w:p>
    <w:p w14:paraId="3860551F" w14:textId="77777777" w:rsidR="00AE2373" w:rsidRPr="00000DCC" w:rsidRDefault="00AE2373" w:rsidP="00AE2373">
      <w:pPr>
        <w:pStyle w:val="ParaNoNdepar-AltN"/>
        <w:tabs>
          <w:tab w:val="clear" w:pos="1166"/>
          <w:tab w:val="clear" w:pos="1422"/>
          <w:tab w:val="left" w:pos="1170"/>
        </w:tabs>
        <w:spacing w:before="0"/>
        <w:rPr>
          <w:rFonts w:cs="Times New Roman"/>
          <w:noProof/>
          <w:lang w:val="fr-CA"/>
        </w:rPr>
      </w:pPr>
      <w:r w:rsidRPr="00000DCC">
        <w:rPr>
          <w:rFonts w:cs="Times New Roman"/>
          <w:noProof/>
          <w:lang w:val="fr-CA"/>
        </w:rPr>
        <w:t xml:space="preserve">La jurisprudence de notre Cour depuis l’arrêt </w:t>
      </w:r>
      <w:r w:rsidRPr="00000DCC">
        <w:rPr>
          <w:rFonts w:cs="Times New Roman"/>
          <w:i/>
          <w:noProof/>
          <w:lang w:val="fr-CA"/>
        </w:rPr>
        <w:t>Dunsmuir</w:t>
      </w:r>
      <w:r w:rsidRPr="00000DCC">
        <w:rPr>
          <w:rFonts w:cs="Times New Roman"/>
          <w:noProof/>
          <w:lang w:val="fr-CA"/>
        </w:rPr>
        <w:t xml:space="preserve"> ne doit pas être interprétée comme ayant délaissé le point de mire du contrôle selon la norme de la décision raisonnable axé sur le raisonnement pour dorénavant s’attarder presque exclusivement au </w:t>
      </w:r>
      <w:r w:rsidRPr="00000DCC">
        <w:rPr>
          <w:rFonts w:cs="Times New Roman"/>
          <w:i/>
          <w:noProof/>
          <w:lang w:val="fr-CA"/>
        </w:rPr>
        <w:t>résultat</w:t>
      </w:r>
      <w:r w:rsidRPr="00000DCC">
        <w:rPr>
          <w:rFonts w:cs="Times New Roman"/>
          <w:noProof/>
          <w:lang w:val="fr-CA"/>
        </w:rPr>
        <w:t xml:space="preserve"> de la décision administrative sous examen. D’ailleurs, le contrôle en fonction de la norme de la décision raisonnable tient dûment compte à la fois du résultat de la décision et du raisonnement à l’origine de ce résultat, comme la </w:t>
      </w:r>
      <w:r w:rsidRPr="00000DCC">
        <w:rPr>
          <w:rFonts w:cs="Times New Roman"/>
          <w:noProof/>
          <w:lang w:val="fr-CA"/>
        </w:rPr>
        <w:lastRenderedPageBreak/>
        <w:t xml:space="preserve">Cour l’a récemment rappelé dans l’arrêt </w:t>
      </w:r>
      <w:r w:rsidRPr="00000DCC">
        <w:rPr>
          <w:rFonts w:cs="Times New Roman"/>
          <w:i/>
          <w:noProof/>
          <w:lang w:val="fr-CA"/>
        </w:rPr>
        <w:t xml:space="preserve">Delta Air Lines Inc. </w:t>
      </w:r>
      <w:r w:rsidRPr="00000DCC">
        <w:rPr>
          <w:rFonts w:cs="Times New Roman"/>
          <w:i/>
          <w:iCs/>
          <w:noProof/>
          <w:lang w:val="fr-CA"/>
        </w:rPr>
        <w:t>c.</w:t>
      </w:r>
      <w:r w:rsidRPr="00000DCC">
        <w:rPr>
          <w:rFonts w:cs="Times New Roman"/>
          <w:i/>
          <w:noProof/>
          <w:lang w:val="fr-CA"/>
        </w:rPr>
        <w:t xml:space="preserve"> Lukács</w:t>
      </w:r>
      <w:r w:rsidRPr="00000DCC">
        <w:rPr>
          <w:rFonts w:cs="Times New Roman"/>
          <w:noProof/>
          <w:lang w:val="fr-CA"/>
        </w:rPr>
        <w:t xml:space="preserve">, 2018 CSC 2, [2018] 1 R.C.S. 6, par. 12. Dans cette affaire, même si le résultat de la décision n’était peut-être pas déraisonnable eu égard aux circonstances, la décision a été infirmée parce que l’analyse ayant débouché sur ce résultat était déraisonnable. Cette façon de voir s’inscrit dans la foulée de la directive de l’arrêt </w:t>
      </w:r>
      <w:r w:rsidRPr="00000DCC">
        <w:rPr>
          <w:rFonts w:cs="Times New Roman"/>
          <w:i/>
          <w:noProof/>
          <w:lang w:val="fr-CA"/>
        </w:rPr>
        <w:t xml:space="preserve">Dunsmuir </w:t>
      </w:r>
      <w:r w:rsidRPr="00000DCC">
        <w:rPr>
          <w:rFonts w:cs="Times New Roman"/>
          <w:noProof/>
          <w:lang w:val="fr-CA"/>
        </w:rPr>
        <w:t xml:space="preserve">voulant que le contrôle judiciaire porte </w:t>
      </w:r>
      <w:r w:rsidRPr="00000DCC">
        <w:rPr>
          <w:rFonts w:cs="Times New Roman"/>
          <w:i/>
          <w:noProof/>
          <w:lang w:val="fr-CA"/>
        </w:rPr>
        <w:t>à la fois</w:t>
      </w:r>
      <w:r w:rsidRPr="00000DCC">
        <w:rPr>
          <w:rFonts w:cs="Times New Roman"/>
          <w:noProof/>
          <w:lang w:val="fr-CA"/>
        </w:rPr>
        <w:t xml:space="preserve"> sur le résultat </w:t>
      </w:r>
      <w:r w:rsidRPr="00000DCC">
        <w:rPr>
          <w:rFonts w:cs="Times New Roman"/>
          <w:i/>
          <w:noProof/>
          <w:lang w:val="fr-CA"/>
        </w:rPr>
        <w:t>et</w:t>
      </w:r>
      <w:r w:rsidRPr="00000DCC">
        <w:rPr>
          <w:rFonts w:cs="Times New Roman"/>
          <w:noProof/>
          <w:lang w:val="fr-CA"/>
        </w:rPr>
        <w:t xml:space="preserve"> sur le processus. Une approche différente compromettrait le rôle institutionnel du décideur administratif plutôt que de le respecter.</w:t>
      </w:r>
    </w:p>
    <w:p w14:paraId="62AE63B2" w14:textId="77777777" w:rsidR="00AE2373" w:rsidRPr="00000DCC" w:rsidRDefault="00AE2373" w:rsidP="00B436D3">
      <w:pPr>
        <w:pStyle w:val="Title2LevelTitre2Niveau"/>
        <w:numPr>
          <w:ilvl w:val="1"/>
          <w:numId w:val="8"/>
        </w:numPr>
        <w:tabs>
          <w:tab w:val="left" w:pos="1560"/>
        </w:tabs>
        <w:spacing w:before="0"/>
        <w:rPr>
          <w:rFonts w:cs="Times New Roman"/>
          <w:noProof/>
          <w:lang w:val="fr-CA"/>
        </w:rPr>
      </w:pPr>
      <w:r w:rsidRPr="00000DCC">
        <w:rPr>
          <w:rFonts w:cs="Times New Roman"/>
          <w:noProof/>
          <w:lang w:val="fr-CA"/>
        </w:rPr>
        <w:t>La norme de la décision raisonnable est une norme unique qui tient compte du contexte</w:t>
      </w:r>
    </w:p>
    <w:p w14:paraId="573390E9" w14:textId="77777777" w:rsidR="00AE2373" w:rsidRPr="00000DCC" w:rsidRDefault="00AE2373" w:rsidP="00AE2373">
      <w:pPr>
        <w:pStyle w:val="ParaNoNdepar-AltN"/>
        <w:tabs>
          <w:tab w:val="clear" w:pos="1166"/>
          <w:tab w:val="clear" w:pos="1422"/>
          <w:tab w:val="left" w:pos="1170"/>
        </w:tabs>
        <w:spacing w:before="0"/>
        <w:rPr>
          <w:rFonts w:cs="Times New Roman"/>
          <w:noProof/>
          <w:lang w:val="fr-CA"/>
        </w:rPr>
      </w:pPr>
      <w:r w:rsidRPr="00000DCC">
        <w:rPr>
          <w:rFonts w:cs="Times New Roman"/>
          <w:noProof/>
          <w:lang w:val="fr-CA"/>
        </w:rPr>
        <w:t>Lorsqu’on tente d’élaborer une méthode cohérente et unifiée de contrôle judiciaire, la diversité des décisions et des décideurs que doit prendre en compte cette méthode pose en soi un défi inéluctable. Les décideurs dont les décisions peuvent faire l’objet d’un contrôle judiciaire vont des tribunaux spécialisés exerçant des attributions judiciaires aux organismes de réglementation indépendants, aux ministres, aux décideurs de première ligne et plus encore. Leurs décisions varient en complexité et en importance, allant des décisions banales à celles qui changent le cours d’une vie. Elles visent, d’une part, des questions « hautement politiques » et, d’autre part, des questions de « droit pur ». Ces décisions font parfois intervenir des considérations techniques complexes. À d’autres moments, le bon sens et la logique ordinaire suffisent.</w:t>
      </w:r>
    </w:p>
    <w:p w14:paraId="704B0E09" w14:textId="77777777" w:rsidR="00AE2373" w:rsidRPr="00000DCC" w:rsidRDefault="00AE2373" w:rsidP="00AE2373">
      <w:pPr>
        <w:pStyle w:val="ParaNoNdepar-AltN"/>
        <w:tabs>
          <w:tab w:val="clear" w:pos="1166"/>
          <w:tab w:val="clear" w:pos="1422"/>
          <w:tab w:val="left" w:pos="1170"/>
        </w:tabs>
        <w:spacing w:before="0"/>
        <w:rPr>
          <w:rFonts w:cs="Times New Roman"/>
          <w:noProof/>
          <w:lang w:val="fr-CA"/>
        </w:rPr>
      </w:pPr>
      <w:r w:rsidRPr="00000DCC">
        <w:rPr>
          <w:rFonts w:cs="Times New Roman"/>
          <w:noProof/>
          <w:lang w:val="fr-CA"/>
        </w:rPr>
        <w:t xml:space="preserve">Malgré cette diversité, la norme de la décision raisonnable demeure une norme unique, et les éléments du contexte entourant une décision n’altèrent pas cette norme ou le degré d’examen que doit appliquer une cour de révision. Le contexte </w:t>
      </w:r>
      <w:r w:rsidRPr="00000DCC">
        <w:rPr>
          <w:rFonts w:cs="Times New Roman"/>
          <w:noProof/>
          <w:lang w:val="fr-CA"/>
        </w:rPr>
        <w:lastRenderedPageBreak/>
        <w:t xml:space="preserve">particulier d’une décision circonscrit plutôt la latitude du décideur administratif en matière de décision raisonnable dans un cas donné. C’est ce que l’on entend quand on affirme que « [l]a raisonnabilité constitue une norme unique qui s’adapte au contexte » : </w:t>
      </w:r>
      <w:r w:rsidRPr="00000DCC">
        <w:rPr>
          <w:rFonts w:cs="Times New Roman"/>
          <w:i/>
          <w:noProof/>
          <w:lang w:val="fr-CA"/>
        </w:rPr>
        <w:t>Khosa</w:t>
      </w:r>
      <w:r w:rsidRPr="00000DCC">
        <w:rPr>
          <w:rFonts w:cs="Times New Roman"/>
          <w:noProof/>
          <w:lang w:val="fr-CA"/>
        </w:rPr>
        <w:t xml:space="preserve">, par. 59; </w:t>
      </w:r>
      <w:r w:rsidRPr="00000DCC">
        <w:rPr>
          <w:rFonts w:cs="Times New Roman"/>
          <w:i/>
          <w:noProof/>
          <w:lang w:val="fr-CA"/>
        </w:rPr>
        <w:t>Catalyst</w:t>
      </w:r>
      <w:r w:rsidRPr="00000DCC">
        <w:rPr>
          <w:rFonts w:cs="Times New Roman"/>
          <w:noProof/>
          <w:lang w:val="fr-CA"/>
        </w:rPr>
        <w:t xml:space="preserve">, par. 18; </w:t>
      </w:r>
      <w:r w:rsidRPr="00000DCC">
        <w:rPr>
          <w:rFonts w:cs="Times New Roman"/>
          <w:i/>
          <w:noProof/>
          <w:lang w:val="fr-CA"/>
        </w:rPr>
        <w:t>Halifax (Regional Municipality) c. Nouvelle</w:t>
      </w:r>
      <w:r w:rsidRPr="00000DCC">
        <w:rPr>
          <w:rFonts w:cs="Times New Roman"/>
          <w:i/>
          <w:noProof/>
          <w:lang w:val="fr-CA"/>
        </w:rPr>
        <w:noBreakHyphen/>
        <w:t>Écosse (Human Rights Commission)</w:t>
      </w:r>
      <w:r w:rsidRPr="00000DCC">
        <w:rPr>
          <w:rFonts w:cs="Times New Roman"/>
          <w:noProof/>
          <w:lang w:val="fr-CA"/>
        </w:rPr>
        <w:t>, 2012 CSC 10,</w:t>
      </w:r>
      <w:r w:rsidRPr="00000DCC">
        <w:rPr>
          <w:rFonts w:eastAsia="Times New Roman" w:cs="Times New Roman"/>
          <w:bCs/>
          <w:noProof/>
          <w:szCs w:val="24"/>
          <w:lang w:val="fr-CA" w:eastAsia="en-CA"/>
        </w:rPr>
        <w:t xml:space="preserve"> </w:t>
      </w:r>
      <w:r w:rsidRPr="00000DCC">
        <w:rPr>
          <w:rFonts w:cs="Times New Roman"/>
          <w:bCs/>
          <w:noProof/>
          <w:lang w:val="fr-CA"/>
        </w:rPr>
        <w:t xml:space="preserve">[2012] 1 R.C.S. 364, </w:t>
      </w:r>
      <w:r w:rsidRPr="00000DCC">
        <w:rPr>
          <w:rFonts w:cs="Times New Roman"/>
          <w:noProof/>
          <w:lang w:val="fr-CA"/>
        </w:rPr>
        <w:t xml:space="preserve">par. 44; </w:t>
      </w:r>
      <w:r w:rsidRPr="00000DCC">
        <w:rPr>
          <w:rFonts w:cs="Times New Roman"/>
          <w:i/>
          <w:noProof/>
          <w:lang w:val="fr-CA"/>
        </w:rPr>
        <w:t>Wilson</w:t>
      </w:r>
      <w:r w:rsidRPr="00000DCC">
        <w:rPr>
          <w:rFonts w:cs="Times New Roman"/>
          <w:noProof/>
          <w:lang w:val="fr-CA"/>
        </w:rPr>
        <w:t xml:space="preserve">, par. 22, la juge Abella; </w:t>
      </w:r>
      <w:r w:rsidRPr="00000DCC">
        <w:rPr>
          <w:rFonts w:cs="Times New Roman"/>
          <w:i/>
          <w:noProof/>
          <w:lang w:val="fr-CA"/>
        </w:rPr>
        <w:t>Canada (Procureur général) c. Igloo Vikski Inc.</w:t>
      </w:r>
      <w:r w:rsidRPr="00000DCC">
        <w:rPr>
          <w:rFonts w:cs="Times New Roman"/>
          <w:noProof/>
          <w:lang w:val="fr-CA"/>
        </w:rPr>
        <w:t xml:space="preserve">, 2016 CSC 38, [2016] 2 R.C.S. 80, par. 57, la juge Côté, dissidente mais non sur ce point; </w:t>
      </w:r>
      <w:r w:rsidRPr="00000DCC">
        <w:rPr>
          <w:rFonts w:cs="Times New Roman"/>
          <w:i/>
          <w:noProof/>
          <w:lang w:val="fr-CA"/>
        </w:rPr>
        <w:t>Law Society of British Columbia c. Trinity Western University</w:t>
      </w:r>
      <w:r w:rsidRPr="00000DCC">
        <w:rPr>
          <w:rFonts w:cs="Times New Roman"/>
          <w:noProof/>
          <w:lang w:val="fr-CA"/>
        </w:rPr>
        <w:t xml:space="preserve">, 2018 CSC 32, </w:t>
      </w:r>
      <w:r w:rsidRPr="00000DCC">
        <w:rPr>
          <w:rFonts w:cs="Times New Roman"/>
          <w:bCs/>
          <w:noProof/>
          <w:lang w:val="fr-CA"/>
        </w:rPr>
        <w:t>[2018] 2 R.C.S. 293,</w:t>
      </w:r>
      <w:r w:rsidRPr="00000DCC">
        <w:rPr>
          <w:rFonts w:cs="Times New Roman"/>
          <w:noProof/>
          <w:lang w:val="fr-CA"/>
        </w:rPr>
        <w:t xml:space="preserve"> par. 53.</w:t>
      </w:r>
    </w:p>
    <w:p w14:paraId="0A6675D8"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La méthode de contrôle selon la norme de la décision raisonnable que nous décrivons dans les présents motifs tient compte de la diversité des décisions administratives en reconnaissant que ce qui est raisonnable dans un cas donné dépend toujours des contraintes juridiques et factuelles propres au contexte de la décision particulière sous examen. Ces contraintes d’ordre contextuel cernent les limites et les contours de l’espace à l’intérieur duquel le décideur peut agir, ainsi que les types de solution qu’il peut retenir. Le fait que ces contraintes d’ordre contextuel imposées au décideur administratif puissent varier d’une décision à l’autre ne pose pas problème pour la norme de la décision raisonnable parce que chaque décision doit être à la fois justifiée par l’organisme administratif et évaluée par la cour de révision en fonction de son propre contexte particulier.</w:t>
      </w:r>
    </w:p>
    <w:p w14:paraId="17C39BA4" w14:textId="77777777" w:rsidR="00AE2373" w:rsidRPr="00000DCC" w:rsidRDefault="00AE2373" w:rsidP="00AE2373">
      <w:pPr>
        <w:pStyle w:val="Title2LevelTitre2Niveau"/>
        <w:numPr>
          <w:ilvl w:val="1"/>
          <w:numId w:val="8"/>
        </w:numPr>
        <w:tabs>
          <w:tab w:val="left" w:pos="1560"/>
        </w:tabs>
        <w:spacing w:before="0"/>
        <w:rPr>
          <w:rFonts w:cs="Times New Roman"/>
          <w:noProof/>
          <w:lang w:val="fr-CA"/>
        </w:rPr>
      </w:pPr>
      <w:r w:rsidRPr="00000DCC">
        <w:rPr>
          <w:rFonts w:cs="Times New Roman"/>
          <w:noProof/>
          <w:lang w:val="fr-CA"/>
        </w:rPr>
        <w:t>Les motifs écrits d’une décision devraient être interprétés à la lumière du dossier et en tenant dûment compte du contexte administratif dans lequel ils sont fournis</w:t>
      </w:r>
    </w:p>
    <w:p w14:paraId="46369096" w14:textId="77777777" w:rsidR="00AE2373" w:rsidRPr="00000DCC" w:rsidRDefault="00AE2373" w:rsidP="00AE2373">
      <w:pPr>
        <w:pStyle w:val="ParaNoNdepar-AltN"/>
        <w:tabs>
          <w:tab w:val="clear" w:pos="1166"/>
          <w:tab w:val="clear" w:pos="1422"/>
          <w:tab w:val="left" w:pos="1170"/>
        </w:tabs>
        <w:spacing w:before="0"/>
        <w:rPr>
          <w:rFonts w:cs="Times New Roman"/>
          <w:noProof/>
          <w:lang w:val="fr-CA"/>
        </w:rPr>
      </w:pPr>
      <w:r w:rsidRPr="00000DCC">
        <w:rPr>
          <w:rFonts w:cs="Times New Roman"/>
          <w:noProof/>
          <w:lang w:val="fr-CA"/>
        </w:rPr>
        <w:lastRenderedPageBreak/>
        <w:t xml:space="preserve">Une cour de révision doit se rappeler que les motifs écrits fournis par un organisme administratif ne doivent pas être jugés au regard d’une norme de perfection. Le fait que les motifs de la décision « ne fassent pas référence à tous les arguments, dispositions législatives, précédents ou autres détails que le juge siégeant en révision aurait voulu y lire » ne constitue pas un fondement justifiant à lui seul d’infirmer la décision : </w:t>
      </w:r>
      <w:r w:rsidRPr="00000DCC">
        <w:rPr>
          <w:rFonts w:cs="Times New Roman"/>
          <w:i/>
          <w:noProof/>
          <w:lang w:val="fr-CA"/>
        </w:rPr>
        <w:t>Newfoundland Nurses</w:t>
      </w:r>
      <w:r w:rsidRPr="00000DCC">
        <w:rPr>
          <w:rFonts w:cs="Times New Roman"/>
          <w:noProof/>
          <w:lang w:val="fr-CA"/>
        </w:rPr>
        <w:t>,</w:t>
      </w:r>
      <w:r w:rsidRPr="00000DCC">
        <w:rPr>
          <w:rFonts w:cs="Times New Roman"/>
          <w:i/>
          <w:noProof/>
          <w:lang w:val="fr-CA"/>
        </w:rPr>
        <w:t xml:space="preserve"> </w:t>
      </w:r>
      <w:r w:rsidRPr="00000DCC">
        <w:rPr>
          <w:rFonts w:cs="Times New Roman"/>
          <w:noProof/>
          <w:lang w:val="fr-CA"/>
        </w:rPr>
        <w:t>par. 16. On ne peut dissocier non plus le contrôle d’une décision administrative du cadre institutionnel dans lequel elle a été rendue ni de l’historique de l’instance.</w:t>
      </w:r>
    </w:p>
    <w:p w14:paraId="36559233" w14:textId="77777777" w:rsidR="00AE2373" w:rsidRPr="00000DCC" w:rsidRDefault="00AE2373" w:rsidP="00AE2373">
      <w:pPr>
        <w:pStyle w:val="ParaNoNdepar-AltN"/>
        <w:tabs>
          <w:tab w:val="clear" w:pos="1166"/>
          <w:tab w:val="clear" w:pos="1422"/>
          <w:tab w:val="left" w:pos="1170"/>
        </w:tabs>
        <w:spacing w:before="0"/>
        <w:rPr>
          <w:rFonts w:cs="Times New Roman"/>
          <w:noProof/>
          <w:sz w:val="19"/>
          <w:szCs w:val="19"/>
          <w:lang w:val="fr-CA"/>
        </w:rPr>
      </w:pPr>
      <w:r w:rsidRPr="00000DCC">
        <w:rPr>
          <w:rFonts w:cs="Times New Roman"/>
          <w:noProof/>
          <w:lang w:val="fr-CA"/>
        </w:rPr>
        <w:t>On ne peut pas toujours s’attendre à ce que les décideurs administratifs déploient toute la gamme de techniques juridiques auxquelles on peut s’attendre de la part d’un avocat ou d’un juge et il ne sera pas toujours nécessaire, ni même utile, de le faire. En réalité, les concepts et le vocabulaire employés par ces décideurs sont souvent, dans une très large mesure, propres à leur champ d’expertise et d’expérience, et ils influent tant sur la forme que sur la teneur de leurs motifs. Ces différences ne sont pas forcément le signe d’une décision déraisonnable; en fait, elles peuvent indiquer la force du décideur dans son champ d’expertise précis. La « justice administrative » ne ressemble pas toujours à la « justice judiciaire » et les cours de révision doivent en demeurer pleinement conscientes.</w:t>
      </w:r>
    </w:p>
    <w:p w14:paraId="0BD681DA" w14:textId="4A251FF5"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Par ses motifs, le décideur administratif peut démontrer qu’il a rendu une décision donnée en mettant à contribution son expertise </w:t>
      </w:r>
      <w:r>
        <w:rPr>
          <w:rFonts w:cs="Times New Roman"/>
          <w:noProof/>
          <w:lang w:val="fr-CA"/>
        </w:rPr>
        <w:t>et</w:t>
      </w:r>
      <w:r w:rsidRPr="00000DCC">
        <w:rPr>
          <w:rFonts w:cs="Times New Roman"/>
          <w:noProof/>
          <w:lang w:val="fr-CA"/>
        </w:rPr>
        <w:t xml:space="preserve"> </w:t>
      </w:r>
      <w:r w:rsidR="005B79AB">
        <w:rPr>
          <w:rFonts w:cs="Times New Roman"/>
          <w:noProof/>
          <w:lang w:val="fr-CA"/>
        </w:rPr>
        <w:t>son expérience institutionnelle </w:t>
      </w:r>
      <w:r w:rsidRPr="00000DCC">
        <w:rPr>
          <w:rFonts w:cs="Times New Roman"/>
          <w:noProof/>
          <w:lang w:val="fr-CA"/>
        </w:rPr>
        <w:t xml:space="preserve">: voir </w:t>
      </w:r>
      <w:r w:rsidRPr="00000DCC">
        <w:rPr>
          <w:rFonts w:cs="Times New Roman"/>
          <w:i/>
          <w:noProof/>
          <w:lang w:val="fr-CA"/>
        </w:rPr>
        <w:t>Dunsmuir</w:t>
      </w:r>
      <w:r w:rsidRPr="00000DCC">
        <w:rPr>
          <w:rFonts w:cs="Times New Roman"/>
          <w:noProof/>
          <w:lang w:val="fr-CA"/>
        </w:rPr>
        <w:t xml:space="preserve">, par. 49. Lors du contrôle selon la norme de la décision raisonnable, le juge doit être attentif à la manière dont le décideur administratif met à profit son expertise, tel qu’en font foi les motifs de ce dernier. L’attention respectueuse </w:t>
      </w:r>
      <w:r w:rsidRPr="00000DCC">
        <w:rPr>
          <w:rFonts w:cs="Times New Roman"/>
          <w:noProof/>
          <w:lang w:val="fr-CA"/>
        </w:rPr>
        <w:lastRenderedPageBreak/>
        <w:t>accordée à l’expertise établie du décideur peut indiquer à une cour de révision qu’un résultat qui semble déroutant ou contre</w:t>
      </w:r>
      <w:r w:rsidRPr="00000DCC">
        <w:rPr>
          <w:rFonts w:cs="Times New Roman"/>
          <w:noProof/>
          <w:lang w:val="fr-CA"/>
        </w:rPr>
        <w:noBreakHyphen/>
        <w:t>intuitif à première vue est néanmoins conforme aux objets et aux réalités pratiques du régime administratif en cause et témoigne d’une approche raisonnable compte tenu des conséquences et des effets concrets de la décision. Lorsqu’établies, cette expérience et cette expertise peuvent elles aussi expliquer pourquoi l’analyse d’une question donnée est moins étoffée.</w:t>
      </w:r>
    </w:p>
    <w:p w14:paraId="3F403B12" w14:textId="77777777" w:rsidR="00AE2373" w:rsidRPr="00000DCC" w:rsidRDefault="00AE2373" w:rsidP="00AE2373">
      <w:pPr>
        <w:pStyle w:val="ParaNoNdepar-AltN"/>
        <w:tabs>
          <w:tab w:val="clear" w:pos="1166"/>
          <w:tab w:val="clear" w:pos="1422"/>
          <w:tab w:val="left" w:pos="1170"/>
        </w:tabs>
        <w:spacing w:before="0"/>
        <w:rPr>
          <w:rFonts w:cs="Times New Roman"/>
          <w:noProof/>
          <w:lang w:val="fr-CA"/>
        </w:rPr>
      </w:pPr>
      <w:r w:rsidRPr="00000DCC">
        <w:rPr>
          <w:rFonts w:cs="Times New Roman"/>
          <w:noProof/>
          <w:lang w:val="fr-CA"/>
        </w:rPr>
        <w:t>La cour de révision doit également interpréter les motifs du décideur en fonction de l’historique et du contexte de l’instance dans laquelle ils ont été rendus. Elle peut considérer, par exemple, la preuve dont disposait le décideur, les observations des parties, les politiques ou lignes directrices accessibles au public dont a tenu compte le décideur et les décisions antérieures de l’organisme administratif en question. Cela peut expliquer un aspect du raisonnement du décideur qui ne ressort pas à l’évidence des motifs eux</w:t>
      </w:r>
      <w:r w:rsidRPr="00000DCC">
        <w:rPr>
          <w:rFonts w:cs="Times New Roman"/>
          <w:noProof/>
          <w:lang w:val="fr-CA"/>
        </w:rPr>
        <w:noBreakHyphen/>
        <w:t>mêmes; cela peut aussi révéler que ce qui semble être une lacune des motifs ne constitue pas en définitive un manque de justification, d’intelligibilité ou de transparence. Ainsi, les parties adverses ont pu faire des concessions pour éviter que le décideur n’ait à trancher une question. De même, un décideur a pu suivre une jurisprudence administrative bien établie sur une question qu’aucune partie n’a contestée au cours de l’instance. Ou encore, un décideur a pu adopter une interprétation énoncée dans une politique d’interprétation publiée par l’organisme administratif dont il fait partie.</w:t>
      </w:r>
    </w:p>
    <w:p w14:paraId="1E270831"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Cela dit, les cours de révision doivent garder à l’esprit le principe suivant lequel l’exercice de tout pouvoir public doit être justifié, intelligible et transparent non pas dans l’abstrait, mais pour l’individu qui en fait l’objet. Il serait donc inacceptable </w:t>
      </w:r>
      <w:r w:rsidRPr="00000DCC">
        <w:rPr>
          <w:rFonts w:cs="Times New Roman"/>
          <w:noProof/>
          <w:lang w:val="fr-CA"/>
        </w:rPr>
        <w:lastRenderedPageBreak/>
        <w:t>qu’un décideur administratif communique à une partie concernée des motifs écrits qui ne justifient pas sa décision, mais s’attende néanmoins à ce que sa décision soit confirmée sur la base de dossiers internes qui n’étaient pas à la disposition de cette partie.</w:t>
      </w:r>
    </w:p>
    <w:p w14:paraId="5A7213CB" w14:textId="045A7FA1"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Lorsque, même s’ils sont interprétés en tenant compte du contexte institutionnel et </w:t>
      </w:r>
      <w:r w:rsidR="006D2BF0">
        <w:rPr>
          <w:rFonts w:cs="Times New Roman"/>
          <w:noProof/>
          <w:lang w:val="fr-CA"/>
        </w:rPr>
        <w:t xml:space="preserve">à la lumière </w:t>
      </w:r>
      <w:r w:rsidRPr="00000DCC">
        <w:rPr>
          <w:rFonts w:cs="Times New Roman"/>
          <w:noProof/>
          <w:lang w:val="fr-CA"/>
        </w:rPr>
        <w:t>du dossier, les motifs fournis par l’organisme administratif pour justifier sa décision comportent une lacune fondamentale ou révèlent une analyse déraisonnable, il ne convient habituellement pas que la cour de révision élabore ses propres motifs pour appuyer la décision administrative. Même si le résultat de la décision pourrait sembler raisonnable dans des circonstances différentes, il n’est pas loisible à la cour de révision de faire abstraction du fondement erroné de la décision et d’y substituer sa propre justification du résultat</w:t>
      </w:r>
      <w:r w:rsidR="00E17A60">
        <w:rPr>
          <w:rFonts w:cs="Times New Roman"/>
          <w:noProof/>
          <w:lang w:val="fr-CA"/>
        </w:rPr>
        <w:t> </w:t>
      </w:r>
      <w:r w:rsidRPr="00000DCC">
        <w:rPr>
          <w:rFonts w:cs="Times New Roman"/>
          <w:noProof/>
          <w:lang w:val="fr-CA"/>
        </w:rPr>
        <w:t>:</w:t>
      </w:r>
      <w:r w:rsidRPr="00000DCC">
        <w:rPr>
          <w:rFonts w:eastAsiaTheme="minorHAnsi" w:cs="Times New Roman"/>
          <w:i/>
          <w:noProof/>
          <w:lang w:val="fr-CA" w:bidi="en-US"/>
        </w:rPr>
        <w:t xml:space="preserve"> </w:t>
      </w:r>
      <w:r w:rsidRPr="00000DCC">
        <w:rPr>
          <w:rFonts w:cs="Times New Roman"/>
          <w:i/>
          <w:noProof/>
          <w:lang w:val="fr-CA"/>
        </w:rPr>
        <w:t>Delta Air Lines</w:t>
      </w:r>
      <w:r w:rsidRPr="00000DCC">
        <w:rPr>
          <w:rFonts w:cs="Times New Roman"/>
          <w:noProof/>
          <w:lang w:val="fr-CA"/>
        </w:rPr>
        <w:t>, par. 26</w:t>
      </w:r>
      <w:r w:rsidRPr="00000DCC">
        <w:rPr>
          <w:rFonts w:cs="Times New Roman"/>
          <w:noProof/>
          <w:lang w:val="fr-CA"/>
        </w:rPr>
        <w:noBreakHyphen/>
        <w:t xml:space="preserve">28. Autoriser une cour de révision à agir ainsi reviendrait à permettre à un décideur de se dérober à son obligation de justifier, de manière transparente et intelligible pour la personne visée, le fondement pour lequel il est parvenu à une conclusion donnée. Cela reviendrait également à adopter une méthode de contrôle selon la norme de la décision raisonnable qui serait axée uniquement sur le résultat de la décision, à l’exclusion de la justification de cette décision. Dans la mesure où des arrêts comme </w:t>
      </w:r>
      <w:r w:rsidRPr="00000DCC">
        <w:rPr>
          <w:rFonts w:cs="Times New Roman"/>
          <w:i/>
          <w:noProof/>
          <w:lang w:val="fr-CA"/>
        </w:rPr>
        <w:t>Newfoundland Nurses</w:t>
      </w:r>
      <w:r w:rsidRPr="00000DCC">
        <w:rPr>
          <w:rFonts w:cs="Times New Roman"/>
          <w:noProof/>
          <w:lang w:val="fr-CA"/>
        </w:rPr>
        <w:t xml:space="preserve"> et </w:t>
      </w:r>
      <w:r w:rsidRPr="00000DCC">
        <w:rPr>
          <w:rFonts w:cs="Times New Roman"/>
          <w:i/>
          <w:noProof/>
          <w:lang w:val="fr-CA"/>
        </w:rPr>
        <w:t>Alberta</w:t>
      </w:r>
      <w:r w:rsidRPr="00000DCC">
        <w:rPr>
          <w:rFonts w:cs="Times New Roman"/>
          <w:noProof/>
          <w:lang w:val="fr-CA"/>
        </w:rPr>
        <w:t xml:space="preserve"> </w:t>
      </w:r>
      <w:r w:rsidRPr="00000DCC">
        <w:rPr>
          <w:rFonts w:cs="Times New Roman"/>
          <w:i/>
          <w:noProof/>
          <w:lang w:val="fr-CA"/>
        </w:rPr>
        <w:t>Teachers</w:t>
      </w:r>
      <w:r w:rsidRPr="00000DCC">
        <w:rPr>
          <w:rFonts w:cs="Times New Roman"/>
          <w:noProof/>
          <w:lang w:val="fr-CA"/>
        </w:rPr>
        <w:t xml:space="preserve"> ont été compris comme appuyant une telle conception, cette compréhension est erronée.</w:t>
      </w:r>
    </w:p>
    <w:p w14:paraId="656E4456" w14:textId="50DAE9EC" w:rsidR="00AE2373" w:rsidRPr="00000DCC" w:rsidRDefault="00AE2373" w:rsidP="00AE2373">
      <w:pPr>
        <w:pStyle w:val="ParaNoNdepar-AltN"/>
        <w:tabs>
          <w:tab w:val="clear" w:pos="1166"/>
          <w:tab w:val="clear" w:pos="1422"/>
          <w:tab w:val="num" w:pos="1170"/>
        </w:tabs>
        <w:spacing w:before="0"/>
        <w:rPr>
          <w:rFonts w:cs="Times New Roman"/>
          <w:noProof/>
          <w:lang w:val="fr-CA"/>
        </w:rPr>
      </w:pPr>
      <w:r>
        <w:rPr>
          <w:rFonts w:cs="Times New Roman"/>
          <w:noProof/>
          <w:lang w:val="fr-CA"/>
        </w:rPr>
        <w:t>En effet</w:t>
      </w:r>
      <w:r w:rsidRPr="00000DCC">
        <w:rPr>
          <w:rFonts w:cs="Times New Roman"/>
          <w:noProof/>
          <w:lang w:val="fr-CA"/>
        </w:rPr>
        <w:t xml:space="preserve">, l’arrêt </w:t>
      </w:r>
      <w:r w:rsidRPr="00000DCC">
        <w:rPr>
          <w:rFonts w:cs="Times New Roman"/>
          <w:i/>
          <w:noProof/>
          <w:lang w:val="fr-CA"/>
        </w:rPr>
        <w:t xml:space="preserve">Newfoundland Nurses </w:t>
      </w:r>
      <w:r w:rsidRPr="00000DCC">
        <w:rPr>
          <w:rFonts w:cs="Times New Roman"/>
          <w:noProof/>
          <w:lang w:val="fr-CA"/>
        </w:rPr>
        <w:t xml:space="preserve">est loin d’établir que la justification donnée par le décideur à l’appui de sa décision </w:t>
      </w:r>
      <w:r>
        <w:rPr>
          <w:rFonts w:cs="Times New Roman"/>
          <w:noProof/>
          <w:lang w:val="fr-CA"/>
        </w:rPr>
        <w:t>n’est</w:t>
      </w:r>
      <w:r w:rsidRPr="00000DCC">
        <w:rPr>
          <w:rFonts w:cs="Times New Roman"/>
          <w:noProof/>
          <w:lang w:val="fr-CA"/>
        </w:rPr>
        <w:t xml:space="preserve"> pas pertinente. Cet arrêt nous enseigne plutôt qu’il faut accorder une attention particulière aux motifs écrits du </w:t>
      </w:r>
      <w:r w:rsidRPr="00000DCC">
        <w:rPr>
          <w:rFonts w:cs="Times New Roman"/>
          <w:noProof/>
          <w:lang w:val="fr-CA"/>
        </w:rPr>
        <w:lastRenderedPageBreak/>
        <w:t xml:space="preserve">décideur et les interpréter de façon globale et contextuelle. L’objectif est justement de comprendre le fondement sur lequel repose la décision. Nous souscrivons aux observations suivantes du juge Rennie dans l’affaire </w:t>
      </w:r>
      <w:r w:rsidRPr="00000DCC">
        <w:rPr>
          <w:rFonts w:cs="Times New Roman"/>
          <w:i/>
          <w:noProof/>
          <w:lang w:val="fr-CA"/>
        </w:rPr>
        <w:t>Komolafe c. Canada (Ministre de la Citoyenneté et de l’Immigration)</w:t>
      </w:r>
      <w:r w:rsidRPr="00000DCC">
        <w:rPr>
          <w:rFonts w:cs="Times New Roman"/>
          <w:noProof/>
          <w:lang w:val="fr-CA"/>
        </w:rPr>
        <w:t>, 2013 CF 431, par. 11</w:t>
      </w:r>
      <w:r w:rsidR="004C145D">
        <w:rPr>
          <w:rFonts w:cs="Times New Roman"/>
          <w:noProof/>
          <w:lang w:val="fr-CA"/>
        </w:rPr>
        <w:t xml:space="preserve"> (CanLII)</w:t>
      </w:r>
      <w:r w:rsidRPr="00000DCC">
        <w:rPr>
          <w:rFonts w:cs="Times New Roman"/>
          <w:noProof/>
          <w:lang w:val="fr-CA"/>
        </w:rPr>
        <w:t> :</w:t>
      </w:r>
    </w:p>
    <w:p w14:paraId="52407F2B" w14:textId="590F00B1" w:rsidR="00AE2373" w:rsidRPr="00000DCC" w:rsidRDefault="00AE2373" w:rsidP="00AE2373">
      <w:pPr>
        <w:pStyle w:val="Citation-AltC"/>
        <w:tabs>
          <w:tab w:val="left" w:pos="1560"/>
        </w:tabs>
        <w:contextualSpacing w:val="0"/>
        <w:rPr>
          <w:noProof/>
          <w:lang w:val="fr-CA"/>
        </w:rPr>
      </w:pPr>
      <w:r w:rsidRPr="00000DCC">
        <w:rPr>
          <w:noProof/>
          <w:lang w:val="fr-CA"/>
        </w:rPr>
        <w:tab/>
        <w:t xml:space="preserve">L’arrêt </w:t>
      </w:r>
      <w:r w:rsidRPr="00000DCC">
        <w:rPr>
          <w:i/>
          <w:iCs/>
          <w:noProof/>
          <w:lang w:val="fr-CA"/>
        </w:rPr>
        <w:t>Newfoundland Nurses</w:t>
      </w:r>
      <w:r w:rsidRPr="00000DCC">
        <w:rPr>
          <w:noProof/>
          <w:lang w:val="fr-CA"/>
        </w:rPr>
        <w:t xml:space="preserve"> ne donne pas à la [cour] toute la latitude voulue pour fournir des motifs qui n’ont pas été donnés, ni ne l’autorise à deviner quelles conclusions auraient pu être tirées ou à émettre des hypothèses sur ce que le tribunal a pu penser. C’est particulièrement le cas quand les motifs passent sous silence une question essentielle. Il est ironique que l’arrêt </w:t>
      </w:r>
      <w:r w:rsidRPr="00000DCC">
        <w:rPr>
          <w:i/>
          <w:iCs/>
          <w:noProof/>
          <w:lang w:val="fr-CA"/>
        </w:rPr>
        <w:t>Newfoundland Nurses</w:t>
      </w:r>
      <w:r w:rsidRPr="00000DCC">
        <w:rPr>
          <w:noProof/>
          <w:lang w:val="fr-CA"/>
        </w:rPr>
        <w:t xml:space="preserve">, une affaire qui concerne essentiellement la déférence et la norme de contrôle, soit invoqué comme le précédent qui commanderait [à la cour] ayant le pouvoir de surveillance de faire le travail omis par le décideur, de fournir les motifs qui auraient pu être donnés et de formuler les conclusions de fait qui n’ont pas été tirées. C’est appliquer la jurisprudence à l’envers. L’arrêt </w:t>
      </w:r>
      <w:r w:rsidRPr="00000DCC">
        <w:rPr>
          <w:i/>
          <w:iCs/>
          <w:noProof/>
          <w:lang w:val="fr-CA"/>
        </w:rPr>
        <w:t xml:space="preserve">Newfoundland Nurses </w:t>
      </w:r>
      <w:r w:rsidRPr="00000DCC">
        <w:rPr>
          <w:noProof/>
          <w:lang w:val="fr-CA"/>
        </w:rPr>
        <w:t>permet aux cours de [révision] de relier les points sur la page quand les lignes, et la direction qu’elles prennent, peuvent être facilement discernées.</w:t>
      </w:r>
      <w:r w:rsidR="006D2BF0">
        <w:rPr>
          <w:noProof/>
          <w:lang w:val="fr-CA"/>
        </w:rPr>
        <w:t> </w:t>
      </w:r>
    </w:p>
    <w:p w14:paraId="0F5B6BFE" w14:textId="5F6A1B12"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En ce qui concerne l’arrêt </w:t>
      </w:r>
      <w:r w:rsidRPr="00000DCC">
        <w:rPr>
          <w:rFonts w:cs="Times New Roman"/>
          <w:i/>
          <w:noProof/>
          <w:lang w:val="fr-CA"/>
        </w:rPr>
        <w:t>Alberta Teachers</w:t>
      </w:r>
      <w:r w:rsidRPr="00000DCC">
        <w:rPr>
          <w:rFonts w:cs="Times New Roman"/>
          <w:noProof/>
          <w:lang w:val="fr-CA"/>
        </w:rPr>
        <w:t xml:space="preserve">, </w:t>
      </w:r>
      <w:r w:rsidR="00887AC7">
        <w:rPr>
          <w:rFonts w:cs="Times New Roman"/>
          <w:noProof/>
          <w:lang w:val="fr-CA"/>
        </w:rPr>
        <w:t>il</w:t>
      </w:r>
      <w:r w:rsidRPr="00000DCC">
        <w:rPr>
          <w:rFonts w:cs="Times New Roman"/>
          <w:noProof/>
          <w:lang w:val="fr-CA"/>
        </w:rPr>
        <w:t xml:space="preserve"> concernait un contrôle judiciaire exercé dans des circonstances très précises et exceptionnelles : la question d’interprétation législative en litige n’avait jamais été soumise au décideur administratif et, en conséquence, ce dernier n’avait communiqué aucuns motifs à cet égard : par. 22</w:t>
      </w:r>
      <w:r w:rsidRPr="00000DCC">
        <w:rPr>
          <w:rFonts w:cs="Times New Roman"/>
          <w:noProof/>
          <w:lang w:val="fr-CA"/>
        </w:rPr>
        <w:noBreakHyphen/>
        <w:t xml:space="preserve">26. De plus, il avait été convenu que la décideuse — la déléguée du commissaire à l’information et à la protection de la vie privée — avait appliqué une interprétation bien établie de la disposition législative pertinente, et que si on lui avait demandé de motiver son interprétation, elle aurait souscrit aux motifs fournis par le commissaire dans des décisions antérieures. En d’autres termes, les motifs du commissaire invoqués par notre Cour pour conclure que la décision sous examen était raisonnable n’étaient pas simplement les motifs qui auraient </w:t>
      </w:r>
      <w:r w:rsidRPr="00000DCC">
        <w:rPr>
          <w:rFonts w:cs="Times New Roman"/>
          <w:i/>
          <w:noProof/>
          <w:lang w:val="fr-CA"/>
        </w:rPr>
        <w:t>pu</w:t>
      </w:r>
      <w:r w:rsidRPr="00000DCC">
        <w:rPr>
          <w:rFonts w:cs="Times New Roman"/>
          <w:noProof/>
          <w:lang w:val="fr-CA"/>
        </w:rPr>
        <w:t xml:space="preserve"> être fournis, dans l’abstrait, mais ceux qui </w:t>
      </w:r>
      <w:r w:rsidRPr="00000DCC">
        <w:rPr>
          <w:rFonts w:cs="Times New Roman"/>
          <w:i/>
          <w:noProof/>
          <w:lang w:val="fr-CA"/>
        </w:rPr>
        <w:t>auraient</w:t>
      </w:r>
      <w:r w:rsidRPr="00000DCC">
        <w:rPr>
          <w:rFonts w:cs="Times New Roman"/>
          <w:noProof/>
          <w:lang w:val="fr-CA"/>
        </w:rPr>
        <w:t xml:space="preserve"> été fournis si la question avait été soulevée devant la </w:t>
      </w:r>
      <w:r w:rsidRPr="00000DCC">
        <w:rPr>
          <w:rFonts w:cs="Times New Roman"/>
          <w:noProof/>
          <w:lang w:val="fr-CA"/>
        </w:rPr>
        <w:lastRenderedPageBreak/>
        <w:t xml:space="preserve">décideuse. Loin de suggérer dans l’arrêt </w:t>
      </w:r>
      <w:r w:rsidRPr="00000DCC">
        <w:rPr>
          <w:rFonts w:cs="Times New Roman"/>
          <w:i/>
          <w:noProof/>
          <w:lang w:val="fr-CA"/>
        </w:rPr>
        <w:t>Alberta Teachers</w:t>
      </w:r>
      <w:r w:rsidRPr="00000DCC">
        <w:rPr>
          <w:rFonts w:cs="Times New Roman"/>
          <w:noProof/>
          <w:lang w:val="fr-CA"/>
        </w:rPr>
        <w:t xml:space="preserve"> que le contrôle selon la norme de la décision raisonnable porte principalement sur le résultat plutôt que sur la justification, notre Cour a rejeté </w:t>
      </w:r>
      <w:r w:rsidRPr="00000DCC">
        <w:rPr>
          <w:rFonts w:cs="Times New Roman"/>
          <w:noProof/>
          <w:lang w:val="fr-CA" w:bidi="en-US"/>
        </w:rPr>
        <w:t xml:space="preserve">la position selon laquelle la cour de révision a le pouvoir de « reformuler la décision en substituant à l’analyse qu’elle juge déraisonnable sa propre justification du résultat » : par. 54, citant </w:t>
      </w:r>
      <w:r w:rsidRPr="00000DCC">
        <w:rPr>
          <w:rFonts w:cs="Times New Roman"/>
          <w:i/>
          <w:iCs/>
          <w:noProof/>
          <w:lang w:val="fr-CA" w:bidi="en-US"/>
        </w:rPr>
        <w:t>Petro</w:t>
      </w:r>
      <w:r w:rsidRPr="00000DCC">
        <w:rPr>
          <w:rFonts w:cs="Times New Roman"/>
          <w:i/>
          <w:iCs/>
          <w:noProof/>
          <w:lang w:val="fr-CA" w:bidi="en-US"/>
        </w:rPr>
        <w:noBreakHyphen/>
        <w:t xml:space="preserve">Canada c. </w:t>
      </w:r>
      <w:r w:rsidR="00333BF9">
        <w:rPr>
          <w:rFonts w:cs="Times New Roman"/>
          <w:i/>
          <w:iCs/>
          <w:noProof/>
          <w:lang w:val="fr-CA" w:bidi="en-US"/>
        </w:rPr>
        <w:t>British Columbia</w:t>
      </w:r>
      <w:r w:rsidRPr="00000DCC">
        <w:rPr>
          <w:rFonts w:cs="Times New Roman"/>
          <w:i/>
          <w:iCs/>
          <w:noProof/>
          <w:lang w:val="fr-CA" w:bidi="en-US"/>
        </w:rPr>
        <w:t xml:space="preserve"> (Workers’ Compensation Board)</w:t>
      </w:r>
      <w:r w:rsidRPr="00000DCC">
        <w:rPr>
          <w:rFonts w:cs="Times New Roman"/>
          <w:noProof/>
          <w:lang w:val="fr-CA" w:bidi="en-US"/>
        </w:rPr>
        <w:t>, 2009 BCCA 396, 276 B.C.A.C. 135, par. 53 et 56. Dans</w:t>
      </w:r>
      <w:r>
        <w:rPr>
          <w:rFonts w:cs="Times New Roman"/>
          <w:noProof/>
          <w:lang w:val="fr-CA" w:bidi="en-US"/>
        </w:rPr>
        <w:t xml:space="preserve"> l’</w:t>
      </w:r>
      <w:r w:rsidRPr="00000DCC">
        <w:rPr>
          <w:rFonts w:cs="Times New Roman"/>
          <w:noProof/>
          <w:lang w:val="fr-CA" w:bidi="en-US"/>
        </w:rPr>
        <w:t xml:space="preserve">arrêt </w:t>
      </w:r>
      <w:r w:rsidRPr="00000DCC">
        <w:rPr>
          <w:rFonts w:cs="Times New Roman"/>
          <w:i/>
          <w:noProof/>
          <w:lang w:val="fr-CA" w:bidi="en-US"/>
        </w:rPr>
        <w:t>Alberta Teachers</w:t>
      </w:r>
      <w:r w:rsidRPr="00000DCC">
        <w:rPr>
          <w:rFonts w:cs="Times New Roman"/>
          <w:noProof/>
          <w:lang w:val="fr-CA" w:bidi="en-US"/>
        </w:rPr>
        <w:t>, n</w:t>
      </w:r>
      <w:r w:rsidRPr="00000DCC">
        <w:rPr>
          <w:rFonts w:cs="Times New Roman"/>
          <w:noProof/>
          <w:lang w:val="fr-CA"/>
        </w:rPr>
        <w:t>otre Cour a aussi confirmé l’importance de motiver adéquatement une décision et rappelé que « la déférence inhérente à la norme de la raisonnabilité se manifeste optimalement lorsqu’une décision administrative est justifiée de façon intelligible et transparente et que la juridiction de révision contrôle la décision à partir des motifs qui l’étayent » : par. 54. Lorsque le décideur omet de justifier, dans les motifs, un élément essentiel de sa décision, et que cette justification ne saurait être déduite du dossier de l’instance, la décision ne satisfait pas, en règle générale, à la norme de justification, de transparence et d’intelligibilité.</w:t>
      </w:r>
    </w:p>
    <w:p w14:paraId="414A9ACF" w14:textId="77777777" w:rsidR="00AE2373" w:rsidRPr="00000DCC" w:rsidRDefault="00AE2373" w:rsidP="00AE2373">
      <w:pPr>
        <w:pStyle w:val="Title2LevelTitre2Niveau"/>
        <w:numPr>
          <w:ilvl w:val="1"/>
          <w:numId w:val="8"/>
        </w:numPr>
        <w:tabs>
          <w:tab w:val="left" w:pos="1560"/>
        </w:tabs>
        <w:spacing w:before="0"/>
        <w:rPr>
          <w:rFonts w:cs="Times New Roman"/>
          <w:noProof/>
          <w:lang w:val="fr-CA"/>
        </w:rPr>
      </w:pPr>
      <w:r w:rsidRPr="00000DCC">
        <w:rPr>
          <w:rFonts w:cs="Times New Roman"/>
          <w:noProof/>
          <w:lang w:val="fr-CA"/>
        </w:rPr>
        <w:t>Une décision raisonnable est à la fois fondée sur un raisonnement intrinsèquement cohérent et justifiée à la lumière des contraintes juridiques et factuelles qui ont une incidence sur la décision</w:t>
      </w:r>
    </w:p>
    <w:p w14:paraId="6621BF21" w14:textId="0A744A4E"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La cour de révision doit s’assurer de bien comprendre le raisonnement suivi par le décideur afin de déterminer si la décision dans son ensemble est raisonnable. Elle doit donc se demander si la décision possède les caractéristiques d’une décision raisonnable, soit la justification, la transparence et l’intelligibilité, et si la décision est justifiée au regard des contraintes factuelles et juridiques pertinentes qui ont une incidence sur celle</w:t>
      </w:r>
      <w:r w:rsidRPr="00000DCC">
        <w:rPr>
          <w:rFonts w:cs="Times New Roman"/>
          <w:noProof/>
          <w:lang w:val="fr-CA"/>
        </w:rPr>
        <w:noBreakHyphen/>
        <w:t>ci</w:t>
      </w:r>
      <w:r w:rsidR="00485FF8">
        <w:rPr>
          <w:rFonts w:cs="Times New Roman"/>
          <w:noProof/>
          <w:lang w:val="fr-CA"/>
        </w:rPr>
        <w:t> </w:t>
      </w:r>
      <w:r w:rsidRPr="00000DCC">
        <w:rPr>
          <w:rFonts w:cs="Times New Roman"/>
          <w:noProof/>
          <w:lang w:val="fr-CA"/>
        </w:rPr>
        <w:t xml:space="preserve">: </w:t>
      </w:r>
      <w:r w:rsidRPr="00000DCC">
        <w:rPr>
          <w:rFonts w:cs="Times New Roman"/>
          <w:i/>
          <w:noProof/>
          <w:lang w:val="fr-CA"/>
        </w:rPr>
        <w:t>Dunsmuir</w:t>
      </w:r>
      <w:r w:rsidRPr="00000DCC">
        <w:rPr>
          <w:rFonts w:cs="Times New Roman"/>
          <w:noProof/>
          <w:lang w:val="fr-CA"/>
        </w:rPr>
        <w:t>, par. 47 et 74;</w:t>
      </w:r>
      <w:r w:rsidRPr="00000DCC">
        <w:rPr>
          <w:rFonts w:cs="Times New Roman"/>
          <w:i/>
          <w:noProof/>
          <w:lang w:val="fr-CA"/>
        </w:rPr>
        <w:t xml:space="preserve"> Catalyst</w:t>
      </w:r>
      <w:r w:rsidRPr="00000DCC">
        <w:rPr>
          <w:rFonts w:cs="Times New Roman"/>
          <w:noProof/>
          <w:lang w:val="fr-CA"/>
        </w:rPr>
        <w:t>, par. 13.</w:t>
      </w:r>
    </w:p>
    <w:p w14:paraId="37AE3D37" w14:textId="77777777" w:rsidR="00AE2373" w:rsidRPr="00000DCC" w:rsidRDefault="00AE2373" w:rsidP="00AE2373">
      <w:pPr>
        <w:pStyle w:val="ParaNoNdepar-AltN"/>
        <w:tabs>
          <w:tab w:val="clear" w:pos="1166"/>
          <w:tab w:val="clear" w:pos="1422"/>
          <w:tab w:val="left" w:pos="1170"/>
        </w:tabs>
        <w:spacing w:before="0"/>
        <w:rPr>
          <w:rFonts w:cs="Times New Roman"/>
          <w:noProof/>
          <w:lang w:val="fr-CA"/>
        </w:rPr>
      </w:pPr>
      <w:r w:rsidRPr="00000DCC">
        <w:rPr>
          <w:rFonts w:cs="Times New Roman"/>
          <w:noProof/>
          <w:lang w:val="fr-CA"/>
        </w:rPr>
        <w:lastRenderedPageBreak/>
        <w:t>Il incombe à la partie qui conteste la décision d’en démontrer le caractère déraisonnable. Avant de pouvoir infirmer la décision pour ce motif, la cour de révision doit être convaincue qu’elle souffre de lacunes graves à un point tel qu’on ne peut pas dire qu’elle satisfait aux exigences de justification, d’intelligibilité et de transparence. Les lacunes ou insuffisances reprochées ne doivent pas être simplement superficielles ou accessoires par rapport au fond de la décision. Il ne conviendrait pas que la cour de révision infirme une décision administrative pour la simple raison que son raisonnement est entaché d’une erreur mineure. La cour de justice doit plutôt être convaincue que la lacune ou la déficience qu’invoque la partie contestant la décision est suffisamment capitale ou importante pour rendre cette dernière</w:t>
      </w:r>
      <w:r w:rsidRPr="00000DCC">
        <w:rPr>
          <w:rFonts w:cs="Times New Roman"/>
          <w:noProof/>
          <w:lang w:val="fr-CA" w:bidi="en-US"/>
        </w:rPr>
        <w:t xml:space="preserve"> déraisonnable.</w:t>
      </w:r>
    </w:p>
    <w:p w14:paraId="326F33DC" w14:textId="77777777" w:rsidR="00AE2373" w:rsidRPr="00000DCC" w:rsidRDefault="00AE2373" w:rsidP="00AE2373">
      <w:pPr>
        <w:pStyle w:val="ParaNoNdepar-AltN"/>
        <w:tabs>
          <w:tab w:val="clear" w:pos="1166"/>
          <w:tab w:val="clear" w:pos="1422"/>
          <w:tab w:val="left" w:pos="1170"/>
        </w:tabs>
        <w:spacing w:before="0"/>
        <w:rPr>
          <w:rFonts w:cs="Times New Roman"/>
          <w:noProof/>
          <w:lang w:val="fr-CA"/>
        </w:rPr>
      </w:pPr>
      <w:r w:rsidRPr="00000DCC">
        <w:rPr>
          <w:rFonts w:cs="Times New Roman"/>
          <w:noProof/>
          <w:lang w:val="fr-CA"/>
        </w:rPr>
        <w:t>Qu’est</w:t>
      </w:r>
      <w:r w:rsidRPr="00000DCC">
        <w:rPr>
          <w:rFonts w:cs="Times New Roman"/>
          <w:noProof/>
          <w:lang w:val="fr-CA"/>
        </w:rPr>
        <w:noBreakHyphen/>
        <w:t>ce qui rend une décision déraisonnable? Il nous semble utile ici, d’un point de vue conceptuel, de nous arrêter à deux catégories de lacunes fondamentales. La première est le manque de logique interne du raisonnement. La seconde se présente dans le cas d’une décision indéfendable sous certains rapports compte tenu des contraintes factuelles et juridiques pertinentes qui ont une incidence sur la décision. Il n’est toutefois pas nécessaire que les cours de révision déterminent si les problèmes qui rendent la décision déraisonnable appartiennent à l’une ou à l’autre catégorie. Ces désignations offrent plutôt un moyen pratique d’analyser les types de questions qui peuvent révéler qu’une décision est déraisonnable.</w:t>
      </w:r>
    </w:p>
    <w:p w14:paraId="6F254055" w14:textId="77777777" w:rsidR="00AE2373" w:rsidRPr="00000DCC" w:rsidRDefault="00AE2373" w:rsidP="000759A0">
      <w:pPr>
        <w:pStyle w:val="Title3LevelTitre3Niveau"/>
        <w:numPr>
          <w:ilvl w:val="2"/>
          <w:numId w:val="8"/>
        </w:numPr>
        <w:tabs>
          <w:tab w:val="left" w:pos="1560"/>
        </w:tabs>
        <w:spacing w:before="0"/>
        <w:rPr>
          <w:rFonts w:cs="Times New Roman"/>
          <w:noProof/>
          <w:lang w:val="fr-CA"/>
        </w:rPr>
      </w:pPr>
      <w:r w:rsidRPr="00000DCC">
        <w:rPr>
          <w:rFonts w:cs="Times New Roman"/>
          <w:noProof/>
          <w:lang w:val="fr-CA"/>
        </w:rPr>
        <w:t>Une décision raisonnable est fondée sur un raisonnement intrinsèquement cohérent</w:t>
      </w:r>
    </w:p>
    <w:p w14:paraId="0321ECAD" w14:textId="336C955C"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Pour être raisonnable, une décision doit être fondée sur un raisonnement à la fois rationnel et logique. Il s’ensuit qu’un manquement à cet égard peut amener la </w:t>
      </w:r>
      <w:r w:rsidRPr="00000DCC">
        <w:rPr>
          <w:rFonts w:cs="Times New Roman"/>
          <w:noProof/>
          <w:lang w:val="fr-CA"/>
        </w:rPr>
        <w:lastRenderedPageBreak/>
        <w:t xml:space="preserve">cour de révision à conclure qu’il y a lieu d’infirmer la décision. Certes, le contrôle selon la norme de la décision raisonnable n’est pas « une chasse au trésor, phrase par phrase, à la recherche d’une erreur » : </w:t>
      </w:r>
      <w:r w:rsidRPr="00000DCC">
        <w:rPr>
          <w:rFonts w:cs="Times New Roman"/>
          <w:i/>
          <w:noProof/>
          <w:lang w:val="fr-CA"/>
        </w:rPr>
        <w:t>Pâtes &amp; Papier Irving</w:t>
      </w:r>
      <w:r w:rsidRPr="00000DCC">
        <w:rPr>
          <w:rFonts w:cs="Times New Roman"/>
          <w:noProof/>
          <w:lang w:val="fr-CA"/>
        </w:rPr>
        <w:t xml:space="preserve">, par. 54, citant </w:t>
      </w:r>
      <w:r w:rsidRPr="00000DCC">
        <w:rPr>
          <w:rFonts w:cs="Times New Roman"/>
          <w:i/>
          <w:noProof/>
          <w:lang w:val="fr-CA"/>
        </w:rPr>
        <w:t>Newfoundland Nurses</w:t>
      </w:r>
      <w:r w:rsidRPr="00000DCC">
        <w:rPr>
          <w:rFonts w:cs="Times New Roman"/>
          <w:noProof/>
          <w:lang w:val="fr-CA"/>
        </w:rPr>
        <w:t>, par. 14. Cependant, la cour de révision doit être en mesure de suivre le raisonnement du décideur sans buter sur une faille décisive dans la logique globale; elle doit être convaincue qu’«</w:t>
      </w:r>
      <w:r w:rsidR="003928EE">
        <w:rPr>
          <w:rFonts w:cs="Times New Roman"/>
          <w:noProof/>
          <w:lang w:val="fr-CA"/>
        </w:rPr>
        <w:t> </w:t>
      </w:r>
      <w:r w:rsidRPr="00000DCC">
        <w:rPr>
          <w:rFonts w:cs="Times New Roman"/>
          <w:noProof/>
          <w:lang w:val="fr-CA"/>
        </w:rPr>
        <w:t xml:space="preserve">[un] mode d’analyse, dans les motifs avancés, [. . .] pouvait raisonnablement amener le tribunal, au vu de la preuve, à conclure comme il l’a fait » : </w:t>
      </w:r>
      <w:r w:rsidRPr="00000DCC">
        <w:rPr>
          <w:rFonts w:cs="Times New Roman"/>
          <w:i/>
          <w:noProof/>
          <w:lang w:val="fr-CA"/>
        </w:rPr>
        <w:t>Ryan</w:t>
      </w:r>
      <w:r w:rsidRPr="00000DCC">
        <w:rPr>
          <w:rFonts w:cs="Times New Roman"/>
          <w:noProof/>
          <w:lang w:val="fr-CA"/>
        </w:rPr>
        <w:t xml:space="preserve">, par. 55; </w:t>
      </w:r>
      <w:r w:rsidRPr="00000DCC">
        <w:rPr>
          <w:rFonts w:cs="Times New Roman"/>
          <w:i/>
          <w:noProof/>
          <w:lang w:val="fr-CA"/>
        </w:rPr>
        <w:t>Southam</w:t>
      </w:r>
      <w:r w:rsidRPr="00000DCC">
        <w:rPr>
          <w:rFonts w:cs="Times New Roman"/>
          <w:noProof/>
          <w:lang w:val="fr-CA"/>
        </w:rPr>
        <w:t xml:space="preserve">, par. 56. Les motifs qui </w:t>
      </w:r>
      <w:r w:rsidR="005B354E" w:rsidRPr="00000DCC">
        <w:rPr>
          <w:rFonts w:cs="Times New Roman"/>
          <w:noProof/>
          <w:lang w:val="fr-CA"/>
        </w:rPr>
        <w:t>[</w:t>
      </w:r>
      <w:r w:rsidR="005B354E" w:rsidRPr="00000DCC">
        <w:rPr>
          <w:rFonts w:cs="Times New Roman"/>
          <w:smallCaps/>
          <w:noProof/>
          <w:lang w:val="fr-CA"/>
        </w:rPr>
        <w:t>traduction</w:t>
      </w:r>
      <w:r w:rsidR="005B354E" w:rsidRPr="00000DCC">
        <w:rPr>
          <w:rFonts w:cs="Times New Roman"/>
          <w:noProof/>
          <w:lang w:val="fr-CA"/>
        </w:rPr>
        <w:t xml:space="preserve">] </w:t>
      </w:r>
      <w:r w:rsidRPr="00000DCC">
        <w:rPr>
          <w:rFonts w:cs="Times New Roman"/>
          <w:noProof/>
          <w:lang w:val="fr-CA"/>
        </w:rPr>
        <w:t>« ne font que reprendre le libellé de la loi, r</w:t>
      </w:r>
      <w:r w:rsidR="005B354E">
        <w:rPr>
          <w:rFonts w:cs="Times New Roman"/>
          <w:noProof/>
          <w:lang w:val="fr-CA"/>
        </w:rPr>
        <w:t xml:space="preserve">ésumer les arguments avancés et </w:t>
      </w:r>
      <w:r w:rsidRPr="00000DCC">
        <w:rPr>
          <w:rFonts w:cs="Times New Roman"/>
          <w:noProof/>
          <w:lang w:val="fr-CA"/>
        </w:rPr>
        <w:t xml:space="preserve">formuler ensuite une conclusion péremptoire » permettent rarement à la cour de révision de comprendre le raisonnement qui justifie une décision, et « ne sauraient tenir lieu d’exposé de faits, d’analyse, d’inférences ou de jugement » : R. A. Macdonald et D. Lametti, « Reasons for Decision in Administrative Law » (1990), 3 </w:t>
      </w:r>
      <w:r w:rsidRPr="00000DCC">
        <w:rPr>
          <w:rFonts w:cs="Times New Roman"/>
          <w:i/>
          <w:noProof/>
          <w:lang w:val="fr-CA"/>
        </w:rPr>
        <w:t>R.C.D.A.P.</w:t>
      </w:r>
      <w:r w:rsidRPr="00000DCC">
        <w:rPr>
          <w:rFonts w:cs="Times New Roman"/>
          <w:noProof/>
          <w:lang w:val="fr-CA"/>
        </w:rPr>
        <w:t xml:space="preserve"> 123, p. 139; voir également </w:t>
      </w:r>
      <w:r w:rsidRPr="00000DCC">
        <w:rPr>
          <w:rFonts w:cs="Times New Roman"/>
          <w:bCs/>
          <w:i/>
          <w:noProof/>
          <w:lang w:val="fr-CA"/>
        </w:rPr>
        <w:t>Gonzalez c. Canada (Ministre de la Citoyenneté et de l’Immigration)</w:t>
      </w:r>
      <w:r w:rsidRPr="00000DCC">
        <w:rPr>
          <w:rFonts w:cs="Times New Roman"/>
          <w:bCs/>
          <w:noProof/>
          <w:lang w:val="fr-CA"/>
        </w:rPr>
        <w:t xml:space="preserve">, </w:t>
      </w:r>
      <w:r w:rsidRPr="00000DCC">
        <w:rPr>
          <w:rFonts w:cs="Times New Roman"/>
          <w:noProof/>
          <w:lang w:val="fr-CA"/>
        </w:rPr>
        <w:t>2014 CF 750, par. 57-59</w:t>
      </w:r>
      <w:r w:rsidR="000D067E">
        <w:rPr>
          <w:rFonts w:cs="Times New Roman"/>
          <w:noProof/>
          <w:lang w:val="fr-CA"/>
        </w:rPr>
        <w:t xml:space="preserve"> (CanLII)</w:t>
      </w:r>
      <w:r w:rsidRPr="00000DCC">
        <w:rPr>
          <w:rFonts w:cs="Times New Roman"/>
          <w:noProof/>
          <w:lang w:val="fr-CA"/>
        </w:rPr>
        <w:t>.</w:t>
      </w:r>
    </w:p>
    <w:p w14:paraId="47815C9F" w14:textId="6DE103D9" w:rsidR="00AE2373" w:rsidRPr="00000DCC" w:rsidRDefault="00AE2373" w:rsidP="00AE2373">
      <w:pPr>
        <w:pStyle w:val="ParaNoNdepar-AltN"/>
        <w:tabs>
          <w:tab w:val="clear" w:pos="1166"/>
          <w:tab w:val="clear" w:pos="1422"/>
          <w:tab w:val="left" w:pos="1170"/>
        </w:tabs>
        <w:spacing w:before="0"/>
        <w:rPr>
          <w:rFonts w:cs="Times New Roman"/>
          <w:noProof/>
          <w:lang w:val="fr-CA"/>
        </w:rPr>
      </w:pPr>
      <w:r w:rsidRPr="00000DCC">
        <w:rPr>
          <w:rFonts w:cs="Times New Roman"/>
          <w:noProof/>
          <w:lang w:val="fr-CA" w:bidi="en-US"/>
        </w:rPr>
        <w:t>Bien que, comme nous l’avons déjà mentionné aux par. 89 à 96, il faille interpréter des motifs écrits eu égard au dossier et en tenant dûment compte du régime administratif dans lequel ils sont donnés, une décision sera déraisonnable lorsque, lus dans leur ensemble, les motifs ne font pas état d’une analyse rationnelle ou montrent que la décision est fondée sur une analyse ir</w:t>
      </w:r>
      <w:r w:rsidR="00005042">
        <w:rPr>
          <w:rFonts w:cs="Times New Roman"/>
          <w:noProof/>
          <w:lang w:val="fr-CA" w:bidi="en-US"/>
        </w:rPr>
        <w:t>r</w:t>
      </w:r>
      <w:r w:rsidRPr="00000DCC">
        <w:rPr>
          <w:rFonts w:cs="Times New Roman"/>
          <w:noProof/>
          <w:lang w:val="fr-CA" w:bidi="en-US"/>
        </w:rPr>
        <w:t>ationnelle</w:t>
      </w:r>
      <w:r w:rsidR="0033756A">
        <w:rPr>
          <w:rFonts w:cs="Times New Roman"/>
          <w:noProof/>
          <w:lang w:val="fr-CA" w:bidi="en-US"/>
        </w:rPr>
        <w:t> </w:t>
      </w:r>
      <w:r w:rsidRPr="00000DCC">
        <w:rPr>
          <w:rFonts w:cs="Times New Roman"/>
          <w:noProof/>
          <w:lang w:val="fr-CA" w:bidi="en-US"/>
        </w:rPr>
        <w:t xml:space="preserve">: voir </w:t>
      </w:r>
      <w:r w:rsidRPr="00000DCC">
        <w:rPr>
          <w:rFonts w:cs="Times New Roman"/>
          <w:i/>
          <w:iCs/>
          <w:noProof/>
          <w:lang w:val="fr-CA"/>
        </w:rPr>
        <w:t>Wright c. Nova Scotia (Human Rights Commission)</w:t>
      </w:r>
      <w:r w:rsidRPr="00000DCC">
        <w:rPr>
          <w:rFonts w:cs="Times New Roman"/>
          <w:iCs/>
          <w:noProof/>
          <w:lang w:val="fr-CA"/>
        </w:rPr>
        <w:t xml:space="preserve">, </w:t>
      </w:r>
      <w:r w:rsidRPr="00000DCC">
        <w:rPr>
          <w:rFonts w:cs="Times New Roman"/>
          <w:noProof/>
          <w:lang w:val="fr-CA"/>
        </w:rPr>
        <w:t xml:space="preserve">2017 NSSC 11, </w:t>
      </w:r>
      <w:r w:rsidRPr="00000DCC">
        <w:rPr>
          <w:rFonts w:cs="Times New Roman"/>
          <w:noProof/>
          <w:lang w:val="fr-CA" w:bidi="en-US"/>
        </w:rPr>
        <w:t xml:space="preserve">23 Admin. L.R. (6th) 110; </w:t>
      </w:r>
      <w:r w:rsidRPr="00000DCC">
        <w:rPr>
          <w:rFonts w:cs="Times New Roman"/>
          <w:i/>
          <w:noProof/>
          <w:lang w:val="fr-CA" w:bidi="en-US"/>
        </w:rPr>
        <w:t>Southam</w:t>
      </w:r>
      <w:r w:rsidRPr="00000DCC">
        <w:rPr>
          <w:rFonts w:cs="Times New Roman"/>
          <w:noProof/>
          <w:lang w:val="fr-CA" w:bidi="en-US"/>
        </w:rPr>
        <w:t xml:space="preserve">, par. 56. Une décision sera également déraisonnable si la conclusion tirée ne peut prendre sa source dans l’analyse effectuée (voir </w:t>
      </w:r>
      <w:r w:rsidRPr="00000DCC">
        <w:rPr>
          <w:rFonts w:cs="Times New Roman"/>
          <w:i/>
          <w:noProof/>
          <w:lang w:val="fr-CA" w:bidi="en-US"/>
        </w:rPr>
        <w:t>Sangmo c. Canada (</w:t>
      </w:r>
      <w:r w:rsidR="0006379D">
        <w:rPr>
          <w:rFonts w:cs="Times New Roman"/>
          <w:i/>
          <w:noProof/>
          <w:lang w:val="fr-CA" w:bidi="en-US"/>
        </w:rPr>
        <w:t xml:space="preserve">Ministre de la </w:t>
      </w:r>
      <w:r w:rsidRPr="00000DCC">
        <w:rPr>
          <w:rFonts w:cs="Times New Roman"/>
          <w:i/>
          <w:noProof/>
          <w:lang w:val="fr-CA" w:bidi="en-US"/>
        </w:rPr>
        <w:t xml:space="preserve">Citoyenneté et </w:t>
      </w:r>
      <w:r w:rsidR="0006379D">
        <w:rPr>
          <w:rFonts w:cs="Times New Roman"/>
          <w:i/>
          <w:noProof/>
          <w:lang w:val="fr-CA" w:bidi="en-US"/>
        </w:rPr>
        <w:t>de l’</w:t>
      </w:r>
      <w:r w:rsidRPr="00000DCC">
        <w:rPr>
          <w:rFonts w:cs="Times New Roman"/>
          <w:i/>
          <w:noProof/>
          <w:lang w:val="fr-CA" w:bidi="en-US"/>
        </w:rPr>
        <w:t>Immigration)</w:t>
      </w:r>
      <w:r w:rsidRPr="00000DCC">
        <w:rPr>
          <w:rFonts w:cs="Times New Roman"/>
          <w:noProof/>
          <w:lang w:val="fr-CA" w:bidi="en-US"/>
        </w:rPr>
        <w:t xml:space="preserve">, 2016 CF 17, par. 21 (CanLII)), ou qu’il est </w:t>
      </w:r>
      <w:r w:rsidRPr="00000DCC">
        <w:rPr>
          <w:rFonts w:cs="Times New Roman"/>
          <w:noProof/>
          <w:lang w:val="fr-CA" w:bidi="en-US"/>
        </w:rPr>
        <w:lastRenderedPageBreak/>
        <w:t xml:space="preserve">impossible de comprendre, lorsqu’on lit les motifs en corrélation avec le dossier, le raisonnement du décideur sur un point central (voir </w:t>
      </w:r>
      <w:r w:rsidRPr="00000DCC">
        <w:rPr>
          <w:rFonts w:cs="Times New Roman"/>
          <w:i/>
          <w:iCs/>
          <w:noProof/>
          <w:lang w:val="fr-CA"/>
        </w:rPr>
        <w:t>Blas c. Canada (</w:t>
      </w:r>
      <w:r w:rsidR="0006379D">
        <w:rPr>
          <w:rFonts w:cs="Times New Roman"/>
          <w:i/>
          <w:iCs/>
          <w:noProof/>
          <w:lang w:val="fr-CA"/>
        </w:rPr>
        <w:t xml:space="preserve">Ministre de la </w:t>
      </w:r>
      <w:r w:rsidRPr="00000DCC">
        <w:rPr>
          <w:rFonts w:cs="Times New Roman"/>
          <w:i/>
          <w:iCs/>
          <w:noProof/>
          <w:lang w:val="fr-CA"/>
        </w:rPr>
        <w:t xml:space="preserve">Citoyenneté et </w:t>
      </w:r>
      <w:r w:rsidR="0006379D">
        <w:rPr>
          <w:rFonts w:cs="Times New Roman"/>
          <w:i/>
          <w:iCs/>
          <w:noProof/>
          <w:lang w:val="fr-CA"/>
        </w:rPr>
        <w:t>de l’</w:t>
      </w:r>
      <w:r w:rsidRPr="00000DCC">
        <w:rPr>
          <w:rFonts w:cs="Times New Roman"/>
          <w:i/>
          <w:iCs/>
          <w:noProof/>
          <w:lang w:val="fr-CA"/>
        </w:rPr>
        <w:t>Immigration)</w:t>
      </w:r>
      <w:r w:rsidRPr="00000DCC">
        <w:rPr>
          <w:rFonts w:cs="Times New Roman"/>
          <w:noProof/>
          <w:lang w:val="fr-CA"/>
        </w:rPr>
        <w:t xml:space="preserve">, 2014 CF 629, </w:t>
      </w:r>
      <w:r w:rsidRPr="00000DCC">
        <w:rPr>
          <w:rFonts w:cs="Times New Roman"/>
          <w:noProof/>
          <w:lang w:val="fr-CA" w:bidi="en-US"/>
        </w:rPr>
        <w:t>par. 54</w:t>
      </w:r>
      <w:r w:rsidRPr="00000DCC">
        <w:rPr>
          <w:rFonts w:cs="Times New Roman"/>
          <w:noProof/>
          <w:lang w:val="fr-CA" w:bidi="en-US"/>
        </w:rPr>
        <w:noBreakHyphen/>
        <w:t>66</w:t>
      </w:r>
      <w:r w:rsidR="0006379D">
        <w:rPr>
          <w:rFonts w:cs="Times New Roman"/>
          <w:noProof/>
          <w:lang w:val="fr-CA" w:bidi="en-US"/>
        </w:rPr>
        <w:t xml:space="preserve"> (CanLII)</w:t>
      </w:r>
      <w:r w:rsidRPr="00000DCC">
        <w:rPr>
          <w:rFonts w:cs="Times New Roman"/>
          <w:noProof/>
          <w:lang w:val="fr-CA" w:bidi="en-US"/>
        </w:rPr>
        <w:t xml:space="preserve">; </w:t>
      </w:r>
      <w:r w:rsidRPr="00000DCC">
        <w:rPr>
          <w:rFonts w:cs="Times New Roman"/>
          <w:bCs/>
          <w:i/>
          <w:noProof/>
          <w:lang w:val="fr-CA" w:bidi="en-US"/>
        </w:rPr>
        <w:t>Reid c. Criminal Injuries Compensation Board</w:t>
      </w:r>
      <w:r w:rsidRPr="00000DCC">
        <w:rPr>
          <w:rFonts w:cs="Times New Roman"/>
          <w:bCs/>
          <w:noProof/>
          <w:lang w:val="fr-CA" w:bidi="en-US"/>
        </w:rPr>
        <w:t xml:space="preserve">, </w:t>
      </w:r>
      <w:r w:rsidRPr="00000DCC">
        <w:rPr>
          <w:rFonts w:cs="Times New Roman"/>
          <w:noProof/>
          <w:lang w:val="fr-CA" w:bidi="en-US"/>
        </w:rPr>
        <w:t xml:space="preserve">2015 ONSC 6578; </w:t>
      </w:r>
      <w:r w:rsidRPr="00000DCC">
        <w:rPr>
          <w:rFonts w:cs="Times New Roman"/>
          <w:bCs/>
          <w:i/>
          <w:noProof/>
          <w:lang w:val="fr-CA" w:bidi="en-US"/>
        </w:rPr>
        <w:t>Lloyd c. Canada (Procureur général)</w:t>
      </w:r>
      <w:r w:rsidRPr="00000DCC">
        <w:rPr>
          <w:rFonts w:cs="Times New Roman"/>
          <w:bCs/>
          <w:noProof/>
          <w:lang w:val="fr-CA" w:bidi="en-US"/>
        </w:rPr>
        <w:t xml:space="preserve">, </w:t>
      </w:r>
      <w:r w:rsidRPr="00000DCC">
        <w:rPr>
          <w:rFonts w:cs="Times New Roman"/>
          <w:noProof/>
          <w:lang w:val="fr-CA" w:bidi="en-US"/>
        </w:rPr>
        <w:t xml:space="preserve">2016 CAF 115; </w:t>
      </w:r>
      <w:r w:rsidRPr="00000DCC">
        <w:rPr>
          <w:rFonts w:cs="Times New Roman"/>
          <w:i/>
          <w:noProof/>
          <w:lang w:val="fr-CA"/>
        </w:rPr>
        <w:t>Taman c. Canada (Procureur général)</w:t>
      </w:r>
      <w:r w:rsidRPr="00000DCC">
        <w:rPr>
          <w:rFonts w:cs="Times New Roman"/>
          <w:noProof/>
          <w:lang w:val="fr-CA"/>
        </w:rPr>
        <w:t>, 2017 CAF 1, [2017] 3 R.C.F. 520, par. 47).</w:t>
      </w:r>
    </w:p>
    <w:p w14:paraId="48CB2D4F" w14:textId="502AB9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De même, la logique interne d’une décision peut également être remise en question lorsque les motifs sont entachés d’erreurs manifestes sur le plan rationnel — comme lorsque le décideur a suivi un raisonnement tautologique ou a recouru à de faux dilemmes, à des généralisations non fondées ou à une prémisse absurde. Il ne s’agit pas d’inviter la cour de révision à assujettir les décideurs administratifs à des contraintes formalistes ou aux </w:t>
      </w:r>
      <w:r w:rsidR="006D2BF0">
        <w:rPr>
          <w:rFonts w:cs="Times New Roman"/>
          <w:noProof/>
          <w:lang w:val="fr-CA"/>
        </w:rPr>
        <w:t>normes auxquelles sont astreint</w:t>
      </w:r>
      <w:r w:rsidRPr="00000DCC">
        <w:rPr>
          <w:rFonts w:cs="Times New Roman"/>
          <w:noProof/>
          <w:lang w:val="fr-CA"/>
        </w:rPr>
        <w:t>s des logiciens érudits. Toutefois, la cour de révision doit être convaincue que le raisonnement du décideur « se tient ».</w:t>
      </w:r>
    </w:p>
    <w:p w14:paraId="35960F9C" w14:textId="77777777" w:rsidR="00AE2373" w:rsidRPr="00000DCC" w:rsidRDefault="00AE2373" w:rsidP="0014128B">
      <w:pPr>
        <w:pStyle w:val="Title3LevelTitre3Niveau"/>
        <w:numPr>
          <w:ilvl w:val="2"/>
          <w:numId w:val="8"/>
        </w:numPr>
        <w:tabs>
          <w:tab w:val="left" w:pos="1560"/>
        </w:tabs>
        <w:spacing w:before="0"/>
        <w:rPr>
          <w:rFonts w:cs="Times New Roman"/>
          <w:noProof/>
          <w:lang w:val="fr-CA"/>
        </w:rPr>
      </w:pPr>
      <w:r w:rsidRPr="00000DCC">
        <w:rPr>
          <w:rFonts w:cs="Times New Roman"/>
          <w:noProof/>
          <w:lang w:val="fr-CA"/>
        </w:rPr>
        <w:t>Une décision raisonnable est justifiée au regard des contraintes juridiques et factuelles qui ont une incidence sur la décision</w:t>
      </w:r>
    </w:p>
    <w:p w14:paraId="58E19A54"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En plus de la nécessité qu’elle soit fondée sur un raisonnement intrinsèquement cohérent, une décision raisonnable doit être justifiée au regard de l’ensemble du droit et des faits pertinents : </w:t>
      </w:r>
      <w:r w:rsidRPr="00000DCC">
        <w:rPr>
          <w:rFonts w:cs="Times New Roman"/>
          <w:i/>
          <w:noProof/>
          <w:lang w:val="fr-CA"/>
        </w:rPr>
        <w:t>Dunsmuir</w:t>
      </w:r>
      <w:r w:rsidRPr="00000DCC">
        <w:rPr>
          <w:rFonts w:cs="Times New Roman"/>
          <w:noProof/>
          <w:lang w:val="fr-CA"/>
        </w:rPr>
        <w:t xml:space="preserve">, par. 47; </w:t>
      </w:r>
      <w:r w:rsidRPr="00000DCC">
        <w:rPr>
          <w:rFonts w:cs="Times New Roman"/>
          <w:i/>
          <w:noProof/>
          <w:lang w:val="fr-CA"/>
        </w:rPr>
        <w:t>Catalyst</w:t>
      </w:r>
      <w:r w:rsidRPr="00000DCC">
        <w:rPr>
          <w:rFonts w:cs="Times New Roman"/>
          <w:noProof/>
          <w:lang w:val="fr-CA"/>
        </w:rPr>
        <w:t xml:space="preserve">, par. 13; </w:t>
      </w:r>
      <w:r w:rsidRPr="00000DCC">
        <w:rPr>
          <w:rFonts w:cs="Times New Roman"/>
          <w:i/>
          <w:noProof/>
          <w:lang w:val="fr-CA"/>
        </w:rPr>
        <w:t>Nor</w:t>
      </w:r>
      <w:r w:rsidRPr="00000DCC">
        <w:rPr>
          <w:rFonts w:cs="Times New Roman"/>
          <w:i/>
          <w:noProof/>
          <w:lang w:val="fr-CA"/>
        </w:rPr>
        <w:noBreakHyphen/>
        <w:t>Man Regional Health Authority</w:t>
      </w:r>
      <w:r w:rsidRPr="00000DCC">
        <w:rPr>
          <w:rFonts w:cs="Times New Roman"/>
          <w:noProof/>
          <w:lang w:val="fr-CA"/>
        </w:rPr>
        <w:t>, par. 6. Les éléments du contexte juridique et factuel d’une décision constituent des contraintes qui ont une influence sur le décideur dans l’exercice des pouvoirs qui lui sont délégués.</w:t>
      </w:r>
    </w:p>
    <w:p w14:paraId="61EA6D5E"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lastRenderedPageBreak/>
        <w:t>Il est inutile de cataloguer toutes les considérations juridiques ou factuelles qui pourraient réduire la marge de manœuvre d’un décideur administratif dans un cas donné. Néanmoins, dans les sections qui suivent, nous nous penchons sur un certain nombre d’éléments qui sont généralement utiles pour déterminer si une décision est raisonnable.</w:t>
      </w:r>
      <w:r w:rsidRPr="00000DCC">
        <w:rPr>
          <w:rFonts w:eastAsia="Times New Roman" w:cs="Times New Roman"/>
          <w:noProof/>
          <w:szCs w:val="24"/>
          <w:lang w:val="fr-CA" w:eastAsia="en-CA"/>
        </w:rPr>
        <w:t xml:space="preserve"> </w:t>
      </w:r>
      <w:r w:rsidRPr="00000DCC">
        <w:rPr>
          <w:rFonts w:cs="Times New Roman"/>
          <w:noProof/>
          <w:lang w:val="fr-CA"/>
        </w:rPr>
        <w:t>Il s’agit notamment du régime législatif applicable et de tout autre principe législatif ou principe de common law pertinent, des principes d’interprétation des lois, de la preuve portée à la connaissance du décideur et des faits dont le décideur peut prendre connaissance d’office, des observations des parties, des pratiques et décisions antérieures de l’organisme administratif et, enfin, de l’impact potentiel de la décision sur l’individu qui en fait l’objet. Ces éléments ne doivent pas servir de liste de vérification pour l’exercice du contrôle selon la norme de la décision raisonnable et leur importance peut varier selon le contexte. L’objectif est simplement d’insister sur certains éléments du contexte pouvant amener la cour de révision à perdre confiance dans le résultat obtenu.</w:t>
      </w:r>
    </w:p>
    <w:p w14:paraId="79729BB7"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Il est possible que la cour de révision estime qu’une décision est déraisonnable au regard de ces considérations contextuelles. Ces éléments interagissent forcément entre eux : par exemple, une sanction raisonnable infligée pour inconduite professionnelle dans un cas donné doit être justifiée </w:t>
      </w:r>
      <w:r w:rsidRPr="00000DCC">
        <w:rPr>
          <w:rFonts w:cs="Times New Roman"/>
          <w:i/>
          <w:noProof/>
          <w:lang w:val="fr-CA"/>
        </w:rPr>
        <w:t>à la fois</w:t>
      </w:r>
      <w:r w:rsidRPr="00000DCC">
        <w:rPr>
          <w:rFonts w:cs="Times New Roman"/>
          <w:noProof/>
          <w:lang w:val="fr-CA"/>
        </w:rPr>
        <w:t xml:space="preserve"> au regard des sanctions prescrites par les dispositions législatives applicables et de la nature de l’inconduite en cause.</w:t>
      </w:r>
    </w:p>
    <w:p w14:paraId="3CCCC340" w14:textId="17586046" w:rsidR="00AE2373" w:rsidRPr="00282C1C" w:rsidRDefault="00282C1C" w:rsidP="00282C1C">
      <w:pPr>
        <w:pStyle w:val="Title4LevelTitre4Niveau"/>
        <w:numPr>
          <w:ilvl w:val="3"/>
          <w:numId w:val="8"/>
        </w:numPr>
        <w:tabs>
          <w:tab w:val="num" w:pos="900"/>
          <w:tab w:val="left" w:pos="1560"/>
        </w:tabs>
        <w:spacing w:before="0"/>
        <w:jc w:val="left"/>
        <w:rPr>
          <w:rFonts w:cs="Times New Roman"/>
          <w:noProof/>
          <w:lang w:val="fr-CA"/>
        </w:rPr>
      </w:pPr>
      <w:r w:rsidRPr="00282C1C">
        <w:rPr>
          <w:rFonts w:cs="Times New Roman"/>
          <w:noProof/>
          <w:lang w:val="fr-CA"/>
        </w:rPr>
        <w:tab/>
      </w:r>
      <w:r w:rsidR="00AE2373" w:rsidRPr="00282C1C">
        <w:rPr>
          <w:rFonts w:cs="Times New Roman"/>
          <w:noProof/>
          <w:lang w:val="fr-CA"/>
        </w:rPr>
        <w:t>Le régime législatif applicable</w:t>
      </w:r>
    </w:p>
    <w:p w14:paraId="166B4D30" w14:textId="697BF4D9" w:rsidR="00AE2373" w:rsidRPr="00000DCC" w:rsidRDefault="00AE2373" w:rsidP="00AE2373">
      <w:pPr>
        <w:pStyle w:val="ParaNoNdepar-AltN"/>
        <w:tabs>
          <w:tab w:val="clear" w:pos="1166"/>
          <w:tab w:val="clear" w:pos="1422"/>
          <w:tab w:val="left" w:pos="1170"/>
        </w:tabs>
        <w:spacing w:before="0"/>
        <w:rPr>
          <w:rFonts w:cs="Times New Roman"/>
          <w:noProof/>
          <w:lang w:val="fr-CA"/>
        </w:rPr>
      </w:pPr>
      <w:r w:rsidRPr="00000DCC">
        <w:rPr>
          <w:rFonts w:cs="Times New Roman"/>
          <w:noProof/>
          <w:lang w:val="fr-CA"/>
        </w:rPr>
        <w:t xml:space="preserve">Comme les décideurs administratifs tiennent leurs pouvoirs d’une loi, le régime législatif applicable est probablement l’aspect le plus important du contexte </w:t>
      </w:r>
      <w:r w:rsidRPr="00000DCC">
        <w:rPr>
          <w:rFonts w:cs="Times New Roman"/>
          <w:noProof/>
          <w:lang w:val="fr-CA"/>
        </w:rPr>
        <w:lastRenderedPageBreak/>
        <w:t xml:space="preserve">juridique d’une décision donnée. Le fait que les décideurs administratifs participent, avec les cours de justice, à l’élaboration du contenu précis des régimes administratifs qu’ils administrent, ne devrait pas être interprété comme une licence accordée aux décideurs administratifs pour ignorer ou réécrire les lois adoptées par le Parlement et les législatures provinciales. Ainsi, bien qu’un organisme administratif puisse disposer d’un vaste pouvoir discrétionnaire lorsqu’il s’agit de prendre une décision en particulier, cette décision doit en fin de compte être conforme « à la raison d’être et à la portée du régime législatif sous lequel elle a été adoptée » : </w:t>
      </w:r>
      <w:r w:rsidRPr="00000DCC">
        <w:rPr>
          <w:rFonts w:cs="Times New Roman"/>
          <w:i/>
          <w:noProof/>
          <w:lang w:val="fr-CA"/>
        </w:rPr>
        <w:t>Catalyst</w:t>
      </w:r>
      <w:r w:rsidRPr="00000DCC">
        <w:rPr>
          <w:rFonts w:cs="Times New Roman"/>
          <w:noProof/>
          <w:lang w:val="fr-CA"/>
        </w:rPr>
        <w:t>, par. 15 et 25</w:t>
      </w:r>
      <w:r w:rsidRPr="00000DCC">
        <w:rPr>
          <w:rFonts w:cs="Times New Roman"/>
          <w:noProof/>
          <w:lang w:val="fr-CA"/>
        </w:rPr>
        <w:noBreakHyphen/>
        <w:t xml:space="preserve">28; voir aussi </w:t>
      </w:r>
      <w:r w:rsidRPr="00000DCC">
        <w:rPr>
          <w:rFonts w:cs="Times New Roman"/>
          <w:i/>
          <w:noProof/>
          <w:lang w:val="fr-CA"/>
        </w:rPr>
        <w:t>Green</w:t>
      </w:r>
      <w:r w:rsidRPr="00000DCC">
        <w:rPr>
          <w:rFonts w:cs="Times New Roman"/>
          <w:noProof/>
          <w:lang w:val="fr-CA"/>
        </w:rPr>
        <w:t xml:space="preserve">, par. 44. En effet, comme le faisait remarquer le juge Rand dans l’arrêt </w:t>
      </w:r>
      <w:r w:rsidRPr="00000DCC">
        <w:rPr>
          <w:rFonts w:cs="Times New Roman"/>
          <w:i/>
          <w:noProof/>
          <w:lang w:val="fr-CA"/>
        </w:rPr>
        <w:t>Roncarelli</w:t>
      </w:r>
      <w:r w:rsidRPr="00000DCC">
        <w:rPr>
          <w:rFonts w:cs="Times New Roman"/>
          <w:i/>
          <w:noProof/>
          <w:lang w:val="fr-CA" w:bidi="en-US"/>
        </w:rPr>
        <w:t xml:space="preserve"> c. Duplessis</w:t>
      </w:r>
      <w:r w:rsidRPr="00000DCC">
        <w:rPr>
          <w:rFonts w:cs="Times New Roman"/>
          <w:noProof/>
          <w:lang w:val="fr-CA" w:bidi="en-US"/>
        </w:rPr>
        <w:t>, [1959] R.C.S. 121</w:t>
      </w:r>
      <w:r w:rsidRPr="00000DCC">
        <w:rPr>
          <w:rFonts w:cs="Times New Roman"/>
          <w:noProof/>
          <w:lang w:val="fr-CA"/>
        </w:rPr>
        <w:t xml:space="preserve">, p. 140, </w:t>
      </w:r>
      <w:r w:rsidRPr="00000DCC">
        <w:rPr>
          <w:rFonts w:cs="Times New Roman"/>
          <w:smallCaps/>
          <w:noProof/>
          <w:lang w:val="fr-CA"/>
        </w:rPr>
        <w:t xml:space="preserve">[traduction] </w:t>
      </w:r>
      <w:r w:rsidRPr="00000DCC">
        <w:rPr>
          <w:rFonts w:cs="Times New Roman"/>
          <w:noProof/>
          <w:lang w:val="fr-CA"/>
        </w:rPr>
        <w:t>« il n’y a rien de tel qu’une “discrétion</w:t>
      </w:r>
      <w:r w:rsidRPr="00000DCC">
        <w:rPr>
          <w:rFonts w:cs="Times New Roman"/>
          <w:noProof/>
          <w:lang w:val="fr-CA" w:bidi="en-US"/>
        </w:rPr>
        <w:t xml:space="preserve">” absolue et sans entraves », et </w:t>
      </w:r>
      <w:r w:rsidRPr="00000DCC">
        <w:rPr>
          <w:rFonts w:cs="Times New Roman"/>
          <w:noProof/>
          <w:lang w:val="fr-CA"/>
        </w:rPr>
        <w:t xml:space="preserve">tout exercice d’un pouvoir discrétionnaire doit être conforme aux fins pour lesquelles il a été accordé : voir aussi </w:t>
      </w:r>
      <w:r w:rsidRPr="00000DCC">
        <w:rPr>
          <w:rFonts w:cs="Times New Roman"/>
          <w:i/>
          <w:noProof/>
          <w:lang w:val="fr-CA" w:bidi="en-US"/>
        </w:rPr>
        <w:t>Congrégation des témoins de Jéhovah de St</w:t>
      </w:r>
      <w:r w:rsidRPr="00000DCC">
        <w:rPr>
          <w:rFonts w:cs="Times New Roman"/>
          <w:i/>
          <w:noProof/>
          <w:lang w:val="fr-CA" w:bidi="en-US"/>
        </w:rPr>
        <w:noBreakHyphen/>
        <w:t>Jérôme</w:t>
      </w:r>
      <w:r w:rsidRPr="00000DCC">
        <w:rPr>
          <w:rFonts w:cs="Times New Roman"/>
          <w:i/>
          <w:noProof/>
          <w:lang w:val="fr-CA" w:bidi="en-US"/>
        </w:rPr>
        <w:noBreakHyphen/>
        <w:t>Lafontaine</w:t>
      </w:r>
      <w:r w:rsidRPr="00000DCC">
        <w:rPr>
          <w:rFonts w:cs="Times New Roman"/>
          <w:noProof/>
          <w:lang w:val="fr-CA" w:bidi="en-US"/>
        </w:rPr>
        <w:t>, par. </w:t>
      </w:r>
      <w:r w:rsidRPr="00000DCC">
        <w:rPr>
          <w:rFonts w:cs="Times New Roman"/>
          <w:noProof/>
          <w:lang w:val="fr-CA"/>
        </w:rPr>
        <w:t xml:space="preserve">7; </w:t>
      </w:r>
      <w:r w:rsidRPr="00000DCC">
        <w:rPr>
          <w:rFonts w:cs="Times New Roman"/>
          <w:i/>
          <w:noProof/>
          <w:lang w:val="fr-CA"/>
        </w:rPr>
        <w:t>Montréal (Ville) c. Administration portuaire de Montréal</w:t>
      </w:r>
      <w:r w:rsidRPr="00000DCC">
        <w:rPr>
          <w:rFonts w:cs="Times New Roman"/>
          <w:noProof/>
          <w:lang w:val="fr-CA"/>
        </w:rPr>
        <w:t>, 2010 CSC 14, [2010] 1 R.C.S. 427, par. 32</w:t>
      </w:r>
      <w:r w:rsidRPr="00000DCC">
        <w:rPr>
          <w:rFonts w:cs="Times New Roman"/>
          <w:noProof/>
          <w:lang w:val="fr-CA"/>
        </w:rPr>
        <w:noBreakHyphen/>
        <w:t xml:space="preserve">33; </w:t>
      </w:r>
      <w:r w:rsidRPr="00000DCC">
        <w:rPr>
          <w:rFonts w:cs="Times New Roman"/>
          <w:i/>
          <w:noProof/>
          <w:lang w:val="fr-CA"/>
        </w:rPr>
        <w:t>Nor</w:t>
      </w:r>
      <w:r w:rsidRPr="00000DCC">
        <w:rPr>
          <w:rFonts w:cs="Times New Roman"/>
          <w:i/>
          <w:noProof/>
          <w:lang w:val="fr-CA"/>
        </w:rPr>
        <w:noBreakHyphen/>
        <w:t>Man Regional Health Authority</w:t>
      </w:r>
      <w:r w:rsidRPr="00000DCC">
        <w:rPr>
          <w:rFonts w:cs="Times New Roman"/>
          <w:noProof/>
          <w:lang w:val="fr-CA"/>
        </w:rPr>
        <w:t xml:space="preserve">, par. 6. De même, la décision doit tenir compte de toute contrainte plus spécifique clairement imposée par le régime législatif applicable, telle que les définitions, les formules ou les principes prévus par la loi qui prescrivent l’exercice d’un pouvoir discrétionnaire : voir </w:t>
      </w:r>
      <w:r w:rsidRPr="00000DCC">
        <w:rPr>
          <w:rFonts w:cs="Times New Roman"/>
          <w:i/>
          <w:noProof/>
          <w:lang w:val="fr-CA"/>
        </w:rPr>
        <w:t>Montréal (Ville)</w:t>
      </w:r>
      <w:r w:rsidRPr="00000DCC">
        <w:rPr>
          <w:rFonts w:cs="Times New Roman"/>
          <w:noProof/>
          <w:lang w:val="fr-CA"/>
        </w:rPr>
        <w:t>, par. 33 et 40</w:t>
      </w:r>
      <w:r w:rsidRPr="00000DCC">
        <w:rPr>
          <w:rFonts w:cs="Times New Roman"/>
          <w:noProof/>
          <w:lang w:val="fr-CA"/>
        </w:rPr>
        <w:noBreakHyphen/>
        <w:t>41;</w:t>
      </w:r>
      <w:r w:rsidRPr="00000DCC">
        <w:rPr>
          <w:rFonts w:cs="Times New Roman"/>
          <w:i/>
          <w:noProof/>
          <w:lang w:val="fr-CA"/>
        </w:rPr>
        <w:t xml:space="preserve"> Canada (Procureur général) c. Almon Equipment Limited</w:t>
      </w:r>
      <w:r w:rsidRPr="00000DCC">
        <w:rPr>
          <w:rFonts w:cs="Times New Roman"/>
          <w:noProof/>
          <w:lang w:val="fr-CA"/>
        </w:rPr>
        <w:t>, 2010 CAF 193, [2011] 4 R.C.F. 203, par. 38</w:t>
      </w:r>
      <w:r w:rsidRPr="00000DCC">
        <w:rPr>
          <w:rFonts w:cs="Times New Roman"/>
          <w:noProof/>
          <w:lang w:val="fr-CA"/>
        </w:rPr>
        <w:noBreakHyphen/>
        <w:t>40. Le régime législatif oriente également les approches acceptables en matière de prise de décisio</w:t>
      </w:r>
      <w:r w:rsidR="00DF19ED">
        <w:rPr>
          <w:rFonts w:cs="Times New Roman"/>
          <w:noProof/>
          <w:lang w:val="fr-CA"/>
        </w:rPr>
        <w:t>ns </w:t>
      </w:r>
      <w:r w:rsidRPr="00000DCC">
        <w:rPr>
          <w:rFonts w:cs="Times New Roman"/>
          <w:noProof/>
          <w:lang w:val="fr-CA"/>
        </w:rPr>
        <w:t xml:space="preserve">: par exemple, lorsque le décideur dispose d’un vaste pouvoir discrétionnaire, il serait déraisonnable de sa part d’entraver un tel pouvoir discrétionnaire : voir </w:t>
      </w:r>
      <w:r w:rsidRPr="00000DCC">
        <w:rPr>
          <w:rFonts w:cs="Times New Roman"/>
          <w:i/>
          <w:noProof/>
          <w:lang w:val="fr-CA"/>
        </w:rPr>
        <w:t>Delta Air Lines</w:t>
      </w:r>
      <w:r w:rsidRPr="00000DCC">
        <w:rPr>
          <w:rFonts w:cs="Times New Roman"/>
          <w:noProof/>
          <w:lang w:val="fr-CA"/>
        </w:rPr>
        <w:t>, par. 18.</w:t>
      </w:r>
    </w:p>
    <w:p w14:paraId="2D7CE33C"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lastRenderedPageBreak/>
        <w:t>Comme nous l’avons déjà mentionné, l’application appropriée de la norme de la décision raisonnable permet de dissiper la crainte que le décideur administratif puisse interpréter la portée de sa propre compétence de manière à étendre ses pouvoirs au</w:t>
      </w:r>
      <w:r w:rsidRPr="00000DCC">
        <w:rPr>
          <w:rFonts w:cs="Times New Roman"/>
          <w:noProof/>
          <w:lang w:val="fr-CA"/>
        </w:rPr>
        <w:noBreakHyphen/>
        <w:t xml:space="preserve">delà de ce que voulait le législateur. Il est ainsi inutile de conserver une catégorie de questions touchant « véritablement » à la compétence assujetties au contrôle selon la norme de la décision correcte. Si, en règle générale, il y a lieu de faire preuve de déférence envers l’interprétation que donne le décideur du pouvoir que lui confère la loi, ce dernier doit néanmoins justifier convenablement son interprétation. Le contrôle selon la norme de la décision raisonnable ne permet pas au décideur administratif de s’arroger des pouvoirs que le législateur n’a jamais voulu lui conférer. De la même manière, un organisme administratif ne saurait exercer un pouvoir qui ne lui a pas été délégué. </w:t>
      </w:r>
      <w:r w:rsidRPr="00000DCC">
        <w:rPr>
          <w:rFonts w:cs="Times New Roman"/>
          <w:lang w:val="fr-CA"/>
        </w:rPr>
        <w:t>Contrairement aux préoccupations exprimées par nos collègues (par. </w:t>
      </w:r>
      <w:r>
        <w:rPr>
          <w:rFonts w:cs="Times New Roman"/>
          <w:lang w:val="fr-CA"/>
        </w:rPr>
        <w:t>285</w:t>
      </w:r>
      <w:r w:rsidRPr="00000DCC">
        <w:rPr>
          <w:rFonts w:cs="Times New Roman"/>
          <w:lang w:val="fr-CA"/>
        </w:rPr>
        <w:t>), cette démarche ne fait pas resurgir la notion d’« erreur de compétence » dans le contrôle judiciaire; elle ne fait que relever l’une des contraintes évidentes et nécessaires qui s’imposent aux décideurs administratifs.</w:t>
      </w:r>
    </w:p>
    <w:p w14:paraId="2B264280"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La question de savoir si une interprétation est justifiée dépendra du contexte, notamment des mots choisis par le législateur pour décrire les limites et les contours du pouvoir du décideur. Si le législateu</w:t>
      </w:r>
      <w:r>
        <w:rPr>
          <w:rFonts w:cs="Times New Roman"/>
          <w:noProof/>
          <w:lang w:val="fr-CA"/>
        </w:rPr>
        <w:t>r souhaite circonscri</w:t>
      </w:r>
      <w:r w:rsidRPr="00000DCC">
        <w:rPr>
          <w:rFonts w:cs="Times New Roman"/>
          <w:noProof/>
          <w:lang w:val="fr-CA"/>
        </w:rPr>
        <w:t xml:space="preserve">re avec précision le pouvoir d’un décideur administratif de façon ciblée, il peut se servir de termes précis et restrictifs et définir en détail les pouvoirs conférés, limitant ainsi strictement les interprétations que le décideur peut donner de la disposition habilitante. À l’inverse, dans les cas où le législateur choisit d’utiliser des termes généraux, non limitatifs ou nettement qualitatifs — par exemple, l’expression « dans l’intérêt public » — il envisage manifestement que le décideur jouisse d’une souplesse accrue dans </w:t>
      </w:r>
      <w:r w:rsidRPr="00000DCC">
        <w:rPr>
          <w:rFonts w:cs="Times New Roman"/>
          <w:noProof/>
          <w:lang w:val="fr-CA"/>
        </w:rPr>
        <w:lastRenderedPageBreak/>
        <w:t>l’interprétation d’un tel libellé. D’autres formulations se retrouveront entre ces deux extrêmes. Bref, selon le libellé des dispositions législatives habilitantes, certaines questions touchant à la portée du pouvoir d’un décideur peuvent se prêter à plusieurs interprétations, alors que d’autres questions ne sauraient commander qu’une seule interprétation. Ce qui importe, c’est de déterminer si, aux yeux de la cour de révision, le décideur a justifié convenablement son interprétation de la loi à la lumière du contexte. Évidemment, il sera impossible au décideur administratif de justifier une décision qui excède les limites fixées par les dispositions législatives qu’il interprète.</w:t>
      </w:r>
    </w:p>
    <w:p w14:paraId="75D1E9D6" w14:textId="4F2A7556" w:rsidR="00AE2373" w:rsidRPr="00000DCC" w:rsidRDefault="003A3C0E" w:rsidP="00AE2373">
      <w:pPr>
        <w:pStyle w:val="Title4LevelTitre4Niveau"/>
        <w:numPr>
          <w:ilvl w:val="3"/>
          <w:numId w:val="8"/>
        </w:numPr>
        <w:tabs>
          <w:tab w:val="num" w:pos="900"/>
          <w:tab w:val="left" w:pos="1560"/>
        </w:tabs>
        <w:spacing w:before="0"/>
        <w:jc w:val="left"/>
        <w:rPr>
          <w:rFonts w:cs="Times New Roman"/>
          <w:noProof/>
          <w:lang w:val="fr-CA"/>
        </w:rPr>
      </w:pPr>
      <w:r>
        <w:rPr>
          <w:rFonts w:cs="Times New Roman"/>
          <w:noProof/>
          <w:lang w:val="fr-CA"/>
        </w:rPr>
        <w:tab/>
      </w:r>
      <w:r w:rsidR="00AE2373" w:rsidRPr="00000DCC">
        <w:rPr>
          <w:rFonts w:cs="Times New Roman"/>
          <w:noProof/>
          <w:lang w:val="fr-CA"/>
        </w:rPr>
        <w:t>Les autres règles législatives ou de common law</w:t>
      </w:r>
    </w:p>
    <w:p w14:paraId="11049F92" w14:textId="3BFAD416" w:rsidR="00AE2373" w:rsidRPr="00000DCC" w:rsidRDefault="00AE2373" w:rsidP="00AE2373">
      <w:pPr>
        <w:pStyle w:val="ParaNoNdepar-AltN"/>
        <w:tabs>
          <w:tab w:val="clear" w:pos="1166"/>
          <w:tab w:val="clear" w:pos="1422"/>
          <w:tab w:val="num" w:pos="1170"/>
        </w:tabs>
        <w:spacing w:before="0"/>
        <w:rPr>
          <w:rFonts w:cs="Times New Roman"/>
          <w:iCs/>
          <w:noProof/>
          <w:lang w:val="fr-CA"/>
        </w:rPr>
      </w:pPr>
      <w:r w:rsidRPr="00000DCC">
        <w:rPr>
          <w:rFonts w:cs="Times New Roman"/>
          <w:noProof/>
          <w:lang w:val="fr-CA"/>
        </w:rPr>
        <w:t xml:space="preserve">Il coule de source que le droit — tant la loi que la common law — limitera l’éventail des options qui s’offrent légalement au décideur administratif chargé de trancher un cas particulier : voir </w:t>
      </w:r>
      <w:r w:rsidRPr="00000DCC">
        <w:rPr>
          <w:rFonts w:cs="Times New Roman"/>
          <w:i/>
          <w:noProof/>
          <w:lang w:val="fr-CA"/>
        </w:rPr>
        <w:t>Dunsmuir</w:t>
      </w:r>
      <w:r w:rsidRPr="00000DCC">
        <w:rPr>
          <w:rFonts w:cs="Times New Roman"/>
          <w:noProof/>
          <w:lang w:val="fr-CA"/>
        </w:rPr>
        <w:t xml:space="preserve">, par. 47 et 74. Par exemple, le décideur administratif qui interprète la portée de son pouvoir de réglementation dans le but de l’exercer ne peut retenir une interprétation incompatible avec les principes de common law applicables en ce qui concerne la nature des pouvoirs législatifs : voir </w:t>
      </w:r>
      <w:r w:rsidRPr="00000DCC">
        <w:rPr>
          <w:rFonts w:cs="Times New Roman"/>
          <w:i/>
          <w:noProof/>
          <w:lang w:val="fr-CA"/>
        </w:rPr>
        <w:t xml:space="preserve">Katz Group Canada Inc. </w:t>
      </w:r>
      <w:r w:rsidRPr="00000DCC">
        <w:rPr>
          <w:rFonts w:cs="Times New Roman"/>
          <w:i/>
          <w:iCs/>
          <w:noProof/>
          <w:lang w:val="fr-CA"/>
        </w:rPr>
        <w:t>c.</w:t>
      </w:r>
      <w:r w:rsidRPr="00000DCC">
        <w:rPr>
          <w:rFonts w:cs="Times New Roman"/>
          <w:i/>
          <w:noProof/>
          <w:lang w:val="fr-CA"/>
        </w:rPr>
        <w:t xml:space="preserve"> Ontario (Santé et Soins de longue durée)</w:t>
      </w:r>
      <w:r w:rsidRPr="00000DCC">
        <w:rPr>
          <w:rFonts w:cs="Times New Roman"/>
          <w:noProof/>
          <w:lang w:val="fr-CA"/>
        </w:rPr>
        <w:t>, 2013 CSC 64, [2013] 3 R.C.S. 810, par. 45</w:t>
      </w:r>
      <w:r w:rsidRPr="00000DCC">
        <w:rPr>
          <w:rFonts w:cs="Times New Roman"/>
          <w:noProof/>
          <w:lang w:val="fr-CA"/>
        </w:rPr>
        <w:noBreakHyphen/>
        <w:t xml:space="preserve">48. Un organisme chargé par la loi d’évaluer un taux d’imposition applicable conformément à un régime fiscal existant en particulier ne peut non plus faire fi de ce régime ni baser ses calculs sur un système « fictif » qu’il a créé arbitrairement : </w:t>
      </w:r>
      <w:r w:rsidRPr="00000DCC">
        <w:rPr>
          <w:rFonts w:cs="Times New Roman"/>
          <w:i/>
          <w:noProof/>
          <w:lang w:val="fr-CA"/>
        </w:rPr>
        <w:t>Montréal (Ville)</w:t>
      </w:r>
      <w:r w:rsidRPr="00000DCC">
        <w:rPr>
          <w:rFonts w:cs="Times New Roman"/>
          <w:noProof/>
          <w:lang w:val="fr-CA"/>
        </w:rPr>
        <w:t>,</w:t>
      </w:r>
      <w:r w:rsidRPr="00000DCC">
        <w:rPr>
          <w:rFonts w:cs="Times New Roman"/>
          <w:i/>
          <w:iCs/>
          <w:noProof/>
          <w:lang w:val="fr-CA"/>
        </w:rPr>
        <w:t xml:space="preserve"> </w:t>
      </w:r>
      <w:r w:rsidRPr="00000DCC">
        <w:rPr>
          <w:rFonts w:cs="Times New Roman"/>
          <w:iCs/>
          <w:noProof/>
          <w:lang w:val="fr-CA"/>
        </w:rPr>
        <w:t>par. 40. Lorsqu’une relation est régie par le droit privé, il serait déraisonnable de la part du décideur de faire abstra</w:t>
      </w:r>
      <w:r w:rsidR="00003826">
        <w:rPr>
          <w:rFonts w:cs="Times New Roman"/>
          <w:iCs/>
          <w:noProof/>
          <w:lang w:val="fr-CA"/>
        </w:rPr>
        <w:t>c</w:t>
      </w:r>
      <w:r w:rsidRPr="00000DCC">
        <w:rPr>
          <w:rFonts w:cs="Times New Roman"/>
          <w:iCs/>
          <w:noProof/>
          <w:lang w:val="fr-CA"/>
        </w:rPr>
        <w:t xml:space="preserve">tion de ce fait lorsqu’il se prononce sur les droits des parties dans le cadre de cette relation : </w:t>
      </w:r>
      <w:r w:rsidRPr="00000DCC">
        <w:rPr>
          <w:rFonts w:cs="Times New Roman"/>
          <w:i/>
          <w:iCs/>
          <w:noProof/>
          <w:lang w:val="fr-CA"/>
        </w:rPr>
        <w:t>Dunsmuir</w:t>
      </w:r>
      <w:r w:rsidRPr="00000DCC">
        <w:rPr>
          <w:rFonts w:cs="Times New Roman"/>
          <w:iCs/>
          <w:noProof/>
          <w:lang w:val="fr-CA"/>
        </w:rPr>
        <w:t xml:space="preserve">, par. 74. De la même manière, lorsque la loi habilitante prévoit l’application </w:t>
      </w:r>
      <w:r w:rsidRPr="00000DCC">
        <w:rPr>
          <w:rFonts w:cs="Times New Roman"/>
          <w:iCs/>
          <w:noProof/>
          <w:lang w:val="fr-CA"/>
        </w:rPr>
        <w:lastRenderedPageBreak/>
        <w:t>d’une norme bien connue en droit et dans la jurisprudence, une décision raisonnable sera généralement conforme à l’acc</w:t>
      </w:r>
      <w:r w:rsidR="00A60804">
        <w:rPr>
          <w:rFonts w:cs="Times New Roman"/>
          <w:iCs/>
          <w:noProof/>
          <w:lang w:val="fr-CA"/>
        </w:rPr>
        <w:t>eption consacrée de cette norme </w:t>
      </w:r>
      <w:r w:rsidRPr="00000DCC">
        <w:rPr>
          <w:rFonts w:cs="Times New Roman"/>
          <w:iCs/>
          <w:noProof/>
          <w:lang w:val="fr-CA"/>
        </w:rPr>
        <w:t xml:space="preserve">: voir, p. ex., l’analyse des « motifs raisonnables de soupçonner » dans l’arrêt </w:t>
      </w:r>
      <w:r w:rsidRPr="00000DCC">
        <w:rPr>
          <w:rFonts w:cs="Times New Roman"/>
          <w:i/>
          <w:iCs/>
          <w:noProof/>
          <w:lang w:val="fr-CA"/>
        </w:rPr>
        <w:t>Canada (</w:t>
      </w:r>
      <w:r w:rsidR="00130DED">
        <w:rPr>
          <w:rFonts w:cs="Times New Roman"/>
          <w:i/>
          <w:iCs/>
          <w:noProof/>
          <w:lang w:val="fr-CA"/>
        </w:rPr>
        <w:t xml:space="preserve">Transports, </w:t>
      </w:r>
      <w:r w:rsidRPr="00000DCC">
        <w:rPr>
          <w:rFonts w:cs="Times New Roman"/>
          <w:i/>
          <w:iCs/>
          <w:noProof/>
          <w:lang w:val="fr-CA"/>
        </w:rPr>
        <w:t>Infrastructure et Collectivités) c. Farwaha</w:t>
      </w:r>
      <w:r w:rsidRPr="00000DCC">
        <w:rPr>
          <w:rFonts w:cs="Times New Roman"/>
          <w:iCs/>
          <w:noProof/>
          <w:lang w:val="fr-CA"/>
        </w:rPr>
        <w:t>, 2014 CAF 56, [2015] 2 R.C.F. 1006, par. 93</w:t>
      </w:r>
      <w:r w:rsidRPr="00000DCC">
        <w:rPr>
          <w:rFonts w:cs="Times New Roman"/>
          <w:iCs/>
          <w:noProof/>
          <w:lang w:val="fr-CA"/>
        </w:rPr>
        <w:noBreakHyphen/>
        <w:t>98.</w:t>
      </w:r>
    </w:p>
    <w:p w14:paraId="796A5C02" w14:textId="2FC3865A"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Tout précédent sur la question soumise au décideur administratif ou sur une question semblable aura pour effet de circonscrire l’éventail des issues raisonnables. La décision d’un organisme administratif peut être déraisonnable en raison de l’omission d’expliquer ou de justifier une dérogation à un précéd</w:t>
      </w:r>
      <w:r w:rsidR="00925167">
        <w:rPr>
          <w:rFonts w:cs="Times New Roman"/>
          <w:noProof/>
          <w:lang w:val="fr-CA"/>
        </w:rPr>
        <w:t>e</w:t>
      </w:r>
      <w:r w:rsidRPr="00000DCC">
        <w:rPr>
          <w:rFonts w:cs="Times New Roman"/>
          <w:noProof/>
          <w:lang w:val="fr-CA"/>
        </w:rPr>
        <w:t>nt contraignant dans lequel a été interprétée la même disposition. Si, par exemple, une cour de justice a examiné une disposition législative dans un jugement pertinent, il serait déraisonnable que le décideur administratif interprète ou applique celle</w:t>
      </w:r>
      <w:r w:rsidRPr="00000DCC">
        <w:rPr>
          <w:rFonts w:cs="Times New Roman"/>
          <w:noProof/>
          <w:lang w:val="fr-CA"/>
        </w:rPr>
        <w:noBreakHyphen/>
        <w:t>ci sans égard à ce précédent. Le décideur devrait être en mesure d’indiquer pourquoi il est préférable d’adopter une autre interprétation, par exemple en expliquant pourquoi l’interprétation de la cour de justice ne fonctionne pas dans le contexte administratif : M. Biddulph, « Rethinking the Ramification</w:t>
      </w:r>
      <w:r w:rsidR="001961CD">
        <w:rPr>
          <w:rFonts w:cs="Times New Roman"/>
          <w:noProof/>
          <w:lang w:val="fr-CA"/>
        </w:rPr>
        <w:t>s</w:t>
      </w:r>
      <w:r w:rsidRPr="00000DCC">
        <w:rPr>
          <w:rFonts w:cs="Times New Roman"/>
          <w:noProof/>
          <w:lang w:val="fr-CA"/>
        </w:rPr>
        <w:t xml:space="preserve"> of Reasonableness Review</w:t>
      </w:r>
      <w:r w:rsidR="00BC585C">
        <w:rPr>
          <w:rFonts w:cs="Times New Roman"/>
          <w:noProof/>
          <w:lang w:val="fr-CA"/>
        </w:rPr>
        <w:t> </w:t>
      </w:r>
      <w:r w:rsidRPr="00000DCC">
        <w:rPr>
          <w:rFonts w:cs="Times New Roman"/>
          <w:noProof/>
          <w:lang w:val="fr-CA"/>
        </w:rPr>
        <w:t xml:space="preserve">: </w:t>
      </w:r>
      <w:r w:rsidRPr="00000DCC">
        <w:rPr>
          <w:rFonts w:cs="Times New Roman"/>
          <w:i/>
          <w:noProof/>
          <w:lang w:val="fr-CA"/>
        </w:rPr>
        <w:t xml:space="preserve">Stare Decisis </w:t>
      </w:r>
      <w:r w:rsidRPr="00000DCC">
        <w:rPr>
          <w:rFonts w:cs="Times New Roman"/>
          <w:noProof/>
          <w:lang w:val="fr-CA"/>
        </w:rPr>
        <w:t xml:space="preserve">and Reasonableness Review on Questions of Law » (2018), 56 </w:t>
      </w:r>
      <w:r w:rsidRPr="00000DCC">
        <w:rPr>
          <w:rFonts w:cs="Times New Roman"/>
          <w:i/>
          <w:noProof/>
          <w:lang w:val="fr-CA"/>
        </w:rPr>
        <w:t xml:space="preserve">Alta. L.R. </w:t>
      </w:r>
      <w:r w:rsidRPr="00000DCC">
        <w:rPr>
          <w:rFonts w:cs="Times New Roman"/>
          <w:noProof/>
          <w:lang w:val="fr-CA"/>
        </w:rPr>
        <w:t xml:space="preserve">119, p. 146. Il peut y avoir des circonstances dans lesquelles il est tout simplement déraisonnable que le décideur administratif n’applique ou n’interprète pas une disposition législative en conformité avec un précédent contraignant. Par exemple, dans les cas où une cour de justice compétente en matière d’immigration est appelée à décider si un acte constitue une infraction criminelle en droit canadien (voir, p. ex., la </w:t>
      </w:r>
      <w:r w:rsidRPr="00000DCC">
        <w:rPr>
          <w:rFonts w:cs="Times New Roman"/>
          <w:i/>
          <w:noProof/>
          <w:lang w:val="fr-CA"/>
        </w:rPr>
        <w:t>Loi sur l’immigration et la protection des réfugiés</w:t>
      </w:r>
      <w:r w:rsidRPr="00000DCC">
        <w:rPr>
          <w:rFonts w:cs="Times New Roman"/>
          <w:noProof/>
          <w:lang w:val="fr-CA"/>
        </w:rPr>
        <w:t>, L.C. 2001, c. 27,</w:t>
      </w:r>
      <w:r w:rsidRPr="00000DCC">
        <w:rPr>
          <w:rFonts w:cs="Times New Roman"/>
          <w:noProof/>
          <w:sz w:val="23"/>
          <w:szCs w:val="23"/>
          <w:lang w:val="fr-CA"/>
        </w:rPr>
        <w:t xml:space="preserve"> </w:t>
      </w:r>
      <w:r w:rsidR="00D349E2">
        <w:rPr>
          <w:rFonts w:cs="Times New Roman"/>
          <w:noProof/>
          <w:lang w:val="fr-CA"/>
        </w:rPr>
        <w:t xml:space="preserve">art. 35 à </w:t>
      </w:r>
      <w:r w:rsidRPr="00000DCC">
        <w:rPr>
          <w:rFonts w:cs="Times New Roman"/>
          <w:noProof/>
          <w:lang w:val="fr-CA"/>
        </w:rPr>
        <w:t xml:space="preserve">37), il serait à l’évidence déraisonnable que le tribunal retienne une interprétation d’une </w:t>
      </w:r>
      <w:r w:rsidRPr="00000DCC">
        <w:rPr>
          <w:rFonts w:cs="Times New Roman"/>
          <w:noProof/>
          <w:lang w:val="fr-CA"/>
        </w:rPr>
        <w:lastRenderedPageBreak/>
        <w:t>disposition pénale qui soit incompatible avec l’interprétation que lui ont donnée les cours criminelles canadiennes.</w:t>
      </w:r>
    </w:p>
    <w:p w14:paraId="0058ACDF" w14:textId="69913A3A"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Cela dit, les décideurs administratifs ne seront pas nécessairement tenus d’appliquer les principes d’equity et de common law de la même façon qu’une cour de justice pour que leurs décisions soient raisonnables. Par exemple, il serait raisonnable pour le décideur d’adapter une doctrine de common law ou d’equity au contexte administratif qui lui est propre</w:t>
      </w:r>
      <w:r w:rsidR="00174010">
        <w:rPr>
          <w:rFonts w:cs="Times New Roman"/>
          <w:noProof/>
          <w:lang w:val="fr-CA"/>
        </w:rPr>
        <w:t> </w:t>
      </w:r>
      <w:r w:rsidRPr="00000DCC">
        <w:rPr>
          <w:rFonts w:cs="Times New Roman"/>
          <w:noProof/>
          <w:lang w:val="fr-CA"/>
        </w:rPr>
        <w:t xml:space="preserve">: voir </w:t>
      </w:r>
      <w:r w:rsidRPr="00000DCC">
        <w:rPr>
          <w:rFonts w:cs="Times New Roman"/>
          <w:i/>
          <w:noProof/>
          <w:lang w:val="fr-CA"/>
        </w:rPr>
        <w:t>Nor</w:t>
      </w:r>
      <w:r w:rsidRPr="00000DCC">
        <w:rPr>
          <w:rFonts w:cs="Times New Roman"/>
          <w:i/>
          <w:noProof/>
          <w:lang w:val="fr-CA"/>
        </w:rPr>
        <w:noBreakHyphen/>
        <w:t>Man Regional Health Authority</w:t>
      </w:r>
      <w:r w:rsidRPr="00000DCC">
        <w:rPr>
          <w:rFonts w:cs="Times New Roman"/>
          <w:noProof/>
          <w:lang w:val="fr-CA"/>
        </w:rPr>
        <w:t>, par. 5</w:t>
      </w:r>
      <w:r w:rsidRPr="00000DCC">
        <w:rPr>
          <w:rFonts w:cs="Times New Roman"/>
          <w:noProof/>
          <w:lang w:val="fr-CA"/>
        </w:rPr>
        <w:noBreakHyphen/>
        <w:t>6, 44</w:t>
      </w:r>
      <w:r w:rsidRPr="00000DCC">
        <w:rPr>
          <w:rFonts w:cs="Times New Roman"/>
          <w:noProof/>
          <w:lang w:val="fr-CA"/>
        </w:rPr>
        <w:noBreakHyphen/>
        <w:t>45, 52, 54 et 60. En revanche, le décideur qui applique de manière rigide une doctrine de common law sans l’adapter au contexte administratif pertinent agit peut</w:t>
      </w:r>
      <w:r w:rsidRPr="00000DCC">
        <w:rPr>
          <w:rFonts w:cs="Times New Roman"/>
          <w:noProof/>
          <w:lang w:val="fr-CA"/>
        </w:rPr>
        <w:noBreakHyphen/>
        <w:t xml:space="preserve">être de manière déraisonnable : voir </w:t>
      </w:r>
      <w:r w:rsidRPr="00000DCC">
        <w:rPr>
          <w:rFonts w:cs="Times New Roman"/>
          <w:i/>
          <w:iCs/>
          <w:noProof/>
          <w:lang w:val="fr-CA"/>
        </w:rPr>
        <w:t>Delta Air Lines</w:t>
      </w:r>
      <w:r w:rsidRPr="00000DCC">
        <w:rPr>
          <w:rFonts w:cs="Times New Roman"/>
          <w:noProof/>
          <w:lang w:val="fr-CA"/>
        </w:rPr>
        <w:t>, par. 16</w:t>
      </w:r>
      <w:r w:rsidRPr="00000DCC">
        <w:rPr>
          <w:rFonts w:cs="Times New Roman"/>
          <w:noProof/>
          <w:lang w:val="fr-CA"/>
        </w:rPr>
        <w:noBreakHyphen/>
        <w:t>17 et 30. Bref, la question de savoir si le décideur administratif a agi raisonnablement en adaptant une règle de droit ou d’equity appelle un examen fondé dans une très large mesure sur le contexte.</w:t>
      </w:r>
    </w:p>
    <w:p w14:paraId="64EC891A"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Nous tenons également à faire remarquer que le droit international représentera une contrainte importante pour un décideur administratif dans certains domaines du processus décisionnel administratif. Il est bien établi que la législation est réputée s’appliquer conformément aux obligations internationales du Canada et que l’organe législatif est « présumé respecter les valeurs et les principes du droit international coutumier et conventionnel » : </w:t>
      </w:r>
      <w:r w:rsidRPr="00000DCC">
        <w:rPr>
          <w:rFonts w:cs="Times New Roman"/>
          <w:i/>
          <w:noProof/>
          <w:lang w:val="fr-CA"/>
        </w:rPr>
        <w:t>R. c. Hape</w:t>
      </w:r>
      <w:r w:rsidRPr="00000DCC">
        <w:rPr>
          <w:rFonts w:cs="Times New Roman"/>
          <w:noProof/>
          <w:lang w:val="fr-CA"/>
        </w:rPr>
        <w:t xml:space="preserve">, 2007 CSC 26, [2007] 2 R.C.S. 292, par. 53; </w:t>
      </w:r>
      <w:r w:rsidRPr="00000DCC">
        <w:rPr>
          <w:rFonts w:cs="Times New Roman"/>
          <w:i/>
          <w:noProof/>
          <w:lang w:val="fr-CA"/>
        </w:rPr>
        <w:t>R. c. Appulonappa</w:t>
      </w:r>
      <w:r w:rsidRPr="00000DCC">
        <w:rPr>
          <w:rFonts w:cs="Times New Roman"/>
          <w:noProof/>
          <w:lang w:val="fr-CA"/>
        </w:rPr>
        <w:t>,</w:t>
      </w:r>
      <w:r w:rsidRPr="00000DCC">
        <w:rPr>
          <w:rFonts w:cs="Times New Roman"/>
          <w:i/>
          <w:noProof/>
          <w:lang w:val="fr-CA"/>
        </w:rPr>
        <w:t xml:space="preserve"> </w:t>
      </w:r>
      <w:r w:rsidRPr="00000DCC">
        <w:rPr>
          <w:rFonts w:cs="Times New Roman"/>
          <w:noProof/>
          <w:lang w:val="fr-CA"/>
        </w:rPr>
        <w:t xml:space="preserve">2015 CSC 59, [2015] 3 R.C.S. 754, par. 40. Depuis l’arrêt </w:t>
      </w:r>
      <w:r w:rsidRPr="00000DCC">
        <w:rPr>
          <w:rFonts w:cs="Times New Roman"/>
          <w:i/>
          <w:noProof/>
          <w:lang w:val="fr-CA"/>
        </w:rPr>
        <w:t>Baker</w:t>
      </w:r>
      <w:r w:rsidRPr="00000DCC">
        <w:rPr>
          <w:rFonts w:cs="Times New Roman"/>
          <w:noProof/>
          <w:lang w:val="fr-CA"/>
        </w:rPr>
        <w:t xml:space="preserve">, il est également établi que les conventions et les traités internationaux, même s’ils n’ont pas été mis en œuvre par une loi au Canada, s’avèrent </w:t>
      </w:r>
      <w:r w:rsidRPr="00000DCC">
        <w:rPr>
          <w:rFonts w:cs="Times New Roman"/>
          <w:noProof/>
          <w:lang w:val="fr-CA"/>
        </w:rPr>
        <w:lastRenderedPageBreak/>
        <w:t xml:space="preserve">utiles pour déterminer si une décision participe d’un exercice raisonnable du pouvoir administratif : </w:t>
      </w:r>
      <w:r w:rsidRPr="00000DCC">
        <w:rPr>
          <w:rFonts w:cs="Times New Roman"/>
          <w:i/>
          <w:noProof/>
          <w:lang w:val="fr-CA"/>
        </w:rPr>
        <w:t>Baker</w:t>
      </w:r>
      <w:r w:rsidRPr="00000DCC">
        <w:rPr>
          <w:rFonts w:cs="Times New Roman"/>
          <w:noProof/>
          <w:lang w:val="fr-CA"/>
        </w:rPr>
        <w:t>, par. 69</w:t>
      </w:r>
      <w:r w:rsidRPr="00000DCC">
        <w:rPr>
          <w:rFonts w:cs="Times New Roman"/>
          <w:noProof/>
          <w:lang w:val="fr-CA"/>
        </w:rPr>
        <w:noBreakHyphen/>
        <w:t>71.</w:t>
      </w:r>
    </w:p>
    <w:p w14:paraId="61549D16" w14:textId="2AE44F51" w:rsidR="00AE2373" w:rsidRPr="00000DCC" w:rsidRDefault="002B5F5C" w:rsidP="00AE2373">
      <w:pPr>
        <w:pStyle w:val="Title4LevelTitre4Niveau"/>
        <w:numPr>
          <w:ilvl w:val="3"/>
          <w:numId w:val="8"/>
        </w:numPr>
        <w:tabs>
          <w:tab w:val="clear" w:pos="1152"/>
          <w:tab w:val="num" w:pos="900"/>
          <w:tab w:val="left" w:pos="1560"/>
        </w:tabs>
        <w:spacing w:before="0"/>
        <w:jc w:val="left"/>
        <w:rPr>
          <w:rFonts w:cs="Times New Roman"/>
          <w:noProof/>
          <w:lang w:val="fr-CA"/>
        </w:rPr>
      </w:pPr>
      <w:r>
        <w:rPr>
          <w:rFonts w:cs="Times New Roman"/>
          <w:noProof/>
          <w:lang w:val="fr-CA"/>
        </w:rPr>
        <w:tab/>
      </w:r>
      <w:r w:rsidR="00AE2373" w:rsidRPr="00000DCC">
        <w:rPr>
          <w:rFonts w:cs="Times New Roman"/>
          <w:noProof/>
          <w:lang w:val="fr-CA"/>
        </w:rPr>
        <w:t>Les principes d’interprétation législative</w:t>
      </w:r>
    </w:p>
    <w:p w14:paraId="061B39C6" w14:textId="77777777" w:rsidR="00AE2373" w:rsidRPr="00000DCC" w:rsidRDefault="00AE2373" w:rsidP="00AE2373">
      <w:pPr>
        <w:pStyle w:val="ParaNoNdepar-AltN"/>
        <w:tabs>
          <w:tab w:val="clear" w:pos="1166"/>
          <w:tab w:val="clear" w:pos="1422"/>
          <w:tab w:val="left" w:pos="1170"/>
        </w:tabs>
        <w:spacing w:before="0"/>
        <w:rPr>
          <w:rFonts w:cs="Times New Roman"/>
          <w:noProof/>
          <w:lang w:val="fr-CA"/>
        </w:rPr>
      </w:pPr>
      <w:r w:rsidRPr="00000DCC">
        <w:rPr>
          <w:rFonts w:cs="Times New Roman"/>
          <w:noProof/>
          <w:lang w:val="fr-CA"/>
        </w:rPr>
        <w:t>Les questions d’interprétation de la loi ne reçoivent pas un traitement exceptionnel. Comme toute autre question de droit, on peut les évaluer en appliquant la norme de la décision raisonnable. Bien que la méthode générale de contrôle selon la norme de la décision raisonnable exposée précédemment s’applique dans ces cas, nous sommes conscients de la nécessité de fournir des indications supplémentaires aux cours de révision sur ce point. En effet, les cours de révision ont l’habitude de trancher les questions d’interprétation législative en première instance ou en appel, où elles doivent effectuer leurs propres analyses indépendantes et tirer leurs propres conclusions.</w:t>
      </w:r>
    </w:p>
    <w:p w14:paraId="5D84202B" w14:textId="77777777" w:rsidR="00AE2373" w:rsidRPr="00000DCC" w:rsidRDefault="00AE2373" w:rsidP="00AE2373">
      <w:pPr>
        <w:pStyle w:val="ParaNoNdepar-AltN"/>
        <w:tabs>
          <w:tab w:val="clear" w:pos="1166"/>
          <w:tab w:val="clear" w:pos="1422"/>
          <w:tab w:val="left" w:pos="1170"/>
        </w:tabs>
        <w:spacing w:before="0"/>
        <w:rPr>
          <w:rFonts w:cs="Times New Roman"/>
          <w:noProof/>
          <w:lang w:val="fr-CA"/>
        </w:rPr>
      </w:pPr>
      <w:r w:rsidRPr="00000DCC">
        <w:rPr>
          <w:rFonts w:cs="Times New Roman"/>
          <w:noProof/>
          <w:lang w:val="fr-CA"/>
        </w:rPr>
        <w:t xml:space="preserve">Le contrôle selon la norme de la décision raisonnable s’effectue différemment. Si une question d’interprétation législative fait l’objet d’un contrôle selon la norme de la décision raisonnable, la cour de révision ne procède pas à une analyse </w:t>
      </w:r>
      <w:r w:rsidRPr="00000DCC">
        <w:rPr>
          <w:rFonts w:cs="Times New Roman"/>
          <w:i/>
          <w:noProof/>
          <w:lang w:val="fr-CA"/>
        </w:rPr>
        <w:t xml:space="preserve">de novo </w:t>
      </w:r>
      <w:r w:rsidRPr="00000DCC">
        <w:rPr>
          <w:rFonts w:cs="Times New Roman"/>
          <w:noProof/>
          <w:lang w:val="fr-CA"/>
        </w:rPr>
        <w:t xml:space="preserve">de la question soulevée ni ne se demande « ce qu’aurait été la décision correcte » : </w:t>
      </w:r>
      <w:r w:rsidRPr="00000DCC">
        <w:rPr>
          <w:rFonts w:cs="Times New Roman"/>
          <w:i/>
          <w:noProof/>
          <w:lang w:val="fr-CA"/>
        </w:rPr>
        <w:t>Ryan</w:t>
      </w:r>
      <w:r w:rsidRPr="00000DCC">
        <w:rPr>
          <w:rFonts w:cs="Times New Roman"/>
          <w:noProof/>
          <w:lang w:val="fr-CA"/>
        </w:rPr>
        <w:t>, par. 50. Tout comme lorsqu’elle applique la norme de la décision raisonnable dans l’examen de questions de fait ou de questions concernant un pouvoir discrétionnaire ou des politiques, la cour de justice doit plutôt examiner la décision administrative dans son ensemble, y compris les motifs fournis par le décideur et le résultat obtenu.</w:t>
      </w:r>
    </w:p>
    <w:p w14:paraId="30D2F726" w14:textId="24273508" w:rsidR="00AE2373" w:rsidRPr="00000DCC" w:rsidRDefault="00AE2373" w:rsidP="00AE2373">
      <w:pPr>
        <w:pStyle w:val="ParaNoNdepar-AltN"/>
        <w:tabs>
          <w:tab w:val="clear" w:pos="1166"/>
          <w:tab w:val="clear" w:pos="1422"/>
          <w:tab w:val="left" w:pos="1170"/>
        </w:tabs>
        <w:spacing w:before="0"/>
        <w:rPr>
          <w:rFonts w:cs="Times New Roman"/>
          <w:noProof/>
          <w:lang w:val="fr-CA"/>
        </w:rPr>
      </w:pPr>
      <w:r w:rsidRPr="00000DCC">
        <w:rPr>
          <w:rFonts w:cs="Times New Roman"/>
          <w:noProof/>
          <w:lang w:val="fr-CA"/>
        </w:rPr>
        <w:t xml:space="preserve">La cour qui interprète une disposition législative le fait en appliquant le « principe moderne » en matière d’interprétation des lois, selon lequel il faut lire les </w:t>
      </w:r>
      <w:r w:rsidRPr="00000DCC">
        <w:rPr>
          <w:rFonts w:cs="Times New Roman"/>
          <w:noProof/>
          <w:lang w:val="fr-CA"/>
        </w:rPr>
        <w:lastRenderedPageBreak/>
        <w:t xml:space="preserve">termes d’une loi « dans leur </w:t>
      </w:r>
      <w:r w:rsidRPr="00000DCC">
        <w:rPr>
          <w:rStyle w:val="solexhl"/>
          <w:rFonts w:cs="Times New Roman"/>
          <w:noProof/>
          <w:lang w:val="fr-CA"/>
        </w:rPr>
        <w:t>contexte</w:t>
      </w:r>
      <w:r w:rsidRPr="00000DCC">
        <w:rPr>
          <w:rFonts w:cs="Times New Roman"/>
          <w:noProof/>
          <w:lang w:val="fr-CA"/>
        </w:rPr>
        <w:t xml:space="preserve"> global en suivant le sens ordinaire et </w:t>
      </w:r>
      <w:r w:rsidRPr="00000DCC">
        <w:rPr>
          <w:rStyle w:val="solexhl"/>
          <w:rFonts w:cs="Times New Roman"/>
          <w:noProof/>
          <w:lang w:val="fr-CA"/>
        </w:rPr>
        <w:t>grammatical</w:t>
      </w:r>
      <w:r w:rsidRPr="00000DCC">
        <w:rPr>
          <w:rFonts w:cs="Times New Roman"/>
          <w:noProof/>
          <w:lang w:val="fr-CA"/>
        </w:rPr>
        <w:t xml:space="preserve"> q</w:t>
      </w:r>
      <w:r w:rsidR="00E0620A">
        <w:rPr>
          <w:rFonts w:cs="Times New Roman"/>
          <w:noProof/>
          <w:lang w:val="fr-CA"/>
        </w:rPr>
        <w:t>ui s’harmonise avec l’économie</w:t>
      </w:r>
      <w:r w:rsidRPr="00000DCC">
        <w:rPr>
          <w:rFonts w:cs="Times New Roman"/>
          <w:noProof/>
          <w:lang w:val="fr-CA"/>
        </w:rPr>
        <w:t xml:space="preserve"> de la loi, l’objet de la loi et l’</w:t>
      </w:r>
      <w:r w:rsidRPr="00000DCC">
        <w:rPr>
          <w:rStyle w:val="solexhl"/>
          <w:rFonts w:cs="Times New Roman"/>
          <w:noProof/>
          <w:lang w:val="fr-CA"/>
        </w:rPr>
        <w:t>intention</w:t>
      </w:r>
      <w:r w:rsidRPr="00000DCC">
        <w:rPr>
          <w:rFonts w:cs="Times New Roman"/>
          <w:noProof/>
          <w:lang w:val="fr-CA"/>
        </w:rPr>
        <w:t xml:space="preserve"> du législateur » : </w:t>
      </w:r>
      <w:r w:rsidRPr="00000DCC">
        <w:rPr>
          <w:rFonts w:cs="Times New Roman"/>
          <w:i/>
          <w:noProof/>
          <w:lang w:val="fr-CA"/>
        </w:rPr>
        <w:t>Rizzo &amp; Rizzo Shoes Ltd. (Re)</w:t>
      </w:r>
      <w:r>
        <w:rPr>
          <w:rFonts w:cs="Times New Roman"/>
          <w:noProof/>
          <w:lang w:val="fr-CA"/>
        </w:rPr>
        <w:t>, [1998] 1 R.C.S. 27, par. 21,</w:t>
      </w:r>
      <w:r w:rsidRPr="00000DCC">
        <w:rPr>
          <w:rFonts w:cs="Times New Roman"/>
          <w:noProof/>
          <w:lang w:val="fr-CA"/>
        </w:rPr>
        <w:t xml:space="preserve"> et </w:t>
      </w:r>
      <w:r w:rsidRPr="00000DCC">
        <w:rPr>
          <w:rFonts w:cs="Times New Roman"/>
          <w:i/>
          <w:noProof/>
          <w:lang w:val="fr-CA"/>
        </w:rPr>
        <w:t>Bell ExpressVu Limited Partnership c. Rex</w:t>
      </w:r>
      <w:r w:rsidRPr="00000DCC">
        <w:rPr>
          <w:rFonts w:cs="Times New Roman"/>
          <w:noProof/>
          <w:lang w:val="fr-CA"/>
        </w:rPr>
        <w:t xml:space="preserve">, 2002 CSC 42, [2002] 2 R.C.S. 559, par. 26, citant tous deux E. Driedger, </w:t>
      </w:r>
      <w:r w:rsidRPr="00000DCC">
        <w:rPr>
          <w:rFonts w:cs="Times New Roman"/>
          <w:i/>
          <w:noProof/>
          <w:lang w:val="fr-CA"/>
        </w:rPr>
        <w:t>Construction of Statutes</w:t>
      </w:r>
      <w:r w:rsidRPr="00000DCC">
        <w:rPr>
          <w:rFonts w:cs="Times New Roman"/>
          <w:noProof/>
          <w:lang w:val="fr-CA"/>
        </w:rPr>
        <w:t xml:space="preserve"> (2</w:t>
      </w:r>
      <w:r w:rsidRPr="00000DCC">
        <w:rPr>
          <w:rFonts w:cs="Times New Roman"/>
          <w:noProof/>
          <w:vertAlign w:val="superscript"/>
          <w:lang w:val="fr-CA"/>
        </w:rPr>
        <w:t>e</w:t>
      </w:r>
      <w:r w:rsidRPr="00000DCC">
        <w:rPr>
          <w:rFonts w:cs="Times New Roman"/>
          <w:noProof/>
          <w:lang w:val="fr-CA"/>
        </w:rPr>
        <w:t> </w:t>
      </w:r>
      <w:r>
        <w:rPr>
          <w:rFonts w:cs="Times New Roman"/>
          <w:noProof/>
          <w:lang w:val="fr-CA"/>
        </w:rPr>
        <w:t>éd. 1983), p. 87</w:t>
      </w:r>
      <w:r w:rsidRPr="00000DCC">
        <w:rPr>
          <w:rFonts w:cs="Times New Roman"/>
          <w:noProof/>
          <w:lang w:val="fr-CA"/>
        </w:rPr>
        <w:t>. Le Parlement et les législatures provinciales ont également donné certaines indications en adoptant des règles législatives qui encadrent explicitement l’interprétation des lois et des règlements : voir, p</w:t>
      </w:r>
      <w:r w:rsidR="0041192F">
        <w:rPr>
          <w:rFonts w:cs="Times New Roman"/>
          <w:noProof/>
          <w:lang w:val="fr-CA"/>
        </w:rPr>
        <w:t>. </w:t>
      </w:r>
      <w:r w:rsidRPr="00000DCC">
        <w:rPr>
          <w:rFonts w:cs="Times New Roman"/>
          <w:noProof/>
          <w:lang w:val="fr-CA"/>
        </w:rPr>
        <w:t xml:space="preserve">ex., la </w:t>
      </w:r>
      <w:r w:rsidRPr="00000DCC">
        <w:rPr>
          <w:rFonts w:cs="Times New Roman"/>
          <w:i/>
          <w:noProof/>
          <w:lang w:val="fr-CA"/>
        </w:rPr>
        <w:t>Loi d’interprétation</w:t>
      </w:r>
      <w:r w:rsidRPr="00000DCC">
        <w:rPr>
          <w:rFonts w:cs="Times New Roman"/>
          <w:noProof/>
          <w:szCs w:val="24"/>
          <w:shd w:val="clear" w:color="auto" w:fill="FFFFFF"/>
          <w:lang w:val="fr-CA"/>
        </w:rPr>
        <w:t>, L.R.C. 1985, c. I</w:t>
      </w:r>
      <w:r w:rsidRPr="00000DCC">
        <w:rPr>
          <w:rFonts w:cs="Times New Roman"/>
          <w:noProof/>
          <w:szCs w:val="24"/>
          <w:shd w:val="clear" w:color="auto" w:fill="FFFFFF"/>
          <w:lang w:val="fr-CA"/>
        </w:rPr>
        <w:noBreakHyphen/>
        <w:t>21.</w:t>
      </w:r>
    </w:p>
    <w:p w14:paraId="28604B5E" w14:textId="77777777" w:rsidR="00AE2373" w:rsidRPr="00000DCC" w:rsidRDefault="00AE2373" w:rsidP="00AE2373">
      <w:pPr>
        <w:pStyle w:val="ParaNoNdepar-AltN"/>
        <w:tabs>
          <w:tab w:val="clear" w:pos="1166"/>
          <w:tab w:val="clear" w:pos="1422"/>
          <w:tab w:val="num" w:pos="1170"/>
        </w:tabs>
        <w:spacing w:before="0"/>
        <w:rPr>
          <w:rFonts w:cs="Times New Roman"/>
          <w:noProof/>
          <w:szCs w:val="24"/>
          <w:shd w:val="clear" w:color="auto" w:fill="FFFFFF"/>
          <w:lang w:val="fr-CA"/>
        </w:rPr>
      </w:pPr>
      <w:r w:rsidRPr="00000DCC">
        <w:rPr>
          <w:rFonts w:cs="Times New Roman"/>
          <w:noProof/>
          <w:lang w:val="fr-CA"/>
        </w:rPr>
        <w:t>Notre Cour a adopté ce « principe moderne » en tant que méthode appropriée d’interprétation des lois parce que c’est uniquement à partir du texte de loi, de l’objet de la disposition législative et du contexte dans son ensemble qu’il est possible de saisir l’intention du législateur : Sullivan, p. 7</w:t>
      </w:r>
      <w:r w:rsidRPr="00000DCC">
        <w:rPr>
          <w:rFonts w:cs="Times New Roman"/>
          <w:noProof/>
          <w:lang w:val="fr-CA"/>
        </w:rPr>
        <w:noBreakHyphen/>
        <w:t>8. Les personnes qui rédigent et adoptent des textes de loi s’attendent à ce que les questions concernant leur sens soient tranchées à la suite d’une analyse qui tienne compte du libellé, du contexte et de l’objet de la disposition concernée, que l’entité chargée d’interpréter la loi soit une cour de justice ou un décideur administratif. Une méthode de contrôle selon la norme de la décision raisonnable qui respecte l’intention du législateur doit donc tenir pour acquis que les instances chargées d’interpréter la loi — qu’il s’agisse des cours de justice ou des décideurs administratifs — effectueront cet exercice conformément au principe d’interprétation susmentionné.</w:t>
      </w:r>
    </w:p>
    <w:p w14:paraId="11381178" w14:textId="77777777" w:rsidR="00AE2373" w:rsidRPr="00000DCC" w:rsidRDefault="00AE2373" w:rsidP="00AE2373">
      <w:pPr>
        <w:pStyle w:val="ParaNoNdepar-AltN"/>
        <w:tabs>
          <w:tab w:val="clear" w:pos="1166"/>
          <w:tab w:val="clear" w:pos="1422"/>
          <w:tab w:val="left" w:pos="1170"/>
        </w:tabs>
        <w:spacing w:before="0"/>
        <w:rPr>
          <w:rFonts w:cs="Times New Roman"/>
          <w:noProof/>
          <w:lang w:val="fr-CA"/>
        </w:rPr>
      </w:pPr>
      <w:r w:rsidRPr="00000DCC">
        <w:rPr>
          <w:rFonts w:cs="Times New Roman"/>
          <w:noProof/>
          <w:lang w:val="fr-CA"/>
        </w:rPr>
        <w:t xml:space="preserve">Les décideurs administratifs ne sont pas tenus dans tous les cas de procéder à une interprétation formaliste de la loi. Comme nous l’avons déjà expliqué, il n’est pas toujours nécessaire de motiver formellement une décision. Dans les cas où il faut en </w:t>
      </w:r>
      <w:r w:rsidRPr="00000DCC">
        <w:rPr>
          <w:rFonts w:cs="Times New Roman"/>
          <w:noProof/>
          <w:lang w:val="fr-CA"/>
        </w:rPr>
        <w:lastRenderedPageBreak/>
        <w:t>fournir, les motifs peuvent revêtir diverses formes. Et même lorsque l’interprétation à laquelle se livre le décideur administratif est exposée dans des motifs écrits, elle pourrait sembler bien différente de celle effectuée par la cour de justice. L’expertise spécialisée et l’expérience des décideurs administratifs peuvent parfois les amener à s’en remettre, pour interpréter une disposition, à des considérations qu’une cour de justice n’aurait pas songé à évoquer, mais qui enrichissent et rehaussent bel et bien l’interprétation.</w:t>
      </w:r>
    </w:p>
    <w:p w14:paraId="2F02E48A"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Or, quelle que soit la forme que prend l’opération d’interprétation d’une disposition législative, le fond de l’interprétation de celle</w:t>
      </w:r>
      <w:r w:rsidRPr="00000DCC">
        <w:rPr>
          <w:rFonts w:cs="Times New Roman"/>
          <w:noProof/>
          <w:lang w:val="fr-CA"/>
        </w:rPr>
        <w:noBreakHyphen/>
        <w:t xml:space="preserve">ci par le décideur administratif doit être conforme à son texte, à son contexte et à son objet. En ce sens, les principes habituels d’interprétation législative s’appliquent tout autant lorsqu’un décideur administratif interprète une disposition. Par exemple, lorsque le libellé d’une disposition est « précis et non équivoque », son sens ordinaire joue normalement un rôle plus important dans le processus d’interprétation : </w:t>
      </w:r>
      <w:r w:rsidRPr="00000DCC">
        <w:rPr>
          <w:rFonts w:cs="Times New Roman"/>
          <w:i/>
          <w:noProof/>
          <w:lang w:val="fr-CA"/>
        </w:rPr>
        <w:t xml:space="preserve">Hypothèques Trustco Canada </w:t>
      </w:r>
      <w:r w:rsidRPr="00000DCC">
        <w:rPr>
          <w:rFonts w:cs="Times New Roman"/>
          <w:i/>
          <w:iCs/>
          <w:noProof/>
          <w:lang w:val="fr-CA"/>
        </w:rPr>
        <w:t>c</w:t>
      </w:r>
      <w:r w:rsidRPr="00000DCC">
        <w:rPr>
          <w:rFonts w:cs="Times New Roman"/>
          <w:i/>
          <w:noProof/>
          <w:lang w:val="fr-CA"/>
        </w:rPr>
        <w:t>. Canada</w:t>
      </w:r>
      <w:r w:rsidRPr="00000DCC">
        <w:rPr>
          <w:rFonts w:cs="Times New Roman"/>
          <w:noProof/>
          <w:lang w:val="fr-CA"/>
        </w:rPr>
        <w:t>, 2005 CSC 54, [2005] 2 R.C.S. 601, par. 10. Lorsque le sens d’une disposition législative est contesté au cours d’une instance administrative, il incombe au décideur de démontrer dans ses motifs qu’il était conscient de ces éléments essentiels.</w:t>
      </w:r>
    </w:p>
    <w:p w14:paraId="1D064199" w14:textId="77777777" w:rsidR="00AE2373" w:rsidRPr="00000DCC" w:rsidRDefault="00AE2373" w:rsidP="00AE2373">
      <w:pPr>
        <w:pStyle w:val="ParaNoNdepar-AltN"/>
        <w:tabs>
          <w:tab w:val="clear" w:pos="1166"/>
          <w:tab w:val="clear" w:pos="1422"/>
          <w:tab w:val="left" w:pos="1170"/>
        </w:tabs>
        <w:spacing w:before="0"/>
        <w:rPr>
          <w:rFonts w:cs="Times New Roman"/>
          <w:noProof/>
          <w:lang w:val="fr-CA"/>
        </w:rPr>
      </w:pPr>
      <w:r w:rsidRPr="00000DCC">
        <w:rPr>
          <w:rFonts w:cs="Times New Roman"/>
          <w:noProof/>
          <w:lang w:val="fr-CA"/>
        </w:rPr>
        <w:t xml:space="preserve">La tâche du décideur administratif est d’interpréter la disposition contestée d’une manière qui cadre avec le texte, le contexte et l’objet, compte tenu de sa compréhension particulière du régime législatif en cause. Toutefois, le décideur administratif ne peut adopter une interprétation qu’il sait de moindre qualité — mais plausible — simplement parce que cette interprétation paraît possible et opportune. Il </w:t>
      </w:r>
      <w:r w:rsidRPr="00000DCC">
        <w:rPr>
          <w:rFonts w:cs="Times New Roman"/>
          <w:noProof/>
          <w:lang w:val="fr-CA"/>
        </w:rPr>
        <w:lastRenderedPageBreak/>
        <w:t>incombe au décideur de véritablement s’efforcer de discerner le sens de la disposition et l’intention du législateur, et non d’échafauder une interprétation à partir du résultat souhaité.</w:t>
      </w:r>
    </w:p>
    <w:p w14:paraId="140F5EA8"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Il se peut qu’au moment d’interpréter une disposition législative, le décideur administratif ne tienne aucunement compte d’un aspect pertinent de son texte, de son contexte ou de son objet. Lorsqu’il s’agit d’un aspect mineur du contexte interprétatif, cette omission n’est pas susceptible de compromettre la décision dans son ensemble. Il est bien établi que les décideurs ne sont pas tenus « de traiter expressément de toutes les interprétations possibles » d’une disposition donnée : </w:t>
      </w:r>
      <w:r w:rsidRPr="00000DCC">
        <w:rPr>
          <w:rFonts w:cs="Times New Roman"/>
          <w:i/>
          <w:noProof/>
          <w:lang w:val="fr-CA"/>
        </w:rPr>
        <w:t>Construction Labour Relations c. Driver Iron Inc.</w:t>
      </w:r>
      <w:r w:rsidRPr="00000DCC">
        <w:rPr>
          <w:rFonts w:cs="Times New Roman"/>
          <w:noProof/>
          <w:lang w:val="fr-CA"/>
        </w:rPr>
        <w:t>, 2012 CSC 65, [2012] 3 R.C.S. 405, par. 3. À l’instar des juges, les décideurs administratifs peuvent estimer qu’il n’est pas nécessaire de s’attarder, dans leurs motifs, au moindre signal d’une intention législative. Dans bien des cas, il peut se révéler nécessaire de ne prendre en compte que les aspects principaux du texte, du contexte ou de l’objet. Toutefois, s’il est manifeste que le décideur administratif aurait pu fort bien arriver à un résultat</w:t>
      </w:r>
      <w:r>
        <w:rPr>
          <w:rFonts w:cs="Times New Roman"/>
          <w:noProof/>
          <w:lang w:val="fr-CA"/>
        </w:rPr>
        <w:t xml:space="preserve"> </w:t>
      </w:r>
      <w:r w:rsidRPr="00000DCC">
        <w:rPr>
          <w:rFonts w:cs="Times New Roman"/>
          <w:noProof/>
          <w:lang w:val="fr-CA"/>
        </w:rPr>
        <w:t>différent s’il avait pris en compte un élément clé du texte, du contexte ou de l’objet d’une disposition législative, le défaut de tenir compte de cet élément pourrait alors être indéfendable et déraisonnable dans les circonstances. Comme d’autres aspects du contrôle selon la norme de la décision raisonnable, les omissions ne justifient pas à elles seules l’intervention judiciaire : il s’agit principalement de savoir si l’aspect omis de l’analyse amène la cour de révision à perdre confiance dans le résultat auquel est arrivé le décideur.</w:t>
      </w:r>
    </w:p>
    <w:p w14:paraId="2CAEFEDE"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Par ailleurs, il se peut que le décideur administratif n’examine pas expressément dans ses motifs le sens d’une disposition pertinente, mais que la cour de </w:t>
      </w:r>
      <w:r w:rsidRPr="00000DCC">
        <w:rPr>
          <w:rFonts w:cs="Times New Roman"/>
          <w:noProof/>
          <w:lang w:val="fr-CA"/>
        </w:rPr>
        <w:lastRenderedPageBreak/>
        <w:t>révision soit en mesure de discerner l’interprétation adoptée à la lumière du dossier et de se prononcer sur le caractère raisonnable de cette interprétation.</w:t>
      </w:r>
    </w:p>
    <w:p w14:paraId="50744817" w14:textId="649F8F0C"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Enfin, même si la cour qui effectue un contrôle selon la norme de la décision raisonnable </w:t>
      </w:r>
      <w:r w:rsidRPr="004F3E8D">
        <w:rPr>
          <w:rFonts w:cs="Times New Roman"/>
          <w:i/>
          <w:noProof/>
          <w:lang w:val="fr-CA"/>
        </w:rPr>
        <w:t>ne</w:t>
      </w:r>
      <w:r w:rsidRPr="00000DCC">
        <w:rPr>
          <w:rFonts w:cs="Times New Roman"/>
          <w:noProof/>
          <w:lang w:val="fr-CA"/>
        </w:rPr>
        <w:t xml:space="preserve"> doit </w:t>
      </w:r>
      <w:r w:rsidRPr="004F3E8D">
        <w:rPr>
          <w:rFonts w:cs="Times New Roman"/>
          <w:i/>
          <w:noProof/>
          <w:lang w:val="fr-CA"/>
        </w:rPr>
        <w:t>pas</w:t>
      </w:r>
      <w:r w:rsidRPr="00000DCC">
        <w:rPr>
          <w:rFonts w:cs="Times New Roman"/>
          <w:noProof/>
          <w:lang w:val="fr-CA"/>
        </w:rPr>
        <w:t xml:space="preserve"> procéder à une analyse </w:t>
      </w:r>
      <w:r w:rsidRPr="00000DCC">
        <w:rPr>
          <w:rFonts w:cs="Times New Roman"/>
          <w:i/>
          <w:noProof/>
          <w:lang w:val="fr-CA"/>
        </w:rPr>
        <w:t xml:space="preserve">de novo </w:t>
      </w:r>
      <w:r w:rsidRPr="00000DCC">
        <w:rPr>
          <w:rFonts w:cs="Times New Roman"/>
          <w:noProof/>
          <w:lang w:val="fr-CA"/>
        </w:rPr>
        <w:t xml:space="preserve">ni déterminer l’interprétation « correcte » d’une disposition contestée, il devient parfois évident, lors du contrôle de la décision, que </w:t>
      </w:r>
      <w:r w:rsidRPr="008C05EB">
        <w:rPr>
          <w:rFonts w:cs="Times New Roman"/>
          <w:noProof/>
          <w:lang w:val="fr-CA"/>
        </w:rPr>
        <w:t>l’interaction</w:t>
      </w:r>
      <w:r w:rsidRPr="00000DCC">
        <w:rPr>
          <w:rFonts w:cs="Times New Roman"/>
          <w:noProof/>
          <w:lang w:val="fr-CA"/>
        </w:rPr>
        <w:t xml:space="preserve"> du texte, du contexte et de l’objet ouvre</w:t>
      </w:r>
      <w:bookmarkStart w:id="0" w:name="_GoBack"/>
      <w:bookmarkEnd w:id="0"/>
      <w:r w:rsidRPr="00000DCC">
        <w:rPr>
          <w:rFonts w:cs="Times New Roman"/>
          <w:noProof/>
          <w:lang w:val="fr-CA"/>
        </w:rPr>
        <w:t xml:space="preserve"> la porte à une seule interprétation raisonnable de la disposition législative en cause ou de l’aspect contesté de celle</w:t>
      </w:r>
      <w:r w:rsidRPr="00000DCC">
        <w:rPr>
          <w:rFonts w:cs="Times New Roman"/>
          <w:noProof/>
          <w:lang w:val="fr-CA"/>
        </w:rPr>
        <w:noBreakHyphen/>
        <w:t xml:space="preserve">ci : </w:t>
      </w:r>
      <w:r w:rsidRPr="00000DCC">
        <w:rPr>
          <w:rFonts w:cs="Times New Roman"/>
          <w:i/>
          <w:noProof/>
          <w:lang w:val="fr-CA"/>
        </w:rPr>
        <w:t>Dunsmuir</w:t>
      </w:r>
      <w:r w:rsidRPr="00000DCC">
        <w:rPr>
          <w:rFonts w:cs="Times New Roman"/>
          <w:noProof/>
          <w:lang w:val="fr-CA"/>
        </w:rPr>
        <w:t>, par. 72</w:t>
      </w:r>
      <w:r w:rsidRPr="00000DCC">
        <w:rPr>
          <w:rFonts w:cs="Times New Roman"/>
          <w:noProof/>
          <w:lang w:val="fr-CA"/>
        </w:rPr>
        <w:noBreakHyphen/>
        <w:t xml:space="preserve">76. Cette conclusion a été tirée notamment dans l’arrêt </w:t>
      </w:r>
      <w:r w:rsidRPr="00000DCC">
        <w:rPr>
          <w:rFonts w:cs="Times New Roman"/>
          <w:i/>
          <w:noProof/>
          <w:szCs w:val="24"/>
          <w:lang w:val="fr-CA"/>
        </w:rPr>
        <w:t>Nova Tube Inc./Nova Steel Inc.</w:t>
      </w:r>
      <w:r w:rsidRPr="00000DCC">
        <w:rPr>
          <w:rFonts w:cs="Times New Roman"/>
          <w:noProof/>
          <w:szCs w:val="24"/>
          <w:lang w:val="fr-CA"/>
        </w:rPr>
        <w:t xml:space="preserve"> </w:t>
      </w:r>
      <w:r w:rsidRPr="00000DCC">
        <w:rPr>
          <w:rFonts w:cs="Times New Roman"/>
          <w:i/>
          <w:noProof/>
          <w:szCs w:val="24"/>
          <w:lang w:val="fr-CA"/>
        </w:rPr>
        <w:t>c. Conares Metal Supply Ltd.</w:t>
      </w:r>
      <w:r w:rsidRPr="00000DCC">
        <w:rPr>
          <w:rFonts w:cs="Times New Roman"/>
          <w:noProof/>
          <w:szCs w:val="24"/>
          <w:lang w:val="fr-CA"/>
        </w:rPr>
        <w:t xml:space="preserve">, 2019 CAF 52, où, après avoir analysé le raisonnement du décideur administratif </w:t>
      </w:r>
      <w:r w:rsidRPr="00000DCC">
        <w:rPr>
          <w:rFonts w:cs="Times New Roman"/>
          <w:noProof/>
          <w:lang w:val="fr-CA"/>
        </w:rPr>
        <w:t>(par. 26</w:t>
      </w:r>
      <w:r w:rsidRPr="00000DCC">
        <w:rPr>
          <w:rFonts w:cs="Times New Roman"/>
          <w:noProof/>
          <w:lang w:val="fr-CA"/>
        </w:rPr>
        <w:noBreakHyphen/>
        <w:t>61 (CanLII))</w:t>
      </w:r>
      <w:r w:rsidRPr="00000DCC">
        <w:rPr>
          <w:rFonts w:cs="Times New Roman"/>
          <w:noProof/>
          <w:szCs w:val="24"/>
          <w:lang w:val="fr-CA"/>
        </w:rPr>
        <w:t xml:space="preserve">, le juge </w:t>
      </w:r>
      <w:r w:rsidRPr="00000DCC">
        <w:rPr>
          <w:rFonts w:cs="Times New Roman"/>
          <w:noProof/>
          <w:lang w:val="fr-CA"/>
        </w:rPr>
        <w:t xml:space="preserve">Laskin a statué que l’interprétation de ce décideur était déraisonnable et, en outre, que les facteurs dont il a tenu compte militaient si </w:t>
      </w:r>
      <w:r w:rsidRPr="00000DCC">
        <w:rPr>
          <w:rFonts w:cs="Times New Roman"/>
          <w:noProof/>
          <w:szCs w:val="24"/>
          <w:lang w:val="fr-CA"/>
        </w:rPr>
        <w:t>fortement en faveur de l’interprétation contraire qu’elle constituait la seule interprétation raisonnable de la disposition en cause : par. 61. Comme nous l’expliquerons plus loin, il ne servirait à rien de renvoyer la question de l’interprétation au décideur initial en pareil cas</w:t>
      </w:r>
      <w:r w:rsidRPr="00000DCC">
        <w:rPr>
          <w:rFonts w:cs="Times New Roman"/>
          <w:noProof/>
          <w:lang w:val="fr-CA"/>
        </w:rPr>
        <w:t>. Par contre, les cours de justice devraient généralement hésiter à se prononcer de manière définitive sur l’interprétation d’une disposition qui relève de la compétence d’un décideur administratif.</w:t>
      </w:r>
    </w:p>
    <w:p w14:paraId="17FE7219" w14:textId="3489F94F" w:rsidR="00AE2373" w:rsidRPr="00000DCC" w:rsidRDefault="00AA4F68" w:rsidP="00AA4F68">
      <w:pPr>
        <w:pStyle w:val="Title4LevelTitre4Niveau"/>
        <w:numPr>
          <w:ilvl w:val="3"/>
          <w:numId w:val="8"/>
        </w:numPr>
        <w:tabs>
          <w:tab w:val="clear" w:pos="1152"/>
          <w:tab w:val="num" w:pos="900"/>
          <w:tab w:val="left" w:pos="1560"/>
        </w:tabs>
        <w:spacing w:before="0"/>
        <w:jc w:val="left"/>
        <w:rPr>
          <w:rFonts w:cs="Times New Roman"/>
          <w:noProof/>
          <w:lang w:val="fr-CA"/>
        </w:rPr>
      </w:pPr>
      <w:r>
        <w:rPr>
          <w:rFonts w:cs="Times New Roman"/>
          <w:noProof/>
          <w:lang w:val="fr-CA"/>
        </w:rPr>
        <w:t xml:space="preserve"> </w:t>
      </w:r>
      <w:r>
        <w:rPr>
          <w:rFonts w:cs="Times New Roman"/>
          <w:noProof/>
          <w:lang w:val="fr-CA"/>
        </w:rPr>
        <w:tab/>
      </w:r>
      <w:r w:rsidR="00AE2373" w:rsidRPr="00000DCC">
        <w:rPr>
          <w:rFonts w:cs="Times New Roman"/>
          <w:noProof/>
          <w:lang w:val="fr-CA"/>
        </w:rPr>
        <w:t>La preuve dont disposait le décideur</w:t>
      </w:r>
    </w:p>
    <w:p w14:paraId="176BF776" w14:textId="12CDFF6F"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Il est acquis que le décideur administratif peut apprécier et évaluer la preuve qui lui est soumise et qu’à moins de circonstances exceptionnelles, les cours de révision ne modifient pas ses conclusions de fait. Les cours de révision doivent également s’abstenir « d’apprécier à nouveau la preuve </w:t>
      </w:r>
      <w:r w:rsidR="00FB082A">
        <w:rPr>
          <w:rFonts w:cs="Times New Roman"/>
          <w:noProof/>
          <w:lang w:val="fr-CA"/>
        </w:rPr>
        <w:t>prise en compte</w:t>
      </w:r>
      <w:r w:rsidRPr="00000DCC">
        <w:rPr>
          <w:rFonts w:cs="Times New Roman"/>
          <w:noProof/>
          <w:lang w:val="fr-CA"/>
        </w:rPr>
        <w:t xml:space="preserve"> par le </w:t>
      </w:r>
      <w:r w:rsidRPr="00000DCC">
        <w:rPr>
          <w:rFonts w:cs="Times New Roman"/>
          <w:noProof/>
          <w:lang w:val="fr-CA"/>
        </w:rPr>
        <w:lastRenderedPageBreak/>
        <w:t xml:space="preserve">décideur » : </w:t>
      </w:r>
      <w:r w:rsidRPr="00000DCC">
        <w:rPr>
          <w:rFonts w:cs="Times New Roman"/>
          <w:i/>
          <w:noProof/>
          <w:lang w:val="fr-CA"/>
        </w:rPr>
        <w:t>CCDP</w:t>
      </w:r>
      <w:r w:rsidRPr="00000DCC">
        <w:rPr>
          <w:rFonts w:cs="Times New Roman"/>
          <w:noProof/>
          <w:lang w:val="fr-CA"/>
        </w:rPr>
        <w:t xml:space="preserve">, par. 55; voir également </w:t>
      </w:r>
      <w:r w:rsidRPr="00000DCC">
        <w:rPr>
          <w:rFonts w:cs="Times New Roman"/>
          <w:i/>
          <w:iCs/>
          <w:noProof/>
          <w:lang w:val="fr-CA"/>
        </w:rPr>
        <w:t>Khosa</w:t>
      </w:r>
      <w:r w:rsidRPr="00000DCC">
        <w:rPr>
          <w:rFonts w:cs="Times New Roman"/>
          <w:noProof/>
          <w:lang w:val="fr-CA"/>
        </w:rPr>
        <w:t xml:space="preserve">, par. 64; </w:t>
      </w:r>
      <w:r w:rsidRPr="00000DCC">
        <w:rPr>
          <w:rFonts w:cs="Times New Roman"/>
          <w:i/>
          <w:iCs/>
          <w:noProof/>
          <w:lang w:val="fr-CA"/>
        </w:rPr>
        <w:t>Dr Q</w:t>
      </w:r>
      <w:r w:rsidRPr="00000DCC">
        <w:rPr>
          <w:rFonts w:cs="Times New Roman"/>
          <w:noProof/>
          <w:lang w:val="fr-CA"/>
        </w:rPr>
        <w:t>, par. 41</w:t>
      </w:r>
      <w:r w:rsidRPr="00000DCC">
        <w:rPr>
          <w:rFonts w:cs="Times New Roman"/>
          <w:noProof/>
          <w:lang w:val="fr-CA"/>
        </w:rPr>
        <w:noBreakHyphen/>
        <w:t xml:space="preserve">42. D’ailleurs, bon nombre des mêmes raisons qui justifient la déférence d’une cour d’appel à l’égard des conclusions de fait tirées par une juridiction inférieure, dont la nécessité d’assurer l’efficacité judiciaire, l’importance de préserver la certitude et la confiance du public et la position avantageuse qu’occupe le décideur de première instance, s’appliquent également dans le contexte du contrôle judiciaire : voir </w:t>
      </w:r>
      <w:r w:rsidRPr="00000DCC">
        <w:rPr>
          <w:rFonts w:cs="Times New Roman"/>
          <w:i/>
          <w:noProof/>
          <w:lang w:val="fr-CA"/>
        </w:rPr>
        <w:t>Housen</w:t>
      </w:r>
      <w:r w:rsidRPr="00000DCC">
        <w:rPr>
          <w:rFonts w:cs="Times New Roman"/>
          <w:noProof/>
          <w:lang w:val="fr-CA"/>
        </w:rPr>
        <w:t>, par. 15</w:t>
      </w:r>
      <w:r w:rsidRPr="00000DCC">
        <w:rPr>
          <w:rFonts w:cs="Times New Roman"/>
          <w:noProof/>
          <w:lang w:val="fr-CA"/>
        </w:rPr>
        <w:noBreakHyphen/>
        <w:t xml:space="preserve">18; </w:t>
      </w:r>
      <w:r w:rsidRPr="00000DCC">
        <w:rPr>
          <w:rFonts w:cs="Times New Roman"/>
          <w:i/>
          <w:iCs/>
          <w:noProof/>
          <w:lang w:val="fr-CA"/>
        </w:rPr>
        <w:t>Dr Q</w:t>
      </w:r>
      <w:r w:rsidRPr="00000DCC">
        <w:rPr>
          <w:rFonts w:cs="Times New Roman"/>
          <w:noProof/>
          <w:lang w:val="fr-CA"/>
        </w:rPr>
        <w:t xml:space="preserve">, par. 38; </w:t>
      </w:r>
      <w:r w:rsidRPr="00000DCC">
        <w:rPr>
          <w:rFonts w:cs="Times New Roman"/>
          <w:i/>
          <w:noProof/>
          <w:lang w:val="fr-CA"/>
        </w:rPr>
        <w:t>Dunsmuir</w:t>
      </w:r>
      <w:r w:rsidRPr="00000DCC">
        <w:rPr>
          <w:rFonts w:cs="Times New Roman"/>
          <w:noProof/>
          <w:lang w:val="fr-CA"/>
        </w:rPr>
        <w:t>, par. 53.</w:t>
      </w:r>
    </w:p>
    <w:p w14:paraId="24011D32" w14:textId="25671C72" w:rsidR="00AE2373" w:rsidRPr="00000DCC" w:rsidRDefault="00AE2373" w:rsidP="00AE2373">
      <w:pPr>
        <w:pStyle w:val="ParaNoNdepar-AltN"/>
        <w:tabs>
          <w:tab w:val="clear" w:pos="1166"/>
          <w:tab w:val="clear" w:pos="1422"/>
          <w:tab w:val="left" w:pos="1170"/>
        </w:tabs>
        <w:spacing w:before="0"/>
        <w:rPr>
          <w:rFonts w:cs="Times New Roman"/>
          <w:noProof/>
          <w:lang w:val="fr-CA"/>
        </w:rPr>
      </w:pPr>
      <w:r w:rsidRPr="00000DCC">
        <w:rPr>
          <w:rFonts w:cs="Times New Roman"/>
          <w:noProof/>
          <w:lang w:val="fr-CA"/>
        </w:rPr>
        <w:t xml:space="preserve">Cela dit, une décision raisonnable en est une qui se justifie au regard des faits : </w:t>
      </w:r>
      <w:r w:rsidRPr="00000DCC">
        <w:rPr>
          <w:rFonts w:cs="Times New Roman"/>
          <w:i/>
          <w:noProof/>
          <w:lang w:val="fr-CA"/>
        </w:rPr>
        <w:t>Dunsmuir</w:t>
      </w:r>
      <w:r w:rsidRPr="00000DCC">
        <w:rPr>
          <w:rFonts w:cs="Times New Roman"/>
          <w:noProof/>
          <w:lang w:val="fr-CA"/>
        </w:rPr>
        <w:t xml:space="preserve">, par. 47. Le décideur doit prendre en considération la preuve versée au dossier et la trame factuelle générale qui </w:t>
      </w:r>
      <w:r w:rsidR="00013346">
        <w:rPr>
          <w:rFonts w:cs="Times New Roman"/>
          <w:noProof/>
          <w:lang w:val="fr-CA"/>
        </w:rPr>
        <w:t xml:space="preserve">a </w:t>
      </w:r>
      <w:r w:rsidRPr="00000DCC">
        <w:rPr>
          <w:rFonts w:cs="Times New Roman"/>
          <w:noProof/>
          <w:lang w:val="fr-CA"/>
        </w:rPr>
        <w:t xml:space="preserve">une incidence sur sa décision et celle-ci doit être raisonnable au regard de ces éléments : voir </w:t>
      </w:r>
      <w:r w:rsidRPr="00000DCC">
        <w:rPr>
          <w:rFonts w:cs="Times New Roman"/>
          <w:i/>
          <w:noProof/>
          <w:lang w:val="fr-CA"/>
        </w:rPr>
        <w:t>Southam</w:t>
      </w:r>
      <w:r w:rsidRPr="00000DCC">
        <w:rPr>
          <w:rFonts w:cs="Times New Roman"/>
          <w:noProof/>
          <w:lang w:val="fr-CA"/>
        </w:rPr>
        <w:t xml:space="preserve">, par. 56. Le caractère raisonnable d’une décision peut être compromis si le décideur s’est fondamentalement mépris sur la preuve qui lui a été soumise ou n’en a pas tenu compte. Dans l’arrêt </w:t>
      </w:r>
      <w:r w:rsidRPr="00000DCC">
        <w:rPr>
          <w:rFonts w:cs="Times New Roman"/>
          <w:i/>
          <w:noProof/>
          <w:lang w:val="fr-CA"/>
        </w:rPr>
        <w:t>Baker</w:t>
      </w:r>
      <w:r w:rsidRPr="00000DCC">
        <w:rPr>
          <w:rFonts w:cs="Times New Roman"/>
          <w:noProof/>
          <w:lang w:val="fr-CA"/>
        </w:rPr>
        <w:t xml:space="preserve">, par exemple, le décideur s’était fondé sur des stéréotypes dénués de pertinence et n’avait pas pris en compte une preuve pertinente, ce qui a mené à la conclusion qu’il existait une crainte raisonnable de partialité : par. 48. En outre, la démarche adoptée par le décideur permettait </w:t>
      </w:r>
      <w:r w:rsidRPr="00000DCC">
        <w:rPr>
          <w:rFonts w:cs="Times New Roman"/>
          <w:i/>
          <w:noProof/>
          <w:lang w:val="fr-CA"/>
        </w:rPr>
        <w:t>également</w:t>
      </w:r>
      <w:r w:rsidRPr="00000DCC">
        <w:rPr>
          <w:rFonts w:cs="Times New Roman"/>
          <w:noProof/>
          <w:lang w:val="fr-CA"/>
        </w:rPr>
        <w:t xml:space="preserve"> de conclure au caractère déraisonnable de sa décision, car il avait démontré que ses conclusions ne reposaient pas sur la preuve dont il disposait en réalité</w:t>
      </w:r>
      <w:r w:rsidR="00E660C2">
        <w:rPr>
          <w:rFonts w:cs="Times New Roman"/>
          <w:noProof/>
          <w:lang w:val="fr-CA"/>
        </w:rPr>
        <w:t> </w:t>
      </w:r>
      <w:r w:rsidRPr="00000DCC">
        <w:rPr>
          <w:rFonts w:cs="Times New Roman"/>
          <w:noProof/>
          <w:lang w:val="fr-CA"/>
        </w:rPr>
        <w:t xml:space="preserve">: </w:t>
      </w:r>
      <w:r w:rsidR="00E36AC8">
        <w:rPr>
          <w:rFonts w:cs="Times New Roman"/>
          <w:i/>
          <w:noProof/>
          <w:lang w:val="fr-CA"/>
        </w:rPr>
        <w:t>ibid</w:t>
      </w:r>
      <w:r w:rsidRPr="00000DCC">
        <w:rPr>
          <w:rFonts w:cs="Times New Roman"/>
          <w:noProof/>
          <w:lang w:val="fr-CA"/>
        </w:rPr>
        <w:t>.</w:t>
      </w:r>
    </w:p>
    <w:p w14:paraId="59C9CAE6" w14:textId="681A836D" w:rsidR="00AE2373" w:rsidRPr="00000DCC" w:rsidRDefault="00E36AC8" w:rsidP="00AE2373">
      <w:pPr>
        <w:pStyle w:val="Title4LevelTitre4Niveau"/>
        <w:numPr>
          <w:ilvl w:val="3"/>
          <w:numId w:val="8"/>
        </w:numPr>
        <w:tabs>
          <w:tab w:val="clear" w:pos="1152"/>
          <w:tab w:val="num" w:pos="900"/>
          <w:tab w:val="left" w:pos="1560"/>
        </w:tabs>
        <w:spacing w:before="0"/>
        <w:jc w:val="left"/>
        <w:rPr>
          <w:rFonts w:cs="Times New Roman"/>
          <w:noProof/>
          <w:lang w:val="fr-CA"/>
        </w:rPr>
      </w:pPr>
      <w:r>
        <w:rPr>
          <w:rFonts w:cs="Times New Roman"/>
          <w:noProof/>
          <w:lang w:val="fr-CA"/>
        </w:rPr>
        <w:tab/>
      </w:r>
      <w:r w:rsidR="00AE2373" w:rsidRPr="00000DCC">
        <w:rPr>
          <w:rFonts w:cs="Times New Roman"/>
          <w:noProof/>
          <w:lang w:val="fr-CA"/>
        </w:rPr>
        <w:t>Les observations des parties</w:t>
      </w:r>
    </w:p>
    <w:p w14:paraId="2D79BB30"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Les principes de la justification et de la transparence exigent que les motifs du décideur administratif tiennent valablement compte des questions et préoccupations centrales soulevées par les parties. Le principe suivant lequel la ou les personnes visées </w:t>
      </w:r>
      <w:r w:rsidRPr="00000DCC">
        <w:rPr>
          <w:rFonts w:cs="Times New Roman"/>
          <w:noProof/>
          <w:lang w:val="fr-CA"/>
        </w:rPr>
        <w:lastRenderedPageBreak/>
        <w:t xml:space="preserve">par une décision doivent avoir la possibilité de présenter entièrement et équitablement leur position est à la base de l’obligation d’équité procédurale et trouve son origine dans le droit d’être entendu : </w:t>
      </w:r>
      <w:r w:rsidRPr="00000DCC">
        <w:rPr>
          <w:rFonts w:cs="Times New Roman"/>
          <w:i/>
          <w:noProof/>
          <w:lang w:val="fr-CA"/>
        </w:rPr>
        <w:t>Baker</w:t>
      </w:r>
      <w:r w:rsidRPr="00000DCC">
        <w:rPr>
          <w:rFonts w:cs="Times New Roman"/>
          <w:noProof/>
          <w:lang w:val="fr-CA"/>
        </w:rPr>
        <w:t xml:space="preserve">, par. 28. La notion de « motifs adaptés aux questions et préoccupations soulevées » est inextricablement liée à ce principe étant donné que les motifs sont le principal mécanisme par lequel le décideur démontre qu’il a effectivement </w:t>
      </w:r>
      <w:r w:rsidRPr="00000DCC">
        <w:rPr>
          <w:rFonts w:cs="Times New Roman"/>
          <w:i/>
          <w:noProof/>
          <w:lang w:val="fr-CA"/>
        </w:rPr>
        <w:t>écouté</w:t>
      </w:r>
      <w:r w:rsidRPr="00000DCC">
        <w:rPr>
          <w:rFonts w:cs="Times New Roman"/>
          <w:noProof/>
          <w:lang w:val="fr-CA"/>
        </w:rPr>
        <w:t xml:space="preserve"> les parties.</w:t>
      </w:r>
    </w:p>
    <w:p w14:paraId="320EEDEA"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Les cours de révision ne peuvent s’attendre à ce que les décideurs administratifs « répondent à tous les arguments ou modes possibles d’analyse » (</w:t>
      </w:r>
      <w:r w:rsidRPr="00000DCC">
        <w:rPr>
          <w:rFonts w:cs="Times New Roman"/>
          <w:i/>
          <w:noProof/>
          <w:lang w:val="fr-CA"/>
        </w:rPr>
        <w:t>Newfoundland Nurses</w:t>
      </w:r>
      <w:r w:rsidRPr="00000DCC">
        <w:rPr>
          <w:rFonts w:cs="Times New Roman"/>
          <w:noProof/>
          <w:lang w:val="fr-CA"/>
        </w:rPr>
        <w:t>, par. 25) ou « tire[nt] une conclusion explicite sur chaque élément constitutif du raisonnement, si subordonné soit</w:t>
      </w:r>
      <w:r w:rsidRPr="00000DCC">
        <w:rPr>
          <w:rFonts w:cs="Times New Roman"/>
          <w:noProof/>
          <w:lang w:val="fr-CA"/>
        </w:rPr>
        <w:noBreakHyphen/>
        <w:t>il, qui a mené à [leur] conclusion finale » (par. 16). Une telle exigence aurait un effet paralysant sur le bon fonctionnement des organismes administratifs et compromettrait inutilement des valeurs importantes telles que l’efficacité et l’accès à la justice. Toutefois, le fait qu’un décideur n’ait pas réussi à s’attaquer de façon significative aux questions clés ou aux arguments principaux formulés par les parties permet de se demander s’il était effectivement attentif et sensible à la question qui lui était soumise. En plus d’assurer</w:t>
      </w:r>
      <w:r>
        <w:rPr>
          <w:rFonts w:cs="Times New Roman"/>
          <w:noProof/>
          <w:lang w:val="fr-CA"/>
        </w:rPr>
        <w:t xml:space="preserve"> </w:t>
      </w:r>
      <w:r w:rsidRPr="00000DCC">
        <w:rPr>
          <w:rFonts w:cs="Times New Roman"/>
          <w:noProof/>
          <w:lang w:val="fr-CA"/>
        </w:rPr>
        <w:t xml:space="preserve">aux parties que leurs préoccupations ont été prises en considération, le simple fait de rédiger des motifs avec soin et attention permet au décideur d’éviter que son raisonnement soit entaché de lacunes et d’autres failles involontaires : </w:t>
      </w:r>
      <w:r w:rsidRPr="00000DCC">
        <w:rPr>
          <w:rFonts w:cs="Times New Roman"/>
          <w:i/>
          <w:noProof/>
          <w:lang w:val="fr-CA"/>
        </w:rPr>
        <w:t>Baker</w:t>
      </w:r>
      <w:r w:rsidRPr="00000DCC">
        <w:rPr>
          <w:rFonts w:cs="Times New Roman"/>
          <w:noProof/>
          <w:lang w:val="fr-CA"/>
        </w:rPr>
        <w:t>, par. 39.</w:t>
      </w:r>
    </w:p>
    <w:p w14:paraId="01C9FCCF" w14:textId="5C30DBCA" w:rsidR="00AE2373" w:rsidRPr="00000DCC" w:rsidRDefault="00E00D54" w:rsidP="00AE2373">
      <w:pPr>
        <w:pStyle w:val="Title4LevelTitre4Niveau"/>
        <w:numPr>
          <w:ilvl w:val="3"/>
          <w:numId w:val="8"/>
        </w:numPr>
        <w:tabs>
          <w:tab w:val="clear" w:pos="1152"/>
          <w:tab w:val="num" w:pos="900"/>
          <w:tab w:val="left" w:pos="1560"/>
        </w:tabs>
        <w:spacing w:before="0"/>
        <w:jc w:val="left"/>
        <w:rPr>
          <w:rFonts w:cs="Times New Roman"/>
          <w:noProof/>
          <w:lang w:val="fr-CA"/>
        </w:rPr>
      </w:pPr>
      <w:r>
        <w:rPr>
          <w:rFonts w:cs="Times New Roman"/>
          <w:noProof/>
          <w:lang w:val="fr-CA"/>
        </w:rPr>
        <w:tab/>
      </w:r>
      <w:r w:rsidR="00AE2373" w:rsidRPr="00000DCC">
        <w:rPr>
          <w:rFonts w:cs="Times New Roman"/>
          <w:noProof/>
          <w:lang w:val="fr-CA"/>
        </w:rPr>
        <w:t>Les pratiques et décisions antérieures</w:t>
      </w:r>
    </w:p>
    <w:p w14:paraId="3CF439A9" w14:textId="1C1C853D" w:rsidR="00AE2373" w:rsidRPr="00000DCC" w:rsidRDefault="00AE2373" w:rsidP="00AE2373">
      <w:pPr>
        <w:pStyle w:val="ParaNoNdepar-AltN"/>
        <w:tabs>
          <w:tab w:val="clear" w:pos="1166"/>
          <w:tab w:val="clear" w:pos="1422"/>
          <w:tab w:val="left" w:pos="1170"/>
        </w:tabs>
        <w:spacing w:before="0"/>
        <w:rPr>
          <w:rFonts w:cs="Times New Roman"/>
          <w:noProof/>
          <w:lang w:val="fr-CA"/>
        </w:rPr>
      </w:pPr>
      <w:r w:rsidRPr="00000DCC">
        <w:rPr>
          <w:rFonts w:cs="Times New Roman"/>
          <w:noProof/>
          <w:lang w:val="fr-CA"/>
        </w:rPr>
        <w:t xml:space="preserve">Les décideurs administratifs ne sont pas liés par leurs décisions antérieures au même titre que le sont les cours de justice suivant la règle du </w:t>
      </w:r>
      <w:r w:rsidRPr="00000DCC">
        <w:rPr>
          <w:rFonts w:cs="Times New Roman"/>
          <w:i/>
          <w:noProof/>
          <w:lang w:val="fr-CA"/>
        </w:rPr>
        <w:t>stare decisis</w:t>
      </w:r>
      <w:r w:rsidRPr="00000DCC">
        <w:rPr>
          <w:rFonts w:cs="Times New Roman"/>
          <w:noProof/>
          <w:lang w:val="fr-CA"/>
        </w:rPr>
        <w:t xml:space="preserve">. Comme l’a fait remarquer la Cour dans l’arrêt </w:t>
      </w:r>
      <w:r w:rsidRPr="00000DCC">
        <w:rPr>
          <w:rFonts w:cs="Times New Roman"/>
          <w:i/>
          <w:noProof/>
          <w:lang w:val="fr-CA"/>
        </w:rPr>
        <w:t>Domtar</w:t>
      </w:r>
      <w:r w:rsidRPr="00000DCC">
        <w:rPr>
          <w:rFonts w:cs="Times New Roman"/>
          <w:noProof/>
          <w:lang w:val="fr-CA"/>
        </w:rPr>
        <w:t>, « l’absence d’unanimité est</w:t>
      </w:r>
      <w:r w:rsidR="00D52D06">
        <w:rPr>
          <w:rFonts w:cs="Times New Roman"/>
          <w:noProof/>
          <w:lang w:val="fr-CA"/>
        </w:rPr>
        <w:t xml:space="preserve"> [. . .]</w:t>
      </w:r>
      <w:r w:rsidRPr="00000DCC">
        <w:rPr>
          <w:rFonts w:cs="Times New Roman"/>
          <w:noProof/>
          <w:lang w:val="fr-CA"/>
        </w:rPr>
        <w:t xml:space="preserve"> le prix </w:t>
      </w:r>
      <w:r w:rsidRPr="00000DCC">
        <w:rPr>
          <w:rFonts w:cs="Times New Roman"/>
          <w:noProof/>
          <w:lang w:val="fr-CA"/>
        </w:rPr>
        <w:lastRenderedPageBreak/>
        <w:t>à payer pour la liberté et l’indépendance décisionnelle » accordées aux décideurs administratifs, et la simple existence d’un certain conflit dans la jurisprudence d’un organisme administratif ne menace pas la primauté du droit : p. 800. Les décideurs administratifs et les cours de révision doivent toutefois se soucier de l’uniformité générale des décisions administratives. Les personnes visées par les décisions administratives sont en droit de s’attendre à ce que</w:t>
      </w:r>
      <w:r w:rsidRPr="00000DCC">
        <w:rPr>
          <w:rFonts w:eastAsia="Times New Roman" w:cs="Times New Roman"/>
          <w:noProof/>
          <w:szCs w:val="24"/>
          <w:lang w:val="fr-CA" w:eastAsia="en-CA"/>
        </w:rPr>
        <w:t xml:space="preserve"> l</w:t>
      </w:r>
      <w:r w:rsidRPr="00000DCC">
        <w:rPr>
          <w:rFonts w:cs="Times New Roman"/>
          <w:noProof/>
          <w:lang w:val="fr-CA"/>
        </w:rPr>
        <w:t>es affaires semblables soient généralement tranchées de la même façon et que les résultats ne dépendent pas seulement de l’identité du décideur — des attentes qui ne s’évaporent pas du simple fait que les parties ne comparaissent pas devant un juge.</w:t>
      </w:r>
    </w:p>
    <w:p w14:paraId="0054E589"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Heureusement, les organismes administratifs disposent généralement d’un éventail de ressources pour répondre à ce genre de préoccupations. La consultation des motifs antérieurs et de leurs résumés permet aux multiples décideurs au sein d’une même organisation (tels les membres d’un tribunal administratif) d’apprendre les uns des autres et de contribuer à l’édification d’une culture décisionnelle harmonisée. Les institutions se fient elles aussi régulièrement à des normes, à des directives stratégiques, ainsi qu’à des avis juridiques internes pour favoriser une plus grande uniformité et pour orienter le travail des décideurs de première ligne. La Cour a également conclu que les réunions plénières des membres d’un tribunal peuvent constituer un moyen efficace de « favoriser la cohérence » et d’« éviter [les] solutions incompatibles » : </w:t>
      </w:r>
      <w:r w:rsidRPr="00000DCC">
        <w:rPr>
          <w:rFonts w:cs="Times New Roman"/>
          <w:i/>
          <w:noProof/>
          <w:lang w:val="fr-CA"/>
        </w:rPr>
        <w:t>SITBA c. Consolidated-Bathurst Packaging Ltd.</w:t>
      </w:r>
      <w:r w:rsidRPr="00000DCC">
        <w:rPr>
          <w:rFonts w:cs="Times New Roman"/>
          <w:noProof/>
          <w:lang w:val="fr-CA"/>
        </w:rPr>
        <w:t>, [1990] 1 R.C.S. 282, p. 324</w:t>
      </w:r>
      <w:r w:rsidRPr="00000DCC">
        <w:rPr>
          <w:rFonts w:cs="Times New Roman"/>
          <w:noProof/>
          <w:lang w:val="fr-CA"/>
        </w:rPr>
        <w:noBreakHyphen/>
        <w:t xml:space="preserve">328. Lorsque des désaccords surviennent au sein d’un organisme administratif sur la façon de trancher convenablement une question donnée, cette institution peut également prendre l’initiative de mettre au point des stratégies pour régler ses divergences à l’interne. Évidemment, l’uniformité peut être aussi encouragée par l’utilisation de méthodes </w:t>
      </w:r>
      <w:r w:rsidRPr="00000DCC">
        <w:rPr>
          <w:rFonts w:cs="Times New Roman"/>
          <w:noProof/>
          <w:lang w:val="fr-CA"/>
        </w:rPr>
        <w:lastRenderedPageBreak/>
        <w:t>moins formelles comme des outils de formation, des listes de vérification et des modèles, lesquels peuvent être élaborés afin de simplifier et de renforcer les pratiques exemplaires au sein de l’institution — pourvu que ces méthodes n’entravent pas le processus décisionnel.</w:t>
      </w:r>
    </w:p>
    <w:p w14:paraId="53F67AC8" w14:textId="77777777" w:rsidR="00AE2373" w:rsidRPr="00000DCC" w:rsidRDefault="00AE2373" w:rsidP="00AE2373">
      <w:pPr>
        <w:pStyle w:val="ParaNoNdepar-AltN"/>
        <w:tabs>
          <w:tab w:val="clear" w:pos="1166"/>
          <w:tab w:val="clear" w:pos="1422"/>
          <w:tab w:val="left" w:pos="1170"/>
        </w:tabs>
        <w:spacing w:before="0"/>
        <w:rPr>
          <w:rFonts w:cs="Times New Roman"/>
          <w:noProof/>
          <w:lang w:val="fr-CA"/>
        </w:rPr>
      </w:pPr>
      <w:r w:rsidRPr="00000DCC">
        <w:rPr>
          <w:rFonts w:cs="Times New Roman"/>
          <w:noProof/>
          <w:lang w:val="fr-CA"/>
        </w:rPr>
        <w:t xml:space="preserve">La question de savoir si une décision en particulier est conforme à la jurisprudence de l’organisme administratif est elle aussi une contrainte dont devrait tenir compte la cour de révision au moment de décider si cette décision est raisonnable. Lorsqu’un décideur </w:t>
      </w:r>
      <w:r w:rsidRPr="00000DCC">
        <w:rPr>
          <w:rFonts w:cs="Times New Roman"/>
          <w:i/>
          <w:noProof/>
          <w:lang w:val="fr-CA"/>
        </w:rPr>
        <w:t>s’écarte</w:t>
      </w:r>
      <w:r w:rsidRPr="00000DCC">
        <w:rPr>
          <w:rFonts w:cs="Times New Roman"/>
          <w:noProof/>
          <w:lang w:val="fr-CA"/>
        </w:rPr>
        <w:t xml:space="preserve"> d’une pratique de longue date ou d’une jurisprudence interne constante, c’est sur ses épaules que repose le fardeau d’expliquer cet écart dans ses motifs. Si le décideur ne s’acquitte pas de ce fardeau, la décision est déraisonnable. En ce sens, les attentes légitimes des parties servent à déterminer à la fois la nécessité de motiver la décision et le contenu des motifs : </w:t>
      </w:r>
      <w:r w:rsidRPr="00000DCC">
        <w:rPr>
          <w:rFonts w:cs="Times New Roman"/>
          <w:i/>
          <w:noProof/>
          <w:lang w:val="fr-CA"/>
        </w:rPr>
        <w:t>Baker</w:t>
      </w:r>
      <w:r w:rsidRPr="00000DCC">
        <w:rPr>
          <w:rFonts w:cs="Times New Roman"/>
          <w:noProof/>
          <w:lang w:val="fr-CA"/>
        </w:rPr>
        <w:t>, par. 26. Nous le répétons, il ne s’ensuit pas pour autant que les décideurs administratifs sont liés par les décisions antérieures au même titre que les cours de justice. Cela veut plutôt dire qu’une décision dérogeant à une pratique de longue date ou à une jurisprudence interne établie sera raisonnable si cette dérogation est justifiée, ce qui réduit le risque d’arbitraire, lequel a un effet préjudiciable sur la confiance du public envers les décideurs administratifs et le système de justice dans son ensemble.</w:t>
      </w:r>
    </w:p>
    <w:p w14:paraId="31D12579" w14:textId="77777777" w:rsidR="00AE2373" w:rsidRPr="00000DCC" w:rsidRDefault="00AE2373" w:rsidP="00AE2373">
      <w:pPr>
        <w:pStyle w:val="ParaNoNdepar-AltN"/>
        <w:tabs>
          <w:tab w:val="clear" w:pos="1166"/>
          <w:tab w:val="clear" w:pos="1422"/>
          <w:tab w:val="left" w:pos="1170"/>
        </w:tabs>
        <w:spacing w:before="0"/>
        <w:rPr>
          <w:rFonts w:cs="Times New Roman"/>
          <w:noProof/>
          <w:lang w:val="fr-CA"/>
        </w:rPr>
      </w:pPr>
      <w:r w:rsidRPr="00000DCC">
        <w:rPr>
          <w:rFonts w:cs="Times New Roman"/>
          <w:noProof/>
          <w:lang w:val="fr-CA"/>
        </w:rPr>
        <w:t xml:space="preserve">Comme nous l’avons expliqué, certains ont soutenu qu’un contrôle selon la norme de la décision correcte s’imposerait dans les cas où des questions de droit « sèment constamment la discorde » dans les décisions d’un organisme administratif. Nous estimons que point n’est besoin d’une telle catégorie de questions où la norme de la décision correcte s’applique; nous devons toutefois souligner que les cours de </w:t>
      </w:r>
      <w:r w:rsidRPr="00000DCC">
        <w:rPr>
          <w:rFonts w:cs="Times New Roman"/>
          <w:noProof/>
          <w:lang w:val="fr-CA"/>
        </w:rPr>
        <w:lastRenderedPageBreak/>
        <w:t>révision ont un rôle à jouer lorsqu’il s’agit de réduire le risque d’interprétations juridiques constamment discordantes ou contradictoires dans les décisions d’un organisme administratif. Lorsqu’elle dispose d’une preuve concernant l’existence d’un désaccord au sein d’un organisme administratif sur la façon de trancher des questions de droit</w:t>
      </w:r>
      <w:r w:rsidRPr="00000DCC">
        <w:rPr>
          <w:rFonts w:eastAsia="Times New Roman" w:cs="Times New Roman"/>
          <w:noProof/>
          <w:szCs w:val="24"/>
          <w:lang w:val="fr-CA" w:eastAsia="en-CA"/>
        </w:rPr>
        <w:t>, une</w:t>
      </w:r>
      <w:r w:rsidRPr="00000DCC">
        <w:rPr>
          <w:rFonts w:cs="Times New Roman"/>
          <w:noProof/>
          <w:lang w:val="fr-CA"/>
        </w:rPr>
        <w:t xml:space="preserve"> cour de révision pourrait estimer opportun d’en faire mention dans ses motifs et d’encourager le recours aux mécanismes internes pour résoudre le désaccord. Et si le désaccord interne persiste, il pourrait devenir de plus en plus difficile pour l’organisme administratif de justifier des décisions qui ne serviraient qu’à perpétuer la discorde.</w:t>
      </w:r>
    </w:p>
    <w:p w14:paraId="3F975A84" w14:textId="596CC380" w:rsidR="00AE2373" w:rsidRPr="00000DCC" w:rsidRDefault="00BD0797" w:rsidP="00AE2373">
      <w:pPr>
        <w:pStyle w:val="Title4LevelTitre4Niveau"/>
        <w:numPr>
          <w:ilvl w:val="3"/>
          <w:numId w:val="8"/>
        </w:numPr>
        <w:tabs>
          <w:tab w:val="clear" w:pos="1152"/>
          <w:tab w:val="num" w:pos="900"/>
          <w:tab w:val="left" w:pos="1560"/>
        </w:tabs>
        <w:spacing w:before="0"/>
        <w:jc w:val="left"/>
        <w:rPr>
          <w:rFonts w:cs="Times New Roman"/>
          <w:noProof/>
          <w:lang w:val="fr-CA"/>
        </w:rPr>
      </w:pPr>
      <w:r>
        <w:rPr>
          <w:rFonts w:cs="Times New Roman"/>
          <w:noProof/>
          <w:lang w:val="fr-CA"/>
        </w:rPr>
        <w:tab/>
      </w:r>
      <w:r w:rsidR="00AE2373" w:rsidRPr="00000DCC">
        <w:rPr>
          <w:rFonts w:cs="Times New Roman"/>
          <w:noProof/>
          <w:lang w:val="fr-CA"/>
        </w:rPr>
        <w:t>L’incidence de la décision sur l’individu visé</w:t>
      </w:r>
    </w:p>
    <w:p w14:paraId="2C783F57" w14:textId="77777777" w:rsidR="00AE2373" w:rsidRPr="00000DCC" w:rsidRDefault="00AE2373" w:rsidP="00AE2373">
      <w:pPr>
        <w:pStyle w:val="ParaNoNdepar-AltN"/>
        <w:tabs>
          <w:tab w:val="clear" w:pos="1166"/>
          <w:tab w:val="clear" w:pos="1422"/>
          <w:tab w:val="left" w:pos="1170"/>
        </w:tabs>
        <w:spacing w:before="0"/>
        <w:rPr>
          <w:rFonts w:cs="Times New Roman"/>
          <w:noProof/>
          <w:lang w:val="fr-CA"/>
        </w:rPr>
      </w:pPr>
      <w:r w:rsidRPr="00000DCC">
        <w:rPr>
          <w:rFonts w:cs="Times New Roman"/>
          <w:noProof/>
          <w:lang w:val="fr-CA"/>
        </w:rPr>
        <w:t xml:space="preserve">Il est bien établi que les individus ont droit à une plus grande protection procédurale lorsque la décision sous examen est susceptible d’avoir des répercussions personnelles importantes ou de leur causer un grave préjudice : </w:t>
      </w:r>
      <w:r w:rsidRPr="00000DCC">
        <w:rPr>
          <w:rFonts w:cs="Times New Roman"/>
          <w:i/>
          <w:noProof/>
          <w:lang w:val="fr-CA"/>
        </w:rPr>
        <w:t>Baker</w:t>
      </w:r>
      <w:r w:rsidRPr="00000DCC">
        <w:rPr>
          <w:rFonts w:cs="Times New Roman"/>
          <w:noProof/>
          <w:lang w:val="fr-CA"/>
        </w:rPr>
        <w:t>, par. 25. Toutefois, ce principe a également une incidence sur la manière dont une cour de justice effectue un contrôle selon la norme de la décision raisonnable. Le point de vue de la partie ou de l’individu sur lequel l’autorité est exercée est au cœur de la nécessité d’une justification adéquate. Lorsque la décision a des répercussions sévères sur les droits et intérêts de l’individu visé, les motifs fournis à ce dernier doivent refléter ces enjeux. Le principe de la justification adaptée aux questions et préoccupations soulevées veut que le décideur explique pourquoi sa décision reflète le mieux l’intention du législateur, malgré les conséquences particulièrement graves pour l’individu concerné. Cela vaut notamment pour les décisions dont les conséquences menacent la vie, la liberté, la dignité ou les moyens de subsistance d’un individu.</w:t>
      </w:r>
    </w:p>
    <w:p w14:paraId="1C22A7BA" w14:textId="1527EF28"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lastRenderedPageBreak/>
        <w:t xml:space="preserve">En outre, les préoccupations relatives à l’arbitraire sont généralement plus prononcées dans les cas où la décision a des conséquences particulièrement graves ou sévères pour la partie visée et le défaut de traiter de ces conséquences peut fort bien se révéler déraisonnable. Par exemple, notre Cour a statué qu’au moment d’exercer sa compétence en equity pour ordonner un sursis à l’exécution d’une mesure de renvoi en vertu de la </w:t>
      </w:r>
      <w:r w:rsidRPr="00000DCC">
        <w:rPr>
          <w:rFonts w:cs="Times New Roman"/>
          <w:i/>
          <w:noProof/>
          <w:lang w:val="fr-CA"/>
        </w:rPr>
        <w:t>Loi sur l’immigration et la protection des réfugiés</w:t>
      </w:r>
      <w:r w:rsidRPr="00000DCC">
        <w:rPr>
          <w:rFonts w:cs="Times New Roman"/>
          <w:noProof/>
          <w:lang w:val="fr-CA"/>
        </w:rPr>
        <w:t>,</w:t>
      </w:r>
      <w:r w:rsidRPr="00000DCC">
        <w:rPr>
          <w:rFonts w:cs="Times New Roman"/>
          <w:i/>
          <w:noProof/>
          <w:lang w:val="fr-CA"/>
        </w:rPr>
        <w:t xml:space="preserve"> </w:t>
      </w:r>
      <w:r w:rsidRPr="00000DCC">
        <w:rPr>
          <w:rFonts w:cs="Times New Roman"/>
          <w:noProof/>
          <w:lang w:val="fr-CA"/>
        </w:rPr>
        <w:t>la section d’appel de l’immigration devait tenir compte des difficultés que risque de connaître la personne concernée à l’étranger par suite de son expulsion</w:t>
      </w:r>
      <w:r w:rsidR="00F53970">
        <w:rPr>
          <w:rFonts w:cs="Times New Roman"/>
          <w:noProof/>
          <w:lang w:val="fr-CA"/>
        </w:rPr>
        <w:t> </w:t>
      </w:r>
      <w:r w:rsidRPr="00000DCC">
        <w:rPr>
          <w:rFonts w:cs="Times New Roman"/>
          <w:noProof/>
          <w:lang w:val="fr-CA"/>
        </w:rPr>
        <w:t xml:space="preserve">: </w:t>
      </w:r>
      <w:r w:rsidRPr="00000DCC">
        <w:rPr>
          <w:rFonts w:cs="Times New Roman"/>
          <w:i/>
          <w:noProof/>
          <w:lang w:val="fr-CA"/>
        </w:rPr>
        <w:t xml:space="preserve">Chieu c. </w:t>
      </w:r>
      <w:r>
        <w:rPr>
          <w:rFonts w:cs="Times New Roman"/>
          <w:i/>
          <w:noProof/>
          <w:lang w:val="fr-CA"/>
        </w:rPr>
        <w:t>Canada (Ministre de la Citoyenne</w:t>
      </w:r>
      <w:r w:rsidRPr="00000DCC">
        <w:rPr>
          <w:rFonts w:cs="Times New Roman"/>
          <w:i/>
          <w:noProof/>
          <w:lang w:val="fr-CA"/>
        </w:rPr>
        <w:t>té et de l’Immigration)</w:t>
      </w:r>
      <w:r w:rsidRPr="00000DCC">
        <w:rPr>
          <w:rFonts w:cs="Times New Roman"/>
          <w:noProof/>
          <w:lang w:val="fr-CA"/>
        </w:rPr>
        <w:t>, 2002 CSC 3, [2002] 1 R.C.S. 84.</w:t>
      </w:r>
    </w:p>
    <w:p w14:paraId="78894A1B"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Bon nombre de décideurs administratifs se voient confier des pouvoirs extraordinaires sur la vie de gens ordinaires, dont beaucoup sont parmi les plus vulnérables de notre société. Le corollaire de ce pouvoir est la responsabilité accrue qui échoit aux décideurs administratifs de s’assurer que leurs motifs démontrent qu’ils ont tenu compte des conséquences d’une décision et que ces conséquences sont justifiées au regard des faits et du droit.</w:t>
      </w:r>
    </w:p>
    <w:p w14:paraId="45ECEF36" w14:textId="77777777" w:rsidR="00AE2373" w:rsidRPr="00000DCC" w:rsidRDefault="00AE2373" w:rsidP="00AE2373">
      <w:pPr>
        <w:pStyle w:val="Title2LevelTitre2Niveau"/>
        <w:numPr>
          <w:ilvl w:val="1"/>
          <w:numId w:val="8"/>
        </w:numPr>
        <w:tabs>
          <w:tab w:val="left" w:pos="1560"/>
        </w:tabs>
        <w:spacing w:before="0"/>
        <w:jc w:val="left"/>
        <w:rPr>
          <w:rFonts w:cs="Times New Roman"/>
          <w:noProof/>
          <w:lang w:val="fr-CA"/>
        </w:rPr>
      </w:pPr>
      <w:r w:rsidRPr="00000DCC">
        <w:rPr>
          <w:rFonts w:cs="Times New Roman"/>
          <w:noProof/>
          <w:lang w:val="fr-CA"/>
        </w:rPr>
        <w:t>Le contrôle en l’absence de motifs</w:t>
      </w:r>
    </w:p>
    <w:p w14:paraId="2DA1B8C5" w14:textId="047FBAD1"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bidi="en-US"/>
        </w:rPr>
        <w:t>L</w:t>
      </w:r>
      <w:r w:rsidRPr="00000DCC">
        <w:rPr>
          <w:rFonts w:cs="Times New Roman"/>
          <w:noProof/>
          <w:lang w:val="fr-CA"/>
        </w:rPr>
        <w:t xml:space="preserve">orsque l’obligation d’équité procédurale ou le régime législatif appellent la communication de motifs à la partie touchée mais qu’aucuns motifs n’ont été donnés, </w:t>
      </w:r>
      <w:r w:rsidRPr="00000DCC">
        <w:rPr>
          <w:rFonts w:cs="Times New Roman"/>
          <w:noProof/>
          <w:lang w:val="fr-CA" w:bidi="en-US"/>
        </w:rPr>
        <w:t>la décision doit généralement être infirmée et l’affaire, renvoyée au décideur</w:t>
      </w:r>
      <w:r w:rsidR="009B4EA1">
        <w:rPr>
          <w:rFonts w:cs="Times New Roman"/>
          <w:noProof/>
          <w:lang w:val="fr-CA" w:bidi="en-US"/>
        </w:rPr>
        <w:t> </w:t>
      </w:r>
      <w:r w:rsidRPr="00000DCC">
        <w:rPr>
          <w:rFonts w:cs="Times New Roman"/>
          <w:noProof/>
          <w:lang w:val="fr-CA" w:bidi="en-US"/>
        </w:rPr>
        <w:t xml:space="preserve">: voir, p. ex., </w:t>
      </w:r>
      <w:r w:rsidRPr="00000DCC">
        <w:rPr>
          <w:rFonts w:cs="Times New Roman"/>
          <w:i/>
          <w:noProof/>
          <w:lang w:val="fr-CA" w:bidi="en-US"/>
        </w:rPr>
        <w:t>Congrégation des témoins de Jéhovah de St</w:t>
      </w:r>
      <w:r w:rsidRPr="00000DCC">
        <w:rPr>
          <w:rFonts w:cs="Times New Roman"/>
          <w:i/>
          <w:noProof/>
          <w:lang w:val="fr-CA" w:bidi="en-US"/>
        </w:rPr>
        <w:noBreakHyphen/>
        <w:t>Jérôme</w:t>
      </w:r>
      <w:r w:rsidRPr="00000DCC">
        <w:rPr>
          <w:rFonts w:cs="Times New Roman"/>
          <w:i/>
          <w:noProof/>
          <w:lang w:val="fr-CA" w:bidi="en-US"/>
        </w:rPr>
        <w:noBreakHyphen/>
        <w:t>Lafontaine</w:t>
      </w:r>
      <w:r w:rsidRPr="00000DCC">
        <w:rPr>
          <w:rFonts w:cs="Times New Roman"/>
          <w:noProof/>
          <w:lang w:val="fr-CA" w:bidi="en-US"/>
        </w:rPr>
        <w:t>, par. 35. En outre, si des motifs sont communiqués, mais que ceux</w:t>
      </w:r>
      <w:r w:rsidRPr="00000DCC">
        <w:rPr>
          <w:rFonts w:cs="Times New Roman"/>
          <w:noProof/>
          <w:lang w:val="fr-CA" w:bidi="en-US"/>
        </w:rPr>
        <w:noBreakHyphen/>
        <w:t xml:space="preserve">ci ne justifient pas la décision de manière transparente et intelligible comme nous l’avons expliqué, la décision sera déraisonnable. Dans de nombreux cas toutefois, ni l’obligation d’équité procédurale ni </w:t>
      </w:r>
      <w:r w:rsidRPr="00000DCC">
        <w:rPr>
          <w:rFonts w:cs="Times New Roman"/>
          <w:noProof/>
          <w:lang w:val="fr-CA" w:bidi="en-US"/>
        </w:rPr>
        <w:lastRenderedPageBreak/>
        <w:t xml:space="preserve">le régime législatif applicable ne requerra la présentation de motifs écrits : </w:t>
      </w:r>
      <w:r w:rsidRPr="00000DCC">
        <w:rPr>
          <w:rFonts w:cs="Times New Roman"/>
          <w:i/>
          <w:noProof/>
          <w:lang w:val="fr-CA" w:bidi="en-US"/>
        </w:rPr>
        <w:t>Baker</w:t>
      </w:r>
      <w:r w:rsidRPr="00000DCC">
        <w:rPr>
          <w:rFonts w:cs="Times New Roman"/>
          <w:noProof/>
          <w:lang w:val="fr-CA" w:bidi="en-US"/>
        </w:rPr>
        <w:t>, par. 43.</w:t>
      </w:r>
    </w:p>
    <w:p w14:paraId="303A225A"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Certes, il est parfois difficile d’employer une méthode de contrôle judiciaire qui accorde la priorité à la justification, par le décideur, de ses décisions dans les cas où aucuns motifs écrits ne sont communiqués. Il en sera souvent ainsi dans le cas où le processus décisionnel ne se prête pas facilement à la production d’une seule série de motifs, par exemple lorsqu’une municipalité adopte un règlement ou lorsqu’un barreau rend une décision au moyen de la tenue d’un vote : </w:t>
      </w:r>
      <w:r w:rsidRPr="00000DCC">
        <w:rPr>
          <w:rFonts w:cs="Times New Roman"/>
          <w:noProof/>
          <w:lang w:val="fr-CA" w:bidi="en-US"/>
        </w:rPr>
        <w:t xml:space="preserve">voir, p. ex., </w:t>
      </w:r>
      <w:r w:rsidRPr="00000DCC">
        <w:rPr>
          <w:rFonts w:cs="Times New Roman"/>
          <w:i/>
          <w:noProof/>
          <w:lang w:val="fr-CA" w:bidi="en-US"/>
        </w:rPr>
        <w:t>Catalyst</w:t>
      </w:r>
      <w:r w:rsidRPr="00000DCC">
        <w:rPr>
          <w:rFonts w:cs="Times New Roman"/>
          <w:noProof/>
          <w:lang w:val="fr-CA" w:bidi="en-US"/>
        </w:rPr>
        <w:t xml:space="preserve">; </w:t>
      </w:r>
      <w:r w:rsidRPr="00000DCC">
        <w:rPr>
          <w:rFonts w:cs="Times New Roman"/>
          <w:i/>
          <w:noProof/>
          <w:lang w:val="fr-CA" w:bidi="en-US"/>
        </w:rPr>
        <w:t>Green</w:t>
      </w:r>
      <w:r w:rsidRPr="00000DCC">
        <w:rPr>
          <w:rFonts w:cs="Times New Roman"/>
          <w:noProof/>
          <w:lang w:val="fr-CA" w:bidi="en-US"/>
        </w:rPr>
        <w:t>;</w:t>
      </w:r>
      <w:r w:rsidRPr="00000DCC">
        <w:rPr>
          <w:rFonts w:cs="Times New Roman"/>
          <w:i/>
          <w:noProof/>
          <w:lang w:val="fr-CA" w:bidi="en-US"/>
        </w:rPr>
        <w:t xml:space="preserve"> Trinity Western University</w:t>
      </w:r>
      <w:r w:rsidRPr="00000DCC">
        <w:rPr>
          <w:rFonts w:cs="Times New Roman"/>
          <w:noProof/>
          <w:lang w:val="fr-CA"/>
        </w:rPr>
        <w:t>. Toutefois, même en pareil cas, le raisonnement qui sous</w:t>
      </w:r>
      <w:r w:rsidRPr="00000DCC">
        <w:rPr>
          <w:rFonts w:cs="Times New Roman"/>
          <w:noProof/>
          <w:lang w:val="fr-CA"/>
        </w:rPr>
        <w:noBreakHyphen/>
        <w:t xml:space="preserve">tend la décision n’est normalement pas opaque. Il importe de rappeler qu’une cour de révision doit examiner le dossier dans son ensemble pour comprendre la décision et qu’elle découvrira alors souvent une justification claire pour la décision : </w:t>
      </w:r>
      <w:r w:rsidRPr="00000DCC">
        <w:rPr>
          <w:rFonts w:cs="Times New Roman"/>
          <w:i/>
          <w:noProof/>
          <w:lang w:val="fr-CA"/>
        </w:rPr>
        <w:t>Baker</w:t>
      </w:r>
      <w:r w:rsidRPr="00000DCC">
        <w:rPr>
          <w:rFonts w:cs="Times New Roman"/>
          <w:noProof/>
          <w:lang w:val="fr-CA"/>
        </w:rPr>
        <w:t xml:space="preserve">, par. 44. Par exemple, comme la juge en chef McLachlin l’a souligné dans l’arrêt </w:t>
      </w:r>
      <w:r w:rsidRPr="00000DCC">
        <w:rPr>
          <w:rFonts w:cs="Times New Roman"/>
          <w:i/>
          <w:noProof/>
          <w:lang w:val="fr-CA"/>
        </w:rPr>
        <w:t>Catalyst</w:t>
      </w:r>
      <w:r w:rsidRPr="00000DCC">
        <w:rPr>
          <w:rFonts w:cs="Times New Roman"/>
          <w:noProof/>
          <w:lang w:val="fr-CA"/>
        </w:rPr>
        <w:t>, « [l]es motifs qui sous</w:t>
      </w:r>
      <w:r w:rsidRPr="00000DCC">
        <w:rPr>
          <w:rFonts w:cs="Times New Roman"/>
          <w:noProof/>
          <w:lang w:val="fr-CA"/>
        </w:rPr>
        <w:noBreakHyphen/>
        <w:t>tendent un règlement municipal se dégagent habituellement du débat, des délibérations et des énoncés de politique d’où il prend sa source » : par. 29. Dans cette affaire, non seulement « les motifs qui sous</w:t>
      </w:r>
      <w:r w:rsidRPr="00000DCC">
        <w:rPr>
          <w:rFonts w:cs="Times New Roman"/>
          <w:noProof/>
          <w:lang w:val="fr-CA"/>
        </w:rPr>
        <w:noBreakHyphen/>
        <w:t xml:space="preserve">tendaient le règlement contesté étaient clairs pour tous », mais ils avaient en outre été exposés dans un plan quinquennal : par. 33. À l’inverse, même en l’absence de motifs, il se peut que le dossier et le contexte révèlent qu’une décision repose sur un mobile irrégulier ou sur un autre motif inacceptable, comme dans l’arrêt </w:t>
      </w:r>
      <w:r w:rsidRPr="00000DCC">
        <w:rPr>
          <w:rFonts w:cs="Times New Roman"/>
          <w:i/>
          <w:noProof/>
          <w:lang w:val="fr-CA"/>
        </w:rPr>
        <w:t>Roncarelli</w:t>
      </w:r>
      <w:r w:rsidRPr="00000DCC">
        <w:rPr>
          <w:rFonts w:cs="Times New Roman"/>
          <w:noProof/>
          <w:lang w:val="fr-CA"/>
        </w:rPr>
        <w:t>.</w:t>
      </w:r>
    </w:p>
    <w:p w14:paraId="4144A6CB"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Il existe néanmoins des situations dans lesquelles aucuns motifs n’ont été fournis et où ni le dossier ni le contexte général ne permettent de discerner le fondement de la décision en cause. En pareil cas, la cour de révision doit tout de même examiner </w:t>
      </w:r>
      <w:r w:rsidRPr="00000DCC">
        <w:rPr>
          <w:rFonts w:cs="Times New Roman"/>
          <w:noProof/>
          <w:lang w:val="fr-CA"/>
        </w:rPr>
        <w:lastRenderedPageBreak/>
        <w:t>la décision à la lumière des contraintes imposées au décideur afin de déterminer s’il s’agit d’une décision raisonnable. Toutefois, il est peut</w:t>
      </w:r>
      <w:r w:rsidRPr="00000DCC">
        <w:rPr>
          <w:rFonts w:cs="Times New Roman"/>
          <w:noProof/>
          <w:lang w:val="fr-CA"/>
        </w:rPr>
        <w:noBreakHyphen/>
        <w:t>être inévitable que faute de motifs, l’analyse soit alors centrée sur le résultat plutôt que sur le raisonnement du décideur. Il ne s’ensuit pas pour autant que le contrôle selon la norme de la décision raisonnable est moins rigoureux dans ces circonstances; il prend seulement une forme différente.</w:t>
      </w:r>
    </w:p>
    <w:p w14:paraId="01BF9A42" w14:textId="77777777" w:rsidR="00AE2373" w:rsidRPr="00000DCC" w:rsidRDefault="00AE2373" w:rsidP="00AE2373">
      <w:pPr>
        <w:pStyle w:val="Title2LevelTitre2Niveau"/>
        <w:numPr>
          <w:ilvl w:val="1"/>
          <w:numId w:val="8"/>
        </w:numPr>
        <w:tabs>
          <w:tab w:val="left" w:pos="1560"/>
        </w:tabs>
        <w:spacing w:before="0"/>
        <w:jc w:val="left"/>
        <w:rPr>
          <w:rFonts w:cs="Times New Roman"/>
          <w:noProof/>
          <w:lang w:val="fr-CA"/>
        </w:rPr>
      </w:pPr>
      <w:r w:rsidRPr="00000DCC">
        <w:rPr>
          <w:rFonts w:cs="Times New Roman"/>
          <w:noProof/>
          <w:lang w:val="fr-CA"/>
        </w:rPr>
        <w:t>Un mot sur le pouvoir discrétionnaire en matière de réparation</w:t>
      </w:r>
    </w:p>
    <w:p w14:paraId="2E8D87A8"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La question de la réparation qu’il convient d’accorder dans les cas où une cour procède au contrôle d’une décision administrative revêt de multiples facettes. Cela fait intervenir des considérations comme la common law ou la compétence que confère la loi à la cour de révision, ainsi que la grande diversité d’éléments pouvant influer sur la décision d’une cour d’exercer son pouvoir discrétionnaire à l’égard des réparations possibles. Bien que nous n’entendions pas procéder ici à une analyse complète de la question des réparations dans le cadre d’un contrôle judiciaire, nous souhaitons toutefois aborder brièvement la question de savoir si la cour qui casse une décision déraisonnable devrait exercer son pouvoir discrétionnaire de renvoyer l’affaire pour réexamen à la lumière des motifs donnés par la cour.</w:t>
      </w:r>
    </w:p>
    <w:p w14:paraId="0699FBEC"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Lorsque la cour de révision applique la norme de la décision raisonnable au moment d’effectuer un contrôle judiciaire, le choix de la réparation doit être guidé par la raison d’être de l’application de cette norme, y compris le fait pour la cour de révision de reconnaître que le législateur a confié le règlement de l’affaire à un décideur administratif, et non à une cour : voir </w:t>
      </w:r>
      <w:r w:rsidRPr="00000DCC">
        <w:rPr>
          <w:rFonts w:cs="Times New Roman"/>
          <w:i/>
          <w:noProof/>
          <w:lang w:val="fr-CA"/>
        </w:rPr>
        <w:t>Delta Air Lines</w:t>
      </w:r>
      <w:r w:rsidRPr="00000DCC">
        <w:rPr>
          <w:rFonts w:cs="Times New Roman"/>
          <w:noProof/>
          <w:lang w:val="fr-CA"/>
        </w:rPr>
        <w:t xml:space="preserve">, par. 31. Toutefois, l’examen de la question de la réparation doit aussi être guidé par les préoccupations liées à la bonne </w:t>
      </w:r>
      <w:r w:rsidRPr="00000DCC">
        <w:rPr>
          <w:rFonts w:cs="Times New Roman"/>
          <w:noProof/>
          <w:lang w:val="fr-CA"/>
        </w:rPr>
        <w:lastRenderedPageBreak/>
        <w:t xml:space="preserve">administration du système de justice, à la nécessité d’assurer l’accès à la justice et à « la volonté de mettre sur pied un processus décisionnel à la fois rapide et économique qui préside souvent au départ à la création d’un tribunal administratif spécialisé » : </w:t>
      </w:r>
      <w:r w:rsidRPr="00000DCC">
        <w:rPr>
          <w:rFonts w:cs="Times New Roman"/>
          <w:i/>
          <w:noProof/>
          <w:lang w:val="fr-CA"/>
        </w:rPr>
        <w:t>Alberta Teachers</w:t>
      </w:r>
      <w:r w:rsidRPr="00000DCC">
        <w:rPr>
          <w:rFonts w:cs="Times New Roman"/>
          <w:noProof/>
          <w:lang w:val="fr-CA"/>
        </w:rPr>
        <w:t>, par. 55.</w:t>
      </w:r>
    </w:p>
    <w:p w14:paraId="5C624694" w14:textId="77777777" w:rsidR="00AE2373" w:rsidRPr="00000DCC" w:rsidRDefault="00AE2373" w:rsidP="00AE2373">
      <w:pPr>
        <w:pStyle w:val="ParaNoNdepar-AltN"/>
        <w:tabs>
          <w:tab w:val="clear" w:pos="1166"/>
          <w:tab w:val="clear" w:pos="1422"/>
          <w:tab w:val="left" w:pos="1170"/>
        </w:tabs>
        <w:spacing w:before="0"/>
        <w:rPr>
          <w:rFonts w:cs="Times New Roman"/>
          <w:noProof/>
          <w:lang w:val="fr-CA"/>
        </w:rPr>
      </w:pPr>
      <w:r w:rsidRPr="00000DCC">
        <w:rPr>
          <w:rFonts w:cs="Times New Roman"/>
          <w:noProof/>
          <w:lang w:val="fr-CA"/>
        </w:rPr>
        <w:t xml:space="preserve">Donner effet à ces principes dans le contexte de la réparation signifie que, lorsque la décision contrôlée selon la norme de la décision raisonnable ne peut être confirmée, il conviendra le plus souvent de renvoyer l’affaire au décideur pour qu’il revoie la décision, mais à la lumière cette fois des motifs donnés par la cour. Quand il revoit sa décision, le décideur peut alors arriver au même résultat ou à un résultat différent : voir </w:t>
      </w:r>
      <w:r w:rsidRPr="00000DCC">
        <w:rPr>
          <w:rFonts w:cs="Times New Roman"/>
          <w:i/>
          <w:noProof/>
          <w:lang w:val="fr-CA"/>
        </w:rPr>
        <w:t>Delta Air Lines</w:t>
      </w:r>
      <w:r w:rsidRPr="00000DCC">
        <w:rPr>
          <w:rFonts w:cs="Times New Roman"/>
          <w:noProof/>
          <w:lang w:val="fr-CA"/>
        </w:rPr>
        <w:t>, par. 30</w:t>
      </w:r>
      <w:r w:rsidRPr="00000DCC">
        <w:rPr>
          <w:rFonts w:cs="Times New Roman"/>
          <w:noProof/>
          <w:lang w:val="fr-CA"/>
        </w:rPr>
        <w:noBreakHyphen/>
        <w:t>31.</w:t>
      </w:r>
    </w:p>
    <w:p w14:paraId="413A7E4C" w14:textId="61C1F4B8" w:rsidR="00AE2373" w:rsidRPr="00000DCC" w:rsidRDefault="00AE2373" w:rsidP="006D2BF0">
      <w:pPr>
        <w:pStyle w:val="ParaNoNdepar-AltN"/>
        <w:rPr>
          <w:noProof/>
          <w:lang w:val="fr-CA"/>
        </w:rPr>
      </w:pPr>
      <w:r w:rsidRPr="00000DCC">
        <w:rPr>
          <w:noProof/>
          <w:lang w:val="fr-CA"/>
        </w:rPr>
        <w:t xml:space="preserve">Cependant, s’il convient, en règle générale, que les cours de justice respectent la volonté du législateur de confier l’affaire à un décideur administratif, il y a des situations limitées dans lesquelles le renvoi de l’affaire pour nouvel examen fait échec au souci de résolution rapide et efficace d’une manière telle qu’aucune législature n’aurait pu souhaiter : </w:t>
      </w:r>
      <w:r w:rsidRPr="00000DCC">
        <w:rPr>
          <w:i/>
          <w:noProof/>
          <w:lang w:val="fr-CA"/>
        </w:rPr>
        <w:t>D’Errico c. Canada (Procureur général)</w:t>
      </w:r>
      <w:r w:rsidRPr="00000DCC">
        <w:rPr>
          <w:noProof/>
          <w:lang w:val="fr-CA"/>
        </w:rPr>
        <w:t>, 2014 CAF 95, par. 18</w:t>
      </w:r>
      <w:r w:rsidRPr="00000DCC">
        <w:rPr>
          <w:noProof/>
          <w:lang w:val="fr-CA"/>
        </w:rPr>
        <w:noBreakHyphen/>
        <w:t>19 (CanLII). L’intention que le décideur administratif tranche l’affaire en première instance ne saurait donner lieu à un va-et-vient interminable de contrôles judiciaires et de nouveaux examens. Le refus de renvoyer l’affaire au décideur peut s’avérer indiqué lorsqu’il devient évident aux yeux de la cour, lors de son contrôle judiciaire, qu’un résultat donné est inévitable, si bien que le renvoi de l’affaire ne servirait à rien : voir</w:t>
      </w:r>
      <w:r w:rsidRPr="00000DCC">
        <w:rPr>
          <w:i/>
          <w:noProof/>
          <w:lang w:val="fr-CA"/>
        </w:rPr>
        <w:t xml:space="preserve"> Mobil Oil Canada Ltd. c. Office Canada</w:t>
      </w:r>
      <w:r w:rsidR="006E2CB4">
        <w:rPr>
          <w:i/>
          <w:noProof/>
          <w:lang w:val="fr-CA"/>
        </w:rPr>
        <w:t>-</w:t>
      </w:r>
      <w:r w:rsidRPr="00000DCC">
        <w:rPr>
          <w:i/>
          <w:noProof/>
          <w:lang w:val="fr-CA"/>
        </w:rPr>
        <w:t>Terre</w:t>
      </w:r>
      <w:r w:rsidR="006E2CB4">
        <w:rPr>
          <w:i/>
          <w:noProof/>
          <w:lang w:val="fr-CA"/>
        </w:rPr>
        <w:t>-</w:t>
      </w:r>
      <w:r w:rsidRPr="00000DCC">
        <w:rPr>
          <w:i/>
          <w:noProof/>
          <w:lang w:val="fr-CA"/>
        </w:rPr>
        <w:t>Neuve des hydrocarbures extracôtiers</w:t>
      </w:r>
      <w:r w:rsidRPr="00000DCC">
        <w:rPr>
          <w:noProof/>
          <w:lang w:val="fr-CA"/>
        </w:rPr>
        <w:t>, [1994] 1 R.C.S. 202, p. 228</w:t>
      </w:r>
      <w:r w:rsidRPr="00000DCC">
        <w:rPr>
          <w:noProof/>
          <w:lang w:val="fr-CA"/>
        </w:rPr>
        <w:noBreakHyphen/>
        <w:t xml:space="preserve">230; </w:t>
      </w:r>
      <w:r w:rsidRPr="00000DCC">
        <w:rPr>
          <w:i/>
          <w:noProof/>
          <w:lang w:val="fr-CA"/>
        </w:rPr>
        <w:t>Renaud c. Québec (Commission des affaires sociales)</w:t>
      </w:r>
      <w:r w:rsidRPr="00000DCC">
        <w:rPr>
          <w:noProof/>
          <w:lang w:val="fr-CA"/>
        </w:rPr>
        <w:t xml:space="preserve">, [1999] 3 R.C.S. 855; </w:t>
      </w:r>
      <w:r w:rsidRPr="00000DCC">
        <w:rPr>
          <w:i/>
          <w:noProof/>
          <w:lang w:val="fr-CA"/>
        </w:rPr>
        <w:t xml:space="preserve">Groia c. Barreau du </w:t>
      </w:r>
      <w:r w:rsidRPr="00000DCC">
        <w:rPr>
          <w:i/>
          <w:noProof/>
          <w:lang w:val="fr-CA"/>
        </w:rPr>
        <w:lastRenderedPageBreak/>
        <w:t>Haut</w:t>
      </w:r>
      <w:r w:rsidRPr="00000DCC">
        <w:rPr>
          <w:i/>
          <w:noProof/>
          <w:lang w:val="fr-CA"/>
        </w:rPr>
        <w:noBreakHyphen/>
        <w:t>Canada</w:t>
      </w:r>
      <w:r w:rsidRPr="00000DCC">
        <w:rPr>
          <w:noProof/>
          <w:lang w:val="fr-CA"/>
        </w:rPr>
        <w:t xml:space="preserve">, 2018 CSC 27, [2018] 1 R.C.S. 772, par. 161; </w:t>
      </w:r>
      <w:r w:rsidRPr="00000DCC">
        <w:rPr>
          <w:i/>
          <w:iCs/>
          <w:noProof/>
          <w:lang w:val="fr-CA"/>
        </w:rPr>
        <w:t>Sharif c. Canada (Procureur général)</w:t>
      </w:r>
      <w:r w:rsidRPr="00000DCC">
        <w:rPr>
          <w:noProof/>
          <w:lang w:val="fr-CA"/>
        </w:rPr>
        <w:t>, 2018 CAF 205, par. 53</w:t>
      </w:r>
      <w:r w:rsidRPr="00000DCC">
        <w:rPr>
          <w:noProof/>
          <w:lang w:val="fr-CA"/>
        </w:rPr>
        <w:noBreakHyphen/>
        <w:t>54</w:t>
      </w:r>
      <w:r w:rsidR="006D2BF0">
        <w:rPr>
          <w:noProof/>
          <w:lang w:val="fr-CA"/>
        </w:rPr>
        <w:t xml:space="preserve"> (CanLII)</w:t>
      </w:r>
      <w:r w:rsidRPr="00000DCC">
        <w:rPr>
          <w:noProof/>
          <w:lang w:val="fr-CA"/>
        </w:rPr>
        <w:t xml:space="preserve">; </w:t>
      </w:r>
      <w:r w:rsidRPr="00000DCC">
        <w:rPr>
          <w:i/>
          <w:noProof/>
          <w:lang w:val="fr-CA"/>
        </w:rPr>
        <w:t xml:space="preserve">Maple Lodge Farms Ltd. c. Agence </w:t>
      </w:r>
      <w:r w:rsidR="006E2CB4">
        <w:rPr>
          <w:i/>
          <w:noProof/>
          <w:lang w:val="fr-CA"/>
        </w:rPr>
        <w:t xml:space="preserve">canadienne </w:t>
      </w:r>
      <w:r w:rsidRPr="00000DCC">
        <w:rPr>
          <w:i/>
          <w:noProof/>
          <w:lang w:val="fr-CA"/>
        </w:rPr>
        <w:t>d’inspection des aliments</w:t>
      </w:r>
      <w:r w:rsidRPr="00000DCC">
        <w:rPr>
          <w:noProof/>
          <w:lang w:val="fr-CA"/>
        </w:rPr>
        <w:t>, 2017 CAF 45, par. 51</w:t>
      </w:r>
      <w:r w:rsidRPr="00000DCC">
        <w:rPr>
          <w:noProof/>
          <w:lang w:val="fr-CA"/>
        </w:rPr>
        <w:noBreakHyphen/>
        <w:t>56 et 84</w:t>
      </w:r>
      <w:r w:rsidR="006D2BF0" w:rsidRPr="006D2BF0">
        <w:rPr>
          <w:rFonts w:cs="Times New Roman"/>
          <w:noProof/>
          <w:lang w:val="fr-CA"/>
        </w:rPr>
        <w:t xml:space="preserve"> </w:t>
      </w:r>
      <w:r w:rsidR="006D2BF0">
        <w:rPr>
          <w:rFonts w:cs="Times New Roman"/>
          <w:noProof/>
          <w:lang w:val="fr-CA"/>
        </w:rPr>
        <w:t xml:space="preserve"> </w:t>
      </w:r>
      <w:r w:rsidR="006D2BF0" w:rsidRPr="006D2BF0">
        <w:rPr>
          <w:rFonts w:cs="Times New Roman"/>
          <w:noProof/>
          <w:lang w:val="fr-CA"/>
        </w:rPr>
        <w:t>(CanLII)</w:t>
      </w:r>
      <w:r w:rsidRPr="00000DCC">
        <w:rPr>
          <w:noProof/>
          <w:lang w:val="fr-CA"/>
        </w:rPr>
        <w:t xml:space="preserve">; </w:t>
      </w:r>
      <w:r w:rsidRPr="00000DCC">
        <w:rPr>
          <w:i/>
          <w:noProof/>
          <w:lang w:val="fr-CA"/>
        </w:rPr>
        <w:t>Gehl c. Canada (</w:t>
      </w:r>
      <w:r w:rsidR="00B979BF">
        <w:rPr>
          <w:i/>
          <w:noProof/>
          <w:lang w:val="fr-CA"/>
        </w:rPr>
        <w:t>Attorney General</w:t>
      </w:r>
      <w:r w:rsidRPr="00000DCC">
        <w:rPr>
          <w:i/>
          <w:noProof/>
          <w:lang w:val="fr-CA"/>
        </w:rPr>
        <w:t>)</w:t>
      </w:r>
      <w:r w:rsidRPr="00000DCC">
        <w:rPr>
          <w:noProof/>
          <w:lang w:val="fr-CA"/>
        </w:rPr>
        <w:t>, 2017 ONCA 319</w:t>
      </w:r>
      <w:r w:rsidR="00B979BF">
        <w:rPr>
          <w:noProof/>
          <w:lang w:val="fr-CA"/>
        </w:rPr>
        <w:t>, 138 O.R. (3d) 52</w:t>
      </w:r>
      <w:r w:rsidRPr="00000DCC">
        <w:rPr>
          <w:noProof/>
          <w:lang w:val="fr-CA"/>
        </w:rPr>
        <w:t>,</w:t>
      </w:r>
      <w:r w:rsidRPr="00000DCC">
        <w:rPr>
          <w:i/>
          <w:noProof/>
          <w:lang w:val="fr-CA"/>
        </w:rPr>
        <w:t xml:space="preserve"> </w:t>
      </w:r>
      <w:r w:rsidRPr="00000DCC">
        <w:rPr>
          <w:noProof/>
          <w:lang w:val="fr-CA"/>
        </w:rPr>
        <w:t>par. 54 et 88. Les préoccupations concernant les délais, l’équité envers les parties, le besoin urgent de régler le différend, la nature du régime de réglementation donné, la possibilité réelle ou non pour le décideur administratif de se pencher sur la question en litige, les coûts pour les parties et l’utilisation efficace des ressources publiques peuvent aussi influer sur l’exercice par la cour de son pouvoir discrétionnaire de renvoyer l’affaire — tout comme ces facteurs peuvent influer sur l’exercice de son pouvoir discrétionnaire de casser une décision lacunaire</w:t>
      </w:r>
      <w:r w:rsidR="005A166C">
        <w:rPr>
          <w:noProof/>
          <w:lang w:val="fr-CA"/>
        </w:rPr>
        <w:t> </w:t>
      </w:r>
      <w:r w:rsidRPr="00000DCC">
        <w:rPr>
          <w:noProof/>
          <w:lang w:val="fr-CA"/>
        </w:rPr>
        <w:t xml:space="preserve">: voir </w:t>
      </w:r>
      <w:r w:rsidR="006307D2">
        <w:rPr>
          <w:i/>
          <w:noProof/>
          <w:lang w:val="fr-CA"/>
        </w:rPr>
        <w:t>Mines Alerte</w:t>
      </w:r>
      <w:r w:rsidRPr="00000DCC">
        <w:rPr>
          <w:i/>
          <w:noProof/>
          <w:lang w:val="fr-CA"/>
        </w:rPr>
        <w:t xml:space="preserve"> Canada c. Canada (Pêches et Océans)</w:t>
      </w:r>
      <w:r w:rsidRPr="00000DCC">
        <w:rPr>
          <w:noProof/>
          <w:lang w:val="fr-CA"/>
        </w:rPr>
        <w:t>, 2010 CSC 2, [2010] 1 R.C.S. 6, par. 45</w:t>
      </w:r>
      <w:r w:rsidRPr="00000DCC">
        <w:rPr>
          <w:noProof/>
          <w:lang w:val="fr-CA"/>
        </w:rPr>
        <w:noBreakHyphen/>
        <w:t xml:space="preserve">51; </w:t>
      </w:r>
      <w:r w:rsidRPr="00000DCC">
        <w:rPr>
          <w:i/>
          <w:noProof/>
          <w:lang w:val="fr-CA"/>
        </w:rPr>
        <w:t>Alberta Teachers</w:t>
      </w:r>
      <w:r w:rsidRPr="00000DCC">
        <w:rPr>
          <w:noProof/>
          <w:lang w:val="fr-CA"/>
        </w:rPr>
        <w:t>, par. 55.</w:t>
      </w:r>
    </w:p>
    <w:p w14:paraId="7C0BFDFA" w14:textId="77777777" w:rsidR="00AE2373" w:rsidRPr="00000DCC" w:rsidRDefault="00AE2373" w:rsidP="00AE2373">
      <w:pPr>
        <w:pStyle w:val="Title1LevelTitre1Niveau-AltL"/>
        <w:numPr>
          <w:ilvl w:val="0"/>
          <w:numId w:val="8"/>
        </w:numPr>
        <w:tabs>
          <w:tab w:val="left" w:pos="1560"/>
        </w:tabs>
        <w:spacing w:before="0"/>
        <w:jc w:val="left"/>
        <w:rPr>
          <w:rFonts w:cs="Times New Roman"/>
          <w:noProof/>
          <w:lang w:val="fr-CA"/>
        </w:rPr>
      </w:pPr>
      <w:r w:rsidRPr="00000DCC">
        <w:rPr>
          <w:rFonts w:cs="Times New Roman"/>
          <w:noProof/>
          <w:lang w:val="fr-CA"/>
        </w:rPr>
        <w:t>Le rôle de la jurisprudence antérieure</w:t>
      </w:r>
    </w:p>
    <w:p w14:paraId="731B4DE3" w14:textId="77777777" w:rsidR="00AE2373" w:rsidRPr="00000DCC" w:rsidRDefault="00AE2373" w:rsidP="00AE2373">
      <w:pPr>
        <w:pStyle w:val="ParaNoNdepar-AltN"/>
        <w:tabs>
          <w:tab w:val="clear" w:pos="1166"/>
          <w:tab w:val="clear" w:pos="1422"/>
          <w:tab w:val="num" w:pos="1170"/>
        </w:tabs>
        <w:spacing w:before="0"/>
        <w:rPr>
          <w:rFonts w:cs="Times New Roman"/>
          <w:noProof/>
          <w:lang w:val="fr-CA" w:bidi="en-US"/>
        </w:rPr>
      </w:pPr>
      <w:r w:rsidRPr="00000DCC">
        <w:rPr>
          <w:rFonts w:cs="Times New Roman"/>
          <w:noProof/>
          <w:lang w:val="fr-CA"/>
        </w:rPr>
        <w:t xml:space="preserve">Puisque le présent pourvoi et les pourvois connexes impliquent un rajustement de la méthode à employer pour choisir la norme de contrôle ainsi qu’un éclaircissement de l’application appropriée de la norme de la décision raisonnable, il est nécessaire d’aborder brièvement la façon d’interpréter dorénavant la jurisprudence actuelle en droit administratif. Les présents motifs comportent une révision globale du cadre d’analyse qui sert à déterminer la norme de contrôle applicable. La cour de justice qui cherche à arrêter la norme de contrôle applicable dans une affaire dont elle est saisie devrait d’abord s’en remettre aux présents motifs pour savoir comment s’applique ce cadre général dans l’affaire en question. Il est ainsi possible que la cour soit appelée à </w:t>
      </w:r>
      <w:r w:rsidRPr="00000DCC">
        <w:rPr>
          <w:rFonts w:cs="Times New Roman"/>
          <w:noProof/>
          <w:lang w:val="fr-CA"/>
        </w:rPr>
        <w:lastRenderedPageBreak/>
        <w:t>trancher des questions subsidiaires à l’égard desquelles la jurisprudence continue de donner des indications utiles. En fait, une grande partie de la jurisprudence de notre Cour continue de s’appliquer essentiellement telle quelle : par exemple, les affaires portant sur des questions de droit générales d’importance capitale pour le système de justice dans son ensemble ou sur des questions liées aux délimitations des compétences respectives d’organismes administratifs. Pour d’autres catégories de questions, certains arrêts, dont ceux portant sur l’effet des mécanismes d’appel prévus par la loi, sur des questions touchant « véritablement » à la compétence ou sur l’ancienne analyse contextuelle, auront forcément une valeur de précédent moindre. En ce qui concerne les arrêts qui établissent la manière dont il faut procéder au contrôle selon la norme de la décision raisonnable, ils garderont en général leur utilité, mais il convient d’y recourir prudemment et de faire en sorte que leur application cadre avec les principes énoncés dans les présents motifs.</w:t>
      </w:r>
    </w:p>
    <w:p w14:paraId="7987F738"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Cette approche vise à assurer une stabilité doctrinale pour l’avenir selon le nouveau cadre d’analyse tout en clarifiant en même temps la pertinence continue de notre jurisprudence actuelle. Si une cour de révision ne sait pas avec certitude en quoi les présents motifs se rapportent à l’affaire dont elle est saisie, elle peut estimer prudent de demander aux parties de présenter des observations tant sur la norme de contrôle indiquée que sur l’application de celle</w:t>
      </w:r>
      <w:r w:rsidRPr="00000DCC">
        <w:rPr>
          <w:rFonts w:cs="Times New Roman"/>
          <w:noProof/>
          <w:lang w:val="fr-CA"/>
        </w:rPr>
        <w:noBreakHyphen/>
        <w:t>ci.</w:t>
      </w:r>
    </w:p>
    <w:p w14:paraId="702425FD" w14:textId="55346806"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lang w:val="fr-CA"/>
        </w:rPr>
        <w:t>Avant de passer au cas de M. Vavilov, nous signalons que nos collègues dénaturent le cadre d’analyse élaboré dans les présents motifs lorsqu’elles affirment qu’il fait l’« apologie » de la norme de la décision correcte et délaisse l’approche empreinte de déférence de la Cour au point de « sonne</w:t>
      </w:r>
      <w:r w:rsidR="00843C9B">
        <w:rPr>
          <w:rFonts w:cs="Times New Roman"/>
          <w:lang w:val="fr-CA"/>
        </w:rPr>
        <w:t>[</w:t>
      </w:r>
      <w:r w:rsidRPr="00000DCC">
        <w:rPr>
          <w:rFonts w:cs="Times New Roman"/>
          <w:lang w:val="fr-CA"/>
        </w:rPr>
        <w:t>r</w:t>
      </w:r>
      <w:r w:rsidR="00843C9B">
        <w:rPr>
          <w:rFonts w:cs="Times New Roman"/>
          <w:lang w:val="fr-CA"/>
        </w:rPr>
        <w:t>]</w:t>
      </w:r>
      <w:r w:rsidRPr="00000DCC">
        <w:rPr>
          <w:rFonts w:cs="Times New Roman"/>
          <w:lang w:val="fr-CA"/>
        </w:rPr>
        <w:t xml:space="preserve"> le glas » du principe de la </w:t>
      </w:r>
      <w:r w:rsidRPr="00000DCC">
        <w:rPr>
          <w:rFonts w:cs="Times New Roman"/>
          <w:lang w:val="fr-CA"/>
        </w:rPr>
        <w:lastRenderedPageBreak/>
        <w:t>déférence (par. </w:t>
      </w:r>
      <w:r>
        <w:rPr>
          <w:rFonts w:cs="Times New Roman"/>
          <w:lang w:val="fr-CA"/>
        </w:rPr>
        <w:t>199 et 201</w:t>
      </w:r>
      <w:r w:rsidRPr="00000DCC">
        <w:rPr>
          <w:rFonts w:cs="Times New Roman"/>
          <w:lang w:val="fr-CA"/>
        </w:rPr>
        <w:t>). Avec égards, il s’agit d’une grossière exagération. Affirmer que les présents motifs reprennent une conception formaliste du droit administratif centrée sur les cours (par. </w:t>
      </w:r>
      <w:r>
        <w:rPr>
          <w:rFonts w:cs="Times New Roman"/>
          <w:lang w:val="fr-CA"/>
        </w:rPr>
        <w:t>229</w:t>
      </w:r>
      <w:r w:rsidRPr="00000DCC">
        <w:rPr>
          <w:rFonts w:cs="Times New Roman"/>
          <w:lang w:val="fr-CA"/>
        </w:rPr>
        <w:t xml:space="preserve"> et</w:t>
      </w:r>
      <w:r>
        <w:rPr>
          <w:rFonts w:cs="Times New Roman"/>
          <w:lang w:val="fr-CA"/>
        </w:rPr>
        <w:t xml:space="preserve"> 240</w:t>
      </w:r>
      <w:r w:rsidRPr="00000DCC">
        <w:rPr>
          <w:rFonts w:cs="Times New Roman"/>
          <w:lang w:val="fr-CA"/>
        </w:rPr>
        <w:t>), permettent une expansion illimitée du contrôle selon la norme de la décision correcte (par. </w:t>
      </w:r>
      <w:r>
        <w:rPr>
          <w:rFonts w:cs="Times New Roman"/>
          <w:lang w:val="fr-CA"/>
        </w:rPr>
        <w:t>253</w:t>
      </w:r>
      <w:r w:rsidRPr="00000DCC">
        <w:rPr>
          <w:rFonts w:cs="Times New Roman"/>
          <w:lang w:val="fr-CA"/>
        </w:rPr>
        <w:t>), ou constituent une espèce de liste de vérification pour effectuer un contrôle « ligne par ligne » en fonction de la norme de la décision raisonnable (par. </w:t>
      </w:r>
      <w:r>
        <w:rPr>
          <w:rFonts w:cs="Times New Roman"/>
          <w:lang w:val="fr-CA"/>
        </w:rPr>
        <w:t>284</w:t>
      </w:r>
      <w:r w:rsidRPr="00000DCC">
        <w:rPr>
          <w:rFonts w:cs="Times New Roman"/>
          <w:lang w:val="fr-CA"/>
        </w:rPr>
        <w:t>) va à l’encontre du libellé clair que nous utilisons et ne prend pas en considération l’équilibre délicat dont nous avons tenu compte en formulant ce cadre d’analyse.</w:t>
      </w:r>
    </w:p>
    <w:p w14:paraId="35D2447C" w14:textId="77777777" w:rsidR="00AE2373" w:rsidRPr="00000DCC" w:rsidRDefault="00AE2373" w:rsidP="00AE2373">
      <w:pPr>
        <w:pStyle w:val="Title1LevelTitre1Niveau-AltL"/>
        <w:numPr>
          <w:ilvl w:val="0"/>
          <w:numId w:val="8"/>
        </w:numPr>
        <w:spacing w:before="0"/>
        <w:jc w:val="left"/>
        <w:rPr>
          <w:rFonts w:cs="Times New Roman"/>
          <w:noProof/>
          <w:lang w:val="fr-CA"/>
        </w:rPr>
      </w:pPr>
      <w:r w:rsidRPr="00000DCC">
        <w:rPr>
          <w:rFonts w:cs="Times New Roman"/>
          <w:noProof/>
          <w:lang w:val="fr-CA"/>
        </w:rPr>
        <w:t>La demande de contrôle judiciaire de M. Vavilov</w:t>
      </w:r>
    </w:p>
    <w:p w14:paraId="5E9A2056"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En l’espèce, nous sommes en présence d’une demande de contrôle judiciaire d’une décision rendue par la greffière de la citoyenneté canadienne le 15 août 2014. La décision de la greffière concerne M. Vavilov, qui est né au Canada de parents qui se sont plus tard révélés être des espions russes infiltrés. Se fondant sur une interprétation de l’al. 3(2)a) de la </w:t>
      </w:r>
      <w:r w:rsidRPr="00000DCC">
        <w:rPr>
          <w:rFonts w:cs="Times New Roman"/>
          <w:i/>
          <w:noProof/>
          <w:lang w:val="fr-CA"/>
        </w:rPr>
        <w:t>Loi sur la citoyenneté</w:t>
      </w:r>
      <w:r w:rsidRPr="00000DCC">
        <w:rPr>
          <w:rFonts w:cs="Times New Roman"/>
          <w:noProof/>
          <w:lang w:val="fr-CA"/>
        </w:rPr>
        <w:t>, la greffière a décidé que M. Vavilov n’était pas citoyen canadien</w:t>
      </w:r>
      <w:r w:rsidRPr="00000DCC">
        <w:rPr>
          <w:rFonts w:cs="Times New Roman"/>
          <w:i/>
          <w:noProof/>
          <w:lang w:val="fr-CA"/>
        </w:rPr>
        <w:t xml:space="preserve"> </w:t>
      </w:r>
      <w:r w:rsidRPr="00000DCC">
        <w:rPr>
          <w:rFonts w:cs="Times New Roman"/>
          <w:noProof/>
          <w:lang w:val="fr-CA"/>
        </w:rPr>
        <w:t xml:space="preserve">et a annulé son certificat de citoyenneté en application du par. 26(3) du </w:t>
      </w:r>
      <w:r w:rsidRPr="00000DCC">
        <w:rPr>
          <w:rFonts w:cs="Times New Roman"/>
          <w:i/>
          <w:noProof/>
          <w:lang w:val="fr-CA"/>
        </w:rPr>
        <w:t>Règlement sur la citoyenneté</w:t>
      </w:r>
      <w:r w:rsidRPr="00000DCC">
        <w:rPr>
          <w:rFonts w:cs="Times New Roman"/>
          <w:noProof/>
          <w:lang w:val="fr-CA"/>
        </w:rPr>
        <w:t>. Nous concluons que la norme de contrôle applicable à la décision de la greffière est celle de la décision raisonnable, et que la décision de la greffière est déraisonnable. Nous sommes d’avis de confirmer l’arrêt de la Cour d’appel fédérale cassant la décision de la greffière. Nous ne renverrions pas l’affaire à la greffière pour nouvel examen.</w:t>
      </w:r>
    </w:p>
    <w:p w14:paraId="59D77488" w14:textId="77777777" w:rsidR="00AE2373" w:rsidRPr="00000DCC" w:rsidRDefault="00AE2373" w:rsidP="00AE2373">
      <w:pPr>
        <w:pStyle w:val="Title2LevelTitre2Niveau"/>
        <w:numPr>
          <w:ilvl w:val="1"/>
          <w:numId w:val="8"/>
        </w:numPr>
        <w:spacing w:before="0"/>
        <w:ind w:left="0" w:firstLine="0"/>
        <w:jc w:val="left"/>
        <w:rPr>
          <w:rFonts w:cs="Times New Roman"/>
          <w:noProof/>
          <w:lang w:val="fr-CA"/>
        </w:rPr>
      </w:pPr>
      <w:r w:rsidRPr="00000DCC">
        <w:rPr>
          <w:rFonts w:cs="Times New Roman"/>
          <w:noProof/>
          <w:lang w:val="fr-CA"/>
        </w:rPr>
        <w:t>Les faits</w:t>
      </w:r>
    </w:p>
    <w:p w14:paraId="399E77D3" w14:textId="79224609" w:rsidR="00AE2373" w:rsidRPr="00000DCC" w:rsidRDefault="00AE2373" w:rsidP="00AE2373">
      <w:pPr>
        <w:pStyle w:val="ParaNoNdepar-AltN"/>
        <w:tabs>
          <w:tab w:val="clear" w:pos="1166"/>
          <w:tab w:val="clear" w:pos="1422"/>
          <w:tab w:val="num" w:pos="1170"/>
        </w:tabs>
        <w:spacing w:before="0"/>
        <w:rPr>
          <w:rFonts w:eastAsiaTheme="minorHAnsi" w:cs="Times New Roman"/>
          <w:noProof/>
          <w:u w:val="single"/>
          <w:lang w:val="fr-CA"/>
        </w:rPr>
      </w:pPr>
      <w:r w:rsidRPr="00000DCC">
        <w:rPr>
          <w:rFonts w:cs="Times New Roman"/>
          <w:noProof/>
          <w:lang w:val="fr-CA"/>
        </w:rPr>
        <w:lastRenderedPageBreak/>
        <w:t>M</w:t>
      </w:r>
      <w:r w:rsidR="006D2BF0">
        <w:rPr>
          <w:rFonts w:cs="Times New Roman"/>
          <w:noProof/>
          <w:lang w:val="fr-CA"/>
        </w:rPr>
        <w:t>onsieur</w:t>
      </w:r>
      <w:r w:rsidRPr="00000DCC">
        <w:rPr>
          <w:rFonts w:cs="Times New Roman"/>
          <w:noProof/>
          <w:lang w:val="fr-CA"/>
        </w:rPr>
        <w:t xml:space="preserve"> Vavilov naît à Toronto le 3 juin 1994 sous le nom d’Alexander Foley. Au moment de sa naissance, ses parents se font passer pour des Canadiens en utilisant les noms d’emprunt de Tracey Lee Ann Foley et de Donald Howard Heathfield. En fait, ses parents s’appellent Elena Vavilova et Andrey Bezrukov et sont des étrangers en mission de longue durée pour le Service des renseignements étrangers de la Russie, le SVR. Les parents de M. Vavilov ont pris ces fausses identités canadiennes avant la naissance de ce dernier et de son frère aîné, Timothy, pour les besoins d’un réseau d’espionnage </w:t>
      </w:r>
      <w:r w:rsidRPr="00000DCC">
        <w:rPr>
          <w:rFonts w:cs="Times New Roman"/>
          <w:smallCaps/>
          <w:noProof/>
          <w:lang w:val="fr-CA"/>
        </w:rPr>
        <w:t xml:space="preserve">[traduction] </w:t>
      </w:r>
      <w:r w:rsidRPr="00000DCC">
        <w:rPr>
          <w:rFonts w:cs="Times New Roman"/>
          <w:noProof/>
          <w:lang w:val="fr-CA"/>
        </w:rPr>
        <w:t>« clandestin » relevant du SVR. L</w:t>
      </w:r>
      <w:r>
        <w:rPr>
          <w:rFonts w:cs="Times New Roman"/>
          <w:noProof/>
          <w:lang w:val="fr-CA"/>
        </w:rPr>
        <w:t>e d</w:t>
      </w:r>
      <w:r w:rsidRPr="00000DCC">
        <w:rPr>
          <w:rFonts w:cs="Times New Roman"/>
          <w:noProof/>
          <w:lang w:val="fr-CA"/>
        </w:rPr>
        <w:t>épartement de la Justice des États</w:t>
      </w:r>
      <w:r w:rsidRPr="00000DCC">
        <w:rPr>
          <w:rFonts w:cs="Times New Roman"/>
          <w:noProof/>
          <w:lang w:val="fr-CA"/>
        </w:rPr>
        <w:noBreakHyphen/>
        <w:t>Unis y réfère comme étant le programme des « illégaux ».</w:t>
      </w:r>
    </w:p>
    <w:p w14:paraId="0F679B25" w14:textId="35853190" w:rsidR="00AE2373" w:rsidRPr="00000DCC" w:rsidRDefault="00AE2373" w:rsidP="00AE2373">
      <w:pPr>
        <w:pStyle w:val="ParaNoNdepar-AltN"/>
        <w:tabs>
          <w:tab w:val="clear" w:pos="1166"/>
          <w:tab w:val="clear" w:pos="1422"/>
          <w:tab w:val="num" w:pos="1170"/>
        </w:tabs>
        <w:spacing w:before="0"/>
        <w:rPr>
          <w:rFonts w:eastAsiaTheme="minorHAnsi" w:cs="Times New Roman"/>
          <w:noProof/>
          <w:u w:val="single"/>
          <w:lang w:val="fr-CA"/>
        </w:rPr>
      </w:pPr>
      <w:r w:rsidRPr="00000DCC">
        <w:rPr>
          <w:rFonts w:cs="Times New Roman"/>
          <w:noProof/>
          <w:lang w:val="fr-CA"/>
        </w:rPr>
        <w:t>M</w:t>
      </w:r>
      <w:r w:rsidR="006D2BF0">
        <w:rPr>
          <w:rFonts w:cs="Times New Roman"/>
          <w:noProof/>
          <w:lang w:val="fr-CA"/>
        </w:rPr>
        <w:t>adame</w:t>
      </w:r>
      <w:r w:rsidRPr="00000DCC">
        <w:rPr>
          <w:rFonts w:cs="Times New Roman"/>
          <w:noProof/>
          <w:lang w:val="fr-CA"/>
        </w:rPr>
        <w:t> Vavilova et M. Bezrukov ont été envoyés au Canada dans le but de se créer de faux antécédents personnels en tant que citoyens occidentaux. Ils ont occupé des emplois, dirigé une entreprise, fait des études supérieures et, rappelons</w:t>
      </w:r>
      <w:r w:rsidRPr="00000DCC">
        <w:rPr>
          <w:rFonts w:cs="Times New Roman"/>
          <w:noProof/>
          <w:lang w:val="fr-CA"/>
        </w:rPr>
        <w:noBreakHyphen/>
        <w:t>le, eu deux enfants au Canada. Après la naissance de leur deuxième fils, la famille déménage en France, et plus tard aux États</w:t>
      </w:r>
      <w:r w:rsidRPr="00000DCC">
        <w:rPr>
          <w:rFonts w:cs="Times New Roman"/>
          <w:noProof/>
          <w:lang w:val="fr-CA"/>
        </w:rPr>
        <w:noBreakHyphen/>
        <w:t>Unis. Là</w:t>
      </w:r>
      <w:r w:rsidRPr="00000DCC">
        <w:rPr>
          <w:rFonts w:cs="Times New Roman"/>
          <w:noProof/>
          <w:lang w:val="fr-CA"/>
        </w:rPr>
        <w:noBreakHyphen/>
        <w:t>bas, M. Bezrukov obtient une maîtrise en administration publique de l’Université Harvard et travaille comme consultant tout en recueillant des renseignements sur diverses questions délicates de sécurité nationale pour le compte du SVR. Étant donné la nature de leur mission d’infiltration, M</w:t>
      </w:r>
      <w:r w:rsidRPr="00000DCC">
        <w:rPr>
          <w:rFonts w:cs="Times New Roman"/>
          <w:noProof/>
          <w:vertAlign w:val="superscript"/>
          <w:lang w:val="fr-CA"/>
        </w:rPr>
        <w:t>me</w:t>
      </w:r>
      <w:r w:rsidRPr="00000DCC">
        <w:rPr>
          <w:rFonts w:cs="Times New Roman"/>
          <w:noProof/>
          <w:lang w:val="fr-CA"/>
        </w:rPr>
        <w:t> Vavilova et M. Bezrukov n’ont jamais reconnu publiquement avoir une quelconque affiliation avec l’État russe. Ils n’ont jamais détenu quelque statut diplomatique ou consulaire officiel que ce soit. Ils n’ont jamais non plus bénéficié d’un privilège ou d’une immunité diplomatique.</w:t>
      </w:r>
    </w:p>
    <w:p w14:paraId="14B7847B" w14:textId="77777777" w:rsidR="00AE2373" w:rsidRPr="00000DCC" w:rsidRDefault="00AE2373" w:rsidP="00AE2373">
      <w:pPr>
        <w:pStyle w:val="ParaNoNdepar-AltN"/>
        <w:tabs>
          <w:tab w:val="clear" w:pos="1166"/>
          <w:tab w:val="clear" w:pos="1422"/>
          <w:tab w:val="num" w:pos="1170"/>
        </w:tabs>
        <w:spacing w:before="0"/>
        <w:rPr>
          <w:rFonts w:eastAsiaTheme="minorHAnsi" w:cs="Times New Roman"/>
          <w:noProof/>
          <w:u w:val="single"/>
          <w:lang w:val="fr-CA"/>
        </w:rPr>
      </w:pPr>
      <w:r w:rsidRPr="00000DCC">
        <w:rPr>
          <w:rFonts w:cs="Times New Roman"/>
          <w:noProof/>
          <w:lang w:val="fr-CA"/>
        </w:rPr>
        <w:lastRenderedPageBreak/>
        <w:t>Jusqu’à l’âge d’environ 16 ans, M. Vavilov ne sait pas que ses parents ne sont pas ceux qu’ils prétendent être. Il croit être citoyen canadien de naissance. Il vit et s’identifie comme un Canadien, et il détient un passeport canadien. Il apprend les deux langues officielles et est fier de ses origines. Il apprend la véritable identité de ses parents le 27 juin 2010, lorsqu’ils sont arrêtés aux États</w:t>
      </w:r>
      <w:r w:rsidRPr="00000DCC">
        <w:rPr>
          <w:rFonts w:cs="Times New Roman"/>
          <w:noProof/>
          <w:lang w:val="fr-CA"/>
        </w:rPr>
        <w:noBreakHyphen/>
        <w:t xml:space="preserve">Unis et accusés (avec plusieurs autres individus) de complot en vue d’agir en tant qu’agents non accrédités d’un gouvernement étranger. Le 8 juillet 2010, ses parents plaident coupables et admettent leur statut de citoyens de la Russie agissant au nom de l’État russe. Le lendemain, ils sont renvoyés en Russie dans le cadre d’un </w:t>
      </w:r>
      <w:r w:rsidRPr="00000DCC">
        <w:rPr>
          <w:rFonts w:cs="Times New Roman"/>
          <w:smallCaps/>
          <w:noProof/>
          <w:lang w:val="fr-CA"/>
        </w:rPr>
        <w:t xml:space="preserve">[traduction] </w:t>
      </w:r>
      <w:r w:rsidRPr="00000DCC">
        <w:rPr>
          <w:rFonts w:cs="Times New Roman"/>
          <w:noProof/>
          <w:lang w:val="fr-CA"/>
        </w:rPr>
        <w:t>« échange d’espions ». Selon M. Vavilov, cette révélation est pour lui un événement traumatisant marqué par l’incrédulité et une crise d’identité.</w:t>
      </w:r>
    </w:p>
    <w:p w14:paraId="5F621256" w14:textId="7DD40B63"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Juste avant l’expulsion de ses parents, M. Vavilov quitte les États</w:t>
      </w:r>
      <w:r w:rsidRPr="00000DCC">
        <w:rPr>
          <w:rFonts w:cs="Times New Roman"/>
          <w:noProof/>
          <w:lang w:val="fr-CA"/>
        </w:rPr>
        <w:noBreakHyphen/>
        <w:t>Unis en compagnie de son frère pour effectuer un voyage prévu avant l’arrestation de leurs parents. Ils se rendent d’abord à Paris, puis en Russie munis de visas de touristes. En octobre 2010, M. Vavilov tente en vain de renouveler son passeport canadien par l’entremise de l’ambassade du Canada à Moscou. Même s’il se soumet à un test d’ADN et change son nom de famille Foley pour Vavilov à la demande des autorités chargées de délivrer les passeports, sa deuxième demande de passeport canadien présentée en décembre 2011 est aussi rejetée. Les autorités l’informent ensuite que même s’il possède un certificat de naissance canadien, il doit également obtenir et fournir un certificat de citoyenneté canadienne avant de pouvoir obtenir un passeport. M</w:t>
      </w:r>
      <w:r w:rsidR="006D2BF0">
        <w:rPr>
          <w:rFonts w:cs="Times New Roman"/>
          <w:noProof/>
          <w:lang w:val="fr-CA"/>
        </w:rPr>
        <w:t>onsieur</w:t>
      </w:r>
      <w:r w:rsidRPr="00000DCC">
        <w:rPr>
          <w:rFonts w:cs="Times New Roman"/>
          <w:noProof/>
          <w:lang w:val="fr-CA"/>
        </w:rPr>
        <w:t> Vavilov présente une demande de certificat de citoyenneté canadienne en octobre 2012 et obtient ce certificat le 15 janvier 2013. À ce moment</w:t>
      </w:r>
      <w:r w:rsidRPr="00000DCC">
        <w:rPr>
          <w:rFonts w:cs="Times New Roman"/>
          <w:noProof/>
          <w:lang w:val="fr-CA"/>
        </w:rPr>
        <w:noBreakHyphen/>
        <w:t xml:space="preserve">là, il présente une autre demande de passeport par l’entremise de l’ambassade du Canada à Buenos Aires, </w:t>
      </w:r>
      <w:r w:rsidRPr="00000DCC">
        <w:rPr>
          <w:rFonts w:cs="Times New Roman"/>
          <w:noProof/>
          <w:lang w:val="fr-CA"/>
        </w:rPr>
        <w:lastRenderedPageBreak/>
        <w:t xml:space="preserve">en Argentine. Cette demande fait l’objet d’un règlement extrajudiciaire en juin 2013 après que M. Vavilov ait déposé une demande de bref de </w:t>
      </w:r>
      <w:r w:rsidRPr="00000DCC">
        <w:rPr>
          <w:rFonts w:cs="Times New Roman"/>
          <w:i/>
          <w:noProof/>
          <w:lang w:val="fr-CA"/>
        </w:rPr>
        <w:t>mandamus</w:t>
      </w:r>
      <w:r w:rsidRPr="00000DCC">
        <w:rPr>
          <w:rFonts w:cs="Times New Roman"/>
          <w:noProof/>
          <w:lang w:val="fr-CA"/>
        </w:rPr>
        <w:t>. Le ministre de la Citoyenneté et de l’Immigration s’engage alors à lui délivrer un nouveau titre de voyage au plus tard le 19 juillet 2013.</w:t>
      </w:r>
    </w:p>
    <w:p w14:paraId="50665B29"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M. Vavilov ne reçoit cependant jamais de passeport. Il reçoit plutôt une lettre dite « d’équité procédurale » de la greffière de la citoyenneté canadienne datée du 18 juillet 2013. Dans cette lettre, la greffière l’informe qu’il n’a jamais eu le droit d’obtenir un certificat de citoyenneté, que son certificat de citoyenneté lui a été délivré par erreur, et qu’il n’est pas un citoyen canadien suivant l’al. 3(2)a) de la </w:t>
      </w:r>
      <w:r w:rsidRPr="00000DCC">
        <w:rPr>
          <w:rFonts w:cs="Times New Roman"/>
          <w:i/>
          <w:noProof/>
          <w:lang w:val="fr-CA"/>
        </w:rPr>
        <w:t>Loi sur la citoyenneté</w:t>
      </w:r>
      <w:r w:rsidRPr="00000DCC">
        <w:rPr>
          <w:rFonts w:cs="Times New Roman"/>
          <w:noProof/>
          <w:lang w:val="fr-CA"/>
        </w:rPr>
        <w:t xml:space="preserve">. La greffière invite M. Vavilov à présenter des observations en réponse à cette lettre, ce qu’il fait. Le 15 août 2014, la greffière annule officiellement le certificat de citoyenneté canadienne de M. Vavilov en application du par. 26(3) du </w:t>
      </w:r>
      <w:r w:rsidRPr="00000DCC">
        <w:rPr>
          <w:rFonts w:cs="Times New Roman"/>
          <w:i/>
          <w:noProof/>
          <w:lang w:val="fr-CA"/>
        </w:rPr>
        <w:t>Règlement sur la citoyenneté</w:t>
      </w:r>
      <w:r w:rsidRPr="00000DCC">
        <w:rPr>
          <w:rFonts w:cs="Times New Roman"/>
          <w:noProof/>
          <w:lang w:val="fr-CA"/>
        </w:rPr>
        <w:t>.</w:t>
      </w:r>
    </w:p>
    <w:p w14:paraId="01C41FA5" w14:textId="77777777" w:rsidR="00AE2373" w:rsidRPr="00000DCC" w:rsidRDefault="00AE2373" w:rsidP="00AE2373">
      <w:pPr>
        <w:pStyle w:val="Title2LevelTitre2Niveau"/>
        <w:widowControl w:val="0"/>
        <w:numPr>
          <w:ilvl w:val="1"/>
          <w:numId w:val="8"/>
        </w:numPr>
        <w:spacing w:before="0"/>
        <w:ind w:left="0" w:firstLine="0"/>
        <w:jc w:val="left"/>
        <w:rPr>
          <w:rFonts w:cs="Times New Roman"/>
          <w:noProof/>
          <w:lang w:val="fr-CA"/>
        </w:rPr>
      </w:pPr>
      <w:r w:rsidRPr="00000DCC">
        <w:rPr>
          <w:rFonts w:cs="Times New Roman"/>
          <w:noProof/>
          <w:lang w:val="fr-CA"/>
        </w:rPr>
        <w:t>L’historique des procédures</w:t>
      </w:r>
    </w:p>
    <w:p w14:paraId="5BFEB80F" w14:textId="77777777" w:rsidR="00AE2373" w:rsidRPr="00000DCC" w:rsidRDefault="00AE2373" w:rsidP="00AE2373">
      <w:pPr>
        <w:pStyle w:val="Title3LevelTitre3Niveau"/>
        <w:widowControl w:val="0"/>
        <w:numPr>
          <w:ilvl w:val="2"/>
          <w:numId w:val="8"/>
        </w:numPr>
        <w:spacing w:before="0"/>
        <w:jc w:val="left"/>
        <w:rPr>
          <w:rFonts w:cs="Times New Roman"/>
          <w:noProof/>
          <w:lang w:val="fr-CA"/>
        </w:rPr>
      </w:pPr>
      <w:r w:rsidRPr="00000DCC">
        <w:rPr>
          <w:rFonts w:cs="Times New Roman"/>
          <w:noProof/>
          <w:lang w:val="fr-CA"/>
        </w:rPr>
        <w:t>La décision de la greffière</w:t>
      </w:r>
    </w:p>
    <w:p w14:paraId="55E7FD5A" w14:textId="77777777" w:rsidR="00AE2373" w:rsidRPr="00000DCC" w:rsidRDefault="00AE2373" w:rsidP="00AE2373">
      <w:pPr>
        <w:pStyle w:val="ParaNoNdepar-AltN"/>
        <w:widowControl w:val="0"/>
        <w:tabs>
          <w:tab w:val="clear" w:pos="1166"/>
          <w:tab w:val="clear" w:pos="1422"/>
          <w:tab w:val="num" w:pos="1170"/>
        </w:tabs>
        <w:spacing w:before="0"/>
        <w:rPr>
          <w:rFonts w:cs="Times New Roman"/>
          <w:noProof/>
          <w:lang w:val="fr-CA"/>
        </w:rPr>
      </w:pPr>
      <w:r w:rsidRPr="00000DCC">
        <w:rPr>
          <w:rFonts w:cs="Times New Roman"/>
          <w:noProof/>
          <w:lang w:val="fr-CA"/>
        </w:rPr>
        <w:t xml:space="preserve">Dans une brève lettre envoyée à M. Vavilov le 15 août 2014, la greffière informe ce dernier qu’elle annule son certificat de citoyenneté en application du par. 26(3) du </w:t>
      </w:r>
      <w:r w:rsidRPr="00000DCC">
        <w:rPr>
          <w:rFonts w:cs="Times New Roman"/>
          <w:i/>
          <w:noProof/>
          <w:lang w:val="fr-CA"/>
        </w:rPr>
        <w:t xml:space="preserve">Règlement sur la citoyenneté </w:t>
      </w:r>
      <w:r w:rsidRPr="00000DCC">
        <w:rPr>
          <w:rFonts w:cs="Times New Roman"/>
          <w:noProof/>
          <w:lang w:val="fr-CA"/>
        </w:rPr>
        <w:t>pour le motif qu’il n’a pas droit à un tel certificat. La greffière résume ainsi sa position :</w:t>
      </w:r>
    </w:p>
    <w:p w14:paraId="3FEF57BD" w14:textId="77777777" w:rsidR="00AE2373" w:rsidRPr="00000DCC" w:rsidRDefault="00AE2373" w:rsidP="00C856DB">
      <w:pPr>
        <w:pStyle w:val="ParaNoNdepar-AltN"/>
        <w:numPr>
          <w:ilvl w:val="1"/>
          <w:numId w:val="1"/>
        </w:numPr>
        <w:tabs>
          <w:tab w:val="clear" w:pos="1166"/>
          <w:tab w:val="left" w:pos="708"/>
        </w:tabs>
        <w:spacing w:before="0"/>
        <w:ind w:hanging="720"/>
        <w:rPr>
          <w:rFonts w:cs="Times New Roman"/>
          <w:noProof/>
          <w:lang w:val="fr-CA"/>
        </w:rPr>
      </w:pPr>
      <w:r w:rsidRPr="00000DCC">
        <w:rPr>
          <w:rFonts w:cs="Times New Roman"/>
          <w:noProof/>
          <w:lang w:val="fr-CA"/>
        </w:rPr>
        <w:t>Bien qu</w:t>
      </w:r>
      <w:r>
        <w:rPr>
          <w:rFonts w:cs="Times New Roman"/>
          <w:noProof/>
          <w:lang w:val="fr-CA"/>
        </w:rPr>
        <w:t>e M. Vavilov soit né à Toronto</w:t>
      </w:r>
      <w:r w:rsidRPr="00000DCC">
        <w:rPr>
          <w:rFonts w:cs="Times New Roman"/>
          <w:noProof/>
          <w:lang w:val="fr-CA"/>
        </w:rPr>
        <w:t>, ses parents n’avaient qualité ni de citoyens canadiens ni de résidents permanents au moment de sa naissance.</w:t>
      </w:r>
    </w:p>
    <w:p w14:paraId="5C05B2AB" w14:textId="77777777" w:rsidR="00AE2373" w:rsidRPr="00000DCC" w:rsidRDefault="00AE2373" w:rsidP="00C856DB">
      <w:pPr>
        <w:pStyle w:val="ParaNoNdepar-AltN"/>
        <w:numPr>
          <w:ilvl w:val="1"/>
          <w:numId w:val="1"/>
        </w:numPr>
        <w:tabs>
          <w:tab w:val="clear" w:pos="1166"/>
          <w:tab w:val="left" w:pos="708"/>
        </w:tabs>
        <w:spacing w:before="0"/>
        <w:ind w:hanging="720"/>
        <w:rPr>
          <w:rFonts w:cs="Times New Roman"/>
          <w:noProof/>
          <w:lang w:val="fr-CA"/>
        </w:rPr>
      </w:pPr>
      <w:r w:rsidRPr="00000DCC">
        <w:rPr>
          <w:rFonts w:cs="Times New Roman"/>
          <w:noProof/>
          <w:lang w:val="fr-CA"/>
        </w:rPr>
        <w:lastRenderedPageBreak/>
        <w:t xml:space="preserve">En 2010, les parents de M. Vavilov ont été reconnus coupables de </w:t>
      </w:r>
      <w:r w:rsidRPr="00000DCC">
        <w:rPr>
          <w:rFonts w:cs="Times New Roman"/>
          <w:smallCaps/>
          <w:noProof/>
          <w:lang w:val="fr-CA"/>
        </w:rPr>
        <w:t xml:space="preserve">[traduction] </w:t>
      </w:r>
      <w:r w:rsidRPr="00000DCC">
        <w:rPr>
          <w:rFonts w:cs="Times New Roman"/>
          <w:noProof/>
          <w:lang w:val="fr-CA"/>
        </w:rPr>
        <w:t>« complot en vue d’agir en tant qu’agents étrangers d’un gouvernement étranger aux États</w:t>
      </w:r>
      <w:r w:rsidRPr="00000DCC">
        <w:rPr>
          <w:rFonts w:cs="Times New Roman"/>
          <w:noProof/>
          <w:lang w:val="fr-CA"/>
        </w:rPr>
        <w:noBreakHyphen/>
        <w:t>Unis » et considérés comme des agents non officiels travaillant en tant qu’« illégaux » pour le compte du SVR.</w:t>
      </w:r>
    </w:p>
    <w:p w14:paraId="61A42F1F" w14:textId="77777777" w:rsidR="00AE2373" w:rsidRPr="00000DCC" w:rsidRDefault="00AE2373" w:rsidP="00C856DB">
      <w:pPr>
        <w:pStyle w:val="ParaNoNdepar-AltN"/>
        <w:numPr>
          <w:ilvl w:val="1"/>
          <w:numId w:val="1"/>
        </w:numPr>
        <w:tabs>
          <w:tab w:val="clear" w:pos="1166"/>
          <w:tab w:val="left" w:pos="708"/>
        </w:tabs>
        <w:spacing w:before="0"/>
        <w:ind w:hanging="720"/>
        <w:rPr>
          <w:rFonts w:cs="Times New Roman"/>
          <w:noProof/>
          <w:lang w:val="fr-CA"/>
        </w:rPr>
      </w:pPr>
      <w:r w:rsidRPr="00000DCC">
        <w:rPr>
          <w:rFonts w:cs="Times New Roman"/>
          <w:noProof/>
          <w:lang w:val="fr-CA"/>
        </w:rPr>
        <w:t xml:space="preserve">Pour cette raison, la greffière estime qu’au moment de la naissance de M. Vavilov, ses parents étaient </w:t>
      </w:r>
      <w:r w:rsidRPr="00000DCC">
        <w:rPr>
          <w:rFonts w:cs="Times New Roman"/>
          <w:smallCaps/>
          <w:noProof/>
          <w:lang w:val="fr-CA"/>
        </w:rPr>
        <w:t xml:space="preserve">[traduction] </w:t>
      </w:r>
      <w:r w:rsidRPr="00000DCC">
        <w:rPr>
          <w:rFonts w:cs="Times New Roman"/>
          <w:noProof/>
          <w:lang w:val="fr-CA"/>
        </w:rPr>
        <w:t>« représentants ou au service d’un gouvernement étranger ».</w:t>
      </w:r>
    </w:p>
    <w:p w14:paraId="72B0B2C4" w14:textId="77777777" w:rsidR="00AE2373" w:rsidRPr="00000DCC" w:rsidRDefault="00AE2373" w:rsidP="00C856DB">
      <w:pPr>
        <w:pStyle w:val="ParaNoNdepar-AltN"/>
        <w:numPr>
          <w:ilvl w:val="1"/>
          <w:numId w:val="1"/>
        </w:numPr>
        <w:tabs>
          <w:tab w:val="clear" w:pos="1166"/>
          <w:tab w:val="left" w:pos="708"/>
        </w:tabs>
        <w:spacing w:before="0"/>
        <w:ind w:hanging="720"/>
        <w:rPr>
          <w:rFonts w:cs="Times New Roman"/>
          <w:noProof/>
          <w:lang w:val="fr-CA"/>
        </w:rPr>
      </w:pPr>
      <w:r w:rsidRPr="00000DCC">
        <w:rPr>
          <w:rFonts w:cs="Times New Roman"/>
          <w:noProof/>
          <w:lang w:val="fr-CA"/>
        </w:rPr>
        <w:t xml:space="preserve">Par conséquent, suivant l’al. 3(2)a) de la </w:t>
      </w:r>
      <w:r w:rsidRPr="00000DCC">
        <w:rPr>
          <w:rFonts w:cs="Times New Roman"/>
          <w:i/>
          <w:noProof/>
          <w:lang w:val="fr-CA"/>
        </w:rPr>
        <w:t>Loi sur la citoyenneté</w:t>
      </w:r>
      <w:r w:rsidRPr="00000DCC">
        <w:rPr>
          <w:rFonts w:cs="Times New Roman"/>
          <w:noProof/>
          <w:lang w:val="fr-CA"/>
        </w:rPr>
        <w:t xml:space="preserve">, M. Vavilov n’a jamais été un citoyen canadien et n’a jamais eu le droit d’obtenir le certificat de citoyenneté canadienne qui lui a été délivré en 2013. Selon cette disposition, l’al. 3(1)a) de la </w:t>
      </w:r>
      <w:r w:rsidRPr="00000DCC">
        <w:rPr>
          <w:rFonts w:cs="Times New Roman"/>
          <w:i/>
          <w:noProof/>
          <w:lang w:val="fr-CA"/>
        </w:rPr>
        <w:t xml:space="preserve">Loi sur la citoyenneté </w:t>
      </w:r>
      <w:r w:rsidRPr="00000DCC">
        <w:rPr>
          <w:rFonts w:cs="Times New Roman"/>
          <w:noProof/>
          <w:lang w:val="fr-CA"/>
        </w:rPr>
        <w:t xml:space="preserve">(au titre duquel obtient la citoyenneté toute personne </w:t>
      </w:r>
      <w:r w:rsidRPr="00000DCC">
        <w:rPr>
          <w:rFonts w:cs="Times New Roman"/>
          <w:noProof/>
          <w:lang w:val="fr-CA" w:bidi="en-US"/>
        </w:rPr>
        <w:t>née au Canada après le 14 février 1977</w:t>
      </w:r>
      <w:r w:rsidRPr="00000DCC">
        <w:rPr>
          <w:rFonts w:cs="Times New Roman"/>
          <w:noProof/>
          <w:lang w:val="fr-CA"/>
        </w:rPr>
        <w:t>) ne s’applique pas à la personne dont les parents, au moment de sa naissance, n’avaient qualité ni de citoyens ni de résidents permanents et dont le père ou la mère était « agent diplomatique ou consulaire, représentant à un autre titre ou au service au Canada d’un gouvernement étranger ».</w:t>
      </w:r>
    </w:p>
    <w:p w14:paraId="7FC708BA"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Pour ces motifs, la greffière annule le certificat de M. Vavilov et déclare que ce dernier ne sera plus reconnu comme un citoyen canadien. La lettre de la greffière ne contient aucune analyse ou interprétation de l’al. 3(2)a) de la </w:t>
      </w:r>
      <w:r w:rsidRPr="00000DCC">
        <w:rPr>
          <w:rFonts w:cs="Times New Roman"/>
          <w:i/>
          <w:noProof/>
          <w:lang w:val="fr-CA"/>
        </w:rPr>
        <w:t>Loi sur la citoyenneté</w:t>
      </w:r>
      <w:r w:rsidRPr="00000DCC">
        <w:rPr>
          <w:rFonts w:cs="Times New Roman"/>
          <w:noProof/>
          <w:lang w:val="fr-CA"/>
        </w:rPr>
        <w:t>. Toutefois, il semble que pour en arriver à sa décision, la greffière se soit appuyée sur un rapport de 12 pages rédigé par une analyste subalterne qui comprend une interprétation de cette disposition législative clé.</w:t>
      </w:r>
    </w:p>
    <w:p w14:paraId="11A6CDC5"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lastRenderedPageBreak/>
        <w:t>Dans ce rapport, l’analyste présente la chronologie de l’historique des procédures relatives au dossier de M. Vavilov, un résumé de l’enquête menée au sujet de ses parents et des accusations portées contre eux aux États</w:t>
      </w:r>
      <w:r w:rsidRPr="00000DCC">
        <w:rPr>
          <w:rFonts w:cs="Times New Roman"/>
          <w:noProof/>
          <w:lang w:val="fr-CA"/>
        </w:rPr>
        <w:noBreakHyphen/>
        <w:t xml:space="preserve">Unis, ainsi que des renseignements généraux sur le programme des « illégaux » du SVR. L’analyste y parle aussi de plusieurs dispositions de la </w:t>
      </w:r>
      <w:r w:rsidRPr="00000DCC">
        <w:rPr>
          <w:rFonts w:cs="Times New Roman"/>
          <w:i/>
          <w:noProof/>
          <w:lang w:val="fr-CA"/>
        </w:rPr>
        <w:t>Loi sur la citoyenneté</w:t>
      </w:r>
      <w:r w:rsidRPr="00000DCC">
        <w:rPr>
          <w:rFonts w:cs="Times New Roman"/>
          <w:noProof/>
          <w:lang w:val="fr-CA"/>
        </w:rPr>
        <w:t xml:space="preserve">, dont l’al. 3(2)a), soit l’élément de son rapport le plus pertinent pour la demande de contrôle judiciaire de M. Vavilov. L’analyste conclut finalement que le certificat de citoyenneté qu’a obtenu M. Vavilov en janvier 2013 lui a été délivré par erreur parce que ses parents étaient </w:t>
      </w:r>
      <w:r w:rsidRPr="00000DCC">
        <w:rPr>
          <w:rFonts w:cs="Times New Roman"/>
          <w:smallCaps/>
          <w:noProof/>
          <w:lang w:val="fr-CA"/>
        </w:rPr>
        <w:t xml:space="preserve">[traduction] </w:t>
      </w:r>
      <w:r w:rsidRPr="00000DCC">
        <w:rPr>
          <w:rFonts w:cs="Times New Roman"/>
          <w:noProof/>
          <w:lang w:val="fr-CA"/>
        </w:rPr>
        <w:t xml:space="preserve">« représentants ou au service d’un gouvernement étranger (la Fédération de Russie) pendant leur séjour au Canada, y compris au moment de la naissance de M. Vavilov », et que « [e]n conséquence, M. Vavilov n’avait pas le droit d’obtenir un certificat de citoyenneté selon l’alinéa 3(2)a) de la </w:t>
      </w:r>
      <w:r w:rsidRPr="00000DCC">
        <w:rPr>
          <w:rFonts w:cs="Times New Roman"/>
          <w:i/>
          <w:noProof/>
          <w:lang w:val="fr-CA"/>
        </w:rPr>
        <w:t>Loi sur la citoyenneté</w:t>
      </w:r>
      <w:r w:rsidRPr="00000DCC">
        <w:rPr>
          <w:rFonts w:cs="Times New Roman"/>
          <w:noProof/>
          <w:lang w:val="fr-CA"/>
        </w:rPr>
        <w:t> » (d.a., vol. I, p. 3). Le rapport est daté du 24 juin 2014.</w:t>
      </w:r>
    </w:p>
    <w:p w14:paraId="4730BE55" w14:textId="6A9507F0"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Dans son étude de la loi applicable, l’analyste cite l’al. 3(1)a) de la </w:t>
      </w:r>
      <w:r w:rsidRPr="00000DCC">
        <w:rPr>
          <w:rFonts w:cs="Times New Roman"/>
          <w:i/>
          <w:noProof/>
          <w:lang w:val="fr-CA"/>
        </w:rPr>
        <w:t>Loi sur la citoyenneté</w:t>
      </w:r>
      <w:r w:rsidRPr="00000DCC">
        <w:rPr>
          <w:rFonts w:cs="Times New Roman"/>
          <w:noProof/>
          <w:lang w:val="fr-CA"/>
        </w:rPr>
        <w:t xml:space="preserve">, qui établit que toute personne née au Canada après le 14 février 1977 a qualité de citoyen canadien. Elle ajoute qu’une exception à cette règle générale figure au par. 3(2) de la </w:t>
      </w:r>
      <w:r w:rsidRPr="00000DCC">
        <w:rPr>
          <w:rFonts w:cs="Times New Roman"/>
          <w:i/>
          <w:noProof/>
          <w:lang w:val="fr-CA"/>
        </w:rPr>
        <w:t>Loi sur la citoyenneté</w:t>
      </w:r>
      <w:r w:rsidRPr="00000DCC">
        <w:rPr>
          <w:rFonts w:cs="Times New Roman"/>
          <w:noProof/>
          <w:lang w:val="fr-CA"/>
        </w:rPr>
        <w:t>, lequel est ainsi rédigé</w:t>
      </w:r>
      <w:r w:rsidR="002E22CF">
        <w:rPr>
          <w:rFonts w:cs="Times New Roman"/>
          <w:noProof/>
          <w:lang w:val="fr-CA"/>
        </w:rPr>
        <w:t> </w:t>
      </w:r>
      <w:r w:rsidRPr="00000DCC">
        <w:rPr>
          <w:rFonts w:cs="Times New Roman"/>
          <w:noProof/>
          <w:lang w:val="fr-CA"/>
        </w:rPr>
        <w:t>:</w:t>
      </w:r>
    </w:p>
    <w:p w14:paraId="34028C76" w14:textId="77777777" w:rsidR="00AE2373" w:rsidRPr="00000DCC" w:rsidRDefault="00AE2373" w:rsidP="00AE2373">
      <w:pPr>
        <w:pStyle w:val="Citation-AltC"/>
        <w:tabs>
          <w:tab w:val="left" w:pos="1080"/>
        </w:tabs>
        <w:spacing w:after="240"/>
        <w:ind w:left="1440" w:hanging="720"/>
        <w:contextualSpacing w:val="0"/>
        <w:rPr>
          <w:noProof/>
          <w:lang w:val="fr-CA"/>
        </w:rPr>
      </w:pPr>
      <w:r>
        <w:rPr>
          <w:rStyle w:val="lawlabel"/>
          <w:noProof/>
          <w:lang w:val="fr-CA"/>
        </w:rPr>
        <w:tab/>
      </w:r>
      <w:r w:rsidRPr="005E71D0">
        <w:rPr>
          <w:rStyle w:val="lawlabel"/>
          <w:b/>
          <w:noProof/>
          <w:lang w:val="fr-CA"/>
        </w:rPr>
        <w:t>(2)</w:t>
      </w:r>
      <w:r w:rsidRPr="00000DCC">
        <w:rPr>
          <w:noProof/>
          <w:lang w:val="fr-CA"/>
        </w:rPr>
        <w:t> L’alinéa (1)a) ne s’applique pas à la personne dont, au moment de la naissance, les parents n’avaient qualité ni de citoyens ni de résidents permanents et dont le père ou la mère était :</w:t>
      </w:r>
    </w:p>
    <w:p w14:paraId="60D34C94" w14:textId="77777777" w:rsidR="00AE2373" w:rsidRPr="00000DCC" w:rsidRDefault="00AE2373" w:rsidP="00AE2373">
      <w:pPr>
        <w:pStyle w:val="Citation-AltC"/>
        <w:tabs>
          <w:tab w:val="left" w:pos="1440"/>
        </w:tabs>
        <w:spacing w:after="240"/>
        <w:ind w:left="1714" w:hanging="634"/>
        <w:contextualSpacing w:val="0"/>
        <w:rPr>
          <w:lang w:val="fr-CA"/>
        </w:rPr>
      </w:pPr>
      <w:r>
        <w:rPr>
          <w:rStyle w:val="lawlabel"/>
          <w:lang w:val="fr-CA"/>
        </w:rPr>
        <w:tab/>
      </w:r>
      <w:r w:rsidRPr="005E71D0">
        <w:rPr>
          <w:rStyle w:val="lawlabel"/>
          <w:b/>
          <w:lang w:val="fr-CA"/>
        </w:rPr>
        <w:t>a)</w:t>
      </w:r>
      <w:r w:rsidRPr="00000DCC">
        <w:rPr>
          <w:lang w:val="fr-CA"/>
        </w:rPr>
        <w:t> agent diplomatique ou consulaire, représentant à un autre titre ou au service au Canada d’un gouvernement étranger;</w:t>
      </w:r>
    </w:p>
    <w:p w14:paraId="252DAF12" w14:textId="77777777" w:rsidR="00AE2373" w:rsidRPr="00000DCC" w:rsidRDefault="00AE2373" w:rsidP="00AE2373">
      <w:pPr>
        <w:pStyle w:val="Citation-AltC"/>
        <w:tabs>
          <w:tab w:val="left" w:pos="1440"/>
        </w:tabs>
        <w:spacing w:after="240"/>
        <w:ind w:left="1714" w:hanging="634"/>
        <w:contextualSpacing w:val="0"/>
        <w:rPr>
          <w:lang w:val="fr-CA"/>
        </w:rPr>
      </w:pPr>
      <w:r>
        <w:rPr>
          <w:rStyle w:val="lawlabel"/>
          <w:lang w:val="fr-CA"/>
        </w:rPr>
        <w:tab/>
      </w:r>
      <w:r w:rsidRPr="005E71D0">
        <w:rPr>
          <w:rStyle w:val="lawlabel"/>
          <w:b/>
          <w:lang w:val="fr-CA"/>
        </w:rPr>
        <w:t>b)</w:t>
      </w:r>
      <w:r w:rsidRPr="00000DCC">
        <w:rPr>
          <w:lang w:val="fr-CA"/>
        </w:rPr>
        <w:t> au service d’une personne mentionnée à l’alinéa a);</w:t>
      </w:r>
    </w:p>
    <w:p w14:paraId="64A20F31" w14:textId="77777777" w:rsidR="00AE2373" w:rsidRPr="00000DCC" w:rsidRDefault="00AE2373" w:rsidP="00AE2373">
      <w:pPr>
        <w:pStyle w:val="Citation-AltC"/>
        <w:tabs>
          <w:tab w:val="left" w:pos="1440"/>
        </w:tabs>
        <w:ind w:left="1714" w:hanging="634"/>
        <w:contextualSpacing w:val="0"/>
        <w:rPr>
          <w:noProof/>
          <w:lang w:val="fr-CA"/>
        </w:rPr>
      </w:pPr>
      <w:r>
        <w:rPr>
          <w:rStyle w:val="lawlabel"/>
          <w:lang w:val="fr-CA"/>
        </w:rPr>
        <w:tab/>
      </w:r>
      <w:r w:rsidRPr="005E71D0">
        <w:rPr>
          <w:rStyle w:val="lawlabel"/>
          <w:b/>
          <w:lang w:val="fr-CA"/>
        </w:rPr>
        <w:t>c)</w:t>
      </w:r>
      <w:r w:rsidRPr="00000DCC">
        <w:rPr>
          <w:lang w:val="fr-CA"/>
        </w:rPr>
        <w:t> fonctionnaire ou au service, au Canada, d’</w:t>
      </w:r>
      <w:r>
        <w:rPr>
          <w:lang w:val="fr-CA"/>
        </w:rPr>
        <w:t>une organisation internationale — </w:t>
      </w:r>
      <w:r w:rsidRPr="00000DCC">
        <w:rPr>
          <w:lang w:val="fr-CA"/>
        </w:rPr>
        <w:t>notamment</w:t>
      </w:r>
      <w:r w:rsidRPr="00000DCC">
        <w:rPr>
          <w:noProof/>
          <w:lang w:val="fr-CA"/>
        </w:rPr>
        <w:t xml:space="preserve"> d’une institution spécialisée des Nations Unies — bénéficiant sous le régime d’une loi fédérale de privilèges et immunités diplomatiques que le ministre des Affaires </w:t>
      </w:r>
      <w:r w:rsidRPr="00000DCC">
        <w:rPr>
          <w:noProof/>
          <w:lang w:val="fr-CA"/>
        </w:rPr>
        <w:lastRenderedPageBreak/>
        <w:t>étrangères certifie être équivalents à ceux dont jouissent les personnes visées à l’alinéa a).</w:t>
      </w:r>
    </w:p>
    <w:p w14:paraId="382DB9D8" w14:textId="3E8EAC79"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L’analyste fait remarquer que le terme « agent diplomatique ou consulaire » ainsi que l’expression « représentant </w:t>
      </w:r>
      <w:r w:rsidRPr="00000DCC">
        <w:rPr>
          <w:rFonts w:cs="Times New Roman"/>
          <w:i/>
          <w:noProof/>
          <w:lang w:val="fr-CA"/>
        </w:rPr>
        <w:t xml:space="preserve">à un autre titre </w:t>
      </w:r>
      <w:r w:rsidRPr="00000DCC">
        <w:rPr>
          <w:rFonts w:cs="Times New Roman"/>
          <w:noProof/>
          <w:lang w:val="fr-CA"/>
        </w:rPr>
        <w:t xml:space="preserve">ou au service </w:t>
      </w:r>
      <w:r w:rsidR="00556B88">
        <w:rPr>
          <w:rFonts w:cs="Times New Roman"/>
          <w:noProof/>
          <w:lang w:val="fr-CA"/>
        </w:rPr>
        <w:t xml:space="preserve">au Canada </w:t>
      </w:r>
      <w:r w:rsidRPr="00000DCC">
        <w:rPr>
          <w:rFonts w:cs="Times New Roman"/>
          <w:noProof/>
          <w:lang w:val="fr-CA"/>
        </w:rPr>
        <w:t xml:space="preserve">d’un gouvernement étranger » sont utilisés à l’al. 3(2)a). Elle reconnaît que le terme « agent diplomatique ou consulaire » est défini au par. 35(1) de la </w:t>
      </w:r>
      <w:r w:rsidRPr="00000DCC">
        <w:rPr>
          <w:rFonts w:cs="Times New Roman"/>
          <w:i/>
          <w:noProof/>
          <w:lang w:val="fr-CA"/>
        </w:rPr>
        <w:t>Loi d’interprétation</w:t>
      </w:r>
      <w:r w:rsidRPr="00000DCC">
        <w:rPr>
          <w:rFonts w:cs="Times New Roman"/>
          <w:noProof/>
          <w:lang w:val="fr-CA"/>
        </w:rPr>
        <w:t xml:space="preserve">, et qu’il comprend un grand nombre de postes auprès d’une mission étrangère ou un consulat. Elle fait par contre remarquer que l’expression « représentant à un autre titre ou au service </w:t>
      </w:r>
      <w:r w:rsidR="00956714">
        <w:rPr>
          <w:rFonts w:cs="Times New Roman"/>
          <w:noProof/>
          <w:lang w:val="fr-CA"/>
        </w:rPr>
        <w:t xml:space="preserve">au Canada </w:t>
      </w:r>
      <w:r w:rsidRPr="00000DCC">
        <w:rPr>
          <w:rFonts w:cs="Times New Roman"/>
          <w:noProof/>
          <w:lang w:val="fr-CA"/>
        </w:rPr>
        <w:t>d’un gouvernement étranger » n’est définie nulle part dans la législation.</w:t>
      </w:r>
    </w:p>
    <w:p w14:paraId="4D3F74A6" w14:textId="6D45FD2F"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bidi="en-US"/>
        </w:rPr>
        <w:t xml:space="preserve">L’analyste compare le libellé de l’al. 3(2)a) de la </w:t>
      </w:r>
      <w:r w:rsidRPr="00000DCC">
        <w:rPr>
          <w:rFonts w:cs="Times New Roman"/>
          <w:i/>
          <w:noProof/>
          <w:lang w:val="fr-CA" w:bidi="en-US"/>
        </w:rPr>
        <w:t xml:space="preserve">Loi sur la citoyenneté </w:t>
      </w:r>
      <w:r w:rsidRPr="00000DCC">
        <w:rPr>
          <w:rFonts w:cs="Times New Roman"/>
          <w:noProof/>
          <w:lang w:val="fr-CA" w:bidi="en-US"/>
        </w:rPr>
        <w:t>à celui d’une disposition semblable de la loi qui l’a précédée. Cette disposition</w:t>
      </w:r>
      <w:r w:rsidR="00D77F95">
        <w:rPr>
          <w:rFonts w:cs="Times New Roman"/>
          <w:noProof/>
          <w:lang w:val="fr-CA" w:bidi="en-US"/>
        </w:rPr>
        <w:t xml:space="preserve"> </w:t>
      </w:r>
      <w:r w:rsidRPr="00000DCC">
        <w:rPr>
          <w:rFonts w:cs="Times New Roman"/>
          <w:noProof/>
          <w:lang w:val="fr-CA" w:bidi="en-US"/>
        </w:rPr>
        <w:t xml:space="preserve">— </w:t>
      </w:r>
      <w:r w:rsidR="00D77F95">
        <w:rPr>
          <w:rFonts w:cs="Times New Roman"/>
          <w:noProof/>
          <w:lang w:val="fr-CA" w:bidi="en-US"/>
        </w:rPr>
        <w:t>l’al</w:t>
      </w:r>
      <w:r w:rsidRPr="00000DCC">
        <w:rPr>
          <w:rFonts w:cs="Times New Roman"/>
          <w:noProof/>
          <w:lang w:val="fr-CA" w:bidi="en-US"/>
        </w:rPr>
        <w:t>. 5(3)</w:t>
      </w:r>
      <w:r>
        <w:rPr>
          <w:rFonts w:cs="Times New Roman"/>
          <w:noProof/>
          <w:lang w:val="fr-CA" w:bidi="en-US"/>
        </w:rPr>
        <w:t>b)</w:t>
      </w:r>
      <w:r w:rsidRPr="00000DCC">
        <w:rPr>
          <w:rFonts w:cs="Times New Roman"/>
          <w:noProof/>
          <w:lang w:val="fr-CA" w:bidi="en-US"/>
        </w:rPr>
        <w:t xml:space="preserve"> de la </w:t>
      </w:r>
      <w:r w:rsidRPr="00000DCC">
        <w:rPr>
          <w:rFonts w:cs="Times New Roman"/>
          <w:i/>
          <w:noProof/>
          <w:lang w:val="fr-CA" w:bidi="en-US"/>
        </w:rPr>
        <w:t>Loi sur la citoyenneté canadienne</w:t>
      </w:r>
      <w:r w:rsidRPr="00000DCC">
        <w:rPr>
          <w:rFonts w:cs="Times New Roman"/>
          <w:noProof/>
          <w:lang w:val="fr-CA" w:bidi="en-US"/>
        </w:rPr>
        <w:t>, S.R.C. 1970, c. C</w:t>
      </w:r>
      <w:r w:rsidRPr="00000DCC">
        <w:rPr>
          <w:rFonts w:cs="Times New Roman"/>
          <w:noProof/>
          <w:lang w:val="fr-CA" w:bidi="en-US"/>
        </w:rPr>
        <w:noBreakHyphen/>
        <w:t>19 — excluait du droit à la citoyenneté canadienne les enfants dont le « parent responsable » était, au moment de leur naissance :</w:t>
      </w:r>
    </w:p>
    <w:p w14:paraId="166AF4B3" w14:textId="77777777" w:rsidR="00AE2373" w:rsidRPr="00000DCC" w:rsidRDefault="00AE2373" w:rsidP="0038451B">
      <w:pPr>
        <w:pStyle w:val="Citation-AltC"/>
        <w:numPr>
          <w:ilvl w:val="5"/>
          <w:numId w:val="1"/>
        </w:numPr>
        <w:tabs>
          <w:tab w:val="left" w:pos="1710"/>
        </w:tabs>
        <w:spacing w:after="240"/>
        <w:ind w:left="1710" w:hanging="544"/>
        <w:contextualSpacing w:val="0"/>
        <w:rPr>
          <w:noProof/>
          <w:lang w:val="fr-CA"/>
        </w:rPr>
      </w:pPr>
      <w:r w:rsidRPr="00000DCC">
        <w:rPr>
          <w:noProof/>
          <w:lang w:val="fr-CA"/>
        </w:rPr>
        <w:t>un agent diplomatique ou consulaire étranger ou un représentant d’un gouvernement étranger accrédité auprès de Sa Majesté,</w:t>
      </w:r>
    </w:p>
    <w:p w14:paraId="203A3C30" w14:textId="77777777" w:rsidR="00AE2373" w:rsidRPr="00000DCC" w:rsidRDefault="00AE2373" w:rsidP="0038451B">
      <w:pPr>
        <w:pStyle w:val="Citation-AltC"/>
        <w:numPr>
          <w:ilvl w:val="5"/>
          <w:numId w:val="1"/>
        </w:numPr>
        <w:spacing w:after="240"/>
        <w:ind w:left="1710" w:hanging="540"/>
        <w:contextualSpacing w:val="0"/>
        <w:rPr>
          <w:noProof/>
          <w:lang w:val="fr-CA"/>
        </w:rPr>
      </w:pPr>
      <w:r w:rsidRPr="00000DCC">
        <w:rPr>
          <w:noProof/>
          <w:lang w:val="fr-CA"/>
        </w:rPr>
        <w:t>un employé d’un gouvernement étranger, attaché à une mission diplomatique ou à un consulat au Canada, ou au service d’une telle mission ou d’un tel consulat, ou</w:t>
      </w:r>
    </w:p>
    <w:p w14:paraId="7523CA03" w14:textId="77777777" w:rsidR="00AE2373" w:rsidRPr="00000DCC" w:rsidRDefault="00AE2373" w:rsidP="0038451B">
      <w:pPr>
        <w:pStyle w:val="Citation-AltC"/>
        <w:numPr>
          <w:ilvl w:val="5"/>
          <w:numId w:val="1"/>
        </w:numPr>
        <w:ind w:left="1710" w:hanging="540"/>
        <w:contextualSpacing w:val="0"/>
        <w:rPr>
          <w:noProof/>
          <w:lang w:val="fr-CA"/>
        </w:rPr>
      </w:pPr>
      <w:r w:rsidRPr="00000DCC">
        <w:rPr>
          <w:noProof/>
          <w:lang w:val="fr-CA"/>
        </w:rPr>
        <w:t>un employé au service d’une personne mentionnée au sous</w:t>
      </w:r>
      <w:r w:rsidRPr="00000DCC">
        <w:rPr>
          <w:noProof/>
          <w:lang w:val="fr-CA"/>
        </w:rPr>
        <w:noBreakHyphen/>
        <w:t>alinéa (i).</w:t>
      </w:r>
    </w:p>
    <w:p w14:paraId="7909C75A" w14:textId="571103DD"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bidi="en-US"/>
        </w:rPr>
        <w:t xml:space="preserve">L’analyste en conclut que, puisque l’al. 3(2)a) </w:t>
      </w:r>
      <w:r w:rsidRPr="00000DCC">
        <w:rPr>
          <w:rFonts w:cs="Times New Roman"/>
          <w:smallCaps/>
          <w:noProof/>
          <w:lang w:val="fr-CA" w:bidi="en-US"/>
        </w:rPr>
        <w:t xml:space="preserve">[traduction] </w:t>
      </w:r>
      <w:r w:rsidRPr="00000DCC">
        <w:rPr>
          <w:rFonts w:cs="Times New Roman"/>
          <w:noProof/>
          <w:lang w:val="fr-CA" w:bidi="en-US"/>
        </w:rPr>
        <w:t>« parle de “</w:t>
      </w:r>
      <w:r w:rsidRPr="00000DCC">
        <w:rPr>
          <w:rFonts w:cs="Times New Roman"/>
          <w:noProof/>
          <w:lang w:val="fr-CA"/>
        </w:rPr>
        <w:t xml:space="preserve">représentant à un autre titre ou au service </w:t>
      </w:r>
      <w:r w:rsidR="0073643C">
        <w:rPr>
          <w:rFonts w:cs="Times New Roman"/>
          <w:noProof/>
          <w:lang w:val="fr-CA"/>
        </w:rPr>
        <w:t xml:space="preserve">au Canada </w:t>
      </w:r>
      <w:r w:rsidRPr="00000DCC">
        <w:rPr>
          <w:rFonts w:cs="Times New Roman"/>
          <w:noProof/>
          <w:lang w:val="fr-CA"/>
        </w:rPr>
        <w:t>d’un gouvernement étranger</w:t>
      </w:r>
      <w:r w:rsidRPr="00000DCC">
        <w:rPr>
          <w:rFonts w:cs="Times New Roman"/>
          <w:noProof/>
          <w:lang w:val="fr-CA" w:bidi="en-US"/>
        </w:rPr>
        <w:t xml:space="preserve">” sans établir que cette personne est “attaché[e] à une mission diplomatique ou à un </w:t>
      </w:r>
      <w:r w:rsidRPr="00000DCC">
        <w:rPr>
          <w:rFonts w:cs="Times New Roman"/>
          <w:noProof/>
          <w:lang w:val="fr-CA" w:bidi="en-US"/>
        </w:rPr>
        <w:lastRenderedPageBreak/>
        <w:t>consulat au Canada” (comme c’était le cas dans la version antérieure de cette disposition), il est raisonnable de soutenir que cette disposition est censée englober les personnes qui ne sont pas visées par la définition du terme “personnel diplomatique et consulaire” » : d.a., vol. I, p. 7.</w:t>
      </w:r>
    </w:p>
    <w:p w14:paraId="0731C80D" w14:textId="2997DA6F" w:rsidR="00AE2373" w:rsidRPr="00000DCC" w:rsidRDefault="00AE2373" w:rsidP="00AE2373">
      <w:pPr>
        <w:pStyle w:val="ParaNoNdepar-AltN"/>
        <w:tabs>
          <w:tab w:val="clear" w:pos="1166"/>
          <w:tab w:val="clear" w:pos="1422"/>
          <w:tab w:val="num" w:pos="1170"/>
        </w:tabs>
        <w:spacing w:before="0"/>
        <w:rPr>
          <w:rFonts w:cs="Times New Roman"/>
          <w:iCs/>
          <w:noProof/>
          <w:lang w:val="fr-CA"/>
        </w:rPr>
      </w:pPr>
      <w:r w:rsidRPr="00000DCC">
        <w:rPr>
          <w:rFonts w:cs="Times New Roman"/>
          <w:noProof/>
          <w:lang w:val="fr-CA" w:bidi="en-US"/>
        </w:rPr>
        <w:t xml:space="preserve">Bien que l’analyste reconnaisse que </w:t>
      </w:r>
      <w:r w:rsidRPr="00000DCC">
        <w:rPr>
          <w:rFonts w:cs="Times New Roman"/>
          <w:smallCaps/>
          <w:noProof/>
          <w:lang w:val="fr-CA" w:bidi="en-US"/>
        </w:rPr>
        <w:t xml:space="preserve">[traduction] </w:t>
      </w:r>
      <w:r w:rsidRPr="00000DCC">
        <w:rPr>
          <w:rFonts w:cs="Times New Roman"/>
          <w:noProof/>
          <w:lang w:val="fr-CA" w:bidi="en-US"/>
        </w:rPr>
        <w:t>« M</w:t>
      </w:r>
      <w:r w:rsidRPr="00000DCC">
        <w:rPr>
          <w:rFonts w:cs="Times New Roman"/>
          <w:noProof/>
          <w:vertAlign w:val="superscript"/>
          <w:lang w:val="fr-CA" w:bidi="en-US"/>
        </w:rPr>
        <w:t>me</w:t>
      </w:r>
      <w:r w:rsidRPr="00000DCC">
        <w:rPr>
          <w:rFonts w:cs="Times New Roman"/>
          <w:noProof/>
          <w:lang w:val="fr-CA" w:bidi="en-US"/>
        </w:rPr>
        <w:t> Vavilova et M. Bezrukov étaient au service au Canada d’un gouvernement étranger, mais ne bénéficiaient pas des avantages ou des protections (c.</w:t>
      </w:r>
      <w:r w:rsidRPr="00000DCC">
        <w:rPr>
          <w:rFonts w:cs="Times New Roman"/>
          <w:noProof/>
          <w:lang w:val="fr-CA" w:bidi="en-US"/>
        </w:rPr>
        <w:noBreakHyphen/>
        <w:t>à</w:t>
      </w:r>
      <w:r w:rsidRPr="00000DCC">
        <w:rPr>
          <w:rFonts w:cs="Times New Roman"/>
          <w:noProof/>
          <w:lang w:val="fr-CA" w:bidi="en-US"/>
        </w:rPr>
        <w:noBreakHyphen/>
        <w:t xml:space="preserve">d. l’immunité) dont jouissent les personnes affectées à des missions diplomatiques ou à des postes consulaires ou officiels », elle conclut néanmoins qu’ils étaient des « employés ou représentants non officiels » de la Russie au moment de la naissance de M. Vavilov : d.a., vol. I, p. 13. Selon son interprétation, l’exception prévue à l’al. 3(2)a) de la </w:t>
      </w:r>
      <w:r w:rsidRPr="00000DCC">
        <w:rPr>
          <w:rFonts w:cs="Times New Roman"/>
          <w:i/>
          <w:noProof/>
          <w:lang w:val="fr-CA" w:bidi="en-US"/>
        </w:rPr>
        <w:t>Loi sur la citoyenneté</w:t>
      </w:r>
      <w:r w:rsidRPr="00000DCC">
        <w:rPr>
          <w:rFonts w:cs="Times New Roman"/>
          <w:noProof/>
          <w:lang w:val="fr-CA" w:bidi="en-US"/>
        </w:rPr>
        <w:t xml:space="preserve"> s’appliquait donc à M. Vavilov. En conséquence, l’analyste recommande que la greffière de la citoyenneté canadienne « rappelle » le certificat de M. Vavilov au motif qu’il n’avait pas droit à la citoyenneté et qu’il n’y avait d’ailleurs jamais eu droit</w:t>
      </w:r>
      <w:r w:rsidR="001C18A4">
        <w:rPr>
          <w:rFonts w:cs="Times New Roman"/>
          <w:noProof/>
          <w:lang w:val="fr-CA" w:bidi="en-US"/>
        </w:rPr>
        <w:t xml:space="preserve"> : </w:t>
      </w:r>
      <w:r w:rsidR="001C18A4">
        <w:rPr>
          <w:rFonts w:cs="Times New Roman"/>
          <w:i/>
          <w:noProof/>
          <w:lang w:val="fr-CA" w:bidi="en-US"/>
        </w:rPr>
        <w:t>ibid.</w:t>
      </w:r>
      <w:r w:rsidR="001C18A4">
        <w:rPr>
          <w:rFonts w:cs="Times New Roman"/>
          <w:noProof/>
          <w:lang w:val="fr-CA" w:bidi="en-US"/>
        </w:rPr>
        <w:t>, p. 14</w:t>
      </w:r>
      <w:r w:rsidRPr="00000DCC">
        <w:rPr>
          <w:rFonts w:cs="Times New Roman"/>
          <w:noProof/>
          <w:lang w:val="fr-CA" w:bidi="en-US"/>
        </w:rPr>
        <w:t>.</w:t>
      </w:r>
    </w:p>
    <w:p w14:paraId="1BD4540C" w14:textId="77777777" w:rsidR="00AE2373" w:rsidRPr="00000DCC" w:rsidRDefault="00AE2373" w:rsidP="00AE2373">
      <w:pPr>
        <w:pStyle w:val="Title3LevelTitre3Niveau"/>
        <w:numPr>
          <w:ilvl w:val="2"/>
          <w:numId w:val="8"/>
        </w:numPr>
        <w:spacing w:before="0"/>
        <w:rPr>
          <w:rFonts w:cs="Times New Roman"/>
          <w:noProof/>
          <w:lang w:val="fr-CA"/>
        </w:rPr>
      </w:pPr>
      <w:r w:rsidRPr="00000DCC">
        <w:rPr>
          <w:rFonts w:cs="Times New Roman"/>
          <w:noProof/>
          <w:lang w:val="fr-CA"/>
        </w:rPr>
        <w:t>Cour fédérale (le juge Bell), 2015 CF 960, [2016] 2 R.C.F. 39</w:t>
      </w:r>
    </w:p>
    <w:p w14:paraId="3BA9021D" w14:textId="7DC6A8C8" w:rsidR="00AE2373" w:rsidRPr="00000DCC" w:rsidRDefault="006D2BF0" w:rsidP="00AE2373">
      <w:pPr>
        <w:pStyle w:val="ParaNoNdepar-AltN"/>
        <w:tabs>
          <w:tab w:val="clear" w:pos="1166"/>
          <w:tab w:val="clear" w:pos="1422"/>
          <w:tab w:val="num" w:pos="1170"/>
        </w:tabs>
        <w:spacing w:before="0"/>
        <w:rPr>
          <w:rFonts w:cs="Times New Roman"/>
          <w:noProof/>
          <w:lang w:val="fr-CA"/>
        </w:rPr>
      </w:pPr>
      <w:r>
        <w:rPr>
          <w:rFonts w:cs="Times New Roman"/>
          <w:noProof/>
          <w:lang w:val="fr-CA"/>
        </w:rPr>
        <w:t>Monsieur</w:t>
      </w:r>
      <w:r w:rsidR="00AE2373" w:rsidRPr="00000DCC">
        <w:rPr>
          <w:rFonts w:cs="Times New Roman"/>
          <w:noProof/>
          <w:lang w:val="fr-CA"/>
        </w:rPr>
        <w:t xml:space="preserve"> Vavilov demande et obtient l’autorisation de présenter une demande de contrôle judiciaire de la décision de la greffière devant la Cour fédérale en vertu de l’art. 22.1 de la </w:t>
      </w:r>
      <w:r w:rsidR="00AE2373" w:rsidRPr="00000DCC">
        <w:rPr>
          <w:rFonts w:cs="Times New Roman"/>
          <w:i/>
          <w:noProof/>
          <w:lang w:val="fr-CA"/>
        </w:rPr>
        <w:t>Loi sur la citoyenneté</w:t>
      </w:r>
      <w:r w:rsidR="00AE2373" w:rsidRPr="00000DCC">
        <w:rPr>
          <w:rFonts w:cs="Times New Roman"/>
          <w:noProof/>
          <w:lang w:val="fr-CA"/>
        </w:rPr>
        <w:t>. Sa demande est rejetée.</w:t>
      </w:r>
    </w:p>
    <w:p w14:paraId="5DC2DD63"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La Cour fédérale écarte l’argument de M. Vavilov selon lequel la greffière avait manqué à son obligation d’équité procédurale en omettant de lui communiquer les documents qui ont donné lieu à l’envoi de la première lettre dite d’équité </w:t>
      </w:r>
      <w:r w:rsidRPr="00000DCC">
        <w:rPr>
          <w:rFonts w:cs="Times New Roman"/>
          <w:noProof/>
          <w:lang w:val="fr-CA"/>
        </w:rPr>
        <w:lastRenderedPageBreak/>
        <w:t>procédurale. Selon la Cour fédérale, la greffière a fourni suffisamment de renseignements à M. Vavilov pour qu’il puisse fournir des réponses valables; elle a donc respecté les exigences d’équité procédurale dans les circonstances.</w:t>
      </w:r>
    </w:p>
    <w:p w14:paraId="17B40A6A"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La Cour fédérale écarte également la contestation de M. Vavilov concernant l’interprétation qu’a faite la greffière de l’al. 3(2)a) de la </w:t>
      </w:r>
      <w:r w:rsidRPr="00000DCC">
        <w:rPr>
          <w:rFonts w:cs="Times New Roman"/>
          <w:i/>
          <w:noProof/>
          <w:lang w:val="fr-CA"/>
        </w:rPr>
        <w:t>Loi sur la citoyenneté</w:t>
      </w:r>
      <w:r w:rsidRPr="00000DCC">
        <w:rPr>
          <w:rFonts w:cs="Times New Roman"/>
          <w:noProof/>
          <w:lang w:val="fr-CA"/>
        </w:rPr>
        <w:t>. Appliquant la norme de la décision correcte, la Cour fédérale souscrit à l’opinion de la greffière selon laquelle les agents d’infiltration étrangers vivant au Canada sont visés par les mots « agent diplomatique ou consulaire, représentant à un autre titre ou au service au Canada d’un gouvernement étranger » de l’al. 3(2)a). Selon la Cour fédérale, interpréter l’al. 3(2)a) d’une autre façon aurait pour effet de rendre l’expression « représentant à un autre titre ou au service au Canada d’un gouvernement étranger » vide de sens et donnerait lieu à un « résultat absurde » : « les enfants d’un diplomate étranger qui travaille dans une ambassade et mène des opérations d’espionnage ne seraient pas citoyens canadiens de naissance, alors que les enfants de personnes qui sont entrées illégalement au Canada pour accomplir des opérations similaires le seraient » : par. 25.</w:t>
      </w:r>
    </w:p>
    <w:p w14:paraId="71004A1D"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Enfin, la Cour fédérale se dit convaincue, étant donné la preuve, du caractère raisonnable de la conclusion de la greffière selon laquelle les parents de M. Vavilov étaient en mission clandestine au Canada pour le compte du gouvernement de la Russie au moment de sa naissance.</w:t>
      </w:r>
    </w:p>
    <w:p w14:paraId="332830EC" w14:textId="77777777" w:rsidR="00AE2373" w:rsidRPr="00000DCC" w:rsidRDefault="00AE2373" w:rsidP="00AE2373">
      <w:pPr>
        <w:pStyle w:val="Title3LevelTitre3Niveau"/>
        <w:widowControl w:val="0"/>
        <w:numPr>
          <w:ilvl w:val="2"/>
          <w:numId w:val="8"/>
        </w:numPr>
        <w:spacing w:before="0"/>
        <w:rPr>
          <w:rFonts w:cs="Times New Roman"/>
          <w:noProof/>
          <w:lang w:val="fr-CA"/>
        </w:rPr>
      </w:pPr>
      <w:r w:rsidRPr="00000DCC">
        <w:rPr>
          <w:rFonts w:cs="Times New Roman"/>
          <w:noProof/>
          <w:lang w:val="fr-CA"/>
        </w:rPr>
        <w:t>Cour d’appel fédérale (le juge Stratas, avec l’accord du juge Webb; la juge Gleason, dissidente), 2017 CAF 132, [2018] 3 R.C.F. 75</w:t>
      </w:r>
    </w:p>
    <w:p w14:paraId="27E9A747" w14:textId="77777777" w:rsidR="00AE2373" w:rsidRPr="00000DCC" w:rsidRDefault="00AE2373" w:rsidP="00AE2373">
      <w:pPr>
        <w:pStyle w:val="ParaNoNdepar-AltN"/>
        <w:widowControl w:val="0"/>
        <w:tabs>
          <w:tab w:val="clear" w:pos="1166"/>
          <w:tab w:val="clear" w:pos="1422"/>
          <w:tab w:val="num" w:pos="1170"/>
        </w:tabs>
        <w:spacing w:before="0"/>
        <w:rPr>
          <w:rFonts w:cs="Times New Roman"/>
          <w:noProof/>
          <w:lang w:val="fr-CA"/>
        </w:rPr>
      </w:pPr>
      <w:r w:rsidRPr="00000DCC">
        <w:rPr>
          <w:rFonts w:cs="Times New Roman"/>
          <w:noProof/>
          <w:lang w:val="fr-CA"/>
        </w:rPr>
        <w:lastRenderedPageBreak/>
        <w:t>La Cour d’appel fédérale accueille à la majorité l’appel interjeté par M. Vavilov contre le jugement de la Cour fédérale et casse la décision de la greffière.</w:t>
      </w:r>
    </w:p>
    <w:p w14:paraId="49C30497"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La Cour d’appel rejette à l’unanimité l’argument de M. Vavilov voulant que la greffière n’ait pas fait preuve d’équité procédurale envers lui. Selon la Cour d’appel, la lettre dite d’équité procédurale de la greffière contenait suffisamment de renseignements pour que M. Vavilov puisse connaître les faits à réfuter. Même si M. Vavilov avait le droit d’obtenir un complément d’information lorsqu’il a reçu cette lettre, la cour précise que sa contestation fondée sur le manquement à l’équité procédurale aurait néanmoins été rejetée : grâce à ses propres efforts, il a réussi à obtenir par la suite des renseignements supplémentaires et il a été en mesure de présenter des arguments valables.</w:t>
      </w:r>
    </w:p>
    <w:p w14:paraId="5993FEBA"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La Cour d’appel statue à l’unanimité que l’interprétation et l’application de l’al. 3(2)a) de la </w:t>
      </w:r>
      <w:r w:rsidRPr="00000DCC">
        <w:rPr>
          <w:rFonts w:cs="Times New Roman"/>
          <w:i/>
          <w:noProof/>
          <w:lang w:val="fr-CA"/>
        </w:rPr>
        <w:t xml:space="preserve">Loi sur la citoyenneté </w:t>
      </w:r>
      <w:r w:rsidRPr="00000DCC">
        <w:rPr>
          <w:rFonts w:cs="Times New Roman"/>
          <w:noProof/>
          <w:lang w:val="fr-CA"/>
        </w:rPr>
        <w:t xml:space="preserve">par la greffière devraient être examinées selon la norme de la décision raisonnable. La cour est cependant partagée quant à </w:t>
      </w:r>
      <w:r>
        <w:rPr>
          <w:rFonts w:cs="Times New Roman"/>
          <w:noProof/>
          <w:lang w:val="fr-CA"/>
        </w:rPr>
        <w:t xml:space="preserve">l’application de cette </w:t>
      </w:r>
      <w:r w:rsidRPr="00000DCC">
        <w:rPr>
          <w:rFonts w:cs="Times New Roman"/>
          <w:noProof/>
          <w:lang w:val="fr-CA"/>
        </w:rPr>
        <w:t>no</w:t>
      </w:r>
      <w:r>
        <w:rPr>
          <w:rFonts w:cs="Times New Roman"/>
          <w:noProof/>
          <w:lang w:val="fr-CA"/>
        </w:rPr>
        <w:t>rme</w:t>
      </w:r>
      <w:r w:rsidRPr="00000DCC">
        <w:rPr>
          <w:rFonts w:cs="Times New Roman"/>
          <w:noProof/>
          <w:lang w:val="fr-CA"/>
        </w:rPr>
        <w:t xml:space="preserve"> à la décision de la greffière.</w:t>
      </w:r>
    </w:p>
    <w:p w14:paraId="1DA018AA" w14:textId="61A25E02"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La majorité de la Cour d’appel conclut que l’interprétation</w:t>
      </w:r>
      <w:r>
        <w:rPr>
          <w:rFonts w:cs="Times New Roman"/>
          <w:noProof/>
          <w:lang w:val="fr-CA"/>
        </w:rPr>
        <w:t xml:space="preserve"> donnée par l’analy</w:t>
      </w:r>
      <w:r w:rsidRPr="00000DCC">
        <w:rPr>
          <w:rFonts w:cs="Times New Roman"/>
          <w:noProof/>
          <w:lang w:val="fr-CA"/>
        </w:rPr>
        <w:t>s</w:t>
      </w:r>
      <w:r>
        <w:rPr>
          <w:rFonts w:cs="Times New Roman"/>
          <w:noProof/>
          <w:lang w:val="fr-CA"/>
        </w:rPr>
        <w:t>t</w:t>
      </w:r>
      <w:r w:rsidRPr="00000DCC">
        <w:rPr>
          <w:rFonts w:cs="Times New Roman"/>
          <w:noProof/>
          <w:lang w:val="fr-CA"/>
        </w:rPr>
        <w:t xml:space="preserve">e à l’al. 3(2)a) et adoptée par la greffière était déraisonnable, si bien que la décision de la greffière doit être cassée. L’analyse sur laquelle s’est fondée la greffière au sujet de la question de l’interprétation de la loi ne consistait qu’en une étude du libellé de l’al. 3(2)a) et en un bref résumé de l’origine législative de cette disposition, lequel passait complètement sous silence son objet ou son contexte. De l’avis de la majorité, l’utilisation d’une « approche aussi superficielle et incomplète pour </w:t>
      </w:r>
      <w:r w:rsidRPr="00000DCC">
        <w:rPr>
          <w:rFonts w:cs="Times New Roman"/>
          <w:noProof/>
          <w:lang w:val="fr-CA"/>
        </w:rPr>
        <w:lastRenderedPageBreak/>
        <w:t>l’interprétation des lois » dans une affaire comme la</w:t>
      </w:r>
      <w:r w:rsidR="00DD5092">
        <w:rPr>
          <w:rFonts w:cs="Times New Roman"/>
          <w:noProof/>
          <w:lang w:val="fr-CA"/>
        </w:rPr>
        <w:t xml:space="preserve"> présente n’est pas justifiable </w:t>
      </w:r>
      <w:r w:rsidRPr="00000DCC">
        <w:rPr>
          <w:rFonts w:cs="Times New Roman"/>
          <w:noProof/>
          <w:lang w:val="fr-CA"/>
        </w:rPr>
        <w:t xml:space="preserve">: par. 44. De plus, lorsque l’on prend en compte l’objet et le contexte de cette disposition, la seule conclusion raisonnable est que l’expression « au service au Canada d’un gouvernement étranger » énoncée à l’al. 3(2)a) ne doit s’appliquer qu’aux personnes à qui on avait accordé des privilèges et immunités diplomatiques reconnus en droit international. Comme les parties s’entendent pour dire que ni la mère ni le père de M. Vavilov ne s’étaient vu accorder de privilèges ou d’immunités diplomatiques, l’al. 3(2)a) ne lui est pas applicable. La décision d’annuler son certificat de citoyenneté en application de l’al. 3(2)a) ne peut donc pas être maintenue et M. Vavilov a droit à la citoyenneté canadienne en vertu de la </w:t>
      </w:r>
      <w:r w:rsidRPr="00000DCC">
        <w:rPr>
          <w:rFonts w:cs="Times New Roman"/>
          <w:i/>
          <w:noProof/>
          <w:lang w:val="fr-CA"/>
        </w:rPr>
        <w:t>Loi sur la citoyenneté</w:t>
      </w:r>
      <w:r w:rsidRPr="00000DCC">
        <w:rPr>
          <w:rFonts w:cs="Times New Roman"/>
          <w:noProof/>
          <w:lang w:val="fr-CA"/>
        </w:rPr>
        <w:t>.</w:t>
      </w:r>
    </w:p>
    <w:p w14:paraId="21DEE53C"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La juge dissidente n’est pas de cet avis et conclut que l’interprétation qu’a faite la greffière de l’al. 3(2)a) était raisonnable. Selon la juge dissidente, le libellé de cette disposition permet au moins deux interprétations rationnelles : soit une interprétation incluant tous les employés au service d’un gouvernement étranger, soit une interprétation incluant seulement les employés au service d’un gouvernement étranger à qui on a accordé des privilèges et immunités diplomatiques. Selon la juge dissidente, le contexte ou l’objet de la disposition n’appellent pas forcément la première interprétation. Il était donc loisible à la greffière de conclure que les parents de M. Vavilov étaient visés par l’al. 3(2)a). La juge dissidente aurait maintenu la décision de la greffière.</w:t>
      </w:r>
    </w:p>
    <w:p w14:paraId="7F0D0077" w14:textId="77777777" w:rsidR="00AE2373" w:rsidRPr="00000DCC" w:rsidRDefault="00AE2373" w:rsidP="00AE2373">
      <w:pPr>
        <w:pStyle w:val="Title2LevelTitre2Niveau"/>
        <w:numPr>
          <w:ilvl w:val="1"/>
          <w:numId w:val="8"/>
        </w:numPr>
        <w:spacing w:before="0"/>
        <w:ind w:left="0" w:firstLine="0"/>
        <w:jc w:val="left"/>
        <w:rPr>
          <w:rFonts w:cs="Times New Roman"/>
          <w:noProof/>
          <w:lang w:val="fr-CA"/>
        </w:rPr>
      </w:pPr>
      <w:r w:rsidRPr="00000DCC">
        <w:rPr>
          <w:rFonts w:cs="Times New Roman"/>
          <w:noProof/>
          <w:lang w:val="fr-CA"/>
        </w:rPr>
        <w:t>Analyse</w:t>
      </w:r>
    </w:p>
    <w:p w14:paraId="30D7D4FC" w14:textId="77777777" w:rsidR="00AE2373" w:rsidRPr="00000DCC" w:rsidRDefault="00AE2373" w:rsidP="00AE2373">
      <w:pPr>
        <w:pStyle w:val="Title3LevelTitre3Niveau"/>
        <w:numPr>
          <w:ilvl w:val="2"/>
          <w:numId w:val="8"/>
        </w:numPr>
        <w:spacing w:before="0"/>
        <w:jc w:val="left"/>
        <w:rPr>
          <w:rFonts w:cs="Times New Roman"/>
          <w:noProof/>
          <w:lang w:val="fr-CA"/>
        </w:rPr>
      </w:pPr>
      <w:r w:rsidRPr="00000DCC">
        <w:rPr>
          <w:rFonts w:cs="Times New Roman"/>
          <w:noProof/>
          <w:lang w:val="fr-CA"/>
        </w:rPr>
        <w:t>La norme de contrôle applicable</w:t>
      </w:r>
    </w:p>
    <w:p w14:paraId="631295D8"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lastRenderedPageBreak/>
        <w:t>L’analyse visant à déterminer la norme de contrôle applicable présentée ci</w:t>
      </w:r>
      <w:r w:rsidRPr="00000DCC">
        <w:rPr>
          <w:rFonts w:cs="Times New Roman"/>
          <w:noProof/>
          <w:lang w:val="fr-CA"/>
        </w:rPr>
        <w:noBreakHyphen/>
        <w:t>dessus mène à la conclusion que le fond de la décision de la greffière doit être examiné selon la norme de la décision raisonnable.</w:t>
      </w:r>
    </w:p>
    <w:p w14:paraId="5B0B788D"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Lorsqu’une cour de justice contrôle une décision administrative</w:t>
      </w:r>
      <w:r w:rsidRPr="00000DCC">
        <w:rPr>
          <w:rFonts w:eastAsia="Times New Roman" w:cs="Times New Roman"/>
          <w:noProof/>
          <w:szCs w:val="24"/>
          <w:lang w:val="fr-CA" w:eastAsia="en-CA"/>
        </w:rPr>
        <w:t xml:space="preserve"> </w:t>
      </w:r>
      <w:r w:rsidRPr="00000DCC">
        <w:rPr>
          <w:rFonts w:cs="Times New Roman"/>
          <w:noProof/>
          <w:lang w:val="fr-CA"/>
        </w:rPr>
        <w:t xml:space="preserve">au fond, la norme de contrôle applicable est présumée être celle de la décision raisonnable. Rien ne permet de s’écarter de cette présomption en l’espèce. La décision de la greffière a été soumise aux cours de justice par voie de contrôle judiciaire et non par voie d’appel en application de la loi. Signalons à cet effet que les art. 22.1 à 22.4 de la </w:t>
      </w:r>
      <w:r w:rsidRPr="00000DCC">
        <w:rPr>
          <w:rFonts w:cs="Times New Roman"/>
          <w:i/>
          <w:noProof/>
          <w:lang w:val="fr-CA"/>
        </w:rPr>
        <w:t xml:space="preserve">Loi sur la citoyenneté </w:t>
      </w:r>
      <w:r w:rsidRPr="00000DCC">
        <w:rPr>
          <w:rFonts w:cs="Times New Roman"/>
          <w:noProof/>
          <w:lang w:val="fr-CA"/>
        </w:rPr>
        <w:t xml:space="preserve">prescrivent des règles qui régissent les demandes de contrôle judiciaire des décisions rendues en vertu de cette loi. Par exemple, le par. 22.1(1) prévoit que toute demande de contrôle judiciaire de ce type de décisions est subordonnée à l’autorisation de la Cour fédérale. Toutefois, aucune de ces dispositions ne permet à une partie d’interjeter appel d’une décision rendue en vertu de la </w:t>
      </w:r>
      <w:r w:rsidRPr="00000DCC">
        <w:rPr>
          <w:rFonts w:cs="Times New Roman"/>
          <w:i/>
          <w:noProof/>
          <w:lang w:val="fr-CA"/>
        </w:rPr>
        <w:t>Loi sur la citoyenneté</w:t>
      </w:r>
      <w:r w:rsidRPr="00000DCC">
        <w:rPr>
          <w:rFonts w:cs="Times New Roman"/>
          <w:noProof/>
          <w:lang w:val="fr-CA"/>
        </w:rPr>
        <w:t>. Compte tenu de ce fait, et étant donné que le Parlement n’a pas prescrit la norme à appliquer dans le cas du contrôle judiciaire de la décision en litige, rien n’indique que le législateur voulait qu’une autre norme que celle de la décision raisonnable soit appliquée. La décision de la greffière ne soulève pas de questions constitutionnelles, de questions de droit générales d’importance capitale pour le système juridique dans son ensemble ou de questions liées aux délimitations des compétences respectives d’organismes administratifs. En conséquence, elle doit être examinée selon la norme de la décision raisonnable.</w:t>
      </w:r>
    </w:p>
    <w:p w14:paraId="621CA771" w14:textId="77777777" w:rsidR="00AE2373" w:rsidRPr="00000DCC" w:rsidRDefault="00AE2373" w:rsidP="00AE2373">
      <w:pPr>
        <w:pStyle w:val="Title3LevelTitre3Niveau"/>
        <w:widowControl w:val="0"/>
        <w:numPr>
          <w:ilvl w:val="2"/>
          <w:numId w:val="8"/>
        </w:numPr>
        <w:spacing w:before="0"/>
        <w:jc w:val="left"/>
        <w:rPr>
          <w:rFonts w:cs="Times New Roman"/>
          <w:noProof/>
          <w:lang w:val="fr-CA"/>
        </w:rPr>
      </w:pPr>
      <w:r w:rsidRPr="00000DCC">
        <w:rPr>
          <w:rFonts w:cs="Times New Roman"/>
          <w:noProof/>
          <w:lang w:val="fr-CA"/>
        </w:rPr>
        <w:t>L’examen du caractère raisonnable</w:t>
      </w:r>
    </w:p>
    <w:p w14:paraId="00507B50" w14:textId="77777777" w:rsidR="00AE2373" w:rsidRPr="00000DCC" w:rsidRDefault="00AE2373" w:rsidP="00AE2373">
      <w:pPr>
        <w:pStyle w:val="ParaNoNdepar-AltN"/>
        <w:widowControl w:val="0"/>
        <w:tabs>
          <w:tab w:val="clear" w:pos="1166"/>
          <w:tab w:val="clear" w:pos="1422"/>
          <w:tab w:val="num" w:pos="1170"/>
        </w:tabs>
        <w:spacing w:before="0"/>
        <w:rPr>
          <w:rFonts w:cs="Times New Roman"/>
          <w:noProof/>
          <w:lang w:val="fr-CA"/>
        </w:rPr>
      </w:pPr>
      <w:r w:rsidRPr="00000DCC">
        <w:rPr>
          <w:rFonts w:cs="Times New Roman"/>
          <w:noProof/>
          <w:lang w:val="fr-CA"/>
        </w:rPr>
        <w:t xml:space="preserve">La principale question soumise à la Cour est de savoir s’il était raisonnable </w:t>
      </w:r>
      <w:r w:rsidRPr="00000DCC">
        <w:rPr>
          <w:rFonts w:cs="Times New Roman"/>
          <w:noProof/>
          <w:lang w:val="fr-CA"/>
        </w:rPr>
        <w:lastRenderedPageBreak/>
        <w:t xml:space="preserve">pour la greffière de conclure que les parents de M. Vavilov étaient des « représentant[s] </w:t>
      </w:r>
      <w:r>
        <w:rPr>
          <w:rFonts w:cs="Times New Roman"/>
          <w:noProof/>
          <w:lang w:val="fr-CA"/>
        </w:rPr>
        <w:t xml:space="preserve">à un autre titre </w:t>
      </w:r>
      <w:r w:rsidRPr="00000DCC">
        <w:rPr>
          <w:rFonts w:cs="Times New Roman"/>
          <w:noProof/>
          <w:lang w:val="fr-CA"/>
        </w:rPr>
        <w:t xml:space="preserve">ou au service au Canada d’un gouvernement étranger » au sens de l’al. 3(2)a) de la </w:t>
      </w:r>
      <w:r w:rsidRPr="00000DCC">
        <w:rPr>
          <w:rFonts w:cs="Times New Roman"/>
          <w:i/>
          <w:noProof/>
          <w:lang w:val="fr-CA"/>
        </w:rPr>
        <w:t>Loi sur la citoyenneté</w:t>
      </w:r>
      <w:r w:rsidRPr="00000DCC">
        <w:rPr>
          <w:rFonts w:cs="Times New Roman"/>
          <w:noProof/>
          <w:lang w:val="fr-CA"/>
        </w:rPr>
        <w:t>.</w:t>
      </w:r>
    </w:p>
    <w:p w14:paraId="2A9756B3" w14:textId="70128084"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À notre avis, il n’était pas raisonnable que la greffière tire cette conclusion. En effet, la greffière n’a pas justifié son interprétation de l’al. 3(2)a) de la </w:t>
      </w:r>
      <w:r w:rsidRPr="00000DCC">
        <w:rPr>
          <w:rFonts w:cs="Times New Roman"/>
          <w:i/>
          <w:noProof/>
          <w:lang w:val="fr-CA"/>
        </w:rPr>
        <w:t xml:space="preserve">Loi sur la citoyenneté </w:t>
      </w:r>
      <w:r w:rsidRPr="00000DCC">
        <w:rPr>
          <w:rFonts w:cs="Times New Roman"/>
          <w:noProof/>
          <w:lang w:val="fr-CA"/>
        </w:rPr>
        <w:t xml:space="preserve">à la lumière des contraintes qu’impose le libellé de l’art. 3 de la </w:t>
      </w:r>
      <w:r w:rsidRPr="00000DCC">
        <w:rPr>
          <w:rFonts w:cs="Times New Roman"/>
          <w:i/>
          <w:noProof/>
          <w:lang w:val="fr-CA"/>
        </w:rPr>
        <w:t xml:space="preserve">Loi sur la citoyenneté </w:t>
      </w:r>
      <w:r w:rsidRPr="00000DCC">
        <w:rPr>
          <w:rFonts w:cs="Times New Roman"/>
          <w:noProof/>
          <w:lang w:val="fr-CA"/>
        </w:rPr>
        <w:t>pris dans son ensemble</w:t>
      </w:r>
      <w:r>
        <w:rPr>
          <w:rFonts w:cs="Times New Roman"/>
          <w:noProof/>
          <w:lang w:val="fr-CA"/>
        </w:rPr>
        <w:t>,</w:t>
      </w:r>
      <w:r w:rsidRPr="00000DCC">
        <w:rPr>
          <w:rFonts w:cs="Times New Roman"/>
          <w:noProof/>
          <w:lang w:val="fr-CA"/>
        </w:rPr>
        <w:t xml:space="preserve"> d’autres lois et traités internationaux qui éclairent l’objet de cette disposition</w:t>
      </w:r>
      <w:r>
        <w:rPr>
          <w:rFonts w:cs="Times New Roman"/>
          <w:noProof/>
          <w:lang w:val="fr-CA"/>
        </w:rPr>
        <w:t>,</w:t>
      </w:r>
      <w:r w:rsidRPr="00000DCC">
        <w:rPr>
          <w:rFonts w:cs="Times New Roman"/>
          <w:noProof/>
          <w:lang w:val="fr-CA"/>
        </w:rPr>
        <w:t xml:space="preserve"> </w:t>
      </w:r>
      <w:r w:rsidR="007B6062">
        <w:rPr>
          <w:rFonts w:cs="Times New Roman"/>
          <w:noProof/>
          <w:lang w:val="fr-CA"/>
        </w:rPr>
        <w:t xml:space="preserve">de </w:t>
      </w:r>
      <w:r w:rsidRPr="00000DCC">
        <w:rPr>
          <w:rFonts w:cs="Times New Roman"/>
          <w:noProof/>
          <w:lang w:val="fr-CA"/>
        </w:rPr>
        <w:t>la jurisprudence relative à l’interprétation de l’al. 3(2)a)</w:t>
      </w:r>
      <w:r>
        <w:rPr>
          <w:rFonts w:cs="Times New Roman"/>
          <w:noProof/>
          <w:lang w:val="fr-CA"/>
        </w:rPr>
        <w:t>,</w:t>
      </w:r>
      <w:r w:rsidRPr="00000DCC">
        <w:rPr>
          <w:rFonts w:cs="Times New Roman"/>
          <w:noProof/>
          <w:lang w:val="fr-CA"/>
        </w:rPr>
        <w:t xml:space="preserve"> et </w:t>
      </w:r>
      <w:r w:rsidR="007B6062">
        <w:rPr>
          <w:rFonts w:cs="Times New Roman"/>
          <w:noProof/>
          <w:lang w:val="fr-CA"/>
        </w:rPr>
        <w:t>d</w:t>
      </w:r>
      <w:r w:rsidRPr="00000DCC">
        <w:rPr>
          <w:rFonts w:cs="Times New Roman"/>
          <w:noProof/>
          <w:lang w:val="fr-CA"/>
        </w:rPr>
        <w:t>es conséquences possibles de son interprétation. C</w:t>
      </w:r>
      <w:r w:rsidR="006D2BF0">
        <w:rPr>
          <w:rFonts w:cs="Times New Roman"/>
          <w:noProof/>
          <w:lang w:val="fr-CA"/>
        </w:rPr>
        <w:t xml:space="preserve">es différents </w:t>
      </w:r>
      <w:r w:rsidRPr="00000DCC">
        <w:rPr>
          <w:rFonts w:cs="Times New Roman"/>
          <w:noProof/>
          <w:lang w:val="fr-CA"/>
        </w:rPr>
        <w:t>éléments — pris individuellement ainsi que dans leur ensemble — appuie</w:t>
      </w:r>
      <w:r w:rsidR="006D2BF0">
        <w:rPr>
          <w:rFonts w:cs="Times New Roman"/>
          <w:noProof/>
          <w:lang w:val="fr-CA"/>
        </w:rPr>
        <w:t>nt</w:t>
      </w:r>
      <w:r w:rsidRPr="00000DCC">
        <w:rPr>
          <w:rFonts w:cs="Times New Roman"/>
          <w:noProof/>
          <w:lang w:val="fr-CA"/>
        </w:rPr>
        <w:t xml:space="preserve"> fortement la conclusion selon laquelle l’al. 3(2)a) n’est pas censé s’appliquer aux enfants de représentants ou d’employés au service d’un gouvernement étranger à qui on n’avait pas accordé de privilèges et d’immunités diplomatiques. Bien que M. Vavilov ait soulevé bon nombre de ces considérations en réponse à la lettre dite d’équité procédurale, la greffière n’a pas traité de ces arguments dans ses motifs et n’a pas, pour justifier son interprétation de l’al. 3(2)a), fait davantage que se livrer à un examen superficiel de l’historique législatif et conclure que le libellé de l’al. 3(2)a) n’excluait pas explicitement son interprétation.</w:t>
      </w:r>
    </w:p>
    <w:p w14:paraId="0AE5D212"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Notre examen de la décision de la greffière mène à la conclusion qu’il était déraisonnable de sa part de décider que les mots « agent diplomatique ou consulaire, représentant à un autre titre ou au service au Canada d’un gouvernement étranger » visent les individus à qui on n’a pas accordé de privilèges et d’immunités diplomatiques au Canada. Il est acquis aux débats que les parents de M. Vavilov ne s’étaient pas vu </w:t>
      </w:r>
      <w:r w:rsidRPr="00000DCC">
        <w:rPr>
          <w:rFonts w:cs="Times New Roman"/>
          <w:noProof/>
          <w:lang w:val="fr-CA"/>
        </w:rPr>
        <w:lastRenderedPageBreak/>
        <w:t>accorder pareils privilèges et immunités. En conséquence, il ne servirait à rien de renvoyer l’affaire à la greffière.</w:t>
      </w:r>
    </w:p>
    <w:p w14:paraId="2DB8B184" w14:textId="77777777" w:rsidR="00AE2373" w:rsidRPr="00000DCC" w:rsidRDefault="00AE2373" w:rsidP="00E1289C">
      <w:pPr>
        <w:pStyle w:val="Title4LevelTitre4Niveau"/>
        <w:numPr>
          <w:ilvl w:val="3"/>
          <w:numId w:val="8"/>
        </w:numPr>
        <w:tabs>
          <w:tab w:val="clear" w:pos="1152"/>
          <w:tab w:val="num" w:pos="1170"/>
        </w:tabs>
        <w:spacing w:before="0"/>
        <w:ind w:left="547" w:firstLine="0"/>
        <w:jc w:val="left"/>
        <w:rPr>
          <w:rFonts w:cs="Times New Roman"/>
          <w:noProof/>
          <w:lang w:val="fr-CA"/>
        </w:rPr>
      </w:pPr>
      <w:r w:rsidRPr="00000DCC">
        <w:rPr>
          <w:rFonts w:cs="Times New Roman"/>
          <w:noProof/>
          <w:lang w:val="fr-CA"/>
        </w:rPr>
        <w:t>Le paragraphe 3(2) de la Loi sur la citoyenneté</w:t>
      </w:r>
    </w:p>
    <w:p w14:paraId="217ED88A" w14:textId="155E08FE"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L’analyste fonde sa conclusion selon laquelle M. Vavilov n’a pas qualité de citoyen canadien en faisant valoir que les parents de ce dernier étaient des « agent[s] diplomatique[s] ou consulaire[s], représentant[s] à un autre titre ou au service au Canada d’un gouvernement étranger » au sens de l’al. 3(2)a) de la </w:t>
      </w:r>
      <w:r w:rsidRPr="00000DCC">
        <w:rPr>
          <w:rFonts w:cs="Times New Roman"/>
          <w:i/>
          <w:noProof/>
          <w:lang w:val="fr-CA"/>
        </w:rPr>
        <w:t>Loi sur la citoyenneté</w:t>
      </w:r>
      <w:r w:rsidRPr="00000DCC">
        <w:rPr>
          <w:rFonts w:cs="Times New Roman"/>
          <w:noProof/>
          <w:lang w:val="fr-CA"/>
        </w:rPr>
        <w:t xml:space="preserve">. Suivant cette disposition, les enfants d’un « agent diplomatique ou consulaire, représentant à un autre titre ou au service au Canada d’un gouvernement étranger » sont exemptés de l’application de la règle générale énoncée à l’al. 3(1)a), selon laquelle les personnes nées au Canada après le 14 février 1977 ont la citoyenneté canadienne de naissance. L’analyste fait également remarquer que, contrairement au terme « agent diplomatique ou consulaire » qui est défini dans la </w:t>
      </w:r>
      <w:r w:rsidRPr="00000DCC">
        <w:rPr>
          <w:rFonts w:cs="Times New Roman"/>
          <w:i/>
          <w:noProof/>
          <w:lang w:val="fr-CA"/>
        </w:rPr>
        <w:t>Loi d’interprétation</w:t>
      </w:r>
      <w:r w:rsidRPr="00000DCC">
        <w:rPr>
          <w:rFonts w:cs="Times New Roman"/>
          <w:noProof/>
          <w:lang w:val="fr-CA"/>
        </w:rPr>
        <w:t xml:space="preserve"> et</w:t>
      </w:r>
      <w:r w:rsidRPr="00000DCC">
        <w:rPr>
          <w:rFonts w:eastAsiaTheme="minorHAnsi" w:cs="Times New Roman"/>
          <w:lang w:val="fr-CA" w:bidi="en-US"/>
        </w:rPr>
        <w:t xml:space="preserve"> ne </w:t>
      </w:r>
      <w:r w:rsidRPr="00000DCC">
        <w:rPr>
          <w:rFonts w:eastAsiaTheme="minorHAnsi" w:cs="Times New Roman"/>
          <w:noProof/>
          <w:lang w:val="fr-CA" w:bidi="en-US"/>
        </w:rPr>
        <w:t xml:space="preserve">s’applique pas aux </w:t>
      </w:r>
      <w:r w:rsidRPr="00000DCC">
        <w:rPr>
          <w:rFonts w:cs="Times New Roman"/>
          <w:noProof/>
          <w:lang w:val="fr-CA" w:bidi="en-US"/>
        </w:rPr>
        <w:t xml:space="preserve">personnes telles que les parents de M. Vavilov, </w:t>
      </w:r>
      <w:r w:rsidRPr="00000DCC">
        <w:rPr>
          <w:rFonts w:cs="Times New Roman"/>
          <w:noProof/>
          <w:lang w:val="fr-CA"/>
        </w:rPr>
        <w:t xml:space="preserve">l’expression « représentant à un autre titre ou au service </w:t>
      </w:r>
      <w:r w:rsidR="00F601F9">
        <w:rPr>
          <w:rFonts w:cs="Times New Roman"/>
          <w:noProof/>
          <w:lang w:val="fr-CA"/>
        </w:rPr>
        <w:t xml:space="preserve">au Canada </w:t>
      </w:r>
      <w:r w:rsidRPr="00000DCC">
        <w:rPr>
          <w:rFonts w:cs="Times New Roman"/>
          <w:noProof/>
          <w:lang w:val="fr-CA"/>
        </w:rPr>
        <w:t xml:space="preserve">d’un gouvernement étranger » n’est définie nulle part dans la législation et </w:t>
      </w:r>
      <w:r w:rsidRPr="00000DCC">
        <w:rPr>
          <w:rFonts w:cs="Times New Roman"/>
          <w:noProof/>
          <w:lang w:val="fr-CA" w:bidi="en-US"/>
        </w:rPr>
        <w:t>s’applique potentiellement à eux</w:t>
      </w:r>
      <w:r w:rsidRPr="00000DCC">
        <w:rPr>
          <w:rFonts w:cs="Times New Roman"/>
          <w:noProof/>
          <w:lang w:val="fr-CA"/>
        </w:rPr>
        <w:t>.</w:t>
      </w:r>
    </w:p>
    <w:p w14:paraId="1A45F9D5" w14:textId="3E8B4549"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La tentative de l’analyste de donner des sens différents à l’expression « représentant à un autre titre ou au service au Canada d’un gouvernement étranger » et au terme « agent diplomatique ou consulaire » est sensée. Elle cadre généralement avec le principe d’interprétation législative selon lequel le législateur souhaite que chaque mot employé dans une loi ait un sens</w:t>
      </w:r>
      <w:r w:rsidR="00BE5530">
        <w:rPr>
          <w:rFonts w:cs="Times New Roman"/>
          <w:noProof/>
          <w:lang w:val="fr-CA"/>
        </w:rPr>
        <w:t> </w:t>
      </w:r>
      <w:r w:rsidRPr="00000DCC">
        <w:rPr>
          <w:rFonts w:cs="Times New Roman"/>
          <w:noProof/>
          <w:lang w:val="fr-CA"/>
        </w:rPr>
        <w:t xml:space="preserve">: Sullivan, p. 211. Nous reconnaissons que si l’expression « représentant à un autre titre ou au service au Canada d’un gouvernement étranger » était considérée isolément, elle pourrait viser un espion au </w:t>
      </w:r>
      <w:r w:rsidRPr="00000DCC">
        <w:rPr>
          <w:rFonts w:cs="Times New Roman"/>
          <w:noProof/>
          <w:lang w:val="fr-CA"/>
        </w:rPr>
        <w:lastRenderedPageBreak/>
        <w:t xml:space="preserve">service d’un gouvernement étranger qui est en mission au Canada. Cependant, </w:t>
      </w:r>
      <w:r>
        <w:rPr>
          <w:rFonts w:cs="Times New Roman"/>
          <w:noProof/>
          <w:lang w:val="fr-CA"/>
        </w:rPr>
        <w:t>l’analyste</w:t>
      </w:r>
      <w:r w:rsidRPr="00000DCC">
        <w:rPr>
          <w:rFonts w:cs="Times New Roman"/>
          <w:noProof/>
          <w:lang w:val="fr-CA"/>
        </w:rPr>
        <w:t xml:space="preserve"> n’a pas examiné le contexte législatif qui entoure l’al. 3(2)a), notamment le libellé de l’al. 3(2)c) qui y est étroitement lié</w:t>
      </w:r>
      <w:r w:rsidR="00BE5530">
        <w:rPr>
          <w:rFonts w:cs="Times New Roman"/>
          <w:noProof/>
          <w:lang w:val="fr-CA"/>
        </w:rPr>
        <w:t> </w:t>
      </w:r>
      <w:r w:rsidRPr="00000DCC">
        <w:rPr>
          <w:rFonts w:cs="Times New Roman"/>
          <w:noProof/>
          <w:lang w:val="fr-CA"/>
        </w:rPr>
        <w:t>:</w:t>
      </w:r>
    </w:p>
    <w:p w14:paraId="098E0FBD" w14:textId="77777777" w:rsidR="00AE2373" w:rsidRPr="00000DCC" w:rsidRDefault="00AE2373" w:rsidP="00AE2373">
      <w:pPr>
        <w:pStyle w:val="Citation-AltC"/>
        <w:tabs>
          <w:tab w:val="left" w:pos="1080"/>
        </w:tabs>
        <w:spacing w:after="240"/>
        <w:ind w:left="1440" w:hanging="720"/>
        <w:contextualSpacing w:val="0"/>
        <w:rPr>
          <w:noProof/>
          <w:lang w:val="fr-CA"/>
        </w:rPr>
      </w:pPr>
      <w:r>
        <w:rPr>
          <w:rStyle w:val="lawlabel"/>
          <w:noProof/>
          <w:lang w:val="fr-CA"/>
        </w:rPr>
        <w:tab/>
      </w:r>
      <w:r w:rsidRPr="00B512A0">
        <w:rPr>
          <w:rStyle w:val="lawlabel"/>
          <w:b/>
          <w:noProof/>
          <w:lang w:val="fr-CA"/>
        </w:rPr>
        <w:t>(2)</w:t>
      </w:r>
      <w:r w:rsidRPr="00000DCC">
        <w:rPr>
          <w:noProof/>
          <w:lang w:val="fr-CA"/>
        </w:rPr>
        <w:t> L’alinéa (1)a) ne s’applique pas à la personne dont, au moment de la naissance, les parents n’avaient qualité ni de citoyens ni de résidents permanents et dont le père ou la mère était :</w:t>
      </w:r>
    </w:p>
    <w:p w14:paraId="29FE7158" w14:textId="22155B57" w:rsidR="00AE2373" w:rsidRPr="00000DCC" w:rsidRDefault="00AE2373" w:rsidP="0038451B">
      <w:pPr>
        <w:pStyle w:val="Citation-AltC"/>
        <w:tabs>
          <w:tab w:val="left" w:pos="1440"/>
        </w:tabs>
        <w:spacing w:after="240"/>
        <w:ind w:left="1800" w:hanging="810"/>
        <w:contextualSpacing w:val="0"/>
        <w:rPr>
          <w:noProof/>
          <w:lang w:val="fr-CA"/>
        </w:rPr>
      </w:pPr>
      <w:r>
        <w:rPr>
          <w:rStyle w:val="lawlabel"/>
          <w:noProof/>
          <w:lang w:val="fr-CA"/>
        </w:rPr>
        <w:tab/>
      </w:r>
      <w:r w:rsidRPr="00B512A0">
        <w:rPr>
          <w:rStyle w:val="lawlabel"/>
          <w:b/>
          <w:noProof/>
          <w:lang w:val="fr-CA"/>
        </w:rPr>
        <w:t>a)</w:t>
      </w:r>
      <w:r w:rsidRPr="00000DCC">
        <w:rPr>
          <w:noProof/>
          <w:lang w:val="fr-CA"/>
        </w:rPr>
        <w:t> </w:t>
      </w:r>
      <w:r w:rsidR="0038451B">
        <w:rPr>
          <w:noProof/>
          <w:lang w:val="fr-CA"/>
        </w:rPr>
        <w:tab/>
      </w:r>
      <w:r w:rsidRPr="00000DCC">
        <w:rPr>
          <w:noProof/>
          <w:lang w:val="fr-CA"/>
        </w:rPr>
        <w:t>agent diplomatique ou consulaire, représentant à un autre titre ou au service au Canada d’un gouvernement étranger;</w:t>
      </w:r>
    </w:p>
    <w:p w14:paraId="214F12D7" w14:textId="2B94D7FE" w:rsidR="00AE2373" w:rsidRPr="00000DCC" w:rsidRDefault="00AE2373" w:rsidP="00AE2373">
      <w:pPr>
        <w:pStyle w:val="Citation-AltC"/>
        <w:tabs>
          <w:tab w:val="left" w:pos="1440"/>
        </w:tabs>
        <w:spacing w:after="240"/>
        <w:ind w:left="1800" w:hanging="720"/>
        <w:contextualSpacing w:val="0"/>
        <w:rPr>
          <w:lang w:val="fr-CA"/>
        </w:rPr>
      </w:pPr>
      <w:r>
        <w:rPr>
          <w:rStyle w:val="lawlabel"/>
          <w:lang w:val="fr-CA"/>
        </w:rPr>
        <w:tab/>
      </w:r>
      <w:r w:rsidRPr="00B512A0">
        <w:rPr>
          <w:rStyle w:val="lawlabel"/>
          <w:b/>
          <w:lang w:val="fr-CA"/>
        </w:rPr>
        <w:t>b)</w:t>
      </w:r>
      <w:r w:rsidRPr="00000DCC">
        <w:rPr>
          <w:lang w:val="fr-CA"/>
        </w:rPr>
        <w:t> </w:t>
      </w:r>
      <w:r w:rsidR="0038451B">
        <w:rPr>
          <w:lang w:val="fr-CA"/>
        </w:rPr>
        <w:tab/>
      </w:r>
      <w:r w:rsidRPr="00000DCC">
        <w:rPr>
          <w:lang w:val="fr-CA"/>
        </w:rPr>
        <w:t>au service d’une personne mentionnée à l’alinéa a);</w:t>
      </w:r>
    </w:p>
    <w:p w14:paraId="71927BB9" w14:textId="19D931D5" w:rsidR="00AE2373" w:rsidRPr="00000DCC" w:rsidRDefault="00AE2373" w:rsidP="0038451B">
      <w:pPr>
        <w:pStyle w:val="Citation-AltC"/>
        <w:tabs>
          <w:tab w:val="left" w:pos="1440"/>
        </w:tabs>
        <w:ind w:left="1800" w:hanging="720"/>
        <w:contextualSpacing w:val="0"/>
        <w:rPr>
          <w:noProof/>
          <w:lang w:val="fr-CA"/>
        </w:rPr>
      </w:pPr>
      <w:r>
        <w:rPr>
          <w:rStyle w:val="lawlabel"/>
          <w:lang w:val="fr-CA"/>
        </w:rPr>
        <w:tab/>
      </w:r>
      <w:r w:rsidRPr="00B512A0">
        <w:rPr>
          <w:rStyle w:val="lawlabel"/>
          <w:b/>
          <w:lang w:val="fr-CA"/>
        </w:rPr>
        <w:t>c)</w:t>
      </w:r>
      <w:r w:rsidRPr="00000DCC">
        <w:rPr>
          <w:noProof/>
          <w:lang w:val="fr-CA"/>
        </w:rPr>
        <w:t> </w:t>
      </w:r>
      <w:r w:rsidR="0038451B">
        <w:rPr>
          <w:noProof/>
          <w:lang w:val="fr-CA"/>
        </w:rPr>
        <w:tab/>
      </w:r>
      <w:r w:rsidRPr="00000DCC">
        <w:rPr>
          <w:noProof/>
          <w:lang w:val="fr-CA"/>
        </w:rPr>
        <w:t>fonctionnaire ou au service, au Canada, d’</w:t>
      </w:r>
      <w:r>
        <w:rPr>
          <w:noProof/>
          <w:lang w:val="fr-CA"/>
        </w:rPr>
        <w:t>une organisation internationale — </w:t>
      </w:r>
      <w:r w:rsidRPr="00000DCC">
        <w:rPr>
          <w:noProof/>
          <w:lang w:val="fr-CA"/>
        </w:rPr>
        <w:t>notamment d’une institution spécialisée des Nations Unies — bénéficiant sous le régime d’une loi fédérale de privilèges et immunités diplomatiques que le ministre des Affaires étrangères certifie être équivalents à ceux dont jouissent les personnes visées à l’alinéa a).</w:t>
      </w:r>
    </w:p>
    <w:p w14:paraId="1BA15C33"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Comme l’ont fait remarquer les juges majoritaires de la Cour d’appel (par. 61</w:t>
      </w:r>
      <w:r w:rsidRPr="00000DCC">
        <w:rPr>
          <w:rFonts w:cs="Times New Roman"/>
          <w:noProof/>
          <w:lang w:val="fr-CA"/>
        </w:rPr>
        <w:noBreakHyphen/>
        <w:t xml:space="preserve">62), le libellé de l’al. 3(2)c) étaye clairement la conclusion selon laquelle </w:t>
      </w:r>
      <w:r w:rsidRPr="00000DCC">
        <w:rPr>
          <w:rFonts w:cs="Times New Roman"/>
          <w:i/>
          <w:noProof/>
          <w:lang w:val="fr-CA"/>
        </w:rPr>
        <w:t xml:space="preserve">toutes </w:t>
      </w:r>
      <w:r w:rsidRPr="00000DCC">
        <w:rPr>
          <w:rFonts w:cs="Times New Roman"/>
          <w:noProof/>
          <w:lang w:val="fr-CA"/>
        </w:rPr>
        <w:t>les personnes visées par l’al. 3(2)a) — y compris celles qui sont « au service au Canada d’un gouvernement étranger » — doivent s’être vu accorder certains privilèges et immunités diplomatiques. Si, comme l’a conclu la greffière, l’al. 3(2)a) vise les personnes qui ne bénéficient pas de tels privilèges ou immunités, il est difficile de comprendre comment l’on pourrait donner effet à l’exigence d’équivalence énoncée explicitement à l’al. 3(2)c). Or, l’analyste ne tient pas compte de cette tension dans le contexte législatif qui entoure l’al. 3(2)a).</w:t>
      </w:r>
    </w:p>
    <w:p w14:paraId="185ACAE6" w14:textId="3C597FDC" w:rsidR="00AE2373" w:rsidRPr="00000DCC" w:rsidRDefault="00AB3268" w:rsidP="00AB3268">
      <w:pPr>
        <w:pStyle w:val="Title4LevelTitre4Niveau"/>
        <w:numPr>
          <w:ilvl w:val="3"/>
          <w:numId w:val="8"/>
        </w:numPr>
        <w:tabs>
          <w:tab w:val="clear" w:pos="1152"/>
          <w:tab w:val="num" w:pos="900"/>
          <w:tab w:val="left" w:pos="1560"/>
        </w:tabs>
        <w:spacing w:before="0"/>
        <w:rPr>
          <w:rFonts w:cs="Times New Roman"/>
          <w:noProof/>
          <w:lang w:val="fr-CA"/>
        </w:rPr>
      </w:pPr>
      <w:r>
        <w:rPr>
          <w:rFonts w:cs="Times New Roman"/>
          <w:noProof/>
          <w:lang w:val="fr-CA"/>
        </w:rPr>
        <w:tab/>
      </w:r>
      <w:r w:rsidR="00AE2373" w:rsidRPr="00000DCC">
        <w:rPr>
          <w:rFonts w:cs="Times New Roman"/>
          <w:noProof/>
          <w:lang w:val="fr-CA"/>
        </w:rPr>
        <w:t>La Loi sur les missions étrangères et les organisations internationales et les traités qu’elle met en œuvre</w:t>
      </w:r>
    </w:p>
    <w:p w14:paraId="6E26A022" w14:textId="77777777" w:rsidR="00AE2373" w:rsidRPr="00000DCC" w:rsidRDefault="00AE2373" w:rsidP="00AE2373">
      <w:pPr>
        <w:pStyle w:val="ParaNoNdepar-AltN"/>
        <w:widowControl w:val="0"/>
        <w:tabs>
          <w:tab w:val="clear" w:pos="1166"/>
          <w:tab w:val="clear" w:pos="1422"/>
          <w:tab w:val="num" w:pos="1170"/>
        </w:tabs>
        <w:spacing w:before="0"/>
        <w:rPr>
          <w:rFonts w:cs="Times New Roman"/>
          <w:noProof/>
          <w:lang w:val="fr-CA"/>
        </w:rPr>
      </w:pPr>
      <w:r w:rsidRPr="00000DCC">
        <w:rPr>
          <w:rFonts w:cs="Times New Roman"/>
          <w:noProof/>
          <w:lang w:val="fr-CA"/>
        </w:rPr>
        <w:lastRenderedPageBreak/>
        <w:t xml:space="preserve">Monsieur Vavilov a soutenu devant la greffière qu’il faut interpréter le par. 3(2) de la </w:t>
      </w:r>
      <w:r w:rsidRPr="00000DCC">
        <w:rPr>
          <w:rFonts w:cs="Times New Roman"/>
          <w:i/>
          <w:noProof/>
          <w:lang w:val="fr-CA"/>
        </w:rPr>
        <w:t xml:space="preserve">Loi sur la citoyenneté </w:t>
      </w:r>
      <w:r w:rsidRPr="00000DCC">
        <w:rPr>
          <w:rFonts w:cs="Times New Roman"/>
          <w:noProof/>
          <w:lang w:val="fr-CA"/>
        </w:rPr>
        <w:t xml:space="preserve">de concert avec la </w:t>
      </w:r>
      <w:r w:rsidRPr="00000DCC">
        <w:rPr>
          <w:rFonts w:cs="Times New Roman"/>
          <w:i/>
          <w:noProof/>
          <w:lang w:val="fr-CA"/>
        </w:rPr>
        <w:t>Loi sur les missions étrangères et les organisations internationales</w:t>
      </w:r>
      <w:r w:rsidRPr="00000DCC">
        <w:rPr>
          <w:rFonts w:cs="Times New Roman"/>
          <w:noProof/>
          <w:lang w:val="fr-CA"/>
        </w:rPr>
        <w:t>, L.C. 1991, c. 41 (« </w:t>
      </w:r>
      <w:r w:rsidRPr="00000DCC">
        <w:rPr>
          <w:rFonts w:cs="Times New Roman"/>
          <w:i/>
          <w:noProof/>
          <w:lang w:val="fr-CA"/>
        </w:rPr>
        <w:t>LMEOI </w:t>
      </w:r>
      <w:r w:rsidRPr="00000DCC">
        <w:rPr>
          <w:rFonts w:cs="Times New Roman"/>
          <w:noProof/>
          <w:lang w:val="fr-CA"/>
        </w:rPr>
        <w:t xml:space="preserve">»), et la </w:t>
      </w:r>
      <w:r w:rsidRPr="00000DCC">
        <w:rPr>
          <w:rFonts w:cs="Times New Roman"/>
          <w:i/>
          <w:noProof/>
          <w:lang w:val="fr-CA"/>
        </w:rPr>
        <w:t>Convention de Vienne sur les relations diplomatiques</w:t>
      </w:r>
      <w:r w:rsidRPr="00000DCC">
        <w:rPr>
          <w:rFonts w:cs="Times New Roman"/>
          <w:noProof/>
          <w:lang w:val="fr-CA"/>
        </w:rPr>
        <w:t>, R.T. Can. 1966 n</w:t>
      </w:r>
      <w:r w:rsidRPr="00000DCC">
        <w:rPr>
          <w:rFonts w:cs="Times New Roman"/>
          <w:noProof/>
          <w:vertAlign w:val="superscript"/>
          <w:lang w:val="fr-CA"/>
        </w:rPr>
        <w:t>o</w:t>
      </w:r>
      <w:r w:rsidRPr="00000DCC">
        <w:rPr>
          <w:rFonts w:cs="Times New Roman"/>
          <w:noProof/>
          <w:lang w:val="fr-CA"/>
        </w:rPr>
        <w:t> 29</w:t>
      </w:r>
      <w:r w:rsidRPr="00000DCC">
        <w:rPr>
          <w:rFonts w:cs="Times New Roman"/>
          <w:i/>
          <w:noProof/>
          <w:lang w:val="fr-CA"/>
        </w:rPr>
        <w:t xml:space="preserve"> </w:t>
      </w:r>
      <w:r w:rsidRPr="00000DCC">
        <w:rPr>
          <w:rFonts w:cs="Times New Roman"/>
          <w:noProof/>
          <w:lang w:val="fr-CA"/>
        </w:rPr>
        <w:t>(« </w:t>
      </w:r>
      <w:r w:rsidRPr="00000DCC">
        <w:rPr>
          <w:rFonts w:cs="Times New Roman"/>
          <w:i/>
          <w:noProof/>
          <w:lang w:val="fr-CA"/>
        </w:rPr>
        <w:t>CVRD </w:t>
      </w:r>
      <w:r w:rsidRPr="00000DCC">
        <w:rPr>
          <w:rFonts w:cs="Times New Roman"/>
          <w:noProof/>
          <w:lang w:val="fr-CA"/>
        </w:rPr>
        <w:t>»). La </w:t>
      </w:r>
      <w:r w:rsidRPr="00000DCC">
        <w:rPr>
          <w:rFonts w:cs="Times New Roman"/>
          <w:i/>
          <w:noProof/>
          <w:lang w:val="fr-CA"/>
        </w:rPr>
        <w:t>CVRD</w:t>
      </w:r>
      <w:r w:rsidRPr="00000DCC">
        <w:rPr>
          <w:rFonts w:cs="Times New Roman"/>
          <w:noProof/>
          <w:lang w:val="fr-CA"/>
        </w:rPr>
        <w:t xml:space="preserve"> ainsi que la </w:t>
      </w:r>
      <w:r w:rsidRPr="00000DCC">
        <w:rPr>
          <w:rFonts w:cs="Times New Roman"/>
          <w:i/>
          <w:noProof/>
          <w:lang w:val="fr-CA"/>
        </w:rPr>
        <w:t>Convention de Vienne sur les relations consulaires</w:t>
      </w:r>
      <w:r w:rsidRPr="00000DCC">
        <w:rPr>
          <w:rFonts w:cs="Times New Roman"/>
          <w:noProof/>
          <w:lang w:val="fr-CA"/>
        </w:rPr>
        <w:t>, R.T. Can. 1974 n</w:t>
      </w:r>
      <w:r w:rsidRPr="00000DCC">
        <w:rPr>
          <w:rFonts w:cs="Times New Roman"/>
          <w:noProof/>
          <w:vertAlign w:val="superscript"/>
          <w:lang w:val="fr-CA"/>
        </w:rPr>
        <w:t>o</w:t>
      </w:r>
      <w:r w:rsidRPr="00000DCC">
        <w:rPr>
          <w:rFonts w:cs="Times New Roman"/>
          <w:noProof/>
          <w:lang w:val="fr-CA"/>
        </w:rPr>
        <w:t> 25, sont deux traités d’importance en vertu desquels les employés et représentants au service d’un gouvernement étranger affectés à des missions diplomatiques ou à des postes consulaires bénéficient de privilèges et immunités diplomatiques et consulaires. Le Parlement a mis en œuvre les dispositions pertinentes de ces deux conventions en les intégrant au par. 3(1) de la </w:t>
      </w:r>
      <w:r w:rsidRPr="00000DCC">
        <w:rPr>
          <w:rFonts w:cs="Times New Roman"/>
          <w:i/>
          <w:noProof/>
          <w:lang w:val="fr-CA"/>
        </w:rPr>
        <w:t>LMEOI</w:t>
      </w:r>
      <w:r w:rsidRPr="00000DCC">
        <w:rPr>
          <w:rFonts w:cs="Times New Roman"/>
          <w:noProof/>
          <w:lang w:val="fr-CA"/>
        </w:rPr>
        <w:t>.</w:t>
      </w:r>
    </w:p>
    <w:p w14:paraId="5ADA3C99"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Tout d’abord, nous constatons que le Canada accorde la citoyenneté en suivant à la fois le principe du </w:t>
      </w:r>
      <w:r w:rsidRPr="00000DCC">
        <w:rPr>
          <w:rFonts w:cs="Times New Roman"/>
          <w:i/>
          <w:noProof/>
          <w:lang w:val="fr-CA"/>
        </w:rPr>
        <w:t>jus soli</w:t>
      </w:r>
      <w:r w:rsidRPr="00000DCC">
        <w:rPr>
          <w:rFonts w:cs="Times New Roman"/>
          <w:noProof/>
          <w:lang w:val="fr-CA"/>
        </w:rPr>
        <w:t xml:space="preserve">, en vertu duquel la citoyenneté est acquise à la naissance peu importe la nationalité des parents, et le principe du </w:t>
      </w:r>
      <w:r w:rsidRPr="00000DCC">
        <w:rPr>
          <w:rFonts w:cs="Times New Roman"/>
          <w:i/>
          <w:noProof/>
          <w:lang w:val="fr-CA"/>
        </w:rPr>
        <w:t>jus sanguinis</w:t>
      </w:r>
      <w:r w:rsidRPr="00000DCC">
        <w:rPr>
          <w:rFonts w:cs="Times New Roman"/>
          <w:noProof/>
          <w:lang w:val="fr-CA"/>
        </w:rPr>
        <w:t xml:space="preserve">, en vertu duquel la citoyenneté est acquise par filiation, habituellement par l’entremise d’un parent : </w:t>
      </w:r>
      <w:r w:rsidRPr="00000DCC">
        <w:rPr>
          <w:rFonts w:cs="Times New Roman"/>
          <w:i/>
          <w:noProof/>
          <w:lang w:val="fr-CA"/>
        </w:rPr>
        <w:t>Loi sur la citoyenneté</w:t>
      </w:r>
      <w:r w:rsidRPr="00000DCC">
        <w:rPr>
          <w:rFonts w:cs="Times New Roman"/>
          <w:noProof/>
          <w:lang w:val="fr-CA"/>
        </w:rPr>
        <w:t xml:space="preserve">, al. 3(1)a) et b); voir I. Brownlie, </w:t>
      </w:r>
      <w:r w:rsidRPr="00000DCC">
        <w:rPr>
          <w:rFonts w:cs="Times New Roman"/>
          <w:i/>
          <w:noProof/>
          <w:lang w:val="fr-CA"/>
        </w:rPr>
        <w:t xml:space="preserve">Principles of Public International Law </w:t>
      </w:r>
      <w:r w:rsidRPr="00000DCC">
        <w:rPr>
          <w:rFonts w:cs="Times New Roman"/>
          <w:noProof/>
          <w:lang w:val="fr-CA"/>
        </w:rPr>
        <w:t>(5</w:t>
      </w:r>
      <w:r w:rsidRPr="00000DCC">
        <w:rPr>
          <w:rFonts w:cs="Times New Roman"/>
          <w:noProof/>
          <w:vertAlign w:val="superscript"/>
          <w:lang w:val="fr-CA"/>
        </w:rPr>
        <w:t>e</w:t>
      </w:r>
      <w:r w:rsidRPr="00000DCC">
        <w:rPr>
          <w:rFonts w:cs="Times New Roman"/>
          <w:noProof/>
          <w:lang w:val="fr-CA"/>
        </w:rPr>
        <w:t> éd. 1998), p. 391</w:t>
      </w:r>
      <w:r w:rsidRPr="00000DCC">
        <w:rPr>
          <w:rFonts w:cs="Times New Roman"/>
          <w:noProof/>
          <w:lang w:val="fr-CA"/>
        </w:rPr>
        <w:noBreakHyphen/>
        <w:t xml:space="preserve">393. Ces deux principes servent de toile de fond à l’art. 3 de la </w:t>
      </w:r>
      <w:r w:rsidRPr="00000DCC">
        <w:rPr>
          <w:rFonts w:cs="Times New Roman"/>
          <w:i/>
          <w:noProof/>
          <w:lang w:val="fr-CA"/>
        </w:rPr>
        <w:t xml:space="preserve">Loi sur la citoyenneté </w:t>
      </w:r>
      <w:r w:rsidRPr="00000DCC">
        <w:rPr>
          <w:rFonts w:cs="Times New Roman"/>
          <w:noProof/>
          <w:lang w:val="fr-CA"/>
        </w:rPr>
        <w:t xml:space="preserve">dans son ensemble. Il n’est pas contesté que l’al. 3(2)a) constitue une exception à ces règles générales. Cependant, M. Vavilov a interprété cette exception de façon plus restrictive que la greffière. Dans ses observations adressées à la greffière, il a soutenu que l’intention du Parlement était que le par. 3(2) de la </w:t>
      </w:r>
      <w:r w:rsidRPr="00000DCC">
        <w:rPr>
          <w:rFonts w:cs="Times New Roman"/>
          <w:i/>
          <w:noProof/>
          <w:lang w:val="fr-CA"/>
        </w:rPr>
        <w:t xml:space="preserve">Loi sur la citoyenneté </w:t>
      </w:r>
      <w:r w:rsidRPr="00000DCC">
        <w:rPr>
          <w:rFonts w:cs="Times New Roman"/>
          <w:noProof/>
          <w:lang w:val="fr-CA"/>
        </w:rPr>
        <w:t>reflète simplement les dispositions de la </w:t>
      </w:r>
      <w:r w:rsidRPr="00000DCC">
        <w:rPr>
          <w:rFonts w:cs="Times New Roman"/>
          <w:i/>
          <w:noProof/>
          <w:lang w:val="fr-CA"/>
        </w:rPr>
        <w:t xml:space="preserve">LMEOI </w:t>
      </w:r>
      <w:r w:rsidRPr="00000DCC">
        <w:rPr>
          <w:rFonts w:cs="Times New Roman"/>
          <w:noProof/>
          <w:lang w:val="fr-CA"/>
        </w:rPr>
        <w:t xml:space="preserve">et de la </w:t>
      </w:r>
      <w:r w:rsidRPr="00000DCC">
        <w:rPr>
          <w:rFonts w:cs="Times New Roman"/>
          <w:i/>
          <w:noProof/>
          <w:lang w:val="fr-CA"/>
        </w:rPr>
        <w:t>CVRD</w:t>
      </w:r>
      <w:r w:rsidRPr="00000DCC">
        <w:rPr>
          <w:rFonts w:cs="Times New Roman"/>
          <w:noProof/>
          <w:lang w:val="fr-CA"/>
        </w:rPr>
        <w:t xml:space="preserve">, de même que l’art. II du </w:t>
      </w:r>
      <w:r w:rsidRPr="00000DCC">
        <w:rPr>
          <w:rFonts w:cs="Times New Roman"/>
          <w:i/>
          <w:noProof/>
          <w:spacing w:val="-3"/>
          <w:lang w:val="fr-CA"/>
        </w:rPr>
        <w:t xml:space="preserve">Protocole de signature facultative à la Convention de Vienne sur les relations diplomatiques, concernant </w:t>
      </w:r>
      <w:r w:rsidRPr="00000DCC">
        <w:rPr>
          <w:rFonts w:cs="Times New Roman"/>
          <w:i/>
          <w:noProof/>
          <w:lang w:val="fr-CA"/>
        </w:rPr>
        <w:t>l’acquisition de la nationalité</w:t>
      </w:r>
      <w:r w:rsidRPr="00000DCC">
        <w:rPr>
          <w:rFonts w:cs="Times New Roman"/>
          <w:noProof/>
          <w:lang w:val="fr-CA"/>
        </w:rPr>
        <w:t xml:space="preserve">, 500 R.T.N.U. 223, qui énonce ce qui suit : « [l]es membres de la mission </w:t>
      </w:r>
      <w:r w:rsidRPr="00000DCC">
        <w:rPr>
          <w:rFonts w:cs="Times New Roman"/>
          <w:noProof/>
          <w:lang w:val="fr-CA"/>
        </w:rPr>
        <w:lastRenderedPageBreak/>
        <w:t>qui n’ont pas la nationalité de l’État accréditaire et les membres de leur famille qui font partie de leur ménage n’acquièrent pas la nationalité de cet État par le seul effet de sa législation ». Monsieur Vavilov a fait valoir les arguments suivants à la greffière :</w:t>
      </w:r>
    </w:p>
    <w:p w14:paraId="01BB0056" w14:textId="3D34A28D" w:rsidR="00AE2373" w:rsidRPr="00000DCC" w:rsidRDefault="00AE2373" w:rsidP="00AE2373">
      <w:pPr>
        <w:pStyle w:val="Citation-AltC"/>
        <w:spacing w:after="240"/>
        <w:ind w:left="1440" w:hanging="360"/>
        <w:contextualSpacing w:val="0"/>
        <w:rPr>
          <w:noProof/>
          <w:lang w:val="fr-CA"/>
        </w:rPr>
      </w:pPr>
      <w:r w:rsidRPr="00000DCC">
        <w:rPr>
          <w:noProof/>
          <w:lang w:val="fr-CA"/>
        </w:rPr>
        <w:tab/>
      </w:r>
      <w:r w:rsidR="00B3579A" w:rsidRPr="00000DCC">
        <w:rPr>
          <w:smallCaps/>
          <w:noProof/>
          <w:lang w:val="fr-CA"/>
        </w:rPr>
        <w:t>[traduction]</w:t>
      </w:r>
      <w:r w:rsidR="00B3579A">
        <w:rPr>
          <w:smallCaps/>
          <w:noProof/>
          <w:lang w:val="fr-CA"/>
        </w:rPr>
        <w:t xml:space="preserve"> </w:t>
      </w:r>
      <w:r w:rsidRPr="00000DCC">
        <w:rPr>
          <w:noProof/>
          <w:lang w:val="fr-CA"/>
        </w:rPr>
        <w:t>L’exclusion des diplomates et de leur famille, y compris les nouveau</w:t>
      </w:r>
      <w:r w:rsidRPr="00000DCC">
        <w:rPr>
          <w:noProof/>
          <w:lang w:val="fr-CA"/>
        </w:rPr>
        <w:noBreakHyphen/>
        <w:t xml:space="preserve">nés, du droit d’obtenir la citoyenneté de l’État accréditaire est liée aux immunités dont bénéficie ce groupe de personnes. Les diplomates et les membres de leur famille jouissent d’une immunité contre les poursuites criminelles et la responsabilité civile dans l’État accréditaire. Par conséquent, ils ne peuvent pas obtenir la citoyenneté de l’État accréditaire et bénéficier également de ces immunités. De fait, un citoyen a des obligations et des responsabilités envers son pays. L’immunité est inconciliable avec ce principe et ne s’applique donc pas aux citoyens. Voir l’article 37 de la </w:t>
      </w:r>
      <w:r w:rsidRPr="00000DCC">
        <w:rPr>
          <w:i/>
          <w:noProof/>
          <w:lang w:val="fr-CA"/>
        </w:rPr>
        <w:t>Convention</w:t>
      </w:r>
      <w:r w:rsidRPr="00000DCC">
        <w:rPr>
          <w:noProof/>
          <w:lang w:val="fr-CA"/>
        </w:rPr>
        <w:t>.</w:t>
      </w:r>
    </w:p>
    <w:p w14:paraId="7E089B36" w14:textId="797006C2" w:rsidR="00AE2373" w:rsidRDefault="00AE2373" w:rsidP="00A46C24">
      <w:pPr>
        <w:pStyle w:val="Citation-AltC"/>
        <w:spacing w:after="240"/>
        <w:ind w:left="1440" w:hanging="360"/>
        <w:contextualSpacing w:val="0"/>
        <w:rPr>
          <w:noProof/>
          <w:lang w:val="fr-CA"/>
        </w:rPr>
      </w:pPr>
      <w:r w:rsidRPr="00000DCC">
        <w:rPr>
          <w:noProof/>
          <w:lang w:val="fr-CA"/>
        </w:rPr>
        <w:tab/>
        <w:t xml:space="preserve">Le paragraphe 3(2) transpose en droit interne canadien les principes susmentionnés et devrait être interprété de façon restrictive en gardant ces objectifs à l’esprit. L’expression « au service au Canada d’un gouvernement étranger » doit être interprétée comme désignant un employé affecté à une mission diplomatique, ou ayant des liens avec une telle mission, qui bénéficie des immunités prévues dans la </w:t>
      </w:r>
      <w:r w:rsidRPr="00000DCC">
        <w:rPr>
          <w:i/>
          <w:noProof/>
          <w:lang w:val="fr-CA"/>
        </w:rPr>
        <w:t>Convention</w:t>
      </w:r>
      <w:r w:rsidRPr="00000DCC">
        <w:rPr>
          <w:noProof/>
          <w:lang w:val="fr-CA"/>
        </w:rPr>
        <w:t xml:space="preserve">. Toute autre interprétation donnerait des résultats absurdes. Il ne sert à rien d’exclure de l’application du principe du </w:t>
      </w:r>
      <w:r w:rsidRPr="00000DCC">
        <w:rPr>
          <w:i/>
          <w:noProof/>
          <w:lang w:val="fr-CA"/>
        </w:rPr>
        <w:t xml:space="preserve">jus soli </w:t>
      </w:r>
      <w:r w:rsidRPr="00000DCC">
        <w:rPr>
          <w:noProof/>
          <w:lang w:val="fr-CA"/>
        </w:rPr>
        <w:t>les enfants dont les parents n’étaient pas attachés à une mission diplomatique au Canada pendant leur séjour au pays.</w:t>
      </w:r>
      <w:r w:rsidR="006D2BF0">
        <w:rPr>
          <w:noProof/>
          <w:lang w:val="fr-CA"/>
        </w:rPr>
        <w:t> </w:t>
      </w:r>
    </w:p>
    <w:p w14:paraId="2B376642" w14:textId="2CCF8188" w:rsidR="00AE2373" w:rsidRPr="00000DCC" w:rsidRDefault="00AE2373" w:rsidP="00A46C24">
      <w:pPr>
        <w:pStyle w:val="Citation-AltC"/>
        <w:ind w:left="0"/>
        <w:contextualSpacing w:val="0"/>
        <w:rPr>
          <w:noProof/>
          <w:lang w:val="fr-CA"/>
        </w:rPr>
      </w:pPr>
      <w:r>
        <w:rPr>
          <w:noProof/>
          <w:lang w:val="fr-CA"/>
        </w:rPr>
        <w:t>(d.a., vol. IV, p. 449</w:t>
      </w:r>
      <w:r>
        <w:rPr>
          <w:noProof/>
          <w:lang w:val="fr-CA"/>
        </w:rPr>
        <w:noBreakHyphen/>
      </w:r>
      <w:r w:rsidRPr="00000DCC">
        <w:rPr>
          <w:noProof/>
          <w:lang w:val="fr-CA"/>
        </w:rPr>
        <w:t>450)</w:t>
      </w:r>
    </w:p>
    <w:p w14:paraId="075AB20B" w14:textId="3A5B191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Dans l’affaire </w:t>
      </w:r>
      <w:r w:rsidRPr="00000DCC">
        <w:rPr>
          <w:rFonts w:cs="Times New Roman"/>
          <w:i/>
          <w:noProof/>
          <w:lang w:val="fr-CA"/>
        </w:rPr>
        <w:t>Al</w:t>
      </w:r>
      <w:r w:rsidRPr="00000DCC">
        <w:rPr>
          <w:rFonts w:cs="Times New Roman"/>
          <w:i/>
          <w:noProof/>
          <w:lang w:val="fr-CA"/>
        </w:rPr>
        <w:noBreakHyphen/>
        <w:t>Ghamdi</w:t>
      </w:r>
      <w:r w:rsidR="007A281B">
        <w:rPr>
          <w:rFonts w:cs="Times New Roman"/>
          <w:i/>
          <w:noProof/>
          <w:lang w:val="fr-CA"/>
        </w:rPr>
        <w:t xml:space="preserve"> </w:t>
      </w:r>
      <w:r w:rsidRPr="00000DCC">
        <w:rPr>
          <w:rFonts w:cs="Times New Roman"/>
          <w:i/>
          <w:noProof/>
          <w:lang w:val="fr-CA"/>
        </w:rPr>
        <w:t>c.</w:t>
      </w:r>
      <w:r w:rsidR="007A281B">
        <w:rPr>
          <w:rFonts w:cs="Times New Roman"/>
          <w:i/>
          <w:noProof/>
          <w:lang w:val="fr-CA"/>
        </w:rPr>
        <w:t xml:space="preserve"> </w:t>
      </w:r>
      <w:r w:rsidRPr="00000DCC">
        <w:rPr>
          <w:rFonts w:cs="Times New Roman"/>
          <w:i/>
          <w:noProof/>
          <w:lang w:val="fr-CA"/>
        </w:rPr>
        <w:t>Canada (</w:t>
      </w:r>
      <w:r w:rsidR="00CE5781">
        <w:rPr>
          <w:rFonts w:cs="Times New Roman"/>
          <w:i/>
          <w:noProof/>
          <w:lang w:val="fr-CA"/>
        </w:rPr>
        <w:t xml:space="preserve">Ministre des </w:t>
      </w:r>
      <w:r w:rsidRPr="00000DCC">
        <w:rPr>
          <w:rFonts w:cs="Times New Roman"/>
          <w:i/>
          <w:noProof/>
          <w:lang w:val="fr-CA"/>
        </w:rPr>
        <w:t xml:space="preserve">Affaires étrangères et </w:t>
      </w:r>
      <w:r w:rsidR="00CE5781">
        <w:rPr>
          <w:rFonts w:cs="Times New Roman"/>
          <w:i/>
          <w:noProof/>
          <w:lang w:val="fr-CA"/>
        </w:rPr>
        <w:t xml:space="preserve">du </w:t>
      </w:r>
      <w:r w:rsidRPr="00000DCC">
        <w:rPr>
          <w:rFonts w:cs="Times New Roman"/>
          <w:i/>
          <w:noProof/>
          <w:lang w:val="fr-CA"/>
        </w:rPr>
        <w:t>Commerce international)</w:t>
      </w:r>
      <w:r w:rsidRPr="00000DCC">
        <w:rPr>
          <w:rFonts w:cs="Times New Roman"/>
          <w:noProof/>
          <w:lang w:val="fr-CA"/>
        </w:rPr>
        <w:t>, 2007 CF 559, un jugement dont il est question dans le rapport de l’analyste et dont nous traitons plus en détail ultérieurement, la Cour fédérale cite au par. 53</w:t>
      </w:r>
      <w:r w:rsidR="0038451B">
        <w:rPr>
          <w:rFonts w:cs="Times New Roman"/>
          <w:noProof/>
          <w:lang w:val="fr-CA"/>
        </w:rPr>
        <w:t xml:space="preserve"> (CanLII)</w:t>
      </w:r>
      <w:r w:rsidRPr="00000DCC">
        <w:rPr>
          <w:rFonts w:cs="Times New Roman"/>
          <w:noProof/>
          <w:lang w:val="fr-CA"/>
        </w:rPr>
        <w:t xml:space="preserve"> un passage de l’ouvrage du professeur Brownlie sur ce point :</w:t>
      </w:r>
    </w:p>
    <w:p w14:paraId="1BE89696" w14:textId="528E0B07" w:rsidR="00AE2373" w:rsidRDefault="00AE2373" w:rsidP="00A87E6C">
      <w:pPr>
        <w:pStyle w:val="Citation-AltC"/>
        <w:ind w:left="1440" w:hanging="360"/>
        <w:rPr>
          <w:noProof/>
          <w:spacing w:val="-3"/>
          <w:lang w:val="fr-CA"/>
        </w:rPr>
      </w:pPr>
      <w:r w:rsidRPr="00000DCC">
        <w:rPr>
          <w:noProof/>
          <w:lang w:val="fr-CA"/>
        </w:rPr>
        <w:tab/>
      </w:r>
      <w:r w:rsidR="00A87E6C" w:rsidRPr="00000DCC">
        <w:rPr>
          <w:noProof/>
          <w:lang w:val="fr-CA"/>
        </w:rPr>
        <w:t>[</w:t>
      </w:r>
      <w:r w:rsidR="00A87E6C" w:rsidRPr="00000DCC">
        <w:rPr>
          <w:smallCaps/>
          <w:noProof/>
          <w:lang w:val="fr-CA"/>
        </w:rPr>
        <w:t>traduction</w:t>
      </w:r>
      <w:r w:rsidR="00A87E6C" w:rsidRPr="00000DCC">
        <w:rPr>
          <w:noProof/>
          <w:lang w:val="fr-CA"/>
        </w:rPr>
        <w:t>]</w:t>
      </w:r>
      <w:r w:rsidR="00A87E6C">
        <w:rPr>
          <w:noProof/>
          <w:lang w:val="fr-CA"/>
        </w:rPr>
        <w:t xml:space="preserve"> </w:t>
      </w:r>
      <w:r w:rsidR="003C4C36">
        <w:rPr>
          <w:noProof/>
          <w:lang w:val="fr-CA"/>
        </w:rPr>
        <w:t xml:space="preserve">. . . </w:t>
      </w:r>
      <w:r w:rsidRPr="00000DCC">
        <w:rPr>
          <w:noProof/>
          <w:lang w:val="fr-CA"/>
        </w:rPr>
        <w:t>Les règles spéciales régissant le droit du sol (</w:t>
      </w:r>
      <w:r w:rsidRPr="00000DCC">
        <w:rPr>
          <w:i/>
          <w:noProof/>
          <w:lang w:val="fr-CA"/>
        </w:rPr>
        <w:t>jus soli</w:t>
      </w:r>
      <w:r w:rsidRPr="00000DCC">
        <w:rPr>
          <w:noProof/>
          <w:lang w:val="fr-CA"/>
        </w:rPr>
        <w:t>) présentent un intérêt particulier. Elles constituent une exception au principe général et ont pour effet de supprimer les cas où l’application de celui</w:t>
      </w:r>
      <w:r w:rsidRPr="00000DCC">
        <w:rPr>
          <w:noProof/>
          <w:lang w:val="fr-CA"/>
        </w:rPr>
        <w:noBreakHyphen/>
        <w:t xml:space="preserve">ci est de toute évidence injustifiable. Ainsi, un principe jouissant d’une autorité considérable voulait que les enfants nés de parents bénéficiant de l’immunité diplomatique ne pouvaient être considérés de naissance comme des ressortissants de l’État auprès </w:t>
      </w:r>
      <w:r w:rsidRPr="00000DCC">
        <w:rPr>
          <w:noProof/>
          <w:lang w:val="fr-CA"/>
        </w:rPr>
        <w:lastRenderedPageBreak/>
        <w:t>duquel l’agent diplomatique concerné était accrédité. Treize États se sont prévalus de cette exception lors des travaux préliminaires de la Conférence de La Haye pour la codification du droit international. Un commentateur faisait observer ce qui suit au sujet de l’article pertinent sur les privilèges et immunités diplomatiques : « Cet article est censé consacrer un principe établi de droit international ».</w:t>
      </w:r>
      <w:r w:rsidRPr="00000DCC">
        <w:rPr>
          <w:noProof/>
          <w:spacing w:val="-3"/>
          <w:lang w:val="fr-CA"/>
        </w:rPr>
        <w:t xml:space="preserve"> Ce principe bénéficie d’un large appui de la part des législateurs des divers pays et des experts. La Convention de 1930 concernant certaines questions relatives aux conflits de lois sur la nationalité prévoit à son article 12 : « Les dispositions légales relatives à l’attribution de la nationalité d’un État en raison de la naissance sur son territoire ne s’appliquent pas de plein droit aux enfants dont les parents jouissent des immunités diplomatiques dans le pays de la naissance ».</w:t>
      </w:r>
    </w:p>
    <w:p w14:paraId="4DFCCECE" w14:textId="77777777" w:rsidR="00055599" w:rsidRPr="00000DCC" w:rsidRDefault="00055599" w:rsidP="00A87E6C">
      <w:pPr>
        <w:pStyle w:val="Citation-AltC"/>
        <w:ind w:left="1440" w:hanging="360"/>
        <w:rPr>
          <w:noProof/>
          <w:spacing w:val="-3"/>
          <w:lang w:val="fr-CA"/>
        </w:rPr>
      </w:pPr>
    </w:p>
    <w:p w14:paraId="44E5B8EE" w14:textId="67FD3B1A" w:rsidR="00AE2373" w:rsidRPr="00000DCC" w:rsidRDefault="00055599" w:rsidP="00055599">
      <w:pPr>
        <w:pStyle w:val="Citation-AltC"/>
        <w:tabs>
          <w:tab w:val="left" w:pos="1800"/>
        </w:tabs>
        <w:spacing w:after="240"/>
        <w:ind w:left="1440"/>
        <w:contextualSpacing w:val="0"/>
        <w:rPr>
          <w:noProof/>
          <w:spacing w:val="-3"/>
          <w:lang w:val="fr-CA"/>
        </w:rPr>
      </w:pPr>
      <w:r>
        <w:rPr>
          <w:noProof/>
          <w:spacing w:val="-3"/>
          <w:lang w:val="fr-CA"/>
        </w:rPr>
        <w:tab/>
      </w:r>
      <w:r w:rsidR="00AE2373" w:rsidRPr="00000DCC">
        <w:rPr>
          <w:noProof/>
          <w:spacing w:val="-3"/>
          <w:lang w:val="fr-CA"/>
        </w:rPr>
        <w:t>En 1961, la Conférence des Nations Unies sur les relations et immunités diplomatiques a adopté un Protocole facultatif concernant l’acquisition de la nationalité, qui prévoit, à son article II : « Les membres de la mission qui n’ont pas la nationalité de l’État accréditaire et les membres de leur famille qui font partie de leur ménage n’acquièrent pas la nationalité de cet État par le seul effet de sa législation ». Certains États étendent la portée de cette règle aux enfants des consuls, et certains experts appuient cette façon de procéder. [</w:t>
      </w:r>
      <w:r w:rsidR="00882C6D">
        <w:rPr>
          <w:noProof/>
          <w:spacing w:val="-3"/>
          <w:lang w:val="fr-CA"/>
        </w:rPr>
        <w:t>Notes en bas de page omises</w:t>
      </w:r>
      <w:r w:rsidR="00AE2373" w:rsidRPr="00000DCC">
        <w:rPr>
          <w:noProof/>
          <w:spacing w:val="-3"/>
          <w:lang w:val="fr-CA"/>
        </w:rPr>
        <w:t>.]</w:t>
      </w:r>
    </w:p>
    <w:p w14:paraId="3BF46465" w14:textId="78D14B0E" w:rsidR="00AE2373" w:rsidRPr="00000DCC" w:rsidRDefault="00296E0D" w:rsidP="00882C6D">
      <w:pPr>
        <w:pStyle w:val="Citation-AltC"/>
        <w:ind w:left="0"/>
        <w:contextualSpacing w:val="0"/>
        <w:rPr>
          <w:noProof/>
          <w:spacing w:val="-3"/>
          <w:lang w:val="fr-CA"/>
        </w:rPr>
      </w:pPr>
      <w:r>
        <w:rPr>
          <w:noProof/>
          <w:spacing w:val="-3"/>
          <w:lang w:val="fr-CA"/>
        </w:rPr>
        <w:t>(Brownlie, p. 392</w:t>
      </w:r>
      <w:r>
        <w:rPr>
          <w:noProof/>
          <w:spacing w:val="-3"/>
          <w:lang w:val="fr-CA"/>
        </w:rPr>
        <w:noBreakHyphen/>
        <w:t>393)</w:t>
      </w:r>
    </w:p>
    <w:p w14:paraId="29BC39AE" w14:textId="7CB28EF5" w:rsidR="00AE2373" w:rsidRPr="00000DCC" w:rsidRDefault="006D2BF0" w:rsidP="00AE2373">
      <w:pPr>
        <w:pStyle w:val="ParaNoNdepar-AltN"/>
        <w:tabs>
          <w:tab w:val="clear" w:pos="1166"/>
          <w:tab w:val="clear" w:pos="1422"/>
          <w:tab w:val="num" w:pos="1170"/>
        </w:tabs>
        <w:spacing w:before="0"/>
        <w:rPr>
          <w:rFonts w:cs="Times New Roman"/>
          <w:noProof/>
          <w:lang w:val="fr-CA"/>
        </w:rPr>
      </w:pPr>
      <w:r>
        <w:rPr>
          <w:rFonts w:cs="Times New Roman"/>
          <w:noProof/>
          <w:lang w:val="fr-CA"/>
        </w:rPr>
        <w:t>Monsieur</w:t>
      </w:r>
      <w:r w:rsidR="00AE2373" w:rsidRPr="00000DCC">
        <w:rPr>
          <w:rFonts w:cs="Times New Roman"/>
          <w:noProof/>
          <w:lang w:val="fr-CA"/>
        </w:rPr>
        <w:t xml:space="preserve"> Vavilov a joint des extraits pertinents des débats parlementaires qui avaient précédé l’adoption de la </w:t>
      </w:r>
      <w:r w:rsidR="00AE2373" w:rsidRPr="00000DCC">
        <w:rPr>
          <w:rFonts w:cs="Times New Roman"/>
          <w:i/>
          <w:noProof/>
          <w:lang w:val="fr-CA"/>
        </w:rPr>
        <w:t xml:space="preserve">Loi sur la citoyenneté </w:t>
      </w:r>
      <w:r w:rsidR="00AE2373" w:rsidRPr="00000DCC">
        <w:rPr>
          <w:rFonts w:cs="Times New Roman"/>
          <w:noProof/>
          <w:lang w:val="fr-CA"/>
        </w:rPr>
        <w:t xml:space="preserve">en vue d’appuyer son argument selon lequel le par. 3(2) de la </w:t>
      </w:r>
      <w:r w:rsidR="00AE2373" w:rsidRPr="00000DCC">
        <w:rPr>
          <w:rFonts w:cs="Times New Roman"/>
          <w:i/>
          <w:noProof/>
          <w:lang w:val="fr-CA"/>
        </w:rPr>
        <w:t xml:space="preserve">Loi sur la citoyenneté </w:t>
      </w:r>
      <w:r w:rsidR="00AE2373" w:rsidRPr="00000DCC">
        <w:rPr>
          <w:rFonts w:cs="Times New Roman"/>
          <w:noProof/>
          <w:lang w:val="fr-CA"/>
        </w:rPr>
        <w:t>vise</w:t>
      </w:r>
      <w:r w:rsidR="00AE2373" w:rsidRPr="00000DCC">
        <w:rPr>
          <w:rFonts w:cs="Times New Roman"/>
          <w:i/>
          <w:noProof/>
          <w:lang w:val="fr-CA"/>
        </w:rPr>
        <w:t xml:space="preserve"> </w:t>
      </w:r>
      <w:r w:rsidR="00AE2373" w:rsidRPr="00000DCC">
        <w:rPr>
          <w:rFonts w:cs="Times New Roman"/>
          <w:noProof/>
          <w:lang w:val="fr-CA"/>
        </w:rPr>
        <w:t>précisément à harmoniser les règles du Canada en matière de citoyenneté avec ces principes de droit international. Dans ces extraits, il est mentionné que le par. 3(2)</w:t>
      </w:r>
      <w:r w:rsidR="00AE2373" w:rsidRPr="00000DCC">
        <w:rPr>
          <w:rFonts w:cs="Times New Roman"/>
          <w:smallCaps/>
          <w:noProof/>
          <w:lang w:val="fr-CA"/>
        </w:rPr>
        <w:t xml:space="preserve"> </w:t>
      </w:r>
      <w:r w:rsidR="00AE2373" w:rsidRPr="00000DCC">
        <w:rPr>
          <w:rFonts w:cs="Times New Roman"/>
          <w:noProof/>
          <w:lang w:val="fr-CA"/>
        </w:rPr>
        <w:t>« suit l’usage international » et qu’il a été rédigé avec l’intention d’« empêche</w:t>
      </w:r>
      <w:r w:rsidR="009B5452" w:rsidRPr="00000DCC">
        <w:rPr>
          <w:rFonts w:cs="Times New Roman"/>
          <w:noProof/>
          <w:lang w:val="fr-CA"/>
        </w:rPr>
        <w:t>[</w:t>
      </w:r>
      <w:r w:rsidR="00AE2373" w:rsidRPr="00000DCC">
        <w:rPr>
          <w:rFonts w:cs="Times New Roman"/>
          <w:noProof/>
          <w:lang w:val="fr-CA"/>
        </w:rPr>
        <w:t>r]</w:t>
      </w:r>
      <w:r w:rsidR="009B5452">
        <w:rPr>
          <w:rFonts w:cs="Times New Roman"/>
          <w:noProof/>
          <w:lang w:val="fr-CA"/>
        </w:rPr>
        <w:t xml:space="preserve"> </w:t>
      </w:r>
      <w:r w:rsidR="00AE2373" w:rsidRPr="00000DCC">
        <w:rPr>
          <w:rFonts w:cs="Times New Roman"/>
          <w:noProof/>
          <w:lang w:val="fr-CA"/>
        </w:rPr>
        <w:t xml:space="preserve">les enfants nés au Canada de diplomates étrangers de devenir citoyens canadiens » : l’honorable J. Hugh Faulkner, Secrétaire d’État du Canada, Chambre des communes, </w:t>
      </w:r>
      <w:r w:rsidR="00AE2373" w:rsidRPr="00000DCC">
        <w:rPr>
          <w:rFonts w:cs="Times New Roman"/>
          <w:i/>
          <w:noProof/>
          <w:lang w:val="fr-CA"/>
        </w:rPr>
        <w:t>Procès</w:t>
      </w:r>
      <w:r w:rsidR="00AE2373" w:rsidRPr="00000DCC">
        <w:rPr>
          <w:rFonts w:cs="Times New Roman"/>
          <w:i/>
          <w:noProof/>
          <w:lang w:val="fr-CA"/>
        </w:rPr>
        <w:noBreakHyphen/>
        <w:t>verbaux et témoign</w:t>
      </w:r>
      <w:r w:rsidR="00F903F2">
        <w:rPr>
          <w:rFonts w:cs="Times New Roman"/>
          <w:i/>
          <w:noProof/>
          <w:lang w:val="fr-CA"/>
        </w:rPr>
        <w:t>ages du Comité permanent de la R</w:t>
      </w:r>
      <w:r w:rsidR="00AE2373" w:rsidRPr="00000DCC">
        <w:rPr>
          <w:rFonts w:cs="Times New Roman"/>
          <w:i/>
          <w:noProof/>
          <w:lang w:val="fr-CA"/>
        </w:rPr>
        <w:t>adiodiffusion, des films et de l’assistance aux arts</w:t>
      </w:r>
      <w:r w:rsidR="0015170E">
        <w:rPr>
          <w:rFonts w:cs="Times New Roman"/>
          <w:i/>
          <w:noProof/>
          <w:lang w:val="fr-CA"/>
        </w:rPr>
        <w:t>,</w:t>
      </w:r>
      <w:r w:rsidR="00AE2373" w:rsidRPr="00000DCC">
        <w:rPr>
          <w:rFonts w:cs="Times New Roman"/>
          <w:i/>
          <w:noProof/>
          <w:lang w:val="fr-CA"/>
        </w:rPr>
        <w:t xml:space="preserve"> concernant </w:t>
      </w:r>
      <w:r w:rsidR="00F903F2">
        <w:rPr>
          <w:rFonts w:cs="Times New Roman"/>
          <w:i/>
          <w:noProof/>
          <w:lang w:val="fr-CA"/>
        </w:rPr>
        <w:t>Bill </w:t>
      </w:r>
      <w:r w:rsidR="00AE2373" w:rsidRPr="00000DCC">
        <w:rPr>
          <w:rFonts w:cs="Times New Roman"/>
          <w:i/>
          <w:noProof/>
          <w:lang w:val="fr-CA"/>
        </w:rPr>
        <w:t>C</w:t>
      </w:r>
      <w:r w:rsidR="00AE2373" w:rsidRPr="00000DCC">
        <w:rPr>
          <w:rFonts w:cs="Times New Roman"/>
          <w:i/>
          <w:noProof/>
          <w:lang w:val="fr-CA"/>
        </w:rPr>
        <w:noBreakHyphen/>
        <w:t>20</w:t>
      </w:r>
      <w:r w:rsidR="00AE2373" w:rsidRPr="0033628B">
        <w:rPr>
          <w:rFonts w:cs="Times New Roman"/>
          <w:i/>
          <w:noProof/>
          <w:lang w:val="fr-CA"/>
        </w:rPr>
        <w:t>,</w:t>
      </w:r>
      <w:r w:rsidR="00AE2373" w:rsidRPr="00000DCC">
        <w:rPr>
          <w:rFonts w:cs="Times New Roman"/>
          <w:noProof/>
          <w:lang w:val="fr-CA"/>
        </w:rPr>
        <w:t xml:space="preserve"> </w:t>
      </w:r>
      <w:r w:rsidR="00AE2373" w:rsidRPr="00000DCC">
        <w:rPr>
          <w:rFonts w:cs="Times New Roman"/>
          <w:i/>
          <w:noProof/>
          <w:lang w:val="fr-CA"/>
        </w:rPr>
        <w:t>Loi concernant la citoyenneté</w:t>
      </w:r>
      <w:r w:rsidR="00AE2373" w:rsidRPr="00000DCC">
        <w:rPr>
          <w:rFonts w:cs="Times New Roman"/>
          <w:noProof/>
          <w:lang w:val="fr-CA"/>
        </w:rPr>
        <w:t>, n</w:t>
      </w:r>
      <w:r w:rsidR="00AE2373" w:rsidRPr="00000DCC">
        <w:rPr>
          <w:rFonts w:cs="Times New Roman"/>
          <w:noProof/>
          <w:vertAlign w:val="superscript"/>
          <w:lang w:val="fr-CA"/>
        </w:rPr>
        <w:t>o</w:t>
      </w:r>
      <w:r w:rsidR="00AE2373" w:rsidRPr="00000DCC">
        <w:rPr>
          <w:rFonts w:cs="Times New Roman"/>
          <w:noProof/>
          <w:lang w:val="fr-CA"/>
        </w:rPr>
        <w:t> 34, 1</w:t>
      </w:r>
      <w:r w:rsidR="00AE2373" w:rsidRPr="00000DCC">
        <w:rPr>
          <w:rFonts w:cs="Times New Roman"/>
          <w:noProof/>
          <w:vertAlign w:val="superscript"/>
          <w:lang w:val="fr-CA"/>
        </w:rPr>
        <w:t>re</w:t>
      </w:r>
      <w:r w:rsidR="00AE2373" w:rsidRPr="00000DCC">
        <w:rPr>
          <w:rFonts w:cs="Times New Roman"/>
          <w:noProof/>
          <w:lang w:val="fr-CA"/>
        </w:rPr>
        <w:t xml:space="preserve"> sess., </w:t>
      </w:r>
      <w:r w:rsidR="0015170E" w:rsidRPr="00000DCC">
        <w:rPr>
          <w:rFonts w:cs="Times New Roman"/>
          <w:noProof/>
          <w:lang w:val="fr-CA"/>
        </w:rPr>
        <w:t>30</w:t>
      </w:r>
      <w:r w:rsidR="0015170E" w:rsidRPr="00000DCC">
        <w:rPr>
          <w:rFonts w:cs="Times New Roman"/>
          <w:noProof/>
          <w:vertAlign w:val="superscript"/>
          <w:lang w:val="fr-CA"/>
        </w:rPr>
        <w:t>e</w:t>
      </w:r>
      <w:r w:rsidR="0015170E">
        <w:rPr>
          <w:rFonts w:cs="Times New Roman"/>
          <w:noProof/>
          <w:lang w:val="fr-CA"/>
        </w:rPr>
        <w:t xml:space="preserve"> lég., </w:t>
      </w:r>
      <w:r w:rsidR="00AE2373" w:rsidRPr="00000DCC">
        <w:rPr>
          <w:rFonts w:cs="Times New Roman"/>
          <w:noProof/>
          <w:lang w:val="fr-CA"/>
        </w:rPr>
        <w:t>24 </w:t>
      </w:r>
      <w:r w:rsidR="00AE2373">
        <w:rPr>
          <w:rFonts w:cs="Times New Roman"/>
          <w:noProof/>
          <w:lang w:val="fr-CA"/>
        </w:rPr>
        <w:t>février </w:t>
      </w:r>
      <w:r w:rsidR="00AE2373" w:rsidRPr="00000DCC">
        <w:rPr>
          <w:rFonts w:cs="Times New Roman"/>
          <w:noProof/>
          <w:lang w:val="fr-CA"/>
        </w:rPr>
        <w:t>1976</w:t>
      </w:r>
      <w:r w:rsidR="00AE2373">
        <w:rPr>
          <w:rFonts w:cs="Times New Roman"/>
          <w:noProof/>
          <w:lang w:val="fr-CA"/>
        </w:rPr>
        <w:t xml:space="preserve">, </w:t>
      </w:r>
      <w:r w:rsidR="00130A28">
        <w:rPr>
          <w:rFonts w:cs="Times New Roman"/>
          <w:noProof/>
          <w:lang w:val="fr-CA"/>
        </w:rPr>
        <w:t>p. </w:t>
      </w:r>
      <w:r w:rsidR="00AE2373" w:rsidRPr="00000DCC">
        <w:rPr>
          <w:rFonts w:cs="Times New Roman"/>
          <w:noProof/>
          <w:lang w:val="fr-CA"/>
        </w:rPr>
        <w:t>34:23. Le procès</w:t>
      </w:r>
      <w:r w:rsidR="00AE2373" w:rsidRPr="00000DCC">
        <w:rPr>
          <w:rFonts w:cs="Times New Roman"/>
          <w:noProof/>
          <w:lang w:val="fr-CA"/>
        </w:rPr>
        <w:noBreakHyphen/>
        <w:t xml:space="preserve">verbal de ce débat révèle également que le Parlement a pris soin d’éviter qu’il y ait un « risque, en rédigeant </w:t>
      </w:r>
      <w:r w:rsidR="00AE2373" w:rsidRPr="00000DCC">
        <w:rPr>
          <w:rFonts w:cs="Times New Roman"/>
          <w:noProof/>
          <w:lang w:val="fr-CA"/>
        </w:rPr>
        <w:lastRenderedPageBreak/>
        <w:t xml:space="preserve">quelque stipulation [. . .], de toucher d’autres gens, [à] savoir notamment ceux qui œuvrent pour le compte d’importantes sociétés étrangères » : </w:t>
      </w:r>
      <w:r w:rsidR="00AE2373" w:rsidRPr="00000DCC">
        <w:rPr>
          <w:rFonts w:cs="Times New Roman"/>
          <w:i/>
          <w:noProof/>
          <w:lang w:val="fr-CA"/>
        </w:rPr>
        <w:t>ibid</w:t>
      </w:r>
      <w:r w:rsidR="0038451B">
        <w:rPr>
          <w:rFonts w:cs="Times New Roman"/>
          <w:i/>
          <w:noProof/>
          <w:lang w:val="fr-CA"/>
        </w:rPr>
        <w:t>.</w:t>
      </w:r>
      <w:r w:rsidR="00040B23">
        <w:rPr>
          <w:rFonts w:cs="Times New Roman"/>
          <w:noProof/>
          <w:lang w:val="fr-CA"/>
        </w:rPr>
        <w:t xml:space="preserve">, </w:t>
      </w:r>
      <w:r>
        <w:rPr>
          <w:rFonts w:cs="Times New Roman"/>
          <w:noProof/>
          <w:lang w:val="fr-CA"/>
        </w:rPr>
        <w:t>p. 34:23 et</w:t>
      </w:r>
      <w:r w:rsidR="0038451B">
        <w:rPr>
          <w:rFonts w:cs="Times New Roman"/>
          <w:noProof/>
          <w:lang w:val="fr-CA"/>
        </w:rPr>
        <w:t xml:space="preserve"> </w:t>
      </w:r>
      <w:r w:rsidR="00040B23">
        <w:rPr>
          <w:rFonts w:cs="Times New Roman"/>
          <w:noProof/>
          <w:lang w:val="fr-CA"/>
        </w:rPr>
        <w:t>34:24</w:t>
      </w:r>
      <w:r w:rsidR="00AE2373" w:rsidRPr="00040B23">
        <w:rPr>
          <w:rFonts w:cs="Times New Roman"/>
          <w:noProof/>
          <w:lang w:val="fr-CA"/>
        </w:rPr>
        <w:t>.</w:t>
      </w:r>
      <w:r w:rsidR="00AE2373" w:rsidRPr="00000DCC">
        <w:rPr>
          <w:rFonts w:cs="Times New Roman"/>
          <w:noProof/>
          <w:lang w:val="fr-CA"/>
        </w:rPr>
        <w:t xml:space="preserve"> Bien que l’analyste ait traité des différences entre le libellé du par. 3(2) et celui d’une disposition semblable de l’ancienne </w:t>
      </w:r>
      <w:r w:rsidR="00AE2373" w:rsidRPr="00000DCC">
        <w:rPr>
          <w:rFonts w:cs="Times New Roman"/>
          <w:i/>
          <w:noProof/>
          <w:lang w:val="fr-CA"/>
        </w:rPr>
        <w:t>Loi sur la citoyenneté canadienne</w:t>
      </w:r>
      <w:r w:rsidR="00AE2373" w:rsidRPr="00000DCC">
        <w:rPr>
          <w:rFonts w:cs="Times New Roman"/>
          <w:noProof/>
          <w:lang w:val="fr-CA"/>
        </w:rPr>
        <w:t>, elle n’a pas abordé ces autres éléments de l’historique législatif de ce paragraphe, et ce, même si ceux</w:t>
      </w:r>
      <w:r w:rsidR="00AE2373" w:rsidRPr="00000DCC">
        <w:rPr>
          <w:rFonts w:cs="Times New Roman"/>
          <w:noProof/>
          <w:lang w:val="fr-CA"/>
        </w:rPr>
        <w:noBreakHyphen/>
        <w:t>ci mettent grandement en doute ses conclusions</w:t>
      </w:r>
      <w:r w:rsidR="00AE2373" w:rsidRPr="00000DCC">
        <w:rPr>
          <w:rFonts w:eastAsia="Times New Roman" w:cs="Times New Roman"/>
          <w:noProof/>
          <w:szCs w:val="24"/>
          <w:lang w:val="fr-CA" w:eastAsia="en-CA"/>
        </w:rPr>
        <w:t xml:space="preserve"> </w:t>
      </w:r>
      <w:r w:rsidR="00AE2373" w:rsidRPr="00000DCC">
        <w:rPr>
          <w:rFonts w:cs="Times New Roman"/>
          <w:noProof/>
          <w:lang w:val="fr-CA"/>
        </w:rPr>
        <w:t>et indiquent que le par. 3(2) n’était pas censé modifier le statut des personnes dont les parents ne se sont pas vu accorder de privilèges et immunités diplomatiques.</w:t>
      </w:r>
    </w:p>
    <w:p w14:paraId="34FD8A86" w14:textId="6D88FE93"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En tentant de faire une distinction entre le sens de l’expression « représentant à un autre titre ou au service au Canada d’un gouvernement étranger » et celui du terme « agent diplomatique ou consulaire », l’analyste semble aussi ne pas avoir envisagé la possibilité que certaines personnes qui font partie de la première catégorie se voient accorder des privilèges ou immunités sans pour autant être des « agent</w:t>
      </w:r>
      <w:r w:rsidRPr="00CF08CA">
        <w:rPr>
          <w:rFonts w:cs="Times New Roman"/>
          <w:noProof/>
          <w:lang w:val="fr-CA"/>
        </w:rPr>
        <w:t>[</w:t>
      </w:r>
      <w:r w:rsidRPr="00000DCC">
        <w:rPr>
          <w:rFonts w:cs="Times New Roman"/>
          <w:noProof/>
          <w:lang w:val="fr-CA"/>
        </w:rPr>
        <w:t>s</w:t>
      </w:r>
      <w:r>
        <w:rPr>
          <w:rFonts w:cs="Times New Roman"/>
          <w:noProof/>
          <w:lang w:val="fr-CA"/>
        </w:rPr>
        <w:t>]</w:t>
      </w:r>
      <w:r w:rsidRPr="00000DCC">
        <w:rPr>
          <w:rFonts w:cs="Times New Roman"/>
          <w:noProof/>
          <w:lang w:val="fr-CA"/>
        </w:rPr>
        <w:t xml:space="preserve"> diplomatique</w:t>
      </w:r>
      <w:r>
        <w:rPr>
          <w:rFonts w:cs="Times New Roman"/>
          <w:noProof/>
          <w:lang w:val="fr-CA"/>
        </w:rPr>
        <w:t>[</w:t>
      </w:r>
      <w:r w:rsidRPr="00000DCC">
        <w:rPr>
          <w:rFonts w:cs="Times New Roman"/>
          <w:noProof/>
          <w:lang w:val="fr-CA"/>
        </w:rPr>
        <w:t>s</w:t>
      </w:r>
      <w:r>
        <w:rPr>
          <w:rFonts w:cs="Times New Roman"/>
          <w:noProof/>
          <w:lang w:val="fr-CA"/>
        </w:rPr>
        <w:t>]</w:t>
      </w:r>
      <w:r w:rsidRPr="00000DCC">
        <w:rPr>
          <w:rFonts w:cs="Times New Roman"/>
          <w:noProof/>
          <w:lang w:val="fr-CA"/>
        </w:rPr>
        <w:t xml:space="preserve"> ou consulaire</w:t>
      </w:r>
      <w:r>
        <w:rPr>
          <w:rFonts w:cs="Times New Roman"/>
          <w:noProof/>
          <w:lang w:val="fr-CA"/>
        </w:rPr>
        <w:t>[</w:t>
      </w:r>
      <w:r w:rsidRPr="00000DCC">
        <w:rPr>
          <w:rFonts w:cs="Times New Roman"/>
          <w:noProof/>
          <w:lang w:val="fr-CA"/>
        </w:rPr>
        <w:t>s</w:t>
      </w:r>
      <w:r>
        <w:rPr>
          <w:rFonts w:cs="Times New Roman"/>
          <w:noProof/>
          <w:lang w:val="fr-CA"/>
        </w:rPr>
        <w:t>]</w:t>
      </w:r>
      <w:r w:rsidRPr="00000DCC">
        <w:rPr>
          <w:rFonts w:cs="Times New Roman"/>
          <w:noProof/>
          <w:lang w:val="fr-CA"/>
        </w:rPr>
        <w:t xml:space="preserve"> » au sens de la </w:t>
      </w:r>
      <w:r w:rsidRPr="00000DCC">
        <w:rPr>
          <w:rFonts w:cs="Times New Roman"/>
          <w:i/>
          <w:noProof/>
          <w:lang w:val="fr-CA"/>
        </w:rPr>
        <w:t>Loi d’interprétation</w:t>
      </w:r>
      <w:r w:rsidRPr="00000DCC">
        <w:rPr>
          <w:rFonts w:cs="Times New Roman"/>
          <w:noProof/>
          <w:lang w:val="fr-CA"/>
        </w:rPr>
        <w:t>. Or, comme le soulignent les juges majoritaires de la Cour d’appel fédérale, ces personnes existent bel et bien : par. 53</w:t>
      </w:r>
      <w:r w:rsidRPr="00000DCC">
        <w:rPr>
          <w:rFonts w:cs="Times New Roman"/>
          <w:noProof/>
          <w:lang w:val="fr-CA"/>
        </w:rPr>
        <w:noBreakHyphen/>
        <w:t xml:space="preserve">55, citant la </w:t>
      </w:r>
      <w:r w:rsidRPr="00000DCC">
        <w:rPr>
          <w:rFonts w:cs="Times New Roman"/>
          <w:i/>
          <w:noProof/>
          <w:lang w:val="fr-CA"/>
        </w:rPr>
        <w:t>LMEOI</w:t>
      </w:r>
      <w:r w:rsidRPr="00000DCC">
        <w:rPr>
          <w:rFonts w:cs="Times New Roman"/>
          <w:noProof/>
          <w:lang w:val="fr-CA"/>
        </w:rPr>
        <w:t>, art. 3 et 4 et ann. II, articles 1, 41, 43, 49 et 53. Vu les observations de M. Vavilov concernant l’objet du par. 3(2), le défaut d’envisager cette possibilité constitue une omission évidente.</w:t>
      </w:r>
    </w:p>
    <w:p w14:paraId="7DB80700" w14:textId="2DF02E4C"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Il est bien établi que la loi interne est présumée respecter les obligations internationales du Canada et qu’elle doit être interprétée d’une manière qui reflète les principes du droit international coutumier et conventionnel : </w:t>
      </w:r>
      <w:r w:rsidRPr="00000DCC">
        <w:rPr>
          <w:rFonts w:cs="Times New Roman"/>
          <w:i/>
          <w:noProof/>
          <w:lang w:val="fr-CA"/>
        </w:rPr>
        <w:t>Appulonappa</w:t>
      </w:r>
      <w:r w:rsidRPr="00000DCC">
        <w:rPr>
          <w:rFonts w:cs="Times New Roman"/>
          <w:noProof/>
          <w:lang w:val="fr-CA"/>
        </w:rPr>
        <w:t>,</w:t>
      </w:r>
      <w:r w:rsidRPr="00000DCC">
        <w:rPr>
          <w:rFonts w:cs="Times New Roman"/>
          <w:i/>
          <w:noProof/>
          <w:lang w:val="fr-CA"/>
        </w:rPr>
        <w:t xml:space="preserve"> </w:t>
      </w:r>
      <w:r w:rsidRPr="00000DCC">
        <w:rPr>
          <w:rFonts w:cs="Times New Roman"/>
          <w:noProof/>
          <w:lang w:val="fr-CA"/>
        </w:rPr>
        <w:t>par. 40; voir aussi</w:t>
      </w:r>
      <w:r w:rsidRPr="00000DCC">
        <w:rPr>
          <w:rFonts w:eastAsiaTheme="minorHAnsi" w:cs="Times New Roman"/>
          <w:i/>
          <w:noProof/>
          <w:sz w:val="22"/>
          <w:lang w:val="fr-CA"/>
        </w:rPr>
        <w:t xml:space="preserve"> </w:t>
      </w:r>
      <w:r w:rsidRPr="00000DCC">
        <w:rPr>
          <w:rFonts w:cs="Times New Roman"/>
          <w:i/>
          <w:noProof/>
          <w:lang w:val="fr-CA"/>
        </w:rPr>
        <w:t>Pushpanathan</w:t>
      </w:r>
      <w:r w:rsidRPr="00000DCC">
        <w:rPr>
          <w:rFonts w:cs="Times New Roman"/>
          <w:noProof/>
          <w:lang w:val="fr-CA"/>
        </w:rPr>
        <w:t>,</w:t>
      </w:r>
      <w:r w:rsidRPr="00000DCC">
        <w:rPr>
          <w:rFonts w:cs="Times New Roman"/>
          <w:i/>
          <w:noProof/>
          <w:lang w:val="fr-CA"/>
        </w:rPr>
        <w:t xml:space="preserve"> </w:t>
      </w:r>
      <w:r w:rsidRPr="00000DCC">
        <w:rPr>
          <w:rFonts w:cs="Times New Roman"/>
          <w:noProof/>
          <w:lang w:val="fr-CA"/>
        </w:rPr>
        <w:t xml:space="preserve">par. 51; </w:t>
      </w:r>
      <w:r w:rsidRPr="00000DCC">
        <w:rPr>
          <w:rFonts w:cs="Times New Roman"/>
          <w:i/>
          <w:noProof/>
          <w:lang w:val="fr-CA"/>
        </w:rPr>
        <w:t>Baker</w:t>
      </w:r>
      <w:r w:rsidRPr="00000DCC">
        <w:rPr>
          <w:rFonts w:cs="Times New Roman"/>
          <w:noProof/>
          <w:lang w:val="fr-CA"/>
        </w:rPr>
        <w:t>,</w:t>
      </w:r>
      <w:r w:rsidRPr="00000DCC">
        <w:rPr>
          <w:rFonts w:cs="Times New Roman"/>
          <w:i/>
          <w:noProof/>
          <w:lang w:val="fr-CA"/>
        </w:rPr>
        <w:t xml:space="preserve"> </w:t>
      </w:r>
      <w:r w:rsidRPr="00000DCC">
        <w:rPr>
          <w:rFonts w:cs="Times New Roman"/>
          <w:noProof/>
          <w:lang w:val="fr-CA"/>
        </w:rPr>
        <w:t xml:space="preserve">par. 70; </w:t>
      </w:r>
      <w:r w:rsidRPr="00000DCC">
        <w:rPr>
          <w:rFonts w:cs="Times New Roman"/>
          <w:i/>
          <w:noProof/>
          <w:lang w:val="fr-CA"/>
        </w:rPr>
        <w:t>GreCon Dimter inc. c. J.R. Normand inc</w:t>
      </w:r>
      <w:r w:rsidRPr="00794914">
        <w:rPr>
          <w:rFonts w:cs="Times New Roman"/>
          <w:i/>
          <w:noProof/>
          <w:lang w:val="fr-CA"/>
        </w:rPr>
        <w:t>.</w:t>
      </w:r>
      <w:r w:rsidRPr="00000DCC">
        <w:rPr>
          <w:rFonts w:cs="Times New Roman"/>
          <w:noProof/>
          <w:lang w:val="fr-CA"/>
        </w:rPr>
        <w:t xml:space="preserve">, 2005 CSC 46, [2005] 2 R.C.S. 401, par. 39; </w:t>
      </w:r>
      <w:r w:rsidRPr="00000DCC">
        <w:rPr>
          <w:rFonts w:cs="Times New Roman"/>
          <w:i/>
          <w:noProof/>
          <w:lang w:val="fr-CA"/>
        </w:rPr>
        <w:t>Hape</w:t>
      </w:r>
      <w:r w:rsidRPr="00000DCC">
        <w:rPr>
          <w:rFonts w:cs="Times New Roman"/>
          <w:noProof/>
          <w:lang w:val="fr-CA"/>
        </w:rPr>
        <w:t>,</w:t>
      </w:r>
      <w:r w:rsidRPr="00000DCC">
        <w:rPr>
          <w:rFonts w:cs="Times New Roman"/>
          <w:i/>
          <w:noProof/>
          <w:lang w:val="fr-CA"/>
        </w:rPr>
        <w:t xml:space="preserve"> </w:t>
      </w:r>
      <w:r w:rsidRPr="00000DCC">
        <w:rPr>
          <w:rFonts w:cs="Times New Roman"/>
          <w:noProof/>
          <w:lang w:val="fr-CA"/>
        </w:rPr>
        <w:t>par. 53</w:t>
      </w:r>
      <w:r w:rsidRPr="00000DCC">
        <w:rPr>
          <w:rFonts w:cs="Times New Roman"/>
          <w:noProof/>
          <w:lang w:val="fr-CA"/>
        </w:rPr>
        <w:noBreakHyphen/>
        <w:t xml:space="preserve">54; </w:t>
      </w:r>
      <w:r w:rsidRPr="00000DCC">
        <w:rPr>
          <w:rFonts w:cs="Times New Roman"/>
          <w:i/>
          <w:noProof/>
          <w:lang w:val="fr-CA"/>
        </w:rPr>
        <w:t xml:space="preserve">B010 c. Canada </w:t>
      </w:r>
      <w:r w:rsidRPr="00000DCC">
        <w:rPr>
          <w:rFonts w:cs="Times New Roman"/>
          <w:i/>
          <w:noProof/>
          <w:lang w:val="fr-CA"/>
        </w:rPr>
        <w:lastRenderedPageBreak/>
        <w:t>(Citoyenne</w:t>
      </w:r>
      <w:r w:rsidR="008B440F">
        <w:rPr>
          <w:rFonts w:cs="Times New Roman"/>
          <w:i/>
          <w:noProof/>
          <w:lang w:val="fr-CA"/>
        </w:rPr>
        <w:t>t</w:t>
      </w:r>
      <w:r w:rsidRPr="00000DCC">
        <w:rPr>
          <w:rFonts w:cs="Times New Roman"/>
          <w:i/>
          <w:noProof/>
          <w:lang w:val="fr-CA"/>
        </w:rPr>
        <w:t>é et Immigration)</w:t>
      </w:r>
      <w:r w:rsidRPr="00000DCC">
        <w:rPr>
          <w:rFonts w:cs="Times New Roman"/>
          <w:noProof/>
          <w:lang w:val="fr-CA"/>
        </w:rPr>
        <w:t>,</w:t>
      </w:r>
      <w:r w:rsidRPr="00000DCC">
        <w:rPr>
          <w:rFonts w:cs="Times New Roman"/>
          <w:i/>
          <w:noProof/>
          <w:lang w:val="fr-CA"/>
        </w:rPr>
        <w:t xml:space="preserve"> </w:t>
      </w:r>
      <w:r w:rsidRPr="00000DCC">
        <w:rPr>
          <w:rFonts w:cs="Times New Roman"/>
          <w:noProof/>
          <w:lang w:val="fr-CA"/>
        </w:rPr>
        <w:t xml:space="preserve">2015 CSC 58, [2015] 3 R.C.S. 704, par. 48; </w:t>
      </w:r>
      <w:r w:rsidRPr="00000DCC">
        <w:rPr>
          <w:rFonts w:cs="Times New Roman"/>
          <w:i/>
          <w:iCs/>
          <w:noProof/>
          <w:lang w:val="fr-CA" w:bidi="en-US"/>
        </w:rPr>
        <w:t>Inde c. Badesha</w:t>
      </w:r>
      <w:r w:rsidRPr="00000DCC">
        <w:rPr>
          <w:rFonts w:cs="Times New Roman"/>
          <w:iCs/>
          <w:noProof/>
          <w:lang w:val="fr-CA" w:bidi="en-US"/>
        </w:rPr>
        <w:t>,</w:t>
      </w:r>
      <w:r w:rsidRPr="00000DCC">
        <w:rPr>
          <w:rFonts w:cs="Times New Roman"/>
          <w:noProof/>
          <w:lang w:val="fr-CA" w:bidi="en-US"/>
        </w:rPr>
        <w:t xml:space="preserve"> 2017 CSC 44, [2017] 2 R.C.S. 127, par. 38; </w:t>
      </w:r>
      <w:r w:rsidRPr="00000DCC">
        <w:rPr>
          <w:rFonts w:cs="Times New Roman"/>
          <w:i/>
          <w:noProof/>
          <w:lang w:val="fr-CA" w:bidi="en-US"/>
        </w:rPr>
        <w:t>Bureau de l’avocat des enfants c. Balev</w:t>
      </w:r>
      <w:r w:rsidRPr="00000DCC">
        <w:rPr>
          <w:rFonts w:cs="Times New Roman"/>
          <w:noProof/>
          <w:lang w:val="fr-CA" w:bidi="en-US"/>
        </w:rPr>
        <w:t>, 2018 CSC 16, [2018] 1 R.C.S. 398, par. 31</w:t>
      </w:r>
      <w:r w:rsidRPr="00000DCC">
        <w:rPr>
          <w:rFonts w:cs="Times New Roman"/>
          <w:noProof/>
          <w:lang w:val="fr-CA" w:bidi="en-US"/>
        </w:rPr>
        <w:noBreakHyphen/>
        <w:t>32. Néanmoins, l’analyste ne fait pas état des règles de droit international pertinentes, ne s’interroge pas sur l’objectif que le législateur visait en adoptant le par. 3(2), et ne répond pas aux observations que M. Vavilov a présentées à cet égard. L’analyste n’essaie pas non plus d’expliquer autrement pourquoi le législateur élaborerait au départ une disposition de cette nature.</w:t>
      </w:r>
      <w:r w:rsidRPr="00000DCC">
        <w:rPr>
          <w:rFonts w:cs="Times New Roman"/>
          <w:noProof/>
          <w:lang w:val="fr-CA"/>
        </w:rPr>
        <w:t xml:space="preserve"> Malgré les observations convaincantes voulant que la raison d’être du par. 3(2) consiste à instituer une exception étroite à la règle générale, conformément aux principes établis du droit international, l’analyste et la greffière ont choisi une interprétation différente, sans motiver leur choix de façon raisonnée.</w:t>
      </w:r>
    </w:p>
    <w:p w14:paraId="17F1806A" w14:textId="3CC063D2" w:rsidR="00AE2373" w:rsidRPr="00000DCC" w:rsidRDefault="00A77BB8" w:rsidP="00A77BB8">
      <w:pPr>
        <w:pStyle w:val="Title4LevelTitre4Niveau"/>
        <w:numPr>
          <w:ilvl w:val="3"/>
          <w:numId w:val="8"/>
        </w:numPr>
        <w:tabs>
          <w:tab w:val="clear" w:pos="1152"/>
          <w:tab w:val="num" w:pos="900"/>
          <w:tab w:val="left" w:pos="1560"/>
        </w:tabs>
        <w:spacing w:before="0"/>
        <w:rPr>
          <w:rFonts w:cs="Times New Roman"/>
          <w:noProof/>
          <w:lang w:val="fr-CA"/>
        </w:rPr>
      </w:pPr>
      <w:r>
        <w:rPr>
          <w:rFonts w:cs="Times New Roman"/>
          <w:noProof/>
          <w:lang w:val="fr-CA"/>
        </w:rPr>
        <w:tab/>
      </w:r>
      <w:r w:rsidR="00AE2373" w:rsidRPr="00000DCC">
        <w:rPr>
          <w:rFonts w:cs="Times New Roman"/>
          <w:noProof/>
          <w:lang w:val="fr-CA"/>
        </w:rPr>
        <w:t>La jurisprudence relative à l’interprétation du par. 3(2) de la Loi sur la citoyenneté</w:t>
      </w:r>
    </w:p>
    <w:p w14:paraId="26D82E43" w14:textId="5CA2305F"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Dans une note </w:t>
      </w:r>
      <w:r w:rsidR="00EA07E1">
        <w:rPr>
          <w:rFonts w:cs="Times New Roman"/>
          <w:noProof/>
          <w:lang w:val="fr-CA"/>
        </w:rPr>
        <w:t>en</w:t>
      </w:r>
      <w:r w:rsidRPr="00000DCC">
        <w:rPr>
          <w:rFonts w:cs="Times New Roman"/>
          <w:noProof/>
          <w:lang w:val="fr-CA"/>
        </w:rPr>
        <w:t xml:space="preserve"> bas de page, l’analyste cite trois jugements de la Cour fédérale portant sur l’al. 3(2)a) de la </w:t>
      </w:r>
      <w:r w:rsidRPr="00000DCC">
        <w:rPr>
          <w:rFonts w:cs="Times New Roman"/>
          <w:i/>
          <w:noProof/>
          <w:lang w:val="fr-CA"/>
        </w:rPr>
        <w:t>Loi sur la citoyenneté</w:t>
      </w:r>
      <w:r w:rsidRPr="00000DCC">
        <w:rPr>
          <w:rFonts w:cs="Times New Roman"/>
          <w:noProof/>
          <w:lang w:val="fr-CA"/>
        </w:rPr>
        <w:t xml:space="preserve">, mais les juge dépourvus de pertinence au motif qu’ils concernent des </w:t>
      </w:r>
      <w:r w:rsidRPr="00000DCC">
        <w:rPr>
          <w:rFonts w:cs="Times New Roman"/>
          <w:smallCaps/>
          <w:noProof/>
          <w:lang w:val="fr-CA"/>
        </w:rPr>
        <w:t>[traduction]</w:t>
      </w:r>
      <w:r w:rsidRPr="00000DCC">
        <w:rPr>
          <w:rFonts w:cs="Times New Roman"/>
          <w:noProof/>
          <w:lang w:val="fr-CA"/>
        </w:rPr>
        <w:t xml:space="preserve"> « personnes dont les parents jouissaient du statut diplomatique au Canada au moment de leur naissance »</w:t>
      </w:r>
      <w:r w:rsidR="005E2252">
        <w:rPr>
          <w:rFonts w:cs="Times New Roman"/>
          <w:noProof/>
          <w:lang w:val="fr-CA"/>
        </w:rPr>
        <w:t> : d.a., vol. I, p. 7</w:t>
      </w:r>
      <w:r w:rsidRPr="00000DCC">
        <w:rPr>
          <w:rFonts w:cs="Times New Roman"/>
          <w:noProof/>
          <w:lang w:val="fr-CA"/>
        </w:rPr>
        <w:t>. Bien que ce soit exact</w:t>
      </w:r>
      <w:r w:rsidRPr="00000DCC">
        <w:rPr>
          <w:rFonts w:cs="Times New Roman"/>
          <w:noProof/>
          <w:lang w:val="fr-CA" w:bidi="en-US"/>
        </w:rPr>
        <w:t xml:space="preserve">, cette distinction ne permet pas d’expliquer l’inapplicabilité, dans le cas de M. Vavilov, du </w:t>
      </w:r>
      <w:r w:rsidRPr="00000DCC">
        <w:rPr>
          <w:rFonts w:cs="Times New Roman"/>
          <w:i/>
          <w:noProof/>
          <w:lang w:val="fr-CA" w:bidi="en-US"/>
        </w:rPr>
        <w:t xml:space="preserve">raisonnement </w:t>
      </w:r>
      <w:r w:rsidRPr="00000DCC">
        <w:rPr>
          <w:rFonts w:cs="Times New Roman"/>
          <w:noProof/>
          <w:lang w:val="fr-CA" w:bidi="en-US"/>
        </w:rPr>
        <w:t xml:space="preserve">adopté dans ces jugements et qui porte directement sur la portée, la signification et l’objectif législatif de l’al. 3(2)a). </w:t>
      </w:r>
      <w:r w:rsidRPr="00000DCC">
        <w:rPr>
          <w:rFonts w:cs="Times New Roman"/>
          <w:noProof/>
          <w:lang w:val="fr-CA"/>
        </w:rPr>
        <w:t xml:space="preserve">Si l’analyste s’était attardée ne serait-ce qu’aux trois jugements cités dans son rapport — </w:t>
      </w:r>
      <w:r w:rsidRPr="00000DCC">
        <w:rPr>
          <w:rFonts w:cs="Times New Roman"/>
          <w:i/>
          <w:noProof/>
          <w:lang w:val="fr-CA"/>
        </w:rPr>
        <w:t>Al</w:t>
      </w:r>
      <w:r w:rsidRPr="00000DCC">
        <w:rPr>
          <w:rFonts w:cs="Times New Roman"/>
          <w:i/>
          <w:noProof/>
          <w:lang w:val="fr-CA"/>
        </w:rPr>
        <w:noBreakHyphen/>
        <w:t>Ghamdi</w:t>
      </w:r>
      <w:r>
        <w:rPr>
          <w:rFonts w:cs="Times New Roman"/>
          <w:noProof/>
          <w:lang w:val="fr-CA"/>
        </w:rPr>
        <w:t>;</w:t>
      </w:r>
      <w:r w:rsidRPr="00000DCC">
        <w:rPr>
          <w:rFonts w:cs="Times New Roman"/>
          <w:noProof/>
          <w:lang w:val="fr-CA"/>
        </w:rPr>
        <w:t xml:space="preserve"> </w:t>
      </w:r>
      <w:r w:rsidRPr="00000DCC">
        <w:rPr>
          <w:rFonts w:cs="Times New Roman"/>
          <w:i/>
          <w:noProof/>
          <w:lang w:val="fr-CA"/>
        </w:rPr>
        <w:t>Lee c. Canada (Ministre de la Citoyenneté et de l’Immigration)</w:t>
      </w:r>
      <w:r w:rsidRPr="00000DCC">
        <w:rPr>
          <w:rFonts w:cs="Times New Roman"/>
          <w:noProof/>
          <w:lang w:val="fr-CA"/>
        </w:rPr>
        <w:t>,</w:t>
      </w:r>
      <w:r w:rsidRPr="00000DCC">
        <w:rPr>
          <w:rFonts w:cs="Times New Roman"/>
          <w:i/>
          <w:noProof/>
          <w:lang w:val="fr-CA"/>
        </w:rPr>
        <w:t xml:space="preserve"> </w:t>
      </w:r>
      <w:r w:rsidRPr="00000DCC">
        <w:rPr>
          <w:rFonts w:cs="Times New Roman"/>
          <w:noProof/>
          <w:lang w:val="fr-CA"/>
        </w:rPr>
        <w:t>2008 CF 614,</w:t>
      </w:r>
      <w:r>
        <w:rPr>
          <w:rFonts w:cs="Times New Roman"/>
          <w:noProof/>
          <w:lang w:val="fr-CA"/>
        </w:rPr>
        <w:t xml:space="preserve"> [2009] 1 R.C.F. 204;</w:t>
      </w:r>
      <w:r w:rsidRPr="00000DCC">
        <w:rPr>
          <w:rFonts w:cs="Times New Roman"/>
          <w:noProof/>
          <w:lang w:val="fr-CA"/>
        </w:rPr>
        <w:t xml:space="preserve"> et </w:t>
      </w:r>
      <w:r w:rsidRPr="00000DCC">
        <w:rPr>
          <w:rFonts w:cs="Times New Roman"/>
          <w:i/>
          <w:noProof/>
          <w:lang w:val="fr-CA"/>
        </w:rPr>
        <w:t>Hitti c. Canada (Ministre de la Citoyenneté et de l’Immigration)</w:t>
      </w:r>
      <w:r w:rsidRPr="00000DCC">
        <w:rPr>
          <w:rFonts w:cs="Times New Roman"/>
          <w:noProof/>
          <w:lang w:val="fr-CA"/>
        </w:rPr>
        <w:t xml:space="preserve">, 2007 CF 294 — il aurait été évident à ses yeux </w:t>
      </w:r>
      <w:r w:rsidRPr="00000DCC">
        <w:rPr>
          <w:rFonts w:cs="Times New Roman"/>
          <w:noProof/>
          <w:lang w:val="fr-CA"/>
        </w:rPr>
        <w:lastRenderedPageBreak/>
        <w:t>qu’elle devait confronter sa propre interprétation et la justifier eu égard au raisonnement juridique convaincant et détaillé à l’appui de la thèse voulant que l’al. 3(2)a) ne soit censé s’appliquer qu’aux personnes dont les parents se sont vu accorder des privilèges et immunités diplomatiques.</w:t>
      </w:r>
    </w:p>
    <w:p w14:paraId="4E738C51" w14:textId="667595A9"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Dans l’affaire </w:t>
      </w:r>
      <w:r w:rsidRPr="00000DCC">
        <w:rPr>
          <w:rFonts w:cs="Times New Roman"/>
          <w:i/>
          <w:noProof/>
          <w:lang w:val="fr-CA"/>
        </w:rPr>
        <w:t>Al</w:t>
      </w:r>
      <w:r w:rsidRPr="00000DCC">
        <w:rPr>
          <w:rFonts w:cs="Times New Roman"/>
          <w:i/>
          <w:noProof/>
          <w:lang w:val="fr-CA"/>
        </w:rPr>
        <w:noBreakHyphen/>
        <w:t>Ghamdi</w:t>
      </w:r>
      <w:r w:rsidRPr="00000DCC">
        <w:rPr>
          <w:rFonts w:cs="Times New Roman"/>
          <w:noProof/>
          <w:lang w:val="fr-CA"/>
        </w:rPr>
        <w:t xml:space="preserve">, la Cour fédérale s’est penchée sur la </w:t>
      </w:r>
      <w:r w:rsidR="00715273">
        <w:rPr>
          <w:rFonts w:cs="Times New Roman"/>
          <w:noProof/>
          <w:lang w:val="fr-CA"/>
        </w:rPr>
        <w:t>constitutionnalité des al. 3(2)</w:t>
      </w:r>
      <w:r w:rsidRPr="00000DCC">
        <w:rPr>
          <w:rFonts w:cs="Times New Roman"/>
          <w:noProof/>
          <w:lang w:val="fr-CA"/>
        </w:rPr>
        <w:t xml:space="preserve">a) et c) de la </w:t>
      </w:r>
      <w:r w:rsidRPr="00000DCC">
        <w:rPr>
          <w:rFonts w:cs="Times New Roman"/>
          <w:i/>
          <w:noProof/>
          <w:lang w:val="fr-CA"/>
        </w:rPr>
        <w:t>Loi sur la citoyenneté</w:t>
      </w:r>
      <w:r w:rsidRPr="00000DCC">
        <w:rPr>
          <w:rFonts w:cs="Times New Roman"/>
          <w:noProof/>
          <w:lang w:val="fr-CA"/>
        </w:rPr>
        <w:t xml:space="preserve"> en contrôlant une décision par laquelle Passeport Canada avait refusé de délivrer un passeport à l’enfant d’un diplomate saoudien. Dans ses motifs, la cour est arrivée à plusieurs conclusions au sujet de l’objet et de la portée du par. 3(2), dont celle qui suit au par. 5 :</w:t>
      </w:r>
    </w:p>
    <w:p w14:paraId="41DAE04F" w14:textId="79761BF6" w:rsidR="00AE2373" w:rsidRPr="00000DCC" w:rsidRDefault="00AE2373" w:rsidP="00076655">
      <w:pPr>
        <w:pStyle w:val="Citation-AltC"/>
        <w:tabs>
          <w:tab w:val="left" w:pos="1620"/>
        </w:tabs>
        <w:ind w:firstLine="274"/>
        <w:contextualSpacing w:val="0"/>
        <w:rPr>
          <w:noProof/>
          <w:lang w:val="fr-CA"/>
        </w:rPr>
      </w:pPr>
      <w:r w:rsidRPr="00000DCC">
        <w:rPr>
          <w:noProof/>
          <w:lang w:val="fr-CA"/>
        </w:rPr>
        <w:tab/>
        <w:t xml:space="preserve">Les seules personnes visées aux alinéas 3(2)a) et c) de la </w:t>
      </w:r>
      <w:r w:rsidRPr="00000DCC">
        <w:rPr>
          <w:i/>
          <w:noProof/>
          <w:lang w:val="fr-CA"/>
        </w:rPr>
        <w:t>Loi sur la citoyenneté</w:t>
      </w:r>
      <w:r w:rsidRPr="00000DCC">
        <w:rPr>
          <w:noProof/>
          <w:lang w:val="fr-CA"/>
        </w:rPr>
        <w:t xml:space="preserve"> sont les enfants de personnes ayant le statut diplomatique. Il s’agit de personnes qui sont admises sur le territoire canadien dans des </w:t>
      </w:r>
      <w:r w:rsidRPr="00000DCC">
        <w:rPr>
          <w:lang w:val="fr-CA"/>
        </w:rPr>
        <w:t>circonstances particulières et qui ne sont pas assujetties aux formalités habituelles. Mais surtout, pendant qu’elles se trouvent au Canada, elles bénéficient de toutes les immunités et de tous les privilèges reconnus aux diplomates</w:t>
      </w:r>
      <w:r w:rsidR="00FE5C53">
        <w:rPr>
          <w:lang w:val="fr-CA"/>
        </w:rPr>
        <w:t xml:space="preserve"> </w:t>
      </w:r>
      <w:r w:rsidRPr="00000DCC">
        <w:rPr>
          <w:noProof/>
          <w:lang w:val="fr-CA"/>
        </w:rPr>
        <w:t>.</w:t>
      </w:r>
      <w:r w:rsidR="00FE5C53">
        <w:rPr>
          <w:noProof/>
          <w:lang w:val="fr-CA"/>
        </w:rPr>
        <w:t> . .</w:t>
      </w:r>
    </w:p>
    <w:p w14:paraId="04DC0B39" w14:textId="74BF1B28" w:rsidR="00AE2373" w:rsidRPr="00000DCC" w:rsidRDefault="00FE5C53" w:rsidP="00AE2373">
      <w:pPr>
        <w:pStyle w:val="ParaNoNdepar-AltN"/>
        <w:tabs>
          <w:tab w:val="clear" w:pos="1166"/>
          <w:tab w:val="clear" w:pos="1422"/>
          <w:tab w:val="num" w:pos="1170"/>
        </w:tabs>
        <w:spacing w:before="0"/>
        <w:rPr>
          <w:rFonts w:cs="Times New Roman"/>
          <w:noProof/>
          <w:lang w:val="fr-CA"/>
        </w:rPr>
      </w:pPr>
      <w:r>
        <w:rPr>
          <w:rFonts w:cs="Times New Roman"/>
          <w:noProof/>
          <w:lang w:val="fr-CA"/>
        </w:rPr>
        <w:t>L</w:t>
      </w:r>
      <w:r w:rsidR="00AE2373" w:rsidRPr="00000DCC">
        <w:rPr>
          <w:rFonts w:cs="Times New Roman"/>
          <w:noProof/>
          <w:lang w:val="fr-CA"/>
        </w:rPr>
        <w:t xml:space="preserve">a cour a ensuite documenté en détail le lien entre l’exception à la règle de la citoyenneté par naissance énoncée au par. 3(2) de la </w:t>
      </w:r>
      <w:r w:rsidR="00AE2373" w:rsidRPr="00000DCC">
        <w:rPr>
          <w:rFonts w:cs="Times New Roman"/>
          <w:i/>
          <w:noProof/>
          <w:lang w:val="fr-CA"/>
        </w:rPr>
        <w:t xml:space="preserve">Loi sur la citoyenneté </w:t>
      </w:r>
      <w:r w:rsidR="00AE2373" w:rsidRPr="00000DCC">
        <w:rPr>
          <w:rFonts w:cs="Times New Roman"/>
          <w:noProof/>
          <w:lang w:val="fr-CA"/>
        </w:rPr>
        <w:t xml:space="preserve">et les règles de droit international, la </w:t>
      </w:r>
      <w:r w:rsidR="00AE2373" w:rsidRPr="00000DCC">
        <w:rPr>
          <w:rFonts w:cs="Times New Roman"/>
          <w:i/>
          <w:noProof/>
          <w:lang w:val="fr-CA"/>
        </w:rPr>
        <w:t>LMEOI</w:t>
      </w:r>
      <w:r w:rsidR="00AE2373" w:rsidRPr="00000DCC">
        <w:rPr>
          <w:rFonts w:cs="Times New Roman"/>
          <w:noProof/>
          <w:lang w:val="fr-CA"/>
        </w:rPr>
        <w:t xml:space="preserve"> et la </w:t>
      </w:r>
      <w:r w:rsidR="00AE2373" w:rsidRPr="00000DCC">
        <w:rPr>
          <w:rFonts w:cs="Times New Roman"/>
          <w:i/>
          <w:noProof/>
          <w:lang w:val="fr-CA"/>
        </w:rPr>
        <w:t>CVRD </w:t>
      </w:r>
      <w:r w:rsidR="00AE2373" w:rsidRPr="00000DCC">
        <w:rPr>
          <w:rFonts w:cs="Times New Roman"/>
          <w:noProof/>
          <w:lang w:val="fr-CA"/>
        </w:rPr>
        <w:t xml:space="preserve">: </w:t>
      </w:r>
      <w:r w:rsidR="00AE2373" w:rsidRPr="00000DCC">
        <w:rPr>
          <w:rFonts w:cs="Times New Roman"/>
          <w:i/>
          <w:noProof/>
          <w:lang w:val="fr-CA"/>
        </w:rPr>
        <w:t>Al</w:t>
      </w:r>
      <w:r w:rsidR="00AE2373" w:rsidRPr="00000DCC">
        <w:rPr>
          <w:rFonts w:cs="Times New Roman"/>
          <w:i/>
          <w:noProof/>
          <w:lang w:val="fr-CA"/>
        </w:rPr>
        <w:noBreakHyphen/>
        <w:t>Ghamdi</w:t>
      </w:r>
      <w:r w:rsidR="00AE2373" w:rsidRPr="00000DCC">
        <w:rPr>
          <w:rFonts w:cs="Times New Roman"/>
          <w:noProof/>
          <w:lang w:val="fr-CA"/>
        </w:rPr>
        <w:t>, par. 52 et s</w:t>
      </w:r>
      <w:r w:rsidR="00147BC8">
        <w:rPr>
          <w:rFonts w:cs="Times New Roman"/>
          <w:noProof/>
          <w:lang w:val="fr-CA"/>
        </w:rPr>
        <w:t>uiv</w:t>
      </w:r>
      <w:r w:rsidR="00AE2373" w:rsidRPr="00000DCC">
        <w:rPr>
          <w:rFonts w:cs="Times New Roman"/>
          <w:noProof/>
          <w:lang w:val="fr-CA"/>
        </w:rPr>
        <w:t xml:space="preserve">. Elle a fait remarquer qu’il est établi en droit international que les enfants nés de parents bénéficiant de l’immunité diplomatique n’acquièrent pas automatiquement la citoyenneté à la naissance, et que leur statut à cet égard constitue une exception au principe du </w:t>
      </w:r>
      <w:r w:rsidR="00AE2373" w:rsidRPr="00000DCC">
        <w:rPr>
          <w:rFonts w:cs="Times New Roman"/>
          <w:i/>
          <w:noProof/>
          <w:lang w:val="fr-CA"/>
        </w:rPr>
        <w:t>jus soli </w:t>
      </w:r>
      <w:r w:rsidR="00AE2373" w:rsidRPr="00000DCC">
        <w:rPr>
          <w:rFonts w:cs="Times New Roman"/>
          <w:noProof/>
          <w:lang w:val="fr-CA"/>
        </w:rPr>
        <w:t xml:space="preserve">: </w:t>
      </w:r>
      <w:r w:rsidR="00AE2373" w:rsidRPr="00000DCC">
        <w:rPr>
          <w:rFonts w:cs="Times New Roman"/>
          <w:i/>
          <w:noProof/>
          <w:lang w:val="fr-CA"/>
        </w:rPr>
        <w:t>Al</w:t>
      </w:r>
      <w:r w:rsidR="00AE2373" w:rsidRPr="00000DCC">
        <w:rPr>
          <w:rFonts w:cs="Times New Roman"/>
          <w:i/>
          <w:noProof/>
          <w:lang w:val="fr-CA"/>
        </w:rPr>
        <w:noBreakHyphen/>
        <w:t>Ghamdi</w:t>
      </w:r>
      <w:r w:rsidR="00AE2373" w:rsidRPr="00000DCC">
        <w:rPr>
          <w:rFonts w:cs="Times New Roman"/>
          <w:noProof/>
          <w:lang w:val="fr-CA"/>
        </w:rPr>
        <w:t>, par. 53, citant Brownlie, p. 391</w:t>
      </w:r>
      <w:r w:rsidR="00AE2373" w:rsidRPr="00000DCC">
        <w:rPr>
          <w:rFonts w:cs="Times New Roman"/>
          <w:noProof/>
          <w:lang w:val="fr-CA"/>
        </w:rPr>
        <w:noBreakHyphen/>
        <w:t xml:space="preserve">393. En concluant que </w:t>
      </w:r>
      <w:r w:rsidR="00AE2373" w:rsidRPr="00000DCC">
        <w:rPr>
          <w:rFonts w:cs="Times New Roman"/>
          <w:iCs/>
          <w:noProof/>
          <w:lang w:val="fr-CA"/>
        </w:rPr>
        <w:t xml:space="preserve">les exceptions du par. 3(2) à la règle de la citoyenneté </w:t>
      </w:r>
      <w:r w:rsidR="00AE2373" w:rsidRPr="00000DCC">
        <w:rPr>
          <w:rFonts w:cs="Times New Roman"/>
          <w:i/>
          <w:iCs/>
          <w:noProof/>
          <w:lang w:val="fr-CA"/>
        </w:rPr>
        <w:t xml:space="preserve">jus soli </w:t>
      </w:r>
      <w:r w:rsidR="00AE2373" w:rsidRPr="00000DCC">
        <w:rPr>
          <w:rFonts w:cs="Times New Roman"/>
          <w:iCs/>
          <w:noProof/>
          <w:lang w:val="fr-CA"/>
        </w:rPr>
        <w:t xml:space="preserve">ne portent pas atteinte aux droits conférés aux enfants de diplomates par l’art. 15 de la </w:t>
      </w:r>
      <w:r w:rsidR="00AE2373" w:rsidRPr="00000DCC">
        <w:rPr>
          <w:rFonts w:cs="Times New Roman"/>
          <w:i/>
          <w:iCs/>
          <w:noProof/>
          <w:lang w:val="fr-CA"/>
        </w:rPr>
        <w:t>Charte</w:t>
      </w:r>
      <w:r w:rsidR="00AE2373" w:rsidRPr="00000DCC">
        <w:rPr>
          <w:rFonts w:cs="Times New Roman"/>
          <w:iCs/>
          <w:noProof/>
          <w:lang w:val="fr-CA"/>
        </w:rPr>
        <w:t xml:space="preserve">, </w:t>
      </w:r>
      <w:r w:rsidR="00AE2373" w:rsidRPr="00000DCC">
        <w:rPr>
          <w:rFonts w:cs="Times New Roman"/>
          <w:noProof/>
          <w:lang w:val="fr-CA"/>
        </w:rPr>
        <w:t xml:space="preserve">la cour a souligné que </w:t>
      </w:r>
      <w:r w:rsidR="00AE2373" w:rsidRPr="00000DCC">
        <w:rPr>
          <w:rFonts w:cs="Times New Roman"/>
          <w:i/>
          <w:noProof/>
          <w:lang w:val="fr-CA"/>
        </w:rPr>
        <w:t>tous</w:t>
      </w:r>
      <w:r w:rsidR="00AE2373" w:rsidRPr="00000DCC">
        <w:rPr>
          <w:rFonts w:cs="Times New Roman"/>
          <w:noProof/>
          <w:lang w:val="fr-CA"/>
        </w:rPr>
        <w:t xml:space="preserve"> les enfants</w:t>
      </w:r>
      <w:r w:rsidR="00AE2373" w:rsidRPr="00000DCC">
        <w:rPr>
          <w:rFonts w:cs="Times New Roman"/>
          <w:iCs/>
          <w:noProof/>
          <w:lang w:val="fr-CA"/>
        </w:rPr>
        <w:t xml:space="preserve"> auxquels s’applique le par. 3(2) bénéficient d’une </w:t>
      </w:r>
      <w:r w:rsidR="00AE2373" w:rsidRPr="00000DCC">
        <w:rPr>
          <w:rFonts w:cs="Times New Roman"/>
          <w:noProof/>
          <w:lang w:val="fr-CA"/>
        </w:rPr>
        <w:lastRenderedPageBreak/>
        <w:t xml:space="preserve">« gamme extraordinaire de privilèges en vertu de la </w:t>
      </w:r>
      <w:r w:rsidR="00AE2373" w:rsidRPr="00000DCC">
        <w:rPr>
          <w:rFonts w:cs="Times New Roman"/>
          <w:i/>
          <w:iCs/>
          <w:noProof/>
          <w:lang w:val="fr-CA"/>
        </w:rPr>
        <w:t>Loi sur les missions étrangères et les organisations internationales </w:t>
      </w:r>
      <w:r w:rsidR="00AE2373" w:rsidRPr="00000DCC">
        <w:rPr>
          <w:rFonts w:cs="Times New Roman"/>
          <w:iCs/>
          <w:noProof/>
          <w:lang w:val="fr-CA"/>
        </w:rPr>
        <w:t xml:space="preserve">» : </w:t>
      </w:r>
      <w:r w:rsidR="00AE2373" w:rsidRPr="00000DCC">
        <w:rPr>
          <w:rFonts w:cs="Times New Roman"/>
          <w:i/>
          <w:iCs/>
          <w:noProof/>
          <w:lang w:val="fr-CA"/>
        </w:rPr>
        <w:t>Al</w:t>
      </w:r>
      <w:r w:rsidR="00AE2373" w:rsidRPr="00000DCC">
        <w:rPr>
          <w:rFonts w:cs="Times New Roman"/>
          <w:i/>
          <w:iCs/>
          <w:noProof/>
          <w:lang w:val="fr-CA"/>
        </w:rPr>
        <w:noBreakHyphen/>
        <w:t>Ghamdi</w:t>
      </w:r>
      <w:r w:rsidR="00AE2373" w:rsidRPr="00000DCC">
        <w:rPr>
          <w:rFonts w:cs="Times New Roman"/>
          <w:iCs/>
          <w:noProof/>
          <w:lang w:val="fr-CA"/>
        </w:rPr>
        <w:t xml:space="preserve">, par. 62. Citant la </w:t>
      </w:r>
      <w:r w:rsidR="00AE2373" w:rsidRPr="00000DCC">
        <w:rPr>
          <w:rFonts w:cs="Times New Roman"/>
          <w:i/>
          <w:iCs/>
          <w:noProof/>
          <w:lang w:val="fr-CA"/>
        </w:rPr>
        <w:t>CVRD</w:t>
      </w:r>
      <w:r w:rsidR="00AE2373" w:rsidRPr="00000DCC">
        <w:rPr>
          <w:rFonts w:cs="Times New Roman"/>
          <w:iCs/>
          <w:noProof/>
          <w:lang w:val="fr-CA"/>
        </w:rPr>
        <w:t xml:space="preserve">, elle a ajouté que « [c]’est précisément en raison de la vaste gamme de privilèges dont jouissent </w:t>
      </w:r>
      <w:r w:rsidR="00AE2373" w:rsidRPr="00000DCC">
        <w:rPr>
          <w:rFonts w:cs="Times New Roman"/>
          <w:noProof/>
          <w:lang w:val="fr-CA"/>
        </w:rPr>
        <w:t xml:space="preserve">les diplomates et leur famille, privilèges qui sont de par leur nature même incompatibles avec les obligations de la citoyenneté, qu’une personne qui jouit du statut diplomatique ne peut acquérir la citoyenneté » : par. 63. Dans son analyse conduite au regard de l’article premier de la </w:t>
      </w:r>
      <w:r w:rsidR="00AE2373" w:rsidRPr="00000DCC">
        <w:rPr>
          <w:rFonts w:cs="Times New Roman"/>
          <w:i/>
          <w:noProof/>
          <w:lang w:val="fr-CA"/>
        </w:rPr>
        <w:t>Charte</w:t>
      </w:r>
      <w:r w:rsidR="00AE2373" w:rsidRPr="00000DCC">
        <w:rPr>
          <w:rFonts w:cs="Times New Roman"/>
          <w:noProof/>
          <w:lang w:val="fr-CA"/>
        </w:rPr>
        <w:t xml:space="preserve">, la cour a conclu que le refus d’octroyer la citoyenneté aux personnes visées au par. 3(2) est « étroitement lié » à l’objectif urgent de l’État consistant à s’assurer « qu’aucun citoyen n’est dispensé des obligations afférentes à la citoyenneté », comme payer des impôts et respecter les lois criminelles : </w:t>
      </w:r>
      <w:r w:rsidR="00AE2373" w:rsidRPr="00000DCC">
        <w:rPr>
          <w:rFonts w:cs="Times New Roman"/>
          <w:i/>
          <w:noProof/>
          <w:lang w:val="fr-CA"/>
        </w:rPr>
        <w:t>Al</w:t>
      </w:r>
      <w:r w:rsidR="00AE2373" w:rsidRPr="00000DCC">
        <w:rPr>
          <w:rFonts w:cs="Times New Roman"/>
          <w:i/>
          <w:noProof/>
          <w:lang w:val="fr-CA"/>
        </w:rPr>
        <w:noBreakHyphen/>
        <w:t>Ghamdi</w:t>
      </w:r>
      <w:r w:rsidR="00AE2373" w:rsidRPr="00000DCC">
        <w:rPr>
          <w:rFonts w:cs="Times New Roman"/>
          <w:noProof/>
          <w:lang w:val="fr-CA"/>
        </w:rPr>
        <w:t>, par. 74</w:t>
      </w:r>
      <w:r w:rsidR="00AE2373" w:rsidRPr="00000DCC">
        <w:rPr>
          <w:rFonts w:cs="Times New Roman"/>
          <w:noProof/>
          <w:lang w:val="fr-CA"/>
        </w:rPr>
        <w:noBreakHyphen/>
        <w:t xml:space="preserve">75. En l’espèce, l’analyste n’a aucunement abordé les arguments retenus par la Cour fédérale dans l’affaire </w:t>
      </w:r>
      <w:r w:rsidR="00AE2373" w:rsidRPr="00000DCC">
        <w:rPr>
          <w:rFonts w:cs="Times New Roman"/>
          <w:i/>
          <w:noProof/>
          <w:lang w:val="fr-CA"/>
        </w:rPr>
        <w:t>Al</w:t>
      </w:r>
      <w:r w:rsidR="00AE2373" w:rsidRPr="00000DCC">
        <w:rPr>
          <w:rFonts w:cs="Times New Roman"/>
          <w:i/>
          <w:noProof/>
          <w:lang w:val="fr-CA"/>
        </w:rPr>
        <w:noBreakHyphen/>
        <w:t>Ghamdi</w:t>
      </w:r>
      <w:r w:rsidR="00AE2373" w:rsidRPr="00000DCC">
        <w:rPr>
          <w:rFonts w:cs="Times New Roman"/>
          <w:noProof/>
          <w:lang w:val="fr-CA"/>
        </w:rPr>
        <w:t xml:space="preserve">, malgré la conclusion décisive de la cour portant que l’al. 3(2)a) s’appliquait uniquement aux « enfants nés de diplomates étrangers ou de l’équivalent », une conclusion au cœur de la constitutionnalité même de la disposition : </w:t>
      </w:r>
      <w:r w:rsidR="00AE2373" w:rsidRPr="00000DCC">
        <w:rPr>
          <w:rFonts w:cs="Times New Roman"/>
          <w:i/>
          <w:noProof/>
          <w:lang w:val="fr-CA"/>
        </w:rPr>
        <w:t>Al</w:t>
      </w:r>
      <w:r w:rsidR="00AE2373" w:rsidRPr="00000DCC">
        <w:rPr>
          <w:rFonts w:cs="Times New Roman"/>
          <w:i/>
          <w:noProof/>
          <w:lang w:val="fr-CA"/>
        </w:rPr>
        <w:noBreakHyphen/>
        <w:t>Ghamdi</w:t>
      </w:r>
      <w:r w:rsidR="00AE2373" w:rsidRPr="00000DCC">
        <w:rPr>
          <w:rFonts w:cs="Times New Roman"/>
          <w:noProof/>
          <w:lang w:val="fr-CA"/>
        </w:rPr>
        <w:t>, par. 3, 9, 27, 28, 56 et 59.</w:t>
      </w:r>
    </w:p>
    <w:p w14:paraId="08A738FE"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Dans l’affaire </w:t>
      </w:r>
      <w:r w:rsidRPr="00000DCC">
        <w:rPr>
          <w:rFonts w:cs="Times New Roman"/>
          <w:i/>
          <w:noProof/>
          <w:lang w:val="fr-CA"/>
        </w:rPr>
        <w:t>Lee</w:t>
      </w:r>
      <w:r w:rsidRPr="00000DCC">
        <w:rPr>
          <w:rFonts w:cs="Times New Roman"/>
          <w:noProof/>
          <w:lang w:val="fr-CA"/>
        </w:rPr>
        <w:t xml:space="preserve">, un autre jugement que cite l’analyste, la Cour fédérale a confirmé la conclusion de l’affaire </w:t>
      </w:r>
      <w:r w:rsidRPr="00000DCC">
        <w:rPr>
          <w:rFonts w:cs="Times New Roman"/>
          <w:i/>
          <w:noProof/>
          <w:lang w:val="fr-CA"/>
        </w:rPr>
        <w:t>Al</w:t>
      </w:r>
      <w:r w:rsidRPr="00000DCC">
        <w:rPr>
          <w:rFonts w:cs="Times New Roman"/>
          <w:i/>
          <w:noProof/>
          <w:lang w:val="fr-CA"/>
        </w:rPr>
        <w:noBreakHyphen/>
        <w:t>Ghamdi</w:t>
      </w:r>
      <w:r w:rsidRPr="00000DCC">
        <w:rPr>
          <w:rFonts w:cs="Times New Roman"/>
          <w:noProof/>
          <w:lang w:val="fr-CA"/>
        </w:rPr>
        <w:t xml:space="preserve"> selon laquelle « [l]es seules personnes visées par les alinéas 3(2)a) et c) de la </w:t>
      </w:r>
      <w:r w:rsidRPr="00000DCC">
        <w:rPr>
          <w:rFonts w:cs="Times New Roman"/>
          <w:i/>
          <w:noProof/>
          <w:lang w:val="fr-CA"/>
        </w:rPr>
        <w:t>Loi sur la citoyenneté</w:t>
      </w:r>
      <w:r w:rsidRPr="00000DCC">
        <w:rPr>
          <w:rFonts w:cs="Times New Roman"/>
          <w:noProof/>
          <w:lang w:val="fr-CA"/>
        </w:rPr>
        <w:t xml:space="preserve"> sont les enfants des personnes ayant le statut diplomatique » : </w:t>
      </w:r>
      <w:r w:rsidRPr="00000DCC">
        <w:rPr>
          <w:rFonts w:cs="Times New Roman"/>
          <w:i/>
          <w:noProof/>
          <w:lang w:val="fr-CA"/>
        </w:rPr>
        <w:t>Lee</w:t>
      </w:r>
      <w:r w:rsidRPr="00000DCC">
        <w:rPr>
          <w:rFonts w:cs="Times New Roman"/>
          <w:noProof/>
          <w:lang w:val="fr-CA"/>
        </w:rPr>
        <w:t>,</w:t>
      </w:r>
      <w:r w:rsidRPr="00000DCC">
        <w:rPr>
          <w:rFonts w:cs="Times New Roman"/>
          <w:i/>
          <w:noProof/>
          <w:lang w:val="fr-CA"/>
        </w:rPr>
        <w:t xml:space="preserve"> </w:t>
      </w:r>
      <w:r w:rsidRPr="00000DCC">
        <w:rPr>
          <w:rFonts w:cs="Times New Roman"/>
          <w:noProof/>
          <w:lang w:val="fr-CA"/>
        </w:rPr>
        <w:t xml:space="preserve">par. 77. La cour a jugé dans </w:t>
      </w:r>
      <w:r w:rsidRPr="00000DCC">
        <w:rPr>
          <w:rFonts w:cs="Times New Roman"/>
          <w:i/>
          <w:noProof/>
          <w:lang w:val="fr-CA"/>
        </w:rPr>
        <w:t>Lee</w:t>
      </w:r>
      <w:r w:rsidRPr="00000DCC">
        <w:rPr>
          <w:rFonts w:cs="Times New Roman"/>
          <w:noProof/>
          <w:lang w:val="fr-CA"/>
        </w:rPr>
        <w:t xml:space="preserve"> qu’il importait peu de connaître quelles « fonctions exerçait concrètement le père du demandeur » pour déterminer si le fils tombait ou non sous le coup de l’exclusion prévue à l’al. 3(2)a) de la </w:t>
      </w:r>
      <w:r w:rsidRPr="00000DCC">
        <w:rPr>
          <w:rFonts w:cs="Times New Roman"/>
          <w:i/>
          <w:noProof/>
          <w:lang w:val="fr-CA"/>
        </w:rPr>
        <w:t>Loi sur la citoyenneté </w:t>
      </w:r>
      <w:r w:rsidRPr="00000DCC">
        <w:rPr>
          <w:rFonts w:cs="Times New Roman"/>
          <w:noProof/>
          <w:lang w:val="fr-CA"/>
        </w:rPr>
        <w:t xml:space="preserve">: par. 58. Ce qui comptait au contraire, c’était que le père du demandeur était enregistré comme agent diplomatique au moment </w:t>
      </w:r>
      <w:r w:rsidRPr="00000DCC">
        <w:rPr>
          <w:rFonts w:cs="Times New Roman"/>
          <w:noProof/>
          <w:lang w:val="fr-CA"/>
        </w:rPr>
        <w:lastRenderedPageBreak/>
        <w:t>de la naissance de l’enfant et détenait un passeport diplomatique ainsi que le titre de vice</w:t>
      </w:r>
      <w:r w:rsidRPr="00000DCC">
        <w:rPr>
          <w:rFonts w:cs="Times New Roman"/>
          <w:noProof/>
          <w:lang w:val="fr-CA"/>
        </w:rPr>
        <w:noBreakHyphen/>
        <w:t>consul : par. 44, 58, 61 et 63.</w:t>
      </w:r>
    </w:p>
    <w:p w14:paraId="12420CFE" w14:textId="55269449"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L’affaire </w:t>
      </w:r>
      <w:r w:rsidRPr="00000DCC">
        <w:rPr>
          <w:rFonts w:cs="Times New Roman"/>
          <w:i/>
          <w:noProof/>
          <w:lang w:val="fr-CA"/>
        </w:rPr>
        <w:t>Hitti</w:t>
      </w:r>
      <w:r w:rsidRPr="00000DCC">
        <w:rPr>
          <w:rFonts w:cs="Times New Roman"/>
          <w:noProof/>
          <w:lang w:val="fr-CA"/>
        </w:rPr>
        <w:t xml:space="preserve">, le troisième jugement invoqué dans le rapport de l’analyste, portait sur une décision de confisquer deux certificats de citoyenneté au motif que, suivant le par. 3(2) de la </w:t>
      </w:r>
      <w:r w:rsidRPr="00000DCC">
        <w:rPr>
          <w:rFonts w:cs="Times New Roman"/>
          <w:i/>
          <w:noProof/>
          <w:lang w:val="fr-CA"/>
        </w:rPr>
        <w:t>Loi sur la citoyenneté</w:t>
      </w:r>
      <w:r w:rsidRPr="00000DCC">
        <w:rPr>
          <w:rFonts w:cs="Times New Roman"/>
          <w:noProof/>
          <w:lang w:val="fr-CA"/>
        </w:rPr>
        <w:t xml:space="preserve">, leurs titulaires n’y avaient jamais eu droit. Dans cette affaire, le père des demandeurs, un citoyen libanais, avait travaillé comme agent d’information de la Ligue des États arabes à Ottawa. Puisque la Ligue ne jouissait d’aucun statut diplomatique à l’époque, le Canada a convenu, par courtoisie, de reconnaître aux agents du bureau d’information de la Ligue un statut diplomatique lié à leur État d’appartenance, à titre d’« attachés » de l’ambassade de leur pays respectif : </w:t>
      </w:r>
      <w:r w:rsidRPr="00000DCC">
        <w:rPr>
          <w:rFonts w:cs="Times New Roman"/>
          <w:i/>
          <w:noProof/>
          <w:lang w:val="fr-CA"/>
        </w:rPr>
        <w:t>Hitti</w:t>
      </w:r>
      <w:r w:rsidRPr="00000DCC">
        <w:rPr>
          <w:rFonts w:cs="Times New Roman"/>
          <w:noProof/>
          <w:lang w:val="fr-CA"/>
        </w:rPr>
        <w:t>, par. 6 et 9</w:t>
      </w:r>
      <w:r w:rsidR="00CC1A6C">
        <w:rPr>
          <w:rFonts w:cs="Times New Roman"/>
          <w:noProof/>
          <w:lang w:val="fr-CA"/>
        </w:rPr>
        <w:t xml:space="preserve"> (CanLII)</w:t>
      </w:r>
      <w:r w:rsidRPr="00000DCC">
        <w:rPr>
          <w:rFonts w:cs="Times New Roman"/>
          <w:noProof/>
          <w:lang w:val="fr-CA"/>
        </w:rPr>
        <w:t xml:space="preserve">; voir également la </w:t>
      </w:r>
      <w:r w:rsidRPr="00000DCC">
        <w:rPr>
          <w:rFonts w:cs="Times New Roman"/>
          <w:i/>
          <w:noProof/>
          <w:lang w:val="fr-CA"/>
        </w:rPr>
        <w:t>Loi d’interprétation</w:t>
      </w:r>
      <w:r w:rsidRPr="00000DCC">
        <w:rPr>
          <w:rFonts w:cs="Times New Roman"/>
          <w:noProof/>
          <w:lang w:val="fr-CA"/>
        </w:rPr>
        <w:t xml:space="preserve">, par. 35(1). Si M. Hitti avançait qu’en pratique, il n’avait pas rempli des tâches liées à la fonction de diplomate ni agi à titre de représentant de l’État libanais, il existait néanmoins un document révélant qu’il avait qualité de diplomate accrédité, qu’il bénéficiait du statut diplomatique et qu’il était assujetti à la </w:t>
      </w:r>
      <w:r w:rsidRPr="00000DCC">
        <w:rPr>
          <w:rFonts w:cs="Times New Roman"/>
          <w:i/>
          <w:iCs/>
          <w:noProof/>
          <w:lang w:val="fr-CA"/>
        </w:rPr>
        <w:t xml:space="preserve">CVRD </w:t>
      </w:r>
      <w:r w:rsidRPr="00000DCC">
        <w:rPr>
          <w:rFonts w:cs="Times New Roman"/>
          <w:noProof/>
          <w:lang w:val="fr-CA"/>
        </w:rPr>
        <w:t>durant la période au cours de laquelle étaient nés ses enfants : par. 5 et 8. La Cour fédérale a rejeté la prétention suivant laquelle M. Hitti aurait été tenu d’exercer des fonctions au service du Liban pour que ses enfants tombent sous le coup de l’al. 3(2)a), concluant qu’« il n’[était] pas pertinent de déterminer ce que faisait M. Hitti alors qu’il était au pays » : par. 32.</w:t>
      </w:r>
    </w:p>
    <w:p w14:paraId="0AF91FE7"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Il ressort des affaires </w:t>
      </w:r>
      <w:r w:rsidRPr="00000DCC">
        <w:rPr>
          <w:rFonts w:cs="Times New Roman"/>
          <w:i/>
          <w:noProof/>
          <w:lang w:val="fr-CA"/>
        </w:rPr>
        <w:t xml:space="preserve">Lee </w:t>
      </w:r>
      <w:r w:rsidRPr="00000DCC">
        <w:rPr>
          <w:rFonts w:cs="Times New Roman"/>
          <w:noProof/>
          <w:lang w:val="fr-CA"/>
        </w:rPr>
        <w:t xml:space="preserve">et </w:t>
      </w:r>
      <w:r w:rsidRPr="00000DCC">
        <w:rPr>
          <w:rFonts w:cs="Times New Roman"/>
          <w:i/>
          <w:noProof/>
          <w:lang w:val="fr-CA"/>
        </w:rPr>
        <w:t xml:space="preserve">Hitti </w:t>
      </w:r>
      <w:r w:rsidRPr="00000DCC">
        <w:rPr>
          <w:rFonts w:cs="Times New Roman"/>
          <w:noProof/>
          <w:lang w:val="fr-CA"/>
        </w:rPr>
        <w:t xml:space="preserve">que, pour l’application de l’al. 3(2)a), ce qui compte n’est pas de savoir si une personne se livre à des activités au service d’un État étranger alors qu’elle se trouve au Canada. Il s’agit plutôt de déterminer si la personne s’était vu accorder, à l’époque pertinente, des privilèges et immunités </w:t>
      </w:r>
      <w:r w:rsidRPr="00000DCC">
        <w:rPr>
          <w:rFonts w:cs="Times New Roman"/>
          <w:noProof/>
          <w:lang w:val="fr-CA"/>
        </w:rPr>
        <w:lastRenderedPageBreak/>
        <w:t xml:space="preserve">diplomatiques. Ainsi, outre le jugement rendu par la Cour fédérale dans l’affaire </w:t>
      </w:r>
      <w:r w:rsidRPr="00000DCC">
        <w:rPr>
          <w:rFonts w:cs="Times New Roman"/>
          <w:i/>
          <w:noProof/>
          <w:lang w:val="fr-CA"/>
        </w:rPr>
        <w:t>Al</w:t>
      </w:r>
      <w:r w:rsidRPr="00000DCC">
        <w:rPr>
          <w:rFonts w:cs="Times New Roman"/>
          <w:i/>
          <w:noProof/>
          <w:lang w:val="fr-CA"/>
        </w:rPr>
        <w:noBreakHyphen/>
        <w:t>Ghamdi</w:t>
      </w:r>
      <w:r w:rsidRPr="00000DCC">
        <w:rPr>
          <w:rFonts w:cs="Times New Roman"/>
          <w:noProof/>
          <w:lang w:val="fr-CA"/>
        </w:rPr>
        <w:t>, l’analyste se devait d’examiner deux autres affaires où l’application du par. 3(2) dépendait de la présence du statut diplomatique plutôt que des « fonctions [qu’exerçaient] concrètement » les parents de l’enfant. Dans ces circonstances, il s’agissait d’une omission importante de la part de l’analyste que d’ignorer le raisonnement de la Cour fédérale au moment de décider si les activités d’espionnage qu’avaient exercées M</w:t>
      </w:r>
      <w:r w:rsidRPr="00000DCC">
        <w:rPr>
          <w:rFonts w:cs="Times New Roman"/>
          <w:noProof/>
          <w:vertAlign w:val="superscript"/>
          <w:lang w:val="fr-CA"/>
        </w:rPr>
        <w:t>me</w:t>
      </w:r>
      <w:r w:rsidRPr="00000DCC">
        <w:rPr>
          <w:rFonts w:cs="Times New Roman"/>
          <w:noProof/>
          <w:lang w:val="fr-CA"/>
        </w:rPr>
        <w:t> Vavilova et M. Bezrukov étaient suffisantes pour permettre l’application de l’al. 3(2)a).</w:t>
      </w:r>
    </w:p>
    <w:p w14:paraId="12499A2B" w14:textId="4413A450" w:rsidR="00AE2373" w:rsidRPr="00000DCC" w:rsidRDefault="00873560" w:rsidP="00873560">
      <w:pPr>
        <w:pStyle w:val="Title4LevelTitre4Niveau"/>
        <w:numPr>
          <w:ilvl w:val="3"/>
          <w:numId w:val="8"/>
        </w:numPr>
        <w:tabs>
          <w:tab w:val="clear" w:pos="1152"/>
          <w:tab w:val="num" w:pos="900"/>
          <w:tab w:val="left" w:pos="1560"/>
        </w:tabs>
        <w:spacing w:before="0"/>
        <w:rPr>
          <w:rFonts w:cs="Times New Roman"/>
          <w:noProof/>
          <w:lang w:val="fr-CA"/>
        </w:rPr>
      </w:pPr>
      <w:r>
        <w:rPr>
          <w:rFonts w:cs="Times New Roman"/>
          <w:noProof/>
          <w:lang w:val="fr-CA"/>
        </w:rPr>
        <w:tab/>
      </w:r>
      <w:r w:rsidR="00AE2373" w:rsidRPr="00000DCC">
        <w:rPr>
          <w:rFonts w:cs="Times New Roman"/>
          <w:noProof/>
          <w:lang w:val="fr-CA"/>
        </w:rPr>
        <w:t>Les conséquences possibles de l’interprétation donnée par la greffière</w:t>
      </w:r>
    </w:p>
    <w:p w14:paraId="2CAC0E68"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Lorsqu’on lui a demandé les raisons pour lesquelles les enfants des personnes mentionnées à l’al. 3(2)a) n’auraient pas qualité de citoyens canadiens par naissance, une autre analyste impliquée dans le dossier de M. Vavilov (qui était aussi impliquée dans le dossier de son frère) a répondu ceci :</w:t>
      </w:r>
    </w:p>
    <w:p w14:paraId="13537E40" w14:textId="0ABE533D" w:rsidR="006078B2" w:rsidRDefault="00166B24" w:rsidP="00464AD9">
      <w:pPr>
        <w:pStyle w:val="BlockQuote"/>
        <w:tabs>
          <w:tab w:val="left" w:pos="1530"/>
        </w:tabs>
        <w:spacing w:after="240" w:line="240" w:lineRule="auto"/>
        <w:ind w:left="1170" w:right="0"/>
        <w:jc w:val="both"/>
        <w:rPr>
          <w:rFonts w:cs="Times New Roman"/>
          <w:noProof/>
          <w:lang w:val="fr-CA"/>
        </w:rPr>
      </w:pPr>
      <w:r>
        <w:rPr>
          <w:rFonts w:cs="Times New Roman"/>
          <w:smallCaps/>
          <w:noProof/>
          <w:lang w:val="fr-CA"/>
        </w:rPr>
        <w:tab/>
      </w:r>
      <w:r w:rsidR="00AE2373" w:rsidRPr="00000DCC">
        <w:rPr>
          <w:rFonts w:cs="Times New Roman"/>
          <w:smallCaps/>
          <w:noProof/>
          <w:lang w:val="fr-CA"/>
        </w:rPr>
        <w:t>[traduction]</w:t>
      </w:r>
      <w:r w:rsidR="00AE2373" w:rsidRPr="00000DCC">
        <w:rPr>
          <w:rFonts w:cs="Times New Roman"/>
          <w:noProof/>
          <w:lang w:val="fr-CA"/>
        </w:rPr>
        <w:t xml:space="preserve"> Eh bien, nous</w:t>
      </w:r>
      <w:r w:rsidR="00C217E4">
        <w:rPr>
          <w:rFonts w:cs="Times New Roman"/>
          <w:noProof/>
          <w:lang w:val="fr-CA"/>
        </w:rPr>
        <w:t xml:space="preserve"> appliquons d’habitude l’alinéa</w:t>
      </w:r>
      <w:r w:rsidR="00AE2373" w:rsidRPr="00000DCC">
        <w:rPr>
          <w:rFonts w:cs="Times New Roman"/>
          <w:noProof/>
          <w:lang w:val="fr-CA"/>
        </w:rPr>
        <w:t xml:space="preserve"> 3(2)a) dans le cas — vous avez raison, dans le cas des diplomates et parce qu’ils — car ils ne sont pas — ils ne sont pas assujettis </w:t>
      </w:r>
      <w:r w:rsidR="005B1AC2">
        <w:rPr>
          <w:rFonts w:cs="Times New Roman"/>
          <w:noProof/>
          <w:lang w:val="fr-CA"/>
        </w:rPr>
        <w:t>[</w:t>
      </w:r>
      <w:r w:rsidR="00AE2373" w:rsidRPr="00000DCC">
        <w:rPr>
          <w:rFonts w:cs="Times New Roman"/>
          <w:noProof/>
          <w:lang w:val="fr-CA"/>
        </w:rPr>
        <w:t>. . .</w:t>
      </w:r>
      <w:r w:rsidR="005B1AC2">
        <w:rPr>
          <w:rFonts w:cs="Times New Roman"/>
          <w:noProof/>
          <w:lang w:val="fr-CA"/>
        </w:rPr>
        <w:t>]</w:t>
      </w:r>
      <w:r w:rsidR="00AE2373" w:rsidRPr="00000DCC">
        <w:rPr>
          <w:rFonts w:cs="Times New Roman"/>
          <w:noProof/>
          <w:lang w:val="fr-CA"/>
        </w:rPr>
        <w:t xml:space="preserve"> aux lois canadiennes et à d’autres règles, alors c’est pourquoi leurs enfants n’obtiennent pas la citoyenneté au moment de leur naissance au Canada quand les parents s’y trouvaient et avaient ce statut. </w:t>
      </w:r>
    </w:p>
    <w:p w14:paraId="5FB17AC1" w14:textId="2C8148E4" w:rsidR="00AE2373" w:rsidRDefault="00166B24" w:rsidP="00464AD9">
      <w:pPr>
        <w:pStyle w:val="BlockQuote"/>
        <w:tabs>
          <w:tab w:val="left" w:pos="1530"/>
        </w:tabs>
        <w:spacing w:after="240" w:line="240" w:lineRule="auto"/>
        <w:ind w:left="1170" w:right="0"/>
        <w:jc w:val="both"/>
        <w:rPr>
          <w:rFonts w:cs="Times New Roman"/>
          <w:noProof/>
          <w:lang w:val="fr-CA"/>
        </w:rPr>
      </w:pPr>
      <w:r>
        <w:rPr>
          <w:rFonts w:cs="Times New Roman"/>
          <w:noProof/>
          <w:lang w:val="fr-CA"/>
        </w:rPr>
        <w:tab/>
      </w:r>
      <w:r w:rsidR="00AE2373" w:rsidRPr="00000DCC">
        <w:rPr>
          <w:rFonts w:cs="Times New Roman"/>
          <w:noProof/>
          <w:lang w:val="fr-CA"/>
        </w:rPr>
        <w:t>Or, la disposition de la Loi porte aussi sur les représentants à un autre titre ou au service au Canada d’un gouvernement étranger, ce qui permet d’ajouter d’autres personnes aux diplomates et c’est la façon dont nous avons interprété l’alinéa 3(2)a) dans ce cas précis, mais il n’y a pas de jurisprudence qui porte sur cette question</w:t>
      </w:r>
      <w:r w:rsidR="00A47AD6">
        <w:rPr>
          <w:rFonts w:cs="Times New Roman"/>
          <w:noProof/>
          <w:lang w:val="fr-CA"/>
        </w:rPr>
        <w:t xml:space="preserve"> </w:t>
      </w:r>
      <w:r w:rsidR="00AE2373" w:rsidRPr="00000DCC">
        <w:rPr>
          <w:rFonts w:cs="Times New Roman"/>
          <w:noProof/>
          <w:lang w:val="fr-CA"/>
        </w:rPr>
        <w:t>.</w:t>
      </w:r>
      <w:r w:rsidR="00A47AD6">
        <w:rPr>
          <w:rFonts w:cs="Times New Roman"/>
          <w:noProof/>
          <w:lang w:val="fr-CA"/>
        </w:rPr>
        <w:t> . .</w:t>
      </w:r>
    </w:p>
    <w:p w14:paraId="36BF2930" w14:textId="0611AD73" w:rsidR="00AE2373" w:rsidRPr="00000DCC" w:rsidRDefault="00AE2373" w:rsidP="000476C4">
      <w:pPr>
        <w:pStyle w:val="BlockQuote"/>
        <w:spacing w:after="720" w:line="240" w:lineRule="auto"/>
        <w:ind w:left="0"/>
        <w:jc w:val="both"/>
        <w:rPr>
          <w:rFonts w:cs="Times New Roman"/>
          <w:noProof/>
          <w:lang w:val="fr-CA"/>
        </w:rPr>
      </w:pPr>
      <w:r w:rsidRPr="00000DCC">
        <w:rPr>
          <w:rFonts w:cs="Times New Roman"/>
          <w:noProof/>
          <w:lang w:val="fr-CA"/>
        </w:rPr>
        <w:t xml:space="preserve">(d.i., </w:t>
      </w:r>
      <w:r w:rsidRPr="00000DCC">
        <w:rPr>
          <w:rFonts w:cs="Times New Roman"/>
          <w:lang w:val="fr-CA"/>
        </w:rPr>
        <w:t>transcription, p. 87</w:t>
      </w:r>
      <w:r w:rsidRPr="00000DCC">
        <w:rPr>
          <w:rFonts w:cs="Times New Roman"/>
          <w:lang w:val="fr-CA"/>
        </w:rPr>
        <w:noBreakHyphen/>
        <w:t>88)</w:t>
      </w:r>
    </w:p>
    <w:p w14:paraId="5E9BDF91" w14:textId="673BC310"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lastRenderedPageBreak/>
        <w:t xml:space="preserve">Autrement dit, les fonctionnaires chargées de ces dossiers savaient que l’al. 3(2)a) reposait sur le principe que les personnes faisant l’objet de l’exception ne sont « pas assujetti[e]s </w:t>
      </w:r>
      <w:r w:rsidR="007C4E28">
        <w:rPr>
          <w:rFonts w:cs="Times New Roman"/>
          <w:noProof/>
          <w:lang w:val="fr-CA"/>
        </w:rPr>
        <w:t>[</w:t>
      </w:r>
      <w:r w:rsidRPr="00000DCC">
        <w:rPr>
          <w:rFonts w:cs="Times New Roman"/>
          <w:noProof/>
          <w:lang w:val="fr-CA"/>
        </w:rPr>
        <w:t>. . .</w:t>
      </w:r>
      <w:r w:rsidR="007C4E28">
        <w:rPr>
          <w:rFonts w:cs="Times New Roman"/>
          <w:noProof/>
          <w:lang w:val="fr-CA"/>
        </w:rPr>
        <w:t>]</w:t>
      </w:r>
      <w:r w:rsidRPr="00000DCC">
        <w:rPr>
          <w:rFonts w:cs="Times New Roman"/>
          <w:noProof/>
          <w:lang w:val="fr-CA"/>
        </w:rPr>
        <w:t xml:space="preserve"> aux lois canadiennes ». Elles étaient également au fait du caractère inédit de l’interprétation adoptée dans le cas des frères Vavilov. Même si la greffière avait connaissance des éléments susmentionnés, elle n’a pas motivé cette interprétation élargie.</w:t>
      </w:r>
    </w:p>
    <w:p w14:paraId="1CDCA24F" w14:textId="577E8EC9"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En outre, rien n’établit que la greffière a tenu compte des conséquences que peut avoir le fait d’étendre son interprétation de l’al. 3(2)a) aux personnes à qui on n’a pas accordé de privilèges et d’immunités diplomatiques. La citoyenneté a été qualifiée de </w:t>
      </w:r>
      <w:r w:rsidRPr="00000DCC">
        <w:rPr>
          <w:rFonts w:cs="Times New Roman"/>
          <w:smallCaps/>
          <w:noProof/>
          <w:lang w:val="fr-CA"/>
        </w:rPr>
        <w:t>[traduction]</w:t>
      </w:r>
      <w:r w:rsidRPr="00000DCC">
        <w:rPr>
          <w:rFonts w:cs="Times New Roman"/>
          <w:noProof/>
          <w:lang w:val="fr-CA"/>
        </w:rPr>
        <w:t xml:space="preserve"> « droit d’avoir des droits » : le juge en chef de la Cour suprême des États</w:t>
      </w:r>
      <w:r w:rsidRPr="00000DCC">
        <w:rPr>
          <w:rFonts w:cs="Times New Roman"/>
          <w:noProof/>
          <w:lang w:val="fr-CA"/>
        </w:rPr>
        <w:noBreakHyphen/>
        <w:t xml:space="preserve">Unis, Earl Warren, cité dans A. Brouwer, </w:t>
      </w:r>
      <w:r w:rsidRPr="00000DCC">
        <w:rPr>
          <w:rFonts w:cs="Times New Roman"/>
          <w:i/>
          <w:noProof/>
          <w:lang w:val="fr-CA"/>
        </w:rPr>
        <w:t>Statelessness in Canadian Context</w:t>
      </w:r>
      <w:r w:rsidR="00AA4143">
        <w:rPr>
          <w:rFonts w:cs="Times New Roman"/>
          <w:i/>
          <w:noProof/>
          <w:lang w:val="fr-CA"/>
        </w:rPr>
        <w:t> </w:t>
      </w:r>
      <w:r w:rsidRPr="00000DCC">
        <w:rPr>
          <w:rFonts w:cs="Times New Roman"/>
          <w:i/>
          <w:noProof/>
          <w:lang w:val="fr-CA"/>
        </w:rPr>
        <w:t>: A Discussion Paper</w:t>
      </w:r>
      <w:r w:rsidRPr="00000DCC">
        <w:rPr>
          <w:rFonts w:cs="Times New Roman"/>
          <w:noProof/>
          <w:lang w:val="fr-CA"/>
        </w:rPr>
        <w:t xml:space="preserve"> (juillet 2003) (en ligne), p. 2. L’importance de la citoyenneté a été reconnue dans l’arrêt </w:t>
      </w:r>
      <w:r w:rsidRPr="00000DCC">
        <w:rPr>
          <w:rFonts w:cs="Times New Roman"/>
          <w:i/>
          <w:noProof/>
          <w:lang w:val="fr-CA"/>
        </w:rPr>
        <w:t>Benner c. Canada (Secrétaire d’État)</w:t>
      </w:r>
      <w:r w:rsidRPr="00000DCC">
        <w:rPr>
          <w:rFonts w:cs="Times New Roman"/>
          <w:noProof/>
          <w:lang w:val="fr-CA"/>
        </w:rPr>
        <w:t xml:space="preserve">, [1997] 1 R.C.S. 358, où le juge Iacobucci, s’exprimant au nom de notre Cour, a affirmé : « Je ne puis imaginer d’intérêt plus fondamental que la citoyenneté canadienne pour quiconque veut être membre à part entière de la société canadienne » : par. 68. Cette position a été reprise dans l’arrêt </w:t>
      </w:r>
      <w:r w:rsidRPr="00000DCC">
        <w:rPr>
          <w:rFonts w:cs="Times New Roman"/>
          <w:i/>
          <w:noProof/>
          <w:lang w:val="fr-CA"/>
        </w:rPr>
        <w:t>Canada (Ministre de la Citoyenneté et de l’Immigration) c. Tobiass</w:t>
      </w:r>
      <w:r w:rsidRPr="00000DCC">
        <w:rPr>
          <w:rFonts w:cs="Times New Roman"/>
          <w:noProof/>
          <w:lang w:val="fr-CA"/>
        </w:rPr>
        <w:t>, [1997] 3 R.C.S. 391, où notre Cour a conclu à l’unanimité que « [p]our certains, comme ceux qui pourraient devenir apatrides s’ils étaient privés de leur citoyenneté, elle peut être aussi précieuse que la liberté » : par. 108.</w:t>
      </w:r>
    </w:p>
    <w:p w14:paraId="574B6200" w14:textId="75726F15"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Il va probablement sans dire que les règles concernant la citoyenneté commandent une grande uniformité en matière d’interprétation pour se prémunir contre</w:t>
      </w:r>
      <w:r>
        <w:rPr>
          <w:rFonts w:cs="Times New Roman"/>
          <w:noProof/>
          <w:lang w:val="fr-CA"/>
        </w:rPr>
        <w:t xml:space="preserve"> </w:t>
      </w:r>
      <w:r w:rsidRPr="00000DCC">
        <w:rPr>
          <w:rFonts w:cs="Times New Roman"/>
          <w:noProof/>
          <w:lang w:val="fr-CA"/>
        </w:rPr>
        <w:t xml:space="preserve">la perception d’arbitraire et assurer le respect des obligations internationales du </w:t>
      </w:r>
      <w:r w:rsidRPr="00000DCC">
        <w:rPr>
          <w:rFonts w:cs="Times New Roman"/>
          <w:noProof/>
          <w:lang w:val="fr-CA"/>
        </w:rPr>
        <w:lastRenderedPageBreak/>
        <w:t>Canada. Nous ne pouvons donc que supposer que la greffière voulait que cette nouvelle interprétation de l’al. 3(2)a) s’applique à toute autre personne dont les parents, au moment de sa naissance au Canada, représentaient un gouvernement étranger ou étaient au service d’un gouvernement étranger, tout en ne s’étant pas vu accorder de privilèges et d’immunités diplomatiques. L’interprétation de la greffière ne saurait en fin de compte limiter l’application de l’al. 3(2)a) aux enfants d’espions; sa logique vaudrait tout autant dans plusieurs autres cas, dont ceux de l’enfant d’un travailleur non</w:t>
      </w:r>
      <w:r w:rsidRPr="00000DCC">
        <w:rPr>
          <w:rFonts w:cs="Times New Roman"/>
          <w:noProof/>
          <w:lang w:val="fr-CA"/>
        </w:rPr>
        <w:noBreakHyphen/>
        <w:t>citoyen au service d’une ambassade à titre de jardinier ou de cuisinier, ou de l’enfant de gens d’affaires qui représentent une personne morale appartenant à un gouvernement étranger. M</w:t>
      </w:r>
      <w:r w:rsidR="006D2BF0">
        <w:rPr>
          <w:rFonts w:cs="Times New Roman"/>
          <w:noProof/>
          <w:lang w:val="fr-CA"/>
        </w:rPr>
        <w:t>onsieur</w:t>
      </w:r>
      <w:r w:rsidRPr="00000DCC">
        <w:rPr>
          <w:rFonts w:cs="Times New Roman"/>
          <w:noProof/>
          <w:lang w:val="fr-CA"/>
        </w:rPr>
        <w:t xml:space="preserve"> Vavilov avait évoqué le besoin de donner aux dispositions telles que l’al. 3(2)a) une interprétation étroite puisqu’elles refusent ou risquent d’enlever des droits, en l’occurrence la citoyenneté acquise au titre du par. 3(1), qui autrement recevraient une interprétation large et libérale : </w:t>
      </w:r>
      <w:r w:rsidRPr="00000DCC">
        <w:rPr>
          <w:rFonts w:cs="Times New Roman"/>
          <w:i/>
          <w:noProof/>
          <w:lang w:val="fr-CA"/>
        </w:rPr>
        <w:t>Brossard (Ville) c. Québec (Commission des droits de la personne)</w:t>
      </w:r>
      <w:r w:rsidRPr="00000DCC">
        <w:rPr>
          <w:rFonts w:cs="Times New Roman"/>
          <w:noProof/>
          <w:lang w:val="fr-CA"/>
        </w:rPr>
        <w:t>, [1988] 2 R.C.S. 279, p. 307. Néanmoins, rien n’indique que la greffière a pris en compte les conséquences possiblement sévères de son interprétation pour une catégorie pourtant vaste de personnes, dont M. Vavilov. Rien n’indique non plus que, compte tenu de ces conséquences éventuelles,</w:t>
      </w:r>
      <w:r>
        <w:rPr>
          <w:rFonts w:cs="Times New Roman"/>
          <w:noProof/>
          <w:lang w:val="fr-CA"/>
        </w:rPr>
        <w:t xml:space="preserve"> la greffière s’est </w:t>
      </w:r>
      <w:r w:rsidRPr="00525899">
        <w:rPr>
          <w:rFonts w:cs="Times New Roman"/>
          <w:noProof/>
          <w:lang w:val="fr-CA"/>
        </w:rPr>
        <w:t>demandé</w:t>
      </w:r>
      <w:r w:rsidRPr="00000DCC">
        <w:rPr>
          <w:rFonts w:cs="Times New Roman"/>
          <w:noProof/>
          <w:lang w:val="fr-CA"/>
        </w:rPr>
        <w:t xml:space="preserve"> si le Parlement a</w:t>
      </w:r>
      <w:r>
        <w:rPr>
          <w:rFonts w:cs="Times New Roman"/>
          <w:noProof/>
          <w:lang w:val="fr-CA"/>
        </w:rPr>
        <w:t>urai</w:t>
      </w:r>
      <w:r w:rsidRPr="00000DCC">
        <w:rPr>
          <w:rFonts w:cs="Times New Roman"/>
          <w:noProof/>
          <w:lang w:val="fr-CA"/>
        </w:rPr>
        <w:t>t voulu que l’al. 3(2)a) s’applique de cette manière.</w:t>
      </w:r>
    </w:p>
    <w:p w14:paraId="01FB87C6" w14:textId="03E9C952"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Nous tenons d’ailleurs à souligner que, malgré la voie judiciaire différente suivie, la décision de la greffière dans la présente affaire a eu le même effet qu’une révocation de la citoyenneté — processus que les universitaires ont assimilé à une </w:t>
      </w:r>
      <w:r w:rsidRPr="002439C1">
        <w:rPr>
          <w:rFonts w:cs="Times New Roman"/>
          <w:noProof/>
          <w:lang w:val="fr-CA"/>
        </w:rPr>
        <w:t>[</w:t>
      </w:r>
      <w:r>
        <w:rPr>
          <w:rFonts w:cs="Times New Roman"/>
          <w:smallCaps/>
          <w:noProof/>
          <w:lang w:val="fr-CA"/>
        </w:rPr>
        <w:t>traduction</w:t>
      </w:r>
      <w:r w:rsidRPr="002439C1">
        <w:rPr>
          <w:rFonts w:cs="Times New Roman"/>
          <w:noProof/>
          <w:lang w:val="fr-CA"/>
        </w:rPr>
        <w:t>]</w:t>
      </w:r>
      <w:r>
        <w:rPr>
          <w:rFonts w:cs="Times New Roman"/>
          <w:noProof/>
          <w:lang w:val="fr-CA"/>
        </w:rPr>
        <w:t xml:space="preserve"> </w:t>
      </w:r>
      <w:r w:rsidRPr="00000DCC">
        <w:rPr>
          <w:rFonts w:cs="Times New Roman"/>
          <w:noProof/>
          <w:lang w:val="fr-CA"/>
        </w:rPr>
        <w:t>« forme de</w:t>
      </w:r>
      <w:r>
        <w:rPr>
          <w:rFonts w:cs="Times New Roman"/>
          <w:noProof/>
          <w:lang w:val="fr-CA"/>
        </w:rPr>
        <w:t xml:space="preserve"> </w:t>
      </w:r>
      <w:r w:rsidRPr="00000DCC">
        <w:rPr>
          <w:rFonts w:cs="Times New Roman"/>
          <w:noProof/>
          <w:lang w:val="fr-CA"/>
        </w:rPr>
        <w:t xml:space="preserve">“mort politique” » — privant M. Vavilov de son droit de vote et de son droit d’entrer au Canada et d’y demeurer : voir A. Macklin, « Citizenship Revocation, the Privilege to Have Rights and the Production of the Alien » (2014), 40 </w:t>
      </w:r>
      <w:r w:rsidRPr="00000DCC">
        <w:rPr>
          <w:rFonts w:cs="Times New Roman"/>
          <w:i/>
          <w:noProof/>
          <w:lang w:val="fr-CA"/>
        </w:rPr>
        <w:lastRenderedPageBreak/>
        <w:t xml:space="preserve">Queen’s L.J. </w:t>
      </w:r>
      <w:r w:rsidRPr="00000DCC">
        <w:rPr>
          <w:rFonts w:cs="Times New Roman"/>
          <w:noProof/>
          <w:lang w:val="fr-CA"/>
        </w:rPr>
        <w:t>1, p. 7</w:t>
      </w:r>
      <w:r w:rsidRPr="00000DCC">
        <w:rPr>
          <w:rFonts w:cs="Times New Roman"/>
          <w:noProof/>
          <w:lang w:val="fr-CA"/>
        </w:rPr>
        <w:noBreakHyphen/>
        <w:t xml:space="preserve">8. Bien que la question se pose à savoir si la greffière avait le pouvoir de modifier unilatéralement la position du Canada sur la citoyenneté de M. Vavilov, et tout en étant conscients que le lien entre l’annulation d’un certificat de citoyenneté en application de l’art. 26 </w:t>
      </w:r>
      <w:r w:rsidR="009A2C42">
        <w:rPr>
          <w:rFonts w:cs="Times New Roman"/>
          <w:noProof/>
          <w:lang w:val="fr-CA"/>
        </w:rPr>
        <w:t>du</w:t>
      </w:r>
      <w:r w:rsidRPr="00000DCC">
        <w:rPr>
          <w:rFonts w:cs="Times New Roman"/>
          <w:noProof/>
          <w:lang w:val="fr-CA"/>
        </w:rPr>
        <w:t xml:space="preserve"> </w:t>
      </w:r>
      <w:r w:rsidRPr="00000DCC">
        <w:rPr>
          <w:rFonts w:cs="Times New Roman"/>
          <w:i/>
          <w:noProof/>
          <w:lang w:val="fr-CA"/>
        </w:rPr>
        <w:t xml:space="preserve">Règlement sur la citoyenneté </w:t>
      </w:r>
      <w:r w:rsidRPr="00000DCC">
        <w:rPr>
          <w:rFonts w:cs="Times New Roman"/>
          <w:noProof/>
          <w:lang w:val="fr-CA"/>
        </w:rPr>
        <w:t xml:space="preserve">et la révocation de la citoyenneté d’une personne (au titre de l’art. 10 </w:t>
      </w:r>
      <w:r w:rsidR="009A2C42">
        <w:rPr>
          <w:rFonts w:cs="Times New Roman"/>
          <w:noProof/>
          <w:lang w:val="fr-CA"/>
        </w:rPr>
        <w:t xml:space="preserve">de la </w:t>
      </w:r>
      <w:r w:rsidR="009A2C42">
        <w:rPr>
          <w:rFonts w:cs="Times New Roman"/>
          <w:i/>
          <w:noProof/>
          <w:lang w:val="fr-CA"/>
        </w:rPr>
        <w:t xml:space="preserve">Loi </w:t>
      </w:r>
      <w:r w:rsidRPr="00000DCC">
        <w:rPr>
          <w:rFonts w:cs="Times New Roman"/>
          <w:i/>
          <w:noProof/>
          <w:lang w:val="fr-CA"/>
        </w:rPr>
        <w:t>sur la citoyenneté</w:t>
      </w:r>
      <w:r w:rsidRPr="00000DCC">
        <w:rPr>
          <w:rFonts w:cs="Times New Roman"/>
          <w:noProof/>
          <w:lang w:val="fr-CA"/>
        </w:rPr>
        <w:t>) n’est pas clair, nous attendrons une autre occasion pour examiner cette question que les parties n’ont ni soulevée ni débattue.</w:t>
      </w:r>
    </w:p>
    <w:p w14:paraId="29946E61" w14:textId="77777777" w:rsidR="00AE2373" w:rsidRPr="00000DCC" w:rsidRDefault="00AE2373" w:rsidP="00AE2373">
      <w:pPr>
        <w:pStyle w:val="Title2LevelTitre2Niveau"/>
        <w:numPr>
          <w:ilvl w:val="1"/>
          <w:numId w:val="8"/>
        </w:numPr>
        <w:spacing w:before="0"/>
        <w:ind w:left="0" w:firstLine="0"/>
        <w:jc w:val="left"/>
        <w:rPr>
          <w:rFonts w:cs="Times New Roman"/>
          <w:noProof/>
          <w:lang w:val="fr-CA"/>
        </w:rPr>
      </w:pPr>
      <w:r w:rsidRPr="00000DCC">
        <w:rPr>
          <w:rFonts w:cs="Times New Roman"/>
          <w:noProof/>
          <w:lang w:val="fr-CA"/>
        </w:rPr>
        <w:t>Conclusion</w:t>
      </w:r>
    </w:p>
    <w:p w14:paraId="3E5B429A"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De multiples contraintes juridiques et factuelles peuvent influer sur une décision administrative donnée, et elles peuvent interagir les unes avec les autres</w:t>
      </w:r>
      <w:r w:rsidRPr="00000DCC">
        <w:rPr>
          <w:rFonts w:cs="Times New Roman"/>
          <w:szCs w:val="24"/>
          <w:lang w:val="fr-CA"/>
        </w:rPr>
        <w:t xml:space="preserve">. Parfois, l’omission de justifier la décision en regard d’une des contraintes pertinentes peut suffire à amener la cour de révision à perdre confiance dans le caractère raisonnable de la décision. L’article </w:t>
      </w:r>
      <w:r w:rsidRPr="00000DCC">
        <w:rPr>
          <w:rFonts w:cs="Times New Roman"/>
          <w:noProof/>
          <w:lang w:val="fr-CA"/>
        </w:rPr>
        <w:t xml:space="preserve">3 de la </w:t>
      </w:r>
      <w:r w:rsidRPr="00000DCC">
        <w:rPr>
          <w:rFonts w:cs="Times New Roman"/>
          <w:i/>
          <w:noProof/>
          <w:lang w:val="fr-CA"/>
        </w:rPr>
        <w:t>Loi sur la citoyenneté</w:t>
      </w:r>
      <w:r w:rsidRPr="00000DCC">
        <w:rPr>
          <w:rFonts w:cs="Times New Roman"/>
          <w:noProof/>
          <w:lang w:val="fr-CA"/>
        </w:rPr>
        <w:t xml:space="preserve"> pris dans son ensemble, les autres lois et traités internationaux qui éclairent l’objet de cette disposition, l</w:t>
      </w:r>
      <w:r w:rsidRPr="00000DCC">
        <w:rPr>
          <w:rFonts w:eastAsia="Times New Roman" w:cs="Times New Roman"/>
          <w:noProof/>
          <w:szCs w:val="24"/>
          <w:lang w:val="fr-CA" w:eastAsia="en-CA"/>
        </w:rPr>
        <w:t xml:space="preserve">a </w:t>
      </w:r>
      <w:r w:rsidRPr="00000DCC">
        <w:rPr>
          <w:rFonts w:cs="Times New Roman"/>
          <w:noProof/>
          <w:lang w:val="fr-CA"/>
        </w:rPr>
        <w:t>jurisprudence citée dans le rapport de l’analyste et les conséquences possibles de la décision de la greffière mènent inéluctablement à la conclusion que le Parlement ne voulait pas que l’al. 3(2)a) s’applique aux enfants des personnes à qui on n’a pas accordé de privilèges et d’immunités diplomatiques. Le défaut de la greffière de justifier sa décision à l’égard de ces contraintes rend son interprétation déraisonnable. Nous sommes par conséquent d’avis de confirmer l’arrêt de la Cour d’appel fédérale qui a cassé la décision de la greffière.</w:t>
      </w:r>
    </w:p>
    <w:p w14:paraId="4E16E3BD" w14:textId="6C76CC5B"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 xml:space="preserve">Tel que nous l’avons mentionné, nous sommes d’avis d’exercer notre pouvoir discrétionnaire de ne pas renvoyer l’affaire à la greffière pour qu’elle rende </w:t>
      </w:r>
      <w:r w:rsidRPr="00000DCC">
        <w:rPr>
          <w:rFonts w:cs="Times New Roman"/>
          <w:noProof/>
          <w:lang w:val="fr-CA"/>
        </w:rPr>
        <w:lastRenderedPageBreak/>
        <w:t>une nouvelle décision. Fa</w:t>
      </w:r>
      <w:r w:rsidR="0018328E">
        <w:rPr>
          <w:rFonts w:cs="Times New Roman"/>
          <w:noProof/>
          <w:lang w:val="fr-CA"/>
        </w:rPr>
        <w:t>it essentiel à nos yeux, M. Vav</w:t>
      </w:r>
      <w:r w:rsidRPr="00000DCC">
        <w:rPr>
          <w:rFonts w:cs="Times New Roman"/>
          <w:noProof/>
          <w:lang w:val="fr-CA"/>
        </w:rPr>
        <w:t xml:space="preserve">ilov a soulevé explicitement toutes ces questions devant la greffière, et cette dernière a eu la possibilité d’en tenir compte mais elle ne l’a pas fait. Elle n’a justifié d’aucune manière l’interprétation qu’elle a retenue si ce n’est que pour procéder à un examen superficiel de la disposition en cause et de faire une remarque sur une partie de l’historique législatif de la disposition. En revanche, un très grand nombre de sources — notamment </w:t>
      </w:r>
      <w:r>
        <w:rPr>
          <w:rFonts w:cs="Times New Roman"/>
          <w:noProof/>
          <w:lang w:val="fr-CA"/>
        </w:rPr>
        <w:t>le débat</w:t>
      </w:r>
      <w:r w:rsidRPr="00000DCC">
        <w:rPr>
          <w:rFonts w:cs="Times New Roman"/>
          <w:noProof/>
          <w:lang w:val="fr-CA"/>
        </w:rPr>
        <w:t xml:space="preserve"> </w:t>
      </w:r>
      <w:r>
        <w:rPr>
          <w:rFonts w:cs="Times New Roman"/>
          <w:noProof/>
          <w:lang w:val="fr-CA"/>
        </w:rPr>
        <w:t>parlementaire</w:t>
      </w:r>
      <w:r w:rsidRPr="00000DCC">
        <w:rPr>
          <w:rFonts w:cs="Times New Roman"/>
          <w:noProof/>
          <w:lang w:val="fr-CA"/>
        </w:rPr>
        <w:t xml:space="preserve">, des principes reconnus de droit international, un courant jurisprudentiel établi et le libellé même de la disposition — étayent la conclusion suivant laquelle le Parlement ne voulait pas que l’al. 3(2)a) de la </w:t>
      </w:r>
      <w:r w:rsidRPr="00000DCC">
        <w:rPr>
          <w:rFonts w:cs="Times New Roman"/>
          <w:i/>
          <w:noProof/>
          <w:lang w:val="fr-CA"/>
        </w:rPr>
        <w:t>Loi sur la citoyenneté</w:t>
      </w:r>
      <w:r w:rsidRPr="00000DCC">
        <w:rPr>
          <w:rFonts w:cs="Times New Roman"/>
          <w:noProof/>
          <w:lang w:val="fr-CA"/>
        </w:rPr>
        <w:t xml:space="preserve"> s’applique aux enfants de personnes qui </w:t>
      </w:r>
      <w:r>
        <w:rPr>
          <w:rFonts w:cs="Times New Roman"/>
          <w:noProof/>
          <w:lang w:val="fr-CA"/>
        </w:rPr>
        <w:t>n</w:t>
      </w:r>
      <w:r w:rsidRPr="00000DCC">
        <w:rPr>
          <w:rFonts w:cs="Times New Roman"/>
          <w:noProof/>
          <w:lang w:val="fr-CA"/>
        </w:rPr>
        <w:t xml:space="preserve">e </w:t>
      </w:r>
      <w:r>
        <w:rPr>
          <w:rFonts w:cs="Times New Roman"/>
          <w:noProof/>
          <w:lang w:val="fr-CA"/>
        </w:rPr>
        <w:t xml:space="preserve">se </w:t>
      </w:r>
      <w:r w:rsidRPr="00000DCC">
        <w:rPr>
          <w:rFonts w:cs="Times New Roman"/>
          <w:noProof/>
          <w:lang w:val="fr-CA"/>
        </w:rPr>
        <w:t xml:space="preserve">sont </w:t>
      </w:r>
      <w:r>
        <w:rPr>
          <w:rFonts w:cs="Times New Roman"/>
          <w:noProof/>
          <w:lang w:val="fr-CA"/>
        </w:rPr>
        <w:t xml:space="preserve">pas </w:t>
      </w:r>
      <w:r w:rsidRPr="00000DCC">
        <w:rPr>
          <w:rFonts w:cs="Times New Roman"/>
          <w:noProof/>
          <w:lang w:val="fr-CA"/>
        </w:rPr>
        <w:t xml:space="preserve">vu accorder des privilèges et immunités diplomatiques. Cela établi, nous tenons à préciser que nous n’entendons pas donner une interprétation définitive de l’al. 3(2)a) à tous les égards, ni exclure la possibilité que les décideurs administratifs proposent plusieurs interprétations raisonnables d’autres aspects de la disposition. Autrement dit, nous ne proposons pas qu’il existe nécessairement « une seule interprétation raisonnable » de la disposition dans son ensemble. Par contre, nous convenons avec les juges majoritaires de la Cour d’appel que la greffière </w:t>
      </w:r>
      <w:r w:rsidRPr="00000DCC">
        <w:rPr>
          <w:rFonts w:cs="Times New Roman"/>
          <w:i/>
          <w:noProof/>
          <w:lang w:val="fr-CA"/>
        </w:rPr>
        <w:t>ne pouvait</w:t>
      </w:r>
      <w:r w:rsidRPr="00000DCC">
        <w:rPr>
          <w:rFonts w:cs="Times New Roman"/>
          <w:noProof/>
          <w:lang w:val="fr-CA"/>
        </w:rPr>
        <w:t xml:space="preserve"> raisonnablement interpréter l’al. 3(2)a) comme s’appliquant à un enfant dont les parents, au moment de sa naissance, </w:t>
      </w:r>
      <w:r>
        <w:rPr>
          <w:rFonts w:cs="Times New Roman"/>
          <w:noProof/>
          <w:lang w:val="fr-CA"/>
        </w:rPr>
        <w:t xml:space="preserve">ne </w:t>
      </w:r>
      <w:r w:rsidRPr="00000DCC">
        <w:rPr>
          <w:rFonts w:cs="Times New Roman"/>
          <w:noProof/>
          <w:lang w:val="fr-CA"/>
        </w:rPr>
        <w:t xml:space="preserve">s’étaient </w:t>
      </w:r>
      <w:r>
        <w:rPr>
          <w:rFonts w:cs="Times New Roman"/>
          <w:noProof/>
          <w:lang w:val="fr-CA"/>
        </w:rPr>
        <w:t xml:space="preserve">pas </w:t>
      </w:r>
      <w:r w:rsidRPr="00000DCC">
        <w:rPr>
          <w:rFonts w:cs="Times New Roman"/>
          <w:noProof/>
          <w:lang w:val="fr-CA"/>
        </w:rPr>
        <w:t>vu accorder des privilèges et immunités diplomatiques.</w:t>
      </w:r>
    </w:p>
    <w:p w14:paraId="5F2BA2AC" w14:textId="77777777" w:rsidR="00AE2373" w:rsidRPr="00000DCC" w:rsidRDefault="00AE2373" w:rsidP="00AE2373">
      <w:pPr>
        <w:pStyle w:val="ParaNoNdepar-AltN"/>
        <w:tabs>
          <w:tab w:val="clear" w:pos="1166"/>
          <w:tab w:val="clear" w:pos="1422"/>
          <w:tab w:val="num" w:pos="1170"/>
        </w:tabs>
        <w:spacing w:before="0"/>
        <w:rPr>
          <w:rFonts w:cs="Times New Roman"/>
          <w:noProof/>
          <w:lang w:val="fr-CA"/>
        </w:rPr>
      </w:pPr>
      <w:r w:rsidRPr="00000DCC">
        <w:rPr>
          <w:rFonts w:cs="Times New Roman"/>
          <w:noProof/>
          <w:lang w:val="fr-CA"/>
        </w:rPr>
        <w:t>Puisque nul ne conteste que M</w:t>
      </w:r>
      <w:r w:rsidRPr="00000DCC">
        <w:rPr>
          <w:rFonts w:cs="Times New Roman"/>
          <w:noProof/>
          <w:vertAlign w:val="superscript"/>
          <w:lang w:val="fr-CA"/>
        </w:rPr>
        <w:t>me</w:t>
      </w:r>
      <w:r w:rsidRPr="00000DCC">
        <w:rPr>
          <w:rFonts w:cs="Times New Roman"/>
          <w:noProof/>
          <w:lang w:val="fr-CA"/>
        </w:rPr>
        <w:t xml:space="preserve"> Vavilova et M. Bezrukov, à titre d’espions infiltrés, n’avaient pas obtenu de tels privilèges, il ne servirait à rien en l’espèce de renvoyer l’affaire à la greffière. En tant que personne née au Canada après le 14 février 1977, M. Vavilov dispose d’un statut régi uniquement par la règle générale énoncée à l’al. 3(1)a) de la </w:t>
      </w:r>
      <w:r w:rsidRPr="00000DCC">
        <w:rPr>
          <w:rFonts w:cs="Times New Roman"/>
          <w:i/>
          <w:noProof/>
          <w:lang w:val="fr-CA"/>
        </w:rPr>
        <w:t>Loi sur la citoyenneté</w:t>
      </w:r>
      <w:r w:rsidRPr="00000DCC">
        <w:rPr>
          <w:rFonts w:cs="Times New Roman"/>
          <w:noProof/>
          <w:lang w:val="fr-CA"/>
        </w:rPr>
        <w:t>. Il est citoyen canadien.</w:t>
      </w:r>
    </w:p>
    <w:p w14:paraId="280C9899" w14:textId="77777777" w:rsidR="00AE2373" w:rsidRPr="00000DCC" w:rsidRDefault="00AE2373" w:rsidP="00AE2373">
      <w:pPr>
        <w:pStyle w:val="Title2LevelTitre2Niveau"/>
        <w:numPr>
          <w:ilvl w:val="1"/>
          <w:numId w:val="8"/>
        </w:numPr>
        <w:spacing w:before="0"/>
        <w:rPr>
          <w:rFonts w:cs="Times New Roman"/>
          <w:noProof/>
          <w:lang w:val="fr-CA"/>
        </w:rPr>
      </w:pPr>
      <w:r w:rsidRPr="00000DCC">
        <w:rPr>
          <w:rFonts w:cs="Times New Roman"/>
          <w:noProof/>
          <w:lang w:val="fr-CA"/>
        </w:rPr>
        <w:lastRenderedPageBreak/>
        <w:t>Dispositif</w:t>
      </w:r>
    </w:p>
    <w:p w14:paraId="6DAE41C8" w14:textId="4319BDD4" w:rsidR="00AE2373" w:rsidRPr="00B52E51" w:rsidRDefault="00AE2373" w:rsidP="00AE2373">
      <w:pPr>
        <w:pStyle w:val="ParaNoNdepar-AltN"/>
        <w:tabs>
          <w:tab w:val="clear" w:pos="1166"/>
          <w:tab w:val="clear" w:pos="1422"/>
          <w:tab w:val="num" w:pos="1170"/>
        </w:tabs>
        <w:spacing w:before="0"/>
        <w:rPr>
          <w:rStyle w:val="SCCCounselPartyRoleChar"/>
          <w:rFonts w:cs="Times New Roman"/>
          <w:noProof/>
          <w:lang w:val="fr-CA"/>
        </w:rPr>
      </w:pPr>
      <w:r w:rsidRPr="00000DCC">
        <w:rPr>
          <w:rFonts w:cs="Times New Roman"/>
          <w:noProof/>
          <w:lang w:val="fr-CA"/>
        </w:rPr>
        <w:t>Le pourvoi est rejeté avec dépens devant notre Cour et les juridictions inférieures en faveur de M. Vavilov.</w:t>
      </w:r>
    </w:p>
    <w:p w14:paraId="493800EF" w14:textId="61BB28FD" w:rsidR="00AE2373" w:rsidRPr="006B5BF6" w:rsidRDefault="00464AD9" w:rsidP="00464AD9">
      <w:pPr>
        <w:tabs>
          <w:tab w:val="left" w:pos="1170"/>
        </w:tabs>
        <w:spacing w:after="720"/>
        <w:rPr>
          <w:lang w:val="fr-CA"/>
        </w:rPr>
      </w:pPr>
      <w:r>
        <w:rPr>
          <w:rFonts w:eastAsia="Calibri"/>
          <w:szCs w:val="24"/>
          <w:lang w:val="fr-CA"/>
        </w:rPr>
        <w:tab/>
      </w:r>
      <w:r w:rsidR="00AE2373" w:rsidRPr="009D1FA7">
        <w:rPr>
          <w:rFonts w:eastAsia="Calibri"/>
          <w:szCs w:val="24"/>
          <w:lang w:val="fr-CA"/>
        </w:rPr>
        <w:t>Version française des motifs rendus par</w:t>
      </w:r>
    </w:p>
    <w:p w14:paraId="0488A220" w14:textId="0BFFAAE6" w:rsidR="00AE2373" w:rsidRPr="006B5BF6" w:rsidRDefault="00BD0A20" w:rsidP="00AE2373">
      <w:pPr>
        <w:pStyle w:val="ParaNoNdepar-AltN"/>
        <w:tabs>
          <w:tab w:val="clear" w:pos="1166"/>
          <w:tab w:val="clear" w:pos="1422"/>
          <w:tab w:val="num" w:pos="1152"/>
        </w:tabs>
        <w:rPr>
          <w:rFonts w:cs="Times New Roman"/>
          <w:lang w:val="fr-CA"/>
        </w:rPr>
      </w:pPr>
      <w:r w:rsidRPr="00BD0A20">
        <w:rPr>
          <w:smallCaps/>
          <w:lang w:val="fr-CA"/>
        </w:rPr>
        <w:t>L</w:t>
      </w:r>
      <w:r w:rsidR="003F5347">
        <w:rPr>
          <w:smallCaps/>
          <w:lang w:val="fr-CA"/>
        </w:rPr>
        <w:t>es juges A</w:t>
      </w:r>
      <w:r w:rsidRPr="00BD0A20">
        <w:rPr>
          <w:smallCaps/>
          <w:lang w:val="fr-CA"/>
        </w:rPr>
        <w:t xml:space="preserve">bella et </w:t>
      </w:r>
      <w:r w:rsidR="003F5347">
        <w:rPr>
          <w:smallCaps/>
          <w:lang w:val="fr-CA"/>
        </w:rPr>
        <w:t>K</w:t>
      </w:r>
      <w:r w:rsidRPr="00BD0A20">
        <w:rPr>
          <w:smallCaps/>
          <w:lang w:val="fr-CA"/>
        </w:rPr>
        <w:t>arakatsanis</w:t>
      </w:r>
      <w:r>
        <w:rPr>
          <w:lang w:val="fr-CA"/>
        </w:rPr>
        <w:t xml:space="preserve"> </w:t>
      </w:r>
      <w:r w:rsidRPr="006B5BF6">
        <w:rPr>
          <w:lang w:val="fr-CA"/>
        </w:rPr>
        <w:t>—</w:t>
      </w:r>
      <w:r>
        <w:rPr>
          <w:lang w:val="fr-CA"/>
        </w:rPr>
        <w:t xml:space="preserve"> </w:t>
      </w:r>
      <w:r w:rsidR="00AE2373" w:rsidRPr="006B5BF6">
        <w:rPr>
          <w:rFonts w:cs="Times New Roman"/>
          <w:lang w:val="fr-CA"/>
        </w:rPr>
        <w:t xml:space="preserve">Il y a </w:t>
      </w:r>
      <w:r w:rsidR="007D61D5">
        <w:rPr>
          <w:rFonts w:cs="Times New Roman"/>
          <w:lang w:val="fr-CA"/>
        </w:rPr>
        <w:t>40</w:t>
      </w:r>
      <w:r w:rsidR="00AE2373" w:rsidRPr="006B5BF6">
        <w:rPr>
          <w:rFonts w:cs="Times New Roman"/>
          <w:lang w:val="fr-CA"/>
        </w:rPr>
        <w:t xml:space="preserve"> ans, dans l</w:t>
      </w:r>
      <w:r w:rsidR="00AE2373">
        <w:rPr>
          <w:rFonts w:cs="Times New Roman"/>
          <w:lang w:val="fr-CA"/>
        </w:rPr>
        <w:t>’</w:t>
      </w:r>
      <w:r w:rsidR="00AE2373" w:rsidRPr="006B5BF6">
        <w:rPr>
          <w:rFonts w:cs="Times New Roman"/>
          <w:lang w:val="fr-CA"/>
        </w:rPr>
        <w:t xml:space="preserve">arrêt </w:t>
      </w:r>
      <w:r w:rsidR="00F0637D">
        <w:rPr>
          <w:rFonts w:cs="Times New Roman"/>
          <w:i/>
          <w:lang w:val="fr-CA"/>
        </w:rPr>
        <w:t>Syndicat canadien de la Fonction publique</w:t>
      </w:r>
      <w:r w:rsidR="00AE2373" w:rsidRPr="006B5BF6">
        <w:rPr>
          <w:rFonts w:cs="Times New Roman"/>
          <w:i/>
          <w:lang w:val="fr-CA"/>
        </w:rPr>
        <w:t>, section locale 963 c. Société des alcools du Nouveau</w:t>
      </w:r>
      <w:r w:rsidR="00AE2373" w:rsidRPr="006B5BF6">
        <w:rPr>
          <w:rFonts w:cs="Times New Roman"/>
          <w:i/>
          <w:lang w:val="fr-CA"/>
        </w:rPr>
        <w:noBreakHyphen/>
        <w:t>Brunswick</w:t>
      </w:r>
      <w:r w:rsidR="00AE2373" w:rsidRPr="006B5BF6">
        <w:rPr>
          <w:rFonts w:cs="Times New Roman"/>
          <w:lang w:val="fr-CA"/>
        </w:rPr>
        <w:t xml:space="preserve">, </w:t>
      </w:r>
      <w:r w:rsidR="00AE2373" w:rsidRPr="006B5BF6">
        <w:rPr>
          <w:rFonts w:cs="Times New Roman"/>
          <w:lang w:val="fr-CA" w:bidi="en-US"/>
        </w:rPr>
        <w:t xml:space="preserve">[1979] 2 R.C.S. 227, </w:t>
      </w:r>
      <w:r w:rsidR="00AE2373" w:rsidRPr="006B5BF6">
        <w:rPr>
          <w:rFonts w:cs="Times New Roman"/>
          <w:lang w:val="fr-CA"/>
        </w:rPr>
        <w:t>notre Cour s</w:t>
      </w:r>
      <w:r w:rsidR="00AE2373">
        <w:rPr>
          <w:rFonts w:cs="Times New Roman"/>
          <w:lang w:val="fr-CA"/>
        </w:rPr>
        <w:t>’</w:t>
      </w:r>
      <w:r w:rsidR="00AE2373" w:rsidRPr="006B5BF6">
        <w:rPr>
          <w:rFonts w:cs="Times New Roman"/>
          <w:lang w:val="fr-CA"/>
        </w:rPr>
        <w:t>est engagée dans un processus visant à reconnaître le rôle unique et précieux que jouent les décideurs administratifs dans l</w:t>
      </w:r>
      <w:r w:rsidR="00AE2373">
        <w:rPr>
          <w:rFonts w:cs="Times New Roman"/>
          <w:lang w:val="fr-CA"/>
        </w:rPr>
        <w:t>’</w:t>
      </w:r>
      <w:r w:rsidR="00AE2373" w:rsidRPr="006B5BF6">
        <w:rPr>
          <w:rFonts w:cs="Times New Roman"/>
          <w:lang w:val="fr-CA"/>
        </w:rPr>
        <w:t>ordre juridique canadien. Rompant avec les conceptions judiciarisées qui avaient jusqu</w:t>
      </w:r>
      <w:r w:rsidR="00AE2373">
        <w:rPr>
          <w:rFonts w:cs="Times New Roman"/>
          <w:lang w:val="fr-CA"/>
        </w:rPr>
        <w:t>’</w:t>
      </w:r>
      <w:r w:rsidR="00AE2373" w:rsidRPr="006B5BF6">
        <w:rPr>
          <w:rFonts w:cs="Times New Roman"/>
          <w:lang w:val="fr-CA"/>
        </w:rPr>
        <w:t>alors la faveur, la Cour a incité les juges à faire preuve de déférence lorsque des décideurs administratifs spécialisés proposaient des réponses raisonnables à des questions de droit relevant de leur mandat. S</w:t>
      </w:r>
      <w:r w:rsidR="00AE2373">
        <w:rPr>
          <w:rFonts w:cs="Times New Roman"/>
          <w:lang w:val="fr-CA"/>
        </w:rPr>
        <w:t>’</w:t>
      </w:r>
      <w:r w:rsidR="00AE2373" w:rsidRPr="006B5BF6">
        <w:rPr>
          <w:rFonts w:cs="Times New Roman"/>
          <w:lang w:val="fr-CA"/>
        </w:rPr>
        <w:t>appuyant sur cette vision plus mûre du droit administratif, notre Cour a, dans ses décisions subséquentes, cherché à recourir concrètement au principe de la déférence et à expliquer sa relation avec les principes démocratiques fondamentaux. Les présents pourvois nous offraient l</w:t>
      </w:r>
      <w:r w:rsidR="00AE2373">
        <w:rPr>
          <w:rFonts w:cs="Times New Roman"/>
          <w:lang w:val="fr-CA"/>
        </w:rPr>
        <w:t>’</w:t>
      </w:r>
      <w:r w:rsidR="00AE2373" w:rsidRPr="006B5BF6">
        <w:rPr>
          <w:rFonts w:cs="Times New Roman"/>
          <w:lang w:val="fr-CA"/>
        </w:rPr>
        <w:t>occasion de clarifier et d</w:t>
      </w:r>
      <w:r w:rsidR="00AE2373">
        <w:rPr>
          <w:rFonts w:cs="Times New Roman"/>
          <w:lang w:val="fr-CA"/>
        </w:rPr>
        <w:t>’</w:t>
      </w:r>
      <w:r w:rsidR="00AE2373" w:rsidRPr="006B5BF6">
        <w:rPr>
          <w:rFonts w:cs="Times New Roman"/>
          <w:lang w:val="fr-CA"/>
        </w:rPr>
        <w:t>affiner notre jurisprudence en droit administratif, tout en demeurant fidèles au parcours empreint de déférence que cette jurisprudence a suivi depuis quatre décennies.</w:t>
      </w:r>
    </w:p>
    <w:p w14:paraId="08C05C2D" w14:textId="421C5F22"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Malheureusement, la majorité ne se montre pas aussi fidèle à nos précédents. Alors qu</w:t>
      </w:r>
      <w:r>
        <w:rPr>
          <w:rFonts w:cs="Times New Roman"/>
          <w:lang w:val="fr-CA"/>
        </w:rPr>
        <w:t>’</w:t>
      </w:r>
      <w:r w:rsidRPr="006B5BF6">
        <w:rPr>
          <w:rFonts w:cs="Times New Roman"/>
          <w:lang w:val="fr-CA"/>
        </w:rPr>
        <w:t>elle se voit offrir l</w:t>
      </w:r>
      <w:r>
        <w:rPr>
          <w:rFonts w:cs="Times New Roman"/>
          <w:lang w:val="fr-CA"/>
        </w:rPr>
        <w:t>’</w:t>
      </w:r>
      <w:r w:rsidRPr="006B5BF6">
        <w:rPr>
          <w:rFonts w:cs="Times New Roman"/>
          <w:lang w:val="fr-CA"/>
        </w:rPr>
        <w:t>occasion de garder le cap, elle choisit plutôt de faire volte</w:t>
      </w:r>
      <w:r w:rsidRPr="006B5BF6">
        <w:rPr>
          <w:rFonts w:cs="Times New Roman"/>
          <w:lang w:val="fr-CA"/>
        </w:rPr>
        <w:noBreakHyphen/>
        <w:t>face, délaissant carrément l</w:t>
      </w:r>
      <w:r>
        <w:rPr>
          <w:rFonts w:cs="Times New Roman"/>
          <w:lang w:val="fr-CA"/>
        </w:rPr>
        <w:t>’</w:t>
      </w:r>
      <w:r w:rsidRPr="006B5BF6">
        <w:rPr>
          <w:rFonts w:cs="Times New Roman"/>
          <w:lang w:val="fr-CA"/>
        </w:rPr>
        <w:t>approche axée sur la déférence</w:t>
      </w:r>
      <w:r>
        <w:rPr>
          <w:rFonts w:cs="Times New Roman"/>
          <w:lang w:val="fr-CA"/>
        </w:rPr>
        <w:t xml:space="preserve"> de la génération actuelle </w:t>
      </w:r>
      <w:r w:rsidRPr="006B5BF6">
        <w:rPr>
          <w:rFonts w:cs="Times New Roman"/>
          <w:lang w:val="fr-CA"/>
        </w:rPr>
        <w:t>et réintégr</w:t>
      </w:r>
      <w:r>
        <w:rPr>
          <w:rFonts w:cs="Times New Roman"/>
          <w:lang w:val="fr-CA"/>
        </w:rPr>
        <w:t>ant</w:t>
      </w:r>
      <w:r w:rsidRPr="006B5BF6">
        <w:rPr>
          <w:rFonts w:cs="Times New Roman"/>
          <w:lang w:val="fr-CA"/>
        </w:rPr>
        <w:t xml:space="preserve"> la démarche plus interventionniste d</w:t>
      </w:r>
      <w:r>
        <w:rPr>
          <w:rFonts w:cs="Times New Roman"/>
          <w:lang w:val="fr-CA"/>
        </w:rPr>
        <w:t>’</w:t>
      </w:r>
      <w:r w:rsidRPr="006B5BF6">
        <w:rPr>
          <w:rFonts w:cs="Times New Roman"/>
          <w:lang w:val="fr-CA"/>
        </w:rPr>
        <w:t xml:space="preserve">une génération antérieure. </w:t>
      </w:r>
      <w:r w:rsidRPr="006B5BF6">
        <w:rPr>
          <w:rFonts w:cs="Times New Roman"/>
          <w:lang w:val="fr-CA"/>
        </w:rPr>
        <w:lastRenderedPageBreak/>
        <w:t>Au lieu de confirmer l</w:t>
      </w:r>
      <w:r>
        <w:rPr>
          <w:rFonts w:cs="Times New Roman"/>
          <w:lang w:val="fr-CA"/>
        </w:rPr>
        <w:t>’</w:t>
      </w:r>
      <w:r w:rsidRPr="006B5BF6">
        <w:rPr>
          <w:rFonts w:cs="Times New Roman"/>
          <w:lang w:val="fr-CA"/>
        </w:rPr>
        <w:t>existence d</w:t>
      </w:r>
      <w:r>
        <w:rPr>
          <w:rFonts w:cs="Times New Roman"/>
          <w:lang w:val="fr-CA"/>
        </w:rPr>
        <w:t>’</w:t>
      </w:r>
      <w:r w:rsidRPr="006B5BF6">
        <w:rPr>
          <w:rFonts w:cs="Times New Roman"/>
          <w:lang w:val="fr-CA"/>
        </w:rPr>
        <w:t>une présomption significative de déférence en faveur des décideurs administratifs, comme notre common law le fait de plus en plus depuis des décennies, les motifs de la majorité privent de déférence des centaines d</w:t>
      </w:r>
      <w:r>
        <w:rPr>
          <w:rFonts w:cs="Times New Roman"/>
          <w:lang w:val="fr-CA"/>
        </w:rPr>
        <w:t>’</w:t>
      </w:r>
      <w:r w:rsidRPr="006B5BF6">
        <w:rPr>
          <w:rFonts w:cs="Times New Roman"/>
          <w:lang w:val="fr-CA"/>
        </w:rPr>
        <w:t>acteurs administratifs assujettis à des droits d</w:t>
      </w:r>
      <w:r>
        <w:rPr>
          <w:rFonts w:cs="Times New Roman"/>
          <w:lang w:val="fr-CA"/>
        </w:rPr>
        <w:t>’</w:t>
      </w:r>
      <w:r w:rsidRPr="006B5BF6">
        <w:rPr>
          <w:rFonts w:cs="Times New Roman"/>
          <w:lang w:val="fr-CA"/>
        </w:rPr>
        <w:t>appel prévus par la loi. Au lieu d</w:t>
      </w:r>
      <w:r>
        <w:rPr>
          <w:rFonts w:cs="Times New Roman"/>
          <w:lang w:val="fr-CA"/>
        </w:rPr>
        <w:t>’</w:t>
      </w:r>
      <w:r w:rsidRPr="006B5BF6">
        <w:rPr>
          <w:rFonts w:cs="Times New Roman"/>
          <w:lang w:val="fr-CA"/>
        </w:rPr>
        <w:t>appliquer la jurisprudence constante de notre Cour selon laquelle la volonté du législateur est de confier à des décideurs spécialisés possédant une expertise en la matière le soin de trancher les questions de droit relevant de leur mandat, la majorité fait table rase de l</w:t>
      </w:r>
      <w:r>
        <w:rPr>
          <w:rFonts w:cs="Times New Roman"/>
          <w:lang w:val="fr-CA"/>
        </w:rPr>
        <w:t>’</w:t>
      </w:r>
      <w:r w:rsidRPr="006B5BF6">
        <w:rPr>
          <w:rFonts w:cs="Times New Roman"/>
          <w:lang w:val="fr-CA"/>
        </w:rPr>
        <w:t>expertise de ces décideurs et reformule la volonté du législateur comme étant centrée sur l</w:t>
      </w:r>
      <w:r>
        <w:rPr>
          <w:rFonts w:cs="Times New Roman"/>
          <w:lang w:val="fr-CA"/>
        </w:rPr>
        <w:t>’</w:t>
      </w:r>
      <w:r w:rsidRPr="006B5BF6">
        <w:rPr>
          <w:rFonts w:cs="Times New Roman"/>
          <w:lang w:val="fr-CA"/>
        </w:rPr>
        <w:t>offre —</w:t>
      </w:r>
      <w:r w:rsidR="006D2BF0">
        <w:rPr>
          <w:rFonts w:cs="Times New Roman"/>
          <w:lang w:val="fr-CA"/>
        </w:rPr>
        <w:t xml:space="preserve"> </w:t>
      </w:r>
      <w:r w:rsidRPr="006B5BF6">
        <w:rPr>
          <w:rFonts w:cs="Times New Roman"/>
          <w:lang w:val="fr-CA"/>
        </w:rPr>
        <w:t>ou non — de voies d</w:t>
      </w:r>
      <w:r>
        <w:rPr>
          <w:rFonts w:cs="Times New Roman"/>
          <w:lang w:val="fr-CA"/>
        </w:rPr>
        <w:t>’</w:t>
      </w:r>
      <w:r w:rsidRPr="006B5BF6">
        <w:rPr>
          <w:rFonts w:cs="Times New Roman"/>
          <w:lang w:val="fr-CA"/>
        </w:rPr>
        <w:t>appel. Et, plutôt que de clarifier le rôle que jouent les motifs et de préciser comment on doit les contrôler, la majorité ressuscite la démarche axée sur la recherche d</w:t>
      </w:r>
      <w:r>
        <w:rPr>
          <w:rFonts w:cs="Times New Roman"/>
          <w:lang w:val="fr-CA"/>
        </w:rPr>
        <w:t>’</w:t>
      </w:r>
      <w:r w:rsidRPr="006B5BF6">
        <w:rPr>
          <w:rFonts w:cs="Times New Roman"/>
          <w:lang w:val="fr-CA"/>
        </w:rPr>
        <w:t>erreurs qui occupait une place prépondérante à l</w:t>
      </w:r>
      <w:r>
        <w:rPr>
          <w:rFonts w:cs="Times New Roman"/>
          <w:lang w:val="fr-CA"/>
        </w:rPr>
        <w:t>’</w:t>
      </w:r>
      <w:r w:rsidRPr="006B5BF6">
        <w:rPr>
          <w:rFonts w:cs="Times New Roman"/>
          <w:lang w:val="fr-CA"/>
        </w:rPr>
        <w:t>ère précédant l</w:t>
      </w:r>
      <w:r>
        <w:rPr>
          <w:rFonts w:cs="Times New Roman"/>
          <w:lang w:val="fr-CA"/>
        </w:rPr>
        <w:t>’</w:t>
      </w:r>
      <w:r w:rsidRPr="006B5BF6">
        <w:rPr>
          <w:rFonts w:cs="Times New Roman"/>
          <w:lang w:val="fr-CA"/>
        </w:rPr>
        <w:t xml:space="preserve">arrêt </w:t>
      </w:r>
      <w:r w:rsidRPr="006B5BF6">
        <w:rPr>
          <w:rFonts w:cs="Times New Roman"/>
          <w:i/>
          <w:lang w:val="fr-CA"/>
        </w:rPr>
        <w:t>S.C.F.P.</w:t>
      </w:r>
      <w:r w:rsidRPr="006B5BF6">
        <w:rPr>
          <w:rFonts w:cs="Times New Roman"/>
          <w:lang w:val="fr-CA"/>
        </w:rPr>
        <w:t xml:space="preserve"> En d</w:t>
      </w:r>
      <w:r>
        <w:rPr>
          <w:rFonts w:cs="Times New Roman"/>
          <w:lang w:val="fr-CA"/>
        </w:rPr>
        <w:t>’</w:t>
      </w:r>
      <w:r w:rsidRPr="006B5BF6">
        <w:rPr>
          <w:rFonts w:cs="Times New Roman"/>
          <w:lang w:val="fr-CA"/>
        </w:rPr>
        <w:t>autres termes, au lieu de</w:t>
      </w:r>
      <w:r w:rsidRPr="006B5BF6">
        <w:rPr>
          <w:rFonts w:cs="Times New Roman"/>
          <w:i/>
          <w:iCs/>
          <w:lang w:val="fr-CA"/>
        </w:rPr>
        <w:t xml:space="preserve"> réformer </w:t>
      </w:r>
      <w:r w:rsidRPr="006B5BF6">
        <w:rPr>
          <w:rFonts w:cs="Times New Roman"/>
          <w:lang w:val="fr-CA"/>
        </w:rPr>
        <w:t>l</w:t>
      </w:r>
      <w:r>
        <w:rPr>
          <w:rFonts w:cs="Times New Roman"/>
          <w:lang w:val="fr-CA"/>
        </w:rPr>
        <w:t>’</w:t>
      </w:r>
      <w:r w:rsidRPr="006B5BF6">
        <w:rPr>
          <w:rFonts w:cs="Times New Roman"/>
          <w:lang w:val="fr-CA"/>
        </w:rPr>
        <w:t xml:space="preserve">approche évolutive du droit administratif de cette génération, la majorité la fait </w:t>
      </w:r>
      <w:r w:rsidRPr="006B5BF6">
        <w:rPr>
          <w:rFonts w:cs="Times New Roman"/>
          <w:i/>
          <w:iCs/>
          <w:lang w:val="fr-CA"/>
        </w:rPr>
        <w:t xml:space="preserve">régresser </w:t>
      </w:r>
      <w:r w:rsidRPr="006B5BF6">
        <w:rPr>
          <w:rFonts w:cs="Times New Roman"/>
          <w:lang w:val="fr-CA"/>
        </w:rPr>
        <w:t>en revenant à l</w:t>
      </w:r>
      <w:r>
        <w:rPr>
          <w:rFonts w:cs="Times New Roman"/>
          <w:lang w:val="fr-CA"/>
        </w:rPr>
        <w:t>’</w:t>
      </w:r>
      <w:r w:rsidRPr="006B5BF6">
        <w:rPr>
          <w:rFonts w:cs="Times New Roman"/>
          <w:lang w:val="fr-CA"/>
        </w:rPr>
        <w:t>approche judiciarisée formaliste que notre Cour a mis des dizaines d</w:t>
      </w:r>
      <w:r>
        <w:rPr>
          <w:rFonts w:cs="Times New Roman"/>
          <w:lang w:val="fr-CA"/>
        </w:rPr>
        <w:t>’</w:t>
      </w:r>
      <w:r w:rsidRPr="006B5BF6">
        <w:rPr>
          <w:rFonts w:cs="Times New Roman"/>
          <w:lang w:val="fr-CA"/>
        </w:rPr>
        <w:t>années à démanteler.</w:t>
      </w:r>
    </w:p>
    <w:p w14:paraId="569CE6D0"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Nous souscrivons à la décision de la majorité d</w:t>
      </w:r>
      <w:r>
        <w:rPr>
          <w:rFonts w:cs="Times New Roman"/>
          <w:lang w:val="fr-CA"/>
        </w:rPr>
        <w:t>’</w:t>
      </w:r>
      <w:r w:rsidRPr="006B5BF6">
        <w:rPr>
          <w:rFonts w:cs="Times New Roman"/>
          <w:lang w:val="fr-CA"/>
        </w:rPr>
        <w:t>éliminer l</w:t>
      </w:r>
      <w:r>
        <w:rPr>
          <w:rFonts w:cs="Times New Roman"/>
          <w:lang w:val="fr-CA"/>
        </w:rPr>
        <w:t>’</w:t>
      </w:r>
      <w:r w:rsidRPr="006B5BF6">
        <w:rPr>
          <w:rFonts w:cs="Times New Roman"/>
          <w:lang w:val="fr-CA"/>
        </w:rPr>
        <w:t>analyse contextuelle vexante du cadre d</w:t>
      </w:r>
      <w:r>
        <w:rPr>
          <w:rFonts w:cs="Times New Roman"/>
          <w:lang w:val="fr-CA"/>
        </w:rPr>
        <w:t>’</w:t>
      </w:r>
      <w:r w:rsidRPr="006B5BF6">
        <w:rPr>
          <w:rFonts w:cs="Times New Roman"/>
          <w:lang w:val="fr-CA"/>
        </w:rPr>
        <w:t>analyse applicable à la norme de contrôle et d</w:t>
      </w:r>
      <w:r>
        <w:rPr>
          <w:rFonts w:cs="Times New Roman"/>
          <w:lang w:val="fr-CA"/>
        </w:rPr>
        <w:t>’</w:t>
      </w:r>
      <w:r w:rsidRPr="006B5BF6">
        <w:rPr>
          <w:rFonts w:cs="Times New Roman"/>
          <w:lang w:val="fr-CA"/>
        </w:rPr>
        <w:t>abolir la catégorie rétrograde des « questions touchant vraiment à la compétence ». Ces améliorations, conjuguées à une véritable présomption de déférence à l</w:t>
      </w:r>
      <w:r>
        <w:rPr>
          <w:rFonts w:cs="Times New Roman"/>
          <w:lang w:val="fr-CA"/>
        </w:rPr>
        <w:t>’</w:t>
      </w:r>
      <w:r w:rsidRPr="006B5BF6">
        <w:rPr>
          <w:rFonts w:cs="Times New Roman"/>
          <w:lang w:val="fr-CA"/>
        </w:rPr>
        <w:t>égard des décideurs administratifs, auraient simplifié notre cadre d</w:t>
      </w:r>
      <w:r>
        <w:rPr>
          <w:rFonts w:cs="Times New Roman"/>
          <w:lang w:val="fr-CA"/>
        </w:rPr>
        <w:t>’</w:t>
      </w:r>
      <w:r w:rsidRPr="006B5BF6">
        <w:rPr>
          <w:rFonts w:cs="Times New Roman"/>
          <w:lang w:val="fr-CA"/>
        </w:rPr>
        <w:t>analyse du contrôle judiciaire et permis de répondre à bon nombre des critiques dont notre jurisprudence fait l</w:t>
      </w:r>
      <w:r>
        <w:rPr>
          <w:rFonts w:cs="Times New Roman"/>
          <w:lang w:val="fr-CA"/>
        </w:rPr>
        <w:t>’</w:t>
      </w:r>
      <w:r w:rsidRPr="006B5BF6">
        <w:rPr>
          <w:rFonts w:cs="Times New Roman"/>
          <w:lang w:val="fr-CA"/>
        </w:rPr>
        <w:t>objet depuis l</w:t>
      </w:r>
      <w:r>
        <w:rPr>
          <w:rFonts w:cs="Times New Roman"/>
          <w:lang w:val="fr-CA"/>
        </w:rPr>
        <w:t>’</w:t>
      </w:r>
      <w:r w:rsidRPr="006B5BF6">
        <w:rPr>
          <w:rFonts w:cs="Times New Roman"/>
          <w:lang w:val="fr-CA"/>
        </w:rPr>
        <w:t xml:space="preserve">arrêt </w:t>
      </w:r>
      <w:r w:rsidRPr="006B5BF6">
        <w:rPr>
          <w:rFonts w:cs="Times New Roman"/>
          <w:i/>
          <w:lang w:val="fr-CA"/>
        </w:rPr>
        <w:t>Dunsmuir c. Nouveau</w:t>
      </w:r>
      <w:r w:rsidRPr="006B5BF6">
        <w:rPr>
          <w:rFonts w:cs="Times New Roman"/>
          <w:i/>
          <w:lang w:val="fr-CA"/>
        </w:rPr>
        <w:noBreakHyphen/>
        <w:t>Brunswick</w:t>
      </w:r>
      <w:r w:rsidRPr="006B5BF6">
        <w:rPr>
          <w:rFonts w:cs="Times New Roman"/>
          <w:lang w:val="fr-CA"/>
        </w:rPr>
        <w:t>, [2008] 1 R.C.S. 190.</w:t>
      </w:r>
    </w:p>
    <w:p w14:paraId="5C4FA9CE"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lastRenderedPageBreak/>
        <w:t>Mais la majorité va beaucoup plus loin et réoriente complètement le rapport qui existe depuis des décennies entre les acteurs administratifs et la magistrature, en élargissant considérablement les circonstances dans lesquelles les juges généralistes pourront substituer leur propre opinion à celle des décideurs spécialisés qui exercent leur mandat au quotidien. Ce faisant, la majorité préconise une philosophie du droit administratif profondément différente de celle qui a guidé la jurisprudence de notre Cour depuis une quarantaine d</w:t>
      </w:r>
      <w:r>
        <w:rPr>
          <w:rFonts w:cs="Times New Roman"/>
          <w:lang w:val="fr-CA"/>
        </w:rPr>
        <w:t>’</w:t>
      </w:r>
      <w:r w:rsidRPr="006B5BF6">
        <w:rPr>
          <w:rFonts w:cs="Times New Roman"/>
          <w:lang w:val="fr-CA"/>
        </w:rPr>
        <w:t>années. Les motifs de la majorité font l</w:t>
      </w:r>
      <w:r>
        <w:rPr>
          <w:rFonts w:cs="Times New Roman"/>
          <w:lang w:val="fr-CA"/>
        </w:rPr>
        <w:t>’</w:t>
      </w:r>
      <w:r w:rsidRPr="006B5BF6">
        <w:rPr>
          <w:rFonts w:cs="Times New Roman"/>
          <w:lang w:val="fr-CA"/>
        </w:rPr>
        <w:t>apologie de la norme de la décision correcte et sonnent le glas du principe de la déférence.</w:t>
      </w:r>
    </w:p>
    <w:p w14:paraId="7732216B" w14:textId="77777777" w:rsidR="00AE2373" w:rsidRPr="006B5BF6" w:rsidRDefault="00AE2373" w:rsidP="00AE2373">
      <w:pPr>
        <w:pStyle w:val="Title1LevelTitre1Niveau-AltL"/>
        <w:numPr>
          <w:ilvl w:val="0"/>
          <w:numId w:val="0"/>
        </w:numPr>
        <w:spacing w:before="0"/>
        <w:ind w:left="576" w:hanging="576"/>
        <w:jc w:val="left"/>
        <w:rPr>
          <w:rFonts w:cs="Times New Roman"/>
          <w:lang w:val="fr-CA"/>
        </w:rPr>
      </w:pPr>
      <w:r w:rsidRPr="006B5BF6">
        <w:rPr>
          <w:rFonts w:cs="Times New Roman"/>
          <w:lang w:val="fr-CA"/>
        </w:rPr>
        <w:t>L</w:t>
      </w:r>
      <w:r>
        <w:rPr>
          <w:rFonts w:cs="Times New Roman"/>
          <w:lang w:val="fr-CA"/>
        </w:rPr>
        <w:t>’</w:t>
      </w:r>
      <w:r w:rsidRPr="006B5BF6">
        <w:rPr>
          <w:rFonts w:cs="Times New Roman"/>
          <w:lang w:val="fr-CA"/>
        </w:rPr>
        <w:t>évolution du droit administratif canadien</w:t>
      </w:r>
    </w:p>
    <w:p w14:paraId="5939010D"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L</w:t>
      </w:r>
      <w:r>
        <w:rPr>
          <w:rFonts w:cs="Times New Roman"/>
          <w:lang w:val="fr-CA"/>
        </w:rPr>
        <w:t>’</w:t>
      </w:r>
      <w:r w:rsidRPr="006B5BF6">
        <w:rPr>
          <w:rFonts w:cs="Times New Roman"/>
          <w:lang w:val="fr-CA"/>
        </w:rPr>
        <w:t>État moderne canadien « ne saurait fonctionner sans les nombreux tribunaux administratifs de diverses sortes qui [. . .] parsèment le paysage juridique » (la très honorable Beverley McLachlin, « Tribunaux administratifs et tribunaux judiciaires : une relation en évolution », 27 mai 2013 (en ligne)). Le Parlement et les législatures provinciales ont confié à des acteurs administratifs une vaste gamme d</w:t>
      </w:r>
      <w:r>
        <w:rPr>
          <w:rFonts w:cs="Times New Roman"/>
          <w:lang w:val="fr-CA"/>
        </w:rPr>
        <w:t>’</w:t>
      </w:r>
      <w:r w:rsidRPr="006B5BF6">
        <w:rPr>
          <w:rFonts w:cs="Times New Roman"/>
          <w:lang w:val="fr-CA"/>
        </w:rPr>
        <w:t>enjeux sociaux et économiques complexes, notamment la réglementation des relations de travail, les programmes d</w:t>
      </w:r>
      <w:r>
        <w:rPr>
          <w:rFonts w:cs="Times New Roman"/>
          <w:lang w:val="fr-CA"/>
        </w:rPr>
        <w:t>’</w:t>
      </w:r>
      <w:r w:rsidRPr="006B5BF6">
        <w:rPr>
          <w:rFonts w:cs="Times New Roman"/>
          <w:lang w:val="fr-CA"/>
        </w:rPr>
        <w:t>aide sociale, la sécurité des médicaments et des aliments, l</w:t>
      </w:r>
      <w:r>
        <w:rPr>
          <w:rFonts w:cs="Times New Roman"/>
          <w:lang w:val="fr-CA"/>
        </w:rPr>
        <w:t>’</w:t>
      </w:r>
      <w:r w:rsidRPr="006B5BF6">
        <w:rPr>
          <w:rFonts w:cs="Times New Roman"/>
          <w:lang w:val="fr-CA"/>
        </w:rPr>
        <w:t>agriculture, l</w:t>
      </w:r>
      <w:r>
        <w:rPr>
          <w:rFonts w:cs="Times New Roman"/>
          <w:lang w:val="fr-CA"/>
        </w:rPr>
        <w:t>’</w:t>
      </w:r>
      <w:r w:rsidRPr="006B5BF6">
        <w:rPr>
          <w:rFonts w:cs="Times New Roman"/>
          <w:lang w:val="fr-CA"/>
        </w:rPr>
        <w:t>évaluation foncière, la production et la vente d</w:t>
      </w:r>
      <w:r>
        <w:rPr>
          <w:rFonts w:cs="Times New Roman"/>
          <w:lang w:val="fr-CA"/>
        </w:rPr>
        <w:t>’</w:t>
      </w:r>
      <w:r w:rsidRPr="006B5BF6">
        <w:rPr>
          <w:rFonts w:cs="Times New Roman"/>
          <w:lang w:val="fr-CA"/>
        </w:rPr>
        <w:t>alcool, les infrastructures, les marchés financiers, les investissements étrangers, la discipline professionnelle, les assurances, la radiodiffusion, le transport et la protection de l</w:t>
      </w:r>
      <w:r>
        <w:rPr>
          <w:rFonts w:cs="Times New Roman"/>
          <w:lang w:val="fr-CA"/>
        </w:rPr>
        <w:t>’</w:t>
      </w:r>
      <w:r w:rsidRPr="006B5BF6">
        <w:rPr>
          <w:rFonts w:cs="Times New Roman"/>
          <w:lang w:val="fr-CA"/>
        </w:rPr>
        <w:t>environnement, pour n</w:t>
      </w:r>
      <w:r>
        <w:rPr>
          <w:rFonts w:cs="Times New Roman"/>
          <w:lang w:val="fr-CA"/>
        </w:rPr>
        <w:t>’</w:t>
      </w:r>
      <w:r w:rsidRPr="006B5BF6">
        <w:rPr>
          <w:rFonts w:cs="Times New Roman"/>
          <w:lang w:val="fr-CA"/>
        </w:rPr>
        <w:t>en nommer que quelques</w:t>
      </w:r>
      <w:r w:rsidRPr="006B5BF6">
        <w:rPr>
          <w:rFonts w:cs="Times New Roman"/>
          <w:lang w:val="fr-CA"/>
        </w:rPr>
        <w:noBreakHyphen/>
        <w:t>uns. Sans l</w:t>
      </w:r>
      <w:r>
        <w:rPr>
          <w:rFonts w:cs="Times New Roman"/>
          <w:lang w:val="fr-CA"/>
        </w:rPr>
        <w:t>’</w:t>
      </w:r>
      <w:r w:rsidRPr="006B5BF6">
        <w:rPr>
          <w:rFonts w:cs="Times New Roman"/>
          <w:lang w:val="fr-CA"/>
        </w:rPr>
        <w:t>apport de ces décideurs administratifs [</w:t>
      </w:r>
      <w:r w:rsidRPr="006B5BF6">
        <w:rPr>
          <w:rFonts w:cs="Times New Roman"/>
          <w:smallCaps/>
          <w:lang w:val="fr-CA"/>
        </w:rPr>
        <w:t>traduction</w:t>
      </w:r>
      <w:r w:rsidRPr="006B5BF6">
        <w:rPr>
          <w:rFonts w:cs="Times New Roman"/>
          <w:lang w:val="fr-CA"/>
        </w:rPr>
        <w:t xml:space="preserve">] « le gouvernement serait paralysé, et les tribunaux aussi » (Guy Régimbald, </w:t>
      </w:r>
      <w:r w:rsidRPr="006B5BF6">
        <w:rPr>
          <w:rFonts w:cs="Times New Roman"/>
          <w:i/>
          <w:lang w:val="fr-CA"/>
        </w:rPr>
        <w:t xml:space="preserve">Canadian Administrative Law </w:t>
      </w:r>
      <w:r w:rsidRPr="006B5BF6">
        <w:rPr>
          <w:rFonts w:cs="Times New Roman"/>
          <w:lang w:val="fr-CA"/>
        </w:rPr>
        <w:t>(2</w:t>
      </w:r>
      <w:r w:rsidRPr="006B5BF6">
        <w:rPr>
          <w:rFonts w:cs="Times New Roman"/>
          <w:vertAlign w:val="superscript"/>
          <w:lang w:val="fr-CA"/>
        </w:rPr>
        <w:t>e</w:t>
      </w:r>
      <w:r w:rsidRPr="006B5BF6">
        <w:rPr>
          <w:rFonts w:cs="Times New Roman"/>
          <w:lang w:val="fr-CA"/>
        </w:rPr>
        <w:t xml:space="preserve"> éd. </w:t>
      </w:r>
      <w:r>
        <w:rPr>
          <w:rFonts w:cs="Times New Roman"/>
          <w:lang w:val="fr-CA"/>
        </w:rPr>
        <w:t>2015), p. </w:t>
      </w:r>
      <w:r w:rsidRPr="006B5BF6">
        <w:rPr>
          <w:rFonts w:cs="Times New Roman"/>
          <w:lang w:val="fr-CA"/>
        </w:rPr>
        <w:t>3).</w:t>
      </w:r>
    </w:p>
    <w:p w14:paraId="7AEA413C" w14:textId="6E65B8BD"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lastRenderedPageBreak/>
        <w:t xml:space="preserve">Dans le cadre de leur mandat, les décideurs administratifs sont souvent appelés à trancher des demandes et des différends qui relèvent de leur champ de spécialisation (Gus Van Harten et </w:t>
      </w:r>
      <w:r w:rsidR="00AC3FA9">
        <w:rPr>
          <w:rFonts w:cs="Times New Roman"/>
          <w:lang w:val="fr-CA"/>
        </w:rPr>
        <w:t>autres</w:t>
      </w:r>
      <w:r w:rsidRPr="006B5BF6">
        <w:rPr>
          <w:rFonts w:cs="Times New Roman"/>
          <w:lang w:val="fr-CA"/>
        </w:rPr>
        <w:t xml:space="preserve">, </w:t>
      </w:r>
      <w:r w:rsidRPr="006B5BF6">
        <w:rPr>
          <w:rFonts w:cs="Times New Roman"/>
          <w:i/>
          <w:lang w:val="fr-CA"/>
        </w:rPr>
        <w:t>Administrative Law</w:t>
      </w:r>
      <w:r w:rsidR="00AA4143">
        <w:rPr>
          <w:rFonts w:cs="Times New Roman"/>
          <w:i/>
          <w:lang w:val="fr-CA"/>
        </w:rPr>
        <w:t> </w:t>
      </w:r>
      <w:r w:rsidRPr="006B5BF6">
        <w:rPr>
          <w:rFonts w:cs="Times New Roman"/>
          <w:i/>
          <w:lang w:val="fr-CA"/>
        </w:rPr>
        <w:t>: Cases, Text, and Materials</w:t>
      </w:r>
      <w:r w:rsidRPr="006B5BF6">
        <w:rPr>
          <w:rFonts w:cs="Times New Roman"/>
          <w:lang w:val="fr-CA"/>
        </w:rPr>
        <w:t xml:space="preserve"> (7</w:t>
      </w:r>
      <w:r w:rsidRPr="006B5BF6">
        <w:rPr>
          <w:rFonts w:cs="Times New Roman"/>
          <w:vertAlign w:val="superscript"/>
          <w:lang w:val="fr-CA"/>
        </w:rPr>
        <w:t>e</w:t>
      </w:r>
      <w:r w:rsidRPr="006B5BF6">
        <w:rPr>
          <w:rFonts w:cs="Times New Roman"/>
          <w:lang w:val="fr-CA"/>
        </w:rPr>
        <w:t xml:space="preserve"> éd. 2015), p. 13). La portée et l</w:t>
      </w:r>
      <w:r>
        <w:rPr>
          <w:rFonts w:cs="Times New Roman"/>
          <w:lang w:val="fr-CA"/>
        </w:rPr>
        <w:t>’</w:t>
      </w:r>
      <w:r w:rsidRPr="006B5BF6">
        <w:rPr>
          <w:rFonts w:cs="Times New Roman"/>
          <w:lang w:val="fr-CA"/>
        </w:rPr>
        <w:t>objet de ces demandes et de ces différends sont extrêmement diversifiés. Les demandes de fusion d</w:t>
      </w:r>
      <w:r>
        <w:rPr>
          <w:rFonts w:cs="Times New Roman"/>
          <w:lang w:val="fr-CA"/>
        </w:rPr>
        <w:t>’</w:t>
      </w:r>
      <w:r w:rsidRPr="006B5BF6">
        <w:rPr>
          <w:rFonts w:cs="Times New Roman"/>
          <w:lang w:val="fr-CA"/>
        </w:rPr>
        <w:t>entreprises, les plaintes portées devant un ordre professionnel par des clients insatisfaits, les demandes de réévaluation foncière et les demandes de prestations d</w:t>
      </w:r>
      <w:r>
        <w:rPr>
          <w:rFonts w:cs="Times New Roman"/>
          <w:lang w:val="fr-CA"/>
        </w:rPr>
        <w:t>’</w:t>
      </w:r>
      <w:r w:rsidRPr="006B5BF6">
        <w:rPr>
          <w:rFonts w:cs="Times New Roman"/>
          <w:lang w:val="fr-CA"/>
        </w:rPr>
        <w:t>aide sociale, pour ne citer que celles</w:t>
      </w:r>
      <w:r w:rsidRPr="006B5BF6">
        <w:rPr>
          <w:rFonts w:cs="Times New Roman"/>
          <w:lang w:val="fr-CA"/>
        </w:rPr>
        <w:noBreakHyphen/>
        <w:t>là, relèvent toutes du système de justice administrative.</w:t>
      </w:r>
    </w:p>
    <w:p w14:paraId="07D5A21F" w14:textId="557A6169"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Les décideurs administratifs chargés de résoudre ces questions proviennent d</w:t>
      </w:r>
      <w:r>
        <w:rPr>
          <w:rFonts w:cs="Times New Roman"/>
          <w:lang w:val="fr-CA"/>
        </w:rPr>
        <w:t>’</w:t>
      </w:r>
      <w:r w:rsidRPr="006B5BF6">
        <w:rPr>
          <w:rFonts w:cs="Times New Roman"/>
          <w:lang w:val="fr-CA"/>
        </w:rPr>
        <w:t xml:space="preserve">une grande diversité de milieux </w:t>
      </w:r>
      <w:r w:rsidRPr="006B5BF6" w:rsidDel="00511177">
        <w:rPr>
          <w:rFonts w:cs="Times New Roman"/>
          <w:lang w:val="fr-CA"/>
        </w:rPr>
        <w:t>(</w:t>
      </w:r>
      <w:r w:rsidRPr="006B5BF6">
        <w:rPr>
          <w:rFonts w:cs="Times New Roman"/>
          <w:lang w:val="fr-CA"/>
        </w:rPr>
        <w:t>Van Harten</w:t>
      </w:r>
      <w:r w:rsidRPr="006B5BF6" w:rsidDel="00511177">
        <w:rPr>
          <w:rFonts w:cs="Times New Roman"/>
          <w:lang w:val="fr-CA"/>
        </w:rPr>
        <w:t xml:space="preserve"> </w:t>
      </w:r>
      <w:r w:rsidRPr="006B5BF6">
        <w:rPr>
          <w:rFonts w:cs="Times New Roman"/>
          <w:lang w:val="fr-CA"/>
        </w:rPr>
        <w:t xml:space="preserve">et </w:t>
      </w:r>
      <w:r w:rsidR="00AC3FA9">
        <w:rPr>
          <w:rFonts w:cs="Times New Roman"/>
          <w:lang w:val="fr-CA"/>
        </w:rPr>
        <w:t>autres</w:t>
      </w:r>
      <w:r w:rsidRPr="006B5BF6">
        <w:rPr>
          <w:rFonts w:cs="Times New Roman"/>
          <w:lang w:val="fr-CA"/>
        </w:rPr>
        <w:t xml:space="preserve">, </w:t>
      </w:r>
      <w:r w:rsidRPr="006B5BF6" w:rsidDel="00511177">
        <w:rPr>
          <w:rFonts w:cs="Times New Roman"/>
          <w:i/>
          <w:lang w:val="fr-CA"/>
        </w:rPr>
        <w:t>Administrative Law</w:t>
      </w:r>
      <w:r w:rsidRPr="006B5BF6" w:rsidDel="00511177">
        <w:rPr>
          <w:rFonts w:cs="Times New Roman"/>
          <w:lang w:val="fr-CA"/>
        </w:rPr>
        <w:t xml:space="preserve">, </w:t>
      </w:r>
      <w:r w:rsidRPr="006B5BF6">
        <w:rPr>
          <w:rFonts w:cs="Times New Roman"/>
          <w:lang w:val="fr-CA"/>
        </w:rPr>
        <w:t>p. </w:t>
      </w:r>
      <w:r w:rsidRPr="006B5BF6" w:rsidDel="00511177">
        <w:rPr>
          <w:rFonts w:cs="Times New Roman"/>
          <w:lang w:val="fr-CA"/>
        </w:rPr>
        <w:t xml:space="preserve">15). </w:t>
      </w:r>
      <w:r w:rsidRPr="006B5BF6">
        <w:rPr>
          <w:rFonts w:cs="Times New Roman"/>
          <w:lang w:val="fr-CA"/>
        </w:rPr>
        <w:t>Certains ont une formation juridique, d</w:t>
      </w:r>
      <w:r>
        <w:rPr>
          <w:rFonts w:cs="Times New Roman"/>
          <w:lang w:val="fr-CA"/>
        </w:rPr>
        <w:t>’</w:t>
      </w:r>
      <w:r w:rsidRPr="006B5BF6">
        <w:rPr>
          <w:rFonts w:cs="Times New Roman"/>
          <w:lang w:val="fr-CA"/>
        </w:rPr>
        <w:t>autres non. Le bassin hétérogène de décideurs qui œuvrent au sein du système administratif témoigne de la diversité des questions qu</w:t>
      </w:r>
      <w:r>
        <w:rPr>
          <w:rFonts w:cs="Times New Roman"/>
          <w:lang w:val="fr-CA"/>
        </w:rPr>
        <w:t>’</w:t>
      </w:r>
      <w:r w:rsidRPr="006B5BF6">
        <w:rPr>
          <w:rFonts w:cs="Times New Roman"/>
          <w:lang w:val="fr-CA"/>
        </w:rPr>
        <w:t>ils sont appelés à trancher. Pour les aider à s</w:t>
      </w:r>
      <w:r>
        <w:rPr>
          <w:rFonts w:cs="Times New Roman"/>
          <w:lang w:val="fr-CA"/>
        </w:rPr>
        <w:t>’</w:t>
      </w:r>
      <w:r w:rsidRPr="006B5BF6">
        <w:rPr>
          <w:rFonts w:cs="Times New Roman"/>
          <w:lang w:val="fr-CA"/>
        </w:rPr>
        <w:t>attaquer à ce vaste éventail de questions, les mécanismes administratifs de règlement des différends qu</w:t>
      </w:r>
      <w:r>
        <w:rPr>
          <w:rFonts w:cs="Times New Roman"/>
          <w:lang w:val="fr-CA"/>
        </w:rPr>
        <w:t>’</w:t>
      </w:r>
      <w:r w:rsidRPr="006B5BF6">
        <w:rPr>
          <w:rFonts w:cs="Times New Roman"/>
          <w:lang w:val="fr-CA"/>
        </w:rPr>
        <w:t>ils appliquent sont généralement [</w:t>
      </w:r>
      <w:r w:rsidRPr="006B5BF6">
        <w:rPr>
          <w:rFonts w:cs="Times New Roman"/>
          <w:smallCaps/>
          <w:lang w:val="fr-CA"/>
        </w:rPr>
        <w:t>traduction</w:t>
      </w:r>
      <w:r w:rsidRPr="006B5BF6">
        <w:rPr>
          <w:rFonts w:cs="Times New Roman"/>
          <w:lang w:val="fr-CA"/>
        </w:rPr>
        <w:t>] « conçus de manière à être moins lourds, moins coûteux, moins formels et moins longs » que leur pendant judiciaire, mais [</w:t>
      </w:r>
      <w:r w:rsidRPr="006B5BF6">
        <w:rPr>
          <w:rFonts w:cs="Times New Roman"/>
          <w:smallCaps/>
          <w:lang w:val="fr-CA"/>
        </w:rPr>
        <w:t>traduction</w:t>
      </w:r>
      <w:r w:rsidRPr="006B5BF6">
        <w:rPr>
          <w:rFonts w:cs="Times New Roman"/>
          <w:lang w:val="fr-CA"/>
        </w:rPr>
        <w:t xml:space="preserve">] « tout aussi efficaces et crédibles » </w:t>
      </w:r>
      <w:r w:rsidRPr="006B5BF6" w:rsidDel="00511177">
        <w:rPr>
          <w:rFonts w:cs="Times New Roman"/>
          <w:lang w:val="fr-CA"/>
        </w:rPr>
        <w:t>(</w:t>
      </w:r>
      <w:r w:rsidRPr="006B5BF6" w:rsidDel="00511177">
        <w:rPr>
          <w:rFonts w:cs="Times New Roman"/>
          <w:i/>
          <w:lang w:val="fr-CA"/>
        </w:rPr>
        <w:t xml:space="preserve">Rasanen </w:t>
      </w:r>
      <w:r w:rsidRPr="006B5BF6">
        <w:rPr>
          <w:rFonts w:cs="Times New Roman"/>
          <w:i/>
          <w:lang w:val="fr-CA"/>
        </w:rPr>
        <w:t>c</w:t>
      </w:r>
      <w:r w:rsidRPr="006B5BF6" w:rsidDel="00511177">
        <w:rPr>
          <w:rFonts w:cs="Times New Roman"/>
          <w:i/>
          <w:lang w:val="fr-CA"/>
        </w:rPr>
        <w:t xml:space="preserve">. Rosemount Instruments Ltd. </w:t>
      </w:r>
      <w:r w:rsidRPr="006B5BF6" w:rsidDel="00511177">
        <w:rPr>
          <w:rFonts w:cs="Times New Roman"/>
          <w:lang w:val="fr-CA"/>
        </w:rPr>
        <w:t xml:space="preserve">(1994), 17 O.R. (3d) 267 (C.A.), </w:t>
      </w:r>
      <w:r w:rsidR="00540B2C">
        <w:rPr>
          <w:rFonts w:cs="Times New Roman"/>
          <w:lang w:val="fr-CA"/>
        </w:rPr>
        <w:t>p. 279</w:t>
      </w:r>
      <w:r w:rsidRPr="006B5BF6" w:rsidDel="00511177">
        <w:rPr>
          <w:rFonts w:cs="Times New Roman"/>
          <w:lang w:val="fr-CA"/>
        </w:rPr>
        <w:t xml:space="preserve">). </w:t>
      </w:r>
      <w:r w:rsidRPr="006B5BF6">
        <w:rPr>
          <w:rFonts w:cs="Times New Roman"/>
          <w:lang w:val="fr-CA"/>
        </w:rPr>
        <w:t>Dans le domaine des relations de travail, par exemple, le législateur fédéral a expressément refusé d</w:t>
      </w:r>
      <w:r>
        <w:rPr>
          <w:rFonts w:cs="Times New Roman"/>
          <w:lang w:val="fr-CA"/>
        </w:rPr>
        <w:t>’</w:t>
      </w:r>
      <w:r w:rsidRPr="006B5BF6">
        <w:rPr>
          <w:rFonts w:cs="Times New Roman"/>
          <w:lang w:val="fr-CA"/>
        </w:rPr>
        <w:t>adopter un régime judiciaire de règlement des différends en milieu de travail au profit d</w:t>
      </w:r>
      <w:r>
        <w:rPr>
          <w:rFonts w:cs="Times New Roman"/>
          <w:lang w:val="fr-CA"/>
        </w:rPr>
        <w:t>’</w:t>
      </w:r>
      <w:r w:rsidRPr="006B5BF6">
        <w:rPr>
          <w:rFonts w:cs="Times New Roman"/>
          <w:lang w:val="fr-CA"/>
        </w:rPr>
        <w:t xml:space="preserve">une commission du travail composée de représentants de la direction et des travailleurs, ainsi que de membres indépendants </w:t>
      </w:r>
      <w:r w:rsidRPr="006B5BF6" w:rsidDel="00511177">
        <w:rPr>
          <w:rFonts w:cs="Times New Roman"/>
          <w:lang w:val="fr-CA"/>
        </w:rPr>
        <w:t xml:space="preserve">(Bora Laskin, </w:t>
      </w:r>
      <w:r w:rsidRPr="006B5BF6">
        <w:rPr>
          <w:rFonts w:cs="Times New Roman"/>
          <w:lang w:val="fr-CA"/>
        </w:rPr>
        <w:t>« </w:t>
      </w:r>
      <w:r w:rsidRPr="006B5BF6" w:rsidDel="00511177">
        <w:rPr>
          <w:rFonts w:cs="Times New Roman"/>
          <w:lang w:val="fr-CA"/>
        </w:rPr>
        <w:t>Collective Bargaining in Ontario</w:t>
      </w:r>
      <w:r w:rsidR="00D65F05">
        <w:rPr>
          <w:rFonts w:cs="Times New Roman"/>
          <w:lang w:val="fr-CA"/>
        </w:rPr>
        <w:t> </w:t>
      </w:r>
      <w:r w:rsidRPr="006B5BF6" w:rsidDel="00511177">
        <w:rPr>
          <w:rFonts w:cs="Times New Roman"/>
          <w:lang w:val="fr-CA"/>
        </w:rPr>
        <w:t>: A New Legislative Approach</w:t>
      </w:r>
      <w:r w:rsidRPr="006B5BF6">
        <w:rPr>
          <w:rFonts w:cs="Times New Roman"/>
          <w:lang w:val="fr-CA"/>
        </w:rPr>
        <w:t> »</w:t>
      </w:r>
      <w:r w:rsidRPr="006B5BF6" w:rsidDel="00511177">
        <w:rPr>
          <w:rFonts w:cs="Times New Roman"/>
          <w:lang w:val="fr-CA"/>
        </w:rPr>
        <w:t xml:space="preserve"> (1943)</w:t>
      </w:r>
      <w:r w:rsidRPr="006B5BF6">
        <w:rPr>
          <w:rFonts w:cs="Times New Roman"/>
          <w:lang w:val="fr-CA"/>
        </w:rPr>
        <w:t>,</w:t>
      </w:r>
      <w:r w:rsidRPr="006B5BF6" w:rsidDel="00511177">
        <w:rPr>
          <w:rFonts w:cs="Times New Roman"/>
          <w:lang w:val="fr-CA"/>
        </w:rPr>
        <w:t xml:space="preserve"> 21 </w:t>
      </w:r>
      <w:r w:rsidRPr="006B5BF6">
        <w:rPr>
          <w:rFonts w:cs="Times New Roman"/>
          <w:i/>
          <w:lang w:val="fr-CA"/>
        </w:rPr>
        <w:t>R. du B. can.</w:t>
      </w:r>
      <w:r w:rsidRPr="006B5BF6" w:rsidDel="00511177">
        <w:rPr>
          <w:rFonts w:cs="Times New Roman"/>
          <w:i/>
          <w:lang w:val="fr-CA"/>
        </w:rPr>
        <w:t xml:space="preserve"> </w:t>
      </w:r>
      <w:r w:rsidRPr="003E28EF" w:rsidDel="00511177">
        <w:rPr>
          <w:rFonts w:cs="Times New Roman"/>
          <w:lang w:val="fr-CA"/>
        </w:rPr>
        <w:t>684;</w:t>
      </w:r>
      <w:r w:rsidRPr="003E28EF">
        <w:rPr>
          <w:rFonts w:cs="Times New Roman"/>
          <w:lang w:val="fr-CA"/>
        </w:rPr>
        <w:t xml:space="preserve"> John A. Willes, </w:t>
      </w:r>
      <w:r w:rsidRPr="003E28EF">
        <w:rPr>
          <w:rFonts w:cs="Times New Roman"/>
          <w:i/>
          <w:lang w:val="fr-CA"/>
        </w:rPr>
        <w:t>The Ontario Labour Court</w:t>
      </w:r>
      <w:r w:rsidR="00D65F05">
        <w:rPr>
          <w:rFonts w:cs="Times New Roman"/>
          <w:i/>
          <w:lang w:val="fr-CA"/>
        </w:rPr>
        <w:t> </w:t>
      </w:r>
      <w:r>
        <w:rPr>
          <w:rFonts w:cs="Times New Roman"/>
          <w:i/>
          <w:lang w:val="fr-CA"/>
        </w:rPr>
        <w:t>:</w:t>
      </w:r>
      <w:r w:rsidRPr="003E28EF">
        <w:rPr>
          <w:rFonts w:cs="Times New Roman"/>
          <w:i/>
          <w:lang w:val="fr-CA"/>
        </w:rPr>
        <w:t xml:space="preserve"> 1943</w:t>
      </w:r>
      <w:r w:rsidRPr="003E28EF">
        <w:rPr>
          <w:rFonts w:cs="Times New Roman"/>
          <w:i/>
          <w:lang w:val="fr-CA"/>
        </w:rPr>
        <w:noBreakHyphen/>
        <w:t>1944</w:t>
      </w:r>
      <w:r w:rsidRPr="003E28EF">
        <w:rPr>
          <w:rFonts w:cs="Times New Roman"/>
          <w:lang w:val="fr-CA"/>
        </w:rPr>
        <w:t xml:space="preserve"> (1979); </w:t>
      </w:r>
      <w:r w:rsidRPr="003E28EF" w:rsidDel="00511177">
        <w:rPr>
          <w:rFonts w:cs="Times New Roman"/>
          <w:lang w:val="fr-CA"/>
        </w:rPr>
        <w:t xml:space="preserve">Katherine Munro, </w:t>
      </w:r>
      <w:r w:rsidRPr="003E28EF">
        <w:rPr>
          <w:rFonts w:cs="Times New Roman"/>
          <w:lang w:val="fr-CA"/>
        </w:rPr>
        <w:t>« </w:t>
      </w:r>
      <w:r w:rsidRPr="003E28EF" w:rsidDel="00511177">
        <w:rPr>
          <w:rFonts w:cs="Times New Roman"/>
          <w:lang w:val="fr-CA"/>
        </w:rPr>
        <w:t>A “Unique Experiment”</w:t>
      </w:r>
      <w:r w:rsidR="00CD12E2">
        <w:rPr>
          <w:rFonts w:cs="Times New Roman"/>
          <w:lang w:val="fr-CA"/>
        </w:rPr>
        <w:t> </w:t>
      </w:r>
      <w:r w:rsidRPr="003E28EF" w:rsidDel="00511177">
        <w:rPr>
          <w:rFonts w:cs="Times New Roman"/>
          <w:lang w:val="fr-CA"/>
        </w:rPr>
        <w:t xml:space="preserve">: The Ontario Labour </w:t>
      </w:r>
      <w:r w:rsidRPr="003E28EF" w:rsidDel="00511177">
        <w:rPr>
          <w:rFonts w:cs="Times New Roman"/>
          <w:lang w:val="fr-CA"/>
        </w:rPr>
        <w:lastRenderedPageBreak/>
        <w:t>C</w:t>
      </w:r>
      <w:r w:rsidRPr="003E28EF">
        <w:rPr>
          <w:rFonts w:cs="Times New Roman"/>
          <w:lang w:val="fr-CA"/>
        </w:rPr>
        <w:t>ourt, 1943</w:t>
      </w:r>
      <w:r w:rsidRPr="003E28EF">
        <w:rPr>
          <w:rFonts w:cs="Times New Roman"/>
          <w:lang w:val="fr-CA"/>
        </w:rPr>
        <w:noBreakHyphen/>
      </w:r>
      <w:r w:rsidRPr="003E28EF" w:rsidDel="00511177">
        <w:rPr>
          <w:rFonts w:cs="Times New Roman"/>
          <w:lang w:val="fr-CA"/>
        </w:rPr>
        <w:t>1944</w:t>
      </w:r>
      <w:r w:rsidRPr="003E28EF">
        <w:rPr>
          <w:rFonts w:cs="Times New Roman"/>
          <w:lang w:val="fr-CA"/>
        </w:rPr>
        <w:t> »</w:t>
      </w:r>
      <w:r w:rsidRPr="003E28EF" w:rsidDel="00511177">
        <w:rPr>
          <w:rFonts w:cs="Times New Roman"/>
          <w:lang w:val="fr-CA"/>
        </w:rPr>
        <w:t xml:space="preserve"> (2014)</w:t>
      </w:r>
      <w:r w:rsidRPr="003E28EF">
        <w:rPr>
          <w:rFonts w:cs="Times New Roman"/>
          <w:lang w:val="fr-CA"/>
        </w:rPr>
        <w:t>,</w:t>
      </w:r>
      <w:r w:rsidRPr="003E28EF" w:rsidDel="00511177">
        <w:rPr>
          <w:rFonts w:cs="Times New Roman"/>
          <w:lang w:val="fr-CA"/>
        </w:rPr>
        <w:t xml:space="preserve"> 74 </w:t>
      </w:r>
      <w:r w:rsidRPr="003E28EF" w:rsidDel="00511177">
        <w:rPr>
          <w:rFonts w:cs="Times New Roman"/>
          <w:i/>
          <w:lang w:val="fr-CA"/>
        </w:rPr>
        <w:t>Le Travail</w:t>
      </w:r>
      <w:r w:rsidRPr="003E28EF" w:rsidDel="00511177">
        <w:rPr>
          <w:rFonts w:cs="Times New Roman"/>
          <w:lang w:val="fr-CA"/>
        </w:rPr>
        <w:t xml:space="preserve"> 199). </w:t>
      </w:r>
      <w:r w:rsidRPr="006B5BF6">
        <w:rPr>
          <w:rFonts w:cs="Times New Roman"/>
          <w:lang w:val="fr-CA"/>
        </w:rPr>
        <w:t>D</w:t>
      </w:r>
      <w:r>
        <w:rPr>
          <w:rFonts w:cs="Times New Roman"/>
          <w:lang w:val="fr-CA"/>
        </w:rPr>
        <w:t>’</w:t>
      </w:r>
      <w:r w:rsidRPr="006B5BF6">
        <w:rPr>
          <w:rFonts w:cs="Times New Roman"/>
          <w:lang w:val="fr-CA"/>
        </w:rPr>
        <w:t>autres processus administratifs — renouvellement de permis, délivrance de permis de zonage et réévaluation fiscale, par exemple — ressemblent encore moins au modèle judiciaire traditionnel.</w:t>
      </w:r>
    </w:p>
    <w:p w14:paraId="29B9348A" w14:textId="4A7ED800"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Les cours de justice, par le biais du contrôle judiciaire, supervisent les paramètres du processus décisionnel administratif. Les questions relatives aux normes de contrôle judiciaire reviennent comme un leitmotiv en droit administratif canadien. Ces derniers temps, le débat a été centré sur les normes de la « décision raisonnable » et de la « décision correcte », ainsi que sur la question de savoir dans quels cas l</w:t>
      </w:r>
      <w:r>
        <w:rPr>
          <w:rFonts w:cs="Times New Roman"/>
          <w:lang w:val="fr-CA"/>
        </w:rPr>
        <w:t>’</w:t>
      </w:r>
      <w:r w:rsidRPr="006B5BF6">
        <w:rPr>
          <w:rFonts w:cs="Times New Roman"/>
          <w:lang w:val="fr-CA"/>
        </w:rPr>
        <w:t>une ou l</w:t>
      </w:r>
      <w:r>
        <w:rPr>
          <w:rFonts w:cs="Times New Roman"/>
          <w:lang w:val="fr-CA"/>
        </w:rPr>
        <w:t>’</w:t>
      </w:r>
      <w:r w:rsidRPr="006B5BF6">
        <w:rPr>
          <w:rFonts w:cs="Times New Roman"/>
          <w:lang w:val="fr-CA"/>
        </w:rPr>
        <w:t>autre s</w:t>
      </w:r>
      <w:r>
        <w:rPr>
          <w:rFonts w:cs="Times New Roman"/>
          <w:lang w:val="fr-CA"/>
        </w:rPr>
        <w:t>’</w:t>
      </w:r>
      <w:r w:rsidRPr="006B5BF6">
        <w:rPr>
          <w:rFonts w:cs="Times New Roman"/>
          <w:lang w:val="fr-CA"/>
        </w:rPr>
        <w:t>appliquait. D</w:t>
      </w:r>
      <w:r>
        <w:rPr>
          <w:rFonts w:cs="Times New Roman"/>
          <w:lang w:val="fr-CA"/>
        </w:rPr>
        <w:t>’</w:t>
      </w:r>
      <w:r w:rsidRPr="006B5BF6">
        <w:rPr>
          <w:rFonts w:cs="Times New Roman"/>
          <w:lang w:val="fr-CA"/>
        </w:rPr>
        <w:t>une part, l</w:t>
      </w:r>
      <w:r>
        <w:rPr>
          <w:rFonts w:cs="Times New Roman"/>
          <w:lang w:val="fr-CA"/>
        </w:rPr>
        <w:t>’</w:t>
      </w:r>
      <w:r w:rsidRPr="006B5BF6">
        <w:rPr>
          <w:rFonts w:cs="Times New Roman"/>
          <w:lang w:val="fr-CA"/>
        </w:rPr>
        <w:t xml:space="preserve">application de la norme de contrôle de la « décision raisonnable » suppose que les </w:t>
      </w:r>
      <w:r>
        <w:rPr>
          <w:rFonts w:cs="Times New Roman"/>
          <w:lang w:val="fr-CA"/>
        </w:rPr>
        <w:t>cours</w:t>
      </w:r>
      <w:r w:rsidRPr="006B5BF6">
        <w:rPr>
          <w:rFonts w:cs="Times New Roman"/>
          <w:lang w:val="fr-CA"/>
        </w:rPr>
        <w:t xml:space="preserve"> en défèrent aux décisions des décideurs spécialisés « pouvant se justifier au regard des faits et du droit »; d</w:t>
      </w:r>
      <w:r>
        <w:rPr>
          <w:rFonts w:cs="Times New Roman"/>
          <w:lang w:val="fr-CA"/>
        </w:rPr>
        <w:t>’</w:t>
      </w:r>
      <w:r w:rsidRPr="006B5BF6">
        <w:rPr>
          <w:rFonts w:cs="Times New Roman"/>
          <w:lang w:val="fr-CA"/>
        </w:rPr>
        <w:t xml:space="preserve">autre part, la norme de la « décision correcte » permet aux </w:t>
      </w:r>
      <w:r>
        <w:rPr>
          <w:rFonts w:cs="Times New Roman"/>
          <w:lang w:val="fr-CA"/>
        </w:rPr>
        <w:t>cours</w:t>
      </w:r>
      <w:r w:rsidRPr="006B5BF6">
        <w:rPr>
          <w:rFonts w:cs="Times New Roman"/>
          <w:lang w:val="fr-CA"/>
        </w:rPr>
        <w:t xml:space="preserve"> de substituer leur propre opinion à celle du décideur initial (</w:t>
      </w:r>
      <w:r w:rsidRPr="006B5BF6">
        <w:rPr>
          <w:rFonts w:cs="Times New Roman"/>
          <w:i/>
          <w:lang w:val="fr-CA"/>
        </w:rPr>
        <w:t>Dunsmuir</w:t>
      </w:r>
      <w:r w:rsidRPr="006B5BF6">
        <w:rPr>
          <w:rFonts w:cs="Times New Roman"/>
          <w:lang w:val="fr-CA"/>
        </w:rPr>
        <w:t>, par. 47</w:t>
      </w:r>
      <w:r w:rsidR="00EF20DD">
        <w:rPr>
          <w:rFonts w:cs="Times New Roman"/>
          <w:lang w:val="fr-CA"/>
        </w:rPr>
        <w:t>-</w:t>
      </w:r>
      <w:r w:rsidRPr="006B5BF6">
        <w:rPr>
          <w:rFonts w:cs="Times New Roman"/>
          <w:lang w:val="fr-CA"/>
        </w:rPr>
        <w:t>50). Ce débat entourant la norme de contrôle applicable a des conséquences importantes sur la mesure dans laquelle les cours de révision peuvent substituer leur point de vue à celui des décideurs administratifs. Fondamentalement, ce débat porte sur deux conceptions distinctes du droit administratif.</w:t>
      </w:r>
    </w:p>
    <w:p w14:paraId="41214B3A" w14:textId="22991138"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L</w:t>
      </w:r>
      <w:r>
        <w:rPr>
          <w:rFonts w:cs="Times New Roman"/>
          <w:lang w:val="fr-CA"/>
        </w:rPr>
        <w:t>’</w:t>
      </w:r>
      <w:r w:rsidRPr="006B5BF6">
        <w:rPr>
          <w:rFonts w:cs="Times New Roman"/>
          <w:lang w:val="fr-CA"/>
        </w:rPr>
        <w:t>histoire du droit administratif canadien moderne est marquée par un virage consistant à se détourner de la philosophie judiciaire antérieure, qui refusait aux organismes administratifs le pouvoir d</w:t>
      </w:r>
      <w:r>
        <w:rPr>
          <w:rFonts w:cs="Times New Roman"/>
          <w:lang w:val="fr-CA"/>
        </w:rPr>
        <w:t>’</w:t>
      </w:r>
      <w:r w:rsidRPr="006B5BF6">
        <w:rPr>
          <w:rFonts w:cs="Times New Roman"/>
          <w:lang w:val="fr-CA"/>
        </w:rPr>
        <w:t xml:space="preserve">interpréter ou de façonner le droit. Cette approche a été exprimée avec conviction par Albert Venn Dicey. Pour Dicey, primauté du droit était synonyme de primauté des </w:t>
      </w:r>
      <w:r>
        <w:rPr>
          <w:rFonts w:cs="Times New Roman"/>
          <w:lang w:val="fr-CA"/>
        </w:rPr>
        <w:t>cours</w:t>
      </w:r>
      <w:r w:rsidRPr="006B5BF6">
        <w:rPr>
          <w:rFonts w:cs="Times New Roman"/>
          <w:lang w:val="fr-CA"/>
        </w:rPr>
        <w:t xml:space="preserve">. Dicey a élaboré sa philosophie à la fin </w:t>
      </w:r>
      <w:r w:rsidRPr="006B5BF6">
        <w:rPr>
          <w:rFonts w:cs="Times New Roman"/>
          <w:lang w:val="fr-CA"/>
        </w:rPr>
        <w:lastRenderedPageBreak/>
        <w:t>du XIX</w:t>
      </w:r>
      <w:r w:rsidRPr="006B5BF6">
        <w:rPr>
          <w:rFonts w:cs="Times New Roman"/>
          <w:vertAlign w:val="superscript"/>
          <w:lang w:val="fr-CA"/>
        </w:rPr>
        <w:t>e</w:t>
      </w:r>
      <w:r w:rsidRPr="006B5BF6">
        <w:rPr>
          <w:rFonts w:cs="Times New Roman"/>
          <w:lang w:val="fr-CA"/>
        </w:rPr>
        <w:t xml:space="preserve"> siècle pour inciter la Chambre des lords à empêcher le gouvernement de mettre en œuvre les réformes d</w:t>
      </w:r>
      <w:r>
        <w:rPr>
          <w:rFonts w:cs="Times New Roman"/>
          <w:lang w:val="fr-CA"/>
        </w:rPr>
        <w:t>’</w:t>
      </w:r>
      <w:r w:rsidRPr="006B5BF6">
        <w:rPr>
          <w:rFonts w:cs="Times New Roman"/>
          <w:lang w:val="fr-CA"/>
        </w:rPr>
        <w:t xml:space="preserve">assistance sociale administrées par de nouveaux organismes de réglementation. Dans une de ses déclarations célèbres, Dicey affirmait que le droit administratif représentait une abomination pour le système juridique anglais (Albert Venn Dicey, </w:t>
      </w:r>
      <w:r w:rsidRPr="006B5BF6">
        <w:rPr>
          <w:rFonts w:cs="Times New Roman"/>
          <w:i/>
          <w:lang w:val="fr-CA"/>
        </w:rPr>
        <w:t>An Introduction to the Study of the Law of the Constitution</w:t>
      </w:r>
      <w:r w:rsidRPr="006B5BF6">
        <w:rPr>
          <w:rFonts w:cs="Times New Roman"/>
          <w:lang w:val="fr-CA"/>
        </w:rPr>
        <w:t xml:space="preserve"> (10</w:t>
      </w:r>
      <w:r w:rsidRPr="006B5BF6">
        <w:rPr>
          <w:rFonts w:cs="Times New Roman"/>
          <w:vertAlign w:val="superscript"/>
          <w:lang w:val="fr-CA"/>
        </w:rPr>
        <w:t>e</w:t>
      </w:r>
      <w:r w:rsidR="00EF20DD">
        <w:rPr>
          <w:rFonts w:cs="Times New Roman"/>
          <w:lang w:val="fr-CA"/>
        </w:rPr>
        <w:t> éd.</w:t>
      </w:r>
      <w:r w:rsidRPr="006B5BF6">
        <w:rPr>
          <w:rFonts w:cs="Times New Roman"/>
          <w:lang w:val="fr-CA"/>
        </w:rPr>
        <w:t> 1959), p. 334</w:t>
      </w:r>
      <w:r w:rsidRPr="006B5BF6">
        <w:rPr>
          <w:rFonts w:cs="Times New Roman"/>
          <w:lang w:val="fr-CA"/>
        </w:rPr>
        <w:noBreakHyphen/>
        <w:t>335). Puisque, selon lui, seuls les juges avaient le pouvoir d</w:t>
      </w:r>
      <w:r>
        <w:rPr>
          <w:rFonts w:cs="Times New Roman"/>
          <w:lang w:val="fr-CA"/>
        </w:rPr>
        <w:t>’</w:t>
      </w:r>
      <w:r w:rsidRPr="006B5BF6">
        <w:rPr>
          <w:rFonts w:cs="Times New Roman"/>
          <w:lang w:val="fr-CA"/>
        </w:rPr>
        <w:t xml:space="preserve">interpréter le droit, les </w:t>
      </w:r>
      <w:r>
        <w:rPr>
          <w:rFonts w:cs="Times New Roman"/>
          <w:lang w:val="fr-CA"/>
        </w:rPr>
        <w:t>cours</w:t>
      </w:r>
      <w:r w:rsidRPr="006B5BF6">
        <w:rPr>
          <w:rFonts w:cs="Times New Roman"/>
          <w:lang w:val="fr-CA"/>
        </w:rPr>
        <w:t xml:space="preserve"> n</w:t>
      </w:r>
      <w:r>
        <w:rPr>
          <w:rFonts w:cs="Times New Roman"/>
          <w:lang w:val="fr-CA"/>
        </w:rPr>
        <w:t>’</w:t>
      </w:r>
      <w:r w:rsidRPr="006B5BF6">
        <w:rPr>
          <w:rFonts w:cs="Times New Roman"/>
          <w:lang w:val="fr-CA"/>
        </w:rPr>
        <w:t>avaient aucune raison de s</w:t>
      </w:r>
      <w:r>
        <w:rPr>
          <w:rFonts w:cs="Times New Roman"/>
          <w:lang w:val="fr-CA"/>
        </w:rPr>
        <w:t>’</w:t>
      </w:r>
      <w:r w:rsidRPr="006B5BF6">
        <w:rPr>
          <w:rFonts w:cs="Times New Roman"/>
          <w:lang w:val="fr-CA"/>
        </w:rPr>
        <w:t xml:space="preserve">en remettre aux interprétations juridiques des organismes administratifs, puisque leurs décisions ne constituaient pas du « droit » (Kevin M. Stack, « Overcoming Dicey in Administrative Law » (2018), 68 </w:t>
      </w:r>
      <w:r w:rsidRPr="006B5BF6">
        <w:rPr>
          <w:rFonts w:cs="Times New Roman"/>
          <w:i/>
          <w:lang w:val="fr-CA"/>
        </w:rPr>
        <w:t>U.T.L.J.</w:t>
      </w:r>
      <w:r w:rsidRPr="006B5BF6">
        <w:rPr>
          <w:rFonts w:cs="Times New Roman"/>
          <w:lang w:val="fr-CA"/>
        </w:rPr>
        <w:t xml:space="preserve"> 293, p. 294).</w:t>
      </w:r>
    </w:p>
    <w:p w14:paraId="354FD9A5"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L</w:t>
      </w:r>
      <w:r>
        <w:rPr>
          <w:rFonts w:cs="Times New Roman"/>
          <w:lang w:val="fr-CA"/>
        </w:rPr>
        <w:t>’</w:t>
      </w:r>
      <w:r w:rsidRPr="006B5BF6">
        <w:rPr>
          <w:rFonts w:cs="Times New Roman"/>
          <w:lang w:val="fr-CA"/>
        </w:rPr>
        <w:t>exemple par excellence d</w:t>
      </w:r>
      <w:r>
        <w:rPr>
          <w:rFonts w:cs="Times New Roman"/>
          <w:lang w:val="fr-CA"/>
        </w:rPr>
        <w:t>’</w:t>
      </w:r>
      <w:r w:rsidRPr="006B5BF6">
        <w:rPr>
          <w:rFonts w:cs="Times New Roman"/>
          <w:lang w:val="fr-CA"/>
        </w:rPr>
        <w:t>une application concrète de l</w:t>
      </w:r>
      <w:r>
        <w:rPr>
          <w:rFonts w:cs="Times New Roman"/>
          <w:lang w:val="fr-CA"/>
        </w:rPr>
        <w:t>’</w:t>
      </w:r>
      <w:r w:rsidRPr="006B5BF6">
        <w:rPr>
          <w:rFonts w:cs="Times New Roman"/>
          <w:lang w:val="fr-CA"/>
        </w:rPr>
        <w:t>approche de Dicey est l</w:t>
      </w:r>
      <w:r>
        <w:rPr>
          <w:rFonts w:cs="Times New Roman"/>
          <w:lang w:val="fr-CA"/>
        </w:rPr>
        <w:t>’</w:t>
      </w:r>
      <w:r w:rsidRPr="006B5BF6">
        <w:rPr>
          <w:rFonts w:cs="Times New Roman"/>
          <w:lang w:val="fr-CA"/>
        </w:rPr>
        <w:t xml:space="preserve">arrêt rendu par la Chambre des lords dans </w:t>
      </w:r>
      <w:r w:rsidRPr="006B5BF6">
        <w:rPr>
          <w:rFonts w:cs="Times New Roman"/>
          <w:i/>
          <w:lang w:val="fr-CA"/>
        </w:rPr>
        <w:t>Anisminic Ltd. c. Foreign Compensation Commission</w:t>
      </w:r>
      <w:r w:rsidRPr="006B5BF6">
        <w:rPr>
          <w:rFonts w:cs="Times New Roman"/>
          <w:lang w:val="fr-CA"/>
        </w:rPr>
        <w:t>, [1969] 2 A.C. 147, le précurseur judiciaire de la notion d</w:t>
      </w:r>
      <w:r>
        <w:rPr>
          <w:rFonts w:cs="Times New Roman"/>
          <w:lang w:val="fr-CA"/>
        </w:rPr>
        <w:t>’</w:t>
      </w:r>
      <w:r w:rsidRPr="006B5BF6">
        <w:rPr>
          <w:rFonts w:cs="Times New Roman"/>
          <w:lang w:val="fr-CA"/>
        </w:rPr>
        <w:t>« erreur de compétence ». L</w:t>
      </w:r>
      <w:r>
        <w:rPr>
          <w:rFonts w:cs="Times New Roman"/>
          <w:lang w:val="fr-CA"/>
        </w:rPr>
        <w:t>’</w:t>
      </w:r>
      <w:r w:rsidRPr="006B5BF6">
        <w:rPr>
          <w:rFonts w:cs="Times New Roman"/>
          <w:lang w:val="fr-CA"/>
        </w:rPr>
        <w:t xml:space="preserve">arrêt </w:t>
      </w:r>
      <w:r w:rsidRPr="006B5BF6">
        <w:rPr>
          <w:rFonts w:cs="Times New Roman"/>
          <w:i/>
          <w:lang w:val="fr-CA"/>
        </w:rPr>
        <w:t>Anisminic</w:t>
      </w:r>
      <w:r w:rsidRPr="006B5BF6">
        <w:rPr>
          <w:rFonts w:cs="Times New Roman"/>
          <w:lang w:val="fr-CA"/>
        </w:rPr>
        <w:t xml:space="preserve"> a consacré le modèle du contrôle judiciaire non axé sur la déférence en entérinant une longue liste d</w:t>
      </w:r>
      <w:r>
        <w:rPr>
          <w:rFonts w:cs="Times New Roman"/>
          <w:lang w:val="fr-CA"/>
        </w:rPr>
        <w:t>’</w:t>
      </w:r>
      <w:r w:rsidRPr="006B5BF6">
        <w:rPr>
          <w:rFonts w:cs="Times New Roman"/>
          <w:lang w:val="fr-CA"/>
        </w:rPr>
        <w:t>« erreurs de compétence » susceptibles de porter atteinte à la validité des décisions administratives. Lord Reid a fait observer qu</w:t>
      </w:r>
      <w:r>
        <w:rPr>
          <w:rFonts w:cs="Times New Roman"/>
          <w:lang w:val="fr-CA"/>
        </w:rPr>
        <w:t>’</w:t>
      </w:r>
      <w:r w:rsidRPr="006B5BF6">
        <w:rPr>
          <w:rFonts w:cs="Times New Roman"/>
          <w:lang w:val="fr-CA"/>
        </w:rPr>
        <w:t>un décideur administratif perdait sa compétence dans deux cas précis. Le premier scénario, étant restrictif, consistait à se demander si le législateur avait habilité le décideur administratif à [</w:t>
      </w:r>
      <w:r w:rsidRPr="006B5BF6">
        <w:rPr>
          <w:rFonts w:cs="Times New Roman"/>
          <w:smallCaps/>
          <w:lang w:val="fr-CA"/>
        </w:rPr>
        <w:t>traduction</w:t>
      </w:r>
      <w:r w:rsidRPr="006B5BF6">
        <w:rPr>
          <w:rFonts w:cs="Times New Roman"/>
          <w:lang w:val="fr-CA"/>
        </w:rPr>
        <w:t>] « entreprendre l</w:t>
      </w:r>
      <w:r>
        <w:rPr>
          <w:rFonts w:cs="Times New Roman"/>
          <w:lang w:val="fr-CA"/>
        </w:rPr>
        <w:t>’</w:t>
      </w:r>
      <w:r w:rsidRPr="006B5BF6">
        <w:rPr>
          <w:rFonts w:cs="Times New Roman"/>
          <w:lang w:val="fr-CA"/>
        </w:rPr>
        <w:t>examen en cause » (p. 171). Le second scénario avait une portée plus large :</w:t>
      </w:r>
    </w:p>
    <w:p w14:paraId="4124F6DB" w14:textId="29D01807" w:rsidR="00AE2373" w:rsidRPr="006B5BF6" w:rsidRDefault="00AE2373" w:rsidP="00AE2373">
      <w:pPr>
        <w:pStyle w:val="Citation-AltC"/>
        <w:ind w:hanging="446"/>
        <w:contextualSpacing w:val="0"/>
        <w:rPr>
          <w:lang w:val="fr-CA"/>
        </w:rPr>
      </w:pPr>
      <w:r w:rsidRPr="006B5BF6">
        <w:rPr>
          <w:shd w:val="clear" w:color="auto" w:fill="FFFFFF"/>
          <w:lang w:val="fr-CA"/>
        </w:rPr>
        <w:tab/>
      </w:r>
      <w:r w:rsidR="002F39B9" w:rsidRPr="006B5BF6">
        <w:rPr>
          <w:shd w:val="clear" w:color="auto" w:fill="FFFFFF"/>
          <w:lang w:val="fr-CA"/>
        </w:rPr>
        <w:t>[</w:t>
      </w:r>
      <w:r w:rsidR="002F39B9" w:rsidRPr="006B5BF6">
        <w:rPr>
          <w:smallCaps/>
          <w:shd w:val="clear" w:color="auto" w:fill="FFFFFF"/>
          <w:lang w:val="fr-CA"/>
        </w:rPr>
        <w:t>traduction</w:t>
      </w:r>
      <w:r w:rsidR="002F39B9" w:rsidRPr="006B5BF6">
        <w:rPr>
          <w:shd w:val="clear" w:color="auto" w:fill="FFFFFF"/>
          <w:lang w:val="fr-CA"/>
        </w:rPr>
        <w:t>]</w:t>
      </w:r>
      <w:r w:rsidR="002F39B9">
        <w:rPr>
          <w:shd w:val="clear" w:color="auto" w:fill="FFFFFF"/>
          <w:lang w:val="fr-CA"/>
        </w:rPr>
        <w:t xml:space="preserve"> </w:t>
      </w:r>
      <w:r w:rsidRPr="006B5BF6">
        <w:rPr>
          <w:shd w:val="clear" w:color="auto" w:fill="FFFFFF"/>
          <w:lang w:val="fr-CA"/>
        </w:rPr>
        <w:t>Il y a de nombreux cas où, même s</w:t>
      </w:r>
      <w:r>
        <w:rPr>
          <w:shd w:val="clear" w:color="auto" w:fill="FFFFFF"/>
          <w:lang w:val="fr-CA"/>
        </w:rPr>
        <w:t>’</w:t>
      </w:r>
      <w:r w:rsidRPr="006B5BF6">
        <w:rPr>
          <w:shd w:val="clear" w:color="auto" w:fill="FFFFFF"/>
          <w:lang w:val="fr-CA"/>
        </w:rPr>
        <w:t>il avait</w:t>
      </w:r>
      <w:r>
        <w:rPr>
          <w:shd w:val="clear" w:color="auto" w:fill="FFFFFF"/>
          <w:lang w:val="fr-CA"/>
        </w:rPr>
        <w:t xml:space="preserve"> compétence pour entreprendre l’</w:t>
      </w:r>
      <w:r w:rsidRPr="006B5BF6">
        <w:rPr>
          <w:shd w:val="clear" w:color="auto" w:fill="FFFFFF"/>
          <w:lang w:val="fr-CA"/>
        </w:rPr>
        <w:t>examen, le tribunal a, au cours de son examen, fait ou omis de faire quelque chose de nature à entacher sa décision de nullité. Il peut avoir rendu sa décision de mauvaise foi. Il peut avoir rendu une décision qu</w:t>
      </w:r>
      <w:r>
        <w:rPr>
          <w:shd w:val="clear" w:color="auto" w:fill="FFFFFF"/>
          <w:lang w:val="fr-CA"/>
        </w:rPr>
        <w:t>’il n’</w:t>
      </w:r>
      <w:r w:rsidRPr="006B5BF6">
        <w:rPr>
          <w:shd w:val="clear" w:color="auto" w:fill="FFFFFF"/>
          <w:lang w:val="fr-CA"/>
        </w:rPr>
        <w:t>avait pas le pouvoir de rendre. Il peut avoir omis au cours de l</w:t>
      </w:r>
      <w:r>
        <w:rPr>
          <w:shd w:val="clear" w:color="auto" w:fill="FFFFFF"/>
          <w:lang w:val="fr-CA"/>
        </w:rPr>
        <w:t>’</w:t>
      </w:r>
      <w:r w:rsidRPr="006B5BF6">
        <w:rPr>
          <w:shd w:val="clear" w:color="auto" w:fill="FFFFFF"/>
          <w:lang w:val="fr-CA"/>
        </w:rPr>
        <w:t xml:space="preserve">examen de se conformer aux exigences de la justice naturelle. </w:t>
      </w:r>
      <w:r w:rsidRPr="006B5BF6">
        <w:rPr>
          <w:i/>
          <w:iCs/>
          <w:shd w:val="clear" w:color="auto" w:fill="FFFFFF"/>
          <w:lang w:val="fr-CA"/>
        </w:rPr>
        <w:t xml:space="preserve">Il peut en </w:t>
      </w:r>
      <w:r w:rsidRPr="006B5BF6">
        <w:rPr>
          <w:i/>
          <w:iCs/>
          <w:shd w:val="clear" w:color="auto" w:fill="FFFFFF"/>
          <w:lang w:val="fr-CA"/>
        </w:rPr>
        <w:lastRenderedPageBreak/>
        <w:t>toute bonne foi avoir mal interprété les dispositions lui donnant le pouvoir d</w:t>
      </w:r>
      <w:r>
        <w:rPr>
          <w:i/>
          <w:iCs/>
          <w:shd w:val="clear" w:color="auto" w:fill="FFFFFF"/>
          <w:lang w:val="fr-CA"/>
        </w:rPr>
        <w:t>’</w:t>
      </w:r>
      <w:r w:rsidRPr="006B5BF6">
        <w:rPr>
          <w:i/>
          <w:iCs/>
          <w:shd w:val="clear" w:color="auto" w:fill="FFFFFF"/>
          <w:lang w:val="fr-CA"/>
        </w:rPr>
        <w:t>agir, de sorte qu</w:t>
      </w:r>
      <w:r>
        <w:rPr>
          <w:i/>
          <w:iCs/>
          <w:shd w:val="clear" w:color="auto" w:fill="FFFFFF"/>
          <w:lang w:val="fr-CA"/>
        </w:rPr>
        <w:t>’</w:t>
      </w:r>
      <w:r w:rsidRPr="006B5BF6">
        <w:rPr>
          <w:i/>
          <w:iCs/>
          <w:shd w:val="clear" w:color="auto" w:fill="FFFFFF"/>
          <w:lang w:val="fr-CA"/>
        </w:rPr>
        <w:t>il n</w:t>
      </w:r>
      <w:r>
        <w:rPr>
          <w:i/>
          <w:iCs/>
          <w:shd w:val="clear" w:color="auto" w:fill="FFFFFF"/>
          <w:lang w:val="fr-CA"/>
        </w:rPr>
        <w:t>’</w:t>
      </w:r>
      <w:r w:rsidRPr="006B5BF6">
        <w:rPr>
          <w:i/>
          <w:iCs/>
          <w:shd w:val="clear" w:color="auto" w:fill="FFFFFF"/>
          <w:lang w:val="fr-CA"/>
        </w:rPr>
        <w:t>a pas traité de la question qui lui était soumise et a tranché une question dont il n</w:t>
      </w:r>
      <w:r>
        <w:rPr>
          <w:i/>
          <w:iCs/>
          <w:shd w:val="clear" w:color="auto" w:fill="FFFFFF"/>
          <w:lang w:val="fr-CA"/>
        </w:rPr>
        <w:t>’</w:t>
      </w:r>
      <w:r w:rsidRPr="006B5BF6">
        <w:rPr>
          <w:i/>
          <w:iCs/>
          <w:shd w:val="clear" w:color="auto" w:fill="FFFFFF"/>
          <w:lang w:val="fr-CA"/>
        </w:rPr>
        <w:t>était pas saisi. Il peut avoir refusé de prendre en compte quelque chose dont il devait tenir compte. Ou il peut avoir fondé sa décision sur une considération qu</w:t>
      </w:r>
      <w:r>
        <w:rPr>
          <w:i/>
          <w:iCs/>
          <w:shd w:val="clear" w:color="auto" w:fill="FFFFFF"/>
          <w:lang w:val="fr-CA"/>
        </w:rPr>
        <w:t>’</w:t>
      </w:r>
      <w:r w:rsidRPr="006B5BF6">
        <w:rPr>
          <w:i/>
          <w:iCs/>
          <w:shd w:val="clear" w:color="auto" w:fill="FFFFFF"/>
          <w:lang w:val="fr-CA"/>
        </w:rPr>
        <w:t>il n</w:t>
      </w:r>
      <w:r>
        <w:rPr>
          <w:i/>
          <w:iCs/>
          <w:shd w:val="clear" w:color="auto" w:fill="FFFFFF"/>
          <w:lang w:val="fr-CA"/>
        </w:rPr>
        <w:t>’</w:t>
      </w:r>
      <w:r w:rsidRPr="006B5BF6">
        <w:rPr>
          <w:i/>
          <w:iCs/>
          <w:shd w:val="clear" w:color="auto" w:fill="FFFFFF"/>
          <w:lang w:val="fr-CA"/>
        </w:rPr>
        <w:t>avait pas le droit de prendre en compte, selon les dispositions en vertu desquelles il a été créé. Cette énumération ne se veut pas exhaustive</w:t>
      </w:r>
      <w:r w:rsidRPr="006B5BF6">
        <w:rPr>
          <w:sz w:val="27"/>
          <w:szCs w:val="27"/>
          <w:shd w:val="clear" w:color="auto" w:fill="FFFFFF"/>
          <w:lang w:val="fr-CA"/>
        </w:rPr>
        <w:t xml:space="preserve">. </w:t>
      </w:r>
      <w:r w:rsidR="006D2BF0">
        <w:rPr>
          <w:lang w:val="fr-CA"/>
        </w:rPr>
        <w:t>[Italique</w:t>
      </w:r>
      <w:r w:rsidR="00F3240E">
        <w:rPr>
          <w:lang w:val="fr-CA"/>
        </w:rPr>
        <w:t xml:space="preserve"> ajouté;</w:t>
      </w:r>
      <w:r w:rsidRPr="006B5BF6">
        <w:rPr>
          <w:lang w:val="fr-CA"/>
        </w:rPr>
        <w:t xml:space="preserve"> p. 171.]</w:t>
      </w:r>
    </w:p>
    <w:p w14:paraId="421EFFBB" w14:textId="41C2B080"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La conception large de l</w:t>
      </w:r>
      <w:r>
        <w:rPr>
          <w:rFonts w:cs="Times New Roman"/>
          <w:lang w:val="fr-CA"/>
        </w:rPr>
        <w:t>’</w:t>
      </w:r>
      <w:r w:rsidRPr="006B5BF6">
        <w:rPr>
          <w:rFonts w:cs="Times New Roman"/>
          <w:lang w:val="fr-CA"/>
        </w:rPr>
        <w:t>« erreur de compétence » retenue dans l</w:t>
      </w:r>
      <w:r>
        <w:rPr>
          <w:rFonts w:cs="Times New Roman"/>
          <w:lang w:val="fr-CA"/>
        </w:rPr>
        <w:t>’</w:t>
      </w:r>
      <w:r w:rsidRPr="006B5BF6">
        <w:rPr>
          <w:rFonts w:cs="Times New Roman"/>
          <w:lang w:val="fr-CA"/>
        </w:rPr>
        <w:t xml:space="preserve">arrêt </w:t>
      </w:r>
      <w:r w:rsidRPr="006B5BF6">
        <w:rPr>
          <w:rFonts w:cs="Times New Roman"/>
          <w:i/>
          <w:lang w:val="fr-CA"/>
        </w:rPr>
        <w:t>Anisminic</w:t>
      </w:r>
      <w:r w:rsidRPr="006B5BF6">
        <w:rPr>
          <w:rFonts w:cs="Times New Roman"/>
          <w:lang w:val="fr-CA"/>
        </w:rPr>
        <w:t xml:space="preserve"> a d</w:t>
      </w:r>
      <w:r>
        <w:rPr>
          <w:rFonts w:cs="Times New Roman"/>
          <w:lang w:val="fr-CA"/>
        </w:rPr>
        <w:t>’</w:t>
      </w:r>
      <w:r w:rsidRPr="006B5BF6">
        <w:rPr>
          <w:rFonts w:cs="Times New Roman"/>
          <w:lang w:val="fr-CA"/>
        </w:rPr>
        <w:t xml:space="preserve">abord été accueillie favorablement par notre Cour dans des décisions comme </w:t>
      </w:r>
      <w:r w:rsidRPr="006B5BF6">
        <w:rPr>
          <w:rFonts w:cs="Times New Roman"/>
          <w:i/>
          <w:lang w:val="fr-CA"/>
        </w:rPr>
        <w:t>Metropolitan Life Insurance Co</w:t>
      </w:r>
      <w:r w:rsidR="0042206D">
        <w:rPr>
          <w:rFonts w:cs="Times New Roman"/>
          <w:i/>
          <w:lang w:val="fr-CA"/>
        </w:rPr>
        <w:t>.</w:t>
      </w:r>
      <w:r w:rsidRPr="006B5BF6">
        <w:rPr>
          <w:rFonts w:cs="Times New Roman"/>
          <w:i/>
          <w:lang w:val="fr-CA"/>
        </w:rPr>
        <w:t xml:space="preserve"> c. International Union of Operating Engineers, Local 796</w:t>
      </w:r>
      <w:r w:rsidRPr="006B5BF6">
        <w:rPr>
          <w:rFonts w:cs="Times New Roman"/>
          <w:lang w:val="fr-CA"/>
        </w:rPr>
        <w:t xml:space="preserve">, [1970] R.C.S. 425, et </w:t>
      </w:r>
      <w:r w:rsidRPr="006B5BF6">
        <w:rPr>
          <w:rFonts w:cs="Times New Roman"/>
          <w:i/>
          <w:lang w:val="fr-CA"/>
        </w:rPr>
        <w:t>Bell c. Ontario (Human Rights Commission)</w:t>
      </w:r>
      <w:r w:rsidRPr="006B5BF6">
        <w:rPr>
          <w:rFonts w:cs="Times New Roman"/>
          <w:lang w:val="fr-CA"/>
        </w:rPr>
        <w:t>, [1971] R.C.S. 756. Dans ces arrêts, la Cour a « a</w:t>
      </w:r>
      <w:r w:rsidRPr="006B5BF6">
        <w:rPr>
          <w:rFonts w:cs="Times New Roman"/>
          <w:spacing w:val="-3"/>
          <w:lang w:val="fr-CA"/>
        </w:rPr>
        <w:t>dopté la position qu</w:t>
      </w:r>
      <w:r>
        <w:rPr>
          <w:rFonts w:cs="Times New Roman"/>
          <w:spacing w:val="-3"/>
          <w:lang w:val="fr-CA"/>
        </w:rPr>
        <w:t>’</w:t>
      </w:r>
      <w:r w:rsidRPr="006B5BF6">
        <w:rPr>
          <w:rFonts w:cs="Times New Roman"/>
          <w:spacing w:val="-3"/>
          <w:lang w:val="fr-CA"/>
        </w:rPr>
        <w:t>une définition de l</w:t>
      </w:r>
      <w:r>
        <w:rPr>
          <w:rFonts w:cs="Times New Roman"/>
          <w:spacing w:val="-3"/>
          <w:lang w:val="fr-CA"/>
        </w:rPr>
        <w:t>’</w:t>
      </w:r>
      <w:r w:rsidRPr="006B5BF6">
        <w:rPr>
          <w:rFonts w:cs="Times New Roman"/>
          <w:spacing w:val="-3"/>
          <w:lang w:val="fr-CA"/>
        </w:rPr>
        <w:t>erreur juridictionnelle devrait comprendre toute question qui se rattache à l</w:t>
      </w:r>
      <w:r>
        <w:rPr>
          <w:rFonts w:cs="Times New Roman"/>
          <w:spacing w:val="-3"/>
          <w:lang w:val="fr-CA"/>
        </w:rPr>
        <w:t>’</w:t>
      </w:r>
      <w:r w:rsidRPr="006B5BF6">
        <w:rPr>
          <w:rFonts w:cs="Times New Roman"/>
          <w:spacing w:val="-3"/>
          <w:lang w:val="fr-CA"/>
        </w:rPr>
        <w:t>interprétation d</w:t>
      </w:r>
      <w:r>
        <w:rPr>
          <w:rFonts w:cs="Times New Roman"/>
          <w:spacing w:val="-3"/>
          <w:lang w:val="fr-CA"/>
        </w:rPr>
        <w:t>’</w:t>
      </w:r>
      <w:r w:rsidRPr="006B5BF6">
        <w:rPr>
          <w:rFonts w:cs="Times New Roman"/>
          <w:spacing w:val="-3"/>
          <w:lang w:val="fr-CA"/>
        </w:rPr>
        <w:t xml:space="preserve">une loi faite par un tribunal administratif », et dans chaque cas, « notre Cour a substitué ce qui, à son avis, constituait la bonne interprétation des dispositions habilitantes de la loi constitutive du tribunal, à celle donnée par ce tribunal » </w:t>
      </w:r>
      <w:r w:rsidRPr="006B5BF6">
        <w:rPr>
          <w:rFonts w:cs="Times New Roman"/>
          <w:lang w:val="fr-CA"/>
        </w:rPr>
        <w:t>(</w:t>
      </w:r>
      <w:r w:rsidRPr="006B5BF6">
        <w:rPr>
          <w:rFonts w:cs="Times New Roman"/>
          <w:i/>
          <w:iCs/>
          <w:spacing w:val="-3"/>
          <w:lang w:val="fr-CA"/>
        </w:rPr>
        <w:t>Canada (Procureur général) c. Alliance de la Fonction publique du Canada</w:t>
      </w:r>
      <w:r w:rsidRPr="006B5BF6">
        <w:rPr>
          <w:rFonts w:cs="Times New Roman"/>
          <w:spacing w:val="-3"/>
          <w:lang w:val="fr-CA"/>
        </w:rPr>
        <w:t>, [1991] 1 R.C.S. 614, p. 650, le juge Cory, dissident, mais non sur ce point).</w:t>
      </w:r>
      <w:r w:rsidRPr="006B5BF6">
        <w:rPr>
          <w:rFonts w:cs="Times New Roman"/>
          <w:lang w:val="fr-CA"/>
        </w:rPr>
        <w:t xml:space="preserve"> Par exemple, dans l</w:t>
      </w:r>
      <w:r>
        <w:rPr>
          <w:rFonts w:cs="Times New Roman"/>
          <w:lang w:val="fr-CA"/>
        </w:rPr>
        <w:t>’</w:t>
      </w:r>
      <w:r w:rsidRPr="006B5BF6">
        <w:rPr>
          <w:rFonts w:cs="Times New Roman"/>
          <w:lang w:val="fr-CA"/>
        </w:rPr>
        <w:t xml:space="preserve">arrêt </w:t>
      </w:r>
      <w:r w:rsidRPr="006B5BF6">
        <w:rPr>
          <w:rFonts w:cs="Times New Roman"/>
          <w:i/>
          <w:lang w:val="fr-CA"/>
        </w:rPr>
        <w:t>Metropolitan Life</w:t>
      </w:r>
      <w:r w:rsidRPr="006B5BF6">
        <w:rPr>
          <w:rFonts w:cs="Times New Roman"/>
          <w:lang w:val="fr-CA"/>
        </w:rPr>
        <w:t>, notre Cour a annulé la décision par laquelle une commission des relations du travail avait accrédité un syndicat, en concluant que la Commission s</w:t>
      </w:r>
      <w:r>
        <w:rPr>
          <w:rFonts w:cs="Times New Roman"/>
          <w:lang w:val="fr-CA"/>
        </w:rPr>
        <w:t>’</w:t>
      </w:r>
      <w:r w:rsidRPr="006B5BF6">
        <w:rPr>
          <w:rFonts w:cs="Times New Roman"/>
          <w:lang w:val="fr-CA"/>
        </w:rPr>
        <w:t>était posé « la mauvaise question » et « a[vait] tranché une question qu</w:t>
      </w:r>
      <w:r>
        <w:rPr>
          <w:rFonts w:cs="Times New Roman"/>
          <w:lang w:val="fr-CA"/>
        </w:rPr>
        <w:t>’</w:t>
      </w:r>
      <w:r w:rsidRPr="006B5BF6">
        <w:rPr>
          <w:rFonts w:cs="Times New Roman"/>
          <w:lang w:val="fr-CA"/>
        </w:rPr>
        <w:t>elle n</w:t>
      </w:r>
      <w:r>
        <w:rPr>
          <w:rFonts w:cs="Times New Roman"/>
          <w:lang w:val="fr-CA"/>
        </w:rPr>
        <w:t>’</w:t>
      </w:r>
      <w:r w:rsidRPr="006B5BF6">
        <w:rPr>
          <w:rFonts w:cs="Times New Roman"/>
          <w:lang w:val="fr-CA"/>
        </w:rPr>
        <w:t>avait pas à trancher » (p. 435). Dans l</w:t>
      </w:r>
      <w:r>
        <w:rPr>
          <w:rFonts w:cs="Times New Roman"/>
          <w:lang w:val="fr-CA"/>
        </w:rPr>
        <w:t>’</w:t>
      </w:r>
      <w:r w:rsidRPr="006B5BF6">
        <w:rPr>
          <w:rFonts w:cs="Times New Roman"/>
          <w:lang w:val="fr-CA"/>
        </w:rPr>
        <w:t xml:space="preserve">affaire </w:t>
      </w:r>
      <w:r w:rsidRPr="006B5BF6">
        <w:rPr>
          <w:rFonts w:cs="Times New Roman"/>
          <w:i/>
          <w:lang w:val="fr-CA"/>
        </w:rPr>
        <w:t>Bell</w:t>
      </w:r>
      <w:r w:rsidRPr="006B5BF6">
        <w:rPr>
          <w:rFonts w:cs="Times New Roman"/>
          <w:lang w:val="fr-CA"/>
        </w:rPr>
        <w:t>, notre Cour a jugé qu</w:t>
      </w:r>
      <w:r>
        <w:rPr>
          <w:rFonts w:cs="Times New Roman"/>
          <w:lang w:val="fr-CA"/>
        </w:rPr>
        <w:t>’</w:t>
      </w:r>
      <w:r w:rsidRPr="006B5BF6">
        <w:rPr>
          <w:rFonts w:cs="Times New Roman"/>
          <w:lang w:val="fr-CA"/>
        </w:rPr>
        <w:t>une commission des droits de la personne avait outrepassé sa compétence en décidant d</w:t>
      </w:r>
      <w:r>
        <w:rPr>
          <w:rFonts w:cs="Times New Roman"/>
          <w:lang w:val="fr-CA"/>
        </w:rPr>
        <w:t>’</w:t>
      </w:r>
      <w:r w:rsidRPr="006B5BF6">
        <w:rPr>
          <w:rFonts w:cs="Times New Roman"/>
          <w:lang w:val="fr-CA"/>
        </w:rPr>
        <w:t>enquêter sur une plainte de discrimination raciale portée contre un propriétaire. La Cour a conclu que la Commission avait mal interprété le terme « self</w:t>
      </w:r>
      <w:r w:rsidRPr="006B5BF6">
        <w:rPr>
          <w:rFonts w:cs="Times New Roman"/>
          <w:lang w:val="fr-CA"/>
        </w:rPr>
        <w:noBreakHyphen/>
        <w:t>contained dwelling uni[t] » [unité d</w:t>
      </w:r>
      <w:r>
        <w:rPr>
          <w:rFonts w:cs="Times New Roman"/>
          <w:lang w:val="fr-CA"/>
        </w:rPr>
        <w:t>’</w:t>
      </w:r>
      <w:r w:rsidRPr="006B5BF6">
        <w:rPr>
          <w:rFonts w:cs="Times New Roman"/>
          <w:lang w:val="fr-CA"/>
        </w:rPr>
        <w:t>habitation autonome] que l</w:t>
      </w:r>
      <w:r>
        <w:rPr>
          <w:rFonts w:cs="Times New Roman"/>
          <w:lang w:val="fr-CA"/>
        </w:rPr>
        <w:t>’</w:t>
      </w:r>
      <w:r w:rsidRPr="006B5BF6">
        <w:rPr>
          <w:rFonts w:cs="Times New Roman"/>
          <w:lang w:val="fr-CA"/>
        </w:rPr>
        <w:t>on trouve à l</w:t>
      </w:r>
      <w:r>
        <w:rPr>
          <w:rFonts w:cs="Times New Roman"/>
          <w:lang w:val="fr-CA"/>
        </w:rPr>
        <w:t>’</w:t>
      </w:r>
      <w:r w:rsidRPr="006B5BF6">
        <w:rPr>
          <w:rFonts w:cs="Times New Roman"/>
          <w:lang w:val="fr-CA"/>
        </w:rPr>
        <w:t>art. 3 de l</w:t>
      </w:r>
      <w:r>
        <w:rPr>
          <w:rFonts w:cs="Times New Roman"/>
          <w:lang w:val="fr-CA"/>
        </w:rPr>
        <w:t>’</w:t>
      </w:r>
      <w:r w:rsidRPr="006B5BF6">
        <w:rPr>
          <w:rFonts w:cs="Times New Roman"/>
          <w:i/>
          <w:lang w:val="fr-CA"/>
        </w:rPr>
        <w:t>Ontario Human Rights Code</w:t>
      </w:r>
      <w:r w:rsidRPr="006B5BF6">
        <w:rPr>
          <w:rFonts w:cs="Times New Roman"/>
          <w:lang w:val="fr-CA"/>
        </w:rPr>
        <w:t xml:space="preserve">, </w:t>
      </w:r>
      <w:r w:rsidRPr="006B5BF6">
        <w:rPr>
          <w:rFonts w:cs="Times New Roman"/>
          <w:i/>
          <w:lang w:val="fr-CA"/>
        </w:rPr>
        <w:lastRenderedPageBreak/>
        <w:t>1961</w:t>
      </w:r>
      <w:r w:rsidRPr="006B5BF6">
        <w:rPr>
          <w:rFonts w:cs="Times New Roman"/>
          <w:i/>
          <w:lang w:val="fr-CA"/>
        </w:rPr>
        <w:noBreakHyphen/>
        <w:t>62</w:t>
      </w:r>
      <w:r w:rsidRPr="006B5BF6">
        <w:rPr>
          <w:rFonts w:cs="Times New Roman"/>
          <w:lang w:val="fr-CA"/>
        </w:rPr>
        <w:t>, S.O., 1961</w:t>
      </w:r>
      <w:r w:rsidRPr="006B5BF6">
        <w:rPr>
          <w:rFonts w:cs="Times New Roman"/>
          <w:lang w:val="fr-CA"/>
        </w:rPr>
        <w:noBreakHyphen/>
        <w:t>1962, c. 93, et que, ce faisant, elle avait perdu sa compétence pour enquêter sur la plainte de discrimination (p. 767 et 775).</w:t>
      </w:r>
    </w:p>
    <w:p w14:paraId="3A459069" w14:textId="59A3773D"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Comme ces affaires l</w:t>
      </w:r>
      <w:r>
        <w:rPr>
          <w:rFonts w:cs="Times New Roman"/>
          <w:lang w:val="fr-CA"/>
        </w:rPr>
        <w:t>’</w:t>
      </w:r>
      <w:r w:rsidRPr="006B5BF6">
        <w:rPr>
          <w:rFonts w:cs="Times New Roman"/>
          <w:lang w:val="fr-CA"/>
        </w:rPr>
        <w:t>illustrent, l</w:t>
      </w:r>
      <w:r>
        <w:rPr>
          <w:rFonts w:cs="Times New Roman"/>
          <w:lang w:val="fr-CA"/>
        </w:rPr>
        <w:t>’</w:t>
      </w:r>
      <w:r w:rsidRPr="006B5BF6">
        <w:rPr>
          <w:rFonts w:cs="Times New Roman"/>
          <w:lang w:val="fr-CA"/>
        </w:rPr>
        <w:t>approche retenue dans l</w:t>
      </w:r>
      <w:r>
        <w:rPr>
          <w:rFonts w:cs="Times New Roman"/>
          <w:lang w:val="fr-CA"/>
        </w:rPr>
        <w:t>’</w:t>
      </w:r>
      <w:r w:rsidRPr="006B5BF6">
        <w:rPr>
          <w:rFonts w:cs="Times New Roman"/>
          <w:lang w:val="fr-CA"/>
        </w:rPr>
        <w:t xml:space="preserve">arrêt </w:t>
      </w:r>
      <w:r w:rsidRPr="006B5BF6">
        <w:rPr>
          <w:rFonts w:cs="Times New Roman"/>
          <w:i/>
          <w:lang w:val="fr-CA"/>
        </w:rPr>
        <w:t xml:space="preserve">Anisminic </w:t>
      </w:r>
      <w:r w:rsidRPr="006B5BF6">
        <w:rPr>
          <w:rFonts w:cs="Times New Roman"/>
          <w:lang w:val="fr-CA"/>
        </w:rPr>
        <w:t>s</w:t>
      </w:r>
      <w:r>
        <w:rPr>
          <w:rFonts w:cs="Times New Roman"/>
          <w:lang w:val="fr-CA"/>
        </w:rPr>
        <w:t>’</w:t>
      </w:r>
      <w:r w:rsidRPr="006B5BF6">
        <w:rPr>
          <w:rFonts w:cs="Times New Roman"/>
          <w:lang w:val="fr-CA"/>
        </w:rPr>
        <w:t xml:space="preserve">est avérée facilement manipulable et a permis aux </w:t>
      </w:r>
      <w:r>
        <w:rPr>
          <w:rFonts w:cs="Times New Roman"/>
          <w:lang w:val="fr-CA"/>
        </w:rPr>
        <w:t>cours</w:t>
      </w:r>
      <w:r w:rsidRPr="006B5BF6">
        <w:rPr>
          <w:rFonts w:cs="Times New Roman"/>
          <w:lang w:val="fr-CA"/>
        </w:rPr>
        <w:t xml:space="preserve"> de qualifier toute question de question « de compétence », se donnant ainsi la marge de manœuvre nécessaire pour substituer leur propre opinion quant à la réponse indiquée, sans égard à la décision ou au raisonnement du décideur initial. L</w:t>
      </w:r>
      <w:r>
        <w:rPr>
          <w:rFonts w:cs="Times New Roman"/>
          <w:lang w:val="fr-CA"/>
        </w:rPr>
        <w:t>’</w:t>
      </w:r>
      <w:r w:rsidRPr="006B5BF6">
        <w:rPr>
          <w:rFonts w:cs="Times New Roman"/>
          <w:lang w:val="fr-CA"/>
        </w:rPr>
        <w:t>ère inaugurée par l</w:t>
      </w:r>
      <w:r>
        <w:rPr>
          <w:rFonts w:cs="Times New Roman"/>
          <w:lang w:val="fr-CA"/>
        </w:rPr>
        <w:t>’</w:t>
      </w:r>
      <w:r w:rsidRPr="006B5BF6">
        <w:rPr>
          <w:rFonts w:cs="Times New Roman"/>
          <w:lang w:val="fr-CA"/>
        </w:rPr>
        <w:t xml:space="preserve">arrêt </w:t>
      </w:r>
      <w:r w:rsidRPr="006B5BF6">
        <w:rPr>
          <w:rFonts w:cs="Times New Roman"/>
          <w:i/>
          <w:lang w:val="fr-CA"/>
        </w:rPr>
        <w:t xml:space="preserve">Anisminic </w:t>
      </w:r>
      <w:r w:rsidRPr="006B5BF6">
        <w:rPr>
          <w:rFonts w:cs="Times New Roman"/>
          <w:lang w:val="fr-CA"/>
        </w:rPr>
        <w:t>et l</w:t>
      </w:r>
      <w:r>
        <w:rPr>
          <w:rFonts w:cs="Times New Roman"/>
          <w:lang w:val="fr-CA"/>
        </w:rPr>
        <w:t>’</w:t>
      </w:r>
      <w:r w:rsidRPr="006B5BF6">
        <w:rPr>
          <w:rFonts w:cs="Times New Roman"/>
          <w:lang w:val="fr-CA"/>
        </w:rPr>
        <w:t>approche axée sur « l</w:t>
      </w:r>
      <w:r>
        <w:rPr>
          <w:rFonts w:cs="Times New Roman"/>
          <w:lang w:val="fr-CA"/>
        </w:rPr>
        <w:t>’</w:t>
      </w:r>
      <w:r w:rsidRPr="006B5BF6">
        <w:rPr>
          <w:rFonts w:cs="Times New Roman"/>
          <w:lang w:val="fr-CA"/>
        </w:rPr>
        <w:t>erreur de compétence » ont fait et continuent de faire l</w:t>
      </w:r>
      <w:r>
        <w:rPr>
          <w:rFonts w:cs="Times New Roman"/>
          <w:lang w:val="fr-CA"/>
        </w:rPr>
        <w:t>’</w:t>
      </w:r>
      <w:r w:rsidRPr="006B5BF6">
        <w:rPr>
          <w:rFonts w:cs="Times New Roman"/>
          <w:lang w:val="fr-CA"/>
        </w:rPr>
        <w:t xml:space="preserve">objet de vives critiques tant de la part des </w:t>
      </w:r>
      <w:r>
        <w:rPr>
          <w:rFonts w:cs="Times New Roman"/>
          <w:lang w:val="fr-CA"/>
        </w:rPr>
        <w:t xml:space="preserve">juges </w:t>
      </w:r>
      <w:r w:rsidRPr="006B5BF6">
        <w:rPr>
          <w:rFonts w:cs="Times New Roman"/>
          <w:lang w:val="fr-CA"/>
        </w:rPr>
        <w:t>que des auteurs (</w:t>
      </w:r>
      <w:r w:rsidRPr="006B5BF6">
        <w:rPr>
          <w:rFonts w:cs="Times New Roman"/>
          <w:i/>
          <w:lang w:val="fr-CA"/>
        </w:rPr>
        <w:t>Alliance de la Fonction publique</w:t>
      </w:r>
      <w:r w:rsidRPr="006B5BF6">
        <w:rPr>
          <w:rFonts w:cs="Times New Roman"/>
          <w:lang w:val="fr-CA"/>
        </w:rPr>
        <w:t xml:space="preserve">, p. 650; </w:t>
      </w:r>
      <w:r w:rsidRPr="006B5BF6">
        <w:rPr>
          <w:rFonts w:cs="Times New Roman"/>
          <w:i/>
          <w:lang w:val="fr-CA"/>
        </w:rPr>
        <w:t>National Corn Growers Assn. c. Canada (Tribunal des importations)</w:t>
      </w:r>
      <w:r w:rsidRPr="006B5BF6">
        <w:rPr>
          <w:rFonts w:cs="Times New Roman"/>
          <w:lang w:val="fr-CA"/>
        </w:rPr>
        <w:t>, [1990] 2 R.C.S. 1324, p. 1335, motifs concordants de la juge Wilson; Beverley McLachlin, C.P., « “Administrative Law Is Not for Sissies”</w:t>
      </w:r>
      <w:r w:rsidR="00F3240E">
        <w:rPr>
          <w:rFonts w:cs="Times New Roman"/>
          <w:lang w:val="fr-CA"/>
        </w:rPr>
        <w:t> </w:t>
      </w:r>
      <w:r w:rsidRPr="006B5BF6">
        <w:rPr>
          <w:rFonts w:cs="Times New Roman"/>
          <w:lang w:val="fr-CA"/>
        </w:rPr>
        <w:t xml:space="preserve">: Finding a Path through the Thicket » (2016), 29 </w:t>
      </w:r>
      <w:r w:rsidRPr="006B5BF6">
        <w:rPr>
          <w:rFonts w:cs="Times New Roman"/>
          <w:i/>
          <w:lang w:val="fr-CA"/>
        </w:rPr>
        <w:t xml:space="preserve">R.C.D.A.P. </w:t>
      </w:r>
      <w:r w:rsidRPr="006B5BF6">
        <w:rPr>
          <w:rFonts w:cs="Times New Roman"/>
          <w:lang w:val="fr-CA"/>
        </w:rPr>
        <w:t>127, p. 129</w:t>
      </w:r>
      <w:r>
        <w:rPr>
          <w:rFonts w:cs="Times New Roman"/>
          <w:lang w:val="fr-CA"/>
        </w:rPr>
        <w:noBreakHyphen/>
      </w:r>
      <w:r w:rsidRPr="006B5BF6">
        <w:rPr>
          <w:rFonts w:cs="Times New Roman"/>
          <w:lang w:val="fr-CA"/>
        </w:rPr>
        <w:t xml:space="preserve">130; Jocelyn Stacey et Alice Woolley, « Can Pragmatism Function in Administrative Law? » (2016), 74 </w:t>
      </w:r>
      <w:r w:rsidRPr="006B5BF6">
        <w:rPr>
          <w:rFonts w:cs="Times New Roman"/>
          <w:i/>
          <w:lang w:val="fr-CA"/>
        </w:rPr>
        <w:t>S.C.L.R.</w:t>
      </w:r>
      <w:r w:rsidRPr="006B5BF6">
        <w:rPr>
          <w:rFonts w:cs="Times New Roman"/>
          <w:lang w:val="fr-CA"/>
        </w:rPr>
        <w:t xml:space="preserve"> (2d) 211, p.</w:t>
      </w:r>
      <w:r>
        <w:rPr>
          <w:rFonts w:cs="Times New Roman"/>
          <w:lang w:val="fr-CA"/>
        </w:rPr>
        <w:t> 215</w:t>
      </w:r>
      <w:r>
        <w:rPr>
          <w:rFonts w:cs="Times New Roman"/>
          <w:lang w:val="fr-CA"/>
        </w:rPr>
        <w:noBreakHyphen/>
      </w:r>
      <w:r w:rsidRPr="006B5BF6">
        <w:rPr>
          <w:rFonts w:cs="Times New Roman"/>
          <w:lang w:val="fr-CA"/>
        </w:rPr>
        <w:t>216; R.</w:t>
      </w:r>
      <w:r w:rsidR="00F3240E">
        <w:rPr>
          <w:rFonts w:cs="Times New Roman"/>
          <w:lang w:val="fr-CA"/>
        </w:rPr>
        <w:t> </w:t>
      </w:r>
      <w:r w:rsidR="003A0E13">
        <w:rPr>
          <w:rFonts w:cs="Times New Roman"/>
          <w:lang w:val="fr-CA"/>
        </w:rPr>
        <w:t>A. Macd</w:t>
      </w:r>
      <w:r w:rsidRPr="006B5BF6">
        <w:rPr>
          <w:rFonts w:cs="Times New Roman"/>
          <w:lang w:val="fr-CA"/>
        </w:rPr>
        <w:t>onald, « Absence of Jurisdiction</w:t>
      </w:r>
      <w:r w:rsidR="00F3240E">
        <w:rPr>
          <w:rFonts w:cs="Times New Roman"/>
          <w:lang w:val="fr-CA"/>
        </w:rPr>
        <w:t> </w:t>
      </w:r>
      <w:r w:rsidRPr="006B5BF6">
        <w:rPr>
          <w:rFonts w:cs="Times New Roman"/>
          <w:lang w:val="fr-CA"/>
        </w:rPr>
        <w:t xml:space="preserve">: A Perspective » (1983), 43 </w:t>
      </w:r>
      <w:r w:rsidRPr="006B5BF6">
        <w:rPr>
          <w:rFonts w:cs="Times New Roman"/>
          <w:i/>
          <w:lang w:val="fr-CA"/>
        </w:rPr>
        <w:t>R</w:t>
      </w:r>
      <w:r>
        <w:rPr>
          <w:rFonts w:cs="Times New Roman"/>
          <w:i/>
          <w:lang w:val="fr-CA"/>
        </w:rPr>
        <w:t>.</w:t>
      </w:r>
      <w:r w:rsidRPr="006B5BF6">
        <w:rPr>
          <w:rFonts w:cs="Times New Roman"/>
          <w:i/>
          <w:lang w:val="fr-CA"/>
        </w:rPr>
        <w:t xml:space="preserve"> </w:t>
      </w:r>
      <w:r>
        <w:rPr>
          <w:rFonts w:cs="Times New Roman"/>
          <w:i/>
          <w:lang w:val="fr-CA"/>
        </w:rPr>
        <w:t>d</w:t>
      </w:r>
      <w:r w:rsidRPr="006B5BF6">
        <w:rPr>
          <w:rFonts w:cs="Times New Roman"/>
          <w:i/>
          <w:lang w:val="fr-CA"/>
        </w:rPr>
        <w:t>u B</w:t>
      </w:r>
      <w:r>
        <w:rPr>
          <w:rFonts w:cs="Times New Roman"/>
          <w:i/>
          <w:lang w:val="fr-CA"/>
        </w:rPr>
        <w:t xml:space="preserve">. </w:t>
      </w:r>
      <w:r w:rsidRPr="006B5BF6">
        <w:rPr>
          <w:rFonts w:cs="Times New Roman"/>
          <w:lang w:val="fr-CA"/>
        </w:rPr>
        <w:t>307).</w:t>
      </w:r>
    </w:p>
    <w:p w14:paraId="19C1E011" w14:textId="050F2142"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En 1979, dans l</w:t>
      </w:r>
      <w:r>
        <w:rPr>
          <w:rFonts w:cs="Times New Roman"/>
          <w:lang w:val="fr-CA"/>
        </w:rPr>
        <w:t>’</w:t>
      </w:r>
      <w:r w:rsidRPr="006B5BF6">
        <w:rPr>
          <w:rFonts w:cs="Times New Roman"/>
          <w:lang w:val="fr-CA"/>
        </w:rPr>
        <w:t xml:space="preserve">arrêt charnière </w:t>
      </w:r>
      <w:r w:rsidRPr="006B5BF6">
        <w:rPr>
          <w:rFonts w:cs="Times New Roman"/>
          <w:i/>
          <w:lang w:val="fr-CA"/>
        </w:rPr>
        <w:t>S.C.F.P.</w:t>
      </w:r>
      <w:r w:rsidRPr="006B5BF6">
        <w:rPr>
          <w:rFonts w:cs="Times New Roman"/>
          <w:lang w:val="fr-CA"/>
        </w:rPr>
        <w:t>, la Cour a amorcé un virage en proposant une démarche davantage axée sur la déférence en matière de contrôle judiciaire. Dans cet arrêt, la Cour a remis en question le modèle de l</w:t>
      </w:r>
      <w:r>
        <w:rPr>
          <w:rFonts w:cs="Times New Roman"/>
          <w:lang w:val="fr-CA"/>
        </w:rPr>
        <w:t>’</w:t>
      </w:r>
      <w:r w:rsidRPr="006B5BF6">
        <w:rPr>
          <w:rFonts w:cs="Times New Roman"/>
          <w:lang w:val="fr-CA"/>
        </w:rPr>
        <w:t>« erreur de compétence » et a posé les jalons d</w:t>
      </w:r>
      <w:r>
        <w:rPr>
          <w:rFonts w:cs="Times New Roman"/>
          <w:lang w:val="fr-CA"/>
        </w:rPr>
        <w:t>’</w:t>
      </w:r>
      <w:r w:rsidRPr="006B5BF6">
        <w:rPr>
          <w:rFonts w:cs="Times New Roman"/>
          <w:lang w:val="fr-CA"/>
        </w:rPr>
        <w:t>une conception résolument canadienne du droit administratif. Dans un passage souvent cité, le juge Dickson, qui écrivait au nom d</w:t>
      </w:r>
      <w:r>
        <w:rPr>
          <w:rFonts w:cs="Times New Roman"/>
          <w:lang w:val="fr-CA"/>
        </w:rPr>
        <w:t>’</w:t>
      </w:r>
      <w:r w:rsidRPr="006B5BF6">
        <w:rPr>
          <w:rFonts w:cs="Times New Roman"/>
          <w:lang w:val="fr-CA"/>
        </w:rPr>
        <w:t xml:space="preserve">une Cour unanime, a formulé la mise en garde selon laquelle : « les tribunaux devraient éviter de qualifier trop rapidement un point de question de compétence, et ainsi de </w:t>
      </w:r>
      <w:r w:rsidRPr="006B5BF6">
        <w:rPr>
          <w:rFonts w:cs="Times New Roman"/>
          <w:lang w:val="fr-CA"/>
        </w:rPr>
        <w:lastRenderedPageBreak/>
        <w:t>l</w:t>
      </w:r>
      <w:r>
        <w:rPr>
          <w:rFonts w:cs="Times New Roman"/>
          <w:lang w:val="fr-CA"/>
        </w:rPr>
        <w:t>’</w:t>
      </w:r>
      <w:r w:rsidRPr="006B5BF6">
        <w:rPr>
          <w:rFonts w:cs="Times New Roman"/>
          <w:lang w:val="fr-CA"/>
        </w:rPr>
        <w:t>assujettir à un examen judiciaire plus étendu, lorsqu</w:t>
      </w:r>
      <w:r>
        <w:rPr>
          <w:rFonts w:cs="Times New Roman"/>
          <w:lang w:val="fr-CA"/>
        </w:rPr>
        <w:t>’</w:t>
      </w:r>
      <w:r w:rsidRPr="006B5BF6">
        <w:rPr>
          <w:rFonts w:cs="Times New Roman"/>
          <w:lang w:val="fr-CA"/>
        </w:rPr>
        <w:t xml:space="preserve">il existe un doute à cet égard » (p. 233; ce passage a été repris dans près de </w:t>
      </w:r>
      <w:r w:rsidR="006D2BF0">
        <w:rPr>
          <w:rFonts w:cs="Times New Roman"/>
          <w:lang w:val="fr-CA"/>
        </w:rPr>
        <w:t>20</w:t>
      </w:r>
      <w:r w:rsidRPr="006B5BF6">
        <w:rPr>
          <w:rFonts w:cs="Times New Roman"/>
          <w:lang w:val="fr-CA"/>
        </w:rPr>
        <w:t xml:space="preserve"> décisions de notre Cour, dont les arrêts </w:t>
      </w:r>
      <w:r w:rsidRPr="006B5BF6">
        <w:rPr>
          <w:rFonts w:cs="Times New Roman"/>
          <w:i/>
          <w:lang w:val="fr-CA"/>
        </w:rPr>
        <w:t>Dunsmuir</w:t>
      </w:r>
      <w:r w:rsidRPr="006B5BF6">
        <w:rPr>
          <w:rFonts w:cs="Times New Roman"/>
          <w:lang w:val="fr-CA"/>
        </w:rPr>
        <w:t xml:space="preserve">, par. 35; </w:t>
      </w:r>
      <w:r w:rsidRPr="006B5BF6">
        <w:rPr>
          <w:rFonts w:cs="Times New Roman"/>
          <w:i/>
          <w:lang w:val="fr-CA"/>
        </w:rPr>
        <w:t>Canada (Citoyenneté et Immigration) c. Khosa</w:t>
      </w:r>
      <w:r w:rsidRPr="006B5BF6">
        <w:rPr>
          <w:rFonts w:cs="Times New Roman"/>
          <w:lang w:val="fr-CA"/>
        </w:rPr>
        <w:t xml:space="preserve">, [2009] 1 R.C.S. 339, par. 45; </w:t>
      </w:r>
      <w:r w:rsidRPr="006B5BF6" w:rsidDel="005377AE">
        <w:rPr>
          <w:rFonts w:cs="Times New Roman"/>
          <w:i/>
          <w:lang w:val="fr-CA"/>
        </w:rPr>
        <w:t xml:space="preserve">Alberta (Information and Privacy Commissioner) </w:t>
      </w:r>
      <w:r w:rsidRPr="006B5BF6">
        <w:rPr>
          <w:rFonts w:cs="Times New Roman"/>
          <w:i/>
          <w:lang w:val="fr-CA"/>
        </w:rPr>
        <w:t>c</w:t>
      </w:r>
      <w:r w:rsidRPr="006B5BF6" w:rsidDel="005377AE">
        <w:rPr>
          <w:rFonts w:cs="Times New Roman"/>
          <w:i/>
          <w:lang w:val="fr-CA"/>
        </w:rPr>
        <w:t>. Alberta Teachers</w:t>
      </w:r>
      <w:r>
        <w:rPr>
          <w:rFonts w:cs="Times New Roman"/>
          <w:i/>
          <w:lang w:val="fr-CA"/>
        </w:rPr>
        <w:t>’</w:t>
      </w:r>
      <w:r w:rsidRPr="006B5BF6" w:rsidDel="005377AE">
        <w:rPr>
          <w:rFonts w:cs="Times New Roman"/>
          <w:i/>
          <w:lang w:val="fr-CA"/>
        </w:rPr>
        <w:t xml:space="preserve"> Association</w:t>
      </w:r>
      <w:r w:rsidRPr="006B5BF6" w:rsidDel="005377AE">
        <w:rPr>
          <w:rFonts w:cs="Times New Roman"/>
          <w:lang w:val="fr-CA"/>
        </w:rPr>
        <w:t>, [2011]</w:t>
      </w:r>
      <w:r w:rsidRPr="006B5BF6">
        <w:rPr>
          <w:rFonts w:cs="Times New Roman"/>
          <w:lang w:val="fr-CA"/>
        </w:rPr>
        <w:t> </w:t>
      </w:r>
      <w:r w:rsidRPr="006B5BF6" w:rsidDel="005377AE">
        <w:rPr>
          <w:rFonts w:cs="Times New Roman"/>
          <w:lang w:val="fr-CA"/>
        </w:rPr>
        <w:t>3</w:t>
      </w:r>
      <w:r w:rsidRPr="006B5BF6">
        <w:rPr>
          <w:rFonts w:cs="Times New Roman"/>
          <w:lang w:val="fr-CA"/>
        </w:rPr>
        <w:t> R.C.S.</w:t>
      </w:r>
      <w:r w:rsidRPr="006B5BF6" w:rsidDel="005377AE">
        <w:rPr>
          <w:rFonts w:cs="Times New Roman"/>
          <w:lang w:val="fr-CA"/>
        </w:rPr>
        <w:t xml:space="preserve"> 654,</w:t>
      </w:r>
      <w:r w:rsidRPr="006B5BF6">
        <w:rPr>
          <w:rFonts w:cs="Times New Roman"/>
          <w:lang w:val="fr-CA"/>
        </w:rPr>
        <w:t xml:space="preserve"> par. 33; </w:t>
      </w:r>
      <w:r w:rsidRPr="006B5BF6">
        <w:rPr>
          <w:rFonts w:cs="Times New Roman"/>
          <w:i/>
          <w:lang w:val="fr-CA"/>
        </w:rPr>
        <w:t>Canada (Commission canadienne des droits de la personne) c. Canada (Procureur général)</w:t>
      </w:r>
      <w:r w:rsidRPr="006B5BF6">
        <w:rPr>
          <w:rFonts w:cs="Times New Roman"/>
          <w:lang w:val="fr-CA"/>
        </w:rPr>
        <w:t>, [2018] 2 R.C.S. 230, par. 31). La Cour préconisait plutôt une approche qui respectait la décision du législateur de confier, dans certains domaines, les questions de politiques juridiques à des décideurs spécialisés non judiciaires. La Cour a reconnu que les textes de loi pouvaient être « hérissé[s] d</w:t>
      </w:r>
      <w:r>
        <w:rPr>
          <w:rFonts w:cs="Times New Roman"/>
          <w:lang w:val="fr-CA"/>
        </w:rPr>
        <w:t>’</w:t>
      </w:r>
      <w:r w:rsidRPr="006B5BF6">
        <w:rPr>
          <w:rFonts w:cs="Times New Roman"/>
          <w:lang w:val="fr-CA"/>
        </w:rPr>
        <w:t>ambiguïtés » et que les choix faits par les tribunaux administratifs en matière d</w:t>
      </w:r>
      <w:r>
        <w:rPr>
          <w:rFonts w:cs="Times New Roman"/>
          <w:lang w:val="fr-CA"/>
        </w:rPr>
        <w:t>’</w:t>
      </w:r>
      <w:r w:rsidRPr="006B5BF6">
        <w:rPr>
          <w:rFonts w:cs="Times New Roman"/>
          <w:lang w:val="fr-CA"/>
        </w:rPr>
        <w:t>interprétation méritaient le respect des cours de justice, surtout lorsque, comme dans l</w:t>
      </w:r>
      <w:r>
        <w:rPr>
          <w:rFonts w:cs="Times New Roman"/>
          <w:lang w:val="fr-CA"/>
        </w:rPr>
        <w:t>’</w:t>
      </w:r>
      <w:r w:rsidRPr="006B5BF6">
        <w:rPr>
          <w:rFonts w:cs="Times New Roman"/>
          <w:lang w:val="fr-CA"/>
        </w:rPr>
        <w:t xml:space="preserve">affaire </w:t>
      </w:r>
      <w:r w:rsidRPr="006B5BF6">
        <w:rPr>
          <w:rFonts w:cs="Times New Roman"/>
          <w:i/>
          <w:lang w:val="fr-CA"/>
        </w:rPr>
        <w:t>S.C.F.P.</w:t>
      </w:r>
      <w:r w:rsidRPr="006B5BF6">
        <w:rPr>
          <w:rFonts w:cs="Times New Roman"/>
          <w:lang w:val="fr-CA"/>
        </w:rPr>
        <w:t>, la décision était protégée par une clause privative (p. 230 et 234</w:t>
      </w:r>
      <w:r>
        <w:rPr>
          <w:rFonts w:cs="Times New Roman"/>
          <w:lang w:val="fr-CA"/>
        </w:rPr>
        <w:noBreakHyphen/>
      </w:r>
      <w:r w:rsidRPr="006B5BF6">
        <w:rPr>
          <w:rFonts w:cs="Times New Roman"/>
          <w:lang w:val="fr-CA"/>
        </w:rPr>
        <w:t>236).</w:t>
      </w:r>
    </w:p>
    <w:p w14:paraId="3DBDB070"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En préconisant la retenue judiciaire envers les organismes administratifs, l</w:t>
      </w:r>
      <w:r>
        <w:rPr>
          <w:rFonts w:cs="Times New Roman"/>
          <w:lang w:val="fr-CA"/>
        </w:rPr>
        <w:t>’</w:t>
      </w:r>
      <w:r w:rsidRPr="006B5BF6">
        <w:rPr>
          <w:rFonts w:cs="Times New Roman"/>
          <w:lang w:val="fr-CA"/>
        </w:rPr>
        <w:t xml:space="preserve">arrêt </w:t>
      </w:r>
      <w:r w:rsidRPr="006B5BF6">
        <w:rPr>
          <w:rFonts w:cs="Times New Roman"/>
          <w:i/>
          <w:lang w:val="fr-CA"/>
        </w:rPr>
        <w:t>S.C.F.P.</w:t>
      </w:r>
      <w:r w:rsidRPr="006B5BF6">
        <w:rPr>
          <w:rFonts w:cs="Times New Roman"/>
          <w:lang w:val="fr-CA"/>
        </w:rPr>
        <w:t xml:space="preserve"> adoptait « </w:t>
      </w:r>
      <w:r w:rsidRPr="006B5BF6">
        <w:rPr>
          <w:rFonts w:cs="Times New Roman"/>
          <w:spacing w:val="-3"/>
          <w:shd w:val="clear" w:color="auto" w:fill="FFFFFF"/>
          <w:lang w:val="fr-CA"/>
        </w:rPr>
        <w:t>une compréhension plus subtile du rôle des tribunaux administratifs dans l</w:t>
      </w:r>
      <w:r>
        <w:rPr>
          <w:rFonts w:cs="Times New Roman"/>
          <w:spacing w:val="-3"/>
          <w:shd w:val="clear" w:color="auto" w:fill="FFFFFF"/>
          <w:lang w:val="fr-CA"/>
        </w:rPr>
        <w:t>’</w:t>
      </w:r>
      <w:r w:rsidRPr="006B5BF6">
        <w:rPr>
          <w:rFonts w:cs="Times New Roman"/>
          <w:spacing w:val="-3"/>
          <w:shd w:val="clear" w:color="auto" w:fill="FFFFFF"/>
          <w:lang w:val="fr-CA"/>
        </w:rPr>
        <w:t>État canadien moderne »</w:t>
      </w:r>
      <w:r w:rsidRPr="006B5BF6">
        <w:rPr>
          <w:rFonts w:cs="Times New Roman"/>
          <w:lang w:val="fr-CA"/>
        </w:rPr>
        <w:t xml:space="preserve"> (</w:t>
      </w:r>
      <w:r w:rsidRPr="006B5BF6">
        <w:rPr>
          <w:rFonts w:cs="Times New Roman"/>
          <w:i/>
          <w:lang w:val="fr-CA"/>
        </w:rPr>
        <w:t>National Corn Growers</w:t>
      </w:r>
      <w:r w:rsidRPr="006B5BF6">
        <w:rPr>
          <w:rFonts w:cs="Times New Roman"/>
          <w:lang w:val="fr-CA"/>
        </w:rPr>
        <w:t xml:space="preserve">, p. 1336, motifs concordants de la juge Wilson; </w:t>
      </w:r>
      <w:r w:rsidRPr="006B5BF6">
        <w:rPr>
          <w:rFonts w:cs="Times New Roman"/>
          <w:i/>
          <w:lang w:val="fr-CA"/>
        </w:rPr>
        <w:t>Domtar Inc. c. Québec (Commission d</w:t>
      </w:r>
      <w:r>
        <w:rPr>
          <w:rFonts w:cs="Times New Roman"/>
          <w:i/>
          <w:lang w:val="fr-CA"/>
        </w:rPr>
        <w:t>’</w:t>
      </w:r>
      <w:r w:rsidRPr="006B5BF6">
        <w:rPr>
          <w:rFonts w:cs="Times New Roman"/>
          <w:i/>
          <w:lang w:val="fr-CA"/>
        </w:rPr>
        <w:t>appel en matière de lésions professionnelles)</w:t>
      </w:r>
      <w:r w:rsidRPr="006B5BF6">
        <w:rPr>
          <w:rFonts w:cs="Times New Roman"/>
          <w:lang w:val="fr-CA"/>
        </w:rPr>
        <w:t>, [1993] 2 R.C.S. 756, p. 800). Ainsi qu</w:t>
      </w:r>
      <w:r>
        <w:rPr>
          <w:rFonts w:cs="Times New Roman"/>
          <w:lang w:val="fr-CA"/>
        </w:rPr>
        <w:t>’</w:t>
      </w:r>
      <w:r w:rsidRPr="006B5BF6">
        <w:rPr>
          <w:rFonts w:cs="Times New Roman"/>
          <w:lang w:val="fr-CA"/>
        </w:rPr>
        <w:t>un auteur l</w:t>
      </w:r>
      <w:r>
        <w:rPr>
          <w:rFonts w:cs="Times New Roman"/>
          <w:lang w:val="fr-CA"/>
        </w:rPr>
        <w:t>’</w:t>
      </w:r>
      <w:r w:rsidRPr="006B5BF6">
        <w:rPr>
          <w:rFonts w:cs="Times New Roman"/>
          <w:lang w:val="fr-CA"/>
        </w:rPr>
        <w:t>a fait observer :</w:t>
      </w:r>
    </w:p>
    <w:p w14:paraId="00C1D4CC" w14:textId="08937703" w:rsidR="00F3240E" w:rsidRDefault="00F3240E" w:rsidP="00F3240E">
      <w:pPr>
        <w:pStyle w:val="Citation-AltC"/>
        <w:widowControl w:val="0"/>
        <w:spacing w:after="240"/>
        <w:ind w:hanging="446"/>
        <w:contextualSpacing w:val="0"/>
        <w:rPr>
          <w:lang w:val="fr-CA"/>
        </w:rPr>
      </w:pPr>
      <w:r>
        <w:rPr>
          <w:lang w:val="fr-CA"/>
        </w:rPr>
        <w:tab/>
      </w:r>
      <w:r w:rsidRPr="006B5BF6">
        <w:rPr>
          <w:lang w:val="fr-CA"/>
        </w:rPr>
        <w:t>[</w:t>
      </w:r>
      <w:r w:rsidRPr="006B5BF6">
        <w:rPr>
          <w:smallCaps/>
          <w:lang w:val="fr-CA"/>
        </w:rPr>
        <w:t>traduction</w:t>
      </w:r>
      <w:r w:rsidRPr="006B5BF6">
        <w:rPr>
          <w:lang w:val="fr-CA"/>
        </w:rPr>
        <w:t>]</w:t>
      </w:r>
      <w:r>
        <w:rPr>
          <w:lang w:val="fr-CA"/>
        </w:rPr>
        <w:t xml:space="preserve"> </w:t>
      </w:r>
      <w:r w:rsidR="00BD6B44">
        <w:rPr>
          <w:lang w:val="fr-CA"/>
        </w:rPr>
        <w:t>. . . l</w:t>
      </w:r>
      <w:r w:rsidR="00AE2373" w:rsidRPr="006B5BF6">
        <w:rPr>
          <w:lang w:val="fr-CA"/>
        </w:rPr>
        <w:t>es législatures et les tribunaux canadiens en sont venus à s</w:t>
      </w:r>
      <w:r w:rsidR="00AE2373">
        <w:rPr>
          <w:lang w:val="fr-CA"/>
        </w:rPr>
        <w:t>’</w:t>
      </w:r>
      <w:r w:rsidR="00AE2373" w:rsidRPr="006B5BF6">
        <w:rPr>
          <w:lang w:val="fr-CA"/>
        </w:rPr>
        <w:t>entendre sur l</w:t>
      </w:r>
      <w:r w:rsidR="00AE2373">
        <w:rPr>
          <w:lang w:val="fr-CA"/>
        </w:rPr>
        <w:t>’</w:t>
      </w:r>
      <w:r w:rsidR="00AE2373" w:rsidRPr="006B5BF6">
        <w:rPr>
          <w:lang w:val="fr-CA"/>
        </w:rPr>
        <w:t>idée que les capacités fonctionnelles des organismes administratifs — leur expertise, le temps et l</w:t>
      </w:r>
      <w:r w:rsidR="00AE2373">
        <w:rPr>
          <w:lang w:val="fr-CA"/>
        </w:rPr>
        <w:t>’</w:t>
      </w:r>
      <w:r w:rsidR="00AE2373" w:rsidRPr="006B5BF6">
        <w:rPr>
          <w:lang w:val="fr-CA"/>
        </w:rPr>
        <w:t>énergie qu</w:t>
      </w:r>
      <w:r w:rsidR="00AE2373">
        <w:rPr>
          <w:lang w:val="fr-CA"/>
        </w:rPr>
        <w:t>’</w:t>
      </w:r>
      <w:r w:rsidR="00AE2373" w:rsidRPr="006B5BF6">
        <w:rPr>
          <w:lang w:val="fr-CA"/>
        </w:rPr>
        <w:t>ils consacrent à comprendre les circonstances concrètes en jeu, leur ouverture à la participation et leur grande faculté d</w:t>
      </w:r>
      <w:r w:rsidR="00AE2373">
        <w:rPr>
          <w:lang w:val="fr-CA"/>
        </w:rPr>
        <w:t>’</w:t>
      </w:r>
      <w:r w:rsidR="00AE2373" w:rsidRPr="006B5BF6">
        <w:rPr>
          <w:lang w:val="fr-CA"/>
        </w:rPr>
        <w:t>adaptation aux changements politiques — justifiaient non seulement leurs pouvoirs en matière d</w:t>
      </w:r>
      <w:r w:rsidR="00AE2373">
        <w:rPr>
          <w:lang w:val="fr-CA"/>
        </w:rPr>
        <w:t>’</w:t>
      </w:r>
      <w:r w:rsidR="00AE2373" w:rsidRPr="006B5BF6">
        <w:rPr>
          <w:lang w:val="fr-CA"/>
        </w:rPr>
        <w:t>élaboration du droit, mais également la déférence des tribunaux judiciaires à l</w:t>
      </w:r>
      <w:r w:rsidR="00AE2373">
        <w:rPr>
          <w:lang w:val="fr-CA"/>
        </w:rPr>
        <w:t>’</w:t>
      </w:r>
      <w:r w:rsidR="00AE2373" w:rsidRPr="006B5BF6">
        <w:rPr>
          <w:lang w:val="fr-CA"/>
        </w:rPr>
        <w:t xml:space="preserve">égard de leurs interprétations et de leurs décisions. </w:t>
      </w:r>
      <w:r w:rsidR="00AE2373" w:rsidRPr="006B5BF6">
        <w:rPr>
          <w:i/>
          <w:iCs/>
          <w:lang w:val="fr-CA"/>
        </w:rPr>
        <w:lastRenderedPageBreak/>
        <w:t>L</w:t>
      </w:r>
      <w:r w:rsidR="00AE2373">
        <w:rPr>
          <w:i/>
          <w:iCs/>
          <w:lang w:val="fr-CA"/>
        </w:rPr>
        <w:t>’</w:t>
      </w:r>
      <w:r w:rsidR="00AE2373" w:rsidRPr="006B5BF6">
        <w:rPr>
          <w:i/>
          <w:iCs/>
          <w:lang w:val="fr-CA"/>
        </w:rPr>
        <w:t>élaboration et l</w:t>
      </w:r>
      <w:r w:rsidR="00AE2373">
        <w:rPr>
          <w:i/>
          <w:iCs/>
          <w:lang w:val="fr-CA"/>
        </w:rPr>
        <w:t>’</w:t>
      </w:r>
      <w:r w:rsidR="00AE2373" w:rsidRPr="006B5BF6">
        <w:rPr>
          <w:i/>
          <w:iCs/>
          <w:lang w:val="fr-CA"/>
        </w:rPr>
        <w:t>interprétation du droit sont des entreprises communes au sein de l</w:t>
      </w:r>
      <w:r w:rsidR="00AE2373">
        <w:rPr>
          <w:i/>
          <w:iCs/>
          <w:lang w:val="fr-CA"/>
        </w:rPr>
        <w:t>’</w:t>
      </w:r>
      <w:r w:rsidR="00AE2373" w:rsidRPr="006B5BF6">
        <w:rPr>
          <w:i/>
          <w:iCs/>
          <w:lang w:val="fr-CA"/>
        </w:rPr>
        <w:t>État administratif</w:t>
      </w:r>
      <w:r w:rsidR="00AE2373" w:rsidRPr="006B5BF6">
        <w:rPr>
          <w:lang w:val="fr-CA"/>
        </w:rPr>
        <w:t>.</w:t>
      </w:r>
      <w:r w:rsidR="00AE2373" w:rsidRPr="006B5BF6">
        <w:rPr>
          <w:i/>
          <w:lang w:val="fr-CA"/>
        </w:rPr>
        <w:t xml:space="preserve"> </w:t>
      </w:r>
      <w:r w:rsidR="00AE2373" w:rsidRPr="006B5BF6">
        <w:rPr>
          <w:lang w:val="fr-CA"/>
        </w:rPr>
        <w:t>[Italique</w:t>
      </w:r>
      <w:r w:rsidR="006D2BF0">
        <w:rPr>
          <w:lang w:val="fr-CA"/>
        </w:rPr>
        <w:t xml:space="preserve"> ajouté</w:t>
      </w:r>
      <w:r w:rsidR="00AE2373" w:rsidRPr="006B5BF6">
        <w:rPr>
          <w:lang w:val="fr-CA"/>
        </w:rPr>
        <w:t>.]</w:t>
      </w:r>
    </w:p>
    <w:p w14:paraId="7D06FF47" w14:textId="270D3B5A" w:rsidR="00AE2373" w:rsidRPr="006B5BF6" w:rsidRDefault="00AE2373" w:rsidP="00F3240E">
      <w:pPr>
        <w:pStyle w:val="Citation-AltC"/>
        <w:widowControl w:val="0"/>
        <w:spacing w:after="480" w:line="480" w:lineRule="auto"/>
        <w:ind w:left="0"/>
        <w:contextualSpacing w:val="0"/>
        <w:rPr>
          <w:lang w:val="fr-CA"/>
        </w:rPr>
      </w:pPr>
      <w:r w:rsidRPr="006B5BF6">
        <w:rPr>
          <w:lang w:val="fr-CA"/>
        </w:rPr>
        <w:t>(Stack, p. 310)</w:t>
      </w:r>
    </w:p>
    <w:p w14:paraId="107C49B2" w14:textId="26CE0722"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 xml:space="preserve">Pour expliquer pourquoi les </w:t>
      </w:r>
      <w:r>
        <w:rPr>
          <w:rFonts w:cs="Times New Roman"/>
          <w:lang w:val="fr-CA"/>
        </w:rPr>
        <w:t>cours</w:t>
      </w:r>
      <w:r w:rsidRPr="006B5BF6">
        <w:rPr>
          <w:rFonts w:cs="Times New Roman"/>
          <w:lang w:val="fr-CA"/>
        </w:rPr>
        <w:t xml:space="preserve"> doivent parfois s</w:t>
      </w:r>
      <w:r>
        <w:rPr>
          <w:rFonts w:cs="Times New Roman"/>
          <w:lang w:val="fr-CA"/>
        </w:rPr>
        <w:t>’</w:t>
      </w:r>
      <w:r w:rsidRPr="006B5BF6">
        <w:rPr>
          <w:rFonts w:cs="Times New Roman"/>
          <w:lang w:val="fr-CA"/>
        </w:rPr>
        <w:t>en remettre aux acteurs administratifs, l</w:t>
      </w:r>
      <w:r>
        <w:rPr>
          <w:rFonts w:cs="Times New Roman"/>
          <w:lang w:val="fr-CA"/>
        </w:rPr>
        <w:t>’</w:t>
      </w:r>
      <w:r w:rsidRPr="006B5BF6">
        <w:rPr>
          <w:rFonts w:cs="Times New Roman"/>
          <w:lang w:val="fr-CA"/>
        </w:rPr>
        <w:t xml:space="preserve">arrêt </w:t>
      </w:r>
      <w:r w:rsidRPr="006B5BF6">
        <w:rPr>
          <w:rFonts w:cs="Times New Roman"/>
          <w:i/>
          <w:lang w:val="fr-CA"/>
        </w:rPr>
        <w:t xml:space="preserve">S.C.F.P. </w:t>
      </w:r>
      <w:r w:rsidRPr="006B5BF6">
        <w:rPr>
          <w:rFonts w:cs="Times New Roman"/>
          <w:lang w:val="fr-CA"/>
        </w:rPr>
        <w:t>accueillait deux fondements essentiels connexes justifiant la conception canadienne du droit administratif : l</w:t>
      </w:r>
      <w:r>
        <w:rPr>
          <w:rFonts w:cs="Times New Roman"/>
          <w:lang w:val="fr-CA"/>
        </w:rPr>
        <w:t>’</w:t>
      </w:r>
      <w:r w:rsidRPr="006B5BF6">
        <w:rPr>
          <w:rFonts w:cs="Times New Roman"/>
          <w:lang w:val="fr-CA"/>
        </w:rPr>
        <w:t>un fondé sur le choix explicite du législateur de confier à un organisme administratif le soin de trancher les questions découlant de son mandat, l</w:t>
      </w:r>
      <w:r>
        <w:rPr>
          <w:rFonts w:cs="Times New Roman"/>
          <w:lang w:val="fr-CA"/>
        </w:rPr>
        <w:t>’</w:t>
      </w:r>
      <w:r w:rsidRPr="006B5BF6">
        <w:rPr>
          <w:rFonts w:cs="Times New Roman"/>
          <w:lang w:val="fr-CA"/>
        </w:rPr>
        <w:t>autre motivé par la reconnaissance des avantages institutionnels du système de justice administrative au chapitre de la proximité, de l</w:t>
      </w:r>
      <w:r>
        <w:rPr>
          <w:rFonts w:cs="Times New Roman"/>
          <w:lang w:val="fr-CA"/>
        </w:rPr>
        <w:t>’</w:t>
      </w:r>
      <w:r w:rsidRPr="006B5BF6">
        <w:rPr>
          <w:rFonts w:cs="Times New Roman"/>
          <w:lang w:val="fr-CA"/>
        </w:rPr>
        <w:t>efficacité et de l</w:t>
      </w:r>
      <w:r>
        <w:rPr>
          <w:rFonts w:cs="Times New Roman"/>
          <w:lang w:val="fr-CA"/>
        </w:rPr>
        <w:t>’</w:t>
      </w:r>
      <w:r w:rsidRPr="006B5BF6">
        <w:rPr>
          <w:rFonts w:cs="Times New Roman"/>
          <w:lang w:val="fr-CA"/>
        </w:rPr>
        <w:t>expertise spécialisée (David Dyzenhaus, « The Politics of Deference</w:t>
      </w:r>
      <w:r w:rsidR="00D019E4">
        <w:rPr>
          <w:rFonts w:cs="Times New Roman"/>
          <w:lang w:val="fr-CA"/>
        </w:rPr>
        <w:t> </w:t>
      </w:r>
      <w:r w:rsidRPr="006B5BF6">
        <w:rPr>
          <w:rFonts w:cs="Times New Roman"/>
          <w:lang w:val="fr-CA"/>
        </w:rPr>
        <w:t>: Judicial Review and Democracy</w:t>
      </w:r>
      <w:r w:rsidR="00ED186E">
        <w:rPr>
          <w:rFonts w:cs="Times New Roman"/>
          <w:lang w:val="fr-CA"/>
        </w:rPr>
        <w:t> » dans Michael Taggart, dir.</w:t>
      </w:r>
      <w:r w:rsidRPr="006B5BF6">
        <w:rPr>
          <w:rFonts w:cs="Times New Roman"/>
          <w:lang w:val="fr-CA"/>
        </w:rPr>
        <w:t xml:space="preserve">, </w:t>
      </w:r>
      <w:r w:rsidR="005C6728">
        <w:rPr>
          <w:rFonts w:cs="Times New Roman"/>
          <w:i/>
          <w:lang w:val="fr-CA"/>
        </w:rPr>
        <w:t xml:space="preserve">The </w:t>
      </w:r>
      <w:r w:rsidRPr="006B5BF6">
        <w:rPr>
          <w:rFonts w:cs="Times New Roman"/>
          <w:i/>
          <w:lang w:val="fr-CA"/>
        </w:rPr>
        <w:t>Province of Administrative Law</w:t>
      </w:r>
      <w:r w:rsidRPr="006B5BF6">
        <w:rPr>
          <w:rFonts w:cs="Times New Roman"/>
          <w:lang w:val="fr-CA"/>
        </w:rPr>
        <w:t xml:space="preserve"> (1997), 279, p. 304).</w:t>
      </w:r>
    </w:p>
    <w:p w14:paraId="0B23F1BB" w14:textId="0093C981"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Il s</w:t>
      </w:r>
      <w:r>
        <w:rPr>
          <w:rFonts w:cs="Times New Roman"/>
          <w:lang w:val="fr-CA"/>
        </w:rPr>
        <w:t>’</w:t>
      </w:r>
      <w:r w:rsidRPr="006B5BF6">
        <w:rPr>
          <w:rFonts w:cs="Times New Roman"/>
          <w:lang w:val="fr-CA"/>
        </w:rPr>
        <w:t xml:space="preserve">est ainsi tissé entre les </w:t>
      </w:r>
      <w:r>
        <w:rPr>
          <w:rFonts w:cs="Times New Roman"/>
          <w:lang w:val="fr-CA"/>
        </w:rPr>
        <w:t>cours</w:t>
      </w:r>
      <w:r w:rsidRPr="006B5BF6">
        <w:rPr>
          <w:rFonts w:cs="Times New Roman"/>
          <w:lang w:val="fr-CA"/>
        </w:rPr>
        <w:t xml:space="preserve"> et les acteurs administratifs de nouveaux liens institutionnels fondés sur [</w:t>
      </w:r>
      <w:r w:rsidRPr="006B5BF6">
        <w:rPr>
          <w:rFonts w:cs="Times New Roman"/>
          <w:smallCaps/>
          <w:lang w:val="fr-CA"/>
        </w:rPr>
        <w:t>traduction</w:t>
      </w:r>
      <w:r w:rsidRPr="006B5BF6">
        <w:rPr>
          <w:rFonts w:cs="Times New Roman"/>
          <w:lang w:val="fr-CA"/>
        </w:rPr>
        <w:t>] « une perception du rôle de l</w:t>
      </w:r>
      <w:r>
        <w:rPr>
          <w:rFonts w:cs="Times New Roman"/>
          <w:lang w:val="fr-CA"/>
        </w:rPr>
        <w:t>’</w:t>
      </w:r>
      <w:r w:rsidRPr="006B5BF6">
        <w:rPr>
          <w:rFonts w:cs="Times New Roman"/>
          <w:lang w:val="fr-CA"/>
        </w:rPr>
        <w:t xml:space="preserve">expertise au sein de </w:t>
      </w:r>
      <w:r>
        <w:rPr>
          <w:rFonts w:cs="Times New Roman"/>
          <w:lang w:val="fr-CA"/>
        </w:rPr>
        <w:t>l’</w:t>
      </w:r>
      <w:r w:rsidRPr="006B5BF6">
        <w:rPr>
          <w:rFonts w:cs="Times New Roman"/>
          <w:lang w:val="fr-CA"/>
        </w:rPr>
        <w:t>État administratif moderne [qui] reconnaît [. . .] que les juges ne sont pas toujours les mieux placés pour interpréter les règles de droit en cause » (l</w:t>
      </w:r>
      <w:r>
        <w:rPr>
          <w:rFonts w:cs="Times New Roman"/>
          <w:lang w:val="fr-CA"/>
        </w:rPr>
        <w:t>’</w:t>
      </w:r>
      <w:r w:rsidRPr="006B5BF6">
        <w:rPr>
          <w:rFonts w:cs="Times New Roman"/>
          <w:lang w:val="fr-CA"/>
        </w:rPr>
        <w:t>honorable Frank Iacobucci, « Articulating a Rational Standard of Review Doctrine</w:t>
      </w:r>
      <w:r w:rsidR="00D019E4">
        <w:rPr>
          <w:rFonts w:cs="Times New Roman"/>
          <w:lang w:val="fr-CA"/>
        </w:rPr>
        <w:t> </w:t>
      </w:r>
      <w:r w:rsidRPr="006B5BF6">
        <w:rPr>
          <w:rFonts w:cs="Times New Roman"/>
          <w:lang w:val="fr-CA"/>
        </w:rPr>
        <w:t xml:space="preserve">: A Tribute to John Willis » (2002), 27 </w:t>
      </w:r>
      <w:r w:rsidRPr="006B5BF6">
        <w:rPr>
          <w:rFonts w:cs="Times New Roman"/>
          <w:i/>
          <w:lang w:val="fr-CA"/>
        </w:rPr>
        <w:t>Queen</w:t>
      </w:r>
      <w:r>
        <w:rPr>
          <w:rFonts w:cs="Times New Roman"/>
          <w:i/>
          <w:lang w:val="fr-CA"/>
        </w:rPr>
        <w:t>’</w:t>
      </w:r>
      <w:r w:rsidRPr="006B5BF6">
        <w:rPr>
          <w:rFonts w:cs="Times New Roman"/>
          <w:i/>
          <w:lang w:val="fr-CA"/>
        </w:rPr>
        <w:t>s L.J.</w:t>
      </w:r>
      <w:r w:rsidRPr="006B5BF6">
        <w:rPr>
          <w:rFonts w:cs="Times New Roman"/>
          <w:lang w:val="fr-CA"/>
        </w:rPr>
        <w:t xml:space="preserve"> 859, p. 866).</w:t>
      </w:r>
    </w:p>
    <w:p w14:paraId="7CFD5205"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Dans les décennies qui ont suivi, la Cour a tenté de concilier la déférence préconisée par l</w:t>
      </w:r>
      <w:r>
        <w:rPr>
          <w:rFonts w:cs="Times New Roman"/>
          <w:lang w:val="fr-CA"/>
        </w:rPr>
        <w:t>’</w:t>
      </w:r>
      <w:r w:rsidRPr="006B5BF6">
        <w:rPr>
          <w:rFonts w:cs="Times New Roman"/>
          <w:lang w:val="fr-CA"/>
        </w:rPr>
        <w:t xml:space="preserve">arrêt </w:t>
      </w:r>
      <w:r w:rsidRPr="006B5BF6">
        <w:rPr>
          <w:rFonts w:cs="Times New Roman"/>
          <w:i/>
          <w:lang w:val="fr-CA"/>
        </w:rPr>
        <w:t xml:space="preserve">S.C.F.P. </w:t>
      </w:r>
      <w:r w:rsidRPr="006B5BF6">
        <w:rPr>
          <w:rFonts w:cs="Times New Roman"/>
          <w:lang w:val="fr-CA"/>
        </w:rPr>
        <w:t>avec le concept persistant d</w:t>
      </w:r>
      <w:r>
        <w:rPr>
          <w:rFonts w:cs="Times New Roman"/>
          <w:lang w:val="fr-CA"/>
        </w:rPr>
        <w:t>’</w:t>
      </w:r>
      <w:r w:rsidRPr="006B5BF6">
        <w:rPr>
          <w:rFonts w:cs="Times New Roman"/>
          <w:lang w:val="fr-CA"/>
        </w:rPr>
        <w:t>« erreur de compétence ». Dans l</w:t>
      </w:r>
      <w:r>
        <w:rPr>
          <w:rFonts w:cs="Times New Roman"/>
          <w:lang w:val="fr-CA"/>
        </w:rPr>
        <w:t>’</w:t>
      </w:r>
      <w:r w:rsidRPr="006B5BF6">
        <w:rPr>
          <w:rFonts w:cs="Times New Roman"/>
          <w:lang w:val="fr-CA"/>
        </w:rPr>
        <w:t xml:space="preserve">arrêt </w:t>
      </w:r>
      <w:r w:rsidRPr="006B5BF6">
        <w:rPr>
          <w:rFonts w:cs="Times New Roman"/>
          <w:i/>
          <w:lang w:val="fr-CA"/>
        </w:rPr>
        <w:t>U.E.S., Local 298 c. Bibeault</w:t>
      </w:r>
      <w:r w:rsidRPr="006B5BF6">
        <w:rPr>
          <w:rFonts w:cs="Times New Roman"/>
          <w:lang w:val="fr-CA"/>
        </w:rPr>
        <w:t>, [1988] 2 R.C.S. 1048, la Cour a adopté la « méthode pragmatique et fonctionnelle » pour décider dans quels cas une affaire relevait de la compétence d</w:t>
      </w:r>
      <w:r>
        <w:rPr>
          <w:rFonts w:cs="Times New Roman"/>
          <w:lang w:val="fr-CA"/>
        </w:rPr>
        <w:t>’</w:t>
      </w:r>
      <w:r w:rsidRPr="006B5BF6">
        <w:rPr>
          <w:rFonts w:cs="Times New Roman"/>
          <w:lang w:val="fr-CA"/>
        </w:rPr>
        <w:t xml:space="preserve">un organisme administratif. Au lieu de qualifier la </w:t>
      </w:r>
      <w:r w:rsidRPr="006B5BF6">
        <w:rPr>
          <w:rFonts w:cs="Times New Roman"/>
          <w:lang w:val="fr-CA"/>
        </w:rPr>
        <w:lastRenderedPageBreak/>
        <w:t>compétence de question préliminaire ou accessoire, le critère énoncé dans l</w:t>
      </w:r>
      <w:r>
        <w:rPr>
          <w:rFonts w:cs="Times New Roman"/>
          <w:lang w:val="fr-CA"/>
        </w:rPr>
        <w:t>’</w:t>
      </w:r>
      <w:r w:rsidRPr="006B5BF6">
        <w:rPr>
          <w:rFonts w:cs="Times New Roman"/>
          <w:lang w:val="fr-CA"/>
        </w:rPr>
        <w:t xml:space="preserve">arrêt </w:t>
      </w:r>
      <w:r w:rsidRPr="006B5BF6">
        <w:rPr>
          <w:rFonts w:cs="Times New Roman"/>
          <w:i/>
          <w:lang w:val="fr-CA"/>
        </w:rPr>
        <w:t xml:space="preserve">Bibeault </w:t>
      </w:r>
      <w:r w:rsidRPr="006B5BF6">
        <w:rPr>
          <w:rFonts w:cs="Times New Roman"/>
          <w:lang w:val="fr-CA"/>
        </w:rPr>
        <w:t>enjoignait aux cours de révision d</w:t>
      </w:r>
      <w:r>
        <w:rPr>
          <w:rFonts w:cs="Times New Roman"/>
          <w:lang w:val="fr-CA"/>
        </w:rPr>
        <w:t>’</w:t>
      </w:r>
      <w:r w:rsidRPr="006B5BF6">
        <w:rPr>
          <w:rFonts w:cs="Times New Roman"/>
          <w:lang w:val="fr-CA"/>
        </w:rPr>
        <w:t>examiner le libellé de la disposition législative conférant compétence à l</w:t>
      </w:r>
      <w:r>
        <w:rPr>
          <w:rFonts w:cs="Times New Roman"/>
          <w:lang w:val="fr-CA"/>
        </w:rPr>
        <w:t>’</w:t>
      </w:r>
      <w:r w:rsidRPr="006B5BF6">
        <w:rPr>
          <w:rFonts w:cs="Times New Roman"/>
          <w:lang w:val="fr-CA"/>
        </w:rPr>
        <w:t>organisme administratif, l</w:t>
      </w:r>
      <w:r>
        <w:rPr>
          <w:rFonts w:cs="Times New Roman"/>
          <w:lang w:val="fr-CA"/>
        </w:rPr>
        <w:t>’</w:t>
      </w:r>
      <w:r w:rsidRPr="006B5BF6">
        <w:rPr>
          <w:rFonts w:cs="Times New Roman"/>
          <w:lang w:val="fr-CA"/>
        </w:rPr>
        <w:t>objet de la loi créant le tribunal administratif, la raison d</w:t>
      </w:r>
      <w:r>
        <w:rPr>
          <w:rFonts w:cs="Times New Roman"/>
          <w:lang w:val="fr-CA"/>
        </w:rPr>
        <w:t>’</w:t>
      </w:r>
      <w:r w:rsidRPr="006B5BF6">
        <w:rPr>
          <w:rFonts w:cs="Times New Roman"/>
          <w:lang w:val="fr-CA"/>
        </w:rPr>
        <w:t>être de ce dernier, le champ d</w:t>
      </w:r>
      <w:r>
        <w:rPr>
          <w:rFonts w:cs="Times New Roman"/>
          <w:lang w:val="fr-CA"/>
        </w:rPr>
        <w:t>’</w:t>
      </w:r>
      <w:r w:rsidRPr="006B5BF6">
        <w:rPr>
          <w:rFonts w:cs="Times New Roman"/>
          <w:lang w:val="fr-CA"/>
        </w:rPr>
        <w:t>expertise de ses membres et la nature de la question que le tribunal était appelé à trancher, le tout dans le but de déterminer si le législateur « voul[ait] qu</w:t>
      </w:r>
      <w:r>
        <w:rPr>
          <w:rFonts w:cs="Times New Roman"/>
          <w:lang w:val="fr-CA"/>
        </w:rPr>
        <w:t>’</w:t>
      </w:r>
      <w:r w:rsidRPr="006B5BF6">
        <w:rPr>
          <w:rFonts w:cs="Times New Roman"/>
          <w:lang w:val="fr-CA"/>
        </w:rPr>
        <w:t>une telle matière relève de la compétence conférée au tribunal » (p. 1087; voir aussi p. 1088). Dans l</w:t>
      </w:r>
      <w:r>
        <w:rPr>
          <w:rFonts w:cs="Times New Roman"/>
          <w:lang w:val="fr-CA"/>
        </w:rPr>
        <w:t>’</w:t>
      </w:r>
      <w:r w:rsidRPr="006B5BF6">
        <w:rPr>
          <w:rFonts w:cs="Times New Roman"/>
          <w:lang w:val="fr-CA"/>
        </w:rPr>
        <w:t>affirmative, la décision du tribunal ne pouvait être annulée que si elle était « manifestement déraisonnable » (p. 1086).</w:t>
      </w:r>
    </w:p>
    <w:p w14:paraId="1D4087C6"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Même si elle était encore ancrée dans une recherche formaliste d</w:t>
      </w:r>
      <w:r>
        <w:rPr>
          <w:rFonts w:cs="Times New Roman"/>
          <w:lang w:val="fr-CA"/>
        </w:rPr>
        <w:t>’</w:t>
      </w:r>
      <w:r w:rsidRPr="006B5BF6">
        <w:rPr>
          <w:rFonts w:cs="Times New Roman"/>
          <w:lang w:val="fr-CA"/>
        </w:rPr>
        <w:t>erreurs de compétence, l</w:t>
      </w:r>
      <w:r>
        <w:rPr>
          <w:rFonts w:cs="Times New Roman"/>
          <w:lang w:val="fr-CA"/>
        </w:rPr>
        <w:t>’</w:t>
      </w:r>
      <w:r w:rsidRPr="006B5BF6">
        <w:rPr>
          <w:rFonts w:cs="Times New Roman"/>
          <w:lang w:val="fr-CA"/>
        </w:rPr>
        <w:t xml:space="preserve">analyse pragmatique et fonctionnelle reconnaissait que les législateurs avait attribué des rôles distincts aux </w:t>
      </w:r>
      <w:r>
        <w:rPr>
          <w:rFonts w:cs="Times New Roman"/>
          <w:lang w:val="fr-CA"/>
        </w:rPr>
        <w:t>cours</w:t>
      </w:r>
      <w:r w:rsidRPr="006B5BF6">
        <w:rPr>
          <w:rFonts w:cs="Times New Roman"/>
          <w:lang w:val="fr-CA"/>
        </w:rPr>
        <w:t xml:space="preserve"> judiciaires et aux décideurs administratifs, et que la spécialisation et l</w:t>
      </w:r>
      <w:r>
        <w:rPr>
          <w:rFonts w:cs="Times New Roman"/>
          <w:lang w:val="fr-CA"/>
        </w:rPr>
        <w:t>’</w:t>
      </w:r>
      <w:r w:rsidRPr="006B5BF6">
        <w:rPr>
          <w:rFonts w:cs="Times New Roman"/>
          <w:lang w:val="fr-CA"/>
        </w:rPr>
        <w:t>expertise des décideurs administratifs méritaient la déférence. Dans l</w:t>
      </w:r>
      <w:r>
        <w:rPr>
          <w:rFonts w:cs="Times New Roman"/>
          <w:lang w:val="fr-CA"/>
        </w:rPr>
        <w:t>’</w:t>
      </w:r>
      <w:r w:rsidRPr="006B5BF6">
        <w:rPr>
          <w:rFonts w:cs="Times New Roman"/>
          <w:lang w:val="fr-CA"/>
        </w:rPr>
        <w:t xml:space="preserve">arrêt </w:t>
      </w:r>
      <w:r w:rsidRPr="006B5BF6">
        <w:rPr>
          <w:rFonts w:cs="Times New Roman"/>
          <w:i/>
          <w:lang w:val="fr-CA"/>
        </w:rPr>
        <w:t xml:space="preserve">National </w:t>
      </w:r>
      <w:r w:rsidRPr="006B5BF6">
        <w:rPr>
          <w:rFonts w:cs="Times New Roman"/>
          <w:i/>
          <w:iCs/>
          <w:lang w:val="fr-CA"/>
        </w:rPr>
        <w:t>Corn Growers</w:t>
      </w:r>
      <w:r w:rsidRPr="006B5BF6">
        <w:rPr>
          <w:rFonts w:cs="Times New Roman"/>
          <w:lang w:val="fr-CA"/>
        </w:rPr>
        <w:t>, la juge Wilson fait observer dans ses motifs concordants que le fait de se détacher du cadre d</w:t>
      </w:r>
      <w:r>
        <w:rPr>
          <w:rFonts w:cs="Times New Roman"/>
          <w:lang w:val="fr-CA"/>
        </w:rPr>
        <w:t>’</w:t>
      </w:r>
      <w:r w:rsidRPr="006B5BF6">
        <w:rPr>
          <w:rFonts w:cs="Times New Roman"/>
          <w:lang w:val="fr-CA"/>
        </w:rPr>
        <w:t>analyse de Dicey pour arriver à une compréhension plus poussée du rôle des tribunaux administratifs :</w:t>
      </w:r>
    </w:p>
    <w:p w14:paraId="4FA57771" w14:textId="162619C1" w:rsidR="00AE2373" w:rsidRPr="006B5BF6" w:rsidRDefault="00AE2373" w:rsidP="00AE2373">
      <w:pPr>
        <w:pStyle w:val="Citation-AltC"/>
        <w:ind w:hanging="446"/>
        <w:contextualSpacing w:val="0"/>
        <w:rPr>
          <w:lang w:val="fr-CA"/>
        </w:rPr>
      </w:pPr>
      <w:r w:rsidRPr="006B5BF6">
        <w:rPr>
          <w:spacing w:val="-3"/>
          <w:shd w:val="clear" w:color="auto" w:fill="FFFFFF"/>
          <w:lang w:val="fr-CA"/>
        </w:rPr>
        <w:tab/>
      </w:r>
      <w:r w:rsidR="004B703D">
        <w:rPr>
          <w:spacing w:val="-3"/>
          <w:shd w:val="clear" w:color="auto" w:fill="FFFFFF"/>
          <w:lang w:val="fr-CA"/>
        </w:rPr>
        <w:t>. </w:t>
      </w:r>
      <w:r w:rsidR="00ED186E">
        <w:rPr>
          <w:spacing w:val="-3"/>
          <w:shd w:val="clear" w:color="auto" w:fill="FFFFFF"/>
          <w:lang w:val="fr-CA"/>
        </w:rPr>
        <w:t>.</w:t>
      </w:r>
      <w:r w:rsidR="004B703D">
        <w:rPr>
          <w:spacing w:val="-3"/>
          <w:shd w:val="clear" w:color="auto" w:fill="FFFFFF"/>
          <w:lang w:val="fr-CA"/>
        </w:rPr>
        <w:t> </w:t>
      </w:r>
      <w:r w:rsidR="00ED186E">
        <w:rPr>
          <w:spacing w:val="-3"/>
          <w:shd w:val="clear" w:color="auto" w:fill="FFFFFF"/>
          <w:lang w:val="fr-CA"/>
        </w:rPr>
        <w:t xml:space="preserve">. </w:t>
      </w:r>
      <w:r w:rsidRPr="006B5BF6">
        <w:rPr>
          <w:spacing w:val="-3"/>
          <w:shd w:val="clear" w:color="auto" w:fill="FFFFFF"/>
          <w:lang w:val="fr-CA"/>
        </w:rPr>
        <w:t>s</w:t>
      </w:r>
      <w:r>
        <w:rPr>
          <w:spacing w:val="-3"/>
          <w:shd w:val="clear" w:color="auto" w:fill="FFFFFF"/>
          <w:lang w:val="fr-CA"/>
        </w:rPr>
        <w:t>’</w:t>
      </w:r>
      <w:r w:rsidRPr="006B5BF6">
        <w:rPr>
          <w:spacing w:val="-3"/>
          <w:shd w:val="clear" w:color="auto" w:fill="FFFFFF"/>
          <w:lang w:val="fr-CA"/>
        </w:rPr>
        <w:t>est traduit notamment par une reconnaissance accrue de la part des cours de justice qu</w:t>
      </w:r>
      <w:r>
        <w:rPr>
          <w:spacing w:val="-3"/>
          <w:shd w:val="clear" w:color="auto" w:fill="FFFFFF"/>
          <w:lang w:val="fr-CA"/>
        </w:rPr>
        <w:t>’</w:t>
      </w:r>
      <w:r w:rsidRPr="006B5BF6">
        <w:rPr>
          <w:spacing w:val="-3"/>
          <w:shd w:val="clear" w:color="auto" w:fill="FFFFFF"/>
          <w:lang w:val="fr-CA"/>
        </w:rPr>
        <w:t>il se peut qu</w:t>
      </w:r>
      <w:r>
        <w:rPr>
          <w:spacing w:val="-3"/>
          <w:shd w:val="clear" w:color="auto" w:fill="FFFFFF"/>
          <w:lang w:val="fr-CA"/>
        </w:rPr>
        <w:t>’</w:t>
      </w:r>
      <w:r w:rsidRPr="006B5BF6">
        <w:rPr>
          <w:spacing w:val="-3"/>
          <w:shd w:val="clear" w:color="auto" w:fill="FFFFFF"/>
          <w:lang w:val="fr-CA"/>
        </w:rPr>
        <w:t>elles soient simplement moins en mesure que les tribunaux ou organismes administratifs de statuer dans des domaines que le Parlement a choisi de réglementer par l</w:t>
      </w:r>
      <w:r>
        <w:rPr>
          <w:spacing w:val="-3"/>
          <w:shd w:val="clear" w:color="auto" w:fill="FFFFFF"/>
          <w:lang w:val="fr-CA"/>
        </w:rPr>
        <w:t>’</w:t>
      </w:r>
      <w:r w:rsidRPr="006B5BF6">
        <w:rPr>
          <w:spacing w:val="-3"/>
          <w:shd w:val="clear" w:color="auto" w:fill="FFFFFF"/>
          <w:lang w:val="fr-CA"/>
        </w:rPr>
        <w:t>intermédiaire d</w:t>
      </w:r>
      <w:r>
        <w:rPr>
          <w:spacing w:val="-3"/>
          <w:shd w:val="clear" w:color="auto" w:fill="FFFFFF"/>
          <w:lang w:val="fr-CA"/>
        </w:rPr>
        <w:t>’</w:t>
      </w:r>
      <w:r w:rsidRPr="006B5BF6">
        <w:rPr>
          <w:spacing w:val="-3"/>
          <w:shd w:val="clear" w:color="auto" w:fill="FFFFFF"/>
          <w:lang w:val="fr-CA"/>
        </w:rPr>
        <w:t>organismes exerçant un pouvoir délégué, comme, par exemple, les relations de travail, les télécommunications, les marchés financiers et les relations économiques internationales. Une gestion prudente de ces secteurs nécessite souvent le recours à des experts ayant à leur actif des années d</w:t>
      </w:r>
      <w:r>
        <w:rPr>
          <w:spacing w:val="-3"/>
          <w:shd w:val="clear" w:color="auto" w:fill="FFFFFF"/>
          <w:lang w:val="fr-CA"/>
        </w:rPr>
        <w:t>’</w:t>
      </w:r>
      <w:r w:rsidRPr="006B5BF6">
        <w:rPr>
          <w:spacing w:val="-3"/>
          <w:shd w:val="clear" w:color="auto" w:fill="FFFFFF"/>
          <w:lang w:val="fr-CA"/>
        </w:rPr>
        <w:t>expérience et une connaissance spécialisée des activités qu</w:t>
      </w:r>
      <w:r>
        <w:rPr>
          <w:spacing w:val="-3"/>
          <w:shd w:val="clear" w:color="auto" w:fill="FFFFFF"/>
          <w:lang w:val="fr-CA"/>
        </w:rPr>
        <w:t>’</w:t>
      </w:r>
      <w:r w:rsidRPr="006B5BF6">
        <w:rPr>
          <w:spacing w:val="-3"/>
          <w:shd w:val="clear" w:color="auto" w:fill="FFFFFF"/>
          <w:lang w:val="fr-CA"/>
        </w:rPr>
        <w:t>ils sont chargés de surveiller.</w:t>
      </w:r>
      <w:r w:rsidRPr="006B5BF6">
        <w:rPr>
          <w:i/>
          <w:lang w:val="fr-CA"/>
        </w:rPr>
        <w:t xml:space="preserve"> </w:t>
      </w:r>
      <w:r w:rsidRPr="006B5BF6">
        <w:rPr>
          <w:lang w:val="fr-CA"/>
        </w:rPr>
        <w:t>[p. 1336]</w:t>
      </w:r>
    </w:p>
    <w:p w14:paraId="19E412F4" w14:textId="214C104C"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lastRenderedPageBreak/>
        <w:t>Au milieu des années 1990, la Cour a accepté que la spécialisation et la volonté du législateur de laisser aux décideurs administratifs le soin de trancher certaines questions étaient des facteurs indissociables et essentiels dans l</w:t>
      </w:r>
      <w:r>
        <w:rPr>
          <w:rFonts w:cs="Times New Roman"/>
          <w:lang w:val="fr-CA"/>
        </w:rPr>
        <w:t>’</w:t>
      </w:r>
      <w:r w:rsidRPr="006B5BF6">
        <w:rPr>
          <w:rFonts w:cs="Times New Roman"/>
          <w:lang w:val="fr-CA"/>
        </w:rPr>
        <w:t>analyse de la norme de contrôle applicable. Elle a souligné que « [l</w:t>
      </w:r>
      <w:r>
        <w:rPr>
          <w:rFonts w:cs="Times New Roman"/>
          <w:lang w:val="fr-CA"/>
        </w:rPr>
        <w:t>’</w:t>
      </w:r>
      <w:r w:rsidRPr="006B5BF6">
        <w:rPr>
          <w:rFonts w:cs="Times New Roman"/>
          <w:lang w:val="fr-CA"/>
        </w:rPr>
        <w:t>]e</w:t>
      </w:r>
      <w:r w:rsidRPr="006B5BF6">
        <w:rPr>
          <w:rFonts w:cs="Times New Roman"/>
          <w:spacing w:val="-3"/>
          <w:lang w:val="fr-CA"/>
        </w:rPr>
        <w:t>xpertise [du tribunal] est de la plus haute importance pour ce qui est de déterminer l</w:t>
      </w:r>
      <w:r>
        <w:rPr>
          <w:rFonts w:cs="Times New Roman"/>
          <w:spacing w:val="-3"/>
          <w:lang w:val="fr-CA"/>
        </w:rPr>
        <w:t>’</w:t>
      </w:r>
      <w:r w:rsidRPr="006B5BF6">
        <w:rPr>
          <w:rFonts w:cs="Times New Roman"/>
          <w:spacing w:val="-3"/>
          <w:lang w:val="fr-CA"/>
        </w:rPr>
        <w:t>intention du législateur quant au degré de retenue dont il faut faire preuve à l</w:t>
      </w:r>
      <w:r>
        <w:rPr>
          <w:rFonts w:cs="Times New Roman"/>
          <w:spacing w:val="-3"/>
          <w:lang w:val="fr-CA"/>
        </w:rPr>
        <w:t>’</w:t>
      </w:r>
      <w:r w:rsidRPr="006B5BF6">
        <w:rPr>
          <w:rFonts w:cs="Times New Roman"/>
          <w:spacing w:val="-3"/>
          <w:lang w:val="fr-CA"/>
        </w:rPr>
        <w:t>égard de la décision d</w:t>
      </w:r>
      <w:r>
        <w:rPr>
          <w:rFonts w:cs="Times New Roman"/>
          <w:spacing w:val="-3"/>
          <w:lang w:val="fr-CA"/>
        </w:rPr>
        <w:t>’</w:t>
      </w:r>
      <w:r w:rsidRPr="006B5BF6">
        <w:rPr>
          <w:rFonts w:cs="Times New Roman"/>
          <w:spacing w:val="-3"/>
          <w:lang w:val="fr-CA"/>
        </w:rPr>
        <w:t>un tribunal [.</w:t>
      </w:r>
      <w:r w:rsidRPr="006B5BF6">
        <w:rPr>
          <w:rFonts w:cs="Times New Roman" w:hint="eastAsia"/>
          <w:spacing w:val="-3"/>
          <w:lang w:val="fr-CA"/>
        </w:rPr>
        <w:t> .</w:t>
      </w:r>
      <w:r w:rsidRPr="006B5BF6">
        <w:rPr>
          <w:rFonts w:cs="Times New Roman"/>
          <w:spacing w:val="-3"/>
          <w:lang w:val="fr-CA"/>
        </w:rPr>
        <w:t> .] [m]ême lorsque la loi habilitante du tribunal prévoit expressément l</w:t>
      </w:r>
      <w:r>
        <w:rPr>
          <w:rFonts w:cs="Times New Roman"/>
          <w:spacing w:val="-3"/>
          <w:lang w:val="fr-CA"/>
        </w:rPr>
        <w:t>’</w:t>
      </w:r>
      <w:r w:rsidRPr="006B5BF6">
        <w:rPr>
          <w:rFonts w:cs="Times New Roman"/>
          <w:spacing w:val="-3"/>
          <w:lang w:val="fr-CA"/>
        </w:rPr>
        <w:t>examen par voie d</w:t>
      </w:r>
      <w:r>
        <w:rPr>
          <w:rFonts w:cs="Times New Roman"/>
          <w:spacing w:val="-3"/>
          <w:lang w:val="fr-CA"/>
        </w:rPr>
        <w:t>’</w:t>
      </w:r>
      <w:r w:rsidRPr="006B5BF6">
        <w:rPr>
          <w:rFonts w:cs="Times New Roman"/>
          <w:spacing w:val="-3"/>
          <w:lang w:val="fr-CA"/>
        </w:rPr>
        <w:t xml:space="preserve">appel » </w:t>
      </w:r>
      <w:r w:rsidRPr="006B5BF6">
        <w:rPr>
          <w:rFonts w:cs="Times New Roman"/>
          <w:lang w:val="fr-CA"/>
        </w:rPr>
        <w:t>(</w:t>
      </w:r>
      <w:r w:rsidRPr="006B5BF6">
        <w:rPr>
          <w:rFonts w:cs="Times New Roman"/>
          <w:i/>
          <w:iCs/>
          <w:spacing w:val="-3"/>
          <w:lang w:val="fr-CA"/>
        </w:rPr>
        <w:t>Fraternité unie des charpentiers et menuisiers d</w:t>
      </w:r>
      <w:r>
        <w:rPr>
          <w:rFonts w:cs="Times New Roman"/>
          <w:i/>
          <w:iCs/>
          <w:spacing w:val="-3"/>
          <w:lang w:val="fr-CA"/>
        </w:rPr>
        <w:t>’</w:t>
      </w:r>
      <w:r w:rsidRPr="006B5BF6">
        <w:rPr>
          <w:rFonts w:cs="Times New Roman"/>
          <w:i/>
          <w:iCs/>
          <w:spacing w:val="-3"/>
          <w:lang w:val="fr-CA"/>
        </w:rPr>
        <w:t>Amérique, section locale 579 c. Bradco Construction Ltd</w:t>
      </w:r>
      <w:r w:rsidRPr="006B5BF6">
        <w:rPr>
          <w:rFonts w:cs="Times New Roman"/>
          <w:spacing w:val="-3"/>
          <w:lang w:val="fr-CA"/>
        </w:rPr>
        <w:t xml:space="preserve">., [1993] 2 R.C.S. 316, </w:t>
      </w:r>
      <w:r w:rsidRPr="006B5BF6">
        <w:rPr>
          <w:rFonts w:cs="Times New Roman"/>
          <w:lang w:val="fr-CA"/>
        </w:rPr>
        <w:t>p. 335). Parmi les facteurs dont on pouvait tenir compte pour établir la norme de contrôle applicable, l</w:t>
      </w:r>
      <w:r>
        <w:rPr>
          <w:rFonts w:cs="Times New Roman"/>
          <w:lang w:val="fr-CA"/>
        </w:rPr>
        <w:t>’</w:t>
      </w:r>
      <w:r w:rsidRPr="006B5BF6">
        <w:rPr>
          <w:rFonts w:cs="Times New Roman"/>
          <w:spacing w:val="-3"/>
          <w:lang w:val="fr-CA"/>
        </w:rPr>
        <w:t>expertise a été jugée « </w:t>
      </w:r>
      <w:r w:rsidRPr="006B5BF6">
        <w:rPr>
          <w:rFonts w:cs="Times New Roman"/>
          <w:lang w:val="fr-CA"/>
        </w:rPr>
        <w:t>le plus important »</w:t>
      </w:r>
      <w:r w:rsidRPr="006B5BF6">
        <w:rPr>
          <w:rFonts w:cs="Times New Roman"/>
          <w:spacing w:val="-3"/>
          <w:lang w:val="fr-CA"/>
        </w:rPr>
        <w:t xml:space="preserve"> (</w:t>
      </w:r>
      <w:r w:rsidRPr="006B5BF6">
        <w:rPr>
          <w:rFonts w:cs="Times New Roman"/>
          <w:i/>
          <w:spacing w:val="-3"/>
          <w:lang w:val="fr-CA"/>
        </w:rPr>
        <w:t>Canada (Directeur des enquêtes et recherches) c. Southam</w:t>
      </w:r>
      <w:r w:rsidR="00ED186E">
        <w:rPr>
          <w:rFonts w:cs="Times New Roman"/>
          <w:i/>
          <w:spacing w:val="-3"/>
          <w:lang w:val="fr-CA"/>
        </w:rPr>
        <w:t xml:space="preserve"> Inc.</w:t>
      </w:r>
      <w:r w:rsidRPr="006B5BF6">
        <w:rPr>
          <w:rFonts w:cs="Times New Roman"/>
          <w:spacing w:val="-3"/>
          <w:lang w:val="fr-CA"/>
        </w:rPr>
        <w:t>, [1997] 1 R.C.S. 748, par. 50).</w:t>
      </w:r>
    </w:p>
    <w:p w14:paraId="5DB7D981"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spacing w:val="-3"/>
          <w:lang w:val="fr-CA"/>
        </w:rPr>
        <w:t xml:space="preserve">Conformément à ces arrêts, notre Cour a invoqué </w:t>
      </w:r>
      <w:r w:rsidRPr="006B5BF6">
        <w:rPr>
          <w:rFonts w:cs="Times New Roman"/>
          <w:lang w:val="fr-CA"/>
        </w:rPr>
        <w:t>l</w:t>
      </w:r>
      <w:r>
        <w:rPr>
          <w:rFonts w:cs="Times New Roman"/>
          <w:lang w:val="fr-CA"/>
        </w:rPr>
        <w:t>’</w:t>
      </w:r>
      <w:r w:rsidRPr="006B5BF6">
        <w:rPr>
          <w:rFonts w:cs="Times New Roman"/>
          <w:lang w:val="fr-CA"/>
        </w:rPr>
        <w:t>expertise spécialisée d</w:t>
      </w:r>
      <w:r>
        <w:rPr>
          <w:rFonts w:cs="Times New Roman"/>
          <w:lang w:val="fr-CA"/>
        </w:rPr>
        <w:t>’</w:t>
      </w:r>
      <w:r w:rsidRPr="006B5BF6">
        <w:rPr>
          <w:rFonts w:cs="Times New Roman"/>
          <w:lang w:val="fr-CA"/>
        </w:rPr>
        <w:t>une commission des valeurs mobilières afin d</w:t>
      </w:r>
      <w:r>
        <w:rPr>
          <w:rFonts w:cs="Times New Roman"/>
          <w:lang w:val="fr-CA"/>
        </w:rPr>
        <w:t>’</w:t>
      </w:r>
      <w:r w:rsidRPr="006B5BF6">
        <w:rPr>
          <w:rFonts w:cs="Times New Roman"/>
          <w:lang w:val="fr-CA"/>
        </w:rPr>
        <w:t>expliquer la raison pour laquelle les décisions de cette dernière avaient droit à la déférence dans le cadre d</w:t>
      </w:r>
      <w:r>
        <w:rPr>
          <w:rFonts w:cs="Times New Roman"/>
          <w:lang w:val="fr-CA"/>
        </w:rPr>
        <w:t>’</w:t>
      </w:r>
      <w:r w:rsidRPr="006B5BF6">
        <w:rPr>
          <w:rFonts w:cs="Times New Roman"/>
          <w:lang w:val="fr-CA"/>
        </w:rPr>
        <w:t>un contrôle judiciaire, même lorsqu</w:t>
      </w:r>
      <w:r>
        <w:rPr>
          <w:rFonts w:cs="Times New Roman"/>
          <w:lang w:val="fr-CA"/>
        </w:rPr>
        <w:t>’</w:t>
      </w:r>
      <w:r w:rsidRPr="006B5BF6">
        <w:rPr>
          <w:rFonts w:cs="Times New Roman"/>
          <w:lang w:val="fr-CA"/>
        </w:rPr>
        <w:t>il existait un droit d</w:t>
      </w:r>
      <w:r>
        <w:rPr>
          <w:rFonts w:cs="Times New Roman"/>
          <w:lang w:val="fr-CA"/>
        </w:rPr>
        <w:t>’</w:t>
      </w:r>
      <w:r w:rsidRPr="006B5BF6">
        <w:rPr>
          <w:rFonts w:cs="Times New Roman"/>
          <w:lang w:val="fr-CA"/>
        </w:rPr>
        <w:t>appel prévu par la loi. S</w:t>
      </w:r>
      <w:r>
        <w:rPr>
          <w:rFonts w:cs="Times New Roman"/>
          <w:lang w:val="fr-CA"/>
        </w:rPr>
        <w:t>’</w:t>
      </w:r>
      <w:r w:rsidRPr="006B5BF6">
        <w:rPr>
          <w:rFonts w:cs="Times New Roman"/>
          <w:lang w:val="fr-CA"/>
        </w:rPr>
        <w:t>exprimant au nom de la Cour à l</w:t>
      </w:r>
      <w:r>
        <w:rPr>
          <w:rFonts w:cs="Times New Roman"/>
          <w:lang w:val="fr-CA"/>
        </w:rPr>
        <w:t>’</w:t>
      </w:r>
      <w:r w:rsidRPr="006B5BF6">
        <w:rPr>
          <w:rFonts w:cs="Times New Roman"/>
          <w:lang w:val="fr-CA"/>
        </w:rPr>
        <w:t xml:space="preserve">unanimité, le juge Iacobucci a expliqué que « le concept de </w:t>
      </w:r>
      <w:r w:rsidRPr="006B5BF6">
        <w:rPr>
          <w:rFonts w:cs="Times New Roman"/>
          <w:spacing w:val="-3"/>
          <w:shd w:val="clear" w:color="auto" w:fill="FFFFFF"/>
          <w:lang w:val="fr-CA"/>
        </w:rPr>
        <w:t>la spécialisation des fonctions exige des cours de justice qu</w:t>
      </w:r>
      <w:r>
        <w:rPr>
          <w:rFonts w:cs="Times New Roman"/>
          <w:spacing w:val="-3"/>
          <w:shd w:val="clear" w:color="auto" w:fill="FFFFFF"/>
          <w:lang w:val="fr-CA"/>
        </w:rPr>
        <w:t>’</w:t>
      </w:r>
      <w:r w:rsidRPr="006B5BF6">
        <w:rPr>
          <w:rFonts w:cs="Times New Roman"/>
          <w:spacing w:val="-3"/>
          <w:shd w:val="clear" w:color="auto" w:fill="FFFFFF"/>
          <w:lang w:val="fr-CA"/>
        </w:rPr>
        <w:t>elles fassent preuve de retenue envers l</w:t>
      </w:r>
      <w:r>
        <w:rPr>
          <w:rFonts w:cs="Times New Roman"/>
          <w:spacing w:val="-3"/>
          <w:shd w:val="clear" w:color="auto" w:fill="FFFFFF"/>
          <w:lang w:val="fr-CA"/>
        </w:rPr>
        <w:t>’</w:t>
      </w:r>
      <w:r w:rsidRPr="006B5BF6">
        <w:rPr>
          <w:rFonts w:cs="Times New Roman"/>
          <w:spacing w:val="-3"/>
          <w:shd w:val="clear" w:color="auto" w:fill="FFFFFF"/>
          <w:lang w:val="fr-CA"/>
        </w:rPr>
        <w:t>opinion du tribunal spécialisé sur des questions qui relèvent directement de son champ d</w:t>
      </w:r>
      <w:r>
        <w:rPr>
          <w:rFonts w:cs="Times New Roman"/>
          <w:spacing w:val="-3"/>
          <w:shd w:val="clear" w:color="auto" w:fill="FFFFFF"/>
          <w:lang w:val="fr-CA"/>
        </w:rPr>
        <w:t>’</w:t>
      </w:r>
      <w:r w:rsidRPr="006B5BF6">
        <w:rPr>
          <w:rFonts w:cs="Times New Roman"/>
          <w:spacing w:val="-3"/>
          <w:shd w:val="clear" w:color="auto" w:fill="FFFFFF"/>
          <w:lang w:val="fr-CA"/>
        </w:rPr>
        <w:t>expertise »</w:t>
      </w:r>
      <w:r w:rsidRPr="006B5BF6">
        <w:rPr>
          <w:rFonts w:cs="Times New Roman"/>
          <w:lang w:val="fr-CA"/>
        </w:rPr>
        <w:t xml:space="preserve"> (</w:t>
      </w:r>
      <w:r w:rsidRPr="006B5BF6">
        <w:rPr>
          <w:rFonts w:cs="Times New Roman"/>
          <w:i/>
          <w:lang w:val="fr-CA"/>
        </w:rPr>
        <w:t>Pezim c. Colombie</w:t>
      </w:r>
      <w:r w:rsidRPr="006B5BF6">
        <w:rPr>
          <w:rFonts w:cs="Times New Roman"/>
          <w:i/>
          <w:lang w:val="fr-CA"/>
        </w:rPr>
        <w:noBreakHyphen/>
        <w:t>Britannique (Superintendent of Brokers)</w:t>
      </w:r>
      <w:r w:rsidRPr="006B5BF6">
        <w:rPr>
          <w:rFonts w:cs="Times New Roman"/>
          <w:lang w:val="fr-CA"/>
        </w:rPr>
        <w:t xml:space="preserve">, [1994] 2 R.C.S. 557, p. 591; voir également </w:t>
      </w:r>
      <w:r w:rsidRPr="006B5BF6">
        <w:rPr>
          <w:rFonts w:cs="Times New Roman"/>
          <w:i/>
          <w:iCs/>
          <w:spacing w:val="-3"/>
          <w:shd w:val="clear" w:color="auto" w:fill="FFFFFF"/>
          <w:lang w:val="fr-CA"/>
        </w:rPr>
        <w:t>Bell Canada c. Canada (Conseil de la radiodiffusion et des télécommunications canadiennes)</w:t>
      </w:r>
      <w:r w:rsidRPr="006B5BF6">
        <w:rPr>
          <w:rFonts w:cs="Times New Roman"/>
          <w:lang w:val="fr-CA"/>
        </w:rPr>
        <w:t>, [1989] 1 R.C.S. 1722, p. 1745</w:t>
      </w:r>
      <w:r>
        <w:rPr>
          <w:rFonts w:cs="Times New Roman"/>
          <w:lang w:val="fr-CA"/>
        </w:rPr>
        <w:noBreakHyphen/>
      </w:r>
      <w:r w:rsidRPr="006B5BF6">
        <w:rPr>
          <w:rFonts w:cs="Times New Roman"/>
          <w:lang w:val="fr-CA"/>
        </w:rPr>
        <w:t xml:space="preserve">1746). Fait crucial, la volonté de la Cour de faire preuve de déférence </w:t>
      </w:r>
      <w:r w:rsidRPr="006B5BF6">
        <w:rPr>
          <w:rFonts w:cs="Times New Roman"/>
          <w:lang w:val="fr-CA"/>
        </w:rPr>
        <w:lastRenderedPageBreak/>
        <w:t>démontrait que la spécialisation l</w:t>
      </w:r>
      <w:r>
        <w:rPr>
          <w:rFonts w:cs="Times New Roman"/>
          <w:lang w:val="fr-CA"/>
        </w:rPr>
        <w:t>’</w:t>
      </w:r>
      <w:r w:rsidRPr="006B5BF6">
        <w:rPr>
          <w:rFonts w:cs="Times New Roman"/>
          <w:lang w:val="fr-CA"/>
        </w:rPr>
        <w:t>emportait sur les droits d</w:t>
      </w:r>
      <w:r>
        <w:rPr>
          <w:rFonts w:cs="Times New Roman"/>
          <w:lang w:val="fr-CA"/>
        </w:rPr>
        <w:t>’</w:t>
      </w:r>
      <w:r w:rsidRPr="006B5BF6">
        <w:rPr>
          <w:rFonts w:cs="Times New Roman"/>
          <w:lang w:val="fr-CA"/>
        </w:rPr>
        <w:t>appel conférés par la loi en tant qu</w:t>
      </w:r>
      <w:r>
        <w:rPr>
          <w:rFonts w:cs="Times New Roman"/>
          <w:lang w:val="fr-CA"/>
        </w:rPr>
        <w:t>’</w:t>
      </w:r>
      <w:r w:rsidRPr="006B5BF6">
        <w:rPr>
          <w:rFonts w:cs="Times New Roman"/>
          <w:lang w:val="fr-CA"/>
        </w:rPr>
        <w:t>indicateur le plus révélateur de l</w:t>
      </w:r>
      <w:r>
        <w:rPr>
          <w:rFonts w:cs="Times New Roman"/>
          <w:lang w:val="fr-CA"/>
        </w:rPr>
        <w:t>’</w:t>
      </w:r>
      <w:r w:rsidRPr="006B5BF6">
        <w:rPr>
          <w:rFonts w:cs="Times New Roman"/>
          <w:lang w:val="fr-CA"/>
        </w:rPr>
        <w:t>intention du législateur.</w:t>
      </w:r>
    </w:p>
    <w:p w14:paraId="712012E9"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 xml:space="preserve">Dans </w:t>
      </w:r>
      <w:r w:rsidRPr="006B5BF6">
        <w:rPr>
          <w:rFonts w:cs="Times New Roman"/>
          <w:i/>
          <w:lang w:val="fr-CA"/>
        </w:rPr>
        <w:t>Pushpanathan c. Canada (Ministre de la Citoyenneté et de l</w:t>
      </w:r>
      <w:r>
        <w:rPr>
          <w:rFonts w:cs="Times New Roman"/>
          <w:i/>
          <w:lang w:val="fr-CA"/>
        </w:rPr>
        <w:t>’</w:t>
      </w:r>
      <w:r w:rsidRPr="006B5BF6">
        <w:rPr>
          <w:rFonts w:cs="Times New Roman"/>
          <w:i/>
          <w:lang w:val="fr-CA"/>
        </w:rPr>
        <w:t>Immigration)</w:t>
      </w:r>
      <w:r w:rsidRPr="006B5BF6">
        <w:rPr>
          <w:rFonts w:cs="Times New Roman"/>
          <w:lang w:val="fr-CA"/>
        </w:rPr>
        <w:t>, [1998] 1 R.C.S. 982, la Cour a reformulé l</w:t>
      </w:r>
      <w:r>
        <w:rPr>
          <w:rFonts w:cs="Times New Roman"/>
          <w:lang w:val="fr-CA"/>
        </w:rPr>
        <w:t>’</w:t>
      </w:r>
      <w:r w:rsidRPr="006B5BF6">
        <w:rPr>
          <w:rFonts w:cs="Times New Roman"/>
          <w:lang w:val="fr-CA"/>
        </w:rPr>
        <w:t xml:space="preserve">analyse pragmatique et fonctionnelle, en faisant intervenir quatre facteurs légèrement différents de ceux énoncés dans </w:t>
      </w:r>
      <w:r w:rsidRPr="006B5BF6">
        <w:rPr>
          <w:rFonts w:cs="Times New Roman"/>
          <w:i/>
          <w:iCs/>
          <w:lang w:val="fr-CA"/>
        </w:rPr>
        <w:t>Bibeault</w:t>
      </w:r>
      <w:r w:rsidRPr="006B5BF6">
        <w:rPr>
          <w:rFonts w:cs="Times New Roman"/>
          <w:lang w:val="fr-CA"/>
        </w:rPr>
        <w:t>, à savoir : (1) l</w:t>
      </w:r>
      <w:r>
        <w:rPr>
          <w:rFonts w:cs="Times New Roman"/>
          <w:lang w:val="fr-CA"/>
        </w:rPr>
        <w:t>’</w:t>
      </w:r>
      <w:r w:rsidRPr="006B5BF6">
        <w:rPr>
          <w:rFonts w:cs="Times New Roman"/>
          <w:lang w:val="fr-CA"/>
        </w:rPr>
        <w:t>existence d</w:t>
      </w:r>
      <w:r>
        <w:rPr>
          <w:rFonts w:cs="Times New Roman"/>
          <w:lang w:val="fr-CA"/>
        </w:rPr>
        <w:t>’</w:t>
      </w:r>
      <w:r w:rsidRPr="006B5BF6">
        <w:rPr>
          <w:rFonts w:cs="Times New Roman"/>
          <w:lang w:val="fr-CA"/>
        </w:rPr>
        <w:t>une clause privative ou, à l</w:t>
      </w:r>
      <w:r>
        <w:rPr>
          <w:rFonts w:cs="Times New Roman"/>
          <w:lang w:val="fr-CA"/>
        </w:rPr>
        <w:t>’</w:t>
      </w:r>
      <w:r w:rsidRPr="006B5BF6">
        <w:rPr>
          <w:rFonts w:cs="Times New Roman"/>
          <w:lang w:val="fr-CA"/>
        </w:rPr>
        <w:t>inverse, d</w:t>
      </w:r>
      <w:r>
        <w:rPr>
          <w:rFonts w:cs="Times New Roman"/>
          <w:lang w:val="fr-CA"/>
        </w:rPr>
        <w:t>’</w:t>
      </w:r>
      <w:r w:rsidRPr="006B5BF6">
        <w:rPr>
          <w:rFonts w:cs="Times New Roman"/>
          <w:lang w:val="fr-CA"/>
        </w:rPr>
        <w:t>un droit d</w:t>
      </w:r>
      <w:r>
        <w:rPr>
          <w:rFonts w:cs="Times New Roman"/>
          <w:lang w:val="fr-CA"/>
        </w:rPr>
        <w:t>’</w:t>
      </w:r>
      <w:r w:rsidRPr="006B5BF6">
        <w:rPr>
          <w:rFonts w:cs="Times New Roman"/>
          <w:lang w:val="fr-CA"/>
        </w:rPr>
        <w:t>appel; (2) l</w:t>
      </w:r>
      <w:r>
        <w:rPr>
          <w:rFonts w:cs="Times New Roman"/>
          <w:lang w:val="fr-CA"/>
        </w:rPr>
        <w:t>’</w:t>
      </w:r>
      <w:r w:rsidRPr="006B5BF6">
        <w:rPr>
          <w:rFonts w:cs="Times New Roman"/>
          <w:lang w:val="fr-CA"/>
        </w:rPr>
        <w:t>expertise du décideur sur la question en cause par rapport à la cour de révision; (3) l</w:t>
      </w:r>
      <w:r>
        <w:rPr>
          <w:rFonts w:cs="Times New Roman"/>
          <w:lang w:val="fr-CA"/>
        </w:rPr>
        <w:t>’</w:t>
      </w:r>
      <w:r w:rsidRPr="006B5BF6">
        <w:rPr>
          <w:rFonts w:cs="Times New Roman"/>
          <w:lang w:val="fr-CA"/>
        </w:rPr>
        <w:t>objet de la loi dans son ensemble et de la disposition en cause; (4) la nature du problème, c</w:t>
      </w:r>
      <w:r>
        <w:rPr>
          <w:rFonts w:cs="Times New Roman"/>
          <w:lang w:val="fr-CA"/>
        </w:rPr>
        <w:t>’</w:t>
      </w:r>
      <w:r w:rsidRPr="006B5BF6">
        <w:rPr>
          <w:rFonts w:cs="Times New Roman"/>
          <w:lang w:val="fr-CA"/>
        </w:rPr>
        <w:t>est</w:t>
      </w:r>
      <w:r w:rsidRPr="006B5BF6">
        <w:rPr>
          <w:rFonts w:cs="Times New Roman"/>
          <w:lang w:val="fr-CA"/>
        </w:rPr>
        <w:noBreakHyphen/>
        <w:t>à</w:t>
      </w:r>
      <w:r w:rsidRPr="006B5BF6">
        <w:rPr>
          <w:rFonts w:cs="Times New Roman"/>
          <w:lang w:val="fr-CA"/>
        </w:rPr>
        <w:noBreakHyphen/>
        <w:t>dire à savoir s</w:t>
      </w:r>
      <w:r>
        <w:rPr>
          <w:rFonts w:cs="Times New Roman"/>
          <w:lang w:val="fr-CA"/>
        </w:rPr>
        <w:t>’</w:t>
      </w:r>
      <w:r w:rsidRPr="006B5BF6">
        <w:rPr>
          <w:rFonts w:cs="Times New Roman"/>
          <w:lang w:val="fr-CA"/>
        </w:rPr>
        <w:t>il s</w:t>
      </w:r>
      <w:r>
        <w:rPr>
          <w:rFonts w:cs="Times New Roman"/>
          <w:lang w:val="fr-CA"/>
        </w:rPr>
        <w:t>’</w:t>
      </w:r>
      <w:r w:rsidRPr="006B5BF6">
        <w:rPr>
          <w:rFonts w:cs="Times New Roman"/>
          <w:lang w:val="fr-CA"/>
        </w:rPr>
        <w:t>agit d</w:t>
      </w:r>
      <w:r>
        <w:rPr>
          <w:rFonts w:cs="Times New Roman"/>
          <w:lang w:val="fr-CA"/>
        </w:rPr>
        <w:t>’</w:t>
      </w:r>
      <w:r w:rsidRPr="006B5BF6">
        <w:rPr>
          <w:rFonts w:cs="Times New Roman"/>
          <w:lang w:val="fr-CA"/>
        </w:rPr>
        <w:t>une question de droit, de fait ou d</w:t>
      </w:r>
      <w:r>
        <w:rPr>
          <w:rFonts w:cs="Times New Roman"/>
          <w:lang w:val="fr-CA"/>
        </w:rPr>
        <w:t>’</w:t>
      </w:r>
      <w:r w:rsidRPr="006B5BF6">
        <w:rPr>
          <w:rFonts w:cs="Times New Roman"/>
          <w:lang w:val="fr-CA"/>
        </w:rPr>
        <w:t>une question mixte de droit et de fait (par. 29</w:t>
      </w:r>
      <w:r w:rsidRPr="006B5BF6">
        <w:rPr>
          <w:rFonts w:cs="Times New Roman"/>
          <w:lang w:val="fr-CA"/>
        </w:rPr>
        <w:noBreakHyphen/>
        <w:t xml:space="preserve">37). Au lieu de recourir à ces facteurs pour répondre à la question de savoir si la question touchait à la compétence, la Cour les a employés dans </w:t>
      </w:r>
      <w:r w:rsidRPr="006B5BF6">
        <w:rPr>
          <w:rFonts w:cs="Times New Roman"/>
          <w:i/>
          <w:lang w:val="fr-CA"/>
        </w:rPr>
        <w:t>Pushpanthan</w:t>
      </w:r>
      <w:r w:rsidRPr="006B5BF6">
        <w:rPr>
          <w:rFonts w:cs="Times New Roman"/>
          <w:lang w:val="fr-CA"/>
        </w:rPr>
        <w:t xml:space="preserve"> pour discerner le degré de déférence que le législateur entendait accorder à une décision administrative en contrôle judiciaire. L</w:t>
      </w:r>
      <w:r>
        <w:rPr>
          <w:rFonts w:cs="Times New Roman"/>
          <w:lang w:val="fr-CA"/>
        </w:rPr>
        <w:t>’</w:t>
      </w:r>
      <w:r w:rsidRPr="006B5BF6">
        <w:rPr>
          <w:rFonts w:cs="Times New Roman"/>
          <w:lang w:val="fr-CA"/>
        </w:rPr>
        <w:t xml:space="preserve">arrêt </w:t>
      </w:r>
      <w:r w:rsidRPr="006B5BF6">
        <w:rPr>
          <w:rFonts w:cs="Times New Roman"/>
          <w:i/>
          <w:lang w:val="fr-CA"/>
        </w:rPr>
        <w:t xml:space="preserve">Pushpanathan </w:t>
      </w:r>
      <w:r w:rsidRPr="006B5BF6">
        <w:rPr>
          <w:rFonts w:cs="Times New Roman"/>
          <w:lang w:val="fr-CA"/>
        </w:rPr>
        <w:t xml:space="preserve">a confirmé trois normes de contrôle : la norme de la décision manifestement déraisonnable, la norme de la décision raisonnable </w:t>
      </w:r>
      <w:r w:rsidRPr="006B5BF6">
        <w:rPr>
          <w:rFonts w:cs="Times New Roman"/>
          <w:i/>
          <w:lang w:val="fr-CA"/>
        </w:rPr>
        <w:t>simpliciter</w:t>
      </w:r>
      <w:r w:rsidRPr="006B5BF6">
        <w:rPr>
          <w:rFonts w:cs="Times New Roman"/>
          <w:lang w:val="fr-CA"/>
        </w:rPr>
        <w:t xml:space="preserve"> et la norme de la décision correcte (par. 27; voir également </w:t>
      </w:r>
      <w:r w:rsidRPr="006B5BF6">
        <w:rPr>
          <w:rFonts w:cs="Times New Roman"/>
          <w:i/>
          <w:lang w:val="fr-CA"/>
        </w:rPr>
        <w:t>Southam</w:t>
      </w:r>
      <w:r w:rsidRPr="006B5BF6">
        <w:rPr>
          <w:rFonts w:cs="Times New Roman"/>
          <w:lang w:val="fr-CA"/>
        </w:rPr>
        <w:t>, par. 55-56).</w:t>
      </w:r>
    </w:p>
    <w:p w14:paraId="768267CE"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Fait significatif, l</w:t>
      </w:r>
      <w:r>
        <w:rPr>
          <w:rFonts w:cs="Times New Roman"/>
          <w:lang w:val="fr-CA"/>
        </w:rPr>
        <w:t>’</w:t>
      </w:r>
      <w:r w:rsidRPr="006B5BF6">
        <w:rPr>
          <w:rFonts w:cs="Times New Roman"/>
          <w:lang w:val="fr-CA"/>
        </w:rPr>
        <w:t xml:space="preserve">arrêt </w:t>
      </w:r>
      <w:r w:rsidRPr="006B5BF6">
        <w:rPr>
          <w:rFonts w:cs="Times New Roman"/>
          <w:i/>
          <w:lang w:val="fr-CA"/>
        </w:rPr>
        <w:t xml:space="preserve">Pushpanathan </w:t>
      </w:r>
      <w:r w:rsidRPr="006B5BF6">
        <w:rPr>
          <w:rFonts w:cs="Times New Roman"/>
          <w:iCs/>
          <w:lang w:val="fr-CA"/>
        </w:rPr>
        <w:t>n</w:t>
      </w:r>
      <w:r>
        <w:rPr>
          <w:rFonts w:cs="Times New Roman"/>
          <w:iCs/>
          <w:lang w:val="fr-CA"/>
        </w:rPr>
        <w:t>’</w:t>
      </w:r>
      <w:r w:rsidRPr="006B5BF6">
        <w:rPr>
          <w:rFonts w:cs="Times New Roman"/>
          <w:iCs/>
          <w:lang w:val="fr-CA"/>
        </w:rPr>
        <w:t>a pas modifié la conclusion reprise dans l</w:t>
      </w:r>
      <w:r>
        <w:rPr>
          <w:rFonts w:cs="Times New Roman"/>
          <w:iCs/>
          <w:lang w:val="fr-CA"/>
        </w:rPr>
        <w:t>’</w:t>
      </w:r>
      <w:r w:rsidRPr="006B5BF6">
        <w:rPr>
          <w:rFonts w:cs="Times New Roman"/>
          <w:iCs/>
          <w:lang w:val="fr-CA"/>
        </w:rPr>
        <w:t xml:space="preserve">arrêt </w:t>
      </w:r>
      <w:r w:rsidRPr="006B5BF6">
        <w:rPr>
          <w:rFonts w:cs="Times New Roman"/>
          <w:i/>
          <w:lang w:val="fr-CA"/>
        </w:rPr>
        <w:t xml:space="preserve">Southam </w:t>
      </w:r>
      <w:r w:rsidRPr="006B5BF6">
        <w:rPr>
          <w:rFonts w:cs="Times New Roman"/>
          <w:lang w:val="fr-CA"/>
        </w:rPr>
        <w:t>suivant laquelle l</w:t>
      </w:r>
      <w:r>
        <w:rPr>
          <w:rFonts w:cs="Times New Roman"/>
          <w:lang w:val="fr-CA"/>
        </w:rPr>
        <w:t>’</w:t>
      </w:r>
      <w:r w:rsidRPr="006B5BF6">
        <w:rPr>
          <w:rFonts w:cs="Times New Roman"/>
          <w:lang w:val="fr-CA"/>
        </w:rPr>
        <w:t>expertise spécialisée était le facteur le plus important pour déterminer si une norme commandant la déférence s</w:t>
      </w:r>
      <w:r>
        <w:rPr>
          <w:rFonts w:cs="Times New Roman"/>
          <w:lang w:val="fr-CA"/>
        </w:rPr>
        <w:t>’</w:t>
      </w:r>
      <w:r w:rsidRPr="006B5BF6">
        <w:rPr>
          <w:rFonts w:cs="Times New Roman"/>
          <w:lang w:val="fr-CA"/>
        </w:rPr>
        <w:t>appliquait. L</w:t>
      </w:r>
      <w:r>
        <w:rPr>
          <w:rFonts w:cs="Times New Roman"/>
          <w:lang w:val="fr-CA"/>
        </w:rPr>
        <w:t>’</w:t>
      </w:r>
      <w:r w:rsidRPr="006B5BF6">
        <w:rPr>
          <w:rFonts w:cs="Times New Roman"/>
          <w:lang w:val="fr-CA"/>
        </w:rPr>
        <w:t>expertise spécialisée a donc continué à jouer un rôle essentiel pour discerner la volonté du législateur, même en présence d</w:t>
      </w:r>
      <w:r>
        <w:rPr>
          <w:rFonts w:cs="Times New Roman"/>
          <w:lang w:val="fr-CA"/>
        </w:rPr>
        <w:t>’</w:t>
      </w:r>
      <w:r w:rsidRPr="006B5BF6">
        <w:rPr>
          <w:rFonts w:cs="Times New Roman"/>
          <w:lang w:val="fr-CA"/>
        </w:rPr>
        <w:t>un droit d</w:t>
      </w:r>
      <w:r>
        <w:rPr>
          <w:rFonts w:cs="Times New Roman"/>
          <w:lang w:val="fr-CA"/>
        </w:rPr>
        <w:t>’</w:t>
      </w:r>
      <w:r w:rsidRPr="006B5BF6">
        <w:rPr>
          <w:rFonts w:cs="Times New Roman"/>
          <w:lang w:val="fr-CA"/>
        </w:rPr>
        <w:t xml:space="preserve">appel prévu par la loi (voir </w:t>
      </w:r>
      <w:r w:rsidRPr="006B5BF6">
        <w:rPr>
          <w:rFonts w:cs="Times New Roman"/>
          <w:i/>
          <w:lang w:val="fr-CA" w:bidi="en-US"/>
        </w:rPr>
        <w:t>Barreau du Nouveau</w:t>
      </w:r>
      <w:r w:rsidRPr="006B5BF6">
        <w:rPr>
          <w:rFonts w:cs="Times New Roman"/>
          <w:i/>
          <w:lang w:val="fr-CA" w:bidi="en-US"/>
        </w:rPr>
        <w:noBreakHyphen/>
        <w:t>Brunswick c. Ryan</w:t>
      </w:r>
      <w:r w:rsidRPr="006B5BF6">
        <w:rPr>
          <w:rFonts w:cs="Times New Roman"/>
          <w:lang w:val="fr-CA" w:bidi="en-US"/>
        </w:rPr>
        <w:t>,</w:t>
      </w:r>
      <w:r w:rsidRPr="006B5BF6">
        <w:rPr>
          <w:rFonts w:cs="Times New Roman"/>
          <w:i/>
          <w:lang w:val="fr-CA" w:bidi="en-US"/>
        </w:rPr>
        <w:t xml:space="preserve"> </w:t>
      </w:r>
      <w:r w:rsidRPr="006B5BF6">
        <w:rPr>
          <w:rFonts w:cs="Times New Roman"/>
          <w:lang w:val="fr-CA" w:bidi="en-US"/>
        </w:rPr>
        <w:t>[2003] 1 R.C.S. 247, par. 21 et 29</w:t>
      </w:r>
      <w:r w:rsidRPr="006B5BF6">
        <w:rPr>
          <w:rFonts w:cs="Times New Roman"/>
          <w:lang w:val="fr-CA" w:bidi="en-US"/>
        </w:rPr>
        <w:noBreakHyphen/>
        <w:t>34</w:t>
      </w:r>
      <w:r w:rsidRPr="006B5BF6">
        <w:rPr>
          <w:rFonts w:cs="Times New Roman"/>
          <w:lang w:val="fr-CA"/>
        </w:rPr>
        <w:t>;</w:t>
      </w:r>
      <w:r w:rsidRPr="006B5BF6">
        <w:rPr>
          <w:rFonts w:cs="Times New Roman"/>
          <w:i/>
          <w:lang w:val="fr-CA"/>
        </w:rPr>
        <w:t xml:space="preserve"> </w:t>
      </w:r>
      <w:r w:rsidRPr="006B5BF6">
        <w:rPr>
          <w:rFonts w:cs="Times New Roman"/>
          <w:i/>
          <w:lang w:val="fr-CA"/>
        </w:rPr>
        <w:lastRenderedPageBreak/>
        <w:t>Cartaway Resources Corp. (Re)</w:t>
      </w:r>
      <w:r w:rsidRPr="006B5BF6">
        <w:rPr>
          <w:rFonts w:cs="Times New Roman"/>
          <w:lang w:val="fr-CA"/>
        </w:rPr>
        <w:t xml:space="preserve">, [2004] 1 R.C.S. 672, par. 45; </w:t>
      </w:r>
      <w:r w:rsidRPr="006B5BF6">
        <w:rPr>
          <w:rFonts w:cs="Times New Roman"/>
          <w:i/>
          <w:lang w:val="fr-CA"/>
        </w:rPr>
        <w:t>Conseil des Canadiens avec déficiences c. VIA Rail Canada Inc.</w:t>
      </w:r>
      <w:r w:rsidRPr="006B5BF6">
        <w:rPr>
          <w:rFonts w:cs="Times New Roman"/>
          <w:lang w:val="fr-CA"/>
        </w:rPr>
        <w:t>, [2007] 1 R.C.S. 650, par. 88</w:t>
      </w:r>
      <w:r w:rsidRPr="006B5BF6">
        <w:rPr>
          <w:rFonts w:cs="Times New Roman"/>
          <w:lang w:val="fr-CA"/>
        </w:rPr>
        <w:noBreakHyphen/>
        <w:t>92 et 100).</w:t>
      </w:r>
    </w:p>
    <w:p w14:paraId="03D55116"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Vint ensuite l</w:t>
      </w:r>
      <w:r>
        <w:rPr>
          <w:rFonts w:cs="Times New Roman"/>
          <w:lang w:val="fr-CA"/>
        </w:rPr>
        <w:t>’</w:t>
      </w:r>
      <w:r w:rsidRPr="006B5BF6">
        <w:rPr>
          <w:rFonts w:cs="Times New Roman"/>
          <w:lang w:val="fr-CA"/>
        </w:rPr>
        <w:t xml:space="preserve">arrêt </w:t>
      </w:r>
      <w:r w:rsidRPr="006B5BF6">
        <w:rPr>
          <w:rFonts w:cs="Times New Roman"/>
          <w:i/>
          <w:lang w:val="fr-CA"/>
        </w:rPr>
        <w:t>Dunsmuir</w:t>
      </w:r>
      <w:r w:rsidRPr="006B5BF6">
        <w:rPr>
          <w:rFonts w:cs="Times New Roman"/>
          <w:lang w:val="fr-CA"/>
        </w:rPr>
        <w:t>, qui visait à simplifier l</w:t>
      </w:r>
      <w:r>
        <w:rPr>
          <w:rFonts w:cs="Times New Roman"/>
          <w:lang w:val="fr-CA"/>
        </w:rPr>
        <w:t>’</w:t>
      </w:r>
      <w:r w:rsidRPr="006B5BF6">
        <w:rPr>
          <w:rFonts w:cs="Times New Roman"/>
          <w:lang w:val="fr-CA"/>
        </w:rPr>
        <w:t>analyse pragmatique et fonctionnelle tout en préservant le respect de l</w:t>
      </w:r>
      <w:r>
        <w:rPr>
          <w:rFonts w:cs="Times New Roman"/>
          <w:lang w:val="fr-CA"/>
        </w:rPr>
        <w:t>’</w:t>
      </w:r>
      <w:r w:rsidRPr="006B5BF6">
        <w:rPr>
          <w:rFonts w:cs="Times New Roman"/>
          <w:lang w:val="fr-CA"/>
        </w:rPr>
        <w:t>expertise spécialisée des décideurs administratifs. La Cour a fusionné les trois normes de contrôle en deux : celle de la décision raisonnable et celle de la décision correcte. L</w:t>
      </w:r>
      <w:r>
        <w:rPr>
          <w:rFonts w:cs="Times New Roman"/>
          <w:lang w:val="fr-CA"/>
        </w:rPr>
        <w:t>’</w:t>
      </w:r>
      <w:r w:rsidRPr="006B5BF6">
        <w:rPr>
          <w:rFonts w:cs="Times New Roman"/>
          <w:lang w:val="fr-CA"/>
        </w:rPr>
        <w:t xml:space="preserve">arrêt </w:t>
      </w:r>
      <w:r w:rsidRPr="006B5BF6">
        <w:rPr>
          <w:rFonts w:cs="Times New Roman"/>
          <w:i/>
          <w:lang w:val="fr-CA"/>
        </w:rPr>
        <w:t xml:space="preserve">Dunsmuir </w:t>
      </w:r>
      <w:r w:rsidRPr="006B5BF6">
        <w:rPr>
          <w:rFonts w:cs="Times New Roman"/>
          <w:lang w:val="fr-CA"/>
        </w:rPr>
        <w:t>a tissé le fil conducteur de toute la jurisprudence de la Cour en droit administratif en énonçant une présomption de contrôle empreint de déférence pour certaines catégories de questions, y compris celles pour lesquelles le décideur possède une expertise ou interprète sa loi constitutive (par. 53</w:t>
      </w:r>
      <w:r w:rsidRPr="006B5BF6">
        <w:rPr>
          <w:rFonts w:cs="Times New Roman"/>
          <w:lang w:val="fr-CA"/>
        </w:rPr>
        <w:noBreakHyphen/>
        <w:t>54, les juges Bastarache et LeBel; et par. 124, motifs concordants du juge Binnie). Certaines catégories de questions demeuraient assujetties à la norme de la décision correcte, notamment les questions constitutionnelles touchant au partage des pouvoirs, les véritables questions de compétence, les questions de droit qui étaient à la fois d</w:t>
      </w:r>
      <w:r>
        <w:rPr>
          <w:rFonts w:cs="Times New Roman"/>
          <w:lang w:val="fr-CA"/>
        </w:rPr>
        <w:t>’</w:t>
      </w:r>
      <w:r w:rsidRPr="006B5BF6">
        <w:rPr>
          <w:rFonts w:cs="Times New Roman"/>
          <w:lang w:val="fr-CA"/>
        </w:rPr>
        <w:t>une importance capitale pour le système juridique dans son ensemble et étrangères au domaine d</w:t>
      </w:r>
      <w:r>
        <w:rPr>
          <w:rFonts w:cs="Times New Roman"/>
          <w:lang w:val="fr-CA"/>
        </w:rPr>
        <w:t>’</w:t>
      </w:r>
      <w:r w:rsidRPr="006B5BF6">
        <w:rPr>
          <w:rFonts w:cs="Times New Roman"/>
          <w:lang w:val="fr-CA"/>
        </w:rPr>
        <w:t>expertise du décideur, et les questions concernant la délimitation des compétences respectives des tribunaux administratifs (par. 58-61). Si la jurisprudence n</w:t>
      </w:r>
      <w:r>
        <w:rPr>
          <w:rFonts w:cs="Times New Roman"/>
          <w:lang w:val="fr-CA"/>
        </w:rPr>
        <w:t>’</w:t>
      </w:r>
      <w:r w:rsidRPr="006B5BF6">
        <w:rPr>
          <w:rFonts w:cs="Times New Roman"/>
          <w:lang w:val="fr-CA"/>
        </w:rPr>
        <w:t>avait pas déjà établi de façon satisfaisante la norme de contrôle applicable, on pouvait encore tenir compte des quatre facteurs contextuels suivants pour déterminer la norme de contrôle applicable : l</w:t>
      </w:r>
      <w:r>
        <w:rPr>
          <w:rFonts w:cs="Times New Roman"/>
          <w:lang w:val="fr-CA"/>
        </w:rPr>
        <w:t>’</w:t>
      </w:r>
      <w:r w:rsidRPr="006B5BF6">
        <w:rPr>
          <w:rFonts w:cs="Times New Roman"/>
          <w:lang w:val="fr-CA"/>
        </w:rPr>
        <w:t>existence ou l</w:t>
      </w:r>
      <w:r>
        <w:rPr>
          <w:rFonts w:cs="Times New Roman"/>
          <w:lang w:val="fr-CA"/>
        </w:rPr>
        <w:t>’</w:t>
      </w:r>
      <w:r w:rsidRPr="006B5BF6">
        <w:rPr>
          <w:rFonts w:cs="Times New Roman"/>
          <w:lang w:val="fr-CA"/>
        </w:rPr>
        <w:t>inexistence d</w:t>
      </w:r>
      <w:r>
        <w:rPr>
          <w:rFonts w:cs="Times New Roman"/>
          <w:lang w:val="fr-CA"/>
        </w:rPr>
        <w:t>’</w:t>
      </w:r>
      <w:r w:rsidRPr="006B5BF6">
        <w:rPr>
          <w:rFonts w:cs="Times New Roman"/>
          <w:lang w:val="fr-CA"/>
        </w:rPr>
        <w:t>une clause privative, la raison d</w:t>
      </w:r>
      <w:r>
        <w:rPr>
          <w:rFonts w:cs="Times New Roman"/>
          <w:lang w:val="fr-CA"/>
        </w:rPr>
        <w:t>’</w:t>
      </w:r>
      <w:r w:rsidRPr="006B5BF6">
        <w:rPr>
          <w:rFonts w:cs="Times New Roman"/>
          <w:lang w:val="fr-CA"/>
        </w:rPr>
        <w:t>être du tribunal administratif, son expertise et la nature de la question en cause (par. 64).</w:t>
      </w:r>
    </w:p>
    <w:p w14:paraId="2994673A" w14:textId="1E6E3FAC"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Fait intéressant à signaler, l</w:t>
      </w:r>
      <w:r>
        <w:rPr>
          <w:rFonts w:cs="Times New Roman"/>
          <w:lang w:val="fr-CA"/>
        </w:rPr>
        <w:t>’</w:t>
      </w:r>
      <w:r w:rsidRPr="006B5BF6">
        <w:rPr>
          <w:rFonts w:cs="Times New Roman"/>
          <w:lang w:val="fr-CA"/>
        </w:rPr>
        <w:t xml:space="preserve">arrêt </w:t>
      </w:r>
      <w:r w:rsidRPr="006B5BF6">
        <w:rPr>
          <w:rFonts w:cs="Times New Roman"/>
          <w:i/>
          <w:lang w:val="fr-CA"/>
        </w:rPr>
        <w:t>Dunsmuir</w:t>
      </w:r>
      <w:r w:rsidRPr="006B5BF6">
        <w:rPr>
          <w:rFonts w:cs="Times New Roman"/>
          <w:lang w:val="fr-CA"/>
        </w:rPr>
        <w:t xml:space="preserve"> ne mentionnait pas les droits d</w:t>
      </w:r>
      <w:r>
        <w:rPr>
          <w:rFonts w:cs="Times New Roman"/>
          <w:lang w:val="fr-CA"/>
        </w:rPr>
        <w:t>’</w:t>
      </w:r>
      <w:r w:rsidRPr="006B5BF6">
        <w:rPr>
          <w:rFonts w:cs="Times New Roman"/>
          <w:lang w:val="fr-CA"/>
        </w:rPr>
        <w:t>appel prévus par la loi au nombre des facteurs contextuels et n</w:t>
      </w:r>
      <w:r>
        <w:rPr>
          <w:rFonts w:cs="Times New Roman"/>
          <w:lang w:val="fr-CA"/>
        </w:rPr>
        <w:t>’</w:t>
      </w:r>
      <w:r w:rsidRPr="006B5BF6">
        <w:rPr>
          <w:rFonts w:cs="Times New Roman"/>
          <w:lang w:val="fr-CA"/>
        </w:rPr>
        <w:t xml:space="preserve">a pas modifié le rôle </w:t>
      </w:r>
      <w:r w:rsidRPr="006B5BF6">
        <w:rPr>
          <w:rFonts w:cs="Times New Roman"/>
          <w:lang w:val="fr-CA"/>
        </w:rPr>
        <w:lastRenderedPageBreak/>
        <w:t>secondaire réservé à ces facteurs dans l</w:t>
      </w:r>
      <w:r>
        <w:rPr>
          <w:rFonts w:cs="Times New Roman"/>
          <w:lang w:val="fr-CA"/>
        </w:rPr>
        <w:t>’</w:t>
      </w:r>
      <w:r w:rsidRPr="006B5BF6">
        <w:rPr>
          <w:rFonts w:cs="Times New Roman"/>
          <w:lang w:val="fr-CA"/>
        </w:rPr>
        <w:t>analyse de la norme de contrôle. La Cour a plutôt affirmé explicitement les liens qui existaient entre la déférence, l</w:t>
      </w:r>
      <w:r>
        <w:rPr>
          <w:rFonts w:cs="Times New Roman"/>
          <w:lang w:val="fr-CA"/>
        </w:rPr>
        <w:t>’</w:t>
      </w:r>
      <w:r w:rsidRPr="006B5BF6">
        <w:rPr>
          <w:rFonts w:cs="Times New Roman"/>
          <w:lang w:val="fr-CA"/>
        </w:rPr>
        <w:t>expertise spécialisée des décideurs administratifs et l</w:t>
      </w:r>
      <w:r>
        <w:rPr>
          <w:rFonts w:cs="Times New Roman"/>
          <w:lang w:val="fr-CA"/>
        </w:rPr>
        <w:t>’</w:t>
      </w:r>
      <w:r w:rsidRPr="006B5BF6">
        <w:rPr>
          <w:rFonts w:cs="Times New Roman"/>
          <w:lang w:val="fr-CA"/>
        </w:rPr>
        <w:t>intention du législateur. Les juges LeBel et Bastarache ont déclaré que « la déférence commande [. . .] le respect de la volonté du législateur de s</w:t>
      </w:r>
      <w:r>
        <w:rPr>
          <w:rFonts w:cs="Times New Roman"/>
          <w:lang w:val="fr-CA"/>
        </w:rPr>
        <w:t>’</w:t>
      </w:r>
      <w:r w:rsidRPr="006B5BF6">
        <w:rPr>
          <w:rFonts w:cs="Times New Roman"/>
          <w:lang w:val="fr-CA"/>
        </w:rPr>
        <w:t>en remettre, pour certaines choses, à des décideurs administratifs, de même que des raisonnements et des décisions fondés sur une expertise et une expérience dans un domaine particulier, ainsi que de la différence entre les fonctions d</w:t>
      </w:r>
      <w:r>
        <w:rPr>
          <w:rFonts w:cs="Times New Roman"/>
          <w:lang w:val="fr-CA"/>
        </w:rPr>
        <w:t>’</w:t>
      </w:r>
      <w:r w:rsidRPr="006B5BF6">
        <w:rPr>
          <w:rFonts w:cs="Times New Roman"/>
          <w:lang w:val="fr-CA"/>
        </w:rPr>
        <w:t>une cour de justice et celles d</w:t>
      </w:r>
      <w:r>
        <w:rPr>
          <w:rFonts w:cs="Times New Roman"/>
          <w:lang w:val="fr-CA"/>
        </w:rPr>
        <w:t>’</w:t>
      </w:r>
      <w:r w:rsidRPr="006B5BF6">
        <w:rPr>
          <w:rFonts w:cs="Times New Roman"/>
          <w:lang w:val="fr-CA"/>
        </w:rPr>
        <w:t>un organisme administratif dans le système constitutionnel canadien » (par. 49).</w:t>
      </w:r>
      <w:r w:rsidRPr="006B5BF6">
        <w:rPr>
          <w:rFonts w:cs="Times New Roman"/>
          <w:b/>
          <w:lang w:val="fr-CA"/>
        </w:rPr>
        <w:t xml:space="preserve"> </w:t>
      </w:r>
      <w:r w:rsidRPr="006B5BF6">
        <w:rPr>
          <w:rFonts w:cs="Times New Roman"/>
          <w:lang w:val="fr-CA"/>
        </w:rPr>
        <w:t>Ils ont fait remarquer que [</w:t>
      </w:r>
      <w:r w:rsidRPr="006B5BF6">
        <w:rPr>
          <w:rFonts w:cs="Times New Roman"/>
          <w:smallCaps/>
          <w:lang w:val="fr-CA"/>
        </w:rPr>
        <w:t>traduction</w:t>
      </w:r>
      <w:r w:rsidRPr="006B5BF6">
        <w:rPr>
          <w:rFonts w:cs="Times New Roman"/>
          <w:lang w:val="fr-CA"/>
        </w:rPr>
        <w:t>] « dans beaucoup de cas, les personnes qui se consacrent quotidiennement à l</w:t>
      </w:r>
      <w:r>
        <w:rPr>
          <w:rFonts w:cs="Times New Roman"/>
          <w:lang w:val="fr-CA"/>
        </w:rPr>
        <w:t>’</w:t>
      </w:r>
      <w:r w:rsidRPr="006B5BF6">
        <w:rPr>
          <w:rFonts w:cs="Times New Roman"/>
          <w:lang w:val="fr-CA"/>
        </w:rPr>
        <w:t>application de régimes administratifs souvent complexes possèdent ou acquièrent une grande connaissance ou sensibilité à l</w:t>
      </w:r>
      <w:r>
        <w:rPr>
          <w:rFonts w:cs="Times New Roman"/>
          <w:lang w:val="fr-CA"/>
        </w:rPr>
        <w:t>’</w:t>
      </w:r>
      <w:r w:rsidRPr="006B5BF6">
        <w:rPr>
          <w:rFonts w:cs="Times New Roman"/>
          <w:lang w:val="fr-CA"/>
        </w:rPr>
        <w:t>égard des impératifs et des subtilités des régimes législatifs en cause » (par. 49, citant David J. Mullan, « Establishing the Standard of Review</w:t>
      </w:r>
      <w:r w:rsidR="006322C1">
        <w:rPr>
          <w:rFonts w:cs="Times New Roman"/>
          <w:lang w:val="fr-CA"/>
        </w:rPr>
        <w:t> </w:t>
      </w:r>
      <w:r w:rsidRPr="006B5BF6">
        <w:rPr>
          <w:rFonts w:cs="Times New Roman"/>
          <w:lang w:val="fr-CA"/>
        </w:rPr>
        <w:t>: The Struggle for Complexity? » (2004), 17 </w:t>
      </w:r>
      <w:r w:rsidRPr="006B5BF6">
        <w:rPr>
          <w:rFonts w:cs="Times New Roman"/>
          <w:i/>
          <w:iCs/>
          <w:lang w:val="fr-CA"/>
        </w:rPr>
        <w:t>C.J.A.L.P.</w:t>
      </w:r>
      <w:r w:rsidRPr="006B5BF6">
        <w:rPr>
          <w:rFonts w:cs="Times New Roman"/>
          <w:lang w:val="fr-CA"/>
        </w:rPr>
        <w:t> 59, p. 93</w:t>
      </w:r>
      <w:r w:rsidRPr="006B5BF6" w:rsidDel="005377AE">
        <w:rPr>
          <w:rFonts w:cs="Times New Roman"/>
          <w:lang w:val="fr-CA"/>
        </w:rPr>
        <w:t>).</w:t>
      </w:r>
    </w:p>
    <w:p w14:paraId="3D48D252" w14:textId="510657F3" w:rsidR="00AE2373" w:rsidRPr="006B5BF6" w:rsidRDefault="00AE2373" w:rsidP="00AE2373">
      <w:pPr>
        <w:pStyle w:val="ParaNoNdepar-AltN"/>
        <w:tabs>
          <w:tab w:val="clear" w:pos="1166"/>
          <w:tab w:val="clear" w:pos="1422"/>
          <w:tab w:val="num" w:pos="1152"/>
          <w:tab w:val="left" w:pos="2160"/>
        </w:tabs>
        <w:spacing w:before="0"/>
        <w:rPr>
          <w:rFonts w:cs="Times New Roman"/>
          <w:lang w:val="fr-CA"/>
        </w:rPr>
      </w:pPr>
      <w:r w:rsidRPr="006B5BF6">
        <w:rPr>
          <w:rFonts w:cs="Times New Roman"/>
          <w:lang w:val="fr-CA"/>
        </w:rPr>
        <w:t>Dans sa jurisprudence post-</w:t>
      </w:r>
      <w:r w:rsidRPr="006B5BF6">
        <w:rPr>
          <w:rFonts w:cs="Times New Roman"/>
          <w:i/>
          <w:lang w:val="fr-CA"/>
        </w:rPr>
        <w:t>Dunsmuir</w:t>
      </w:r>
      <w:r w:rsidRPr="006B5BF6">
        <w:rPr>
          <w:rFonts w:cs="Times New Roman"/>
          <w:lang w:val="fr-CA"/>
        </w:rPr>
        <w:t>, notre Cour a continué d</w:t>
      </w:r>
      <w:r>
        <w:rPr>
          <w:rFonts w:cs="Times New Roman"/>
          <w:lang w:val="fr-CA"/>
        </w:rPr>
        <w:t>’</w:t>
      </w:r>
      <w:r w:rsidRPr="006B5BF6">
        <w:rPr>
          <w:rFonts w:cs="Times New Roman"/>
          <w:lang w:val="fr-CA"/>
        </w:rPr>
        <w:t>insister sur le fait que l</w:t>
      </w:r>
      <w:r>
        <w:rPr>
          <w:rFonts w:cs="Times New Roman"/>
          <w:lang w:val="fr-CA"/>
        </w:rPr>
        <w:t>’</w:t>
      </w:r>
      <w:r w:rsidRPr="006B5BF6">
        <w:rPr>
          <w:rFonts w:cs="Times New Roman"/>
          <w:lang w:val="fr-CA"/>
        </w:rPr>
        <w:t xml:space="preserve">expertise spécialisée des décideurs administratifs était la raison pour laquelle ces derniers, et non les </w:t>
      </w:r>
      <w:r>
        <w:rPr>
          <w:rFonts w:cs="Times New Roman"/>
          <w:lang w:val="fr-CA"/>
        </w:rPr>
        <w:t>cours</w:t>
      </w:r>
      <w:r w:rsidRPr="006B5BF6">
        <w:rPr>
          <w:rFonts w:cs="Times New Roman"/>
          <w:lang w:val="fr-CA"/>
        </w:rPr>
        <w:t>, constituaient l</w:t>
      </w:r>
      <w:r>
        <w:rPr>
          <w:rFonts w:cs="Times New Roman"/>
          <w:lang w:val="fr-CA"/>
        </w:rPr>
        <w:t>’</w:t>
      </w:r>
      <w:r w:rsidRPr="006B5BF6">
        <w:rPr>
          <w:rFonts w:cs="Times New Roman"/>
          <w:lang w:val="fr-CA"/>
        </w:rPr>
        <w:t xml:space="preserve">instance appropriée pour trancher les questions relevant de leur mandat (voir </w:t>
      </w:r>
      <w:r w:rsidRPr="006B5BF6">
        <w:rPr>
          <w:rFonts w:cs="Times New Roman"/>
          <w:i/>
          <w:lang w:val="fr-CA"/>
        </w:rPr>
        <w:t>Khosa</w:t>
      </w:r>
      <w:r w:rsidRPr="006B5BF6">
        <w:rPr>
          <w:rFonts w:cs="Times New Roman"/>
          <w:lang w:val="fr-CA"/>
        </w:rPr>
        <w:t xml:space="preserve">, par. 25; </w:t>
      </w:r>
      <w:r w:rsidRPr="006B5BF6">
        <w:rPr>
          <w:rFonts w:cs="Times New Roman"/>
          <w:i/>
          <w:lang w:val="fr-CA"/>
        </w:rPr>
        <w:t>R. c. Conway</w:t>
      </w:r>
      <w:r w:rsidRPr="006B5BF6">
        <w:rPr>
          <w:rFonts w:cs="Times New Roman"/>
          <w:lang w:val="fr-CA"/>
        </w:rPr>
        <w:t xml:space="preserve">, [2010] 1 R.C.S. 765, par. 53; </w:t>
      </w:r>
      <w:r w:rsidRPr="006B5BF6">
        <w:rPr>
          <w:rFonts w:cs="Times New Roman"/>
          <w:i/>
          <w:lang w:val="fr-CA"/>
        </w:rPr>
        <w:t>McLean</w:t>
      </w:r>
      <w:r w:rsidRPr="006B5BF6">
        <w:rPr>
          <w:rFonts w:cs="Times New Roman"/>
          <w:lang w:val="fr-CA"/>
        </w:rPr>
        <w:t xml:space="preserve"> c. </w:t>
      </w:r>
      <w:r w:rsidRPr="006B5BF6">
        <w:rPr>
          <w:rFonts w:cs="Times New Roman"/>
          <w:i/>
          <w:iCs/>
          <w:lang w:val="fr-CA"/>
        </w:rPr>
        <w:t>Colombie-Britannique</w:t>
      </w:r>
      <w:r w:rsidRPr="006B5BF6">
        <w:rPr>
          <w:rFonts w:cs="Times New Roman"/>
          <w:i/>
          <w:lang w:val="fr-CA"/>
        </w:rPr>
        <w:t xml:space="preserve"> (Securities Commission)</w:t>
      </w:r>
      <w:r w:rsidRPr="006B5BF6">
        <w:rPr>
          <w:rFonts w:cs="Times New Roman"/>
          <w:lang w:val="fr-CA"/>
        </w:rPr>
        <w:t>,</w:t>
      </w:r>
      <w:r w:rsidR="006322C1">
        <w:rPr>
          <w:rFonts w:cs="Times New Roman"/>
          <w:lang w:val="fr-CA"/>
        </w:rPr>
        <w:t xml:space="preserve"> [2013] 3 R.C.S. 895, par. 30-</w:t>
      </w:r>
      <w:r w:rsidRPr="006B5BF6">
        <w:rPr>
          <w:rFonts w:cs="Times New Roman"/>
          <w:lang w:val="fr-CA"/>
        </w:rPr>
        <w:t>33). S</w:t>
      </w:r>
      <w:r>
        <w:rPr>
          <w:rFonts w:cs="Times New Roman"/>
          <w:lang w:val="fr-CA"/>
        </w:rPr>
        <w:t>’</w:t>
      </w:r>
      <w:r w:rsidRPr="006B5BF6">
        <w:rPr>
          <w:rFonts w:cs="Times New Roman"/>
          <w:lang w:val="fr-CA"/>
        </w:rPr>
        <w:t>inspirant du concept de l</w:t>
      </w:r>
      <w:r>
        <w:rPr>
          <w:rFonts w:cs="Times New Roman"/>
          <w:lang w:val="fr-CA"/>
        </w:rPr>
        <w:t>’</w:t>
      </w:r>
      <w:r w:rsidRPr="006B5BF6">
        <w:rPr>
          <w:rFonts w:cs="Times New Roman"/>
          <w:lang w:val="fr-CA"/>
        </w:rPr>
        <w:t>expertise spécialisée, les décisions rendues par la Cour après l</w:t>
      </w:r>
      <w:r>
        <w:rPr>
          <w:rFonts w:cs="Times New Roman"/>
          <w:lang w:val="fr-CA"/>
        </w:rPr>
        <w:t>’</w:t>
      </w:r>
      <w:r w:rsidRPr="006B5BF6">
        <w:rPr>
          <w:rFonts w:cs="Times New Roman"/>
          <w:lang w:val="fr-CA"/>
        </w:rPr>
        <w:t xml:space="preserve">arrêt </w:t>
      </w:r>
      <w:r w:rsidRPr="006B5BF6">
        <w:rPr>
          <w:rFonts w:cs="Times New Roman"/>
          <w:i/>
          <w:lang w:val="fr-CA"/>
        </w:rPr>
        <w:t xml:space="preserve">Dunsmuir </w:t>
      </w:r>
      <w:r w:rsidRPr="006B5BF6">
        <w:rPr>
          <w:rFonts w:cs="Times New Roman"/>
          <w:lang w:val="fr-CA"/>
        </w:rPr>
        <w:t>ont expressément confirmé la présomption d</w:t>
      </w:r>
      <w:r>
        <w:rPr>
          <w:rFonts w:cs="Times New Roman"/>
          <w:lang w:val="fr-CA"/>
        </w:rPr>
        <w:t>’</w:t>
      </w:r>
      <w:r w:rsidRPr="006B5BF6">
        <w:rPr>
          <w:rFonts w:cs="Times New Roman"/>
          <w:lang w:val="fr-CA"/>
        </w:rPr>
        <w:t>application de la norme de la décision raisonnable lorsqu</w:t>
      </w:r>
      <w:r>
        <w:rPr>
          <w:rFonts w:cs="Times New Roman"/>
          <w:lang w:val="fr-CA"/>
        </w:rPr>
        <w:t>’</w:t>
      </w:r>
      <w:r w:rsidRPr="006B5BF6">
        <w:rPr>
          <w:rFonts w:cs="Times New Roman"/>
          <w:lang w:val="fr-CA"/>
        </w:rPr>
        <w:t xml:space="preserve">un décideur administratif interprète sa loi constitutive ou des lois qui y sont étroitement liées (voir </w:t>
      </w:r>
      <w:r w:rsidRPr="006B5BF6">
        <w:rPr>
          <w:rFonts w:cs="Times New Roman"/>
          <w:i/>
          <w:lang w:val="fr-CA"/>
        </w:rPr>
        <w:lastRenderedPageBreak/>
        <w:t>Alberta Teachers</w:t>
      </w:r>
      <w:r>
        <w:rPr>
          <w:rFonts w:cs="Times New Roman"/>
          <w:i/>
          <w:lang w:val="fr-CA"/>
        </w:rPr>
        <w:t>’</w:t>
      </w:r>
      <w:r w:rsidRPr="006B5BF6">
        <w:rPr>
          <w:rFonts w:cs="Times New Roman"/>
          <w:i/>
          <w:lang w:val="fr-CA"/>
        </w:rPr>
        <w:t xml:space="preserve"> Association</w:t>
      </w:r>
      <w:r w:rsidR="006322C1">
        <w:rPr>
          <w:rFonts w:cs="Times New Roman"/>
          <w:lang w:val="fr-CA"/>
        </w:rPr>
        <w:t>, par. 39-</w:t>
      </w:r>
      <w:r w:rsidRPr="006B5BF6">
        <w:rPr>
          <w:rFonts w:cs="Times New Roman"/>
          <w:lang w:val="fr-CA"/>
        </w:rPr>
        <w:t>41). Ainsi que le juge Gascon l</w:t>
      </w:r>
      <w:r>
        <w:rPr>
          <w:rFonts w:cs="Times New Roman"/>
          <w:lang w:val="fr-CA"/>
        </w:rPr>
        <w:t>’</w:t>
      </w:r>
      <w:r w:rsidRPr="006B5BF6">
        <w:rPr>
          <w:rFonts w:cs="Times New Roman"/>
          <w:lang w:val="fr-CA"/>
        </w:rPr>
        <w:t>a expliqué dans l</w:t>
      </w:r>
      <w:r>
        <w:rPr>
          <w:rFonts w:cs="Times New Roman"/>
          <w:lang w:val="fr-CA"/>
        </w:rPr>
        <w:t>’</w:t>
      </w:r>
      <w:r w:rsidRPr="006B5BF6">
        <w:rPr>
          <w:rFonts w:cs="Times New Roman"/>
          <w:lang w:val="fr-CA"/>
        </w:rPr>
        <w:t xml:space="preserve">arrêt </w:t>
      </w:r>
      <w:r w:rsidRPr="006B5BF6">
        <w:rPr>
          <w:rFonts w:cs="Times New Roman"/>
          <w:i/>
          <w:lang w:val="fr-CA"/>
        </w:rPr>
        <w:t>Mouvement laïque québécois </w:t>
      </w:r>
      <w:r w:rsidRPr="006B5BF6">
        <w:rPr>
          <w:rFonts w:cs="Times New Roman"/>
          <w:i/>
          <w:iCs/>
          <w:lang w:val="fr-CA"/>
        </w:rPr>
        <w:t>c.</w:t>
      </w:r>
      <w:r w:rsidRPr="006B5BF6">
        <w:rPr>
          <w:rFonts w:cs="Times New Roman"/>
          <w:i/>
          <w:lang w:val="fr-CA"/>
        </w:rPr>
        <w:t> Saguenay (Ville),</w:t>
      </w:r>
      <w:r w:rsidRPr="006B5BF6">
        <w:rPr>
          <w:rFonts w:cs="Times New Roman"/>
          <w:lang w:val="fr-CA"/>
        </w:rPr>
        <w:t xml:space="preserve"> [2015] 2 R.C.S. 3, par. 46 :</w:t>
      </w:r>
    </w:p>
    <w:p w14:paraId="2DB95ABF" w14:textId="3FFF6363" w:rsidR="00AE2373" w:rsidRPr="006B5BF6" w:rsidRDefault="003A0E13" w:rsidP="003A0E13">
      <w:pPr>
        <w:pStyle w:val="Citation-AltC"/>
        <w:tabs>
          <w:tab w:val="left" w:pos="1620"/>
        </w:tabs>
        <w:ind w:firstLine="4"/>
        <w:contextualSpacing w:val="0"/>
        <w:rPr>
          <w:lang w:val="fr-CA"/>
        </w:rPr>
      </w:pPr>
      <w:r>
        <w:rPr>
          <w:lang w:val="fr-CA"/>
        </w:rPr>
        <w:tab/>
      </w:r>
      <w:r w:rsidR="00AE2373" w:rsidRPr="006B5BF6">
        <w:rPr>
          <w:lang w:val="fr-CA"/>
        </w:rPr>
        <w:t>Lorsque le Tribunal agit à l</w:t>
      </w:r>
      <w:r w:rsidR="00AE2373">
        <w:rPr>
          <w:lang w:val="fr-CA"/>
        </w:rPr>
        <w:t>’</w:t>
      </w:r>
      <w:r w:rsidR="00AE2373" w:rsidRPr="006B5BF6">
        <w:rPr>
          <w:lang w:val="fr-CA"/>
        </w:rPr>
        <w:t>intérieur de son champ d</w:t>
      </w:r>
      <w:r w:rsidR="00AE2373">
        <w:rPr>
          <w:lang w:val="fr-CA"/>
        </w:rPr>
        <w:t>’</w:t>
      </w:r>
      <w:r w:rsidR="00AE2373" w:rsidRPr="006B5BF6">
        <w:rPr>
          <w:lang w:val="fr-CA"/>
        </w:rPr>
        <w:t>expertise [. . .] la déférence s</w:t>
      </w:r>
      <w:r w:rsidR="00AE2373">
        <w:rPr>
          <w:lang w:val="fr-CA"/>
        </w:rPr>
        <w:t>’</w:t>
      </w:r>
      <w:r w:rsidR="00AE2373" w:rsidRPr="006B5BF6">
        <w:rPr>
          <w:lang w:val="fr-CA"/>
        </w:rPr>
        <w:t>impose (</w:t>
      </w:r>
      <w:r w:rsidR="00AE2373" w:rsidRPr="006B5BF6">
        <w:rPr>
          <w:i/>
          <w:lang w:val="fr-CA"/>
        </w:rPr>
        <w:t>Saskatchewan (Human Rights Commission) c. Whatcott</w:t>
      </w:r>
      <w:r w:rsidR="00AE2373" w:rsidRPr="006B5BF6">
        <w:rPr>
          <w:lang w:val="fr-CA"/>
        </w:rPr>
        <w:t>, 2013 CSC 11, [2013] 1 R.C.S. 467, par. 166</w:t>
      </w:r>
      <w:r w:rsidR="00AE2373" w:rsidRPr="006B5BF6">
        <w:rPr>
          <w:lang w:val="fr-CA"/>
        </w:rPr>
        <w:noBreakHyphen/>
        <w:t>168;</w:t>
      </w:r>
      <w:r w:rsidR="00AE2373" w:rsidRPr="006B5BF6">
        <w:rPr>
          <w:i/>
          <w:lang w:val="fr-CA"/>
        </w:rPr>
        <w:t xml:space="preserve"> Mowat</w:t>
      </w:r>
      <w:r w:rsidR="00AE2373" w:rsidRPr="006B5BF6">
        <w:rPr>
          <w:lang w:val="fr-CA"/>
        </w:rPr>
        <w:t xml:space="preserve">, par. 24). Dans </w:t>
      </w:r>
      <w:r w:rsidR="00AE2373" w:rsidRPr="006B5BF6">
        <w:rPr>
          <w:i/>
          <w:lang w:val="fr-CA"/>
        </w:rPr>
        <w:t>Alberta (Information and Privacy Commissioner) c. Alberta Teachers</w:t>
      </w:r>
      <w:r w:rsidR="00AE2373">
        <w:rPr>
          <w:i/>
          <w:lang w:val="fr-CA"/>
        </w:rPr>
        <w:t>’</w:t>
      </w:r>
      <w:r w:rsidR="00AE2373" w:rsidRPr="006B5BF6">
        <w:rPr>
          <w:i/>
          <w:lang w:val="fr-CA"/>
        </w:rPr>
        <w:t xml:space="preserve"> Association</w:t>
      </w:r>
      <w:r w:rsidR="00AE2373" w:rsidRPr="006B5BF6">
        <w:rPr>
          <w:lang w:val="fr-CA"/>
        </w:rPr>
        <w:t>, 2011 CSC 61, [2011] 3 R.C.S. 654, par. 30, 34 et 39, la Cour rappelle que, lors du contrôle judiciaire de la décision d</w:t>
      </w:r>
      <w:r w:rsidR="00AE2373">
        <w:rPr>
          <w:lang w:val="fr-CA"/>
        </w:rPr>
        <w:t>’</w:t>
      </w:r>
      <w:r w:rsidR="00AE2373" w:rsidRPr="006B5BF6">
        <w:rPr>
          <w:lang w:val="fr-CA"/>
        </w:rPr>
        <w:t>un tribunal administratif spécialisé qui interprète et applique sa loi constitutive, il y a lieu de présumer que la norme de contrôle est la décision raisonnable (</w:t>
      </w:r>
      <w:r w:rsidR="00AE2373" w:rsidRPr="006B5BF6">
        <w:rPr>
          <w:i/>
          <w:lang w:val="fr-CA"/>
        </w:rPr>
        <w:t>Compagnie des chemins de fer nationaux du Canada c. Canada (Procureur général)</w:t>
      </w:r>
      <w:r w:rsidR="00AE2373" w:rsidRPr="006B5BF6">
        <w:rPr>
          <w:lang w:val="fr-CA"/>
        </w:rPr>
        <w:t xml:space="preserve">, 2014 CSC 40, [2014] 2 R.C.S. 135, par. 55; </w:t>
      </w:r>
      <w:r w:rsidR="00AE2373" w:rsidRPr="006B5BF6">
        <w:rPr>
          <w:i/>
          <w:lang w:val="fr-CA"/>
        </w:rPr>
        <w:t>Front des artistes canadiens c. Musée des beaux</w:t>
      </w:r>
      <w:r w:rsidR="00AE2373" w:rsidRPr="006B5BF6">
        <w:rPr>
          <w:i/>
          <w:lang w:val="fr-CA"/>
        </w:rPr>
        <w:noBreakHyphen/>
        <w:t>arts du Canada</w:t>
      </w:r>
      <w:r w:rsidR="00AE2373" w:rsidRPr="006B5BF6">
        <w:rPr>
          <w:lang w:val="fr-CA"/>
        </w:rPr>
        <w:t>, 2014 CSC 42, [2014] 2 R.C.S. 197 (« </w:t>
      </w:r>
      <w:r w:rsidR="00AE2373" w:rsidRPr="006B5BF6">
        <w:rPr>
          <w:i/>
          <w:lang w:val="fr-CA"/>
        </w:rPr>
        <w:t>MBA</w:t>
      </w:r>
      <w:r w:rsidR="00AE2373" w:rsidRPr="006B5BF6">
        <w:rPr>
          <w:lang w:val="fr-CA"/>
        </w:rPr>
        <w:t xml:space="preserve"> »), par. 13; </w:t>
      </w:r>
      <w:r w:rsidR="00AE2373" w:rsidRPr="006B5BF6">
        <w:rPr>
          <w:i/>
          <w:lang w:val="fr-CA"/>
        </w:rPr>
        <w:t>Khosa</w:t>
      </w:r>
      <w:r w:rsidR="00AE2373" w:rsidRPr="006B5BF6">
        <w:rPr>
          <w:lang w:val="fr-CA"/>
        </w:rPr>
        <w:t xml:space="preserve">, par. 25; </w:t>
      </w:r>
      <w:r w:rsidR="00AE2373" w:rsidRPr="006B5BF6">
        <w:rPr>
          <w:i/>
          <w:lang w:val="fr-CA"/>
        </w:rPr>
        <w:t>Smith c. Alliance Pipeline Ltd.</w:t>
      </w:r>
      <w:r w:rsidR="00AE2373" w:rsidRPr="006B5BF6">
        <w:rPr>
          <w:lang w:val="fr-CA"/>
        </w:rPr>
        <w:t xml:space="preserve">, 2011 CSC 7, [2011] 1 R.C.S. 160, par. 26 et 28; </w:t>
      </w:r>
      <w:r w:rsidR="00AE2373" w:rsidRPr="006B5BF6">
        <w:rPr>
          <w:i/>
          <w:lang w:val="fr-CA"/>
        </w:rPr>
        <w:t>Dunsmuir</w:t>
      </w:r>
      <w:r w:rsidR="00AE2373" w:rsidRPr="006B5BF6">
        <w:rPr>
          <w:lang w:val="fr-CA"/>
        </w:rPr>
        <w:t>, par. 54).</w:t>
      </w:r>
    </w:p>
    <w:p w14:paraId="3ADB2BC0" w14:textId="583F1550"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Dans l</w:t>
      </w:r>
      <w:r>
        <w:rPr>
          <w:rFonts w:cs="Times New Roman"/>
          <w:lang w:val="fr-CA"/>
        </w:rPr>
        <w:t>’</w:t>
      </w:r>
      <w:r w:rsidRPr="006B5BF6">
        <w:rPr>
          <w:rFonts w:cs="Times New Roman"/>
          <w:lang w:val="fr-CA"/>
        </w:rPr>
        <w:t xml:space="preserve">arrêt </w:t>
      </w:r>
      <w:r w:rsidRPr="006B5BF6">
        <w:rPr>
          <w:rFonts w:cs="Times New Roman"/>
          <w:i/>
          <w:lang w:val="fr-CA"/>
        </w:rPr>
        <w:t>Edmonton (Ville) c. Edmonton East (Capilano) Shopping Centres Ltd.</w:t>
      </w:r>
      <w:r w:rsidRPr="006B5BF6">
        <w:rPr>
          <w:rFonts w:cs="Times New Roman"/>
          <w:lang w:val="fr-CA"/>
        </w:rPr>
        <w:t>, [2016] 2 R.C.S. 293, la majorité a reconnu ce qui suit :</w:t>
      </w:r>
    </w:p>
    <w:p w14:paraId="052A40D7" w14:textId="07217AC1" w:rsidR="00AE2373" w:rsidRPr="006B5BF6" w:rsidRDefault="003A0E13" w:rsidP="003A0E13">
      <w:pPr>
        <w:pStyle w:val="Citation-AltC"/>
        <w:tabs>
          <w:tab w:val="left" w:pos="1620"/>
        </w:tabs>
        <w:ind w:firstLine="4"/>
        <w:contextualSpacing w:val="0"/>
        <w:rPr>
          <w:lang w:val="fr-CA"/>
        </w:rPr>
      </w:pPr>
      <w:r>
        <w:rPr>
          <w:lang w:val="fr-CA"/>
        </w:rPr>
        <w:tab/>
      </w:r>
      <w:r w:rsidR="00AE2373" w:rsidRPr="006B5BF6">
        <w:rPr>
          <w:lang w:val="fr-CA"/>
        </w:rPr>
        <w:t>La présomption d</w:t>
      </w:r>
      <w:r w:rsidR="00AE2373">
        <w:rPr>
          <w:lang w:val="fr-CA"/>
        </w:rPr>
        <w:t>’</w:t>
      </w:r>
      <w:r w:rsidR="00AE2373" w:rsidRPr="006B5BF6">
        <w:rPr>
          <w:lang w:val="fr-CA"/>
        </w:rPr>
        <w:t>application de la norme de la décision raisonnable repose sur le choix du législateur de confier à un tribunal administratif spécialisé la responsabilité d</w:t>
      </w:r>
      <w:r w:rsidR="00AE2373">
        <w:rPr>
          <w:lang w:val="fr-CA"/>
        </w:rPr>
        <w:t>’</w:t>
      </w:r>
      <w:r w:rsidR="00AE2373" w:rsidRPr="006B5BF6">
        <w:rPr>
          <w:lang w:val="fr-CA"/>
        </w:rPr>
        <w:t>appliquer les dispositions législatives, ainsi que sur l</w:t>
      </w:r>
      <w:r w:rsidR="00AE2373">
        <w:rPr>
          <w:lang w:val="fr-CA"/>
        </w:rPr>
        <w:t>’</w:t>
      </w:r>
      <w:r w:rsidR="00AE2373" w:rsidRPr="006B5BF6">
        <w:rPr>
          <w:lang w:val="fr-CA"/>
        </w:rPr>
        <w:t>expertise de ce tribunal en la matière. L</w:t>
      </w:r>
      <w:r w:rsidR="00AE2373">
        <w:rPr>
          <w:lang w:val="fr-CA"/>
        </w:rPr>
        <w:t>’</w:t>
      </w:r>
      <w:r w:rsidR="00AE2373" w:rsidRPr="006B5BF6">
        <w:rPr>
          <w:lang w:val="fr-CA"/>
        </w:rPr>
        <w:t>expertise découle de la spécialisation des fonctions des tribunaux administratifs qui, comme le Comité, appliquent un régime législatif qui leur est familier [. . .] C</w:t>
      </w:r>
      <w:r w:rsidR="00AE2373">
        <w:rPr>
          <w:lang w:val="fr-CA"/>
        </w:rPr>
        <w:t>’</w:t>
      </w:r>
      <w:r w:rsidR="00AE2373" w:rsidRPr="006B5BF6">
        <w:rPr>
          <w:lang w:val="fr-CA"/>
        </w:rPr>
        <w:t>est [. . .] quelque chose d</w:t>
      </w:r>
      <w:r w:rsidR="00AE2373">
        <w:rPr>
          <w:lang w:val="fr-CA"/>
        </w:rPr>
        <w:t>’</w:t>
      </w:r>
      <w:r w:rsidR="00AE2373" w:rsidRPr="006B5BF6">
        <w:rPr>
          <w:lang w:val="fr-CA"/>
        </w:rPr>
        <w:t>inhérent au tribunal administratif en tant qu</w:t>
      </w:r>
      <w:r w:rsidR="00AE2373">
        <w:rPr>
          <w:lang w:val="fr-CA"/>
        </w:rPr>
        <w:t>’</w:t>
      </w:r>
      <w:r w:rsidR="00AE2373" w:rsidRPr="006B5BF6">
        <w:rPr>
          <w:lang w:val="fr-CA"/>
        </w:rPr>
        <w:t>institution : « . . . sur le plan institutionnel, on peut présumer que les arbitres [. . .] possèdent une expertise relative dans l</w:t>
      </w:r>
      <w:r w:rsidR="00AE2373">
        <w:rPr>
          <w:lang w:val="fr-CA"/>
        </w:rPr>
        <w:t>’</w:t>
      </w:r>
      <w:r w:rsidR="00AE2373" w:rsidRPr="006B5BF6">
        <w:rPr>
          <w:lang w:val="fr-CA"/>
        </w:rPr>
        <w:t>interprétation de la loi dont ils tiennent leur mandat ainsi que des dispositions législatives connexes qu</w:t>
      </w:r>
      <w:r w:rsidR="00AE2373">
        <w:rPr>
          <w:lang w:val="fr-CA"/>
        </w:rPr>
        <w:t>’</w:t>
      </w:r>
      <w:r w:rsidR="00AE2373" w:rsidRPr="006B5BF6">
        <w:rPr>
          <w:lang w:val="fr-CA"/>
        </w:rPr>
        <w:t>ils sont souvent appelés à appliquer dans l</w:t>
      </w:r>
      <w:r w:rsidR="00AE2373">
        <w:rPr>
          <w:lang w:val="fr-CA"/>
        </w:rPr>
        <w:t>’</w:t>
      </w:r>
      <w:r w:rsidR="00AE2373" w:rsidRPr="006B5BF6">
        <w:rPr>
          <w:lang w:val="fr-CA"/>
        </w:rPr>
        <w:t>exercice de leurs fonctions</w:t>
      </w:r>
      <w:r w:rsidR="006D2BF0">
        <w:rPr>
          <w:lang w:val="fr-CA"/>
        </w:rPr>
        <w:t>.</w:t>
      </w:r>
      <w:r w:rsidR="00AE2373" w:rsidRPr="006B5BF6">
        <w:rPr>
          <w:lang w:val="fr-CA"/>
        </w:rPr>
        <w:t> » [</w:t>
      </w:r>
      <w:r w:rsidR="006322C1">
        <w:rPr>
          <w:lang w:val="fr-CA"/>
        </w:rPr>
        <w:t>Référence omise</w:t>
      </w:r>
      <w:r w:rsidR="00AE2373" w:rsidRPr="006B5BF6">
        <w:rPr>
          <w:lang w:val="fr-CA"/>
        </w:rPr>
        <w:t>; par. 33.]</w:t>
      </w:r>
    </w:p>
    <w:p w14:paraId="410634A6"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La présomption de déférence a par conséquent permis d</w:t>
      </w:r>
      <w:r>
        <w:rPr>
          <w:rFonts w:cs="Times New Roman"/>
          <w:lang w:val="fr-CA"/>
        </w:rPr>
        <w:t>’</w:t>
      </w:r>
      <w:r w:rsidRPr="006B5BF6">
        <w:rPr>
          <w:rFonts w:cs="Times New Roman"/>
          <w:lang w:val="fr-CA"/>
        </w:rPr>
        <w:t>employer le</w:t>
      </w:r>
      <w:r>
        <w:rPr>
          <w:rFonts w:cs="Times New Roman"/>
          <w:lang w:val="fr-CA"/>
        </w:rPr>
        <w:t xml:space="preserve"> </w:t>
      </w:r>
      <w:r w:rsidRPr="006B5BF6">
        <w:rPr>
          <w:rFonts w:cs="Times New Roman"/>
          <w:lang w:val="fr-CA"/>
        </w:rPr>
        <w:t>principe de « l</w:t>
      </w:r>
      <w:r>
        <w:rPr>
          <w:rFonts w:cs="Times New Roman"/>
          <w:lang w:val="fr-CA"/>
        </w:rPr>
        <w:t>’</w:t>
      </w:r>
      <w:r w:rsidRPr="006B5BF6">
        <w:rPr>
          <w:rFonts w:cs="Times New Roman"/>
          <w:lang w:val="fr-CA"/>
        </w:rPr>
        <w:t>expertise spécialisée » qui était reconnu depuis longtemps par la jurisprudence de notre Cour, confirmant ainsi le principe de la déférence dont le juge Dickson avait posé les jalons dans l</w:t>
      </w:r>
      <w:r>
        <w:rPr>
          <w:rFonts w:cs="Times New Roman"/>
          <w:lang w:val="fr-CA"/>
        </w:rPr>
        <w:t>’</w:t>
      </w:r>
      <w:r w:rsidRPr="006B5BF6">
        <w:rPr>
          <w:rFonts w:cs="Times New Roman"/>
          <w:lang w:val="fr-CA"/>
        </w:rPr>
        <w:t xml:space="preserve">arrêt </w:t>
      </w:r>
      <w:r w:rsidRPr="006B5BF6">
        <w:rPr>
          <w:rFonts w:cs="Times New Roman"/>
          <w:i/>
          <w:lang w:val="fr-CA"/>
        </w:rPr>
        <w:t>S.C.F.P.</w:t>
      </w:r>
    </w:p>
    <w:p w14:paraId="261E9527" w14:textId="77777777" w:rsidR="00AE2373" w:rsidRPr="006B5BF6" w:rsidRDefault="00AE2373" w:rsidP="00AE2373">
      <w:pPr>
        <w:pStyle w:val="ParaNoNdepar-AltN"/>
        <w:tabs>
          <w:tab w:val="clear" w:pos="1166"/>
          <w:tab w:val="clear" w:pos="1422"/>
          <w:tab w:val="num" w:pos="1152"/>
        </w:tabs>
        <w:spacing w:before="0"/>
        <w:rPr>
          <w:rFonts w:cs="Times New Roman"/>
          <w:szCs w:val="24"/>
          <w:lang w:val="fr-CA"/>
        </w:rPr>
      </w:pPr>
      <w:r w:rsidRPr="006B5BF6">
        <w:rPr>
          <w:rFonts w:cs="Times New Roman"/>
          <w:lang w:val="fr-CA"/>
        </w:rPr>
        <w:lastRenderedPageBreak/>
        <w:t>Pour ce qui est des droits d</w:t>
      </w:r>
      <w:r>
        <w:rPr>
          <w:rFonts w:cs="Times New Roman"/>
          <w:lang w:val="fr-CA"/>
        </w:rPr>
        <w:t>’</w:t>
      </w:r>
      <w:r w:rsidRPr="006B5BF6">
        <w:rPr>
          <w:rFonts w:cs="Times New Roman"/>
          <w:lang w:val="fr-CA"/>
        </w:rPr>
        <w:t>appel conférés par la loi, ils ont continué d</w:t>
      </w:r>
      <w:r>
        <w:rPr>
          <w:rFonts w:cs="Times New Roman"/>
          <w:lang w:val="fr-CA"/>
        </w:rPr>
        <w:t>’</w:t>
      </w:r>
      <w:r w:rsidRPr="006B5BF6">
        <w:rPr>
          <w:rFonts w:cs="Times New Roman"/>
          <w:lang w:val="fr-CA"/>
        </w:rPr>
        <w:t>être perçus comme un facteur non pertinent dans l</w:t>
      </w:r>
      <w:r>
        <w:rPr>
          <w:rFonts w:cs="Times New Roman"/>
          <w:lang w:val="fr-CA"/>
        </w:rPr>
        <w:t>’</w:t>
      </w:r>
      <w:r w:rsidRPr="006B5BF6">
        <w:rPr>
          <w:rFonts w:cs="Times New Roman"/>
          <w:lang w:val="fr-CA"/>
        </w:rPr>
        <w:t>analyse de la norme de contrôle ou comme un facteur qui devait céder le pas à l</w:t>
      </w:r>
      <w:r>
        <w:rPr>
          <w:rFonts w:cs="Times New Roman"/>
          <w:lang w:val="fr-CA"/>
        </w:rPr>
        <w:t>’</w:t>
      </w:r>
      <w:r w:rsidRPr="006B5BF6">
        <w:rPr>
          <w:rFonts w:cs="Times New Roman"/>
          <w:lang w:val="fr-CA"/>
        </w:rPr>
        <w:t xml:space="preserve">expertise spécialisée. Ce principe était si fermement ancré que, dans des arrêts comme </w:t>
      </w:r>
      <w:r w:rsidRPr="006B5BF6">
        <w:rPr>
          <w:rFonts w:cs="Times New Roman"/>
          <w:i/>
          <w:szCs w:val="24"/>
          <w:lang w:val="fr-CA"/>
        </w:rPr>
        <w:t>Bell Canada c. Bell Aliant Communications régionales</w:t>
      </w:r>
      <w:r w:rsidRPr="006B5BF6">
        <w:rPr>
          <w:rFonts w:cs="Times New Roman"/>
          <w:szCs w:val="24"/>
          <w:lang w:val="fr-CA"/>
        </w:rPr>
        <w:t xml:space="preserve">, [2009] 2 R.C.S. 764, </w:t>
      </w:r>
      <w:r w:rsidRPr="006B5BF6">
        <w:rPr>
          <w:rFonts w:cs="Times New Roman"/>
          <w:i/>
          <w:szCs w:val="24"/>
          <w:lang w:val="fr-CA"/>
        </w:rPr>
        <w:t>Smith c. Alliance Pipeline Ltd.</w:t>
      </w:r>
      <w:r w:rsidRPr="006B5BF6">
        <w:rPr>
          <w:rFonts w:cs="Times New Roman"/>
          <w:szCs w:val="24"/>
          <w:lang w:val="fr-CA"/>
        </w:rPr>
        <w:t xml:space="preserve">, [2011] 1 R.C.S. 160, </w:t>
      </w:r>
      <w:r w:rsidRPr="006B5BF6">
        <w:rPr>
          <w:rFonts w:cs="Times New Roman"/>
          <w:i/>
          <w:szCs w:val="24"/>
          <w:lang w:val="fr-CA"/>
        </w:rPr>
        <w:t>ATCO Gas and Pipelines Ltd. c. Alberta (Utilities Commission)</w:t>
      </w:r>
      <w:r w:rsidRPr="006B5BF6">
        <w:rPr>
          <w:rFonts w:cs="Times New Roman"/>
          <w:szCs w:val="24"/>
          <w:lang w:val="fr-CA"/>
        </w:rPr>
        <w:t>, [2015] 3 R.C.S. 219,</w:t>
      </w:r>
      <w:r w:rsidRPr="006B5BF6">
        <w:rPr>
          <w:rFonts w:cs="Times New Roman"/>
          <w:i/>
          <w:szCs w:val="24"/>
          <w:lang w:val="fr-CA"/>
        </w:rPr>
        <w:t xml:space="preserve"> </w:t>
      </w:r>
      <w:r w:rsidRPr="006B5BF6">
        <w:rPr>
          <w:rFonts w:cs="Times New Roman"/>
          <w:szCs w:val="24"/>
          <w:lang w:val="fr-CA"/>
        </w:rPr>
        <w:t xml:space="preserve">et </w:t>
      </w:r>
      <w:r w:rsidRPr="006B5BF6">
        <w:rPr>
          <w:rFonts w:cs="Times New Roman"/>
          <w:i/>
          <w:lang w:val="fr-CA"/>
        </w:rPr>
        <w:t>Canada (Procureur général) c. Igloo Vikski Inc.</w:t>
      </w:r>
      <w:r w:rsidRPr="006B5BF6">
        <w:rPr>
          <w:rFonts w:cs="Times New Roman"/>
          <w:lang w:val="fr-CA"/>
        </w:rPr>
        <w:t xml:space="preserve">, [2016] 2 R.C.S. 80, </w:t>
      </w:r>
      <w:r w:rsidRPr="006B5BF6">
        <w:rPr>
          <w:rFonts w:cs="Times New Roman"/>
          <w:szCs w:val="24"/>
          <w:lang w:val="fr-CA"/>
        </w:rPr>
        <w:t xml:space="preserve">la Cour a appliqué la norme de la décision raisonnable sans même </w:t>
      </w:r>
      <w:r w:rsidRPr="006B5BF6">
        <w:rPr>
          <w:rFonts w:cs="Times New Roman"/>
          <w:i/>
          <w:iCs/>
          <w:szCs w:val="24"/>
          <w:lang w:val="fr-CA"/>
        </w:rPr>
        <w:t>mentionner</w:t>
      </w:r>
      <w:r w:rsidRPr="006B5BF6">
        <w:rPr>
          <w:rFonts w:cs="Times New Roman"/>
          <w:szCs w:val="24"/>
          <w:lang w:val="fr-CA"/>
        </w:rPr>
        <w:t xml:space="preserve"> l</w:t>
      </w:r>
      <w:r>
        <w:rPr>
          <w:rFonts w:cs="Times New Roman"/>
          <w:szCs w:val="24"/>
          <w:lang w:val="fr-CA"/>
        </w:rPr>
        <w:t>’</w:t>
      </w:r>
      <w:r w:rsidRPr="006B5BF6">
        <w:rPr>
          <w:rFonts w:cs="Times New Roman"/>
          <w:szCs w:val="24"/>
          <w:lang w:val="fr-CA"/>
        </w:rPr>
        <w:t>existence d</w:t>
      </w:r>
      <w:r>
        <w:rPr>
          <w:rFonts w:cs="Times New Roman"/>
          <w:szCs w:val="24"/>
          <w:lang w:val="fr-CA"/>
        </w:rPr>
        <w:t>’</w:t>
      </w:r>
      <w:r w:rsidRPr="006B5BF6">
        <w:rPr>
          <w:rFonts w:cs="Times New Roman"/>
          <w:szCs w:val="24"/>
          <w:lang w:val="fr-CA"/>
        </w:rPr>
        <w:t>une disposition conférant un droit d</w:t>
      </w:r>
      <w:r>
        <w:rPr>
          <w:rFonts w:cs="Times New Roman"/>
          <w:szCs w:val="24"/>
          <w:lang w:val="fr-CA"/>
        </w:rPr>
        <w:t>’</w:t>
      </w:r>
      <w:r w:rsidRPr="006B5BF6">
        <w:rPr>
          <w:rFonts w:cs="Times New Roman"/>
          <w:szCs w:val="24"/>
          <w:lang w:val="fr-CA"/>
        </w:rPr>
        <w:t>appel. Et, lorsqu</w:t>
      </w:r>
      <w:r>
        <w:rPr>
          <w:rFonts w:cs="Times New Roman"/>
          <w:szCs w:val="24"/>
          <w:lang w:val="fr-CA"/>
        </w:rPr>
        <w:t>’</w:t>
      </w:r>
      <w:r w:rsidRPr="006B5BF6">
        <w:rPr>
          <w:rFonts w:cs="Times New Roman"/>
          <w:szCs w:val="24"/>
          <w:lang w:val="fr-CA"/>
        </w:rPr>
        <w:t xml:space="preserve">elle a </w:t>
      </w:r>
      <w:r w:rsidRPr="006B5BF6">
        <w:rPr>
          <w:rFonts w:cs="Times New Roman"/>
          <w:i/>
          <w:iCs/>
          <w:szCs w:val="24"/>
          <w:lang w:val="fr-CA"/>
        </w:rPr>
        <w:t xml:space="preserve">effectivement </w:t>
      </w:r>
      <w:r w:rsidRPr="006B5BF6">
        <w:rPr>
          <w:rFonts w:cs="Times New Roman"/>
          <w:iCs/>
          <w:szCs w:val="24"/>
          <w:lang w:val="fr-CA"/>
        </w:rPr>
        <w:t>parlé</w:t>
      </w:r>
      <w:r w:rsidRPr="006B5BF6">
        <w:rPr>
          <w:rFonts w:cs="Times New Roman"/>
          <w:szCs w:val="24"/>
          <w:lang w:val="fr-CA"/>
        </w:rPr>
        <w:t xml:space="preserve"> des dispositions prévoyant un droit d</w:t>
      </w:r>
      <w:r>
        <w:rPr>
          <w:rFonts w:cs="Times New Roman"/>
          <w:szCs w:val="24"/>
          <w:lang w:val="fr-CA"/>
        </w:rPr>
        <w:t>’</w:t>
      </w:r>
      <w:r w:rsidRPr="006B5BF6">
        <w:rPr>
          <w:rFonts w:cs="Times New Roman"/>
          <w:szCs w:val="24"/>
          <w:lang w:val="fr-CA"/>
        </w:rPr>
        <w:t>appel, la Cour a systématiquement confirmé qu</w:t>
      </w:r>
      <w:r>
        <w:rPr>
          <w:rFonts w:cs="Times New Roman"/>
          <w:szCs w:val="24"/>
          <w:lang w:val="fr-CA"/>
        </w:rPr>
        <w:t>’</w:t>
      </w:r>
      <w:r w:rsidRPr="006B5BF6">
        <w:rPr>
          <w:rFonts w:cs="Times New Roman"/>
          <w:szCs w:val="24"/>
          <w:lang w:val="fr-CA"/>
        </w:rPr>
        <w:t>elles n</w:t>
      </w:r>
      <w:r>
        <w:rPr>
          <w:rFonts w:cs="Times New Roman"/>
          <w:szCs w:val="24"/>
          <w:lang w:val="fr-CA"/>
        </w:rPr>
        <w:t>’</w:t>
      </w:r>
      <w:r w:rsidRPr="006B5BF6">
        <w:rPr>
          <w:rFonts w:cs="Times New Roman"/>
          <w:szCs w:val="24"/>
          <w:lang w:val="fr-CA"/>
        </w:rPr>
        <w:t>excluaient pas l</w:t>
      </w:r>
      <w:r>
        <w:rPr>
          <w:rFonts w:cs="Times New Roman"/>
          <w:szCs w:val="24"/>
          <w:lang w:val="fr-CA"/>
        </w:rPr>
        <w:t>’</w:t>
      </w:r>
      <w:r w:rsidRPr="006B5BF6">
        <w:rPr>
          <w:rFonts w:cs="Times New Roman"/>
          <w:szCs w:val="24"/>
          <w:lang w:val="fr-CA"/>
        </w:rPr>
        <w:t>application des principes du contrôle judiciaire.</w:t>
      </w:r>
    </w:p>
    <w:p w14:paraId="7E4CD2A1" w14:textId="18143A55" w:rsidR="00AE2373" w:rsidRPr="006B5BF6" w:rsidRDefault="00AE2373" w:rsidP="00AE2373">
      <w:pPr>
        <w:pStyle w:val="ParaNoNdepar-AltN"/>
        <w:tabs>
          <w:tab w:val="clear" w:pos="1166"/>
          <w:tab w:val="clear" w:pos="1422"/>
          <w:tab w:val="num" w:pos="1152"/>
        </w:tabs>
        <w:spacing w:before="0"/>
        <w:rPr>
          <w:rFonts w:cs="Times New Roman"/>
          <w:szCs w:val="24"/>
          <w:lang w:val="fr-CA"/>
        </w:rPr>
      </w:pPr>
      <w:r w:rsidRPr="006B5BF6">
        <w:rPr>
          <w:rFonts w:cs="Times New Roman"/>
          <w:szCs w:val="24"/>
          <w:lang w:val="fr-CA"/>
        </w:rPr>
        <w:t>Dans l</w:t>
      </w:r>
      <w:r>
        <w:rPr>
          <w:rFonts w:cs="Times New Roman"/>
          <w:szCs w:val="24"/>
          <w:lang w:val="fr-CA"/>
        </w:rPr>
        <w:t>’</w:t>
      </w:r>
      <w:r w:rsidRPr="006B5BF6">
        <w:rPr>
          <w:rFonts w:cs="Times New Roman"/>
          <w:szCs w:val="24"/>
          <w:lang w:val="fr-CA"/>
        </w:rPr>
        <w:t xml:space="preserve">arrêt </w:t>
      </w:r>
      <w:r w:rsidRPr="006B5BF6">
        <w:rPr>
          <w:rFonts w:cs="Times New Roman"/>
          <w:i/>
          <w:szCs w:val="24"/>
          <w:lang w:val="fr-CA"/>
        </w:rPr>
        <w:t>Khosa</w:t>
      </w:r>
      <w:r w:rsidRPr="006B5BF6">
        <w:rPr>
          <w:rFonts w:cs="Times New Roman"/>
          <w:szCs w:val="24"/>
          <w:lang w:val="fr-CA"/>
        </w:rPr>
        <w:t>, le juge Binnie a explicitement souscrit à l</w:t>
      </w:r>
      <w:r>
        <w:rPr>
          <w:rFonts w:cs="Times New Roman"/>
          <w:szCs w:val="24"/>
          <w:lang w:val="fr-CA"/>
        </w:rPr>
        <w:t>’</w:t>
      </w:r>
      <w:r w:rsidRPr="006B5BF6">
        <w:rPr>
          <w:rFonts w:cs="Times New Roman"/>
          <w:szCs w:val="24"/>
          <w:lang w:val="fr-CA"/>
        </w:rPr>
        <w:t xml:space="preserve">arrêt </w:t>
      </w:r>
      <w:r w:rsidRPr="006B5BF6">
        <w:rPr>
          <w:rFonts w:cs="Times New Roman"/>
          <w:i/>
          <w:szCs w:val="24"/>
          <w:lang w:val="fr-CA"/>
        </w:rPr>
        <w:t xml:space="preserve">Pezim </w:t>
      </w:r>
      <w:r w:rsidRPr="006B5BF6">
        <w:rPr>
          <w:rFonts w:cs="Times New Roman"/>
          <w:szCs w:val="24"/>
          <w:lang w:val="fr-CA"/>
        </w:rPr>
        <w:t>et rejeté « l</w:t>
      </w:r>
      <w:r w:rsidRPr="006B5BF6">
        <w:rPr>
          <w:rFonts w:cs="Times New Roman"/>
          <w:lang w:val="fr-CA"/>
        </w:rPr>
        <w:t>a thèse selon laquelle il faut, en l</w:t>
      </w:r>
      <w:r>
        <w:rPr>
          <w:rFonts w:cs="Times New Roman"/>
          <w:lang w:val="fr-CA"/>
        </w:rPr>
        <w:t>’</w:t>
      </w:r>
      <w:r w:rsidRPr="006B5BF6">
        <w:rPr>
          <w:rFonts w:cs="Times New Roman"/>
          <w:lang w:val="fr-CA"/>
        </w:rPr>
        <w:t>absence d</w:t>
      </w:r>
      <w:r>
        <w:rPr>
          <w:rFonts w:cs="Times New Roman"/>
          <w:lang w:val="fr-CA"/>
        </w:rPr>
        <w:t>’</w:t>
      </w:r>
      <w:r w:rsidRPr="006B5BF6">
        <w:rPr>
          <w:rFonts w:cs="Times New Roman"/>
          <w:lang w:val="fr-CA"/>
        </w:rPr>
        <w:t>une disposition législative expresse ou nécessairement implicite, que la cour de révision “applique la norme de la décision correcte, comme elle le fait normalement en appel” »</w:t>
      </w:r>
      <w:r w:rsidRPr="006B5BF6">
        <w:rPr>
          <w:rFonts w:cs="Times New Roman"/>
          <w:sz w:val="27"/>
          <w:szCs w:val="27"/>
          <w:shd w:val="clear" w:color="auto" w:fill="FFFFFF"/>
          <w:lang w:val="fr-CA"/>
        </w:rPr>
        <w:t xml:space="preserve"> </w:t>
      </w:r>
      <w:r w:rsidRPr="006B5BF6">
        <w:rPr>
          <w:rFonts w:cs="Times New Roman"/>
          <w:szCs w:val="24"/>
          <w:lang w:val="fr-CA"/>
        </w:rPr>
        <w:t>(par. 26). Ce raisonnement a été suivi dans l</w:t>
      </w:r>
      <w:r>
        <w:rPr>
          <w:rFonts w:cs="Times New Roman"/>
          <w:szCs w:val="24"/>
          <w:lang w:val="fr-CA"/>
        </w:rPr>
        <w:t>’</w:t>
      </w:r>
      <w:r w:rsidRPr="006B5BF6">
        <w:rPr>
          <w:rFonts w:cs="Times New Roman"/>
          <w:szCs w:val="24"/>
          <w:lang w:val="fr-CA"/>
        </w:rPr>
        <w:t xml:space="preserve">arrêt </w:t>
      </w:r>
      <w:r w:rsidRPr="006B5BF6">
        <w:rPr>
          <w:rFonts w:cs="Times New Roman"/>
          <w:i/>
          <w:szCs w:val="24"/>
          <w:lang w:val="fr-CA"/>
        </w:rPr>
        <w:t>Canada (Commission canadienne des droits de la personne) c. Canada (Procureur général)</w:t>
      </w:r>
      <w:r w:rsidRPr="006B5BF6">
        <w:rPr>
          <w:rFonts w:cs="Times New Roman"/>
          <w:szCs w:val="24"/>
          <w:lang w:val="fr-CA"/>
        </w:rPr>
        <w:t xml:space="preserve">, [2011] 3 R.C.S. 471 </w:t>
      </w:r>
      <w:r>
        <w:rPr>
          <w:rFonts w:cs="Times New Roman"/>
          <w:szCs w:val="24"/>
          <w:lang w:val="fr-CA"/>
        </w:rPr>
        <w:t>(</w:t>
      </w:r>
      <w:r w:rsidR="007C1AFC">
        <w:rPr>
          <w:rFonts w:cs="Times New Roman"/>
          <w:szCs w:val="24"/>
          <w:lang w:val="fr-CA"/>
        </w:rPr>
        <w:t>« </w:t>
      </w:r>
      <w:r w:rsidRPr="006B5BF6">
        <w:rPr>
          <w:rFonts w:cs="Times New Roman"/>
          <w:i/>
          <w:szCs w:val="24"/>
          <w:lang w:val="fr-CA"/>
        </w:rPr>
        <w:t>Mowat</w:t>
      </w:r>
      <w:r w:rsidR="007C1AFC">
        <w:rPr>
          <w:rFonts w:cs="Times New Roman"/>
          <w:szCs w:val="24"/>
          <w:lang w:val="fr-CA"/>
        </w:rPr>
        <w:t> »</w:t>
      </w:r>
      <w:r>
        <w:rPr>
          <w:rFonts w:cs="Times New Roman"/>
          <w:szCs w:val="24"/>
          <w:lang w:val="fr-CA"/>
        </w:rPr>
        <w:t>)</w:t>
      </w:r>
      <w:r w:rsidRPr="006B5BF6">
        <w:rPr>
          <w:rFonts w:cs="Times New Roman"/>
          <w:szCs w:val="24"/>
          <w:lang w:val="fr-CA"/>
        </w:rPr>
        <w:t>, dans lequel la Cour a confirmé qu</w:t>
      </w:r>
      <w:r>
        <w:rPr>
          <w:rFonts w:cs="Times New Roman"/>
          <w:szCs w:val="24"/>
          <w:lang w:val="fr-CA"/>
        </w:rPr>
        <w:t>’</w:t>
      </w:r>
      <w:r w:rsidRPr="006B5BF6">
        <w:rPr>
          <w:rFonts w:cs="Times New Roman"/>
          <w:szCs w:val="24"/>
          <w:lang w:val="fr-CA"/>
        </w:rPr>
        <w:t>« il faut se garder de [. . .] confondre » le contrôle judiciaire et l</w:t>
      </w:r>
      <w:r>
        <w:rPr>
          <w:rFonts w:cs="Times New Roman"/>
          <w:szCs w:val="24"/>
          <w:lang w:val="fr-CA"/>
        </w:rPr>
        <w:t>’</w:t>
      </w:r>
      <w:r w:rsidRPr="006B5BF6">
        <w:rPr>
          <w:rFonts w:cs="Times New Roman"/>
          <w:szCs w:val="24"/>
          <w:lang w:val="fr-CA"/>
        </w:rPr>
        <w:t>appel (par. 30</w:t>
      </w:r>
      <w:r>
        <w:rPr>
          <w:rFonts w:cs="Times New Roman"/>
          <w:szCs w:val="24"/>
          <w:lang w:val="fr-CA"/>
        </w:rPr>
        <w:t>; voir également par. </w:t>
      </w:r>
      <w:r w:rsidRPr="006B5BF6">
        <w:rPr>
          <w:rFonts w:cs="Times New Roman"/>
          <w:szCs w:val="24"/>
          <w:lang w:val="fr-CA"/>
        </w:rPr>
        <w:t>31). Dans l</w:t>
      </w:r>
      <w:r>
        <w:rPr>
          <w:rFonts w:cs="Times New Roman"/>
          <w:szCs w:val="24"/>
          <w:lang w:val="fr-CA"/>
        </w:rPr>
        <w:t>’</w:t>
      </w:r>
      <w:r w:rsidRPr="006B5BF6">
        <w:rPr>
          <w:rFonts w:cs="Times New Roman"/>
          <w:szCs w:val="24"/>
          <w:lang w:val="fr-CA"/>
        </w:rPr>
        <w:t xml:space="preserve">arrêt </w:t>
      </w:r>
      <w:r w:rsidRPr="006B5BF6">
        <w:rPr>
          <w:rFonts w:cs="Times New Roman"/>
          <w:i/>
          <w:szCs w:val="24"/>
          <w:lang w:val="fr-CA"/>
        </w:rPr>
        <w:t>McLean</w:t>
      </w:r>
      <w:r w:rsidRPr="006B5BF6">
        <w:rPr>
          <w:rFonts w:cs="Times New Roman"/>
          <w:szCs w:val="24"/>
          <w:lang w:val="fr-CA"/>
        </w:rPr>
        <w:t xml:space="preserve">, rendu deux ans après la décision </w:t>
      </w:r>
      <w:r w:rsidRPr="006B5BF6">
        <w:rPr>
          <w:rFonts w:cs="Times New Roman"/>
          <w:i/>
          <w:szCs w:val="24"/>
          <w:lang w:val="fr-CA"/>
        </w:rPr>
        <w:t>Mowat</w:t>
      </w:r>
      <w:r w:rsidRPr="006B5BF6">
        <w:rPr>
          <w:rFonts w:cs="Times New Roman"/>
          <w:szCs w:val="24"/>
          <w:lang w:val="fr-CA"/>
        </w:rPr>
        <w:t>, la majorité a cité l</w:t>
      </w:r>
      <w:r>
        <w:rPr>
          <w:rFonts w:cs="Times New Roman"/>
          <w:szCs w:val="24"/>
          <w:lang w:val="fr-CA"/>
        </w:rPr>
        <w:t>’</w:t>
      </w:r>
      <w:r w:rsidRPr="006B5BF6">
        <w:rPr>
          <w:rFonts w:cs="Times New Roman"/>
          <w:szCs w:val="24"/>
          <w:lang w:val="fr-CA"/>
        </w:rPr>
        <w:t xml:space="preserve">arrêt </w:t>
      </w:r>
      <w:r w:rsidRPr="006B5BF6">
        <w:rPr>
          <w:rFonts w:cs="Times New Roman"/>
          <w:i/>
          <w:szCs w:val="24"/>
          <w:lang w:val="fr-CA"/>
        </w:rPr>
        <w:t xml:space="preserve">Pezim </w:t>
      </w:r>
      <w:r w:rsidRPr="006B5BF6">
        <w:rPr>
          <w:rFonts w:cs="Times New Roman"/>
          <w:szCs w:val="24"/>
          <w:lang w:val="fr-CA"/>
        </w:rPr>
        <w:t>et d</w:t>
      </w:r>
      <w:r>
        <w:rPr>
          <w:rFonts w:cs="Times New Roman"/>
          <w:szCs w:val="24"/>
          <w:lang w:val="fr-CA"/>
        </w:rPr>
        <w:t>’</w:t>
      </w:r>
      <w:r w:rsidRPr="006B5BF6">
        <w:rPr>
          <w:rFonts w:cs="Times New Roman"/>
          <w:szCs w:val="24"/>
          <w:lang w:val="fr-CA"/>
        </w:rPr>
        <w:t>autres décisions à l</w:t>
      </w:r>
      <w:r>
        <w:rPr>
          <w:rFonts w:cs="Times New Roman"/>
          <w:szCs w:val="24"/>
          <w:lang w:val="fr-CA"/>
        </w:rPr>
        <w:t>’</w:t>
      </w:r>
      <w:r w:rsidRPr="006B5BF6">
        <w:rPr>
          <w:rFonts w:cs="Times New Roman"/>
          <w:szCs w:val="24"/>
          <w:lang w:val="fr-CA"/>
        </w:rPr>
        <w:t>appui de la proposition suivant laquelle « </w:t>
      </w:r>
      <w:r w:rsidRPr="006B5BF6">
        <w:rPr>
          <w:rFonts w:cs="Times New Roman"/>
          <w:lang w:val="fr-CA"/>
        </w:rPr>
        <w:t>les principes généraux de droit administratif s</w:t>
      </w:r>
      <w:r>
        <w:rPr>
          <w:rFonts w:cs="Times New Roman"/>
          <w:lang w:val="fr-CA"/>
        </w:rPr>
        <w:t>’</w:t>
      </w:r>
      <w:r w:rsidRPr="006B5BF6">
        <w:rPr>
          <w:rFonts w:cs="Times New Roman"/>
          <w:lang w:val="fr-CA"/>
        </w:rPr>
        <w:t>appliquent tout de même »</w:t>
      </w:r>
      <w:r w:rsidRPr="006B5BF6">
        <w:rPr>
          <w:rFonts w:cs="Times New Roman"/>
          <w:szCs w:val="24"/>
          <w:lang w:val="fr-CA"/>
        </w:rPr>
        <w:t xml:space="preserve"> en cas d</w:t>
      </w:r>
      <w:r>
        <w:rPr>
          <w:rFonts w:cs="Times New Roman"/>
          <w:szCs w:val="24"/>
          <w:lang w:val="fr-CA"/>
        </w:rPr>
        <w:t>’</w:t>
      </w:r>
      <w:r w:rsidRPr="006B5BF6">
        <w:rPr>
          <w:rFonts w:cs="Times New Roman"/>
          <w:szCs w:val="24"/>
          <w:lang w:val="fr-CA"/>
        </w:rPr>
        <w:t xml:space="preserve">appel prévu par la loi (voir par. 21, note </w:t>
      </w:r>
      <w:r w:rsidR="0067172E">
        <w:rPr>
          <w:rFonts w:cs="Times New Roman"/>
          <w:szCs w:val="24"/>
          <w:lang w:val="fr-CA"/>
        </w:rPr>
        <w:t xml:space="preserve">en bas </w:t>
      </w:r>
      <w:r w:rsidR="0067172E">
        <w:rPr>
          <w:rFonts w:cs="Times New Roman"/>
          <w:szCs w:val="24"/>
          <w:lang w:val="fr-CA"/>
        </w:rPr>
        <w:lastRenderedPageBreak/>
        <w:t>de page</w:t>
      </w:r>
      <w:r w:rsidRPr="006B5BF6">
        <w:rPr>
          <w:rFonts w:cs="Times New Roman"/>
          <w:szCs w:val="24"/>
          <w:lang w:val="fr-CA"/>
        </w:rPr>
        <w:t xml:space="preserve"> 2). De façon similaire, dans l</w:t>
      </w:r>
      <w:r>
        <w:rPr>
          <w:rFonts w:cs="Times New Roman"/>
          <w:szCs w:val="24"/>
          <w:lang w:val="fr-CA"/>
        </w:rPr>
        <w:t>’</w:t>
      </w:r>
      <w:r w:rsidRPr="006B5BF6">
        <w:rPr>
          <w:rFonts w:cs="Times New Roman"/>
          <w:szCs w:val="24"/>
          <w:lang w:val="fr-CA"/>
        </w:rPr>
        <w:t xml:space="preserve">arrêt </w:t>
      </w:r>
      <w:r w:rsidRPr="006B5BF6">
        <w:rPr>
          <w:rFonts w:cs="Times New Roman"/>
          <w:i/>
          <w:lang w:val="fr-CA"/>
        </w:rPr>
        <w:t>Mouvement la</w:t>
      </w:r>
      <w:r w:rsidRPr="006B5BF6">
        <w:rPr>
          <w:rFonts w:cs="Times New Roman"/>
          <w:bCs/>
          <w:i/>
          <w:lang w:val="fr-CA"/>
        </w:rPr>
        <w:t>ï</w:t>
      </w:r>
      <w:r w:rsidRPr="006B5BF6">
        <w:rPr>
          <w:rFonts w:cs="Times New Roman"/>
          <w:i/>
          <w:lang w:val="fr-CA"/>
        </w:rPr>
        <w:t>que</w:t>
      </w:r>
      <w:r w:rsidR="00A22AF1">
        <w:rPr>
          <w:rFonts w:cs="Times New Roman"/>
          <w:lang w:val="fr-CA"/>
        </w:rPr>
        <w:t>, le juge Gascon a affirmé que </w:t>
      </w:r>
    </w:p>
    <w:p w14:paraId="6439660B" w14:textId="332433B5" w:rsidR="00AE2373" w:rsidRPr="006B5BF6" w:rsidRDefault="00AE2373" w:rsidP="00AE2373">
      <w:pPr>
        <w:pStyle w:val="Citation-AltC"/>
        <w:ind w:hanging="446"/>
        <w:contextualSpacing w:val="0"/>
        <w:rPr>
          <w:lang w:val="fr-CA"/>
        </w:rPr>
      </w:pPr>
      <w:r w:rsidRPr="006B5BF6">
        <w:rPr>
          <w:lang w:val="fr-CA"/>
        </w:rPr>
        <w:tab/>
        <w:t>[l]orsqu</w:t>
      </w:r>
      <w:r>
        <w:rPr>
          <w:lang w:val="fr-CA"/>
        </w:rPr>
        <w:t>’</w:t>
      </w:r>
      <w:r w:rsidRPr="006B5BF6">
        <w:rPr>
          <w:lang w:val="fr-CA"/>
        </w:rPr>
        <w:t>une cour de justice contrôle la décision d</w:t>
      </w:r>
      <w:r>
        <w:rPr>
          <w:lang w:val="fr-CA"/>
        </w:rPr>
        <w:t>’</w:t>
      </w:r>
      <w:r w:rsidRPr="006B5BF6">
        <w:rPr>
          <w:lang w:val="fr-CA"/>
        </w:rPr>
        <w:t>un tribunal administratif spécialisé, la norme d</w:t>
      </w:r>
      <w:r>
        <w:rPr>
          <w:lang w:val="fr-CA"/>
        </w:rPr>
        <w:t>’</w:t>
      </w:r>
      <w:r w:rsidRPr="006B5BF6">
        <w:rPr>
          <w:lang w:val="fr-CA"/>
        </w:rPr>
        <w:t>intervention doit être déterminée en fonction des principes du droit administratif. C</w:t>
      </w:r>
      <w:r>
        <w:rPr>
          <w:lang w:val="fr-CA"/>
        </w:rPr>
        <w:t>’</w:t>
      </w:r>
      <w:r w:rsidRPr="006B5BF6">
        <w:rPr>
          <w:lang w:val="fr-CA"/>
        </w:rPr>
        <w:t>est le cas lorsque le contrôle s</w:t>
      </w:r>
      <w:r>
        <w:rPr>
          <w:lang w:val="fr-CA"/>
        </w:rPr>
        <w:t>’</w:t>
      </w:r>
      <w:r w:rsidRPr="006B5BF6">
        <w:rPr>
          <w:lang w:val="fr-CA"/>
        </w:rPr>
        <w:t>exerce par suite d</w:t>
      </w:r>
      <w:r>
        <w:rPr>
          <w:lang w:val="fr-CA"/>
        </w:rPr>
        <w:t>’</w:t>
      </w:r>
      <w:r w:rsidRPr="006B5BF6">
        <w:rPr>
          <w:lang w:val="fr-CA"/>
        </w:rPr>
        <w:t>une demande de révision judiciaire, mais aussi lorsqu</w:t>
      </w:r>
      <w:r>
        <w:rPr>
          <w:lang w:val="fr-CA"/>
        </w:rPr>
        <w:t>’</w:t>
      </w:r>
      <w:r w:rsidRPr="006B5BF6">
        <w:rPr>
          <w:lang w:val="fr-CA"/>
        </w:rPr>
        <w:t>il procède par voie d</w:t>
      </w:r>
      <w:r>
        <w:rPr>
          <w:lang w:val="fr-CA"/>
        </w:rPr>
        <w:t>’</w:t>
      </w:r>
      <w:r w:rsidRPr="006B5BF6">
        <w:rPr>
          <w:lang w:val="fr-CA"/>
        </w:rPr>
        <w:t>appel prévu par une loi</w:t>
      </w:r>
      <w:r w:rsidR="00EA4C05">
        <w:rPr>
          <w:lang w:val="fr-CA"/>
        </w:rPr>
        <w:t xml:space="preserve"> . . .</w:t>
      </w:r>
      <w:r w:rsidRPr="006B5BF6">
        <w:rPr>
          <w:lang w:val="fr-CA"/>
        </w:rPr>
        <w:t xml:space="preserve"> [par. 38]</w:t>
      </w:r>
    </w:p>
    <w:p w14:paraId="090CA212" w14:textId="1F5B640C"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Dans l</w:t>
      </w:r>
      <w:r>
        <w:rPr>
          <w:rFonts w:cs="Times New Roman"/>
          <w:lang w:val="fr-CA"/>
        </w:rPr>
        <w:t>’</w:t>
      </w:r>
      <w:r w:rsidRPr="006B5BF6">
        <w:rPr>
          <w:rFonts w:cs="Times New Roman"/>
          <w:lang w:val="fr-CA"/>
        </w:rPr>
        <w:t xml:space="preserve">affaire </w:t>
      </w:r>
      <w:r w:rsidRPr="006B5BF6">
        <w:rPr>
          <w:rFonts w:cs="Times New Roman"/>
          <w:i/>
          <w:lang w:val="fr-CA"/>
        </w:rPr>
        <w:t>Edmonton East</w:t>
      </w:r>
      <w:r w:rsidRPr="006B5BF6">
        <w:rPr>
          <w:rFonts w:cs="Times New Roman"/>
          <w:lang w:val="fr-CA"/>
        </w:rPr>
        <w:t>, la Cour a examiné </w:t>
      </w:r>
      <w:r w:rsidRPr="006B5BF6">
        <w:rPr>
          <w:rFonts w:cs="Times New Roman"/>
          <w:shd w:val="clear" w:color="auto" w:fill="FFFFFF"/>
          <w:lang w:val="fr-CA"/>
        </w:rPr>
        <w:t>—</w:t>
      </w:r>
      <w:r w:rsidRPr="006B5BF6">
        <w:rPr>
          <w:rFonts w:cs="Times New Roman"/>
          <w:lang w:val="fr-CA"/>
        </w:rPr>
        <w:t> et de nouveau rejeté</w:t>
      </w:r>
      <w:r w:rsidR="00F43349">
        <w:rPr>
          <w:rFonts w:cs="Times New Roman"/>
          <w:lang w:val="fr-CA"/>
        </w:rPr>
        <w:t xml:space="preserve"> </w:t>
      </w:r>
      <w:r w:rsidRPr="006B5BF6">
        <w:rPr>
          <w:rFonts w:cs="Times New Roman"/>
          <w:shd w:val="clear" w:color="auto" w:fill="FFFFFF"/>
          <w:lang w:val="fr-CA"/>
        </w:rPr>
        <w:t>—</w:t>
      </w:r>
      <w:r w:rsidRPr="006B5BF6">
        <w:rPr>
          <w:rFonts w:cs="Times New Roman"/>
          <w:lang w:val="fr-CA"/>
        </w:rPr>
        <w:t xml:space="preserve"> l</w:t>
      </w:r>
      <w:r>
        <w:rPr>
          <w:rFonts w:cs="Times New Roman"/>
          <w:lang w:val="fr-CA"/>
        </w:rPr>
        <w:t>’</w:t>
      </w:r>
      <w:r w:rsidRPr="006B5BF6">
        <w:rPr>
          <w:rFonts w:cs="Times New Roman"/>
          <w:lang w:val="fr-CA"/>
        </w:rPr>
        <w:t>argument voulant que les appels prévus par la loi doivent constituer une nouvelle catégorie révisable selon la norme de la décision correcte. Selon la majorité, « il</w:t>
      </w:r>
      <w:r w:rsidRPr="006B5BF6">
        <w:rPr>
          <w:rFonts w:cs="Times New Roman"/>
          <w:shd w:val="clear" w:color="auto" w:fill="FFFFFF"/>
          <w:lang w:val="fr-CA"/>
        </w:rPr>
        <w:t xml:space="preserve"> serait contraire à la jurisprudence bien établie de la Cour de considérer — comme l</w:t>
      </w:r>
      <w:r>
        <w:rPr>
          <w:rFonts w:cs="Times New Roman"/>
          <w:shd w:val="clear" w:color="auto" w:fill="FFFFFF"/>
          <w:lang w:val="fr-CA"/>
        </w:rPr>
        <w:t>’</w:t>
      </w:r>
      <w:r w:rsidRPr="006B5BF6">
        <w:rPr>
          <w:rFonts w:cs="Times New Roman"/>
          <w:shd w:val="clear" w:color="auto" w:fill="FFFFFF"/>
          <w:lang w:val="fr-CA"/>
        </w:rPr>
        <w:t>a fait la Cour d</w:t>
      </w:r>
      <w:r>
        <w:rPr>
          <w:rFonts w:cs="Times New Roman"/>
          <w:shd w:val="clear" w:color="auto" w:fill="FFFFFF"/>
          <w:lang w:val="fr-CA"/>
        </w:rPr>
        <w:t>’</w:t>
      </w:r>
      <w:r w:rsidRPr="006B5BF6">
        <w:rPr>
          <w:rFonts w:cs="Times New Roman"/>
          <w:shd w:val="clear" w:color="auto" w:fill="FFFFFF"/>
          <w:lang w:val="fr-CA"/>
        </w:rPr>
        <w:t>appel en l</w:t>
      </w:r>
      <w:r>
        <w:rPr>
          <w:rFonts w:cs="Times New Roman"/>
          <w:shd w:val="clear" w:color="auto" w:fill="FFFFFF"/>
          <w:lang w:val="fr-CA"/>
        </w:rPr>
        <w:t>’</w:t>
      </w:r>
      <w:r w:rsidRPr="006B5BF6">
        <w:rPr>
          <w:rFonts w:cs="Times New Roman"/>
          <w:shd w:val="clear" w:color="auto" w:fill="FFFFFF"/>
          <w:lang w:val="fr-CA"/>
        </w:rPr>
        <w:t>espèce — que les questions se soulevant dans le cadre d</w:t>
      </w:r>
      <w:r>
        <w:rPr>
          <w:rFonts w:cs="Times New Roman"/>
          <w:shd w:val="clear" w:color="auto" w:fill="FFFFFF"/>
          <w:lang w:val="fr-CA"/>
        </w:rPr>
        <w:t>’</w:t>
      </w:r>
      <w:r w:rsidRPr="006B5BF6">
        <w:rPr>
          <w:rFonts w:cs="Times New Roman"/>
          <w:shd w:val="clear" w:color="auto" w:fill="FFFFFF"/>
          <w:lang w:val="fr-CA"/>
        </w:rPr>
        <w:t>un appel prévu par la loi forment une nouvelle catégorie de questions à laquelle s</w:t>
      </w:r>
      <w:r>
        <w:rPr>
          <w:rFonts w:cs="Times New Roman"/>
          <w:shd w:val="clear" w:color="auto" w:fill="FFFFFF"/>
          <w:lang w:val="fr-CA"/>
        </w:rPr>
        <w:t>’</w:t>
      </w:r>
      <w:r w:rsidRPr="006B5BF6">
        <w:rPr>
          <w:rFonts w:cs="Times New Roman"/>
          <w:shd w:val="clear" w:color="auto" w:fill="FFFFFF"/>
          <w:lang w:val="fr-CA"/>
        </w:rPr>
        <w:t xml:space="preserve">applique la norme de la décision correcte » </w:t>
      </w:r>
      <w:r w:rsidRPr="006B5BF6">
        <w:rPr>
          <w:rFonts w:cs="Times New Roman"/>
          <w:lang w:val="fr-CA"/>
        </w:rPr>
        <w:t>(par. 28). Dans l</w:t>
      </w:r>
      <w:r>
        <w:rPr>
          <w:rFonts w:cs="Times New Roman"/>
          <w:lang w:val="fr-CA"/>
        </w:rPr>
        <w:t>’</w:t>
      </w:r>
      <w:r w:rsidRPr="006B5BF6">
        <w:rPr>
          <w:rFonts w:cs="Times New Roman"/>
          <w:lang w:val="fr-CA"/>
        </w:rPr>
        <w:t xml:space="preserve">arrêt </w:t>
      </w:r>
      <w:r w:rsidRPr="006B5BF6">
        <w:rPr>
          <w:rFonts w:cs="Times New Roman"/>
          <w:i/>
          <w:lang w:val="fr-CA"/>
        </w:rPr>
        <w:t>Edmonton East</w:t>
      </w:r>
      <w:r w:rsidRPr="006B5BF6">
        <w:rPr>
          <w:rFonts w:cs="Times New Roman"/>
          <w:lang w:val="fr-CA"/>
        </w:rPr>
        <w:t>, même s</w:t>
      </w:r>
      <w:r>
        <w:rPr>
          <w:rFonts w:cs="Times New Roman"/>
          <w:lang w:val="fr-CA"/>
        </w:rPr>
        <w:t>’</w:t>
      </w:r>
      <w:r w:rsidRPr="006B5BF6">
        <w:rPr>
          <w:rFonts w:cs="Times New Roman"/>
          <w:lang w:val="fr-CA"/>
        </w:rPr>
        <w:t>ils estimaient qu</w:t>
      </w:r>
      <w:r>
        <w:rPr>
          <w:rFonts w:cs="Times New Roman"/>
          <w:lang w:val="fr-CA"/>
        </w:rPr>
        <w:t>’</w:t>
      </w:r>
      <w:r w:rsidRPr="006B5BF6">
        <w:rPr>
          <w:rFonts w:cs="Times New Roman"/>
          <w:lang w:val="fr-CA"/>
        </w:rPr>
        <w:t>il appert du libellé de la disposition législative prévoyant un droit d</w:t>
      </w:r>
      <w:r>
        <w:rPr>
          <w:rFonts w:cs="Times New Roman"/>
          <w:lang w:val="fr-CA"/>
        </w:rPr>
        <w:t>’</w:t>
      </w:r>
      <w:r w:rsidRPr="006B5BF6">
        <w:rPr>
          <w:rFonts w:cs="Times New Roman"/>
          <w:lang w:val="fr-CA"/>
        </w:rPr>
        <w:t>appel et de l</w:t>
      </w:r>
      <w:r>
        <w:rPr>
          <w:rFonts w:cs="Times New Roman"/>
          <w:lang w:val="fr-CA"/>
        </w:rPr>
        <w:t>’</w:t>
      </w:r>
      <w:r w:rsidRPr="006B5BF6">
        <w:rPr>
          <w:rFonts w:cs="Times New Roman"/>
          <w:lang w:val="fr-CA"/>
        </w:rPr>
        <w:t>économie de la loi que la norme applicable était celle de la décision correcte, les juges dissidents ont néanmoins déclaré sans équivoque qu</w:t>
      </w:r>
      <w:r>
        <w:rPr>
          <w:rFonts w:cs="Times New Roman"/>
          <w:shd w:val="clear" w:color="auto" w:fill="FFFFFF"/>
          <w:lang w:val="fr-CA"/>
        </w:rPr>
        <w:t>’</w:t>
      </w:r>
      <w:r w:rsidRPr="006B5BF6">
        <w:rPr>
          <w:rFonts w:cs="Times New Roman"/>
          <w:shd w:val="clear" w:color="auto" w:fill="FFFFFF"/>
          <w:lang w:val="fr-CA"/>
        </w:rPr>
        <w:t>« un droit d</w:t>
      </w:r>
      <w:r>
        <w:rPr>
          <w:rFonts w:cs="Times New Roman"/>
          <w:shd w:val="clear" w:color="auto" w:fill="FFFFFF"/>
          <w:lang w:val="fr-CA"/>
        </w:rPr>
        <w:t>’</w:t>
      </w:r>
      <w:r w:rsidRPr="006B5BF6">
        <w:rPr>
          <w:rFonts w:cs="Times New Roman"/>
          <w:shd w:val="clear" w:color="auto" w:fill="FFFFFF"/>
          <w:lang w:val="fr-CA"/>
        </w:rPr>
        <w:t>appel statutaire ne forme pas une nouvelle</w:t>
      </w:r>
      <w:r w:rsidRPr="006B5BF6">
        <w:rPr>
          <w:rFonts w:cs="Times New Roman"/>
          <w:lang w:val="fr-CA"/>
        </w:rPr>
        <w:t xml:space="preserve"> “</w:t>
      </w:r>
      <w:r w:rsidRPr="006B5BF6">
        <w:rPr>
          <w:rFonts w:cs="Times New Roman"/>
          <w:shd w:val="clear" w:color="auto" w:fill="FFFFFF"/>
          <w:lang w:val="fr-CA"/>
        </w:rPr>
        <w:t>catégorie</w:t>
      </w:r>
      <w:r w:rsidRPr="006B5BF6">
        <w:rPr>
          <w:rFonts w:cs="Times New Roman"/>
          <w:lang w:val="fr-CA"/>
        </w:rPr>
        <w:t>”</w:t>
      </w:r>
      <w:r w:rsidRPr="006B5BF6">
        <w:rPr>
          <w:rFonts w:cs="Times New Roman"/>
          <w:shd w:val="clear" w:color="auto" w:fill="FFFFFF"/>
          <w:lang w:val="fr-CA"/>
        </w:rPr>
        <w:t xml:space="preserve"> à laquelle s</w:t>
      </w:r>
      <w:r>
        <w:rPr>
          <w:rFonts w:cs="Times New Roman"/>
          <w:shd w:val="clear" w:color="auto" w:fill="FFFFFF"/>
          <w:lang w:val="fr-CA"/>
        </w:rPr>
        <w:t>’</w:t>
      </w:r>
      <w:r w:rsidRPr="006B5BF6">
        <w:rPr>
          <w:rFonts w:cs="Times New Roman"/>
          <w:shd w:val="clear" w:color="auto" w:fill="FFFFFF"/>
          <w:lang w:val="fr-CA"/>
        </w:rPr>
        <w:t>applique la norme de la décision correcte »</w:t>
      </w:r>
      <w:r w:rsidRPr="006B5BF6">
        <w:rPr>
          <w:rFonts w:cs="Times New Roman"/>
          <w:lang w:val="fr-CA"/>
        </w:rPr>
        <w:t xml:space="preserve"> (par. 70).</w:t>
      </w:r>
    </w:p>
    <w:p w14:paraId="44B2397F"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Au moment où les présents pourvois ont été entendus, les facteurs contextuels avaient pratiquement disparu de l</w:t>
      </w:r>
      <w:r>
        <w:rPr>
          <w:rFonts w:cs="Times New Roman"/>
          <w:lang w:val="fr-CA"/>
        </w:rPr>
        <w:t>’</w:t>
      </w:r>
      <w:r w:rsidRPr="006B5BF6">
        <w:rPr>
          <w:rFonts w:cs="Times New Roman"/>
          <w:lang w:val="fr-CA"/>
        </w:rPr>
        <w:t>analyse de la norme de contrôle pour être remplacés par une présomption de déférence, sous réserve seulement des exceptions relatives à l</w:t>
      </w:r>
      <w:r>
        <w:rPr>
          <w:rFonts w:cs="Times New Roman"/>
          <w:lang w:val="fr-CA"/>
        </w:rPr>
        <w:t>’</w:t>
      </w:r>
      <w:r w:rsidRPr="006B5BF6">
        <w:rPr>
          <w:rFonts w:cs="Times New Roman"/>
          <w:lang w:val="fr-CA"/>
        </w:rPr>
        <w:t>application de la norme de la décision correcte énoncées dans l</w:t>
      </w:r>
      <w:r>
        <w:rPr>
          <w:rFonts w:cs="Times New Roman"/>
          <w:lang w:val="fr-CA"/>
        </w:rPr>
        <w:t>’</w:t>
      </w:r>
      <w:r w:rsidRPr="006B5BF6">
        <w:rPr>
          <w:rFonts w:cs="Times New Roman"/>
          <w:lang w:val="fr-CA"/>
        </w:rPr>
        <w:t xml:space="preserve">arrêt </w:t>
      </w:r>
      <w:r w:rsidRPr="006B5BF6">
        <w:rPr>
          <w:rFonts w:cs="Times New Roman"/>
          <w:i/>
          <w:lang w:val="fr-CA"/>
        </w:rPr>
        <w:t xml:space="preserve">Dunsmuir </w:t>
      </w:r>
      <w:r w:rsidRPr="006B5BF6">
        <w:rPr>
          <w:rFonts w:cs="Times New Roman"/>
          <w:shd w:val="clear" w:color="auto" w:fill="FFFFFF"/>
          <w:lang w:val="fr-CA"/>
        </w:rPr>
        <w:t>—</w:t>
      </w:r>
      <w:r w:rsidRPr="006B5BF6">
        <w:rPr>
          <w:rFonts w:cs="Times New Roman"/>
          <w:lang w:val="fr-CA"/>
        </w:rPr>
        <w:t xml:space="preserve"> qui </w:t>
      </w:r>
      <w:r w:rsidRPr="006B5BF6">
        <w:rPr>
          <w:rFonts w:cs="Times New Roman"/>
          <w:i/>
          <w:iCs/>
          <w:lang w:val="fr-CA"/>
        </w:rPr>
        <w:t>n</w:t>
      </w:r>
      <w:r w:rsidRPr="00326B1F">
        <w:rPr>
          <w:rFonts w:cs="Times New Roman"/>
          <w:i/>
          <w:lang w:val="fr-CA"/>
        </w:rPr>
        <w:t>’</w:t>
      </w:r>
      <w:r w:rsidRPr="006B5BF6">
        <w:rPr>
          <w:rFonts w:cs="Times New Roman"/>
          <w:lang w:val="fr-CA"/>
        </w:rPr>
        <w:t xml:space="preserve">incluaient explicitement </w:t>
      </w:r>
      <w:r w:rsidRPr="006B5BF6">
        <w:rPr>
          <w:rFonts w:cs="Times New Roman"/>
          <w:i/>
          <w:iCs/>
          <w:lang w:val="fr-CA"/>
        </w:rPr>
        <w:t>pas</w:t>
      </w:r>
      <w:r w:rsidRPr="006B5BF6">
        <w:rPr>
          <w:rFonts w:cs="Times New Roman"/>
          <w:lang w:val="fr-CA"/>
        </w:rPr>
        <w:t xml:space="preserve"> les droits d</w:t>
      </w:r>
      <w:r>
        <w:rPr>
          <w:rFonts w:cs="Times New Roman"/>
          <w:lang w:val="fr-CA"/>
        </w:rPr>
        <w:t>’</w:t>
      </w:r>
      <w:r w:rsidRPr="006B5BF6">
        <w:rPr>
          <w:rFonts w:cs="Times New Roman"/>
          <w:lang w:val="fr-CA"/>
        </w:rPr>
        <w:t>appel conférés par la loi. En d</w:t>
      </w:r>
      <w:r>
        <w:rPr>
          <w:rFonts w:cs="Times New Roman"/>
          <w:lang w:val="fr-CA"/>
        </w:rPr>
        <w:t>’</w:t>
      </w:r>
      <w:r w:rsidRPr="006B5BF6">
        <w:rPr>
          <w:rFonts w:cs="Times New Roman"/>
          <w:lang w:val="fr-CA"/>
        </w:rPr>
        <w:t>autres termes, la Cour était en bonne voie de réaliser la promesse d</w:t>
      </w:r>
      <w:r>
        <w:rPr>
          <w:rFonts w:cs="Times New Roman"/>
          <w:lang w:val="fr-CA"/>
        </w:rPr>
        <w:t>’</w:t>
      </w:r>
      <w:r w:rsidRPr="006B5BF6">
        <w:rPr>
          <w:rFonts w:cs="Times New Roman"/>
          <w:lang w:val="fr-CA"/>
        </w:rPr>
        <w:t xml:space="preserve">une analyse </w:t>
      </w:r>
      <w:r w:rsidRPr="006B5BF6">
        <w:rPr>
          <w:rFonts w:cs="Times New Roman"/>
          <w:lang w:val="fr-CA"/>
        </w:rPr>
        <w:lastRenderedPageBreak/>
        <w:t>simplifiée qu</w:t>
      </w:r>
      <w:r>
        <w:rPr>
          <w:rFonts w:cs="Times New Roman"/>
          <w:lang w:val="fr-CA"/>
        </w:rPr>
        <w:t>’</w:t>
      </w:r>
      <w:r w:rsidRPr="006B5BF6">
        <w:rPr>
          <w:rFonts w:cs="Times New Roman"/>
          <w:lang w:val="fr-CA"/>
        </w:rPr>
        <w:t>elle avait faite dans l</w:t>
      </w:r>
      <w:r>
        <w:rPr>
          <w:rFonts w:cs="Times New Roman"/>
          <w:lang w:val="fr-CA"/>
        </w:rPr>
        <w:t>’</w:t>
      </w:r>
      <w:r w:rsidRPr="006B5BF6">
        <w:rPr>
          <w:rFonts w:cs="Times New Roman"/>
          <w:lang w:val="fr-CA"/>
        </w:rPr>
        <w:t xml:space="preserve">arrêt </w:t>
      </w:r>
      <w:r w:rsidRPr="006B5BF6">
        <w:rPr>
          <w:rFonts w:cs="Times New Roman"/>
          <w:i/>
          <w:lang w:val="fr-CA"/>
        </w:rPr>
        <w:t>Dunsmuir</w:t>
      </w:r>
      <w:r w:rsidRPr="006B5BF6">
        <w:rPr>
          <w:rFonts w:cs="Times New Roman"/>
          <w:lang w:val="fr-CA"/>
        </w:rPr>
        <w:t>. C</w:t>
      </w:r>
      <w:r>
        <w:rPr>
          <w:rFonts w:cs="Times New Roman"/>
          <w:lang w:val="fr-CA"/>
        </w:rPr>
        <w:t>’</w:t>
      </w:r>
      <w:r w:rsidRPr="006B5BF6">
        <w:rPr>
          <w:rFonts w:cs="Times New Roman"/>
          <w:lang w:val="fr-CA"/>
        </w:rPr>
        <w:t>est bien ce qu</w:t>
      </w:r>
      <w:r>
        <w:rPr>
          <w:rFonts w:cs="Times New Roman"/>
          <w:lang w:val="fr-CA"/>
        </w:rPr>
        <w:t>’</w:t>
      </w:r>
      <w:r w:rsidRPr="006B5BF6">
        <w:rPr>
          <w:rFonts w:cs="Times New Roman"/>
          <w:lang w:val="fr-CA"/>
        </w:rPr>
        <w:t>a reconnu le juge Gascon l</w:t>
      </w:r>
      <w:r>
        <w:rPr>
          <w:rFonts w:cs="Times New Roman"/>
          <w:lang w:val="fr-CA"/>
        </w:rPr>
        <w:t>’</w:t>
      </w:r>
      <w:r w:rsidRPr="006B5BF6">
        <w:rPr>
          <w:rFonts w:cs="Times New Roman"/>
          <w:lang w:val="fr-CA"/>
        </w:rPr>
        <w:t>an dernier dans l</w:t>
      </w:r>
      <w:r>
        <w:rPr>
          <w:rFonts w:cs="Times New Roman"/>
          <w:lang w:val="fr-CA"/>
        </w:rPr>
        <w:t>’</w:t>
      </w:r>
      <w:r w:rsidRPr="006B5BF6">
        <w:rPr>
          <w:rFonts w:cs="Times New Roman"/>
          <w:lang w:val="fr-CA"/>
        </w:rPr>
        <w:t xml:space="preserve">arrêt </w:t>
      </w:r>
      <w:r w:rsidRPr="006B5BF6">
        <w:rPr>
          <w:rFonts w:cs="Times New Roman"/>
          <w:i/>
          <w:lang w:val="fr-CA"/>
        </w:rPr>
        <w:t>Commission canadienne des droits de la personne </w:t>
      </w:r>
      <w:r w:rsidRPr="006B5BF6">
        <w:rPr>
          <w:rFonts w:cs="Times New Roman"/>
          <w:lang w:val="fr-CA"/>
        </w:rPr>
        <w:t>:</w:t>
      </w:r>
    </w:p>
    <w:p w14:paraId="04549661" w14:textId="7B6DF416" w:rsidR="00AE2373" w:rsidRPr="006B5BF6" w:rsidRDefault="00AE2373" w:rsidP="00326B1F">
      <w:pPr>
        <w:pStyle w:val="Citation-AltC"/>
        <w:tabs>
          <w:tab w:val="left" w:pos="1620"/>
          <w:tab w:val="left" w:pos="2160"/>
        </w:tabs>
        <w:contextualSpacing w:val="0"/>
        <w:rPr>
          <w:lang w:val="fr-CA"/>
        </w:rPr>
      </w:pPr>
      <w:r w:rsidRPr="006B5BF6">
        <w:rPr>
          <w:i/>
          <w:iCs/>
          <w:lang w:val="fr-CA"/>
        </w:rPr>
        <w:tab/>
        <w:t>Cette approche contextuelle devrait être appliquée avec parcimonie</w:t>
      </w:r>
      <w:r w:rsidRPr="006B5BF6">
        <w:rPr>
          <w:lang w:val="fr-CA"/>
        </w:rPr>
        <w:t>. Comme l</w:t>
      </w:r>
      <w:r>
        <w:rPr>
          <w:lang w:val="fr-CA"/>
        </w:rPr>
        <w:t>’</w:t>
      </w:r>
      <w:r w:rsidRPr="006B5BF6">
        <w:rPr>
          <w:lang w:val="fr-CA"/>
        </w:rPr>
        <w:t>ont déclaré les juges majoritaires de la Cour dans l</w:t>
      </w:r>
      <w:r>
        <w:rPr>
          <w:lang w:val="fr-CA"/>
        </w:rPr>
        <w:t>’</w:t>
      </w:r>
      <w:r w:rsidRPr="006B5BF6">
        <w:rPr>
          <w:lang w:val="fr-CA"/>
        </w:rPr>
        <w:t>arrêt </w:t>
      </w:r>
      <w:r w:rsidRPr="006B5BF6">
        <w:rPr>
          <w:i/>
          <w:iCs/>
          <w:lang w:val="fr-CA"/>
        </w:rPr>
        <w:t>Alberta Teachers</w:t>
      </w:r>
      <w:r w:rsidRPr="006B5BF6">
        <w:rPr>
          <w:lang w:val="fr-CA"/>
        </w:rPr>
        <w:t>, il est inapproprié de « revenir à l</w:t>
      </w:r>
      <w:r>
        <w:rPr>
          <w:lang w:val="fr-CA"/>
        </w:rPr>
        <w:t>’</w:t>
      </w:r>
      <w:r w:rsidRPr="006B5BF6">
        <w:rPr>
          <w:lang w:val="fr-CA"/>
        </w:rPr>
        <w:t>analyse exhaustive lorsqu</w:t>
      </w:r>
      <w:r>
        <w:rPr>
          <w:lang w:val="fr-CA"/>
        </w:rPr>
        <w:t>’</w:t>
      </w:r>
      <w:r w:rsidRPr="006B5BF6">
        <w:rPr>
          <w:lang w:val="fr-CA"/>
        </w:rPr>
        <w:t>une démarche sommaire permet de déterminer la norme de contrôle » [. . .] En effet, le « recours à une analyse contextuelle peut être source d</w:t>
      </w:r>
      <w:r>
        <w:rPr>
          <w:lang w:val="fr-CA"/>
        </w:rPr>
        <w:t>’</w:t>
      </w:r>
      <w:r w:rsidRPr="006B5BF6">
        <w:rPr>
          <w:lang w:val="fr-CA"/>
        </w:rPr>
        <w:t>incertitude et d</w:t>
      </w:r>
      <w:r>
        <w:rPr>
          <w:lang w:val="fr-CA"/>
        </w:rPr>
        <w:t>’</w:t>
      </w:r>
      <w:r w:rsidRPr="006B5BF6">
        <w:rPr>
          <w:lang w:val="fr-CA"/>
        </w:rPr>
        <w:t>interminables litiges au sujet de la norme de contrôle applicable » (</w:t>
      </w:r>
      <w:r w:rsidRPr="006B5BF6">
        <w:rPr>
          <w:i/>
          <w:iCs/>
          <w:lang w:val="fr-CA"/>
        </w:rPr>
        <w:t xml:space="preserve">Capilano </w:t>
      </w:r>
      <w:r w:rsidRPr="00CF0432">
        <w:rPr>
          <w:lang w:val="fr-CA"/>
        </w:rPr>
        <w:t>[</w:t>
      </w:r>
      <w:r w:rsidRPr="006B5BF6">
        <w:rPr>
          <w:i/>
          <w:lang w:val="fr-CA"/>
        </w:rPr>
        <w:t>Edmonton East</w:t>
      </w:r>
      <w:r w:rsidRPr="00CF0432">
        <w:rPr>
          <w:lang w:val="fr-CA"/>
        </w:rPr>
        <w:t>]</w:t>
      </w:r>
      <w:r w:rsidRPr="006B5BF6">
        <w:rPr>
          <w:lang w:val="fr-CA"/>
        </w:rPr>
        <w:t>, par. 35). La présomption d</w:t>
      </w:r>
      <w:r>
        <w:rPr>
          <w:lang w:val="fr-CA"/>
        </w:rPr>
        <w:t>’</w:t>
      </w:r>
      <w:r w:rsidRPr="006B5BF6">
        <w:rPr>
          <w:lang w:val="fr-CA"/>
        </w:rPr>
        <w:t>application de la norme de la décision raisonnable et les catégories déjà énumérées suffiront généralement pour déterminer la norme de contrôle applicable. Dans les cas exceptionnels où il serait justifié de recourir à une analyse contextuelle pour repousser la présomption, celle</w:t>
      </w:r>
      <w:r w:rsidRPr="006B5BF6">
        <w:rPr>
          <w:lang w:val="fr-CA"/>
        </w:rPr>
        <w:noBreakHyphen/>
        <w:t>ci n</w:t>
      </w:r>
      <w:r>
        <w:rPr>
          <w:lang w:val="fr-CA"/>
        </w:rPr>
        <w:t>’</w:t>
      </w:r>
      <w:r w:rsidRPr="006B5BF6">
        <w:rPr>
          <w:lang w:val="fr-CA"/>
        </w:rPr>
        <w:t>a pas à être longue et détaillée (</w:t>
      </w:r>
      <w:r w:rsidRPr="006B5BF6">
        <w:rPr>
          <w:i/>
          <w:iCs/>
          <w:lang w:val="fr-CA"/>
        </w:rPr>
        <w:t xml:space="preserve">Capilano </w:t>
      </w:r>
      <w:r w:rsidRPr="00CF0432">
        <w:rPr>
          <w:lang w:val="fr-CA"/>
        </w:rPr>
        <w:t>[</w:t>
      </w:r>
      <w:r w:rsidRPr="006B5BF6">
        <w:rPr>
          <w:i/>
          <w:lang w:val="fr-CA"/>
        </w:rPr>
        <w:t>Edmonton East</w:t>
      </w:r>
      <w:r w:rsidRPr="00CF0432">
        <w:rPr>
          <w:lang w:val="fr-CA"/>
        </w:rPr>
        <w:t>]</w:t>
      </w:r>
      <w:r w:rsidRPr="006B5BF6">
        <w:rPr>
          <w:lang w:val="fr-CA"/>
        </w:rPr>
        <w:t>, par. 34). Dans les situations où tel était le cas, ou lorsqu</w:t>
      </w:r>
      <w:r>
        <w:rPr>
          <w:lang w:val="fr-CA"/>
        </w:rPr>
        <w:t>’</w:t>
      </w:r>
      <w:r w:rsidRPr="006B5BF6">
        <w:rPr>
          <w:lang w:val="fr-CA"/>
        </w:rPr>
        <w:t>il en a été question par le passé, l</w:t>
      </w:r>
      <w:r>
        <w:rPr>
          <w:lang w:val="fr-CA"/>
        </w:rPr>
        <w:t>’</w:t>
      </w:r>
      <w:r w:rsidRPr="006B5BF6">
        <w:rPr>
          <w:lang w:val="fr-CA"/>
        </w:rPr>
        <w:t xml:space="preserve">analyse ne portait que sur les facteurs déterminants qui révélaient une intention claire du législateur justifiant la réfutation de la présomption (voir, p. ex., </w:t>
      </w:r>
      <w:r w:rsidRPr="006B5BF6">
        <w:rPr>
          <w:i/>
          <w:iCs/>
          <w:lang w:val="fr-CA"/>
        </w:rPr>
        <w:t>Rogers</w:t>
      </w:r>
      <w:r w:rsidRPr="006B5BF6">
        <w:rPr>
          <w:lang w:val="fr-CA"/>
        </w:rPr>
        <w:t xml:space="preserve">, par. 15; </w:t>
      </w:r>
      <w:r w:rsidRPr="006B5BF6">
        <w:rPr>
          <w:i/>
          <w:iCs/>
          <w:lang w:val="fr-CA"/>
        </w:rPr>
        <w:t>Tervita</w:t>
      </w:r>
      <w:r w:rsidRPr="006B5BF6">
        <w:rPr>
          <w:lang w:val="fr-CA"/>
        </w:rPr>
        <w:t>, par. 35</w:t>
      </w:r>
      <w:r w:rsidRPr="006B5BF6">
        <w:rPr>
          <w:lang w:val="fr-CA"/>
        </w:rPr>
        <w:noBreakHyphen/>
        <w:t xml:space="preserve">36; voir également </w:t>
      </w:r>
      <w:r w:rsidRPr="006B5BF6">
        <w:rPr>
          <w:i/>
          <w:iCs/>
          <w:lang w:val="fr-CA"/>
        </w:rPr>
        <w:t>Saguenay</w:t>
      </w:r>
      <w:r w:rsidRPr="006B5BF6">
        <w:rPr>
          <w:lang w:val="fr-CA"/>
        </w:rPr>
        <w:t>,</w:t>
      </w:r>
      <w:r w:rsidRPr="006B5BF6">
        <w:rPr>
          <w:i/>
          <w:iCs/>
          <w:lang w:val="fr-CA"/>
        </w:rPr>
        <w:t xml:space="preserve"> </w:t>
      </w:r>
      <w:r w:rsidRPr="006B5BF6">
        <w:rPr>
          <w:lang w:val="fr-CA"/>
        </w:rPr>
        <w:t>par. 50</w:t>
      </w:r>
      <w:r w:rsidRPr="006B5BF6">
        <w:rPr>
          <w:lang w:val="fr-CA"/>
        </w:rPr>
        <w:noBreakHyphen/>
        <w:t>51).</w:t>
      </w:r>
      <w:r w:rsidRPr="006B5BF6">
        <w:rPr>
          <w:i/>
          <w:lang w:val="fr-CA"/>
        </w:rPr>
        <w:t xml:space="preserve"> </w:t>
      </w:r>
      <w:r w:rsidR="00326B1F">
        <w:rPr>
          <w:lang w:val="fr-CA"/>
        </w:rPr>
        <w:t>[Italique ajouté;</w:t>
      </w:r>
      <w:r w:rsidRPr="006B5BF6">
        <w:rPr>
          <w:lang w:val="fr-CA"/>
        </w:rPr>
        <w:t xml:space="preserve"> par. 46.]</w:t>
      </w:r>
    </w:p>
    <w:p w14:paraId="3C19C787"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En somme, pendant quatre décennies, notre jurisprudence en matière de norme de contrôle a été claire et constante en ce qui concerne le rôle essentiel de l</w:t>
      </w:r>
      <w:r>
        <w:rPr>
          <w:rFonts w:cs="Times New Roman"/>
          <w:lang w:val="fr-CA"/>
        </w:rPr>
        <w:t>’</w:t>
      </w:r>
      <w:r w:rsidRPr="006B5BF6">
        <w:rPr>
          <w:rFonts w:cs="Times New Roman"/>
          <w:lang w:val="fr-CA"/>
        </w:rPr>
        <w:t>expertise spécialisée et le rôle limité des droits d</w:t>
      </w:r>
      <w:r>
        <w:rPr>
          <w:rFonts w:cs="Times New Roman"/>
          <w:lang w:val="fr-CA"/>
        </w:rPr>
        <w:t>’</w:t>
      </w:r>
      <w:r w:rsidRPr="006B5BF6">
        <w:rPr>
          <w:rFonts w:cs="Times New Roman"/>
          <w:lang w:val="fr-CA"/>
        </w:rPr>
        <w:t>appel conférés par la loi. La seule zone d</w:t>
      </w:r>
      <w:r>
        <w:rPr>
          <w:rFonts w:cs="Times New Roman"/>
          <w:lang w:val="fr-CA"/>
        </w:rPr>
        <w:t>’</w:t>
      </w:r>
      <w:r w:rsidRPr="006B5BF6">
        <w:rPr>
          <w:rFonts w:cs="Times New Roman"/>
          <w:lang w:val="fr-CA"/>
        </w:rPr>
        <w:t>ombre qui subsiste a trait à la pertinence des facteurs contextuels énoncés dans l</w:t>
      </w:r>
      <w:r>
        <w:rPr>
          <w:rFonts w:cs="Times New Roman"/>
          <w:lang w:val="fr-CA"/>
        </w:rPr>
        <w:t>’</w:t>
      </w:r>
      <w:r w:rsidRPr="006B5BF6">
        <w:rPr>
          <w:rFonts w:cs="Times New Roman"/>
          <w:lang w:val="fr-CA"/>
        </w:rPr>
        <w:t xml:space="preserve">arrêt </w:t>
      </w:r>
      <w:r w:rsidRPr="006B5BF6">
        <w:rPr>
          <w:rFonts w:cs="Times New Roman"/>
          <w:i/>
          <w:lang w:val="fr-CA"/>
        </w:rPr>
        <w:t>Dunsmuir</w:t>
      </w:r>
      <w:r w:rsidRPr="006B5BF6">
        <w:rPr>
          <w:rFonts w:cs="Times New Roman"/>
          <w:lang w:val="fr-CA"/>
        </w:rPr>
        <w:t>, au sens de l</w:t>
      </w:r>
      <w:r>
        <w:rPr>
          <w:rFonts w:cs="Times New Roman"/>
          <w:lang w:val="fr-CA"/>
        </w:rPr>
        <w:t>’</w:t>
      </w:r>
      <w:r w:rsidRPr="006B5BF6">
        <w:rPr>
          <w:rFonts w:cs="Times New Roman"/>
          <w:lang w:val="fr-CA"/>
        </w:rPr>
        <w:t>expression « questions touchant vraiment à la compétence » et à la meilleure façon de procéder à un contrôle selon la norme de la décision raisonnable. C</w:t>
      </w:r>
      <w:r>
        <w:rPr>
          <w:rFonts w:cs="Times New Roman"/>
          <w:lang w:val="fr-CA"/>
        </w:rPr>
        <w:t>’</w:t>
      </w:r>
      <w:r w:rsidRPr="006B5BF6">
        <w:rPr>
          <w:rFonts w:cs="Times New Roman"/>
          <w:lang w:val="fr-CA"/>
        </w:rPr>
        <w:t>est dans ce contexte que les présents pourvois ont été entendus et plaidés. Mais au lieu d</w:t>
      </w:r>
      <w:r>
        <w:rPr>
          <w:rFonts w:cs="Times New Roman"/>
          <w:lang w:val="fr-CA"/>
        </w:rPr>
        <w:t>’</w:t>
      </w:r>
      <w:r w:rsidRPr="006B5BF6">
        <w:rPr>
          <w:rFonts w:cs="Times New Roman"/>
          <w:lang w:val="fr-CA"/>
        </w:rPr>
        <w:t xml:space="preserve">ajouter une nouvelle scène simplifiée au film, les présents pourvois ont servi de prétexte pour récrire tout le scénario et réattribuer aux </w:t>
      </w:r>
      <w:r>
        <w:rPr>
          <w:rFonts w:cs="Times New Roman"/>
          <w:lang w:val="fr-CA"/>
        </w:rPr>
        <w:t>cours</w:t>
      </w:r>
      <w:r w:rsidRPr="006B5BF6">
        <w:rPr>
          <w:rFonts w:cs="Times New Roman"/>
          <w:lang w:val="fr-CA"/>
        </w:rPr>
        <w:t xml:space="preserve"> judiciaires le rôle principal que Dicey leur avait confié il y a un siècle.</w:t>
      </w:r>
    </w:p>
    <w:p w14:paraId="44085A0A" w14:textId="77777777" w:rsidR="00AE2373" w:rsidRPr="006B5BF6" w:rsidRDefault="00AE2373" w:rsidP="00AE2373">
      <w:pPr>
        <w:pStyle w:val="Title1LevelTitre1Niveau-AltL"/>
        <w:widowControl w:val="0"/>
        <w:numPr>
          <w:ilvl w:val="0"/>
          <w:numId w:val="0"/>
        </w:numPr>
        <w:spacing w:before="0"/>
        <w:ind w:left="576" w:hanging="576"/>
        <w:jc w:val="left"/>
        <w:rPr>
          <w:rFonts w:cs="Times New Roman"/>
          <w:u w:val="none"/>
          <w:lang w:val="fr-CA"/>
        </w:rPr>
      </w:pPr>
      <w:r w:rsidRPr="006B5BF6">
        <w:rPr>
          <w:rFonts w:cs="Times New Roman"/>
          <w:lang w:val="fr-CA"/>
        </w:rPr>
        <w:t>Les motifs de la majorité</w:t>
      </w:r>
    </w:p>
    <w:p w14:paraId="0F72FCDD" w14:textId="328D35C5" w:rsidR="00AE2373" w:rsidRPr="006B5BF6" w:rsidRDefault="00AE2373" w:rsidP="00AE2373">
      <w:pPr>
        <w:pStyle w:val="ParaNoNdepar-AltN"/>
        <w:widowControl w:val="0"/>
        <w:tabs>
          <w:tab w:val="clear" w:pos="1166"/>
          <w:tab w:val="clear" w:pos="1422"/>
          <w:tab w:val="num" w:pos="1152"/>
        </w:tabs>
        <w:spacing w:before="0"/>
        <w:rPr>
          <w:rFonts w:cs="Times New Roman"/>
          <w:lang w:val="fr-CA"/>
        </w:rPr>
      </w:pPr>
      <w:r w:rsidRPr="006B5BF6">
        <w:rPr>
          <w:rFonts w:cs="Times New Roman"/>
          <w:lang w:val="fr-CA"/>
        </w:rPr>
        <w:lastRenderedPageBreak/>
        <w:t>Le cadre établi par la majorité repose sur une conception du contrôle judiciaire qui est à la fois erronée et incomplète et qui néglige sans raison valable l</w:t>
      </w:r>
      <w:r>
        <w:rPr>
          <w:rFonts w:cs="Times New Roman"/>
          <w:lang w:val="fr-CA"/>
        </w:rPr>
        <w:t>’</w:t>
      </w:r>
      <w:r w:rsidRPr="006B5BF6">
        <w:rPr>
          <w:rFonts w:cs="Times New Roman"/>
          <w:lang w:val="fr-CA"/>
        </w:rPr>
        <w:t>expertise spécialisée des décideurs administratifs. Bien que la majorité emploie des termes cautionnant une « présomption d</w:t>
      </w:r>
      <w:r>
        <w:rPr>
          <w:rFonts w:cs="Times New Roman"/>
          <w:lang w:val="fr-CA"/>
        </w:rPr>
        <w:t>’</w:t>
      </w:r>
      <w:r w:rsidRPr="006B5BF6">
        <w:rPr>
          <w:rFonts w:cs="Times New Roman"/>
          <w:lang w:val="fr-CA"/>
        </w:rPr>
        <w:t>application de la norme de la décision raisonnable », cette présomption repose maintenant sur une compréhension totalement nouvelle de l</w:t>
      </w:r>
      <w:r>
        <w:rPr>
          <w:rFonts w:cs="Times New Roman"/>
          <w:lang w:val="fr-CA"/>
        </w:rPr>
        <w:t>’</w:t>
      </w:r>
      <w:r w:rsidRPr="006B5BF6">
        <w:rPr>
          <w:rFonts w:cs="Times New Roman"/>
          <w:lang w:val="fr-CA"/>
        </w:rPr>
        <w:t>intention du législateur et de la primauté du droit. En interdisant toute prise en compte des postulats pourtant bien établis du principe de la déférence, comme « [l</w:t>
      </w:r>
      <w:r>
        <w:rPr>
          <w:rFonts w:cs="Times New Roman"/>
          <w:lang w:val="fr-CA"/>
        </w:rPr>
        <w:t>’</w:t>
      </w:r>
      <w:r w:rsidRPr="006B5BF6">
        <w:rPr>
          <w:rFonts w:cs="Times New Roman"/>
          <w:lang w:val="fr-CA"/>
        </w:rPr>
        <w:t xml:space="preserve">]expertise </w:t>
      </w:r>
      <w:r w:rsidR="00484CC5">
        <w:rPr>
          <w:rFonts w:cs="Times New Roman"/>
          <w:lang w:val="fr-CA"/>
        </w:rPr>
        <w:t>[</w:t>
      </w:r>
      <w:r w:rsidRPr="006B5BF6">
        <w:rPr>
          <w:rFonts w:cs="Times New Roman"/>
          <w:lang w:val="fr-CA"/>
        </w:rPr>
        <w:t>. . .</w:t>
      </w:r>
      <w:r w:rsidR="00484CC5">
        <w:rPr>
          <w:rFonts w:cs="Times New Roman"/>
          <w:lang w:val="fr-CA"/>
        </w:rPr>
        <w:t>]</w:t>
      </w:r>
      <w:r w:rsidRPr="006B5BF6">
        <w:rPr>
          <w:rFonts w:cs="Times New Roman"/>
          <w:lang w:val="fr-CA"/>
        </w:rPr>
        <w:t xml:space="preserve"> l</w:t>
      </w:r>
      <w:r>
        <w:rPr>
          <w:rFonts w:cs="Times New Roman"/>
          <w:lang w:val="fr-CA"/>
        </w:rPr>
        <w:t>’</w:t>
      </w:r>
      <w:r w:rsidRPr="006B5BF6">
        <w:rPr>
          <w:rFonts w:cs="Times New Roman"/>
          <w:lang w:val="fr-CA"/>
        </w:rPr>
        <w:t xml:space="preserve">expérience institutionnelle </w:t>
      </w:r>
      <w:r w:rsidR="00484CC5">
        <w:rPr>
          <w:rFonts w:cs="Times New Roman"/>
          <w:lang w:val="fr-CA"/>
        </w:rPr>
        <w:t>[</w:t>
      </w:r>
      <w:r w:rsidRPr="006B5BF6">
        <w:rPr>
          <w:rFonts w:cs="Times New Roman"/>
          <w:lang w:val="fr-CA"/>
        </w:rPr>
        <w:t>. . .</w:t>
      </w:r>
      <w:r w:rsidR="00484CC5">
        <w:rPr>
          <w:rFonts w:cs="Times New Roman"/>
          <w:lang w:val="fr-CA"/>
        </w:rPr>
        <w:t>]</w:t>
      </w:r>
      <w:r w:rsidRPr="006B5BF6">
        <w:rPr>
          <w:rFonts w:cs="Times New Roman"/>
          <w:lang w:val="fr-CA"/>
        </w:rPr>
        <w:t xml:space="preserve"> la proximité des décideurs et des intervenants ainsi que la réceptivité de ces derniers </w:t>
      </w:r>
      <w:r w:rsidR="00484CC5">
        <w:rPr>
          <w:rFonts w:cs="Times New Roman"/>
          <w:lang w:val="fr-CA"/>
        </w:rPr>
        <w:t>[</w:t>
      </w:r>
      <w:r w:rsidRPr="006B5BF6">
        <w:rPr>
          <w:rFonts w:cs="Times New Roman"/>
          <w:lang w:val="fr-CA"/>
        </w:rPr>
        <w:t>. . .</w:t>
      </w:r>
      <w:r w:rsidR="00484CC5">
        <w:rPr>
          <w:rFonts w:cs="Times New Roman"/>
          <w:lang w:val="fr-CA"/>
        </w:rPr>
        <w:t>]</w:t>
      </w:r>
      <w:r w:rsidRPr="006B5BF6">
        <w:rPr>
          <w:rFonts w:cs="Times New Roman"/>
          <w:lang w:val="fr-CA"/>
        </w:rPr>
        <w:t xml:space="preserve"> la rapidité, la souplesse et l</w:t>
      </w:r>
      <w:r>
        <w:rPr>
          <w:rFonts w:cs="Times New Roman"/>
          <w:lang w:val="fr-CA"/>
        </w:rPr>
        <w:t>’</w:t>
      </w:r>
      <w:r w:rsidRPr="006B5BF6">
        <w:rPr>
          <w:rFonts w:cs="Times New Roman"/>
          <w:lang w:val="fr-CA"/>
        </w:rPr>
        <w:t xml:space="preserve">efficacité et </w:t>
      </w:r>
      <w:r w:rsidR="00484CC5">
        <w:rPr>
          <w:rFonts w:cs="Times New Roman"/>
          <w:lang w:val="fr-CA"/>
        </w:rPr>
        <w:t>[</w:t>
      </w:r>
      <w:r w:rsidRPr="006B5BF6">
        <w:rPr>
          <w:rFonts w:cs="Times New Roman"/>
          <w:lang w:val="fr-CA"/>
        </w:rPr>
        <w:t>. . .</w:t>
      </w:r>
      <w:r w:rsidR="00484CC5">
        <w:rPr>
          <w:rFonts w:cs="Times New Roman"/>
          <w:lang w:val="fr-CA"/>
        </w:rPr>
        <w:t>]</w:t>
      </w:r>
      <w:r w:rsidRPr="006B5BF6">
        <w:rPr>
          <w:rFonts w:cs="Times New Roman"/>
          <w:lang w:val="fr-CA"/>
        </w:rPr>
        <w:t xml:space="preserve"> l</w:t>
      </w:r>
      <w:r>
        <w:rPr>
          <w:rFonts w:cs="Times New Roman"/>
          <w:lang w:val="fr-CA"/>
        </w:rPr>
        <w:t>’</w:t>
      </w:r>
      <w:r w:rsidRPr="006B5BF6">
        <w:rPr>
          <w:rFonts w:cs="Times New Roman"/>
          <w:lang w:val="fr-CA"/>
        </w:rPr>
        <w:t>accès à la justice », la majorité fait fi des fondements de la conception moderne de l</w:t>
      </w:r>
      <w:r>
        <w:rPr>
          <w:rFonts w:cs="Times New Roman"/>
          <w:lang w:val="fr-CA"/>
        </w:rPr>
        <w:t>’</w:t>
      </w:r>
      <w:r w:rsidRPr="006B5BF6">
        <w:rPr>
          <w:rFonts w:cs="Times New Roman"/>
          <w:lang w:val="fr-CA"/>
        </w:rPr>
        <w:t>intention du législateur en droit administratif.</w:t>
      </w:r>
    </w:p>
    <w:p w14:paraId="495B6BD9"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En particulier, cette approche ne tient pas compte de la possibilité que la spécialisation fasse partie intégrante, avec d</w:t>
      </w:r>
      <w:r>
        <w:rPr>
          <w:rFonts w:cs="Times New Roman"/>
          <w:lang w:val="fr-CA"/>
        </w:rPr>
        <w:t>’</w:t>
      </w:r>
      <w:r w:rsidRPr="006B5BF6">
        <w:rPr>
          <w:rFonts w:cs="Times New Roman"/>
          <w:lang w:val="fr-CA"/>
        </w:rPr>
        <w:t>autres avantages, du choix du législateur de déléguer certaines questions à des décideurs administratifs. Pour donner l</w:t>
      </w:r>
      <w:r>
        <w:rPr>
          <w:rFonts w:cs="Times New Roman"/>
          <w:lang w:val="fr-CA"/>
        </w:rPr>
        <w:t>’</w:t>
      </w:r>
      <w:r w:rsidRPr="006B5BF6">
        <w:rPr>
          <w:rFonts w:cs="Times New Roman"/>
          <w:lang w:val="fr-CA"/>
        </w:rPr>
        <w:t xml:space="preserve">effet voulu à la volonté du législateur de « déléguer des pouvoirs » aux décideurs administratifs, il faut comprendre les </w:t>
      </w:r>
      <w:r w:rsidRPr="006B5BF6">
        <w:rPr>
          <w:rFonts w:cs="Times New Roman"/>
          <w:i/>
          <w:iCs/>
          <w:lang w:val="fr-CA"/>
        </w:rPr>
        <w:t xml:space="preserve">avantages </w:t>
      </w:r>
      <w:r w:rsidRPr="006B5BF6">
        <w:rPr>
          <w:rFonts w:cs="Times New Roman"/>
          <w:lang w:val="fr-CA"/>
        </w:rPr>
        <w:t>que peut comporter l</w:t>
      </w:r>
      <w:r>
        <w:rPr>
          <w:rFonts w:cs="Times New Roman"/>
          <w:lang w:val="fr-CA"/>
        </w:rPr>
        <w:t>’</w:t>
      </w:r>
      <w:r w:rsidRPr="006B5BF6">
        <w:rPr>
          <w:rFonts w:cs="Times New Roman"/>
          <w:lang w:val="fr-CA"/>
        </w:rPr>
        <w:t>exercice, par ces décideurs, de leur mandat (</w:t>
      </w:r>
      <w:r w:rsidRPr="006B5BF6">
        <w:rPr>
          <w:rFonts w:cs="Times New Roman"/>
          <w:i/>
          <w:lang w:val="fr-CA"/>
        </w:rPr>
        <w:t>Dunsmuir</w:t>
      </w:r>
      <w:r w:rsidRPr="006B5BF6">
        <w:rPr>
          <w:rFonts w:cs="Times New Roman"/>
          <w:lang w:val="fr-CA"/>
        </w:rPr>
        <w:t>, par. 49). Comme le juge Iacobucci l</w:t>
      </w:r>
      <w:r>
        <w:rPr>
          <w:rFonts w:cs="Times New Roman"/>
          <w:lang w:val="fr-CA"/>
        </w:rPr>
        <w:t>’</w:t>
      </w:r>
      <w:r w:rsidRPr="006B5BF6">
        <w:rPr>
          <w:rFonts w:cs="Times New Roman"/>
          <w:lang w:val="fr-CA"/>
        </w:rPr>
        <w:t>a fait observer dans l</w:t>
      </w:r>
      <w:r>
        <w:rPr>
          <w:rFonts w:cs="Times New Roman"/>
          <w:lang w:val="fr-CA"/>
        </w:rPr>
        <w:t>’</w:t>
      </w:r>
      <w:r w:rsidRPr="006B5BF6">
        <w:rPr>
          <w:rFonts w:cs="Times New Roman"/>
          <w:lang w:val="fr-CA"/>
        </w:rPr>
        <w:t xml:space="preserve">arrêt </w:t>
      </w:r>
      <w:r w:rsidRPr="006B5BF6">
        <w:rPr>
          <w:rFonts w:cs="Times New Roman"/>
          <w:i/>
          <w:lang w:val="fr-CA"/>
        </w:rPr>
        <w:t>Southam </w:t>
      </w:r>
      <w:r w:rsidRPr="006B5BF6">
        <w:rPr>
          <w:rFonts w:cs="Times New Roman"/>
          <w:lang w:val="fr-CA"/>
        </w:rPr>
        <w:t>:</w:t>
      </w:r>
    </w:p>
    <w:p w14:paraId="53453B33" w14:textId="5BAB97D4" w:rsidR="00AE2373" w:rsidRPr="006B5BF6" w:rsidRDefault="00AE2373" w:rsidP="00AE2373">
      <w:pPr>
        <w:pStyle w:val="Citation-AltC"/>
        <w:ind w:hanging="446"/>
        <w:contextualSpacing w:val="0"/>
        <w:rPr>
          <w:lang w:val="fr-CA"/>
        </w:rPr>
      </w:pPr>
      <w:r w:rsidRPr="006B5BF6">
        <w:rPr>
          <w:shd w:val="clear" w:color="auto" w:fill="FFFFFF"/>
          <w:lang w:val="fr-CA"/>
        </w:rPr>
        <w:tab/>
        <w:t>Si le Parlement confie l</w:t>
      </w:r>
      <w:r>
        <w:rPr>
          <w:shd w:val="clear" w:color="auto" w:fill="FFFFFF"/>
          <w:lang w:val="fr-CA"/>
        </w:rPr>
        <w:t>’</w:t>
      </w:r>
      <w:r w:rsidRPr="006B5BF6">
        <w:rPr>
          <w:shd w:val="clear" w:color="auto" w:fill="FFFFFF"/>
          <w:lang w:val="fr-CA"/>
        </w:rPr>
        <w:t>examen de certaines questions à un tribunal administratif plutôt qu</w:t>
      </w:r>
      <w:r>
        <w:rPr>
          <w:shd w:val="clear" w:color="auto" w:fill="FFFFFF"/>
          <w:lang w:val="fr-CA"/>
        </w:rPr>
        <w:t>’</w:t>
      </w:r>
      <w:r w:rsidRPr="006B5BF6">
        <w:rPr>
          <w:shd w:val="clear" w:color="auto" w:fill="FFFFFF"/>
          <w:lang w:val="fr-CA"/>
        </w:rPr>
        <w:t xml:space="preserve">aux tribunaux ordinaires (du moins en première instance), </w:t>
      </w:r>
      <w:r w:rsidRPr="006B5BF6">
        <w:rPr>
          <w:i/>
          <w:iCs/>
          <w:shd w:val="clear" w:color="auto" w:fill="FFFFFF"/>
          <w:lang w:val="fr-CA"/>
        </w:rPr>
        <w:t>il est permis de présumer que c</w:t>
      </w:r>
      <w:r>
        <w:rPr>
          <w:i/>
          <w:iCs/>
          <w:shd w:val="clear" w:color="auto" w:fill="FFFFFF"/>
          <w:lang w:val="fr-CA"/>
        </w:rPr>
        <w:t>’</w:t>
      </w:r>
      <w:r w:rsidRPr="006B5BF6">
        <w:rPr>
          <w:i/>
          <w:iCs/>
          <w:shd w:val="clear" w:color="auto" w:fill="FFFFFF"/>
          <w:lang w:val="fr-CA"/>
        </w:rPr>
        <w:t>est parce que le tribunal administratif apporte un certain avantage que les juges ne sont pas en mesure d</w:t>
      </w:r>
      <w:r>
        <w:rPr>
          <w:i/>
          <w:iCs/>
          <w:shd w:val="clear" w:color="auto" w:fill="FFFFFF"/>
          <w:lang w:val="fr-CA"/>
        </w:rPr>
        <w:t>’</w:t>
      </w:r>
      <w:r w:rsidRPr="006B5BF6">
        <w:rPr>
          <w:i/>
          <w:iCs/>
          <w:shd w:val="clear" w:color="auto" w:fill="FFFFFF"/>
          <w:lang w:val="fr-CA"/>
        </w:rPr>
        <w:t>offrir</w:t>
      </w:r>
      <w:r w:rsidRPr="006B5BF6">
        <w:rPr>
          <w:shd w:val="clear" w:color="auto" w:fill="FFFFFF"/>
          <w:lang w:val="fr-CA"/>
        </w:rPr>
        <w:t>. Pour cette seule raison, le contrôle des décisions d</w:t>
      </w:r>
      <w:r>
        <w:rPr>
          <w:shd w:val="clear" w:color="auto" w:fill="FFFFFF"/>
          <w:lang w:val="fr-CA"/>
        </w:rPr>
        <w:t>’</w:t>
      </w:r>
      <w:r w:rsidRPr="006B5BF6">
        <w:rPr>
          <w:shd w:val="clear" w:color="auto" w:fill="FFFFFF"/>
          <w:lang w:val="fr-CA"/>
        </w:rPr>
        <w:t>un tribunal administratif doit souvent se faire non pas en regard de la norme de la décision correcte, mais en fonction d</w:t>
      </w:r>
      <w:r>
        <w:rPr>
          <w:shd w:val="clear" w:color="auto" w:fill="FFFFFF"/>
          <w:lang w:val="fr-CA"/>
        </w:rPr>
        <w:t>’</w:t>
      </w:r>
      <w:r w:rsidRPr="006B5BF6">
        <w:rPr>
          <w:shd w:val="clear" w:color="auto" w:fill="FFFFFF"/>
          <w:lang w:val="fr-CA"/>
        </w:rPr>
        <w:t>une norme exigeant de faire montre de retenue.</w:t>
      </w:r>
      <w:r w:rsidR="00266002">
        <w:rPr>
          <w:lang w:val="fr-CA"/>
        </w:rPr>
        <w:t xml:space="preserve"> [Italiques ajoutés;</w:t>
      </w:r>
      <w:r w:rsidRPr="006B5BF6">
        <w:rPr>
          <w:lang w:val="fr-CA"/>
        </w:rPr>
        <w:t xml:space="preserve"> par. 55.]</w:t>
      </w:r>
    </w:p>
    <w:p w14:paraId="21FCE56D" w14:textId="4D985709"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lastRenderedPageBreak/>
        <w:t>Parmi ces avantages, mentionnons au premier chef l</w:t>
      </w:r>
      <w:r>
        <w:rPr>
          <w:rFonts w:cs="Times New Roman"/>
          <w:lang w:val="fr-CA"/>
        </w:rPr>
        <w:t>’</w:t>
      </w:r>
      <w:r w:rsidRPr="006B5BF6">
        <w:rPr>
          <w:rFonts w:cs="Times New Roman"/>
          <w:lang w:val="fr-CA"/>
        </w:rPr>
        <w:t>expertise institutionnelle et la spécialisation inhérentes à l</w:t>
      </w:r>
      <w:r>
        <w:rPr>
          <w:rFonts w:cs="Times New Roman"/>
          <w:lang w:val="fr-CA"/>
        </w:rPr>
        <w:t>’</w:t>
      </w:r>
      <w:r w:rsidRPr="006B5BF6">
        <w:rPr>
          <w:rFonts w:cs="Times New Roman"/>
          <w:lang w:val="fr-CA"/>
        </w:rPr>
        <w:t>exécution quotidienne d</w:t>
      </w:r>
      <w:r>
        <w:rPr>
          <w:rFonts w:cs="Times New Roman"/>
          <w:lang w:val="fr-CA"/>
        </w:rPr>
        <w:t>’</w:t>
      </w:r>
      <w:r w:rsidRPr="006B5BF6">
        <w:rPr>
          <w:rFonts w:cs="Times New Roman"/>
          <w:lang w:val="fr-CA"/>
        </w:rPr>
        <w:t>un mandat particulier. Les personnes nommées pour siéger à des tribunaux administratifs sont souvent choisies précisément parce que leurs antécédents et leur expérience cadrent avec le mandat qu</w:t>
      </w:r>
      <w:r>
        <w:rPr>
          <w:rFonts w:cs="Times New Roman"/>
          <w:lang w:val="fr-CA"/>
        </w:rPr>
        <w:t>’</w:t>
      </w:r>
      <w:r w:rsidRPr="006B5BF6">
        <w:rPr>
          <w:rFonts w:cs="Times New Roman"/>
          <w:lang w:val="fr-CA"/>
        </w:rPr>
        <w:t xml:space="preserve">elles sont appelées à remplir (Van Harten et </w:t>
      </w:r>
      <w:r w:rsidR="00B94405">
        <w:rPr>
          <w:rFonts w:cs="Times New Roman"/>
          <w:lang w:val="fr-CA"/>
        </w:rPr>
        <w:t>autres</w:t>
      </w:r>
      <w:r w:rsidRPr="006B5BF6">
        <w:rPr>
          <w:rFonts w:cs="Times New Roman"/>
          <w:lang w:val="fr-CA"/>
        </w:rPr>
        <w:t>, p. 15; Régimbald, p. 463). Certains régimes administratifs assujettissent précisément la nomination de nouveaux membres à la possession par ceux</w:t>
      </w:r>
      <w:r w:rsidRPr="006B5BF6">
        <w:rPr>
          <w:rFonts w:cs="Times New Roman"/>
          <w:lang w:val="fr-CA"/>
        </w:rPr>
        <w:noBreakHyphen/>
        <w:t>ci d</w:t>
      </w:r>
      <w:r>
        <w:rPr>
          <w:rFonts w:cs="Times New Roman"/>
          <w:lang w:val="fr-CA"/>
        </w:rPr>
        <w:t>’</w:t>
      </w:r>
      <w:r w:rsidRPr="006B5BF6">
        <w:rPr>
          <w:rFonts w:cs="Times New Roman"/>
          <w:lang w:val="fr-CA"/>
        </w:rPr>
        <w:t>un certain degré d</w:t>
      </w:r>
      <w:r>
        <w:rPr>
          <w:rFonts w:cs="Times New Roman"/>
          <w:lang w:val="fr-CA"/>
        </w:rPr>
        <w:t>’</w:t>
      </w:r>
      <w:r w:rsidRPr="006B5BF6">
        <w:rPr>
          <w:rFonts w:cs="Times New Roman"/>
          <w:lang w:val="fr-CA"/>
        </w:rPr>
        <w:t>expertise (</w:t>
      </w:r>
      <w:r w:rsidRPr="006B5BF6">
        <w:rPr>
          <w:rFonts w:cs="Times New Roman"/>
          <w:i/>
          <w:lang w:val="fr-CA"/>
        </w:rPr>
        <w:t>Edmonton East</w:t>
      </w:r>
      <w:r w:rsidRPr="006B5BF6">
        <w:rPr>
          <w:rFonts w:cs="Times New Roman"/>
          <w:lang w:val="fr-CA"/>
        </w:rPr>
        <w:t xml:space="preserve">, par. 33; </w:t>
      </w:r>
      <w:r w:rsidRPr="006B5BF6">
        <w:rPr>
          <w:rFonts w:cs="Times New Roman"/>
          <w:i/>
          <w:lang w:val="fr-CA"/>
        </w:rPr>
        <w:t>Dr Q c. College of Physicians and Surgeons of British Columbia</w:t>
      </w:r>
      <w:r w:rsidRPr="006B5BF6">
        <w:rPr>
          <w:rFonts w:cs="Times New Roman"/>
          <w:lang w:val="fr-CA"/>
        </w:rPr>
        <w:t>, [2003] 1 R.C.S. 226, par. 29; Régimbald, p. 462). En tant qu</w:t>
      </w:r>
      <w:r>
        <w:rPr>
          <w:rFonts w:cs="Times New Roman"/>
          <w:lang w:val="fr-CA"/>
        </w:rPr>
        <w:t>’</w:t>
      </w:r>
      <w:r w:rsidRPr="006B5BF6">
        <w:rPr>
          <w:rFonts w:cs="Times New Roman"/>
          <w:lang w:val="fr-CA"/>
        </w:rPr>
        <w:t>institutions, les organismes administratifs ont l</w:t>
      </w:r>
      <w:r>
        <w:rPr>
          <w:rFonts w:cs="Times New Roman"/>
          <w:lang w:val="fr-CA"/>
        </w:rPr>
        <w:t>’</w:t>
      </w:r>
      <w:r w:rsidRPr="006B5BF6">
        <w:rPr>
          <w:rFonts w:cs="Times New Roman"/>
          <w:lang w:val="fr-CA"/>
        </w:rPr>
        <w:t>avantage de se spécialiser au fur et à mesure qu</w:t>
      </w:r>
      <w:r>
        <w:rPr>
          <w:rFonts w:cs="Times New Roman"/>
          <w:lang w:val="fr-CA"/>
        </w:rPr>
        <w:t>’</w:t>
      </w:r>
      <w:r w:rsidRPr="006B5BF6">
        <w:rPr>
          <w:rFonts w:cs="Times New Roman"/>
          <w:lang w:val="fr-CA"/>
        </w:rPr>
        <w:t>ils sont appelés à appliquer « </w:t>
      </w:r>
      <w:r w:rsidRPr="006B5BF6">
        <w:rPr>
          <w:rFonts w:cs="Times New Roman"/>
          <w:shd w:val="clear" w:color="auto" w:fill="FFFFFF"/>
          <w:lang w:val="fr-CA"/>
        </w:rPr>
        <w:t>un régime législatif qui leur est familier »</w:t>
      </w:r>
      <w:r w:rsidRPr="006B5BF6">
        <w:rPr>
          <w:rFonts w:cs="Times New Roman"/>
          <w:lang w:val="fr-CA"/>
        </w:rPr>
        <w:t xml:space="preserve"> </w:t>
      </w:r>
      <w:r w:rsidRPr="006B5BF6">
        <w:rPr>
          <w:rFonts w:cs="Times New Roman"/>
          <w:szCs w:val="24"/>
          <w:lang w:val="fr-CA"/>
        </w:rPr>
        <w:t>(</w:t>
      </w:r>
      <w:r w:rsidRPr="006B5BF6">
        <w:rPr>
          <w:rFonts w:cs="Times New Roman"/>
          <w:i/>
          <w:szCs w:val="24"/>
          <w:lang w:val="fr-CA"/>
        </w:rPr>
        <w:t>Edmonton East</w:t>
      </w:r>
      <w:r w:rsidRPr="006B5BF6">
        <w:rPr>
          <w:rFonts w:cs="Times New Roman"/>
          <w:szCs w:val="24"/>
          <w:lang w:val="fr-CA"/>
        </w:rPr>
        <w:t xml:space="preserve">, par. 33) </w:t>
      </w:r>
      <w:r w:rsidRPr="006B5BF6">
        <w:rPr>
          <w:rFonts w:cs="Times New Roman"/>
          <w:lang w:val="fr-CA"/>
        </w:rPr>
        <w:t>et qu</w:t>
      </w:r>
      <w:r>
        <w:rPr>
          <w:rFonts w:cs="Times New Roman"/>
          <w:lang w:val="fr-CA"/>
        </w:rPr>
        <w:t>’</w:t>
      </w:r>
      <w:r w:rsidRPr="006B5BF6">
        <w:rPr>
          <w:rFonts w:cs="Times New Roman"/>
          <w:lang w:val="fr-CA"/>
        </w:rPr>
        <w:t xml:space="preserve">ils </w:t>
      </w:r>
      <w:r w:rsidRPr="006B5BF6">
        <w:rPr>
          <w:rFonts w:cs="Times New Roman"/>
          <w:szCs w:val="24"/>
          <w:lang w:val="fr-CA"/>
        </w:rPr>
        <w:t>« </w:t>
      </w:r>
      <w:r w:rsidRPr="006B5BF6">
        <w:rPr>
          <w:rFonts w:cs="Times New Roman"/>
          <w:szCs w:val="24"/>
          <w:shd w:val="clear" w:color="auto" w:fill="FFFFFF"/>
          <w:lang w:val="fr-CA"/>
        </w:rPr>
        <w:t>se prononce[nt] sur des questions de façon répétée » (</w:t>
      </w:r>
      <w:r w:rsidRPr="006B5BF6">
        <w:rPr>
          <w:rFonts w:cs="Times New Roman"/>
          <w:i/>
          <w:iCs/>
          <w:szCs w:val="24"/>
          <w:lang w:val="fr-CA"/>
        </w:rPr>
        <w:t>Parry Sound (District), Conseil d</w:t>
      </w:r>
      <w:r>
        <w:rPr>
          <w:rFonts w:cs="Times New Roman"/>
          <w:i/>
          <w:iCs/>
          <w:szCs w:val="24"/>
          <w:lang w:val="fr-CA"/>
        </w:rPr>
        <w:t>’</w:t>
      </w:r>
      <w:r w:rsidRPr="006B5BF6">
        <w:rPr>
          <w:rFonts w:cs="Times New Roman"/>
          <w:i/>
          <w:iCs/>
          <w:szCs w:val="24"/>
          <w:lang w:val="fr-CA"/>
        </w:rPr>
        <w:t xml:space="preserve">administration des services sociaux c. S.E.E.F.P.O., section locale 324, </w:t>
      </w:r>
      <w:r w:rsidRPr="006B5BF6">
        <w:rPr>
          <w:rFonts w:cs="Times New Roman"/>
          <w:szCs w:val="24"/>
          <w:lang w:val="fr-CA"/>
        </w:rPr>
        <w:t>[2003] 2 R.C.S. 157, par. 53). La spécialisation et l</w:t>
      </w:r>
      <w:r>
        <w:rPr>
          <w:rFonts w:cs="Times New Roman"/>
          <w:szCs w:val="24"/>
          <w:lang w:val="fr-CA"/>
        </w:rPr>
        <w:t>’</w:t>
      </w:r>
      <w:r w:rsidRPr="006B5BF6">
        <w:rPr>
          <w:rFonts w:cs="Times New Roman"/>
          <w:szCs w:val="24"/>
          <w:lang w:val="fr-CA"/>
        </w:rPr>
        <w:t xml:space="preserve">expertise sont encore renforcées par la formation continue et par des réunions où les membres des organismes administratifs discutent de politiques </w:t>
      </w:r>
      <w:r w:rsidRPr="006B5BF6">
        <w:rPr>
          <w:rFonts w:cs="Times New Roman"/>
          <w:lang w:val="fr-CA"/>
        </w:rPr>
        <w:t>et de pratiques exemplaires (Finn Makela, « Acquired Expertise of Administrative Tribunals and the Standard of Judicial Review</w:t>
      </w:r>
      <w:r w:rsidR="00D41054">
        <w:rPr>
          <w:rFonts w:cs="Times New Roman"/>
          <w:lang w:val="fr-CA"/>
        </w:rPr>
        <w:t> </w:t>
      </w:r>
      <w:r w:rsidRPr="006B5BF6">
        <w:rPr>
          <w:rFonts w:cs="Times New Roman"/>
          <w:lang w:val="fr-CA"/>
        </w:rPr>
        <w:t xml:space="preserve">: The Case of Grievance Arbitrators and Human Rights Law » (2013), 17 </w:t>
      </w:r>
      <w:r w:rsidRPr="006B5BF6">
        <w:rPr>
          <w:rFonts w:cs="Times New Roman"/>
          <w:i/>
          <w:lang w:val="fr-CA"/>
        </w:rPr>
        <w:t xml:space="preserve">C.L.E.L.J. </w:t>
      </w:r>
      <w:r w:rsidRPr="006B5BF6">
        <w:rPr>
          <w:rFonts w:cs="Times New Roman"/>
          <w:lang w:val="fr-CA"/>
        </w:rPr>
        <w:t>345, p. 349). En outre, la composition mixte de certains tribunaux administratifs favorise le développement d</w:t>
      </w:r>
      <w:r>
        <w:rPr>
          <w:rFonts w:cs="Times New Roman"/>
          <w:lang w:val="fr-CA"/>
        </w:rPr>
        <w:t>’</w:t>
      </w:r>
      <w:r w:rsidRPr="006B5BF6">
        <w:rPr>
          <w:rFonts w:cs="Times New Roman"/>
          <w:lang w:val="fr-CA"/>
        </w:rPr>
        <w:t>une compétence institutionnelle particulière pour régler les différends « polycentriques » (</w:t>
      </w:r>
      <w:r w:rsidRPr="006B5BF6">
        <w:rPr>
          <w:rFonts w:cs="Times New Roman"/>
          <w:i/>
          <w:lang w:val="fr-CA"/>
        </w:rPr>
        <w:t>Pushpanathan</w:t>
      </w:r>
      <w:r w:rsidRPr="006B5BF6">
        <w:rPr>
          <w:rFonts w:cs="Times New Roman"/>
          <w:lang w:val="fr-CA"/>
        </w:rPr>
        <w:t xml:space="preserve">, par. 36; </w:t>
      </w:r>
      <w:r w:rsidRPr="006B5BF6">
        <w:rPr>
          <w:rFonts w:cs="Times New Roman"/>
          <w:i/>
          <w:lang w:val="fr-CA"/>
        </w:rPr>
        <w:t>Dr. Q</w:t>
      </w:r>
      <w:r w:rsidRPr="002B43BF">
        <w:rPr>
          <w:rFonts w:cs="Times New Roman"/>
          <w:lang w:val="fr-CA"/>
        </w:rPr>
        <w:t xml:space="preserve">, </w:t>
      </w:r>
      <w:r w:rsidRPr="006B5BF6">
        <w:rPr>
          <w:rFonts w:cs="Times New Roman"/>
          <w:lang w:val="fr-CA"/>
        </w:rPr>
        <w:t>par. 29</w:t>
      </w:r>
      <w:r w:rsidRPr="006B5BF6">
        <w:rPr>
          <w:rFonts w:cs="Times New Roman"/>
          <w:lang w:val="fr-CA"/>
        </w:rPr>
        <w:noBreakHyphen/>
        <w:t xml:space="preserve">30; </w:t>
      </w:r>
      <w:r w:rsidRPr="006B5BF6">
        <w:rPr>
          <w:rFonts w:cs="Times New Roman"/>
          <w:i/>
          <w:lang w:val="fr-CA"/>
        </w:rPr>
        <w:t>Pezim</w:t>
      </w:r>
      <w:r w:rsidR="00D41054">
        <w:rPr>
          <w:rFonts w:cs="Times New Roman"/>
          <w:lang w:val="fr-CA"/>
        </w:rPr>
        <w:t>, p. 591-</w:t>
      </w:r>
      <w:r w:rsidRPr="006B5BF6">
        <w:rPr>
          <w:rFonts w:cs="Times New Roman"/>
          <w:lang w:val="fr-CA"/>
        </w:rPr>
        <w:t>592 et 596).</w:t>
      </w:r>
    </w:p>
    <w:p w14:paraId="7DFA4E86"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Les décideurs administratifs sont ainsi outillés pour s</w:t>
      </w:r>
      <w:r>
        <w:rPr>
          <w:rFonts w:cs="Times New Roman"/>
          <w:lang w:val="fr-CA"/>
        </w:rPr>
        <w:t>’</w:t>
      </w:r>
      <w:r w:rsidRPr="006B5BF6">
        <w:rPr>
          <w:rFonts w:cs="Times New Roman"/>
          <w:lang w:val="fr-CA"/>
        </w:rPr>
        <w:t>attaquer aux questions de droit relevant de leur mandat. Lorsqu</w:t>
      </w:r>
      <w:r>
        <w:rPr>
          <w:rFonts w:cs="Times New Roman"/>
          <w:lang w:val="fr-CA"/>
        </w:rPr>
        <w:t>’</w:t>
      </w:r>
      <w:r w:rsidRPr="006B5BF6">
        <w:rPr>
          <w:rFonts w:cs="Times New Roman"/>
          <w:lang w:val="fr-CA"/>
        </w:rPr>
        <w:t xml:space="preserve">ils interprètent leur loi habilitante, </w:t>
      </w:r>
      <w:r w:rsidRPr="006B5BF6">
        <w:rPr>
          <w:rFonts w:cs="Times New Roman"/>
          <w:lang w:val="fr-CA"/>
        </w:rPr>
        <w:lastRenderedPageBreak/>
        <w:t>par exemple, les acteurs administratifs sont particulièrement bien placés pour saisir avec justesse les conséquences concrètes d</w:t>
      </w:r>
      <w:r>
        <w:rPr>
          <w:rFonts w:cs="Times New Roman"/>
          <w:lang w:val="fr-CA"/>
        </w:rPr>
        <w:t>’</w:t>
      </w:r>
      <w:r w:rsidRPr="006B5BF6">
        <w:rPr>
          <w:rFonts w:cs="Times New Roman"/>
          <w:lang w:val="fr-CA"/>
        </w:rPr>
        <w:t>interprétations juridiques particulières, le contexte législatif, les objectifs qu</w:t>
      </w:r>
      <w:r>
        <w:rPr>
          <w:rFonts w:cs="Times New Roman"/>
          <w:lang w:val="fr-CA"/>
        </w:rPr>
        <w:t>’</w:t>
      </w:r>
      <w:r w:rsidRPr="006B5BF6">
        <w:rPr>
          <w:rFonts w:cs="Times New Roman"/>
          <w:lang w:val="fr-CA"/>
        </w:rPr>
        <w:t>une disposition ou un régime législatifs sont censés viser et la terminologie spécialisée employée dans leur domaine administratif. Lorsqu</w:t>
      </w:r>
      <w:r>
        <w:rPr>
          <w:rFonts w:cs="Times New Roman"/>
          <w:lang w:val="fr-CA"/>
        </w:rPr>
        <w:t>’</w:t>
      </w:r>
      <w:r w:rsidRPr="006B5BF6">
        <w:rPr>
          <w:rFonts w:cs="Times New Roman"/>
          <w:lang w:val="fr-CA"/>
        </w:rPr>
        <w:t>on y ajoute la reconnaissance par notre Cour du fait que les dispositions législatives se prêtent souvent à de multiples interprétations raisonnables, les avantages conférés par la spécialisation et l</w:t>
      </w:r>
      <w:r>
        <w:rPr>
          <w:rFonts w:cs="Times New Roman"/>
          <w:lang w:val="fr-CA"/>
        </w:rPr>
        <w:t>’</w:t>
      </w:r>
      <w:r w:rsidRPr="006B5BF6">
        <w:rPr>
          <w:rFonts w:cs="Times New Roman"/>
          <w:lang w:val="fr-CA"/>
        </w:rPr>
        <w:t>expertise constituent une raison convaincante de faire preuve de déférence envers les décideurs administratifs sur les questions juridiques relevant de leur mandat (</w:t>
      </w:r>
      <w:r w:rsidRPr="006B5BF6">
        <w:rPr>
          <w:rFonts w:cs="Times New Roman"/>
          <w:i/>
          <w:lang w:val="fr-CA"/>
        </w:rPr>
        <w:t>S.C.F.P.</w:t>
      </w:r>
      <w:r w:rsidRPr="006B5BF6">
        <w:rPr>
          <w:rFonts w:cs="Times New Roman"/>
          <w:lang w:val="fr-CA"/>
        </w:rPr>
        <w:t xml:space="preserve">, p. 236; </w:t>
      </w:r>
      <w:r w:rsidRPr="006B5BF6">
        <w:rPr>
          <w:rFonts w:cs="Times New Roman"/>
          <w:i/>
          <w:lang w:val="fr-CA"/>
        </w:rPr>
        <w:t>McLean</w:t>
      </w:r>
      <w:r w:rsidRPr="006B5BF6">
        <w:rPr>
          <w:rFonts w:cs="Times New Roman"/>
          <w:lang w:val="fr-CA"/>
        </w:rPr>
        <w:t>, par. 37). Ainsi que l</w:t>
      </w:r>
      <w:r>
        <w:rPr>
          <w:rFonts w:cs="Times New Roman"/>
          <w:lang w:val="fr-CA"/>
        </w:rPr>
        <w:t>’</w:t>
      </w:r>
      <w:r w:rsidRPr="006B5BF6">
        <w:rPr>
          <w:rFonts w:cs="Times New Roman"/>
          <w:lang w:val="fr-CA"/>
        </w:rPr>
        <w:t>a dit le professeur H</w:t>
      </w:r>
      <w:r>
        <w:rPr>
          <w:rFonts w:cs="Times New Roman"/>
          <w:lang w:val="fr-CA"/>
        </w:rPr>
        <w:t xml:space="preserve">. W. </w:t>
      </w:r>
      <w:r w:rsidRPr="006B5BF6">
        <w:rPr>
          <w:rFonts w:cs="Times New Roman"/>
          <w:lang w:val="fr-CA"/>
        </w:rPr>
        <w:t>Arthurs :</w:t>
      </w:r>
    </w:p>
    <w:p w14:paraId="48701904" w14:textId="0CDAB711" w:rsidR="00AE2373" w:rsidRPr="006B5BF6" w:rsidRDefault="00AE2373" w:rsidP="002B43BF">
      <w:pPr>
        <w:pStyle w:val="Citation-AltC"/>
        <w:tabs>
          <w:tab w:val="left" w:pos="1710"/>
          <w:tab w:val="left" w:pos="2160"/>
        </w:tabs>
        <w:spacing w:after="240"/>
        <w:ind w:firstLine="4"/>
        <w:contextualSpacing w:val="0"/>
        <w:rPr>
          <w:lang w:val="fr-CA"/>
        </w:rPr>
      </w:pPr>
      <w:r w:rsidRPr="006B5BF6">
        <w:rPr>
          <w:spacing w:val="-3"/>
          <w:shd w:val="clear" w:color="auto" w:fill="FFFFFF"/>
          <w:lang w:val="fr-CA"/>
        </w:rPr>
        <w:tab/>
      </w:r>
      <w:r w:rsidR="002B43BF" w:rsidRPr="006B5BF6">
        <w:rPr>
          <w:lang w:val="fr-CA"/>
        </w:rPr>
        <w:t>[</w:t>
      </w:r>
      <w:r w:rsidR="002B43BF" w:rsidRPr="006B5BF6">
        <w:rPr>
          <w:smallCaps/>
          <w:lang w:val="fr-CA"/>
        </w:rPr>
        <w:t>traduction</w:t>
      </w:r>
      <w:r w:rsidR="002B43BF" w:rsidRPr="006B5BF6">
        <w:rPr>
          <w:lang w:val="fr-CA"/>
        </w:rPr>
        <w:t>]</w:t>
      </w:r>
      <w:r w:rsidR="002B43BF">
        <w:rPr>
          <w:lang w:val="fr-CA"/>
        </w:rPr>
        <w:t xml:space="preserve"> </w:t>
      </w:r>
      <w:r w:rsidRPr="006B5BF6">
        <w:rPr>
          <w:spacing w:val="-3"/>
          <w:shd w:val="clear" w:color="auto" w:fill="FFFFFF"/>
          <w:lang w:val="fr-CA"/>
        </w:rPr>
        <w:t>Il n</w:t>
      </w:r>
      <w:r>
        <w:rPr>
          <w:spacing w:val="-3"/>
          <w:shd w:val="clear" w:color="auto" w:fill="FFFFFF"/>
          <w:lang w:val="fr-CA"/>
        </w:rPr>
        <w:t>’</w:t>
      </w:r>
      <w:r w:rsidRPr="006B5BF6">
        <w:rPr>
          <w:spacing w:val="-3"/>
          <w:shd w:val="clear" w:color="auto" w:fill="FFFFFF"/>
          <w:lang w:val="fr-CA"/>
        </w:rPr>
        <w:t>y a aucune raison de croire que le juge appelé une seule fois dans sa vie à interpréter une loi de nature réglementaire — peut</w:t>
      </w:r>
      <w:r w:rsidRPr="006B5BF6">
        <w:rPr>
          <w:spacing w:val="-3"/>
          <w:shd w:val="clear" w:color="auto" w:fill="FFFFFF"/>
          <w:lang w:val="fr-CA"/>
        </w:rPr>
        <w:noBreakHyphen/>
        <w:t>être dans des conditions très peu enviables — soit en mesure de l</w:t>
      </w:r>
      <w:r>
        <w:rPr>
          <w:spacing w:val="-3"/>
          <w:shd w:val="clear" w:color="auto" w:fill="FFFFFF"/>
          <w:lang w:val="fr-CA"/>
        </w:rPr>
        <w:t>’</w:t>
      </w:r>
      <w:r w:rsidRPr="006B5BF6">
        <w:rPr>
          <w:spacing w:val="-3"/>
          <w:shd w:val="clear" w:color="auto" w:fill="FFFFFF"/>
          <w:lang w:val="fr-CA"/>
        </w:rPr>
        <w:t>interpréter en respectant davantage l</w:t>
      </w:r>
      <w:r>
        <w:rPr>
          <w:spacing w:val="-3"/>
          <w:shd w:val="clear" w:color="auto" w:fill="FFFFFF"/>
          <w:lang w:val="fr-CA"/>
        </w:rPr>
        <w:t>’</w:t>
      </w:r>
      <w:r w:rsidRPr="006B5BF6">
        <w:rPr>
          <w:spacing w:val="-3"/>
          <w:shd w:val="clear" w:color="auto" w:fill="FFFFFF"/>
          <w:lang w:val="fr-CA"/>
        </w:rPr>
        <w:t>objet de la loi que ne le ferait l</w:t>
      </w:r>
      <w:r>
        <w:rPr>
          <w:spacing w:val="-3"/>
          <w:shd w:val="clear" w:color="auto" w:fill="FFFFFF"/>
          <w:lang w:val="fr-CA"/>
        </w:rPr>
        <w:t>’</w:t>
      </w:r>
      <w:r w:rsidRPr="006B5BF6">
        <w:rPr>
          <w:spacing w:val="-3"/>
          <w:shd w:val="clear" w:color="auto" w:fill="FFFFFF"/>
          <w:lang w:val="fr-CA"/>
        </w:rPr>
        <w:t>administrateur qui s</w:t>
      </w:r>
      <w:r>
        <w:rPr>
          <w:spacing w:val="-3"/>
          <w:shd w:val="clear" w:color="auto" w:fill="FFFFFF"/>
          <w:lang w:val="fr-CA"/>
        </w:rPr>
        <w:t>’</w:t>
      </w:r>
      <w:r w:rsidRPr="006B5BF6">
        <w:rPr>
          <w:spacing w:val="-3"/>
          <w:shd w:val="clear" w:color="auto" w:fill="FFFFFF"/>
          <w:lang w:val="fr-CA"/>
        </w:rPr>
        <w:t>est engagé à faire respecter cet objet, qui s</w:t>
      </w:r>
      <w:r>
        <w:rPr>
          <w:spacing w:val="-3"/>
          <w:shd w:val="clear" w:color="auto" w:fill="FFFFFF"/>
          <w:lang w:val="fr-CA"/>
        </w:rPr>
        <w:t>’</w:t>
      </w:r>
      <w:r w:rsidRPr="006B5BF6">
        <w:rPr>
          <w:spacing w:val="-3"/>
          <w:shd w:val="clear" w:color="auto" w:fill="FFFFFF"/>
          <w:lang w:val="fr-CA"/>
        </w:rPr>
        <w:t>efforce chaque jour de le faire et qui est bien conscient de l</w:t>
      </w:r>
      <w:r>
        <w:rPr>
          <w:spacing w:val="-3"/>
          <w:shd w:val="clear" w:color="auto" w:fill="FFFFFF"/>
          <w:lang w:val="fr-CA"/>
        </w:rPr>
        <w:t>’</w:t>
      </w:r>
      <w:r w:rsidRPr="006B5BF6">
        <w:rPr>
          <w:spacing w:val="-3"/>
          <w:shd w:val="clear" w:color="auto" w:fill="FFFFFF"/>
          <w:lang w:val="fr-CA"/>
        </w:rPr>
        <w:t>effet qu</w:t>
      </w:r>
      <w:r>
        <w:rPr>
          <w:spacing w:val="-3"/>
          <w:shd w:val="clear" w:color="auto" w:fill="FFFFFF"/>
          <w:lang w:val="fr-CA"/>
        </w:rPr>
        <w:t>’</w:t>
      </w:r>
      <w:r w:rsidRPr="006B5BF6">
        <w:rPr>
          <w:spacing w:val="-3"/>
          <w:shd w:val="clear" w:color="auto" w:fill="FFFFFF"/>
          <w:lang w:val="fr-CA"/>
        </w:rPr>
        <w:t>auront sur la réalisation de l</w:t>
      </w:r>
      <w:r>
        <w:rPr>
          <w:spacing w:val="-3"/>
          <w:shd w:val="clear" w:color="auto" w:fill="FFFFFF"/>
          <w:lang w:val="fr-CA"/>
        </w:rPr>
        <w:t>’</w:t>
      </w:r>
      <w:r w:rsidRPr="006B5BF6">
        <w:rPr>
          <w:spacing w:val="-3"/>
          <w:shd w:val="clear" w:color="auto" w:fill="FFFFFF"/>
          <w:lang w:val="fr-CA"/>
        </w:rPr>
        <w:t>objet les différentes interprétations possibles. Il n</w:t>
      </w:r>
      <w:r>
        <w:rPr>
          <w:spacing w:val="-3"/>
          <w:shd w:val="clear" w:color="auto" w:fill="FFFFFF"/>
          <w:lang w:val="fr-CA"/>
        </w:rPr>
        <w:t>’</w:t>
      </w:r>
      <w:r w:rsidRPr="006B5BF6">
        <w:rPr>
          <w:spacing w:val="-3"/>
          <w:shd w:val="clear" w:color="auto" w:fill="FFFFFF"/>
          <w:lang w:val="fr-CA"/>
        </w:rPr>
        <w:t>y a aucune raison de croire qu</w:t>
      </w:r>
      <w:r>
        <w:rPr>
          <w:spacing w:val="-3"/>
          <w:shd w:val="clear" w:color="auto" w:fill="FFFFFF"/>
          <w:lang w:val="fr-CA"/>
        </w:rPr>
        <w:t>’</w:t>
      </w:r>
      <w:r w:rsidRPr="006B5BF6">
        <w:rPr>
          <w:spacing w:val="-3"/>
          <w:shd w:val="clear" w:color="auto" w:fill="FFFFFF"/>
          <w:lang w:val="fr-CA"/>
        </w:rPr>
        <w:t>un juge ayant une formation juridique est mieux qualifié pour décider de l</w:t>
      </w:r>
      <w:r>
        <w:rPr>
          <w:spacing w:val="-3"/>
          <w:shd w:val="clear" w:color="auto" w:fill="FFFFFF"/>
          <w:lang w:val="fr-CA"/>
        </w:rPr>
        <w:t>’</w:t>
      </w:r>
      <w:r w:rsidRPr="006B5BF6">
        <w:rPr>
          <w:spacing w:val="-3"/>
          <w:shd w:val="clear" w:color="auto" w:fill="FFFFFF"/>
          <w:lang w:val="fr-CA"/>
        </w:rPr>
        <w:t>existence d</w:t>
      </w:r>
      <w:r>
        <w:rPr>
          <w:spacing w:val="-3"/>
          <w:shd w:val="clear" w:color="auto" w:fill="FFFFFF"/>
          <w:lang w:val="fr-CA"/>
        </w:rPr>
        <w:t>’</w:t>
      </w:r>
      <w:r w:rsidRPr="006B5BF6">
        <w:rPr>
          <w:spacing w:val="-3"/>
          <w:shd w:val="clear" w:color="auto" w:fill="FFFFFF"/>
          <w:lang w:val="fr-CA"/>
        </w:rPr>
        <w:t>éléments de preuve se rapportant à un point donné ou pour se prononcer sur leur caractère suffisant ou leur pertinence que ne l</w:t>
      </w:r>
      <w:r>
        <w:rPr>
          <w:spacing w:val="-3"/>
          <w:shd w:val="clear" w:color="auto" w:fill="FFFFFF"/>
          <w:lang w:val="fr-CA"/>
        </w:rPr>
        <w:t>’</w:t>
      </w:r>
      <w:r w:rsidRPr="006B5BF6">
        <w:rPr>
          <w:spacing w:val="-3"/>
          <w:shd w:val="clear" w:color="auto" w:fill="FFFFFF"/>
          <w:lang w:val="fr-CA"/>
        </w:rPr>
        <w:t>est l</w:t>
      </w:r>
      <w:r>
        <w:rPr>
          <w:spacing w:val="-3"/>
          <w:shd w:val="clear" w:color="auto" w:fill="FFFFFF"/>
          <w:lang w:val="fr-CA"/>
        </w:rPr>
        <w:t>’</w:t>
      </w:r>
      <w:r w:rsidRPr="006B5BF6">
        <w:rPr>
          <w:spacing w:val="-3"/>
          <w:shd w:val="clear" w:color="auto" w:fill="FFFFFF"/>
          <w:lang w:val="fr-CA"/>
        </w:rPr>
        <w:t>économiste ou l</w:t>
      </w:r>
      <w:r>
        <w:rPr>
          <w:spacing w:val="-3"/>
          <w:shd w:val="clear" w:color="auto" w:fill="FFFFFF"/>
          <w:lang w:val="fr-CA"/>
        </w:rPr>
        <w:t>’</w:t>
      </w:r>
      <w:r w:rsidRPr="006B5BF6">
        <w:rPr>
          <w:spacing w:val="-3"/>
          <w:shd w:val="clear" w:color="auto" w:fill="FFFFFF"/>
          <w:lang w:val="fr-CA"/>
        </w:rPr>
        <w:t>ingénieur de formation, l</w:t>
      </w:r>
      <w:r>
        <w:rPr>
          <w:spacing w:val="-3"/>
          <w:shd w:val="clear" w:color="auto" w:fill="FFFFFF"/>
          <w:lang w:val="fr-CA"/>
        </w:rPr>
        <w:t>’</w:t>
      </w:r>
      <w:r w:rsidRPr="006B5BF6">
        <w:rPr>
          <w:spacing w:val="-3"/>
          <w:shd w:val="clear" w:color="auto" w:fill="FFFFFF"/>
          <w:lang w:val="fr-CA"/>
        </w:rPr>
        <w:t>arbitre choisi par les parties ou simplement le membre expérimenté d</w:t>
      </w:r>
      <w:r>
        <w:rPr>
          <w:spacing w:val="-3"/>
          <w:shd w:val="clear" w:color="auto" w:fill="FFFFFF"/>
          <w:lang w:val="fr-CA"/>
        </w:rPr>
        <w:t>’</w:t>
      </w:r>
      <w:r w:rsidRPr="006B5BF6">
        <w:rPr>
          <w:spacing w:val="-3"/>
          <w:shd w:val="clear" w:color="auto" w:fill="FFFFFF"/>
          <w:lang w:val="fr-CA"/>
        </w:rPr>
        <w:t>un tribunal administratif appelé à trancher quotidiennement de tels cas. Il n</w:t>
      </w:r>
      <w:r>
        <w:rPr>
          <w:spacing w:val="-3"/>
          <w:shd w:val="clear" w:color="auto" w:fill="FFFFFF"/>
          <w:lang w:val="fr-CA"/>
        </w:rPr>
        <w:t>’</w:t>
      </w:r>
      <w:r w:rsidRPr="006B5BF6">
        <w:rPr>
          <w:spacing w:val="-3"/>
          <w:shd w:val="clear" w:color="auto" w:fill="FFFFFF"/>
          <w:lang w:val="fr-CA"/>
        </w:rPr>
        <w:t>y a aucune raison de croire qu</w:t>
      </w:r>
      <w:r>
        <w:rPr>
          <w:spacing w:val="-3"/>
          <w:shd w:val="clear" w:color="auto" w:fill="FFFFFF"/>
          <w:lang w:val="fr-CA"/>
        </w:rPr>
        <w:t>’</w:t>
      </w:r>
      <w:r w:rsidRPr="006B5BF6">
        <w:rPr>
          <w:spacing w:val="-3"/>
          <w:shd w:val="clear" w:color="auto" w:fill="FFFFFF"/>
          <w:lang w:val="fr-CA"/>
        </w:rPr>
        <w:t>un juge ayant consacré toute sa carrière à régler un seul litige à la fois possède une aptitude à trancher des questions qui, souvent, naissent du fait qu</w:t>
      </w:r>
      <w:r>
        <w:rPr>
          <w:spacing w:val="-3"/>
          <w:shd w:val="clear" w:color="auto" w:fill="FFFFFF"/>
          <w:lang w:val="fr-CA"/>
        </w:rPr>
        <w:t>’</w:t>
      </w:r>
      <w:r w:rsidRPr="006B5BF6">
        <w:rPr>
          <w:spacing w:val="-3"/>
          <w:shd w:val="clear" w:color="auto" w:fill="FFFFFF"/>
          <w:lang w:val="fr-CA"/>
        </w:rPr>
        <w:t>un organisme administratif qui traite des affaires en grand nombre est conçu pour d</w:t>
      </w:r>
      <w:r>
        <w:rPr>
          <w:spacing w:val="-3"/>
          <w:shd w:val="clear" w:color="auto" w:fill="FFFFFF"/>
          <w:lang w:val="fr-CA"/>
        </w:rPr>
        <w:t>’</w:t>
      </w:r>
      <w:r w:rsidRPr="006B5BF6">
        <w:rPr>
          <w:spacing w:val="-3"/>
          <w:shd w:val="clear" w:color="auto" w:fill="FFFFFF"/>
          <w:lang w:val="fr-CA"/>
        </w:rPr>
        <w:t>établir un juste équilibre entre l</w:t>
      </w:r>
      <w:r>
        <w:rPr>
          <w:spacing w:val="-3"/>
          <w:shd w:val="clear" w:color="auto" w:fill="FFFFFF"/>
          <w:lang w:val="fr-CA"/>
        </w:rPr>
        <w:t>’</w:t>
      </w:r>
      <w:r w:rsidRPr="006B5BF6">
        <w:rPr>
          <w:spacing w:val="-3"/>
          <w:shd w:val="clear" w:color="auto" w:fill="FFFFFF"/>
          <w:lang w:val="fr-CA"/>
        </w:rPr>
        <w:t xml:space="preserve">efficacité et les droits effectifs de </w:t>
      </w:r>
      <w:r w:rsidRPr="006B5BF6">
        <w:rPr>
          <w:lang w:val="fr-CA"/>
        </w:rPr>
        <w:t>participation.</w:t>
      </w:r>
    </w:p>
    <w:p w14:paraId="0F7C9D33" w14:textId="331666A1" w:rsidR="00AE2373" w:rsidRPr="006B5BF6" w:rsidRDefault="00AE2373" w:rsidP="00FD2D08">
      <w:pPr>
        <w:pStyle w:val="Citation-AltC"/>
        <w:ind w:left="0"/>
        <w:contextualSpacing w:val="0"/>
        <w:rPr>
          <w:lang w:val="fr-CA"/>
        </w:rPr>
      </w:pPr>
      <w:r w:rsidRPr="006B5BF6">
        <w:rPr>
          <w:lang w:val="fr-CA"/>
        </w:rPr>
        <w:t xml:space="preserve">(« Protection </w:t>
      </w:r>
      <w:r w:rsidR="009F645F">
        <w:rPr>
          <w:lang w:val="fr-CA"/>
        </w:rPr>
        <w:t>a</w:t>
      </w:r>
      <w:r w:rsidRPr="006B5BF6">
        <w:rPr>
          <w:lang w:val="fr-CA"/>
        </w:rPr>
        <w:t xml:space="preserve">gainst Judicial Review » (1983), 43 </w:t>
      </w:r>
      <w:r w:rsidRPr="006B5BF6">
        <w:rPr>
          <w:i/>
          <w:lang w:val="fr-CA"/>
        </w:rPr>
        <w:t xml:space="preserve">R. du B. </w:t>
      </w:r>
      <w:r w:rsidRPr="006B5BF6">
        <w:rPr>
          <w:lang w:val="fr-CA"/>
        </w:rPr>
        <w:t>277, p. 289)</w:t>
      </w:r>
    </w:p>
    <w:p w14:paraId="3AA772D6"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Des juges de notre Cour ont souscrit à ce passage, ainsi qu</w:t>
      </w:r>
      <w:r>
        <w:rPr>
          <w:rFonts w:cs="Times New Roman"/>
          <w:lang w:val="fr-CA"/>
        </w:rPr>
        <w:t>’</w:t>
      </w:r>
      <w:r w:rsidRPr="006B5BF6">
        <w:rPr>
          <w:rFonts w:cs="Times New Roman"/>
          <w:lang w:val="fr-CA"/>
        </w:rPr>
        <w:t>à l</w:t>
      </w:r>
      <w:r>
        <w:rPr>
          <w:rFonts w:cs="Times New Roman"/>
          <w:lang w:val="fr-CA"/>
        </w:rPr>
        <w:t>’</w:t>
      </w:r>
      <w:r w:rsidRPr="006B5BF6">
        <w:rPr>
          <w:rFonts w:cs="Times New Roman"/>
          <w:lang w:val="fr-CA"/>
        </w:rPr>
        <w:t>idée plus générale suivant laquelle la spécialisation et l</w:t>
      </w:r>
      <w:r>
        <w:rPr>
          <w:rFonts w:cs="Times New Roman"/>
          <w:lang w:val="fr-CA"/>
        </w:rPr>
        <w:t>’</w:t>
      </w:r>
      <w:r w:rsidRPr="006B5BF6">
        <w:rPr>
          <w:rFonts w:cs="Times New Roman"/>
          <w:lang w:val="fr-CA"/>
        </w:rPr>
        <w:t>expertise justifient la déférence due aux décideurs administratifs (</w:t>
      </w:r>
      <w:r w:rsidRPr="006B5BF6">
        <w:rPr>
          <w:rFonts w:cs="Times New Roman"/>
          <w:i/>
          <w:lang w:val="fr-CA"/>
        </w:rPr>
        <w:t>National Corn Growers</w:t>
      </w:r>
      <w:r w:rsidRPr="006B5BF6">
        <w:rPr>
          <w:rFonts w:cs="Times New Roman"/>
          <w:lang w:val="fr-CA"/>
        </w:rPr>
        <w:t xml:space="preserve">, p. 1343, motifs concordants de la </w:t>
      </w:r>
      <w:r w:rsidRPr="006B5BF6">
        <w:rPr>
          <w:rFonts w:cs="Times New Roman"/>
          <w:lang w:val="fr-CA"/>
        </w:rPr>
        <w:lastRenderedPageBreak/>
        <w:t>juge Wilson). Déjà dans l</w:t>
      </w:r>
      <w:r>
        <w:rPr>
          <w:rFonts w:cs="Times New Roman"/>
          <w:lang w:val="fr-CA"/>
        </w:rPr>
        <w:t>’</w:t>
      </w:r>
      <w:r w:rsidRPr="006B5BF6">
        <w:rPr>
          <w:rFonts w:cs="Times New Roman"/>
          <w:lang w:val="fr-CA"/>
        </w:rPr>
        <w:t xml:space="preserve">arrêt </w:t>
      </w:r>
      <w:r w:rsidRPr="006B5BF6">
        <w:rPr>
          <w:rFonts w:cs="Times New Roman"/>
          <w:i/>
          <w:lang w:val="fr-CA"/>
        </w:rPr>
        <w:t>S.C.F.P.</w:t>
      </w:r>
      <w:r w:rsidRPr="006B5BF6">
        <w:rPr>
          <w:rFonts w:cs="Times New Roman"/>
          <w:lang w:val="fr-CA"/>
        </w:rPr>
        <w:t>, le juge Dickson fusionnait l</w:t>
      </w:r>
      <w:r>
        <w:rPr>
          <w:rFonts w:cs="Times New Roman"/>
          <w:lang w:val="fr-CA"/>
        </w:rPr>
        <w:t>’</w:t>
      </w:r>
      <w:r w:rsidRPr="006B5BF6">
        <w:rPr>
          <w:rFonts w:cs="Times New Roman"/>
          <w:lang w:val="fr-CA"/>
        </w:rPr>
        <w:t>expertise et l</w:t>
      </w:r>
      <w:r>
        <w:rPr>
          <w:rFonts w:cs="Times New Roman"/>
          <w:lang w:val="fr-CA"/>
        </w:rPr>
        <w:t>’</w:t>
      </w:r>
      <w:r w:rsidRPr="006B5BF6">
        <w:rPr>
          <w:rFonts w:cs="Times New Roman"/>
          <w:lang w:val="fr-CA"/>
        </w:rPr>
        <w:t>intention du législateur en expliquant que l</w:t>
      </w:r>
      <w:r>
        <w:rPr>
          <w:rFonts w:cs="Times New Roman"/>
          <w:lang w:val="fr-CA"/>
        </w:rPr>
        <w:t>’</w:t>
      </w:r>
      <w:r w:rsidRPr="006B5BF6">
        <w:rPr>
          <w:rFonts w:cs="Times New Roman"/>
          <w:lang w:val="fr-CA"/>
        </w:rPr>
        <w:t>expertise spécialisée d</w:t>
      </w:r>
      <w:r>
        <w:rPr>
          <w:rFonts w:cs="Times New Roman"/>
          <w:lang w:val="fr-CA"/>
        </w:rPr>
        <w:t>’</w:t>
      </w:r>
      <w:r w:rsidRPr="006B5BF6">
        <w:rPr>
          <w:rFonts w:cs="Times New Roman"/>
          <w:lang w:val="fr-CA"/>
        </w:rPr>
        <w:t>un organisme administratif pouvait s</w:t>
      </w:r>
      <w:r>
        <w:rPr>
          <w:rFonts w:cs="Times New Roman"/>
          <w:lang w:val="fr-CA"/>
        </w:rPr>
        <w:t>’</w:t>
      </w:r>
      <w:r w:rsidRPr="006B5BF6">
        <w:rPr>
          <w:rFonts w:cs="Times New Roman"/>
          <w:lang w:val="fr-CA"/>
        </w:rPr>
        <w:t>avérer essentielle à la réalisation des objectifs du régime législatif en cause :</w:t>
      </w:r>
    </w:p>
    <w:p w14:paraId="44ED5641" w14:textId="77777777" w:rsidR="00AE2373" w:rsidRPr="006B5BF6" w:rsidRDefault="00AE2373" w:rsidP="00AE2373">
      <w:pPr>
        <w:pStyle w:val="Citation-AltC"/>
        <w:ind w:hanging="446"/>
        <w:contextualSpacing w:val="0"/>
        <w:rPr>
          <w:lang w:val="fr-CA"/>
        </w:rPr>
      </w:pPr>
      <w:r w:rsidRPr="006B5BF6">
        <w:rPr>
          <w:lang w:val="fr-CA"/>
        </w:rPr>
        <w:tab/>
        <w:t xml:space="preserve">Cette loi établit un équilibre délicat entre le besoin de maintenir des services publics et le besoin de préserver la négociation collective. </w:t>
      </w:r>
      <w:r w:rsidRPr="006B5BF6">
        <w:rPr>
          <w:shd w:val="clear" w:color="auto" w:fill="FFFFFF"/>
          <w:lang w:val="fr-CA"/>
        </w:rPr>
        <w:t>Pour atteindre ce double but, les membres de la Commission doivent donc faire preuve d</w:t>
      </w:r>
      <w:r>
        <w:rPr>
          <w:shd w:val="clear" w:color="auto" w:fill="FFFFFF"/>
          <w:lang w:val="fr-CA"/>
        </w:rPr>
        <w:t>’</w:t>
      </w:r>
      <w:r w:rsidRPr="006B5BF6">
        <w:rPr>
          <w:shd w:val="clear" w:color="auto" w:fill="FFFFFF"/>
          <w:lang w:val="fr-CA"/>
        </w:rPr>
        <w:t>une grande sensibilité à ces questions et d</w:t>
      </w:r>
      <w:r>
        <w:rPr>
          <w:shd w:val="clear" w:color="auto" w:fill="FFFFFF"/>
          <w:lang w:val="fr-CA"/>
        </w:rPr>
        <w:t>’</w:t>
      </w:r>
      <w:r w:rsidRPr="006B5BF6">
        <w:rPr>
          <w:shd w:val="clear" w:color="auto" w:fill="FFFFFF"/>
          <w:lang w:val="fr-CA"/>
        </w:rPr>
        <w:t>une habileté unique.</w:t>
      </w:r>
      <w:r w:rsidRPr="006B5BF6">
        <w:rPr>
          <w:lang w:val="fr-CA"/>
        </w:rPr>
        <w:t xml:space="preserve"> [p. 236]</w:t>
      </w:r>
    </w:p>
    <w:p w14:paraId="6012E5A3" w14:textId="69E02F3A"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Avec le temps, l</w:t>
      </w:r>
      <w:r>
        <w:rPr>
          <w:rFonts w:cs="Times New Roman"/>
          <w:lang w:val="fr-CA"/>
        </w:rPr>
        <w:t>’</w:t>
      </w:r>
      <w:r w:rsidRPr="006B5BF6">
        <w:rPr>
          <w:rFonts w:cs="Times New Roman"/>
          <w:lang w:val="fr-CA"/>
        </w:rPr>
        <w:t>expertise spécialisée est devenue</w:t>
      </w:r>
      <w:r w:rsidRPr="006B5BF6" w:rsidDel="009C4C64">
        <w:rPr>
          <w:rFonts w:cs="Times New Roman"/>
          <w:lang w:val="fr-CA"/>
        </w:rPr>
        <w:t xml:space="preserve"> </w:t>
      </w:r>
      <w:r w:rsidRPr="006B5BF6">
        <w:rPr>
          <w:rFonts w:cs="Times New Roman"/>
          <w:lang w:val="fr-CA"/>
        </w:rPr>
        <w:t xml:space="preserve">la principale raison invoquée pour justifier la déférence envers les décideurs administratifs </w:t>
      </w:r>
      <w:r w:rsidRPr="006B5BF6" w:rsidDel="009C4C64">
        <w:rPr>
          <w:rFonts w:cs="Times New Roman"/>
          <w:lang w:val="fr-CA"/>
        </w:rPr>
        <w:t>(</w:t>
      </w:r>
      <w:r w:rsidRPr="006B5BF6" w:rsidDel="009C4C64">
        <w:rPr>
          <w:rFonts w:cs="Times New Roman"/>
          <w:i/>
          <w:lang w:val="fr-CA"/>
        </w:rPr>
        <w:t>Bradco Construction</w:t>
      </w:r>
      <w:r w:rsidRPr="006B5BF6" w:rsidDel="009C4C64">
        <w:rPr>
          <w:rFonts w:cs="Times New Roman"/>
          <w:lang w:val="fr-CA"/>
        </w:rPr>
        <w:t xml:space="preserve">, </w:t>
      </w:r>
      <w:r w:rsidRPr="006B5BF6">
        <w:rPr>
          <w:rFonts w:cs="Times New Roman"/>
          <w:lang w:val="fr-CA"/>
        </w:rPr>
        <w:t>p. </w:t>
      </w:r>
      <w:r w:rsidRPr="006B5BF6" w:rsidDel="009C4C64">
        <w:rPr>
          <w:rFonts w:cs="Times New Roman"/>
          <w:lang w:val="fr-CA"/>
        </w:rPr>
        <w:t xml:space="preserve">335; </w:t>
      </w:r>
      <w:r w:rsidRPr="006B5BF6" w:rsidDel="009C4C64">
        <w:rPr>
          <w:rFonts w:cs="Times New Roman"/>
          <w:i/>
          <w:lang w:val="fr-CA"/>
        </w:rPr>
        <w:t>Southam</w:t>
      </w:r>
      <w:r w:rsidRPr="006B5BF6" w:rsidDel="009C4C64">
        <w:rPr>
          <w:rFonts w:cs="Times New Roman"/>
          <w:lang w:val="fr-CA"/>
        </w:rPr>
        <w:t xml:space="preserve">, </w:t>
      </w:r>
      <w:r w:rsidRPr="006B5BF6">
        <w:rPr>
          <w:rFonts w:cs="Times New Roman"/>
          <w:lang w:val="fr-CA"/>
        </w:rPr>
        <w:t>par. </w:t>
      </w:r>
      <w:r w:rsidRPr="006B5BF6" w:rsidDel="009C4C64">
        <w:rPr>
          <w:rFonts w:cs="Times New Roman"/>
          <w:lang w:val="fr-CA"/>
        </w:rPr>
        <w:t xml:space="preserve">50; Audrey Macklin, </w:t>
      </w:r>
      <w:r w:rsidRPr="006B5BF6">
        <w:rPr>
          <w:rFonts w:cs="Times New Roman"/>
          <w:lang w:val="fr-CA"/>
        </w:rPr>
        <w:t>« </w:t>
      </w:r>
      <w:r w:rsidRPr="006B5BF6" w:rsidDel="009C4C64">
        <w:rPr>
          <w:rFonts w:cs="Times New Roman"/>
          <w:lang w:val="fr-CA"/>
        </w:rPr>
        <w:t>Standard of Review</w:t>
      </w:r>
      <w:r w:rsidR="00A110A3">
        <w:rPr>
          <w:rFonts w:cs="Times New Roman"/>
          <w:lang w:val="fr-CA"/>
        </w:rPr>
        <w:t> </w:t>
      </w:r>
      <w:r w:rsidRPr="006B5BF6" w:rsidDel="009C4C64">
        <w:rPr>
          <w:rFonts w:cs="Times New Roman"/>
          <w:lang w:val="fr-CA"/>
        </w:rPr>
        <w:t>: Back to the Future?</w:t>
      </w:r>
      <w:r w:rsidRPr="006B5BF6">
        <w:rPr>
          <w:rFonts w:cs="Times New Roman"/>
          <w:lang w:val="fr-CA"/>
        </w:rPr>
        <w:t> »</w:t>
      </w:r>
      <w:r w:rsidRPr="006B5BF6" w:rsidDel="009C4C64">
        <w:rPr>
          <w:rFonts w:cs="Times New Roman"/>
          <w:lang w:val="fr-CA"/>
        </w:rPr>
        <w:t xml:space="preserve"> </w:t>
      </w:r>
      <w:r w:rsidRPr="006B5BF6">
        <w:rPr>
          <w:rFonts w:cs="Times New Roman"/>
          <w:lang w:val="fr-CA"/>
        </w:rPr>
        <w:t xml:space="preserve">dans </w:t>
      </w:r>
      <w:r>
        <w:rPr>
          <w:rFonts w:cs="Times New Roman"/>
          <w:lang w:val="fr-CA"/>
        </w:rPr>
        <w:t>Colleen M. </w:t>
      </w:r>
      <w:r w:rsidRPr="006B5BF6" w:rsidDel="009C4C64">
        <w:rPr>
          <w:rFonts w:cs="Times New Roman"/>
          <w:lang w:val="fr-CA"/>
        </w:rPr>
        <w:t xml:space="preserve">Flood </w:t>
      </w:r>
      <w:r w:rsidRPr="006B5BF6">
        <w:rPr>
          <w:rFonts w:cs="Times New Roman"/>
          <w:lang w:val="fr-CA"/>
        </w:rPr>
        <w:t>et</w:t>
      </w:r>
      <w:r w:rsidRPr="006B5BF6" w:rsidDel="009C4C64">
        <w:rPr>
          <w:rFonts w:cs="Times New Roman"/>
          <w:lang w:val="fr-CA"/>
        </w:rPr>
        <w:t xml:space="preserve"> Lorne Sossin</w:t>
      </w:r>
      <w:r w:rsidR="00FD2D08">
        <w:rPr>
          <w:rFonts w:cs="Times New Roman"/>
          <w:lang w:val="fr-CA"/>
        </w:rPr>
        <w:t xml:space="preserve">, </w:t>
      </w:r>
      <w:r w:rsidRPr="006B5BF6">
        <w:rPr>
          <w:rFonts w:cs="Times New Roman"/>
          <w:lang w:val="fr-CA"/>
        </w:rPr>
        <w:t>dir</w:t>
      </w:r>
      <w:r w:rsidRPr="006B5BF6" w:rsidDel="009C4C64">
        <w:rPr>
          <w:rFonts w:cs="Times New Roman"/>
          <w:lang w:val="fr-CA"/>
        </w:rPr>
        <w:t>.</w:t>
      </w:r>
      <w:r w:rsidRPr="006B5BF6">
        <w:rPr>
          <w:rFonts w:cs="Times New Roman"/>
          <w:lang w:val="fr-CA"/>
        </w:rPr>
        <w:t xml:space="preserve">, </w:t>
      </w:r>
      <w:r w:rsidRPr="006B5BF6">
        <w:rPr>
          <w:rFonts w:cs="Times New Roman"/>
          <w:i/>
          <w:lang w:val="fr-CA"/>
        </w:rPr>
        <w:t>Administrative Law in Context</w:t>
      </w:r>
      <w:r w:rsidRPr="006B5BF6" w:rsidDel="009C4C64">
        <w:rPr>
          <w:rFonts w:cs="Times New Roman"/>
          <w:lang w:val="fr-CA"/>
        </w:rPr>
        <w:t xml:space="preserve"> (</w:t>
      </w:r>
      <w:r w:rsidRPr="006B5BF6">
        <w:rPr>
          <w:rFonts w:cs="Times New Roman"/>
          <w:lang w:val="fr-CA"/>
        </w:rPr>
        <w:t>3</w:t>
      </w:r>
      <w:r w:rsidRPr="006B5BF6">
        <w:rPr>
          <w:rFonts w:cs="Times New Roman"/>
          <w:vertAlign w:val="superscript"/>
          <w:lang w:val="fr-CA"/>
        </w:rPr>
        <w:t>e</w:t>
      </w:r>
      <w:r w:rsidR="00FD2D08">
        <w:rPr>
          <w:rFonts w:cs="Times New Roman"/>
          <w:lang w:val="fr-CA"/>
        </w:rPr>
        <w:t xml:space="preserve"> éd.</w:t>
      </w:r>
      <w:r w:rsidRPr="006B5BF6">
        <w:rPr>
          <w:rFonts w:cs="Times New Roman"/>
          <w:lang w:val="fr-CA"/>
        </w:rPr>
        <w:t xml:space="preserve"> </w:t>
      </w:r>
      <w:r w:rsidRPr="006B5BF6" w:rsidDel="009C4C64">
        <w:rPr>
          <w:rFonts w:cs="Times New Roman"/>
          <w:lang w:val="fr-CA"/>
        </w:rPr>
        <w:t>201</w:t>
      </w:r>
      <w:r w:rsidRPr="006B5BF6">
        <w:rPr>
          <w:rFonts w:cs="Times New Roman"/>
          <w:lang w:val="fr-CA"/>
        </w:rPr>
        <w:t>8</w:t>
      </w:r>
      <w:r w:rsidRPr="006B5BF6" w:rsidDel="009C4C64">
        <w:rPr>
          <w:rFonts w:cs="Times New Roman"/>
          <w:lang w:val="fr-CA"/>
        </w:rPr>
        <w:t xml:space="preserve">), </w:t>
      </w:r>
      <w:r w:rsidRPr="006B5BF6">
        <w:rPr>
          <w:rFonts w:cs="Times New Roman"/>
          <w:lang w:val="fr-CA"/>
        </w:rPr>
        <w:t>381, p. 397</w:t>
      </w:r>
      <w:r w:rsidRPr="006B5BF6">
        <w:rPr>
          <w:rFonts w:cs="Times New Roman"/>
          <w:lang w:val="fr-CA"/>
        </w:rPr>
        <w:noBreakHyphen/>
        <w:t>398</w:t>
      </w:r>
      <w:r w:rsidRPr="006B5BF6" w:rsidDel="009C4C64">
        <w:rPr>
          <w:rFonts w:cs="Times New Roman"/>
          <w:lang w:val="fr-CA"/>
        </w:rPr>
        <w:t>).</w:t>
      </w:r>
      <w:r w:rsidRPr="006B5BF6">
        <w:rPr>
          <w:rFonts w:cs="Times New Roman"/>
          <w:lang w:val="fr-CA"/>
        </w:rPr>
        <w:t xml:space="preserve"> Depuis l</w:t>
      </w:r>
      <w:r>
        <w:rPr>
          <w:rFonts w:cs="Times New Roman"/>
          <w:lang w:val="fr-CA"/>
        </w:rPr>
        <w:t>’</w:t>
      </w:r>
      <w:r w:rsidRPr="006B5BF6">
        <w:rPr>
          <w:rFonts w:cs="Times New Roman"/>
          <w:lang w:val="fr-CA"/>
        </w:rPr>
        <w:t xml:space="preserve">arrêt </w:t>
      </w:r>
      <w:r w:rsidRPr="006B5BF6">
        <w:rPr>
          <w:rFonts w:cs="Times New Roman"/>
          <w:i/>
          <w:lang w:val="fr-CA"/>
        </w:rPr>
        <w:t>Dunsmuir</w:t>
      </w:r>
      <w:r w:rsidRPr="006B5BF6">
        <w:rPr>
          <w:rFonts w:cs="Times New Roman"/>
          <w:lang w:val="fr-CA"/>
        </w:rPr>
        <w:t>, la Cour</w:t>
      </w:r>
      <w:r w:rsidRPr="006B5BF6">
        <w:rPr>
          <w:rFonts w:cs="Times New Roman"/>
          <w:i/>
          <w:lang w:val="fr-CA"/>
        </w:rPr>
        <w:t xml:space="preserve"> </w:t>
      </w:r>
      <w:r w:rsidRPr="006B5BF6">
        <w:rPr>
          <w:rFonts w:cs="Times New Roman"/>
          <w:lang w:val="fr-CA"/>
        </w:rPr>
        <w:t>n</w:t>
      </w:r>
      <w:r>
        <w:rPr>
          <w:rFonts w:cs="Times New Roman"/>
          <w:lang w:val="fr-CA"/>
        </w:rPr>
        <w:t>’</w:t>
      </w:r>
      <w:r w:rsidRPr="006B5BF6">
        <w:rPr>
          <w:rFonts w:cs="Times New Roman"/>
          <w:lang w:val="fr-CA"/>
        </w:rPr>
        <w:t>a cessé de confirmer le rôle central que jouent la spécialisation et l</w:t>
      </w:r>
      <w:r>
        <w:rPr>
          <w:rFonts w:cs="Times New Roman"/>
          <w:lang w:val="fr-CA"/>
        </w:rPr>
        <w:t>’</w:t>
      </w:r>
      <w:r w:rsidRPr="006B5BF6">
        <w:rPr>
          <w:rFonts w:cs="Times New Roman"/>
          <w:lang w:val="fr-CA"/>
        </w:rPr>
        <w:t>expertise, de confirmer le lien entre celles</w:t>
      </w:r>
      <w:r w:rsidRPr="006B5BF6">
        <w:rPr>
          <w:rFonts w:cs="Times New Roman"/>
          <w:lang w:val="fr-CA"/>
        </w:rPr>
        <w:noBreakHyphen/>
        <w:t>ci et l</w:t>
      </w:r>
      <w:r>
        <w:rPr>
          <w:rFonts w:cs="Times New Roman"/>
          <w:lang w:val="fr-CA"/>
        </w:rPr>
        <w:t>’</w:t>
      </w:r>
      <w:r w:rsidRPr="006B5BF6">
        <w:rPr>
          <w:rFonts w:cs="Times New Roman"/>
          <w:lang w:val="fr-CA"/>
        </w:rPr>
        <w:t>intention du législateur et de reconnaître qu</w:t>
      </w:r>
      <w:r>
        <w:rPr>
          <w:rFonts w:cs="Times New Roman"/>
          <w:lang w:val="fr-CA"/>
        </w:rPr>
        <w:t>’</w:t>
      </w:r>
      <w:r w:rsidRPr="006B5BF6">
        <w:rPr>
          <w:rFonts w:cs="Times New Roman"/>
          <w:lang w:val="fr-CA"/>
        </w:rPr>
        <w:t>elles confèrent aux décideurs administratifs un « privilège en matière d</w:t>
      </w:r>
      <w:r>
        <w:rPr>
          <w:rFonts w:cs="Times New Roman"/>
          <w:lang w:val="fr-CA"/>
        </w:rPr>
        <w:t>’</w:t>
      </w:r>
      <w:r w:rsidRPr="006B5BF6">
        <w:rPr>
          <w:rFonts w:cs="Times New Roman"/>
          <w:lang w:val="fr-CA"/>
        </w:rPr>
        <w:t>interprétation » sur les questions de droit (</w:t>
      </w:r>
      <w:r w:rsidRPr="006B5BF6">
        <w:rPr>
          <w:rFonts w:cs="Times New Roman"/>
          <w:i/>
          <w:lang w:val="fr-CA"/>
        </w:rPr>
        <w:t>McLean</w:t>
      </w:r>
      <w:r w:rsidRPr="006B5BF6">
        <w:rPr>
          <w:rFonts w:cs="Times New Roman"/>
          <w:lang w:val="fr-CA"/>
        </w:rPr>
        <w:t>, par. 40; voir également</w:t>
      </w:r>
      <w:r w:rsidRPr="006B5BF6">
        <w:rPr>
          <w:rFonts w:cs="Times New Roman"/>
          <w:i/>
          <w:lang w:val="fr-CA"/>
        </w:rPr>
        <w:t xml:space="preserve"> Conway</w:t>
      </w:r>
      <w:r w:rsidRPr="006B5BF6">
        <w:rPr>
          <w:rFonts w:cs="Times New Roman"/>
          <w:lang w:val="fr-CA"/>
        </w:rPr>
        <w:t xml:space="preserve">, par. 53; </w:t>
      </w:r>
      <w:r w:rsidRPr="006B5BF6">
        <w:rPr>
          <w:rFonts w:cs="Times New Roman"/>
          <w:i/>
          <w:lang w:val="fr-CA"/>
        </w:rPr>
        <w:t>Mowat</w:t>
      </w:r>
      <w:r w:rsidRPr="006B5BF6">
        <w:rPr>
          <w:rFonts w:cs="Times New Roman"/>
          <w:lang w:val="fr-CA"/>
        </w:rPr>
        <w:t xml:space="preserve">, par. 30; </w:t>
      </w:r>
      <w:r w:rsidRPr="006B5BF6">
        <w:rPr>
          <w:rFonts w:cs="Times New Roman"/>
          <w:i/>
          <w:lang w:val="fr-CA"/>
        </w:rPr>
        <w:t>Newfoundland and Labrador Nurses</w:t>
      </w:r>
      <w:r>
        <w:rPr>
          <w:rFonts w:cs="Times New Roman"/>
          <w:i/>
          <w:lang w:val="fr-CA"/>
        </w:rPr>
        <w:t>’</w:t>
      </w:r>
      <w:r w:rsidRPr="006B5BF6">
        <w:rPr>
          <w:rFonts w:cs="Times New Roman"/>
          <w:i/>
          <w:lang w:val="fr-CA"/>
        </w:rPr>
        <w:t xml:space="preserve"> Union </w:t>
      </w:r>
      <w:r w:rsidRPr="006B5BF6">
        <w:rPr>
          <w:rFonts w:cs="Times New Roman"/>
          <w:i/>
          <w:iCs/>
          <w:lang w:val="fr-CA"/>
        </w:rPr>
        <w:t>c. Terre</w:t>
      </w:r>
      <w:r w:rsidRPr="006B5BF6">
        <w:rPr>
          <w:rFonts w:cs="Times New Roman"/>
          <w:i/>
          <w:iCs/>
          <w:lang w:val="fr-CA"/>
        </w:rPr>
        <w:noBreakHyphen/>
        <w:t>Neuve</w:t>
      </w:r>
      <w:r w:rsidRPr="006B5BF6">
        <w:rPr>
          <w:rFonts w:cs="Times New Roman"/>
          <w:i/>
          <w:iCs/>
          <w:lang w:val="fr-CA"/>
        </w:rPr>
        <w:noBreakHyphen/>
        <w:t>et</w:t>
      </w:r>
      <w:r w:rsidRPr="006B5BF6">
        <w:rPr>
          <w:rFonts w:cs="Times New Roman"/>
          <w:i/>
          <w:iCs/>
          <w:lang w:val="fr-CA"/>
        </w:rPr>
        <w:noBreakHyphen/>
        <w:t>Labrador (Conseil du Trésor</w:t>
      </w:r>
      <w:r w:rsidRPr="006B5BF6">
        <w:rPr>
          <w:rFonts w:cs="Times New Roman"/>
          <w:i/>
          <w:lang w:val="fr-CA"/>
        </w:rPr>
        <w:t>)</w:t>
      </w:r>
      <w:r w:rsidRPr="006B5BF6">
        <w:rPr>
          <w:rFonts w:cs="Times New Roman"/>
          <w:lang w:val="fr-CA"/>
        </w:rPr>
        <w:t xml:space="preserve">, [2011] 3 R.C.S. 708, par. 13; </w:t>
      </w:r>
      <w:r w:rsidRPr="006B5BF6">
        <w:rPr>
          <w:rFonts w:cs="Times New Roman"/>
          <w:i/>
          <w:lang w:val="fr-CA"/>
        </w:rPr>
        <w:t>Doré c. Barreau du Québec</w:t>
      </w:r>
      <w:r w:rsidRPr="006B5BF6">
        <w:rPr>
          <w:rFonts w:cs="Times New Roman"/>
          <w:lang w:val="fr-CA"/>
        </w:rPr>
        <w:t xml:space="preserve">, [2012] 1 R.C.S. 395, par. 35; </w:t>
      </w:r>
      <w:r w:rsidRPr="006B5BF6">
        <w:rPr>
          <w:rFonts w:cs="Times New Roman"/>
          <w:i/>
          <w:lang w:val="fr-CA"/>
        </w:rPr>
        <w:t>Mouvement laïque</w:t>
      </w:r>
      <w:r w:rsidRPr="006B5BF6">
        <w:rPr>
          <w:rFonts w:cs="Times New Roman"/>
          <w:lang w:val="fr-CA"/>
        </w:rPr>
        <w:t xml:space="preserve">, par. 46; </w:t>
      </w:r>
      <w:r w:rsidRPr="006B5BF6">
        <w:rPr>
          <w:rFonts w:cs="Times New Roman"/>
          <w:i/>
          <w:lang w:val="fr-CA"/>
        </w:rPr>
        <w:t>Khosa</w:t>
      </w:r>
      <w:r w:rsidRPr="006B5BF6">
        <w:rPr>
          <w:rFonts w:cs="Times New Roman"/>
          <w:lang w:val="fr-CA"/>
        </w:rPr>
        <w:t xml:space="preserve">, par. 25; </w:t>
      </w:r>
      <w:r w:rsidRPr="006B5BF6">
        <w:rPr>
          <w:rFonts w:cs="Times New Roman"/>
          <w:i/>
          <w:lang w:val="fr-CA"/>
        </w:rPr>
        <w:t>Edmonton East</w:t>
      </w:r>
      <w:r w:rsidRPr="006B5BF6">
        <w:rPr>
          <w:rFonts w:cs="Times New Roman"/>
          <w:lang w:val="fr-CA"/>
        </w:rPr>
        <w:t>, par. 33).</w:t>
      </w:r>
    </w:p>
    <w:p w14:paraId="500078E1"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Même si l</w:t>
      </w:r>
      <w:r>
        <w:rPr>
          <w:rFonts w:cs="Times New Roman"/>
          <w:lang w:val="fr-CA"/>
        </w:rPr>
        <w:t>’</w:t>
      </w:r>
      <w:r w:rsidRPr="006B5BF6">
        <w:rPr>
          <w:rFonts w:cs="Times New Roman"/>
          <w:lang w:val="fr-CA"/>
        </w:rPr>
        <w:t>approche préconisée par la majorité prône le respect des « choix d</w:t>
      </w:r>
      <w:r>
        <w:rPr>
          <w:rFonts w:cs="Times New Roman"/>
          <w:lang w:val="fr-CA"/>
        </w:rPr>
        <w:t>’</w:t>
      </w:r>
      <w:r w:rsidRPr="006B5BF6">
        <w:rPr>
          <w:rFonts w:cs="Times New Roman"/>
          <w:lang w:val="fr-CA"/>
        </w:rPr>
        <w:t>organisation institutionnelle » du législateur, elle n</w:t>
      </w:r>
      <w:r>
        <w:rPr>
          <w:rFonts w:cs="Times New Roman"/>
          <w:lang w:val="fr-CA"/>
        </w:rPr>
        <w:t>’</w:t>
      </w:r>
      <w:r w:rsidRPr="006B5BF6">
        <w:rPr>
          <w:rFonts w:cs="Times New Roman"/>
          <w:lang w:val="fr-CA"/>
        </w:rPr>
        <w:t>accorde aucun poids aux avantages institutionnels que possèdent les décideurs administratifs du fait de leur spécialisation et de leur expertise lorsqu</w:t>
      </w:r>
      <w:r>
        <w:rPr>
          <w:rFonts w:cs="Times New Roman"/>
          <w:lang w:val="fr-CA"/>
        </w:rPr>
        <w:t>’</w:t>
      </w:r>
      <w:r w:rsidRPr="006B5BF6">
        <w:rPr>
          <w:rFonts w:cs="Times New Roman"/>
          <w:lang w:val="fr-CA"/>
        </w:rPr>
        <w:t>il s</w:t>
      </w:r>
      <w:r>
        <w:rPr>
          <w:rFonts w:cs="Times New Roman"/>
          <w:lang w:val="fr-CA"/>
        </w:rPr>
        <w:t>’</w:t>
      </w:r>
      <w:r w:rsidRPr="006B5BF6">
        <w:rPr>
          <w:rFonts w:cs="Times New Roman"/>
          <w:lang w:val="fr-CA"/>
        </w:rPr>
        <w:t xml:space="preserve">agit de trancher des questions de droit. Ce </w:t>
      </w:r>
      <w:r w:rsidRPr="006B5BF6">
        <w:rPr>
          <w:rFonts w:cs="Times New Roman"/>
          <w:lang w:val="fr-CA"/>
        </w:rPr>
        <w:lastRenderedPageBreak/>
        <w:t xml:space="preserve">faisant, la majorité ne tient pas compte de </w:t>
      </w:r>
      <w:r w:rsidRPr="006B5BF6">
        <w:rPr>
          <w:rFonts w:cs="Times New Roman"/>
          <w:iCs/>
          <w:lang w:val="fr-CA"/>
        </w:rPr>
        <w:t>la raison</w:t>
      </w:r>
      <w:r w:rsidRPr="006B5BF6">
        <w:rPr>
          <w:rFonts w:cs="Times New Roman"/>
          <w:lang w:val="fr-CA"/>
        </w:rPr>
        <w:t xml:space="preserve"> historiquement reconnue </w:t>
      </w:r>
      <w:r w:rsidRPr="006B5BF6">
        <w:rPr>
          <w:rFonts w:cs="Times New Roman"/>
          <w:i/>
          <w:lang w:val="fr-CA"/>
        </w:rPr>
        <w:t xml:space="preserve">pour laquelle </w:t>
      </w:r>
      <w:r w:rsidRPr="006B5BF6">
        <w:rPr>
          <w:rFonts w:cs="Times New Roman"/>
          <w:lang w:val="fr-CA"/>
        </w:rPr>
        <w:t>le législateur souhaitait déléguer des pouvoirs à des acteurs administratifs.</w:t>
      </w:r>
    </w:p>
    <w:p w14:paraId="3D2A2156"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noProof/>
          <w:lang w:val="fr-CA"/>
        </w:rPr>
        <w:t>Nous ne sommes pas non plus convaincues par l</w:t>
      </w:r>
      <w:r>
        <w:rPr>
          <w:rFonts w:cs="Times New Roman"/>
          <w:noProof/>
          <w:lang w:val="fr-CA"/>
        </w:rPr>
        <w:t>’</w:t>
      </w:r>
      <w:r w:rsidRPr="006B5BF6">
        <w:rPr>
          <w:rFonts w:cs="Times New Roman"/>
          <w:noProof/>
          <w:lang w:val="fr-CA"/>
        </w:rPr>
        <w:t>affirmation des juges majoritaires suivant laquelle « s</w:t>
      </w:r>
      <w:r>
        <w:rPr>
          <w:rFonts w:cs="Times New Roman"/>
          <w:noProof/>
          <w:lang w:val="fr-CA"/>
        </w:rPr>
        <w:t>’</w:t>
      </w:r>
      <w:r w:rsidRPr="006B5BF6">
        <w:rPr>
          <w:rFonts w:cs="Times New Roman"/>
          <w:noProof/>
          <w:lang w:val="fr-CA"/>
        </w:rPr>
        <w:t>il est tenu pour acquis que le décideur administratif possède une expertise spécialisée en ce qui concerne l</w:t>
      </w:r>
      <w:r>
        <w:rPr>
          <w:rFonts w:cs="Times New Roman"/>
          <w:noProof/>
          <w:lang w:val="fr-CA"/>
        </w:rPr>
        <w:t>’</w:t>
      </w:r>
      <w:r w:rsidRPr="006B5BF6">
        <w:rPr>
          <w:rFonts w:cs="Times New Roman"/>
          <w:noProof/>
          <w:lang w:val="fr-CA"/>
        </w:rPr>
        <w:t>ensemble des questions dont il est saisi, la notion d</w:t>
      </w:r>
      <w:r>
        <w:rPr>
          <w:rFonts w:cs="Times New Roman"/>
          <w:noProof/>
          <w:lang w:val="fr-CA"/>
        </w:rPr>
        <w:t>’</w:t>
      </w:r>
      <w:r w:rsidRPr="006B5BF6">
        <w:rPr>
          <w:rFonts w:cs="Times New Roman"/>
          <w:noProof/>
          <w:lang w:val="fr-CA"/>
        </w:rPr>
        <w:t>expertise ne permet plus à la cour de révision de distinguer les questions auxquelles il y a lieu d</w:t>
      </w:r>
      <w:r>
        <w:rPr>
          <w:rFonts w:cs="Times New Roman"/>
          <w:noProof/>
          <w:lang w:val="fr-CA"/>
        </w:rPr>
        <w:t>’</w:t>
      </w:r>
      <w:r w:rsidRPr="006B5BF6">
        <w:rPr>
          <w:rFonts w:cs="Times New Roman"/>
          <w:noProof/>
          <w:lang w:val="fr-CA"/>
        </w:rPr>
        <w:t>appliquer la norme de la décision raisonnable de celles auxquelles il n</w:t>
      </w:r>
      <w:r>
        <w:rPr>
          <w:rFonts w:cs="Times New Roman"/>
          <w:noProof/>
          <w:lang w:val="fr-CA"/>
        </w:rPr>
        <w:t>’</w:t>
      </w:r>
      <w:r w:rsidRPr="006B5BF6">
        <w:rPr>
          <w:rFonts w:cs="Times New Roman"/>
          <w:noProof/>
          <w:lang w:val="fr-CA"/>
        </w:rPr>
        <w:t>y a pas lieu de l</w:t>
      </w:r>
      <w:r>
        <w:rPr>
          <w:rFonts w:cs="Times New Roman"/>
          <w:noProof/>
          <w:lang w:val="fr-CA"/>
        </w:rPr>
        <w:t>’</w:t>
      </w:r>
      <w:r w:rsidRPr="006B5BF6">
        <w:rPr>
          <w:rFonts w:cs="Times New Roman"/>
          <w:noProof/>
          <w:lang w:val="fr-CA"/>
        </w:rPr>
        <w:t>appliquer »</w:t>
      </w:r>
      <w:r w:rsidRPr="006B5BF6">
        <w:rPr>
          <w:rFonts w:cs="Times New Roman"/>
          <w:lang w:val="fr-CA"/>
        </w:rPr>
        <w:t>. En l</w:t>
      </w:r>
      <w:r>
        <w:rPr>
          <w:rFonts w:cs="Times New Roman"/>
          <w:lang w:val="fr-CA"/>
        </w:rPr>
        <w:t>’</w:t>
      </w:r>
      <w:r w:rsidRPr="006B5BF6">
        <w:rPr>
          <w:rFonts w:cs="Times New Roman"/>
          <w:lang w:val="fr-CA"/>
        </w:rPr>
        <w:t>espèce, la majorité propose un faux dilemme : soit l</w:t>
      </w:r>
      <w:r>
        <w:rPr>
          <w:rFonts w:cs="Times New Roman"/>
          <w:lang w:val="fr-CA"/>
        </w:rPr>
        <w:t>’</w:t>
      </w:r>
      <w:r w:rsidRPr="006B5BF6">
        <w:rPr>
          <w:rFonts w:cs="Times New Roman"/>
          <w:lang w:val="fr-CA"/>
        </w:rPr>
        <w:t>expertise doit être évaluée au cas par cas, soit elle ne joue aucun rôle dans la théorie du contrôle judiciaire.</w:t>
      </w:r>
    </w:p>
    <w:p w14:paraId="144DB2AB"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Nous sommes en désaccord. Bien que les décideurs ne possèdent pas tous nécessairement une expertise sur chacune des questions soulevées dans une procédure administrative, les cours de révision ne procèdent pas à une évaluation individualisée, au cas par cas, de la spécialisation et de l</w:t>
      </w:r>
      <w:r>
        <w:rPr>
          <w:rFonts w:cs="Times New Roman"/>
          <w:lang w:val="fr-CA"/>
        </w:rPr>
        <w:t>’</w:t>
      </w:r>
      <w:r w:rsidRPr="006B5BF6">
        <w:rPr>
          <w:rFonts w:cs="Times New Roman"/>
          <w:lang w:val="fr-CA"/>
        </w:rPr>
        <w:t>expertise. La théorie de la déférence repose non seulement sur le choix du législateur de déléguer certaines décisions, mais aussi sur l</w:t>
      </w:r>
      <w:r>
        <w:rPr>
          <w:rFonts w:cs="Times New Roman"/>
          <w:lang w:val="fr-CA"/>
        </w:rPr>
        <w:t>’</w:t>
      </w:r>
      <w:r w:rsidRPr="006B5BF6">
        <w:rPr>
          <w:rFonts w:cs="Times New Roman"/>
          <w:lang w:val="fr-CA"/>
        </w:rPr>
        <w:t>expertise institutionnelle et sur le fait que « les personnes qui se consacrent quotidiennement à l</w:t>
      </w:r>
      <w:r>
        <w:rPr>
          <w:rFonts w:cs="Times New Roman"/>
          <w:lang w:val="fr-CA"/>
        </w:rPr>
        <w:t>’</w:t>
      </w:r>
      <w:r w:rsidRPr="006B5BF6">
        <w:rPr>
          <w:rFonts w:cs="Times New Roman"/>
          <w:lang w:val="fr-CA"/>
        </w:rPr>
        <w:t>application de régimes administratifs souvent complexes possèdent ou acquièrent une grande connaissance ou sensibilité à l</w:t>
      </w:r>
      <w:r>
        <w:rPr>
          <w:rFonts w:cs="Times New Roman"/>
          <w:lang w:val="fr-CA"/>
        </w:rPr>
        <w:t>’</w:t>
      </w:r>
      <w:r w:rsidRPr="006B5BF6">
        <w:rPr>
          <w:rFonts w:cs="Times New Roman"/>
          <w:lang w:val="fr-CA"/>
        </w:rPr>
        <w:t>égard des impératifs et des subtilités des régimes législatifs en cause » (</w:t>
      </w:r>
      <w:r w:rsidRPr="006B5BF6">
        <w:rPr>
          <w:rFonts w:cs="Times New Roman"/>
          <w:i/>
          <w:lang w:val="fr-CA"/>
        </w:rPr>
        <w:t>Khosa</w:t>
      </w:r>
      <w:r w:rsidRPr="006B5BF6">
        <w:rPr>
          <w:rFonts w:cs="Times New Roman"/>
          <w:lang w:val="fr-CA"/>
        </w:rPr>
        <w:t xml:space="preserve">, par. 25; voir également </w:t>
      </w:r>
      <w:r w:rsidRPr="006B5BF6">
        <w:rPr>
          <w:rFonts w:cs="Times New Roman"/>
          <w:i/>
          <w:lang w:val="fr-CA"/>
        </w:rPr>
        <w:t>Nor</w:t>
      </w:r>
      <w:r w:rsidRPr="006B5BF6">
        <w:rPr>
          <w:rFonts w:cs="Times New Roman"/>
          <w:i/>
          <w:lang w:val="fr-CA"/>
        </w:rPr>
        <w:noBreakHyphen/>
        <w:t>Man Regional Health Authority Inc. c. Manitoba Association of Health Care Professionals</w:t>
      </w:r>
      <w:r w:rsidRPr="006B5BF6">
        <w:rPr>
          <w:rFonts w:cs="Times New Roman"/>
          <w:lang w:val="fr-CA"/>
        </w:rPr>
        <w:t xml:space="preserve">, [2011] 3 R.C.S. 616, par. 53; </w:t>
      </w:r>
      <w:r w:rsidRPr="006B5BF6">
        <w:rPr>
          <w:rFonts w:cs="Times New Roman"/>
          <w:i/>
          <w:lang w:val="fr-CA"/>
        </w:rPr>
        <w:t>Edmonton East</w:t>
      </w:r>
      <w:r w:rsidRPr="006B5BF6">
        <w:rPr>
          <w:rFonts w:cs="Times New Roman"/>
          <w:lang w:val="fr-CA"/>
        </w:rPr>
        <w:t>, par. 33).</w:t>
      </w:r>
    </w:p>
    <w:p w14:paraId="03CBF61C"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lastRenderedPageBreak/>
        <w:t>L</w:t>
      </w:r>
      <w:r>
        <w:rPr>
          <w:rFonts w:cs="Times New Roman"/>
          <w:lang w:val="fr-CA"/>
        </w:rPr>
        <w:t>’</w:t>
      </w:r>
      <w:r w:rsidRPr="006B5BF6">
        <w:rPr>
          <w:rFonts w:cs="Times New Roman"/>
          <w:lang w:val="fr-CA"/>
        </w:rPr>
        <w:t>évacuation, par les juges majoritaires, de l</w:t>
      </w:r>
      <w:r>
        <w:rPr>
          <w:rFonts w:cs="Times New Roman"/>
          <w:lang w:val="fr-CA"/>
        </w:rPr>
        <w:t>’</w:t>
      </w:r>
      <w:r w:rsidRPr="006B5BF6">
        <w:rPr>
          <w:rFonts w:cs="Times New Roman"/>
          <w:lang w:val="fr-CA"/>
        </w:rPr>
        <w:t>expertise, de la spécialisation et d</w:t>
      </w:r>
      <w:r>
        <w:rPr>
          <w:rFonts w:cs="Times New Roman"/>
          <w:lang w:val="fr-CA"/>
        </w:rPr>
        <w:t>’</w:t>
      </w:r>
      <w:r w:rsidRPr="006B5BF6">
        <w:rPr>
          <w:rFonts w:cs="Times New Roman"/>
          <w:lang w:val="fr-CA"/>
        </w:rPr>
        <w:t>autres avantages institutionnels de leur cadre d</w:t>
      </w:r>
      <w:r>
        <w:rPr>
          <w:rFonts w:cs="Times New Roman"/>
          <w:lang w:val="fr-CA"/>
        </w:rPr>
        <w:t>’</w:t>
      </w:r>
      <w:r w:rsidRPr="006B5BF6">
        <w:rPr>
          <w:rFonts w:cs="Times New Roman"/>
          <w:lang w:val="fr-CA"/>
        </w:rPr>
        <w:t>analyse ne pose pas problème seulement sur le plan théorique. La suppression du « fondement conceptuel » qui justifie actuellement la déférence ouvre les portes à un contrôle judiciaire élargi fondé sur la norme de la décision correcte. La « présomption » de déférence de la majorité ne s</w:t>
      </w:r>
      <w:r>
        <w:rPr>
          <w:rFonts w:cs="Times New Roman"/>
          <w:lang w:val="fr-CA"/>
        </w:rPr>
        <w:t>’</w:t>
      </w:r>
      <w:r w:rsidRPr="006B5BF6">
        <w:rPr>
          <w:rFonts w:cs="Times New Roman"/>
          <w:lang w:val="fr-CA"/>
        </w:rPr>
        <w:t>inclinera que trop facilement devant les raisons invoquées pour justifier un cadre axé sur la norme de la décision correcte.</w:t>
      </w:r>
    </w:p>
    <w:p w14:paraId="42AD3530"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Selon le cadre proposé par la majorité, la déférence est éclipsée chaque fois que la « primauté du droit » l</w:t>
      </w:r>
      <w:r>
        <w:rPr>
          <w:rFonts w:cs="Times New Roman"/>
          <w:lang w:val="fr-CA"/>
        </w:rPr>
        <w:t>’</w:t>
      </w:r>
      <w:r w:rsidRPr="006B5BF6">
        <w:rPr>
          <w:rFonts w:cs="Times New Roman"/>
          <w:lang w:val="fr-CA"/>
        </w:rPr>
        <w:t>exige. La façon dont la majorité conçoit la primauté du droit découle toutefois d</w:t>
      </w:r>
      <w:r>
        <w:rPr>
          <w:rFonts w:cs="Times New Roman"/>
          <w:lang w:val="fr-CA"/>
        </w:rPr>
        <w:t>’</w:t>
      </w:r>
      <w:r w:rsidRPr="006B5BF6">
        <w:rPr>
          <w:rFonts w:cs="Times New Roman"/>
          <w:lang w:val="fr-CA"/>
        </w:rPr>
        <w:t>une conception judiciarisée de celle</w:t>
      </w:r>
      <w:r w:rsidRPr="006B5BF6">
        <w:rPr>
          <w:rFonts w:cs="Times New Roman"/>
          <w:lang w:val="fr-CA"/>
        </w:rPr>
        <w:noBreakHyphen/>
        <w:t>ci dont les origines remontent au XIX</w:t>
      </w:r>
      <w:r w:rsidRPr="006B5BF6">
        <w:rPr>
          <w:rFonts w:cs="Times New Roman"/>
          <w:vertAlign w:val="superscript"/>
          <w:lang w:val="fr-CA"/>
        </w:rPr>
        <w:t>e</w:t>
      </w:r>
      <w:r w:rsidRPr="006B5BF6">
        <w:rPr>
          <w:rFonts w:cs="Times New Roman"/>
          <w:lang w:val="fr-CA"/>
        </w:rPr>
        <w:t xml:space="preserve"> siècle, plus précisément aux théories de Dicey.</w:t>
      </w:r>
    </w:p>
    <w:p w14:paraId="09DE41F1" w14:textId="6A41524D" w:rsidR="00AE2373" w:rsidRPr="00BD0A20" w:rsidRDefault="00AE2373" w:rsidP="00AE2373">
      <w:pPr>
        <w:pStyle w:val="ParaNoNdepar-AltN"/>
        <w:tabs>
          <w:tab w:val="clear" w:pos="1166"/>
          <w:tab w:val="clear" w:pos="1422"/>
          <w:tab w:val="num" w:pos="1152"/>
        </w:tabs>
        <w:spacing w:before="0"/>
        <w:rPr>
          <w:rFonts w:cs="Times New Roman"/>
        </w:rPr>
      </w:pPr>
      <w:r w:rsidRPr="006B5BF6">
        <w:rPr>
          <w:rFonts w:cs="Times New Roman"/>
          <w:lang w:val="fr-CA"/>
        </w:rPr>
        <w:t>La primauté du droit n</w:t>
      </w:r>
      <w:r>
        <w:rPr>
          <w:rFonts w:cs="Times New Roman"/>
          <w:lang w:val="fr-CA"/>
        </w:rPr>
        <w:t>’</w:t>
      </w:r>
      <w:r w:rsidRPr="006B5BF6">
        <w:rPr>
          <w:rFonts w:cs="Times New Roman"/>
          <w:lang w:val="fr-CA"/>
        </w:rPr>
        <w:t xml:space="preserve">est pas la primauté des </w:t>
      </w:r>
      <w:r>
        <w:rPr>
          <w:rFonts w:cs="Times New Roman"/>
          <w:lang w:val="fr-CA"/>
        </w:rPr>
        <w:t>cours</w:t>
      </w:r>
      <w:r w:rsidRPr="006B5BF6">
        <w:rPr>
          <w:rFonts w:cs="Times New Roman"/>
          <w:lang w:val="fr-CA"/>
        </w:rPr>
        <w:t xml:space="preserve">. Une conception pluraliste de la primauté du droit reconnaît que les </w:t>
      </w:r>
      <w:r>
        <w:rPr>
          <w:rFonts w:cs="Times New Roman"/>
          <w:lang w:val="fr-CA"/>
        </w:rPr>
        <w:t>cours</w:t>
      </w:r>
      <w:r w:rsidRPr="006B5BF6">
        <w:rPr>
          <w:rFonts w:cs="Times New Roman"/>
          <w:lang w:val="fr-CA"/>
        </w:rPr>
        <w:t xml:space="preserve"> ne sont pas les gardiens exclusifs du droit et que d</w:t>
      </w:r>
      <w:r>
        <w:rPr>
          <w:rFonts w:cs="Times New Roman"/>
          <w:lang w:val="fr-CA"/>
        </w:rPr>
        <w:t>’</w:t>
      </w:r>
      <w:r w:rsidRPr="006B5BF6">
        <w:rPr>
          <w:rFonts w:cs="Times New Roman"/>
          <w:lang w:val="fr-CA"/>
        </w:rPr>
        <w:t>autres acteurs dans l</w:t>
      </w:r>
      <w:r>
        <w:rPr>
          <w:rFonts w:cs="Times New Roman"/>
          <w:lang w:val="fr-CA"/>
        </w:rPr>
        <w:t>’</w:t>
      </w:r>
      <w:r w:rsidRPr="006B5BF6">
        <w:rPr>
          <w:rFonts w:cs="Times New Roman"/>
          <w:lang w:val="fr-CA"/>
        </w:rPr>
        <w:t>arène de la justice</w:t>
      </w:r>
      <w:r>
        <w:rPr>
          <w:rFonts w:cs="Times New Roman"/>
          <w:lang w:val="fr-CA"/>
        </w:rPr>
        <w:t> </w:t>
      </w:r>
      <w:r w:rsidRPr="006B5BF6">
        <w:rPr>
          <w:rFonts w:cs="Times New Roman"/>
          <w:lang w:val="fr-CA"/>
        </w:rPr>
        <w:t>— dont les décideurs administratifs —</w:t>
      </w:r>
      <w:r>
        <w:rPr>
          <w:rFonts w:cs="Times New Roman"/>
          <w:lang w:val="fr-CA"/>
        </w:rPr>
        <w:t> </w:t>
      </w:r>
      <w:r w:rsidRPr="006B5BF6">
        <w:rPr>
          <w:rFonts w:cs="Times New Roman"/>
          <w:lang w:val="fr-CA"/>
        </w:rPr>
        <w:t>ont également la responsabilité de l</w:t>
      </w:r>
      <w:r>
        <w:rPr>
          <w:rFonts w:cs="Times New Roman"/>
          <w:lang w:val="fr-CA"/>
        </w:rPr>
        <w:t>’</w:t>
      </w:r>
      <w:r w:rsidRPr="006B5BF6">
        <w:rPr>
          <w:rFonts w:cs="Times New Roman"/>
          <w:lang w:val="fr-CA"/>
        </w:rPr>
        <w:t>élaborer. L</w:t>
      </w:r>
      <w:r>
        <w:rPr>
          <w:rFonts w:cs="Times New Roman"/>
          <w:lang w:val="fr-CA"/>
        </w:rPr>
        <w:t>’</w:t>
      </w:r>
      <w:r w:rsidRPr="006B5BF6">
        <w:rPr>
          <w:rFonts w:cs="Times New Roman"/>
          <w:lang w:val="fr-CA"/>
        </w:rPr>
        <w:t xml:space="preserve">arrêt </w:t>
      </w:r>
      <w:r w:rsidRPr="006B5BF6">
        <w:rPr>
          <w:rFonts w:cs="Times New Roman"/>
          <w:i/>
          <w:lang w:val="fr-CA"/>
        </w:rPr>
        <w:t xml:space="preserve">Dunsmuir </w:t>
      </w:r>
      <w:r w:rsidRPr="006B5BF6">
        <w:rPr>
          <w:rFonts w:cs="Times New Roman"/>
          <w:lang w:val="fr-CA"/>
        </w:rPr>
        <w:t>a adhéré à cette vision plus inclusive de la primauté du droit en reconnaissant qu</w:t>
      </w:r>
      <w:r>
        <w:rPr>
          <w:rFonts w:cs="Times New Roman"/>
          <w:lang w:val="fr-CA"/>
        </w:rPr>
        <w:t>’</w:t>
      </w:r>
      <w:r w:rsidRPr="006B5BF6">
        <w:rPr>
          <w:rFonts w:cs="Times New Roman"/>
          <w:lang w:val="fr-CA"/>
        </w:rPr>
        <w:t>il fallait « temp[érer] la conception judiciarisée de la primauté du droit [. . .] par la reconnaissance du fait que les cours de justice n</w:t>
      </w:r>
      <w:r>
        <w:rPr>
          <w:rFonts w:cs="Times New Roman"/>
          <w:lang w:val="fr-CA"/>
        </w:rPr>
        <w:t>’</w:t>
      </w:r>
      <w:r w:rsidRPr="006B5BF6">
        <w:rPr>
          <w:rFonts w:cs="Times New Roman"/>
          <w:lang w:val="fr-CA"/>
        </w:rPr>
        <w:t>ont pas le pouvoir exclusif de statuer sur toutes les questions de droit » (par. 30).</w:t>
      </w:r>
      <w:r w:rsidRPr="006B5BF6">
        <w:rPr>
          <w:rFonts w:cs="Times New Roman"/>
          <w:lang w:val="fr-CA" w:bidi="en-US"/>
        </w:rPr>
        <w:t xml:space="preserve"> Comme la Cour l</w:t>
      </w:r>
      <w:r>
        <w:rPr>
          <w:rFonts w:cs="Times New Roman"/>
          <w:lang w:val="fr-CA" w:bidi="en-US"/>
        </w:rPr>
        <w:t>’</w:t>
      </w:r>
      <w:r w:rsidRPr="006B5BF6">
        <w:rPr>
          <w:rFonts w:cs="Times New Roman"/>
          <w:lang w:val="fr-CA" w:bidi="en-US"/>
        </w:rPr>
        <w:t>a expliqué dans l</w:t>
      </w:r>
      <w:r>
        <w:rPr>
          <w:rFonts w:cs="Times New Roman"/>
          <w:lang w:val="fr-CA" w:bidi="en-US"/>
        </w:rPr>
        <w:t>’</w:t>
      </w:r>
      <w:r w:rsidRPr="006B5BF6">
        <w:rPr>
          <w:rFonts w:cs="Times New Roman"/>
          <w:lang w:val="fr-CA" w:bidi="en-US"/>
        </w:rPr>
        <w:t xml:space="preserve">arrêt </w:t>
      </w:r>
      <w:r w:rsidRPr="006B5BF6">
        <w:rPr>
          <w:rFonts w:cs="Times New Roman"/>
          <w:i/>
          <w:lang w:val="fr-CA"/>
        </w:rPr>
        <w:t>Dunsmuir</w:t>
      </w:r>
      <w:r w:rsidRPr="006B5BF6">
        <w:rPr>
          <w:rFonts w:cs="Times New Roman"/>
          <w:lang w:val="fr-CA"/>
        </w:rPr>
        <w:t>, la primauté du droit signifie que les décideurs administratifs prennent des décisions juridiques dans le cadre de leur mandat et non que seuls les juges peuvent trancher des questions de droit et ont carte blanche pour substituer leur opinion à celle des acteurs administratifs par le biais d</w:t>
      </w:r>
      <w:r>
        <w:rPr>
          <w:rFonts w:cs="Times New Roman"/>
          <w:lang w:val="fr-CA"/>
        </w:rPr>
        <w:t>’</w:t>
      </w:r>
      <w:r w:rsidRPr="006B5BF6">
        <w:rPr>
          <w:rFonts w:cs="Times New Roman"/>
          <w:lang w:val="fr-CA"/>
        </w:rPr>
        <w:t xml:space="preserve">un contrôle selon la norme de la décision </w:t>
      </w:r>
      <w:r w:rsidRPr="006B5BF6">
        <w:rPr>
          <w:rFonts w:cs="Times New Roman"/>
          <w:lang w:val="fr-CA"/>
        </w:rPr>
        <w:lastRenderedPageBreak/>
        <w:t xml:space="preserve">correcte </w:t>
      </w:r>
      <w:r w:rsidRPr="006B5BF6" w:rsidDel="001C4755">
        <w:rPr>
          <w:rFonts w:cs="Times New Roman"/>
          <w:lang w:val="fr-CA"/>
        </w:rPr>
        <w:t>(</w:t>
      </w:r>
      <w:r w:rsidRPr="006B5BF6">
        <w:rPr>
          <w:rFonts w:cs="Times New Roman"/>
          <w:lang w:val="fr-CA"/>
        </w:rPr>
        <w:t xml:space="preserve">voir </w:t>
      </w:r>
      <w:r w:rsidRPr="006B5BF6" w:rsidDel="001C4755">
        <w:rPr>
          <w:rFonts w:cs="Times New Roman"/>
          <w:lang w:val="fr-CA"/>
        </w:rPr>
        <w:t>McLac</w:t>
      </w:r>
      <w:r w:rsidRPr="006B5BF6">
        <w:rPr>
          <w:rFonts w:cs="Times New Roman"/>
          <w:lang w:val="fr-CA"/>
        </w:rPr>
        <w:t>h</w:t>
      </w:r>
      <w:r w:rsidRPr="006B5BF6" w:rsidDel="001C4755">
        <w:rPr>
          <w:rFonts w:cs="Times New Roman"/>
          <w:lang w:val="fr-CA"/>
        </w:rPr>
        <w:t xml:space="preserve">lin, </w:t>
      </w:r>
      <w:r w:rsidRPr="006B5BF6">
        <w:rPr>
          <w:rFonts w:cs="Times New Roman"/>
          <w:lang w:val="fr-CA"/>
        </w:rPr>
        <w:t>« Tribunaux a</w:t>
      </w:r>
      <w:r w:rsidRPr="006B5BF6" w:rsidDel="001C4755">
        <w:rPr>
          <w:rFonts w:cs="Times New Roman"/>
          <w:lang w:val="fr-CA"/>
        </w:rPr>
        <w:t>dministrati</w:t>
      </w:r>
      <w:r w:rsidRPr="006B5BF6">
        <w:rPr>
          <w:rFonts w:cs="Times New Roman"/>
          <w:lang w:val="fr-CA"/>
        </w:rPr>
        <w:t>fs et tribunaux judiciaires : une relation en évolution »</w:t>
      </w:r>
      <w:r w:rsidRPr="006B5BF6" w:rsidDel="001C4755">
        <w:rPr>
          <w:rFonts w:cs="Times New Roman"/>
          <w:lang w:val="fr-CA"/>
        </w:rPr>
        <w:t xml:space="preserve">; </w:t>
      </w:r>
      <w:r w:rsidRPr="006B5BF6">
        <w:rPr>
          <w:rFonts w:cs="Times New Roman"/>
          <w:lang w:val="fr-CA"/>
        </w:rPr>
        <w:t>l</w:t>
      </w:r>
      <w:r>
        <w:rPr>
          <w:rFonts w:cs="Times New Roman"/>
          <w:lang w:val="fr-CA"/>
        </w:rPr>
        <w:t>’</w:t>
      </w:r>
      <w:r w:rsidRPr="006B5BF6">
        <w:rPr>
          <w:rFonts w:cs="Times New Roman"/>
          <w:lang w:val="fr-CA"/>
        </w:rPr>
        <w:t>hon</w:t>
      </w:r>
      <w:r w:rsidR="004A0BA1">
        <w:rPr>
          <w:rFonts w:cs="Times New Roman"/>
          <w:lang w:val="fr-CA"/>
        </w:rPr>
        <w:t>.</w:t>
      </w:r>
      <w:r w:rsidRPr="006B5BF6">
        <w:rPr>
          <w:rFonts w:cs="Times New Roman"/>
          <w:lang w:val="fr-CA"/>
        </w:rPr>
        <w:t xml:space="preserve"> </w:t>
      </w:r>
      <w:r w:rsidRPr="00BD0A20" w:rsidDel="001C4755">
        <w:rPr>
          <w:rFonts w:cs="Times New Roman"/>
        </w:rPr>
        <w:t xml:space="preserve">Thomas A. Cromwell, </w:t>
      </w:r>
      <w:r w:rsidRPr="00BD0A20">
        <w:rPr>
          <w:rFonts w:cs="Times New Roman"/>
        </w:rPr>
        <w:t>« </w:t>
      </w:r>
      <w:r w:rsidRPr="00BD0A20" w:rsidDel="001C4755">
        <w:rPr>
          <w:rFonts w:cs="Times New Roman"/>
        </w:rPr>
        <w:t>What I Think I</w:t>
      </w:r>
      <w:r w:rsidRPr="00BD0A20">
        <w:rPr>
          <w:rFonts w:cs="Times New Roman"/>
        </w:rPr>
        <w:t>’</w:t>
      </w:r>
      <w:r w:rsidR="00EE08DD">
        <w:rPr>
          <w:rFonts w:cs="Times New Roman"/>
        </w:rPr>
        <w:t>ve Learned A</w:t>
      </w:r>
      <w:r w:rsidRPr="00BD0A20" w:rsidDel="001C4755">
        <w:rPr>
          <w:rFonts w:cs="Times New Roman"/>
        </w:rPr>
        <w:t>bout Administrative Law</w:t>
      </w:r>
      <w:r w:rsidRPr="00BD0A20">
        <w:rPr>
          <w:rFonts w:cs="Times New Roman"/>
        </w:rPr>
        <w:t> »</w:t>
      </w:r>
      <w:r w:rsidRPr="00BD0A20" w:rsidDel="001C4755">
        <w:rPr>
          <w:rFonts w:cs="Times New Roman"/>
        </w:rPr>
        <w:t xml:space="preserve"> (2017), 30 </w:t>
      </w:r>
      <w:r w:rsidRPr="00BD0A20">
        <w:rPr>
          <w:rFonts w:cs="Times New Roman"/>
          <w:i/>
        </w:rPr>
        <w:t>R.C.D.A.P.</w:t>
      </w:r>
      <w:r w:rsidRPr="00BD0A20">
        <w:rPr>
          <w:rFonts w:cs="Times New Roman"/>
        </w:rPr>
        <w:t xml:space="preserve"> </w:t>
      </w:r>
      <w:r w:rsidRPr="00BD0A20" w:rsidDel="001C4755">
        <w:rPr>
          <w:rFonts w:cs="Times New Roman"/>
        </w:rPr>
        <w:t xml:space="preserve">307, </w:t>
      </w:r>
      <w:r w:rsidRPr="00BD0A20">
        <w:rPr>
          <w:rFonts w:cs="Times New Roman"/>
        </w:rPr>
        <w:t>p. </w:t>
      </w:r>
      <w:r w:rsidRPr="00BD0A20" w:rsidDel="001C4755">
        <w:rPr>
          <w:rFonts w:cs="Times New Roman"/>
        </w:rPr>
        <w:t xml:space="preserve">308; </w:t>
      </w:r>
      <w:r w:rsidRPr="00BD0A20" w:rsidDel="001C4755">
        <w:rPr>
          <w:rFonts w:cs="Times New Roman"/>
          <w:i/>
        </w:rPr>
        <w:t xml:space="preserve">Wilson </w:t>
      </w:r>
      <w:r w:rsidRPr="00BD0A20">
        <w:rPr>
          <w:rFonts w:cs="Times New Roman"/>
          <w:i/>
        </w:rPr>
        <w:t>c</w:t>
      </w:r>
      <w:r w:rsidRPr="00BD0A20" w:rsidDel="001C4755">
        <w:rPr>
          <w:rFonts w:cs="Times New Roman"/>
          <w:i/>
        </w:rPr>
        <w:t xml:space="preserve">. </w:t>
      </w:r>
      <w:r w:rsidRPr="00BD0A20">
        <w:rPr>
          <w:rFonts w:cs="Times New Roman"/>
          <w:i/>
        </w:rPr>
        <w:t xml:space="preserve">Énergie atomique </w:t>
      </w:r>
      <w:r w:rsidRPr="00BD0A20" w:rsidDel="001C4755">
        <w:rPr>
          <w:rFonts w:cs="Times New Roman"/>
          <w:i/>
        </w:rPr>
        <w:t>Canada Lt</w:t>
      </w:r>
      <w:r w:rsidRPr="00BD0A20">
        <w:rPr>
          <w:rFonts w:cs="Times New Roman"/>
          <w:i/>
        </w:rPr>
        <w:t>ée</w:t>
      </w:r>
      <w:r w:rsidRPr="00BD0A20" w:rsidDel="001C4755">
        <w:rPr>
          <w:rFonts w:cs="Times New Roman"/>
          <w:i/>
        </w:rPr>
        <w:t>.</w:t>
      </w:r>
      <w:r w:rsidRPr="00BD0A20" w:rsidDel="001C4755">
        <w:rPr>
          <w:rFonts w:cs="Times New Roman"/>
        </w:rPr>
        <w:t xml:space="preserve">, [2016] 1 </w:t>
      </w:r>
      <w:r w:rsidRPr="00BD0A20">
        <w:rPr>
          <w:rFonts w:cs="Times New Roman"/>
        </w:rPr>
        <w:t>R.C.S.</w:t>
      </w:r>
      <w:r w:rsidRPr="00BD0A20" w:rsidDel="001C4755">
        <w:rPr>
          <w:rFonts w:cs="Times New Roman"/>
        </w:rPr>
        <w:t xml:space="preserve"> 770, </w:t>
      </w:r>
      <w:r w:rsidRPr="00BD0A20">
        <w:rPr>
          <w:rFonts w:cs="Times New Roman"/>
        </w:rPr>
        <w:t>par. </w:t>
      </w:r>
      <w:r w:rsidRPr="00BD0A20" w:rsidDel="001C4755">
        <w:rPr>
          <w:rFonts w:cs="Times New Roman"/>
        </w:rPr>
        <w:t xml:space="preserve">31, </w:t>
      </w:r>
      <w:r w:rsidRPr="00BD0A20">
        <w:rPr>
          <w:rFonts w:cs="Times New Roman"/>
        </w:rPr>
        <w:t>la juge Abella</w:t>
      </w:r>
      <w:r w:rsidRPr="00BD0A20" w:rsidDel="001C4755">
        <w:rPr>
          <w:rFonts w:cs="Times New Roman"/>
        </w:rPr>
        <w:t>).</w:t>
      </w:r>
    </w:p>
    <w:p w14:paraId="2E946350" w14:textId="3B6BF81E"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De plus, un des aspects essentiels de toute définition de la primauté du droit est l</w:t>
      </w:r>
      <w:r>
        <w:rPr>
          <w:rFonts w:cs="Times New Roman"/>
          <w:lang w:val="fr-CA"/>
        </w:rPr>
        <w:t>’</w:t>
      </w:r>
      <w:r w:rsidRPr="006B5BF6">
        <w:rPr>
          <w:rFonts w:cs="Times New Roman"/>
          <w:lang w:val="fr-CA"/>
        </w:rPr>
        <w:t xml:space="preserve">accès équitable et efficace à un mécanisme de règlement des différends propre à rendre justice en temps opportun </w:t>
      </w:r>
      <w:r w:rsidRPr="006B5BF6">
        <w:rPr>
          <w:rFonts w:cs="Times New Roman"/>
          <w:lang w:val="fr-CA" w:bidi="en-US"/>
        </w:rPr>
        <w:t>(</w:t>
      </w:r>
      <w:r w:rsidRPr="006B5BF6">
        <w:rPr>
          <w:rFonts w:cs="Times New Roman"/>
          <w:i/>
          <w:lang w:val="fr-CA" w:bidi="en-US"/>
        </w:rPr>
        <w:t>Hr</w:t>
      </w:r>
      <w:r>
        <w:rPr>
          <w:rFonts w:cs="Times New Roman"/>
          <w:i/>
          <w:lang w:val="fr-CA" w:bidi="en-US"/>
        </w:rPr>
        <w:t>y</w:t>
      </w:r>
      <w:r w:rsidRPr="006B5BF6">
        <w:rPr>
          <w:rFonts w:cs="Times New Roman"/>
          <w:i/>
          <w:lang w:val="fr-CA" w:bidi="en-US"/>
        </w:rPr>
        <w:t>niak c. Mauldin</w:t>
      </w:r>
      <w:r w:rsidRPr="006B5BF6">
        <w:rPr>
          <w:rFonts w:cs="Times New Roman"/>
          <w:lang w:val="fr-CA" w:bidi="en-US"/>
        </w:rPr>
        <w:t>, [2014] 1 R.C.S. 87, par. 1). Il s</w:t>
      </w:r>
      <w:r>
        <w:rPr>
          <w:rFonts w:cs="Times New Roman"/>
          <w:lang w:val="fr-CA" w:bidi="en-US"/>
        </w:rPr>
        <w:t>’</w:t>
      </w:r>
      <w:r w:rsidRPr="006B5BF6">
        <w:rPr>
          <w:rFonts w:cs="Times New Roman"/>
          <w:lang w:val="fr-CA" w:bidi="en-US"/>
        </w:rPr>
        <w:t>agit d</w:t>
      </w:r>
      <w:r>
        <w:rPr>
          <w:rFonts w:cs="Times New Roman"/>
          <w:lang w:val="fr-CA" w:bidi="en-US"/>
        </w:rPr>
        <w:t>’</w:t>
      </w:r>
      <w:r w:rsidRPr="006B5BF6">
        <w:rPr>
          <w:rFonts w:cs="Times New Roman"/>
          <w:lang w:val="fr-CA" w:bidi="en-US"/>
        </w:rPr>
        <w:t>un objectif important pour tous les justiciables, des consommateurs avertis de la justice administrative jusqu</w:t>
      </w:r>
      <w:r>
        <w:rPr>
          <w:rFonts w:cs="Times New Roman"/>
          <w:lang w:val="fr-CA" w:bidi="en-US"/>
        </w:rPr>
        <w:t>’</w:t>
      </w:r>
      <w:r w:rsidRPr="006B5BF6">
        <w:rPr>
          <w:rFonts w:cs="Times New Roman"/>
          <w:lang w:val="fr-CA" w:bidi="en-US"/>
        </w:rPr>
        <w:t>aux citoyens les plus vulnérables — et de manière plus significative pour ces derniers (Angus Grand et Lorne Sossin, « Fairness in Context</w:t>
      </w:r>
      <w:r w:rsidR="0088517B">
        <w:rPr>
          <w:rFonts w:cs="Times New Roman"/>
          <w:lang w:val="fr-CA" w:bidi="en-US"/>
        </w:rPr>
        <w:t> </w:t>
      </w:r>
      <w:r w:rsidRPr="006B5BF6">
        <w:rPr>
          <w:rFonts w:cs="Times New Roman"/>
          <w:lang w:val="fr-CA" w:bidi="en-US"/>
        </w:rPr>
        <w:t>: Achieving Fairness Through Access to Administrative Justice »</w:t>
      </w:r>
      <w:r>
        <w:rPr>
          <w:rFonts w:cs="Times New Roman"/>
          <w:lang w:val="fr-CA" w:bidi="en-US"/>
        </w:rPr>
        <w:t>, dans Colleen M. </w:t>
      </w:r>
      <w:r w:rsidR="00D41C0F">
        <w:rPr>
          <w:rFonts w:cs="Times New Roman"/>
          <w:lang w:val="fr-CA" w:bidi="en-US"/>
        </w:rPr>
        <w:t xml:space="preserve">Flood et Lorne Sossin, </w:t>
      </w:r>
      <w:r w:rsidR="00F4357A">
        <w:rPr>
          <w:rFonts w:cs="Times New Roman"/>
          <w:lang w:val="fr-CA" w:bidi="en-US"/>
        </w:rPr>
        <w:t>dir.</w:t>
      </w:r>
      <w:r w:rsidRPr="006B5BF6">
        <w:rPr>
          <w:rFonts w:cs="Times New Roman"/>
          <w:lang w:val="fr-CA" w:bidi="en-US"/>
        </w:rPr>
        <w:t xml:space="preserve">, </w:t>
      </w:r>
      <w:r w:rsidRPr="006B5BF6">
        <w:rPr>
          <w:rFonts w:cs="Times New Roman"/>
          <w:i/>
          <w:lang w:val="fr-CA" w:bidi="en-US"/>
        </w:rPr>
        <w:t>Administrative Law in Context</w:t>
      </w:r>
      <w:r w:rsidRPr="006B5BF6">
        <w:rPr>
          <w:rFonts w:cs="Times New Roman"/>
          <w:lang w:val="fr-CA" w:bidi="en-US"/>
        </w:rPr>
        <w:t xml:space="preserve"> (3</w:t>
      </w:r>
      <w:r w:rsidRPr="006B5BF6">
        <w:rPr>
          <w:rFonts w:cs="Times New Roman"/>
          <w:vertAlign w:val="superscript"/>
          <w:lang w:val="fr-CA" w:bidi="en-US"/>
        </w:rPr>
        <w:t>e</w:t>
      </w:r>
      <w:r w:rsidR="00F4357A">
        <w:rPr>
          <w:rFonts w:cs="Times New Roman"/>
          <w:lang w:val="fr-CA" w:bidi="en-US"/>
        </w:rPr>
        <w:t xml:space="preserve"> éd.</w:t>
      </w:r>
      <w:r w:rsidRPr="006B5BF6">
        <w:rPr>
          <w:rFonts w:cs="Times New Roman"/>
          <w:lang w:val="fr-CA" w:bidi="en-US"/>
        </w:rPr>
        <w:t xml:space="preserve"> 2018), 341, p. 342). Pour cette raison, l</w:t>
      </w:r>
      <w:r>
        <w:rPr>
          <w:rFonts w:cs="Times New Roman"/>
          <w:lang w:val="fr-CA" w:bidi="en-US"/>
        </w:rPr>
        <w:t>’</w:t>
      </w:r>
      <w:r w:rsidRPr="006B5BF6">
        <w:rPr>
          <w:rFonts w:cs="Times New Roman"/>
          <w:lang w:val="fr-CA" w:bidi="en-US"/>
        </w:rPr>
        <w:t>accès à la justice est au cœur du choix du législateur d</w:t>
      </w:r>
      <w:r>
        <w:rPr>
          <w:rFonts w:cs="Times New Roman"/>
          <w:lang w:val="fr-CA" w:bidi="en-US"/>
        </w:rPr>
        <w:t>’</w:t>
      </w:r>
      <w:r w:rsidRPr="006B5BF6">
        <w:rPr>
          <w:rFonts w:cs="Times New Roman"/>
          <w:lang w:val="fr-CA" w:bidi="en-US"/>
        </w:rPr>
        <w:t>instaurer un système de droit administratif solide (Grant et Sossin, p. </w:t>
      </w:r>
      <w:r>
        <w:rPr>
          <w:rFonts w:cs="Times New Roman"/>
          <w:lang w:val="fr-CA" w:bidi="en-US"/>
        </w:rPr>
        <w:t>342 et 369</w:t>
      </w:r>
      <w:r>
        <w:rPr>
          <w:rFonts w:cs="Times New Roman"/>
          <w:lang w:val="fr-CA" w:bidi="en-US"/>
        </w:rPr>
        <w:noBreakHyphen/>
      </w:r>
      <w:r w:rsidRPr="006B5BF6">
        <w:rPr>
          <w:rFonts w:cs="Times New Roman"/>
          <w:lang w:val="fr-CA" w:bidi="en-US"/>
        </w:rPr>
        <w:t xml:space="preserve">370; Van Harten </w:t>
      </w:r>
      <w:r w:rsidRPr="006B5BF6">
        <w:rPr>
          <w:rFonts w:cs="Times New Roman"/>
          <w:lang w:val="fr-CA"/>
        </w:rPr>
        <w:t xml:space="preserve">et </w:t>
      </w:r>
      <w:r w:rsidR="00F4357A">
        <w:rPr>
          <w:rFonts w:cs="Times New Roman"/>
          <w:lang w:val="fr-CA"/>
        </w:rPr>
        <w:t>autres</w:t>
      </w:r>
      <w:r w:rsidRPr="006B5BF6">
        <w:rPr>
          <w:rFonts w:cs="Times New Roman"/>
          <w:lang w:val="fr-CA"/>
        </w:rPr>
        <w:t xml:space="preserve">, </w:t>
      </w:r>
      <w:r w:rsidRPr="006B5BF6">
        <w:rPr>
          <w:rFonts w:cs="Times New Roman"/>
          <w:i/>
          <w:lang w:val="fr-CA"/>
        </w:rPr>
        <w:t>Administrative Law</w:t>
      </w:r>
      <w:r w:rsidRPr="006B5BF6">
        <w:rPr>
          <w:rFonts w:cs="Times New Roman"/>
          <w:lang w:val="fr-CA"/>
        </w:rPr>
        <w:t>, p. 17; Régimbald, p. 2</w:t>
      </w:r>
      <w:r>
        <w:rPr>
          <w:rFonts w:cs="Times New Roman"/>
          <w:lang w:val="fr-CA"/>
        </w:rPr>
        <w:noBreakHyphen/>
      </w:r>
      <w:r w:rsidRPr="006B5BF6">
        <w:rPr>
          <w:rFonts w:cs="Times New Roman"/>
          <w:lang w:val="fr-CA"/>
        </w:rPr>
        <w:t xml:space="preserve">3; </w:t>
      </w:r>
      <w:r w:rsidRPr="006B5BF6" w:rsidDel="001C4755">
        <w:rPr>
          <w:rFonts w:cs="Times New Roman"/>
          <w:lang w:val="fr-CA"/>
        </w:rPr>
        <w:t>McLac</w:t>
      </w:r>
      <w:r w:rsidRPr="006B5BF6">
        <w:rPr>
          <w:rFonts w:cs="Times New Roman"/>
          <w:lang w:val="fr-CA"/>
        </w:rPr>
        <w:t xml:space="preserve">hlin, </w:t>
      </w:r>
      <w:r w:rsidRPr="006B5BF6">
        <w:rPr>
          <w:rFonts w:cs="Times New Roman"/>
          <w:i/>
          <w:lang w:val="fr-CA"/>
        </w:rPr>
        <w:t>Administrative Tribunals and the Courts</w:t>
      </w:r>
      <w:r w:rsidR="002B7FB6">
        <w:rPr>
          <w:rFonts w:cs="Times New Roman"/>
          <w:i/>
          <w:lang w:val="fr-CA"/>
        </w:rPr>
        <w:t> </w:t>
      </w:r>
      <w:r w:rsidRPr="006B5BF6">
        <w:rPr>
          <w:rFonts w:cs="Times New Roman"/>
          <w:i/>
          <w:lang w:val="fr-CA"/>
        </w:rPr>
        <w:t>: An Evolutionary Relationship</w:t>
      </w:r>
      <w:r w:rsidRPr="006B5BF6">
        <w:rPr>
          <w:rFonts w:cs="Times New Roman"/>
          <w:lang w:val="fr-CA"/>
        </w:rPr>
        <w:t>)</w:t>
      </w:r>
      <w:r w:rsidRPr="006B5BF6">
        <w:rPr>
          <w:rFonts w:cs="Times New Roman"/>
          <w:lang w:val="fr-CA" w:bidi="en-US"/>
        </w:rPr>
        <w:t>. Comme le juge d</w:t>
      </w:r>
      <w:r>
        <w:rPr>
          <w:rFonts w:cs="Times New Roman"/>
          <w:lang w:val="fr-CA" w:bidi="en-US"/>
        </w:rPr>
        <w:t>’</w:t>
      </w:r>
      <w:r w:rsidRPr="006B5BF6">
        <w:rPr>
          <w:rFonts w:cs="Times New Roman"/>
          <w:lang w:val="fr-CA" w:bidi="en-US"/>
        </w:rPr>
        <w:t>appel Morissette l</w:t>
      </w:r>
      <w:r>
        <w:rPr>
          <w:rFonts w:cs="Times New Roman"/>
          <w:lang w:val="fr-CA" w:bidi="en-US"/>
        </w:rPr>
        <w:t>’</w:t>
      </w:r>
      <w:r w:rsidRPr="006B5BF6">
        <w:rPr>
          <w:rFonts w:cs="Times New Roman"/>
          <w:lang w:val="fr-CA" w:bidi="en-US"/>
        </w:rPr>
        <w:t>a fait observer :</w:t>
      </w:r>
    </w:p>
    <w:p w14:paraId="1E7DF502" w14:textId="6D5C7F6A" w:rsidR="00AE2373" w:rsidRPr="006B5BF6" w:rsidRDefault="00AE2373" w:rsidP="00AE2373">
      <w:pPr>
        <w:pStyle w:val="Citation-AltC"/>
        <w:spacing w:after="240"/>
        <w:ind w:hanging="446"/>
        <w:contextualSpacing w:val="0"/>
        <w:rPr>
          <w:spacing w:val="-3"/>
          <w:lang w:val="fr-CA"/>
        </w:rPr>
      </w:pPr>
      <w:r w:rsidRPr="006B5BF6">
        <w:rPr>
          <w:lang w:val="fr-CA"/>
        </w:rPr>
        <w:tab/>
      </w:r>
      <w:r w:rsidR="00F4357A" w:rsidRPr="006B5BF6">
        <w:rPr>
          <w:lang w:val="fr-CA"/>
        </w:rPr>
        <w:t>[</w:t>
      </w:r>
      <w:r w:rsidR="00F4357A" w:rsidRPr="006B5BF6">
        <w:rPr>
          <w:smallCaps/>
          <w:lang w:val="fr-CA"/>
        </w:rPr>
        <w:t>traduction</w:t>
      </w:r>
      <w:r w:rsidR="00F4357A" w:rsidRPr="006B5BF6">
        <w:rPr>
          <w:lang w:val="fr-CA"/>
        </w:rPr>
        <w:t>]</w:t>
      </w:r>
      <w:r w:rsidR="000849A8">
        <w:rPr>
          <w:lang w:val="fr-CA"/>
        </w:rPr>
        <w:t xml:space="preserve"> . </w:t>
      </w:r>
      <w:r w:rsidR="00F4357A">
        <w:rPr>
          <w:lang w:val="fr-CA"/>
        </w:rPr>
        <w:t>.</w:t>
      </w:r>
      <w:r w:rsidR="000849A8">
        <w:rPr>
          <w:lang w:val="fr-CA"/>
        </w:rPr>
        <w:t> </w:t>
      </w:r>
      <w:r w:rsidR="00F4357A">
        <w:rPr>
          <w:lang w:val="fr-CA"/>
        </w:rPr>
        <w:t xml:space="preserve">. </w:t>
      </w:r>
      <w:r w:rsidRPr="006B5BF6">
        <w:rPr>
          <w:lang w:val="fr-CA"/>
        </w:rPr>
        <w:t>les objectifs du droit administratif [. . .] sont en règle générale axés sur la promotion de l</w:t>
      </w:r>
      <w:r>
        <w:rPr>
          <w:lang w:val="fr-CA"/>
        </w:rPr>
        <w:t>’</w:t>
      </w:r>
      <w:r w:rsidRPr="006B5BF6">
        <w:rPr>
          <w:lang w:val="fr-CA"/>
        </w:rPr>
        <w:t>accès à la justice. Parmi les moyens envisagés, mentionnons les mesures peu coûteuses, simples et expéditives, l</w:t>
      </w:r>
      <w:r>
        <w:rPr>
          <w:lang w:val="fr-CA"/>
        </w:rPr>
        <w:t>’</w:t>
      </w:r>
      <w:r w:rsidRPr="006B5BF6">
        <w:rPr>
          <w:lang w:val="fr-CA"/>
        </w:rPr>
        <w:t>expertise des décideurs, la cohérence des motifs, l</w:t>
      </w:r>
      <w:r>
        <w:rPr>
          <w:lang w:val="fr-CA"/>
        </w:rPr>
        <w:t>’</w:t>
      </w:r>
      <w:r w:rsidRPr="006B5BF6">
        <w:rPr>
          <w:lang w:val="fr-CA"/>
        </w:rPr>
        <w:t>uniformité des résultats et le caractère définitif des décisions.</w:t>
      </w:r>
    </w:p>
    <w:p w14:paraId="612D0CBD" w14:textId="1109F710" w:rsidR="00AE2373" w:rsidRPr="006B5BF6" w:rsidRDefault="00AE2373" w:rsidP="00F4357A">
      <w:pPr>
        <w:pStyle w:val="Citation-AltC"/>
        <w:ind w:left="0"/>
        <w:contextualSpacing w:val="0"/>
      </w:pPr>
      <w:r w:rsidRPr="006B5BF6">
        <w:rPr>
          <w:spacing w:val="-3"/>
          <w:lang w:val="en-US"/>
        </w:rPr>
        <w:t>(Yves</w:t>
      </w:r>
      <w:r w:rsidRPr="006B5BF6">
        <w:rPr>
          <w:spacing w:val="-3"/>
          <w:lang w:val="en-US"/>
        </w:rPr>
        <w:noBreakHyphen/>
        <w:t xml:space="preserve">Marie Morissette, </w:t>
      </w:r>
      <w:r w:rsidRPr="006B5BF6">
        <w:rPr>
          <w:spacing w:val="-3"/>
        </w:rPr>
        <w:t>« What is a “reasonable decision”</w:t>
      </w:r>
      <w:r>
        <w:rPr>
          <w:spacing w:val="-3"/>
        </w:rPr>
        <w:t>?</w:t>
      </w:r>
      <w:r w:rsidRPr="006B5BF6">
        <w:rPr>
          <w:spacing w:val="-3"/>
        </w:rPr>
        <w:t xml:space="preserve"> » (2018), 31 </w:t>
      </w:r>
      <w:r w:rsidRPr="006B5BF6">
        <w:rPr>
          <w:i/>
          <w:spacing w:val="-3"/>
        </w:rPr>
        <w:t xml:space="preserve">R.C.D.A.P. </w:t>
      </w:r>
      <w:r w:rsidRPr="006B5BF6">
        <w:rPr>
          <w:spacing w:val="-3"/>
        </w:rPr>
        <w:t>225, p. 236)</w:t>
      </w:r>
    </w:p>
    <w:p w14:paraId="184EA5A6"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bidi="en-US"/>
        </w:rPr>
        <w:lastRenderedPageBreak/>
        <w:t>Ces objectifs sont compromis lorsqu</w:t>
      </w:r>
      <w:r>
        <w:rPr>
          <w:rFonts w:cs="Times New Roman"/>
          <w:lang w:val="fr-CA" w:bidi="en-US"/>
        </w:rPr>
        <w:t>’</w:t>
      </w:r>
      <w:r w:rsidRPr="006B5BF6">
        <w:rPr>
          <w:rFonts w:cs="Times New Roman"/>
          <w:lang w:val="fr-CA" w:bidi="en-US"/>
        </w:rPr>
        <w:t>on invoque une conception étroite de la « primauté du droit » pour imposer l</w:t>
      </w:r>
      <w:r>
        <w:rPr>
          <w:rFonts w:cs="Times New Roman"/>
          <w:lang w:val="fr-CA" w:bidi="en-US"/>
        </w:rPr>
        <w:t>’</w:t>
      </w:r>
      <w:r w:rsidRPr="006B5BF6">
        <w:rPr>
          <w:rFonts w:cs="Times New Roman"/>
          <w:lang w:val="fr-CA" w:bidi="en-US"/>
        </w:rPr>
        <w:t>hégémonie judiciaire aux décideurs administratifs. Ce faisant, on pervertit l</w:t>
      </w:r>
      <w:r>
        <w:rPr>
          <w:rFonts w:cs="Times New Roman"/>
          <w:lang w:val="fr-CA" w:bidi="en-US"/>
        </w:rPr>
        <w:t>’</w:t>
      </w:r>
      <w:r w:rsidRPr="006B5BF6">
        <w:rPr>
          <w:rFonts w:cs="Times New Roman"/>
          <w:lang w:val="fr-CA" w:bidi="en-US"/>
        </w:rPr>
        <w:t>objectif d</w:t>
      </w:r>
      <w:r>
        <w:rPr>
          <w:rFonts w:cs="Times New Roman"/>
          <w:lang w:val="fr-CA" w:bidi="en-US"/>
        </w:rPr>
        <w:t>’</w:t>
      </w:r>
      <w:r w:rsidRPr="006B5BF6">
        <w:rPr>
          <w:rFonts w:cs="Times New Roman"/>
          <w:lang w:val="fr-CA" w:bidi="en-US"/>
        </w:rPr>
        <w:t>établir un système parallèle de justice administrative et on augmente inutilement les coûts et la complexité pour le public.</w:t>
      </w:r>
    </w:p>
    <w:p w14:paraId="1C3595DE" w14:textId="4657CB12"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Les juges majoritaires vont même jusqu</w:t>
      </w:r>
      <w:r>
        <w:rPr>
          <w:rFonts w:cs="Times New Roman"/>
          <w:lang w:val="fr-CA"/>
        </w:rPr>
        <w:t>’</w:t>
      </w:r>
      <w:r w:rsidRPr="006B5BF6">
        <w:rPr>
          <w:rFonts w:cs="Times New Roman"/>
          <w:lang w:val="fr-CA"/>
        </w:rPr>
        <w:t xml:space="preserve">à réclamer une reformulation de la catégorie des </w:t>
      </w:r>
      <w:r w:rsidRPr="006B5BF6">
        <w:rPr>
          <w:rFonts w:cs="Times New Roman"/>
          <w:noProof/>
          <w:lang w:val="fr-CA" w:bidi="en-US"/>
        </w:rPr>
        <w:t>« questions d</w:t>
      </w:r>
      <w:r>
        <w:rPr>
          <w:rFonts w:cs="Times New Roman"/>
          <w:noProof/>
          <w:lang w:val="fr-CA" w:bidi="en-US"/>
        </w:rPr>
        <w:t>’</w:t>
      </w:r>
      <w:r w:rsidRPr="006B5BF6">
        <w:rPr>
          <w:rFonts w:cs="Times New Roman"/>
          <w:noProof/>
          <w:lang w:val="fr-CA" w:bidi="en-US"/>
        </w:rPr>
        <w:t>importance capitale » tirée de l</w:t>
      </w:r>
      <w:r>
        <w:rPr>
          <w:rFonts w:cs="Times New Roman"/>
          <w:noProof/>
          <w:lang w:val="fr-CA" w:bidi="en-US"/>
        </w:rPr>
        <w:t>’</w:t>
      </w:r>
      <w:r w:rsidRPr="006B5BF6">
        <w:rPr>
          <w:rFonts w:cs="Times New Roman"/>
          <w:noProof/>
          <w:lang w:val="fr-CA" w:bidi="en-US"/>
        </w:rPr>
        <w:t xml:space="preserve">arrêt </w:t>
      </w:r>
      <w:r w:rsidRPr="006B5BF6">
        <w:rPr>
          <w:rFonts w:cs="Times New Roman"/>
          <w:i/>
          <w:lang w:val="fr-CA"/>
        </w:rPr>
        <w:t>Dunsmuir</w:t>
      </w:r>
      <w:r w:rsidRPr="006B5BF6">
        <w:rPr>
          <w:rFonts w:cs="Times New Roman"/>
          <w:lang w:val="fr-CA"/>
        </w:rPr>
        <w:t xml:space="preserve"> qui permettrait aux </w:t>
      </w:r>
      <w:r>
        <w:rPr>
          <w:rFonts w:cs="Times New Roman"/>
          <w:lang w:val="fr-CA"/>
        </w:rPr>
        <w:t>cours</w:t>
      </w:r>
      <w:r w:rsidRPr="006B5BF6">
        <w:rPr>
          <w:rFonts w:cs="Times New Roman"/>
          <w:lang w:val="fr-CA"/>
        </w:rPr>
        <w:t xml:space="preserve"> de substituer leur opinion à celle des décideurs administratifs sur des questions </w:t>
      </w:r>
      <w:r w:rsidRPr="006B5BF6">
        <w:rPr>
          <w:rFonts w:cs="Times New Roman"/>
          <w:noProof/>
          <w:lang w:val="fr-CA" w:bidi="en-US"/>
        </w:rPr>
        <w:t>qui sont « d</w:t>
      </w:r>
      <w:r>
        <w:rPr>
          <w:rFonts w:cs="Times New Roman"/>
          <w:noProof/>
          <w:lang w:val="fr-CA" w:bidi="en-US"/>
        </w:rPr>
        <w:t>’</w:t>
      </w:r>
      <w:r w:rsidRPr="006B5BF6">
        <w:rPr>
          <w:rFonts w:cs="Times New Roman"/>
          <w:noProof/>
          <w:lang w:val="fr-CA" w:bidi="en-US"/>
        </w:rPr>
        <w:t>importance capitale pour le système juridique dans son ensemble », même si ces questions relèvent nettement du mandat et de l</w:t>
      </w:r>
      <w:r>
        <w:rPr>
          <w:rFonts w:cs="Times New Roman"/>
          <w:noProof/>
          <w:lang w:val="fr-CA" w:bidi="en-US"/>
        </w:rPr>
        <w:t>’</w:t>
      </w:r>
      <w:r w:rsidRPr="006B5BF6">
        <w:rPr>
          <w:rFonts w:cs="Times New Roman"/>
          <w:noProof/>
          <w:lang w:val="fr-CA" w:bidi="en-US"/>
        </w:rPr>
        <w:t>expertise du décideur administratif</w:t>
      </w:r>
      <w:r w:rsidRPr="006B5BF6">
        <w:rPr>
          <w:rFonts w:cs="Times New Roman"/>
          <w:lang w:val="fr-CA"/>
        </w:rPr>
        <w:t>. Tel que la Cour l</w:t>
      </w:r>
      <w:r>
        <w:rPr>
          <w:rFonts w:cs="Times New Roman"/>
          <w:lang w:val="fr-CA"/>
        </w:rPr>
        <w:t>’</w:t>
      </w:r>
      <w:r w:rsidRPr="006B5BF6">
        <w:rPr>
          <w:rFonts w:cs="Times New Roman"/>
          <w:lang w:val="fr-CA"/>
        </w:rPr>
        <w:t xml:space="preserve">a signalé dans </w:t>
      </w:r>
      <w:r w:rsidRPr="006B5BF6">
        <w:rPr>
          <w:rFonts w:cs="Times New Roman"/>
          <w:i/>
          <w:lang w:val="fr-CA"/>
        </w:rPr>
        <w:t>Commission canadienne des droits de la personne</w:t>
      </w:r>
      <w:r w:rsidRPr="006B5BF6">
        <w:rPr>
          <w:rFonts w:cs="Times New Roman"/>
          <w:lang w:val="fr-CA"/>
        </w:rPr>
        <w:t>, le contrôle selon la norme de la décision correcte n</w:t>
      </w:r>
      <w:r>
        <w:rPr>
          <w:rFonts w:cs="Times New Roman"/>
          <w:lang w:val="fr-CA"/>
        </w:rPr>
        <w:t>’</w:t>
      </w:r>
      <w:r w:rsidRPr="006B5BF6">
        <w:rPr>
          <w:rFonts w:cs="Times New Roman"/>
          <w:lang w:val="fr-CA"/>
        </w:rPr>
        <w:t>était permis que pour les questions « d</w:t>
      </w:r>
      <w:r>
        <w:rPr>
          <w:rFonts w:cs="Times New Roman"/>
          <w:lang w:val="fr-CA"/>
        </w:rPr>
        <w:t>’</w:t>
      </w:r>
      <w:r w:rsidRPr="006B5BF6">
        <w:rPr>
          <w:rFonts w:cs="Times New Roman"/>
          <w:lang w:val="fr-CA"/>
        </w:rPr>
        <w:t xml:space="preserve">importance capitale pour le système juridique </w:t>
      </w:r>
      <w:r w:rsidRPr="006B5BF6">
        <w:rPr>
          <w:rFonts w:cs="Times New Roman"/>
          <w:i/>
          <w:lang w:val="fr-CA"/>
        </w:rPr>
        <w:t>et</w:t>
      </w:r>
      <w:r w:rsidRPr="006B5BF6">
        <w:rPr>
          <w:rFonts w:cs="Times New Roman"/>
          <w:lang w:val="fr-CA"/>
        </w:rPr>
        <w:t xml:space="preserve"> qui échappent au domaine d</w:t>
      </w:r>
      <w:r>
        <w:rPr>
          <w:rFonts w:cs="Times New Roman"/>
          <w:lang w:val="fr-CA"/>
        </w:rPr>
        <w:t>’</w:t>
      </w:r>
      <w:r w:rsidRPr="006B5BF6">
        <w:rPr>
          <w:rFonts w:cs="Times New Roman"/>
          <w:lang w:val="fr-CA"/>
        </w:rPr>
        <w:t>expertise de l</w:t>
      </w:r>
      <w:r>
        <w:rPr>
          <w:rFonts w:cs="Times New Roman"/>
          <w:lang w:val="fr-CA"/>
        </w:rPr>
        <w:t>’</w:t>
      </w:r>
      <w:r w:rsidRPr="006B5BF6">
        <w:rPr>
          <w:rFonts w:cs="Times New Roman"/>
          <w:lang w:val="fr-CA"/>
        </w:rPr>
        <w:t>arbitre » (par. 28 (en italique dans l</w:t>
      </w:r>
      <w:r>
        <w:rPr>
          <w:rFonts w:cs="Times New Roman"/>
          <w:lang w:val="fr-CA"/>
        </w:rPr>
        <w:t>’</w:t>
      </w:r>
      <w:r w:rsidRPr="006B5BF6">
        <w:rPr>
          <w:rFonts w:cs="Times New Roman"/>
          <w:lang w:val="fr-CA"/>
        </w:rPr>
        <w:t>original)</w:t>
      </w:r>
      <w:r w:rsidR="00F4357A">
        <w:rPr>
          <w:rFonts w:cs="Times New Roman"/>
          <w:lang w:val="fr-CA"/>
        </w:rPr>
        <w:t>)</w:t>
      </w:r>
      <w:r w:rsidRPr="006B5BF6">
        <w:rPr>
          <w:rFonts w:cs="Times New Roman"/>
          <w:lang w:val="fr-CA"/>
        </w:rPr>
        <w:t>. Étendre cette catégorie par rapport à son acception initiale a pour conséquence d</w:t>
      </w:r>
      <w:r>
        <w:rPr>
          <w:rFonts w:cs="Times New Roman"/>
          <w:lang w:val="fr-CA"/>
        </w:rPr>
        <w:t>’</w:t>
      </w:r>
      <w:r w:rsidRPr="006B5BF6">
        <w:rPr>
          <w:rFonts w:cs="Times New Roman"/>
          <w:lang w:val="fr-CA"/>
        </w:rPr>
        <w:t xml:space="preserve">étendre indûment les questions pour lesquelles les </w:t>
      </w:r>
      <w:r>
        <w:rPr>
          <w:rFonts w:cs="Times New Roman"/>
          <w:lang w:val="fr-CA"/>
        </w:rPr>
        <w:t>cours</w:t>
      </w:r>
      <w:r w:rsidRPr="006B5BF6">
        <w:rPr>
          <w:rFonts w:cs="Times New Roman"/>
          <w:lang w:val="fr-CA"/>
        </w:rPr>
        <w:t xml:space="preserve"> peuvent substituer leur propre opinion à celle des décideurs administratifs. En théorie, les enjeux de discrimination, de droits des travailleurs et de réglementation économique des marchés des valeurs mobilières (pour n</w:t>
      </w:r>
      <w:r>
        <w:rPr>
          <w:rFonts w:cs="Times New Roman"/>
          <w:lang w:val="fr-CA"/>
        </w:rPr>
        <w:t>’</w:t>
      </w:r>
      <w:r w:rsidRPr="006B5BF6">
        <w:rPr>
          <w:rFonts w:cs="Times New Roman"/>
          <w:lang w:val="fr-CA"/>
        </w:rPr>
        <w:t>en mentionner que quelques</w:t>
      </w:r>
      <w:r w:rsidRPr="006B5BF6">
        <w:rPr>
          <w:rFonts w:cs="Times New Roman"/>
          <w:lang w:val="fr-CA"/>
        </w:rPr>
        <w:noBreakHyphen/>
        <w:t>uns) soulèvent des questions qui revêtent une importance vitale pour le Canada et son système juridique. Mais en ignorant l</w:t>
      </w:r>
      <w:r>
        <w:rPr>
          <w:rFonts w:cs="Times New Roman"/>
          <w:lang w:val="fr-CA"/>
        </w:rPr>
        <w:t>’</w:t>
      </w:r>
      <w:r w:rsidRPr="006B5BF6">
        <w:rPr>
          <w:rFonts w:cs="Times New Roman"/>
          <w:lang w:val="fr-CA"/>
        </w:rPr>
        <w:t>expertise des décideurs administratifs sur les questions susmentionnées, cette catégorie fera immanquablement augmenter le [</w:t>
      </w:r>
      <w:r w:rsidRPr="006B5BF6">
        <w:rPr>
          <w:rFonts w:cs="Times New Roman"/>
          <w:smallCaps/>
          <w:lang w:val="fr-CA"/>
        </w:rPr>
        <w:t>traduction</w:t>
      </w:r>
      <w:r w:rsidRPr="006B5BF6">
        <w:rPr>
          <w:rFonts w:cs="Times New Roman"/>
          <w:lang w:val="fr-CA"/>
        </w:rPr>
        <w:t>] « risque d</w:t>
      </w:r>
      <w:r>
        <w:rPr>
          <w:rFonts w:cs="Times New Roman"/>
          <w:lang w:val="fr-CA"/>
        </w:rPr>
        <w:t>’</w:t>
      </w:r>
      <w:r w:rsidRPr="006B5BF6">
        <w:rPr>
          <w:rFonts w:cs="Times New Roman"/>
          <w:lang w:val="fr-CA"/>
        </w:rPr>
        <w:t xml:space="preserve">erreurs et de manipulation » </w:t>
      </w:r>
      <w:r w:rsidRPr="006B5BF6">
        <w:rPr>
          <w:rFonts w:cs="Times New Roman"/>
          <w:lang w:val="fr-CA" w:bidi="en-US"/>
        </w:rPr>
        <w:t xml:space="preserve">(Andrew Green, « Can There Be Too Much Context in Administrative Law? </w:t>
      </w:r>
      <w:r w:rsidRPr="006B5BF6">
        <w:rPr>
          <w:rFonts w:cs="Times New Roman"/>
          <w:lang w:bidi="en-US"/>
        </w:rPr>
        <w:t xml:space="preserve">Setting the Standard of Review in Canadian </w:t>
      </w:r>
      <w:r w:rsidRPr="006B5BF6">
        <w:rPr>
          <w:rFonts w:cs="Times New Roman"/>
          <w:lang w:bidi="en-US"/>
        </w:rPr>
        <w:lastRenderedPageBreak/>
        <w:t xml:space="preserve">Administrative Law » (2014), 47 </w:t>
      </w:r>
      <w:r w:rsidRPr="006B5BF6">
        <w:rPr>
          <w:rFonts w:cs="Times New Roman"/>
          <w:i/>
          <w:lang w:bidi="en-US"/>
        </w:rPr>
        <w:t>U.B.C. L. Rev.</w:t>
      </w:r>
      <w:r w:rsidRPr="006B5BF6">
        <w:rPr>
          <w:rFonts w:cs="Times New Roman"/>
          <w:lang w:bidi="en-US"/>
        </w:rPr>
        <w:t xml:space="preserve"> 443, p. 483). </w:t>
      </w:r>
      <w:r w:rsidRPr="006B5BF6">
        <w:rPr>
          <w:rFonts w:cs="Times New Roman"/>
          <w:lang w:val="fr-CA" w:bidi="en-US"/>
        </w:rPr>
        <w:t>Nous estimons qu</w:t>
      </w:r>
      <w:r>
        <w:rPr>
          <w:rFonts w:cs="Times New Roman"/>
          <w:lang w:val="fr-CA" w:bidi="en-US"/>
        </w:rPr>
        <w:t>’</w:t>
      </w:r>
      <w:r w:rsidRPr="006B5BF6">
        <w:rPr>
          <w:rFonts w:cs="Times New Roman"/>
          <w:lang w:val="fr-CA" w:bidi="en-US"/>
        </w:rPr>
        <w:t>il n</w:t>
      </w:r>
      <w:r>
        <w:rPr>
          <w:rFonts w:cs="Times New Roman"/>
          <w:lang w:val="fr-CA" w:bidi="en-US"/>
        </w:rPr>
        <w:t>’</w:t>
      </w:r>
      <w:r w:rsidRPr="006B5BF6">
        <w:rPr>
          <w:rFonts w:cs="Times New Roman"/>
          <w:lang w:val="fr-CA" w:bidi="en-US"/>
        </w:rPr>
        <w:t>y a pas lieu de modifier la définition de cette catégorie proposée dans l</w:t>
      </w:r>
      <w:r>
        <w:rPr>
          <w:rFonts w:cs="Times New Roman"/>
          <w:lang w:val="fr-CA" w:bidi="en-US"/>
        </w:rPr>
        <w:t>’</w:t>
      </w:r>
      <w:r w:rsidRPr="006B5BF6">
        <w:rPr>
          <w:rFonts w:cs="Times New Roman"/>
          <w:lang w:val="fr-CA" w:bidi="en-US"/>
        </w:rPr>
        <w:t xml:space="preserve">arrêt </w:t>
      </w:r>
      <w:r w:rsidRPr="006B5BF6">
        <w:rPr>
          <w:rFonts w:cs="Times New Roman"/>
          <w:i/>
          <w:lang w:val="fr-CA" w:bidi="en-US"/>
        </w:rPr>
        <w:t>Dunsmuir</w:t>
      </w:r>
      <w:r w:rsidRPr="00092343">
        <w:rPr>
          <w:rStyle w:val="Hyperlink"/>
          <w:vertAlign w:val="superscript"/>
        </w:rPr>
        <w:footnoteReference w:id="1"/>
      </w:r>
      <w:r w:rsidRPr="006B5BF6">
        <w:rPr>
          <w:rFonts w:cs="Times New Roman"/>
          <w:i/>
          <w:lang w:val="fr-CA" w:bidi="en-US"/>
        </w:rPr>
        <w:t>.</w:t>
      </w:r>
    </w:p>
    <w:p w14:paraId="4EC320D7" w14:textId="47BBB005"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Nous sommes également en désaccord avec la reformulation de la notion de « l</w:t>
      </w:r>
      <w:r>
        <w:rPr>
          <w:rFonts w:cs="Times New Roman"/>
          <w:lang w:val="fr-CA"/>
        </w:rPr>
        <w:t>’</w:t>
      </w:r>
      <w:r w:rsidRPr="006B5BF6">
        <w:rPr>
          <w:rFonts w:cs="Times New Roman"/>
          <w:lang w:val="fr-CA"/>
        </w:rPr>
        <w:t xml:space="preserve">intention du législateur » proposée par la majorité, qui invite pour la première fois les </w:t>
      </w:r>
      <w:r>
        <w:rPr>
          <w:rFonts w:cs="Times New Roman"/>
          <w:lang w:val="fr-CA"/>
        </w:rPr>
        <w:t>cours</w:t>
      </w:r>
      <w:r w:rsidRPr="006B5BF6">
        <w:rPr>
          <w:rFonts w:cs="Times New Roman"/>
          <w:lang w:val="fr-CA"/>
        </w:rPr>
        <w:t xml:space="preserve"> </w:t>
      </w:r>
      <w:r>
        <w:rPr>
          <w:rFonts w:cs="Times New Roman"/>
          <w:lang w:val="fr-CA"/>
        </w:rPr>
        <w:t xml:space="preserve">de révision </w:t>
      </w:r>
      <w:r w:rsidRPr="006B5BF6">
        <w:rPr>
          <w:rFonts w:cs="Times New Roman"/>
          <w:lang w:val="fr-CA"/>
        </w:rPr>
        <w:t>à appliquer la norme de contrôle de la décision correcte à des questions de droit lorsqu</w:t>
      </w:r>
      <w:r>
        <w:rPr>
          <w:rFonts w:cs="Times New Roman"/>
          <w:lang w:val="fr-CA"/>
        </w:rPr>
        <w:t>’</w:t>
      </w:r>
      <w:r w:rsidRPr="006B5BF6">
        <w:rPr>
          <w:rFonts w:cs="Times New Roman"/>
          <w:lang w:val="fr-CA"/>
        </w:rPr>
        <w:t>un régime administratif prévoit un droit d</w:t>
      </w:r>
      <w:r>
        <w:rPr>
          <w:rFonts w:cs="Times New Roman"/>
          <w:lang w:val="fr-CA"/>
        </w:rPr>
        <w:t>’</w:t>
      </w:r>
      <w:r w:rsidRPr="006B5BF6">
        <w:rPr>
          <w:rFonts w:cs="Times New Roman"/>
          <w:lang w:val="fr-CA"/>
        </w:rPr>
        <w:t>appel. Nous ne voyons pas en quoi l</w:t>
      </w:r>
      <w:r>
        <w:rPr>
          <w:rFonts w:cs="Times New Roman"/>
          <w:lang w:val="fr-CA"/>
        </w:rPr>
        <w:t>’</w:t>
      </w:r>
      <w:r w:rsidRPr="006B5BF6">
        <w:rPr>
          <w:rFonts w:cs="Times New Roman"/>
          <w:lang w:val="fr-CA"/>
        </w:rPr>
        <w:t>existence de droits d</w:t>
      </w:r>
      <w:r>
        <w:rPr>
          <w:rFonts w:cs="Times New Roman"/>
          <w:lang w:val="fr-CA"/>
        </w:rPr>
        <w:t>’</w:t>
      </w:r>
      <w:r w:rsidRPr="006B5BF6">
        <w:rPr>
          <w:rFonts w:cs="Times New Roman"/>
          <w:lang w:val="fr-CA"/>
        </w:rPr>
        <w:t>appel crée un « régime institutionnel différent » qui commanderait un contrôle plus fouillé. Le simple fait qu</w:t>
      </w:r>
      <w:r>
        <w:rPr>
          <w:rFonts w:cs="Times New Roman"/>
          <w:lang w:val="fr-CA"/>
        </w:rPr>
        <w:t>’</w:t>
      </w:r>
      <w:r w:rsidRPr="006B5BF6">
        <w:rPr>
          <w:rFonts w:cs="Times New Roman"/>
          <w:lang w:val="fr-CA"/>
        </w:rPr>
        <w:t>une loi envisage la possibilité pour une cour de justice d</w:t>
      </w:r>
      <w:r>
        <w:rPr>
          <w:rFonts w:cs="Times New Roman"/>
          <w:lang w:val="fr-CA"/>
        </w:rPr>
        <w:t>’</w:t>
      </w:r>
      <w:r w:rsidRPr="006B5BF6">
        <w:rPr>
          <w:rFonts w:cs="Times New Roman"/>
          <w:lang w:val="fr-CA"/>
        </w:rPr>
        <w:t xml:space="preserve">exercer un contrôle ne permet pas de tirer de conclusions quant au </w:t>
      </w:r>
      <w:r w:rsidRPr="006B5BF6">
        <w:rPr>
          <w:rFonts w:cs="Times New Roman"/>
          <w:i/>
          <w:lang w:val="fr-CA"/>
        </w:rPr>
        <w:t xml:space="preserve">degré de déférence </w:t>
      </w:r>
      <w:r w:rsidRPr="006B5BF6">
        <w:rPr>
          <w:rFonts w:cs="Times New Roman"/>
          <w:lang w:val="fr-CA"/>
        </w:rPr>
        <w:t>requis lors du contrôle en question. Les droits d</w:t>
      </w:r>
      <w:r>
        <w:rPr>
          <w:rFonts w:cs="Times New Roman"/>
          <w:lang w:val="fr-CA"/>
        </w:rPr>
        <w:t>’</w:t>
      </w:r>
      <w:r w:rsidRPr="006B5BF6">
        <w:rPr>
          <w:rFonts w:cs="Times New Roman"/>
          <w:lang w:val="fr-CA"/>
        </w:rPr>
        <w:t>appel reflètent les divers choix faits par diverses législatures pour permettre le contrôle judiciaire, pour diverses raisons, notamment le contrôle des questions de fait, des questions de droit, des questions mixtes de fait et de droit et de la façon dont a été exercé un pouvoir discrétionnaire. Le fait d</w:t>
      </w:r>
      <w:r>
        <w:rPr>
          <w:rFonts w:cs="Times New Roman"/>
          <w:lang w:val="fr-CA"/>
        </w:rPr>
        <w:t>’</w:t>
      </w:r>
      <w:r w:rsidRPr="006B5BF6">
        <w:rPr>
          <w:rFonts w:cs="Times New Roman"/>
          <w:lang w:val="fr-CA"/>
        </w:rPr>
        <w:t xml:space="preserve">accorder aux parties </w:t>
      </w:r>
      <w:r w:rsidR="00F4357A">
        <w:rPr>
          <w:rFonts w:cs="Times New Roman"/>
          <w:lang w:val="fr-CA"/>
        </w:rPr>
        <w:t>un</w:t>
      </w:r>
      <w:r w:rsidRPr="006B5BF6">
        <w:rPr>
          <w:rFonts w:cs="Times New Roman"/>
          <w:lang w:val="fr-CA"/>
        </w:rPr>
        <w:t xml:space="preserve"> droit d</w:t>
      </w:r>
      <w:r>
        <w:rPr>
          <w:rFonts w:cs="Times New Roman"/>
          <w:lang w:val="fr-CA"/>
        </w:rPr>
        <w:t>’</w:t>
      </w:r>
      <w:r w:rsidRPr="006B5BF6">
        <w:rPr>
          <w:rFonts w:cs="Times New Roman"/>
          <w:lang w:val="fr-CA"/>
        </w:rPr>
        <w:t>appel peut servir plusieurs fins totalement étrangères à la norme de contrôle, notamment préciser quel</w:t>
      </w:r>
      <w:r>
        <w:rPr>
          <w:rFonts w:cs="Times New Roman"/>
          <w:lang w:val="fr-CA"/>
        </w:rPr>
        <w:t>le</w:t>
      </w:r>
      <w:r w:rsidRPr="006B5BF6">
        <w:rPr>
          <w:rFonts w:cs="Times New Roman"/>
          <w:lang w:val="fr-CA"/>
        </w:rPr>
        <w:t xml:space="preserve"> </w:t>
      </w:r>
      <w:r>
        <w:rPr>
          <w:rFonts w:cs="Times New Roman"/>
          <w:lang w:val="fr-CA"/>
        </w:rPr>
        <w:t>cour</w:t>
      </w:r>
      <w:r w:rsidRPr="006B5BF6">
        <w:rPr>
          <w:rFonts w:cs="Times New Roman"/>
          <w:lang w:val="fr-CA"/>
        </w:rPr>
        <w:t xml:space="preserve"> sera saisi</w:t>
      </w:r>
      <w:r>
        <w:rPr>
          <w:rFonts w:cs="Times New Roman"/>
          <w:lang w:val="fr-CA"/>
        </w:rPr>
        <w:t>e</w:t>
      </w:r>
      <w:r w:rsidRPr="006B5BF6">
        <w:rPr>
          <w:rFonts w:cs="Times New Roman"/>
          <w:lang w:val="fr-CA"/>
        </w:rPr>
        <w:t xml:space="preserve"> de l</w:t>
      </w:r>
      <w:r>
        <w:rPr>
          <w:rFonts w:cs="Times New Roman"/>
          <w:lang w:val="fr-CA"/>
        </w:rPr>
        <w:t>’</w:t>
      </w:r>
      <w:r w:rsidRPr="006B5BF6">
        <w:rPr>
          <w:rFonts w:cs="Times New Roman"/>
          <w:lang w:val="fr-CA"/>
        </w:rPr>
        <w:t>appel (parfois, il peut s</w:t>
      </w:r>
      <w:r>
        <w:rPr>
          <w:rFonts w:cs="Times New Roman"/>
          <w:lang w:val="fr-CA"/>
        </w:rPr>
        <w:t>’</w:t>
      </w:r>
      <w:r w:rsidRPr="006B5BF6">
        <w:rPr>
          <w:rFonts w:cs="Times New Roman"/>
          <w:lang w:val="fr-CA"/>
        </w:rPr>
        <w:t>agir d</w:t>
      </w:r>
      <w:r>
        <w:rPr>
          <w:rFonts w:cs="Times New Roman"/>
          <w:lang w:val="fr-CA"/>
        </w:rPr>
        <w:t>’</w:t>
      </w:r>
      <w:r w:rsidRPr="006B5BF6">
        <w:rPr>
          <w:rFonts w:cs="Times New Roman"/>
          <w:lang w:val="fr-CA"/>
        </w:rPr>
        <w:t>une cour de révision différente de celle habituellement chargée de statuer sur les demandes de contrôle judiciaire), qui est admissible, quand les documents doivent être déposés, sous quelle forme ils doivent être présentés, les pouvoirs de la cour de révision en appel, les exigences à respecter pour obtenir l</w:t>
      </w:r>
      <w:r>
        <w:rPr>
          <w:rFonts w:cs="Times New Roman"/>
          <w:lang w:val="fr-CA"/>
        </w:rPr>
        <w:t>’</w:t>
      </w:r>
      <w:r w:rsidRPr="006B5BF6">
        <w:rPr>
          <w:rFonts w:cs="Times New Roman"/>
          <w:lang w:val="fr-CA"/>
        </w:rPr>
        <w:t>autorisation d</w:t>
      </w:r>
      <w:r>
        <w:rPr>
          <w:rFonts w:cs="Times New Roman"/>
          <w:lang w:val="fr-CA"/>
        </w:rPr>
        <w:t>’</w:t>
      </w:r>
      <w:r w:rsidRPr="006B5BF6">
        <w:rPr>
          <w:rFonts w:cs="Times New Roman"/>
          <w:lang w:val="fr-CA"/>
        </w:rPr>
        <w:t>interjeter appel et les moyens d</w:t>
      </w:r>
      <w:r>
        <w:rPr>
          <w:rFonts w:cs="Times New Roman"/>
          <w:lang w:val="fr-CA"/>
        </w:rPr>
        <w:t>’</w:t>
      </w:r>
      <w:r w:rsidRPr="006B5BF6">
        <w:rPr>
          <w:rFonts w:cs="Times New Roman"/>
          <w:lang w:val="fr-CA"/>
        </w:rPr>
        <w:t>appel dont les parties peuvent se prévaloir. En prévoyant ce type de structure et de balises, les dispositions législatives en matière d</w:t>
      </w:r>
      <w:r>
        <w:rPr>
          <w:rFonts w:cs="Times New Roman"/>
          <w:lang w:val="fr-CA"/>
        </w:rPr>
        <w:t>’</w:t>
      </w:r>
      <w:r w:rsidRPr="006B5BF6">
        <w:rPr>
          <w:rFonts w:cs="Times New Roman"/>
          <w:lang w:val="fr-CA"/>
        </w:rPr>
        <w:t xml:space="preserve">appel permettent aux législatures de </w:t>
      </w:r>
      <w:r w:rsidRPr="006B5BF6">
        <w:rPr>
          <w:rFonts w:cs="Times New Roman"/>
          <w:lang w:val="fr-CA"/>
        </w:rPr>
        <w:lastRenderedPageBreak/>
        <w:t>promouvoir l</w:t>
      </w:r>
      <w:r>
        <w:rPr>
          <w:rFonts w:cs="Times New Roman"/>
          <w:lang w:val="fr-CA"/>
        </w:rPr>
        <w:t>’</w:t>
      </w:r>
      <w:r w:rsidRPr="006B5BF6">
        <w:rPr>
          <w:rFonts w:cs="Times New Roman"/>
          <w:lang w:val="fr-CA"/>
        </w:rPr>
        <w:t>efficacité et l</w:t>
      </w:r>
      <w:r>
        <w:rPr>
          <w:rFonts w:cs="Times New Roman"/>
          <w:lang w:val="fr-CA"/>
        </w:rPr>
        <w:t>’</w:t>
      </w:r>
      <w:r w:rsidRPr="006B5BF6">
        <w:rPr>
          <w:rFonts w:cs="Times New Roman"/>
          <w:lang w:val="fr-CA"/>
        </w:rPr>
        <w:t>accès à la justice d</w:t>
      </w:r>
      <w:r>
        <w:rPr>
          <w:rFonts w:cs="Times New Roman"/>
          <w:lang w:val="fr-CA"/>
        </w:rPr>
        <w:t>’</w:t>
      </w:r>
      <w:r w:rsidRPr="006B5BF6">
        <w:rPr>
          <w:rFonts w:cs="Times New Roman"/>
          <w:lang w:val="fr-CA"/>
        </w:rPr>
        <w:t>une manière qui n</w:t>
      </w:r>
      <w:r>
        <w:rPr>
          <w:rFonts w:cs="Times New Roman"/>
          <w:lang w:val="fr-CA"/>
        </w:rPr>
        <w:t>’</w:t>
      </w:r>
      <w:r w:rsidRPr="006B5BF6">
        <w:rPr>
          <w:rFonts w:cs="Times New Roman"/>
          <w:lang w:val="fr-CA"/>
        </w:rPr>
        <w:t>aurait pas été possible si l</w:t>
      </w:r>
      <w:r>
        <w:rPr>
          <w:rFonts w:cs="Times New Roman"/>
          <w:lang w:val="fr-CA"/>
        </w:rPr>
        <w:t>’</w:t>
      </w:r>
      <w:r w:rsidRPr="006B5BF6">
        <w:rPr>
          <w:rFonts w:cs="Times New Roman"/>
          <w:lang w:val="fr-CA"/>
        </w:rPr>
        <w:t>on s</w:t>
      </w:r>
      <w:r>
        <w:rPr>
          <w:rFonts w:cs="Times New Roman"/>
          <w:lang w:val="fr-CA"/>
        </w:rPr>
        <w:t>’</w:t>
      </w:r>
      <w:r w:rsidRPr="006B5BF6">
        <w:rPr>
          <w:rFonts w:cs="Times New Roman"/>
          <w:lang w:val="fr-CA"/>
        </w:rPr>
        <w:t>en était remis exclusivement au contrôle judiciaire.</w:t>
      </w:r>
    </w:p>
    <w:p w14:paraId="2ECFC4FA"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En réalité, même si, au chapitre des droits d</w:t>
      </w:r>
      <w:r>
        <w:rPr>
          <w:rFonts w:cs="Times New Roman"/>
          <w:lang w:val="fr-CA"/>
        </w:rPr>
        <w:t>’</w:t>
      </w:r>
      <w:r w:rsidRPr="006B5BF6">
        <w:rPr>
          <w:rFonts w:cs="Times New Roman"/>
          <w:lang w:val="fr-CA"/>
        </w:rPr>
        <w:t>appel conférés par la loi, la majorité évoque le « </w:t>
      </w:r>
      <w:r w:rsidRPr="006B5BF6">
        <w:rPr>
          <w:rFonts w:cs="Times New Roman"/>
          <w:noProof/>
          <w:lang w:val="fr-CA"/>
        </w:rPr>
        <w:t>respec[t] [des] choix d</w:t>
      </w:r>
      <w:r>
        <w:rPr>
          <w:rFonts w:cs="Times New Roman"/>
          <w:noProof/>
          <w:lang w:val="fr-CA"/>
        </w:rPr>
        <w:t>’</w:t>
      </w:r>
      <w:r w:rsidRPr="006B5BF6">
        <w:rPr>
          <w:rFonts w:cs="Times New Roman"/>
          <w:noProof/>
          <w:lang w:val="fr-CA"/>
        </w:rPr>
        <w:t xml:space="preserve">organisation institutionnelle du législateur », sa position repose presque exclusivement sur un argument textuel suivant lequel la présence du mot « appel » indique que le législateur voulait que les </w:t>
      </w:r>
      <w:r>
        <w:rPr>
          <w:rFonts w:cs="Times New Roman"/>
          <w:lang w:val="fr-CA"/>
        </w:rPr>
        <w:t>cours</w:t>
      </w:r>
      <w:r w:rsidRPr="006B5BF6">
        <w:rPr>
          <w:rFonts w:cs="Times New Roman"/>
          <w:noProof/>
          <w:lang w:val="fr-CA"/>
        </w:rPr>
        <w:t xml:space="preserve"> </w:t>
      </w:r>
      <w:r>
        <w:rPr>
          <w:rFonts w:cs="Times New Roman"/>
          <w:noProof/>
          <w:lang w:val="fr-CA"/>
        </w:rPr>
        <w:t xml:space="preserve">de révision </w:t>
      </w:r>
      <w:r w:rsidRPr="006B5BF6">
        <w:rPr>
          <w:rFonts w:cs="Times New Roman"/>
          <w:noProof/>
          <w:lang w:val="fr-CA"/>
        </w:rPr>
        <w:t>appliquent les mêmes normes de contrôle que celles que les cours d</w:t>
      </w:r>
      <w:r>
        <w:rPr>
          <w:rFonts w:cs="Times New Roman"/>
          <w:noProof/>
          <w:lang w:val="fr-CA"/>
        </w:rPr>
        <w:t>’</w:t>
      </w:r>
      <w:r w:rsidRPr="006B5BF6">
        <w:rPr>
          <w:rFonts w:cs="Times New Roman"/>
          <w:noProof/>
          <w:lang w:val="fr-CA"/>
        </w:rPr>
        <w:t>appel appliquent dans leurs arrêts en matière civile</w:t>
      </w:r>
      <w:r w:rsidRPr="006B5BF6">
        <w:rPr>
          <w:rFonts w:cs="Times New Roman"/>
          <w:lang w:val="fr-CA"/>
        </w:rPr>
        <w:t>.</w:t>
      </w:r>
    </w:p>
    <w:p w14:paraId="73C481BC"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Le fait que la majorité invoque la « </w:t>
      </w:r>
      <w:r w:rsidRPr="006B5BF6">
        <w:rPr>
          <w:rFonts w:cs="Times New Roman"/>
          <w:noProof/>
          <w:lang w:val="fr-CA" w:bidi="en-US"/>
        </w:rPr>
        <w:t>présomption d</w:t>
      </w:r>
      <w:r>
        <w:rPr>
          <w:rFonts w:cs="Times New Roman"/>
          <w:noProof/>
          <w:lang w:val="fr-CA" w:bidi="en-US"/>
        </w:rPr>
        <w:t>’</w:t>
      </w:r>
      <w:r w:rsidRPr="006B5BF6">
        <w:rPr>
          <w:rFonts w:cs="Times New Roman"/>
          <w:noProof/>
          <w:lang w:val="fr-CA" w:bidi="en-US"/>
        </w:rPr>
        <w:t>uniformité d</w:t>
      </w:r>
      <w:r>
        <w:rPr>
          <w:rFonts w:cs="Times New Roman"/>
          <w:noProof/>
          <w:lang w:val="fr-CA" w:bidi="en-US"/>
        </w:rPr>
        <w:t>’</w:t>
      </w:r>
      <w:r w:rsidRPr="006B5BF6">
        <w:rPr>
          <w:rFonts w:cs="Times New Roman"/>
          <w:noProof/>
          <w:lang w:val="fr-CA" w:bidi="en-US"/>
        </w:rPr>
        <w:t>expression » en se fondant uniquement sur le mot « appel »</w:t>
      </w:r>
      <w:r w:rsidRPr="006B5BF6">
        <w:rPr>
          <w:rFonts w:cs="Times New Roman"/>
          <w:lang w:val="fr-CA"/>
        </w:rPr>
        <w:t xml:space="preserve"> est malavisé et néglige les distinctions institutionnelles qui sont reconnues depuis longtemps en ce qui concerne le mode de fonctionnement des </w:t>
      </w:r>
      <w:r>
        <w:rPr>
          <w:rFonts w:cs="Times New Roman"/>
          <w:lang w:val="fr-CA"/>
        </w:rPr>
        <w:t>cours</w:t>
      </w:r>
      <w:r w:rsidRPr="006B5BF6">
        <w:rPr>
          <w:rFonts w:cs="Times New Roman"/>
          <w:lang w:val="fr-CA"/>
        </w:rPr>
        <w:t xml:space="preserve"> et des décideurs administratifs. Les mots employés dans chaque contexte sont différents, les mandats sont différents et les considérations de principe sont différentes. L</w:t>
      </w:r>
      <w:r>
        <w:rPr>
          <w:rFonts w:cs="Times New Roman"/>
          <w:lang w:val="fr-CA"/>
        </w:rPr>
        <w:t>’</w:t>
      </w:r>
      <w:r w:rsidRPr="006B5BF6">
        <w:rPr>
          <w:rFonts w:cs="Times New Roman"/>
          <w:lang w:val="fr-CA"/>
        </w:rPr>
        <w:t>idée selon laquelle il faut appliquer de façon inflexible l</w:t>
      </w:r>
      <w:r>
        <w:rPr>
          <w:rFonts w:cs="Times New Roman"/>
          <w:lang w:val="fr-CA"/>
        </w:rPr>
        <w:t>’</w:t>
      </w:r>
      <w:r w:rsidRPr="006B5BF6">
        <w:rPr>
          <w:rFonts w:cs="Times New Roman"/>
          <w:lang w:val="fr-CA"/>
        </w:rPr>
        <w:t xml:space="preserve">arrêt </w:t>
      </w:r>
      <w:r w:rsidRPr="006B5BF6">
        <w:rPr>
          <w:rFonts w:cs="Times New Roman"/>
          <w:i/>
          <w:lang w:val="fr-CA"/>
        </w:rPr>
        <w:t>Housen c. Nikolaisen</w:t>
      </w:r>
      <w:r w:rsidRPr="006B5BF6">
        <w:rPr>
          <w:rFonts w:cs="Times New Roman"/>
          <w:lang w:val="fr-CA"/>
        </w:rPr>
        <w:t>, [2002] 2 R.C.S. 235,</w:t>
      </w:r>
      <w:r>
        <w:rPr>
          <w:rFonts w:cs="Times New Roman"/>
          <w:lang w:val="fr-CA"/>
        </w:rPr>
        <w:t xml:space="preserve"> </w:t>
      </w:r>
      <w:r w:rsidRPr="006B5BF6">
        <w:rPr>
          <w:rFonts w:cs="Times New Roman"/>
          <w:lang w:val="fr-CA"/>
        </w:rPr>
        <w:t>à tous les droits d</w:t>
      </w:r>
      <w:r>
        <w:rPr>
          <w:rFonts w:cs="Times New Roman"/>
          <w:lang w:val="fr-CA"/>
        </w:rPr>
        <w:t>’</w:t>
      </w:r>
      <w:r w:rsidRPr="006B5BF6">
        <w:rPr>
          <w:rFonts w:cs="Times New Roman"/>
          <w:lang w:val="fr-CA"/>
        </w:rPr>
        <w:t>« appel » accordés par une loi sans égard aux objectifs plus larges du régime législatif ou aux conséquences pratiques d</w:t>
      </w:r>
      <w:r>
        <w:rPr>
          <w:rFonts w:cs="Times New Roman"/>
          <w:lang w:val="fr-CA"/>
        </w:rPr>
        <w:t>’</w:t>
      </w:r>
      <w:r w:rsidRPr="006B5BF6">
        <w:rPr>
          <w:rFonts w:cs="Times New Roman"/>
          <w:lang w:val="fr-CA"/>
        </w:rPr>
        <w:t>une plus grande intervention judiciaire dans ce régime ne trouve aucun appui dans notre jurisprudence.</w:t>
      </w:r>
    </w:p>
    <w:p w14:paraId="54B1FE1C" w14:textId="77777777" w:rsidR="00AE2373" w:rsidRPr="006B5BF6" w:rsidRDefault="00AE2373" w:rsidP="00AE2373">
      <w:pPr>
        <w:pStyle w:val="ParaNoNdepar-AltN"/>
        <w:tabs>
          <w:tab w:val="clear" w:pos="1166"/>
          <w:tab w:val="clear" w:pos="1422"/>
          <w:tab w:val="num" w:pos="1152"/>
        </w:tabs>
        <w:spacing w:before="0"/>
        <w:rPr>
          <w:rFonts w:cs="Times New Roman"/>
          <w:lang w:val="fr-CA" w:bidi="en-US"/>
        </w:rPr>
      </w:pPr>
      <w:r w:rsidRPr="006B5BF6">
        <w:rPr>
          <w:rFonts w:cs="Times New Roman"/>
          <w:lang w:val="fr-CA"/>
        </w:rPr>
        <w:t>De plus, l</w:t>
      </w:r>
      <w:r>
        <w:rPr>
          <w:rFonts w:cs="Times New Roman"/>
          <w:lang w:val="fr-CA"/>
        </w:rPr>
        <w:t>’</w:t>
      </w:r>
      <w:r w:rsidRPr="006B5BF6">
        <w:rPr>
          <w:rFonts w:cs="Times New Roman"/>
          <w:lang w:val="fr-CA"/>
        </w:rPr>
        <w:t xml:space="preserve">affirmation de la majorité suivant laquelle </w:t>
      </w:r>
      <w:r w:rsidRPr="006B5BF6">
        <w:rPr>
          <w:rFonts w:cs="Times New Roman"/>
          <w:noProof/>
          <w:lang w:val="fr-CA" w:bidi="en-US"/>
        </w:rPr>
        <w:t>le législateur « ne parle pas pour ne rien dire »</w:t>
      </w:r>
      <w:r w:rsidRPr="006B5BF6">
        <w:rPr>
          <w:rFonts w:cs="Times New Roman"/>
          <w:lang w:val="fr-CA"/>
        </w:rPr>
        <w:t xml:space="preserve"> est inconciliable avec son interprétation des clauses privatives, qui ne jouent aucun rôle dans son </w:t>
      </w:r>
      <w:r w:rsidRPr="006B5BF6">
        <w:rPr>
          <w:rFonts w:cs="Times New Roman"/>
          <w:noProof/>
          <w:lang w:val="fr-CA" w:bidi="en-US"/>
        </w:rPr>
        <w:t>cadre d</w:t>
      </w:r>
      <w:r>
        <w:rPr>
          <w:rFonts w:cs="Times New Roman"/>
          <w:noProof/>
          <w:lang w:val="fr-CA" w:bidi="en-US"/>
        </w:rPr>
        <w:t>’</w:t>
      </w:r>
      <w:r w:rsidRPr="006B5BF6">
        <w:rPr>
          <w:rFonts w:cs="Times New Roman"/>
          <w:noProof/>
          <w:lang w:val="fr-CA" w:bidi="en-US"/>
        </w:rPr>
        <w:t>analyse de la norme de contrôle</w:t>
      </w:r>
      <w:r w:rsidRPr="006B5BF6">
        <w:rPr>
          <w:rFonts w:cs="Times New Roman"/>
          <w:lang w:val="fr-CA"/>
        </w:rPr>
        <w:t>. Si, comme la majorité le prétend, le choix du Parlement de conférer des droits d</w:t>
      </w:r>
      <w:r>
        <w:rPr>
          <w:rFonts w:cs="Times New Roman"/>
          <w:lang w:val="fr-CA"/>
        </w:rPr>
        <w:t>’</w:t>
      </w:r>
      <w:r w:rsidRPr="006B5BF6">
        <w:rPr>
          <w:rFonts w:cs="Times New Roman"/>
          <w:lang w:val="fr-CA"/>
        </w:rPr>
        <w:t xml:space="preserve">appel </w:t>
      </w:r>
      <w:r w:rsidRPr="006B5BF6">
        <w:rPr>
          <w:rFonts w:cs="Times New Roman"/>
          <w:lang w:val="fr-CA"/>
        </w:rPr>
        <w:lastRenderedPageBreak/>
        <w:t>doit influencer l</w:t>
      </w:r>
      <w:r>
        <w:rPr>
          <w:rFonts w:cs="Times New Roman"/>
          <w:lang w:val="fr-CA"/>
        </w:rPr>
        <w:t>’</w:t>
      </w:r>
      <w:r w:rsidRPr="006B5BF6">
        <w:rPr>
          <w:rFonts w:cs="Times New Roman"/>
          <w:lang w:val="fr-CA"/>
        </w:rPr>
        <w:t>analyse de la norme de contrôle, il n</w:t>
      </w:r>
      <w:r>
        <w:rPr>
          <w:rFonts w:cs="Times New Roman"/>
          <w:lang w:val="fr-CA"/>
        </w:rPr>
        <w:t>’</w:t>
      </w:r>
      <w:r w:rsidRPr="006B5BF6">
        <w:rPr>
          <w:rFonts w:cs="Times New Roman"/>
          <w:lang w:val="fr-CA"/>
        </w:rPr>
        <w:t>y a aucune raison de principe pour laquelle la décision du Parlement d</w:t>
      </w:r>
      <w:r>
        <w:rPr>
          <w:rFonts w:cs="Times New Roman"/>
          <w:lang w:val="fr-CA"/>
        </w:rPr>
        <w:t>’</w:t>
      </w:r>
      <w:r w:rsidRPr="006B5BF6">
        <w:rPr>
          <w:rFonts w:cs="Times New Roman"/>
          <w:i/>
          <w:iCs/>
          <w:lang w:val="fr-CA"/>
        </w:rPr>
        <w:t>interdire</w:t>
      </w:r>
      <w:r w:rsidRPr="006B5BF6">
        <w:rPr>
          <w:rFonts w:cs="Times New Roman"/>
          <w:lang w:val="fr-CA"/>
        </w:rPr>
        <w:t xml:space="preserve"> les appels au moyen de clauses privatives ne devrait pas avoir d</w:t>
      </w:r>
      <w:r>
        <w:rPr>
          <w:rFonts w:cs="Times New Roman"/>
          <w:lang w:val="fr-CA"/>
        </w:rPr>
        <w:t>’</w:t>
      </w:r>
      <w:r w:rsidRPr="006B5BF6">
        <w:rPr>
          <w:rFonts w:cs="Times New Roman"/>
          <w:lang w:val="fr-CA"/>
        </w:rPr>
        <w:t>effet comparable</w:t>
      </w:r>
      <w:r w:rsidRPr="00F4357A">
        <w:rPr>
          <w:rStyle w:val="Hyperlink"/>
          <w:u w:val="none"/>
          <w:vertAlign w:val="superscript"/>
        </w:rPr>
        <w:footnoteReference w:id="2"/>
      </w:r>
      <w:r w:rsidRPr="006B5BF6">
        <w:rPr>
          <w:rFonts w:cs="Times New Roman"/>
          <w:lang w:val="fr-CA"/>
        </w:rPr>
        <w:t>.</w:t>
      </w:r>
    </w:p>
    <w:p w14:paraId="4B6E58E7" w14:textId="709B480B"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En tout état de cause, les législatures canadienn</w:t>
      </w:r>
      <w:r>
        <w:rPr>
          <w:rFonts w:cs="Times New Roman"/>
          <w:lang w:val="fr-CA"/>
        </w:rPr>
        <w:t xml:space="preserve">es savent depuis au moins </w:t>
      </w:r>
      <w:r w:rsidR="006D2BF0">
        <w:rPr>
          <w:rFonts w:cs="Times New Roman"/>
          <w:lang w:val="fr-CA"/>
        </w:rPr>
        <w:t>25</w:t>
      </w:r>
      <w:r w:rsidRPr="006B5BF6">
        <w:rPr>
          <w:rFonts w:cs="Times New Roman"/>
          <w:lang w:val="fr-CA"/>
        </w:rPr>
        <w:t xml:space="preserve"> ans, depuis l</w:t>
      </w:r>
      <w:r>
        <w:rPr>
          <w:rFonts w:cs="Times New Roman"/>
          <w:lang w:val="fr-CA"/>
        </w:rPr>
        <w:t>’</w:t>
      </w:r>
      <w:r w:rsidRPr="006B5BF6">
        <w:rPr>
          <w:rFonts w:cs="Times New Roman"/>
          <w:lang w:val="fr-CA"/>
        </w:rPr>
        <w:t xml:space="preserve">arrêt </w:t>
      </w:r>
      <w:r w:rsidRPr="006B5BF6">
        <w:rPr>
          <w:rFonts w:cs="Times New Roman"/>
          <w:i/>
          <w:lang w:val="fr-CA"/>
        </w:rPr>
        <w:t>Pezim</w:t>
      </w:r>
      <w:r w:rsidRPr="006B5BF6">
        <w:rPr>
          <w:rFonts w:cs="Times New Roman"/>
          <w:lang w:val="fr-CA"/>
        </w:rPr>
        <w:t>, que notre Cour ne considère pas les droits d</w:t>
      </w:r>
      <w:r>
        <w:rPr>
          <w:rFonts w:cs="Times New Roman"/>
          <w:lang w:val="fr-CA"/>
        </w:rPr>
        <w:t>’</w:t>
      </w:r>
      <w:r w:rsidRPr="006B5BF6">
        <w:rPr>
          <w:rFonts w:cs="Times New Roman"/>
          <w:lang w:val="fr-CA"/>
        </w:rPr>
        <w:t>appel accordés par une loi comme une expression déterminante de l</w:t>
      </w:r>
      <w:r>
        <w:rPr>
          <w:rFonts w:cs="Times New Roman"/>
          <w:lang w:val="fr-CA"/>
        </w:rPr>
        <w:t>’</w:t>
      </w:r>
      <w:r w:rsidRPr="006B5BF6">
        <w:rPr>
          <w:rFonts w:cs="Times New Roman"/>
          <w:lang w:val="fr-CA"/>
        </w:rPr>
        <w:t>intention du législateur en ce qui concerne la norme de contrôle applicable (</w:t>
      </w:r>
      <w:r w:rsidRPr="006B5BF6">
        <w:rPr>
          <w:rFonts w:cs="Times New Roman"/>
          <w:i/>
          <w:lang w:val="fr-CA"/>
        </w:rPr>
        <w:t>Pezim</w:t>
      </w:r>
      <w:r w:rsidRPr="006B5BF6">
        <w:rPr>
          <w:rFonts w:cs="Times New Roman"/>
          <w:lang w:val="fr-CA"/>
        </w:rPr>
        <w:t>, p. 590). Face à cette réalité, l</w:t>
      </w:r>
      <w:r>
        <w:rPr>
          <w:rFonts w:cs="Times New Roman"/>
          <w:lang w:val="fr-CA"/>
        </w:rPr>
        <w:t>’</w:t>
      </w:r>
      <w:r w:rsidRPr="006B5BF6">
        <w:rPr>
          <w:rFonts w:cs="Times New Roman"/>
          <w:lang w:val="fr-CA"/>
        </w:rPr>
        <w:t>emploi systématique du terme « appel » par les législatures ne saurait s</w:t>
      </w:r>
      <w:r>
        <w:rPr>
          <w:rFonts w:cs="Times New Roman"/>
          <w:lang w:val="fr-CA"/>
        </w:rPr>
        <w:t>’</w:t>
      </w:r>
      <w:r w:rsidRPr="006B5BF6">
        <w:rPr>
          <w:rFonts w:cs="Times New Roman"/>
          <w:lang w:val="fr-CA"/>
        </w:rPr>
        <w:t>expliquer par l</w:t>
      </w:r>
      <w:r>
        <w:rPr>
          <w:rFonts w:cs="Times New Roman"/>
          <w:lang w:val="fr-CA"/>
        </w:rPr>
        <w:t>’</w:t>
      </w:r>
      <w:r w:rsidRPr="006B5BF6">
        <w:rPr>
          <w:rFonts w:cs="Times New Roman"/>
          <w:lang w:val="fr-CA"/>
        </w:rPr>
        <w:t>intention que la majorité lui prête rétroactivement; cette façon de procéder est incompatible avec le principe suivant lequel les législatures sont présumées adopter des lois conformément aux règles de common law existantes (</w:t>
      </w:r>
      <w:r w:rsidRPr="006B5BF6">
        <w:rPr>
          <w:rFonts w:cs="Times New Roman"/>
          <w:lang w:val="fr-CA" w:bidi="en-US"/>
        </w:rPr>
        <w:t xml:space="preserve">Ruth Sullivan, </w:t>
      </w:r>
      <w:r w:rsidRPr="006B5BF6">
        <w:rPr>
          <w:rFonts w:cs="Times New Roman"/>
          <w:i/>
          <w:lang w:val="fr-CA" w:bidi="en-US"/>
        </w:rPr>
        <w:t xml:space="preserve">Statutory Interpretation </w:t>
      </w:r>
      <w:r w:rsidRPr="006B5BF6">
        <w:rPr>
          <w:rFonts w:cs="Times New Roman"/>
          <w:lang w:val="fr-CA" w:bidi="en-US"/>
        </w:rPr>
        <w:t>(3</w:t>
      </w:r>
      <w:r w:rsidRPr="006B5BF6">
        <w:rPr>
          <w:rFonts w:cs="Times New Roman"/>
          <w:vertAlign w:val="superscript"/>
          <w:lang w:val="fr-CA" w:bidi="en-US"/>
        </w:rPr>
        <w:t>e</w:t>
      </w:r>
      <w:r w:rsidR="00F4357A">
        <w:rPr>
          <w:rFonts w:cs="Times New Roman"/>
          <w:lang w:val="fr-CA" w:bidi="en-US"/>
        </w:rPr>
        <w:t xml:space="preserve"> éd.</w:t>
      </w:r>
      <w:r w:rsidRPr="006B5BF6">
        <w:rPr>
          <w:rFonts w:cs="Times New Roman"/>
          <w:lang w:val="fr-CA" w:bidi="en-US"/>
        </w:rPr>
        <w:t xml:space="preserve"> 2016), p. 315</w:t>
      </w:r>
      <w:r w:rsidRPr="006B5BF6">
        <w:rPr>
          <w:rFonts w:cs="Times New Roman"/>
          <w:lang w:val="fr-CA"/>
        </w:rPr>
        <w:t>).</w:t>
      </w:r>
    </w:p>
    <w:p w14:paraId="635582DD" w14:textId="20EDA53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Ces législatures ont d</w:t>
      </w:r>
      <w:r>
        <w:rPr>
          <w:rFonts w:cs="Times New Roman"/>
          <w:lang w:val="fr-CA"/>
        </w:rPr>
        <w:t>’</w:t>
      </w:r>
      <w:r w:rsidRPr="006B5BF6">
        <w:rPr>
          <w:rFonts w:cs="Times New Roman"/>
          <w:lang w:val="fr-CA"/>
        </w:rPr>
        <w:t>ailleurs compris, à la lumière de notre jurisprudence, que notre Cour s</w:t>
      </w:r>
      <w:r>
        <w:rPr>
          <w:rFonts w:cs="Times New Roman"/>
          <w:lang w:val="fr-CA"/>
        </w:rPr>
        <w:t>’</w:t>
      </w:r>
      <w:r w:rsidRPr="006B5BF6">
        <w:rPr>
          <w:rFonts w:cs="Times New Roman"/>
          <w:lang w:val="fr-CA"/>
        </w:rPr>
        <w:t xml:space="preserve">était engagée à respecter les </w:t>
      </w:r>
      <w:r w:rsidRPr="006B5BF6">
        <w:rPr>
          <w:rFonts w:cs="Times New Roman"/>
          <w:i/>
          <w:iCs/>
          <w:lang w:val="fr-CA"/>
        </w:rPr>
        <w:t xml:space="preserve">normes </w:t>
      </w:r>
      <w:r w:rsidRPr="006B5BF6">
        <w:rPr>
          <w:rFonts w:cs="Times New Roman"/>
          <w:lang w:val="fr-CA"/>
        </w:rPr>
        <w:t>de contrôle prescrites par la loi, un choix législatif qui n</w:t>
      </w:r>
      <w:r>
        <w:rPr>
          <w:rFonts w:cs="Times New Roman"/>
          <w:lang w:val="fr-CA"/>
        </w:rPr>
        <w:t>’</w:t>
      </w:r>
      <w:r w:rsidRPr="006B5BF6">
        <w:rPr>
          <w:rFonts w:cs="Times New Roman"/>
          <w:lang w:val="fr-CA"/>
        </w:rPr>
        <w:t>a été exercé que par la Colombie</w:t>
      </w:r>
      <w:r w:rsidRPr="006B5BF6">
        <w:rPr>
          <w:rFonts w:cs="Times New Roman"/>
          <w:lang w:val="fr-CA"/>
        </w:rPr>
        <w:noBreakHyphen/>
        <w:t>Britannique</w:t>
      </w:r>
      <w:r w:rsidRPr="00F4357A">
        <w:rPr>
          <w:rStyle w:val="Hyperlink"/>
          <w:u w:val="none"/>
          <w:vertAlign w:val="superscript"/>
        </w:rPr>
        <w:footnoteReference w:id="3"/>
      </w:r>
      <w:r w:rsidRPr="006B5BF6">
        <w:rPr>
          <w:rFonts w:cs="Times New Roman"/>
          <w:lang w:val="fr-CA"/>
        </w:rPr>
        <w:t xml:space="preserve">. Nous souscrivons à la position du procureur général du Canada dans les pourvois connexes </w:t>
      </w:r>
      <w:r w:rsidRPr="006B5BF6">
        <w:rPr>
          <w:rFonts w:cs="Times New Roman"/>
          <w:i/>
          <w:lang w:val="fr-CA"/>
        </w:rPr>
        <w:t>Bell Canada c. Canada (Procureur général)</w:t>
      </w:r>
      <w:r w:rsidRPr="006B5BF6">
        <w:rPr>
          <w:rFonts w:cs="Times New Roman"/>
          <w:lang w:val="fr-CA"/>
        </w:rPr>
        <w:t>,</w:t>
      </w:r>
      <w:r w:rsidRPr="006B5BF6">
        <w:rPr>
          <w:rFonts w:cs="Times New Roman"/>
          <w:i/>
          <w:lang w:val="fr-CA"/>
        </w:rPr>
        <w:t xml:space="preserve"> </w:t>
      </w:r>
      <w:r w:rsidR="001C0504">
        <w:rPr>
          <w:rFonts w:cs="Times New Roman"/>
          <w:lang w:val="fr-CA"/>
        </w:rPr>
        <w:t xml:space="preserve">[2019] </w:t>
      </w:r>
      <w:r w:rsidR="00A22AF1">
        <w:rPr>
          <w:rFonts w:cs="Times New Roman"/>
          <w:lang w:val="fr-CA"/>
        </w:rPr>
        <w:t xml:space="preserve">4 </w:t>
      </w:r>
      <w:r w:rsidR="00F4357A">
        <w:rPr>
          <w:rFonts w:cs="Times New Roman"/>
          <w:lang w:val="fr-CA"/>
        </w:rPr>
        <w:t xml:space="preserve">R.C.S. </w:t>
      </w:r>
      <w:r w:rsidR="004F2B0A">
        <w:rPr>
          <w:rFonts w:cs="Times New Roman"/>
          <w:lang w:val="fr-CA"/>
        </w:rPr>
        <w:t>845</w:t>
      </w:r>
      <w:r w:rsidR="00F4357A">
        <w:rPr>
          <w:rFonts w:cs="Times New Roman"/>
          <w:lang w:val="fr-CA"/>
        </w:rPr>
        <w:t xml:space="preserve">, </w:t>
      </w:r>
      <w:r w:rsidRPr="006B5BF6">
        <w:rPr>
          <w:rFonts w:cs="Times New Roman"/>
          <w:lang w:val="fr-CA"/>
        </w:rPr>
        <w:t xml:space="preserve">selon laquelle, sauf </w:t>
      </w:r>
      <w:r w:rsidRPr="006B5BF6">
        <w:rPr>
          <w:rFonts w:cs="Times New Roman"/>
          <w:lang w:val="fr-CA"/>
        </w:rPr>
        <w:lastRenderedPageBreak/>
        <w:t>en présence de circonstances exceptionnelles, un droit d</w:t>
      </w:r>
      <w:r>
        <w:rPr>
          <w:rFonts w:cs="Times New Roman"/>
          <w:lang w:val="fr-CA"/>
        </w:rPr>
        <w:t>’</w:t>
      </w:r>
      <w:r w:rsidRPr="006B5BF6">
        <w:rPr>
          <w:rFonts w:cs="Times New Roman"/>
          <w:lang w:val="fr-CA"/>
        </w:rPr>
        <w:t>appel conféré par la loi n</w:t>
      </w:r>
      <w:r>
        <w:rPr>
          <w:rFonts w:cs="Times New Roman"/>
          <w:lang w:val="fr-CA"/>
        </w:rPr>
        <w:t>’</w:t>
      </w:r>
      <w:r w:rsidRPr="006B5BF6">
        <w:rPr>
          <w:rFonts w:cs="Times New Roman"/>
          <w:lang w:val="fr-CA"/>
        </w:rPr>
        <w:t>écarte pas la présomption d</w:t>
      </w:r>
      <w:r>
        <w:rPr>
          <w:rFonts w:cs="Times New Roman"/>
          <w:lang w:val="fr-CA"/>
        </w:rPr>
        <w:t>’</w:t>
      </w:r>
      <w:r w:rsidRPr="006B5BF6">
        <w:rPr>
          <w:rFonts w:cs="Times New Roman"/>
          <w:lang w:val="fr-CA"/>
        </w:rPr>
        <w:t>application de la norme de la décision raisonnable</w:t>
      </w:r>
      <w:r w:rsidRPr="00F4357A">
        <w:rPr>
          <w:rStyle w:val="Hyperlink"/>
          <w:u w:val="none"/>
          <w:vertAlign w:val="superscript"/>
        </w:rPr>
        <w:footnoteReference w:id="4"/>
      </w:r>
      <w:r w:rsidRPr="006B5BF6">
        <w:rPr>
          <w:rFonts w:cs="Times New Roman"/>
          <w:lang w:val="fr-CA"/>
        </w:rPr>
        <w:t xml:space="preserve">. La majorité a toutefois retenu, pour une raison inconnue, le modèle proposé par les </w:t>
      </w:r>
      <w:r w:rsidRPr="006B5BF6">
        <w:rPr>
          <w:rFonts w:cs="Times New Roman"/>
          <w:i/>
          <w:lang w:val="fr-CA"/>
        </w:rPr>
        <w:t>amici curiae</w:t>
      </w:r>
      <w:r w:rsidRPr="00F4357A">
        <w:rPr>
          <w:rStyle w:val="Hyperlink"/>
          <w:u w:val="none"/>
          <w:vertAlign w:val="superscript"/>
        </w:rPr>
        <w:footnoteReference w:id="5"/>
      </w:r>
      <w:r w:rsidRPr="006B5BF6">
        <w:rPr>
          <w:rFonts w:cs="Times New Roman"/>
          <w:lang w:val="fr-CA"/>
        </w:rPr>
        <w:t>, qui recommandent une refonte complète de notre vision de l</w:t>
      </w:r>
      <w:r>
        <w:rPr>
          <w:rFonts w:cs="Times New Roman"/>
          <w:lang w:val="fr-CA"/>
        </w:rPr>
        <w:t>’</w:t>
      </w:r>
      <w:r w:rsidRPr="006B5BF6">
        <w:rPr>
          <w:rFonts w:cs="Times New Roman"/>
          <w:lang w:val="fr-CA"/>
        </w:rPr>
        <w:t>intention du législateur et de la manière dont nous déterminons la norme de contrôle applicable.</w:t>
      </w:r>
    </w:p>
    <w:p w14:paraId="628A362B"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Le résultat auquel arrive la majorité signifie que des centaines de décideurs administratifs soumis à différents types de droit d</w:t>
      </w:r>
      <w:r>
        <w:rPr>
          <w:rFonts w:cs="Times New Roman"/>
          <w:lang w:val="fr-CA"/>
        </w:rPr>
        <w:t>’</w:t>
      </w:r>
      <w:r w:rsidRPr="006B5BF6">
        <w:rPr>
          <w:rFonts w:cs="Times New Roman"/>
          <w:lang w:val="fr-CA"/>
        </w:rPr>
        <w:t>appel conférés par la loi — certains dans des domaines hautement spécialisés comme la radiodiffusion, la réglementation des valeurs mobilières et le commerce international — seront désormais assujettis à une présomption irréfragable d</w:t>
      </w:r>
      <w:r>
        <w:rPr>
          <w:rFonts w:cs="Times New Roman"/>
          <w:lang w:val="fr-CA"/>
        </w:rPr>
        <w:t>’</w:t>
      </w:r>
      <w:r w:rsidRPr="006B5BF6">
        <w:rPr>
          <w:rFonts w:cs="Times New Roman"/>
          <w:lang w:val="fr-CA"/>
        </w:rPr>
        <w:t>application de la norme de la décision correcte. Cela risque de provoquer une avalanche de litiges. Il sera désormais loisible aux cours de révision de réexaminer à leur guise des questions de droit portant sur des enjeux qui relèvent carrément de l</w:t>
      </w:r>
      <w:r>
        <w:rPr>
          <w:rFonts w:cs="Times New Roman"/>
          <w:lang w:val="fr-CA"/>
        </w:rPr>
        <w:t>’</w:t>
      </w:r>
      <w:r w:rsidRPr="006B5BF6">
        <w:rPr>
          <w:rFonts w:cs="Times New Roman"/>
          <w:lang w:val="fr-CA"/>
        </w:rPr>
        <w:t>expertise des décideurs administratifs, même si leurs conséquences ne débordent pas le cadre du régime administratif de ces décideurs. Même si les décideurs spécialisés proposent des interprétations valables de lois très techniques avec lesquelles ils travaillent quotidiennement, même s</w:t>
      </w:r>
      <w:r>
        <w:rPr>
          <w:rFonts w:cs="Times New Roman"/>
          <w:lang w:val="fr-CA"/>
        </w:rPr>
        <w:t>’</w:t>
      </w:r>
      <w:r w:rsidRPr="006B5BF6">
        <w:rPr>
          <w:rFonts w:cs="Times New Roman"/>
          <w:lang w:val="fr-CA"/>
        </w:rPr>
        <w:t>ils proposent des interprétations intrinsèquement cohérentes qui tiennent compte des observations des parties et qui sont conformes au texte, au contexte et à l</w:t>
      </w:r>
      <w:r>
        <w:rPr>
          <w:rFonts w:cs="Times New Roman"/>
          <w:lang w:val="fr-CA"/>
        </w:rPr>
        <w:t>’</w:t>
      </w:r>
      <w:r w:rsidRPr="006B5BF6">
        <w:rPr>
          <w:rFonts w:cs="Times New Roman"/>
          <w:lang w:val="fr-CA"/>
        </w:rPr>
        <w:t>objet du régime applicable, ainsi qu</w:t>
      </w:r>
      <w:r>
        <w:rPr>
          <w:rFonts w:cs="Times New Roman"/>
          <w:lang w:val="fr-CA"/>
        </w:rPr>
        <w:t>’</w:t>
      </w:r>
      <w:r w:rsidRPr="006B5BF6">
        <w:rPr>
          <w:rFonts w:cs="Times New Roman"/>
          <w:lang w:val="fr-CA"/>
        </w:rPr>
        <w:t>aux pratiques et décisions antérieures de l</w:t>
      </w:r>
      <w:r>
        <w:rPr>
          <w:rFonts w:cs="Times New Roman"/>
          <w:lang w:val="fr-CA"/>
        </w:rPr>
        <w:t>’</w:t>
      </w:r>
      <w:r w:rsidRPr="006B5BF6">
        <w:rPr>
          <w:rFonts w:cs="Times New Roman"/>
          <w:lang w:val="fr-CA"/>
        </w:rPr>
        <w:t xml:space="preserve">organe administratif, à la common law, aux décisions judiciaires antérieures et au droit international, ces interprétations pourront toujours être écartées par la cour de révision qui a simplement un point de vue </w:t>
      </w:r>
      <w:r w:rsidRPr="006B5BF6">
        <w:rPr>
          <w:rFonts w:cs="Times New Roman"/>
          <w:lang w:val="fr-CA"/>
        </w:rPr>
        <w:lastRenderedPageBreak/>
        <w:t>différent sur la loi applicable. Cela risque de compromettre l</w:t>
      </w:r>
      <w:r>
        <w:rPr>
          <w:rFonts w:cs="Times New Roman"/>
          <w:lang w:val="fr-CA"/>
        </w:rPr>
        <w:t>’</w:t>
      </w:r>
      <w:r w:rsidRPr="006B5BF6">
        <w:rPr>
          <w:rFonts w:cs="Times New Roman"/>
          <w:lang w:val="fr-CA"/>
        </w:rPr>
        <w:t>intégrité des procédures administratives chaque fois que la loi prévoit un droit d</w:t>
      </w:r>
      <w:r>
        <w:rPr>
          <w:rFonts w:cs="Times New Roman"/>
          <w:lang w:val="fr-CA"/>
        </w:rPr>
        <w:t>’</w:t>
      </w:r>
      <w:r w:rsidRPr="006B5BF6">
        <w:rPr>
          <w:rFonts w:cs="Times New Roman"/>
          <w:lang w:val="fr-CA"/>
        </w:rPr>
        <w:t>appel et de réduire les procédures administratives à guère plus qu</w:t>
      </w:r>
      <w:r>
        <w:rPr>
          <w:rFonts w:cs="Times New Roman"/>
          <w:lang w:val="fr-CA"/>
        </w:rPr>
        <w:t>’</w:t>
      </w:r>
      <w:r w:rsidRPr="006B5BF6">
        <w:rPr>
          <w:rFonts w:cs="Times New Roman"/>
          <w:lang w:val="fr-CA"/>
        </w:rPr>
        <w:t>une répétition générale en vue d</w:t>
      </w:r>
      <w:r>
        <w:rPr>
          <w:rFonts w:cs="Times New Roman"/>
          <w:lang w:val="fr-CA"/>
        </w:rPr>
        <w:t>’</w:t>
      </w:r>
      <w:r w:rsidRPr="006B5BF6">
        <w:rPr>
          <w:rFonts w:cs="Times New Roman"/>
          <w:lang w:val="fr-CA"/>
        </w:rPr>
        <w:t>un appel judiciaire, ce qui est le contraire de l</w:t>
      </w:r>
      <w:r>
        <w:rPr>
          <w:rFonts w:cs="Times New Roman"/>
          <w:lang w:val="fr-CA"/>
        </w:rPr>
        <w:t>’</w:t>
      </w:r>
      <w:r w:rsidRPr="006B5BF6">
        <w:rPr>
          <w:rFonts w:cs="Times New Roman"/>
          <w:lang w:val="fr-CA"/>
        </w:rPr>
        <w:t>intention du législateur de créer un régime spécialisé et de confier à des acteurs non judiciaires certaines questions de politique et de droit.</w:t>
      </w:r>
    </w:p>
    <w:p w14:paraId="6B4D0050" w14:textId="04EE3038" w:rsidR="00AE2373" w:rsidRPr="006B5BF6" w:rsidRDefault="00AE2373" w:rsidP="00AE2373">
      <w:pPr>
        <w:pStyle w:val="ParaNoNdepar-AltN"/>
        <w:tabs>
          <w:tab w:val="clear" w:pos="1166"/>
          <w:tab w:val="clear" w:pos="1422"/>
          <w:tab w:val="num" w:pos="1152"/>
        </w:tabs>
        <w:spacing w:before="0"/>
        <w:rPr>
          <w:rFonts w:cs="Times New Roman"/>
          <w:lang w:val="fr-CA" w:bidi="en-US"/>
        </w:rPr>
      </w:pPr>
      <w:r w:rsidRPr="006B5BF6">
        <w:rPr>
          <w:rFonts w:cs="Times New Roman"/>
          <w:lang w:val="fr-CA"/>
        </w:rPr>
        <w:t>Ironiquement, la démarche proposée par la majorité créera un obstacle à la réalisation de sa promesse de simplicité. En élevant des dispositions créant un droit d</w:t>
      </w:r>
      <w:r>
        <w:rPr>
          <w:rFonts w:cs="Times New Roman"/>
          <w:lang w:val="fr-CA"/>
        </w:rPr>
        <w:t>’</w:t>
      </w:r>
      <w:r w:rsidRPr="006B5BF6">
        <w:rPr>
          <w:rFonts w:cs="Times New Roman"/>
          <w:lang w:val="fr-CA"/>
        </w:rPr>
        <w:t>appel au rang d</w:t>
      </w:r>
      <w:r>
        <w:rPr>
          <w:rFonts w:cs="Times New Roman"/>
          <w:lang w:val="fr-CA"/>
        </w:rPr>
        <w:t>’</w:t>
      </w:r>
      <w:r w:rsidRPr="006B5BF6">
        <w:rPr>
          <w:rFonts w:cs="Times New Roman"/>
          <w:lang w:val="fr-CA"/>
        </w:rPr>
        <w:t>indicateurs d</w:t>
      </w:r>
      <w:r>
        <w:rPr>
          <w:rFonts w:cs="Times New Roman"/>
          <w:lang w:val="fr-CA"/>
        </w:rPr>
        <w:t>’</w:t>
      </w:r>
      <w:r w:rsidRPr="006B5BF6">
        <w:rPr>
          <w:rFonts w:cs="Times New Roman"/>
          <w:lang w:val="fr-CA"/>
        </w:rPr>
        <w:t>un contrôle assujetti à la norme de la décision correcte, on crée un système de droit administratif à deux vitesses dans lequel on aurait, d</w:t>
      </w:r>
      <w:r>
        <w:rPr>
          <w:rFonts w:cs="Times New Roman"/>
          <w:lang w:val="fr-CA"/>
        </w:rPr>
        <w:t>’</w:t>
      </w:r>
      <w:r w:rsidRPr="006B5BF6">
        <w:rPr>
          <w:rFonts w:cs="Times New Roman"/>
          <w:lang w:val="fr-CA"/>
        </w:rPr>
        <w:t>une part, un système dans le cadre duquel les juges s</w:t>
      </w:r>
      <w:r>
        <w:rPr>
          <w:rFonts w:cs="Times New Roman"/>
          <w:lang w:val="fr-CA"/>
        </w:rPr>
        <w:t>’</w:t>
      </w:r>
      <w:r w:rsidRPr="006B5BF6">
        <w:rPr>
          <w:rFonts w:cs="Times New Roman"/>
          <w:lang w:val="fr-CA"/>
        </w:rPr>
        <w:t>en remettent à l</w:t>
      </w:r>
      <w:r>
        <w:rPr>
          <w:rFonts w:cs="Times New Roman"/>
          <w:lang w:val="fr-CA"/>
        </w:rPr>
        <w:t>’</w:t>
      </w:r>
      <w:r w:rsidRPr="006B5BF6">
        <w:rPr>
          <w:rFonts w:cs="Times New Roman"/>
          <w:lang w:val="fr-CA"/>
        </w:rPr>
        <w:t>expertise des décideurs administratifs lorsqu</w:t>
      </w:r>
      <w:r>
        <w:rPr>
          <w:rFonts w:cs="Times New Roman"/>
          <w:lang w:val="fr-CA"/>
        </w:rPr>
        <w:t>’</w:t>
      </w:r>
      <w:r w:rsidRPr="006B5BF6">
        <w:rPr>
          <w:rFonts w:cs="Times New Roman"/>
          <w:lang w:val="fr-CA"/>
        </w:rPr>
        <w:t>il n</w:t>
      </w:r>
      <w:r>
        <w:rPr>
          <w:rFonts w:cs="Times New Roman"/>
          <w:lang w:val="fr-CA"/>
        </w:rPr>
        <w:t>’</w:t>
      </w:r>
      <w:r w:rsidRPr="006B5BF6">
        <w:rPr>
          <w:rFonts w:cs="Times New Roman"/>
          <w:lang w:val="fr-CA"/>
        </w:rPr>
        <w:t>existe pas de dispositions d</w:t>
      </w:r>
      <w:r>
        <w:rPr>
          <w:rFonts w:cs="Times New Roman"/>
          <w:lang w:val="fr-CA"/>
        </w:rPr>
        <w:t>’</w:t>
      </w:r>
      <w:r w:rsidRPr="006B5BF6">
        <w:rPr>
          <w:rFonts w:cs="Times New Roman"/>
          <w:lang w:val="fr-CA"/>
        </w:rPr>
        <w:t>appel et, d</w:t>
      </w:r>
      <w:r>
        <w:rPr>
          <w:rFonts w:cs="Times New Roman"/>
          <w:lang w:val="fr-CA"/>
        </w:rPr>
        <w:t>’</w:t>
      </w:r>
      <w:r w:rsidRPr="006B5BF6">
        <w:rPr>
          <w:rFonts w:cs="Times New Roman"/>
          <w:lang w:val="fr-CA"/>
        </w:rPr>
        <w:t>autre part, un autre système selon lequel l</w:t>
      </w:r>
      <w:r>
        <w:rPr>
          <w:rFonts w:cs="Times New Roman"/>
          <w:lang w:val="fr-CA"/>
        </w:rPr>
        <w:t>’</w:t>
      </w:r>
      <w:r w:rsidRPr="006B5BF6">
        <w:rPr>
          <w:rFonts w:cs="Times New Roman"/>
          <w:lang w:val="fr-CA"/>
        </w:rPr>
        <w:t>existence de telles dispositions permettrait au juge de substituer à l</w:t>
      </w:r>
      <w:r>
        <w:rPr>
          <w:rFonts w:cs="Times New Roman"/>
          <w:lang w:val="fr-CA"/>
        </w:rPr>
        <w:t>’</w:t>
      </w:r>
      <w:r w:rsidRPr="006B5BF6">
        <w:rPr>
          <w:rFonts w:cs="Times New Roman"/>
          <w:lang w:val="fr-CA"/>
        </w:rPr>
        <w:t>opinion du décideur administratif sa propre opinion sur les questions de droit au cœur même du mandat de ces décideurs. Dans ce dernier cas, l</w:t>
      </w:r>
      <w:r>
        <w:rPr>
          <w:rFonts w:cs="Times New Roman"/>
          <w:lang w:val="fr-CA"/>
        </w:rPr>
        <w:t>’</w:t>
      </w:r>
      <w:r w:rsidRPr="006B5BF6">
        <w:rPr>
          <w:rFonts w:cs="Times New Roman"/>
          <w:lang w:val="fr-CA"/>
        </w:rPr>
        <w:t>application des principes de droit en matière d</w:t>
      </w:r>
      <w:r>
        <w:rPr>
          <w:rFonts w:cs="Times New Roman"/>
          <w:lang w:val="fr-CA"/>
        </w:rPr>
        <w:t>’</w:t>
      </w:r>
      <w:r w:rsidRPr="006B5BF6">
        <w:rPr>
          <w:rFonts w:cs="Times New Roman"/>
          <w:lang w:val="fr-CA"/>
        </w:rPr>
        <w:t>appel créera inévitablement de la confusion en favorisant le fractionnement du contrôle judiciaire (</w:t>
      </w:r>
      <w:r w:rsidRPr="006B5BF6">
        <w:rPr>
          <w:rFonts w:cs="Times New Roman"/>
          <w:i/>
          <w:lang w:val="fr-CA"/>
        </w:rPr>
        <w:t>Mouvement</w:t>
      </w:r>
      <w:r w:rsidRPr="006B5BF6">
        <w:rPr>
          <w:rFonts w:cs="Times New Roman"/>
          <w:lang w:val="fr-CA"/>
        </w:rPr>
        <w:t xml:space="preserve"> </w:t>
      </w:r>
      <w:r w:rsidRPr="006B5BF6">
        <w:rPr>
          <w:rFonts w:cs="Times New Roman"/>
          <w:i/>
          <w:lang w:val="fr-CA"/>
        </w:rPr>
        <w:t>laïque</w:t>
      </w:r>
      <w:r w:rsidRPr="006B5BF6">
        <w:rPr>
          <w:rFonts w:cs="Times New Roman"/>
          <w:lang w:val="fr-CA"/>
        </w:rPr>
        <w:t>,</w:t>
      </w:r>
      <w:r w:rsidRPr="006B5BF6">
        <w:rPr>
          <w:rFonts w:cs="Times New Roman"/>
          <w:i/>
          <w:lang w:val="fr-CA"/>
        </w:rPr>
        <w:t xml:space="preserve"> </w:t>
      </w:r>
      <w:r w:rsidRPr="006B5BF6">
        <w:rPr>
          <w:rFonts w:cs="Times New Roman"/>
          <w:lang w:val="fr-CA"/>
        </w:rPr>
        <w:t xml:space="preserve">par. 173, motifs concordants en partie de la juge Abella; voir également Paul Daly, « Struggling Towards Coherence in Canadian Administrative Law? </w:t>
      </w:r>
      <w:r w:rsidRPr="006B5BF6">
        <w:rPr>
          <w:rFonts w:cs="Times New Roman"/>
        </w:rPr>
        <w:t xml:space="preserve">Recent Cases on Standard of Review and Reasonableness » (2016), 62 </w:t>
      </w:r>
      <w:r w:rsidRPr="006B5BF6">
        <w:rPr>
          <w:rFonts w:cs="Times New Roman"/>
          <w:i/>
        </w:rPr>
        <w:t xml:space="preserve">R.D. McGill </w:t>
      </w:r>
      <w:r w:rsidRPr="006B5BF6">
        <w:rPr>
          <w:rFonts w:cs="Times New Roman"/>
        </w:rPr>
        <w:t>527, p. 542</w:t>
      </w:r>
      <w:r w:rsidR="003205EE">
        <w:rPr>
          <w:rFonts w:cs="Times New Roman"/>
          <w:vertAlign w:val="superscript"/>
        </w:rPr>
        <w:t>-</w:t>
      </w:r>
      <w:r w:rsidRPr="006B5BF6">
        <w:rPr>
          <w:rFonts w:cs="Times New Roman"/>
        </w:rPr>
        <w:t>543; l</w:t>
      </w:r>
      <w:r>
        <w:rPr>
          <w:rFonts w:cs="Times New Roman"/>
        </w:rPr>
        <w:t>’</w:t>
      </w:r>
      <w:r w:rsidRPr="006B5BF6">
        <w:rPr>
          <w:rFonts w:cs="Times New Roman"/>
        </w:rPr>
        <w:t>hon</w:t>
      </w:r>
      <w:r w:rsidR="003205EE">
        <w:rPr>
          <w:rFonts w:cs="Times New Roman"/>
        </w:rPr>
        <w:t>.</w:t>
      </w:r>
      <w:r w:rsidRPr="006B5BF6">
        <w:rPr>
          <w:rFonts w:cs="Times New Roman"/>
        </w:rPr>
        <w:t xml:space="preserve"> Joseph T. Robertson, « Identifying the Review Standard</w:t>
      </w:r>
      <w:r w:rsidR="002B7FB6">
        <w:rPr>
          <w:rFonts w:cs="Times New Roman"/>
        </w:rPr>
        <w:t> </w:t>
      </w:r>
      <w:r w:rsidRPr="006B5BF6">
        <w:rPr>
          <w:rFonts w:cs="Times New Roman"/>
        </w:rPr>
        <w:t xml:space="preserve">: Administrative Deference in a Nutshell » (2017), 68 </w:t>
      </w:r>
      <w:r w:rsidR="00102612">
        <w:rPr>
          <w:rFonts w:cs="Times New Roman"/>
          <w:i/>
        </w:rPr>
        <w:t>R.D. U.N.-B.</w:t>
      </w:r>
      <w:r w:rsidRPr="006B5BF6">
        <w:rPr>
          <w:rFonts w:cs="Times New Roman"/>
        </w:rPr>
        <w:t xml:space="preserve"> 145, p. 162). </w:t>
      </w:r>
      <w:r w:rsidRPr="006B5BF6">
        <w:rPr>
          <w:rFonts w:cs="Times New Roman"/>
          <w:lang w:val="fr-CA"/>
        </w:rPr>
        <w:t xml:space="preserve">Il reviendra aux </w:t>
      </w:r>
      <w:r>
        <w:rPr>
          <w:rFonts w:cs="Times New Roman"/>
          <w:lang w:val="fr-CA"/>
        </w:rPr>
        <w:t>cours</w:t>
      </w:r>
      <w:r w:rsidRPr="006B5BF6">
        <w:rPr>
          <w:rFonts w:cs="Times New Roman"/>
          <w:lang w:val="fr-CA"/>
        </w:rPr>
        <w:t xml:space="preserve"> de déceler les erreurs manifestes et déterminantes dans le cas des questions de fait, à dissocier les questions de droit des questions mixtes de fait et de droit, à procéder à un examen </w:t>
      </w:r>
      <w:r w:rsidRPr="006B5BF6">
        <w:rPr>
          <w:rFonts w:cs="Times New Roman"/>
          <w:i/>
          <w:iCs/>
          <w:lang w:val="fr-CA"/>
        </w:rPr>
        <w:t xml:space="preserve">de </w:t>
      </w:r>
      <w:r w:rsidRPr="006B5BF6">
        <w:rPr>
          <w:rFonts w:cs="Times New Roman"/>
          <w:i/>
          <w:iCs/>
          <w:lang w:val="fr-CA"/>
        </w:rPr>
        <w:lastRenderedPageBreak/>
        <w:t>novo</w:t>
      </w:r>
      <w:r w:rsidRPr="006B5BF6">
        <w:rPr>
          <w:rFonts w:cs="Times New Roman"/>
          <w:lang w:val="fr-CA"/>
        </w:rPr>
        <w:t xml:space="preserve"> des questions de droit et éventuellement à se voir contraints d</w:t>
      </w:r>
      <w:r>
        <w:rPr>
          <w:rFonts w:cs="Times New Roman"/>
          <w:lang w:val="fr-CA"/>
        </w:rPr>
        <w:t>’</w:t>
      </w:r>
      <w:r w:rsidRPr="006B5BF6">
        <w:rPr>
          <w:rFonts w:cs="Times New Roman"/>
          <w:lang w:val="fr-CA"/>
        </w:rPr>
        <w:t>appliquer de façon interchangeable les normes du contrôle judiciaire et les normes d</w:t>
      </w:r>
      <w:r>
        <w:rPr>
          <w:rFonts w:cs="Times New Roman"/>
          <w:lang w:val="fr-CA"/>
        </w:rPr>
        <w:t>’</w:t>
      </w:r>
      <w:r w:rsidRPr="006B5BF6">
        <w:rPr>
          <w:rFonts w:cs="Times New Roman"/>
          <w:lang w:val="fr-CA"/>
        </w:rPr>
        <w:t>appel lorsqu</w:t>
      </w:r>
      <w:r>
        <w:rPr>
          <w:rFonts w:cs="Times New Roman"/>
          <w:lang w:val="fr-CA"/>
        </w:rPr>
        <w:t>’</w:t>
      </w:r>
      <w:r w:rsidRPr="006B5BF6">
        <w:rPr>
          <w:rFonts w:cs="Times New Roman"/>
          <w:lang w:val="fr-CA"/>
        </w:rPr>
        <w:t>un demandeur conteste dans la même instance plusieurs aspects de la décision administrative dont certains relèvent d</w:t>
      </w:r>
      <w:r>
        <w:rPr>
          <w:rFonts w:cs="Times New Roman"/>
          <w:lang w:val="fr-CA"/>
        </w:rPr>
        <w:t>’</w:t>
      </w:r>
      <w:r w:rsidRPr="006B5BF6">
        <w:rPr>
          <w:rFonts w:cs="Times New Roman"/>
          <w:lang w:val="fr-CA"/>
        </w:rPr>
        <w:t>une disposition créant un droit d</w:t>
      </w:r>
      <w:r>
        <w:rPr>
          <w:rFonts w:cs="Times New Roman"/>
          <w:lang w:val="fr-CA"/>
        </w:rPr>
        <w:t>’</w:t>
      </w:r>
      <w:r w:rsidRPr="006B5BF6">
        <w:rPr>
          <w:rFonts w:cs="Times New Roman"/>
          <w:lang w:val="fr-CA"/>
        </w:rPr>
        <w:t>appel et d</w:t>
      </w:r>
      <w:r>
        <w:rPr>
          <w:rFonts w:cs="Times New Roman"/>
          <w:lang w:val="fr-CA"/>
        </w:rPr>
        <w:t>’</w:t>
      </w:r>
      <w:r w:rsidRPr="006B5BF6">
        <w:rPr>
          <w:rFonts w:cs="Times New Roman"/>
          <w:lang w:val="fr-CA"/>
        </w:rPr>
        <w:t>autres non. Il s</w:t>
      </w:r>
      <w:r>
        <w:rPr>
          <w:rFonts w:cs="Times New Roman"/>
          <w:lang w:val="fr-CA"/>
        </w:rPr>
        <w:t>’</w:t>
      </w:r>
      <w:r w:rsidRPr="006B5BF6">
        <w:rPr>
          <w:rFonts w:cs="Times New Roman"/>
          <w:lang w:val="fr-CA"/>
        </w:rPr>
        <w:t>agit d</w:t>
      </w:r>
      <w:r>
        <w:rPr>
          <w:rFonts w:cs="Times New Roman"/>
          <w:lang w:val="fr-CA"/>
        </w:rPr>
        <w:t>’</w:t>
      </w:r>
      <w:r w:rsidRPr="006B5BF6">
        <w:rPr>
          <w:rFonts w:cs="Times New Roman"/>
          <w:lang w:val="fr-CA"/>
        </w:rPr>
        <w:t>une incitation à la complexité et d</w:t>
      </w:r>
      <w:r>
        <w:rPr>
          <w:rFonts w:cs="Times New Roman"/>
          <w:lang w:val="fr-CA"/>
        </w:rPr>
        <w:t>’</w:t>
      </w:r>
      <w:r w:rsidRPr="006B5BF6">
        <w:rPr>
          <w:rFonts w:cs="Times New Roman"/>
          <w:lang w:val="fr-CA"/>
        </w:rPr>
        <w:t>un obstacle à l</w:t>
      </w:r>
      <w:r>
        <w:rPr>
          <w:rFonts w:cs="Times New Roman"/>
          <w:lang w:val="fr-CA"/>
        </w:rPr>
        <w:t>’</w:t>
      </w:r>
      <w:r w:rsidRPr="006B5BF6">
        <w:rPr>
          <w:rFonts w:cs="Times New Roman"/>
          <w:lang w:val="fr-CA"/>
        </w:rPr>
        <w:t>accès à la justice.</w:t>
      </w:r>
    </w:p>
    <w:p w14:paraId="0411DE19"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Les motifs de la majorité nous font « retourner à l</w:t>
      </w:r>
      <w:r>
        <w:rPr>
          <w:rFonts w:cs="Times New Roman"/>
          <w:lang w:val="fr-CA"/>
        </w:rPr>
        <w:t>’</w:t>
      </w:r>
      <w:r w:rsidRPr="006B5BF6">
        <w:rPr>
          <w:rFonts w:cs="Times New Roman"/>
          <w:lang w:val="fr-CA"/>
        </w:rPr>
        <w:t>époque où certains tribunaux judiciaires s</w:t>
      </w:r>
      <w:r>
        <w:rPr>
          <w:rFonts w:cs="Times New Roman"/>
          <w:lang w:val="fr-CA"/>
        </w:rPr>
        <w:t>’</w:t>
      </w:r>
      <w:r w:rsidRPr="006B5BF6">
        <w:rPr>
          <w:rFonts w:cs="Times New Roman"/>
          <w:lang w:val="fr-CA"/>
        </w:rPr>
        <w:t>attribuaient, en matière administrative, certaines compétences et connaissances qu</w:t>
      </w:r>
      <w:r>
        <w:rPr>
          <w:rFonts w:cs="Times New Roman"/>
          <w:lang w:val="fr-CA"/>
        </w:rPr>
        <w:t>’</w:t>
      </w:r>
      <w:r w:rsidRPr="006B5BF6">
        <w:rPr>
          <w:rFonts w:cs="Times New Roman"/>
          <w:lang w:val="fr-CA"/>
        </w:rPr>
        <w:t>ils se sont en fait avérés ne pas posséder » (</w:t>
      </w:r>
      <w:r w:rsidRPr="006B5BF6">
        <w:rPr>
          <w:rFonts w:cs="Times New Roman"/>
          <w:i/>
          <w:lang w:val="fr-CA"/>
        </w:rPr>
        <w:t>Khosa</w:t>
      </w:r>
      <w:r w:rsidRPr="006B5BF6">
        <w:rPr>
          <w:rFonts w:cs="Times New Roman"/>
          <w:lang w:val="fr-CA"/>
        </w:rPr>
        <w:t>, par. 26). La majorité élève les droits d</w:t>
      </w:r>
      <w:r>
        <w:rPr>
          <w:rFonts w:cs="Times New Roman"/>
          <w:lang w:val="fr-CA"/>
        </w:rPr>
        <w:t>’</w:t>
      </w:r>
      <w:r w:rsidRPr="006B5BF6">
        <w:rPr>
          <w:rFonts w:cs="Times New Roman"/>
          <w:lang w:val="fr-CA"/>
        </w:rPr>
        <w:t>appel prévus par la loi au rang de facteurs déterminants en appliquant une approche formaliste qui néglige la volonté du législateur de laisser à des décideurs administratifs spécialisés le soin de trancher certaines questions de droit et de politique. Cet effritement d</w:t>
      </w:r>
      <w:r>
        <w:rPr>
          <w:rFonts w:cs="Times New Roman"/>
          <w:lang w:val="fr-CA"/>
        </w:rPr>
        <w:t>’</w:t>
      </w:r>
      <w:r w:rsidRPr="006B5BF6">
        <w:rPr>
          <w:rFonts w:cs="Times New Roman"/>
          <w:lang w:val="fr-CA"/>
        </w:rPr>
        <w:t>une conception canadienne du droit administratif qui a été élaborée avec soin et qui repose sur la déférence nous ramène à la démarche fondée sur des « règles de droit immuables » que l</w:t>
      </w:r>
      <w:r>
        <w:rPr>
          <w:rFonts w:cs="Times New Roman"/>
          <w:lang w:val="fr-CA"/>
        </w:rPr>
        <w:t>’</w:t>
      </w:r>
      <w:r w:rsidRPr="006B5BF6">
        <w:rPr>
          <w:rFonts w:cs="Times New Roman"/>
          <w:lang w:val="fr-CA"/>
        </w:rPr>
        <w:t>on trouve notamment dans l</w:t>
      </w:r>
      <w:r>
        <w:rPr>
          <w:rFonts w:cs="Times New Roman"/>
          <w:lang w:val="fr-CA"/>
        </w:rPr>
        <w:t>’</w:t>
      </w:r>
      <w:r w:rsidRPr="006B5BF6">
        <w:rPr>
          <w:rFonts w:cs="Times New Roman"/>
          <w:lang w:val="fr-CA"/>
        </w:rPr>
        <w:t xml:space="preserve">arrêt </w:t>
      </w:r>
      <w:r w:rsidRPr="006B5BF6">
        <w:rPr>
          <w:rFonts w:cs="Times New Roman"/>
          <w:i/>
          <w:lang w:val="fr-CA"/>
        </w:rPr>
        <w:t xml:space="preserve">Anisminic </w:t>
      </w:r>
      <w:r w:rsidRPr="006B5BF6">
        <w:rPr>
          <w:rFonts w:cs="Times New Roman"/>
          <w:iCs/>
          <w:lang w:val="fr-CA"/>
        </w:rPr>
        <w:t xml:space="preserve">et dans des affaires comme </w:t>
      </w:r>
      <w:r w:rsidRPr="006B5BF6">
        <w:rPr>
          <w:rFonts w:cs="Times New Roman"/>
          <w:i/>
          <w:lang w:val="fr-CA"/>
        </w:rPr>
        <w:t>Metropolitan Life</w:t>
      </w:r>
      <w:r w:rsidRPr="006B5BF6">
        <w:rPr>
          <w:rFonts w:cs="Times New Roman"/>
          <w:iCs/>
          <w:lang w:val="fr-CA"/>
        </w:rPr>
        <w:t>, où des décideurs spécialisés étaient à la merci des décisions souveraines d</w:t>
      </w:r>
      <w:r>
        <w:rPr>
          <w:rFonts w:cs="Times New Roman"/>
          <w:iCs/>
          <w:lang w:val="fr-CA"/>
        </w:rPr>
        <w:t>’</w:t>
      </w:r>
      <w:r w:rsidRPr="006B5BF6">
        <w:rPr>
          <w:rFonts w:cs="Times New Roman"/>
          <w:iCs/>
          <w:lang w:val="fr-CA"/>
        </w:rPr>
        <w:t>un ou d</w:t>
      </w:r>
      <w:r>
        <w:rPr>
          <w:rFonts w:cs="Times New Roman"/>
          <w:iCs/>
          <w:lang w:val="fr-CA"/>
        </w:rPr>
        <w:t>’</w:t>
      </w:r>
      <w:r w:rsidRPr="006B5BF6">
        <w:rPr>
          <w:rFonts w:cs="Times New Roman"/>
          <w:iCs/>
          <w:lang w:val="fr-CA"/>
        </w:rPr>
        <w:t>une juge</w:t>
      </w:r>
      <w:r w:rsidRPr="006B5BF6">
        <w:rPr>
          <w:rFonts w:cs="Times New Roman"/>
          <w:lang w:val="fr-CA"/>
        </w:rPr>
        <w:t>. Plutôt que de s</w:t>
      </w:r>
      <w:r>
        <w:rPr>
          <w:rFonts w:cs="Times New Roman"/>
          <w:lang w:val="fr-CA"/>
        </w:rPr>
        <w:t>’</w:t>
      </w:r>
      <w:r w:rsidRPr="006B5BF6">
        <w:rPr>
          <w:rFonts w:cs="Times New Roman"/>
          <w:lang w:val="fr-CA"/>
        </w:rPr>
        <w:t>appuyer sur l</w:t>
      </w:r>
      <w:r>
        <w:rPr>
          <w:rFonts w:cs="Times New Roman"/>
          <w:lang w:val="fr-CA"/>
        </w:rPr>
        <w:t>’</w:t>
      </w:r>
      <w:r w:rsidRPr="006B5BF6">
        <w:rPr>
          <w:rFonts w:cs="Times New Roman"/>
          <w:lang w:val="fr-CA"/>
        </w:rPr>
        <w:t xml:space="preserve">arrêt </w:t>
      </w:r>
      <w:r w:rsidRPr="006B5BF6">
        <w:rPr>
          <w:rFonts w:cs="Times New Roman"/>
          <w:i/>
          <w:lang w:val="fr-CA"/>
        </w:rPr>
        <w:t>Dunsmuir</w:t>
      </w:r>
      <w:r w:rsidRPr="006B5BF6">
        <w:rPr>
          <w:rFonts w:cs="Times New Roman"/>
          <w:lang w:val="fr-CA"/>
        </w:rPr>
        <w:t>, qui reconnaissait que la spécialisation était indissociable de la volonté du législateur de déléguer certaines questions à des décideurs administratifs, les motifs de la majorité évacuent totalement l</w:t>
      </w:r>
      <w:r>
        <w:rPr>
          <w:rFonts w:cs="Times New Roman"/>
          <w:lang w:val="fr-CA"/>
        </w:rPr>
        <w:t>’</w:t>
      </w:r>
      <w:r w:rsidRPr="006B5BF6">
        <w:rPr>
          <w:rFonts w:cs="Times New Roman"/>
          <w:lang w:val="fr-CA"/>
        </w:rPr>
        <w:t>expertise de l</w:t>
      </w:r>
      <w:r>
        <w:rPr>
          <w:rFonts w:cs="Times New Roman"/>
          <w:lang w:val="fr-CA"/>
        </w:rPr>
        <w:t>’</w:t>
      </w:r>
      <w:r w:rsidRPr="006B5BF6">
        <w:rPr>
          <w:rFonts w:cs="Times New Roman"/>
          <w:lang w:val="fr-CA"/>
        </w:rPr>
        <w:t>analyse relative à la norme de contrôle, ouvrant ainsi la porte à la création d</w:t>
      </w:r>
      <w:r>
        <w:rPr>
          <w:rFonts w:cs="Times New Roman"/>
          <w:lang w:val="fr-CA"/>
        </w:rPr>
        <w:t>’</w:t>
      </w:r>
      <w:r w:rsidRPr="006B5BF6">
        <w:rPr>
          <w:rFonts w:cs="Times New Roman"/>
          <w:lang w:val="fr-CA"/>
        </w:rPr>
        <w:t>une multitude de nouvelles catégories de normes de contrôle fondées sur la décision correcte dont la portée risque elle aussi d</w:t>
      </w:r>
      <w:r>
        <w:rPr>
          <w:rFonts w:cs="Times New Roman"/>
          <w:lang w:val="fr-CA"/>
        </w:rPr>
        <w:t>’</w:t>
      </w:r>
      <w:r w:rsidRPr="006B5BF6">
        <w:rPr>
          <w:rFonts w:cs="Times New Roman"/>
          <w:lang w:val="fr-CA"/>
        </w:rPr>
        <w:t>être élargie. L</w:t>
      </w:r>
      <w:r>
        <w:rPr>
          <w:rFonts w:cs="Times New Roman"/>
          <w:lang w:val="fr-CA"/>
        </w:rPr>
        <w:t>’</w:t>
      </w:r>
      <w:r w:rsidRPr="006B5BF6">
        <w:rPr>
          <w:rFonts w:cs="Times New Roman"/>
          <w:lang w:val="fr-CA"/>
        </w:rPr>
        <w:t>approche de la majorité affaiblit non seulement la présomption de déférence, mais mine aussi la confiance envers l</w:t>
      </w:r>
      <w:r>
        <w:rPr>
          <w:rFonts w:cs="Times New Roman"/>
          <w:lang w:val="fr-CA"/>
        </w:rPr>
        <w:t>’</w:t>
      </w:r>
      <w:r w:rsidRPr="006B5BF6">
        <w:rPr>
          <w:rFonts w:cs="Times New Roman"/>
          <w:lang w:val="fr-CA"/>
        </w:rPr>
        <w:t>existence — et l</w:t>
      </w:r>
      <w:r>
        <w:rPr>
          <w:rFonts w:cs="Times New Roman"/>
          <w:lang w:val="fr-CA"/>
        </w:rPr>
        <w:t>’</w:t>
      </w:r>
      <w:r w:rsidRPr="006B5BF6">
        <w:rPr>
          <w:rFonts w:cs="Times New Roman"/>
          <w:lang w:val="fr-CA"/>
        </w:rPr>
        <w:t xml:space="preserve">opportunité — de favoriser une </w:t>
      </w:r>
      <w:r w:rsidRPr="006B5BF6">
        <w:rPr>
          <w:rFonts w:cs="Times New Roman"/>
          <w:lang w:val="fr-CA"/>
        </w:rPr>
        <w:lastRenderedPageBreak/>
        <w:t>[</w:t>
      </w:r>
      <w:r w:rsidRPr="006B5BF6">
        <w:rPr>
          <w:rFonts w:cs="Times New Roman"/>
          <w:smallCaps/>
          <w:lang w:val="fr-CA"/>
        </w:rPr>
        <w:t>traduction</w:t>
      </w:r>
      <w:r w:rsidRPr="006B5BF6">
        <w:rPr>
          <w:rFonts w:cs="Times New Roman"/>
          <w:lang w:val="fr-CA"/>
        </w:rPr>
        <w:t xml:space="preserve">] « participation commune [des </w:t>
      </w:r>
      <w:r>
        <w:rPr>
          <w:rFonts w:cs="Times New Roman"/>
          <w:lang w:val="fr-CA"/>
        </w:rPr>
        <w:t>cours</w:t>
      </w:r>
      <w:r w:rsidRPr="006B5BF6">
        <w:rPr>
          <w:rFonts w:cs="Times New Roman"/>
          <w:lang w:val="fr-CA"/>
        </w:rPr>
        <w:t xml:space="preserve"> et des décideurs administratifs] au fonctionnement de l</w:t>
      </w:r>
      <w:r>
        <w:rPr>
          <w:rFonts w:cs="Times New Roman"/>
          <w:lang w:val="fr-CA"/>
        </w:rPr>
        <w:t>’</w:t>
      </w:r>
      <w:r w:rsidRPr="006B5BF6">
        <w:rPr>
          <w:rFonts w:cs="Times New Roman"/>
          <w:lang w:val="fr-CA"/>
        </w:rPr>
        <w:t>État administratif en ce qui concerne l</w:t>
      </w:r>
      <w:r>
        <w:rPr>
          <w:rFonts w:cs="Times New Roman"/>
          <w:lang w:val="fr-CA"/>
        </w:rPr>
        <w:t>’</w:t>
      </w:r>
      <w:r w:rsidRPr="006B5BF6">
        <w:rPr>
          <w:rFonts w:cs="Times New Roman"/>
          <w:lang w:val="fr-CA"/>
        </w:rPr>
        <w:t>élaboration et l</w:t>
      </w:r>
      <w:r>
        <w:rPr>
          <w:rFonts w:cs="Times New Roman"/>
          <w:lang w:val="fr-CA"/>
        </w:rPr>
        <w:t>’</w:t>
      </w:r>
      <w:r w:rsidRPr="006B5BF6">
        <w:rPr>
          <w:rFonts w:cs="Times New Roman"/>
          <w:lang w:val="fr-CA"/>
        </w:rPr>
        <w:t>interprétation du droit » (Stack, p. 310).</w:t>
      </w:r>
    </w:p>
    <w:p w14:paraId="3C822140"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Mais l</w:t>
      </w:r>
      <w:r>
        <w:rPr>
          <w:rFonts w:cs="Times New Roman"/>
          <w:lang w:val="fr-CA"/>
        </w:rPr>
        <w:t>’</w:t>
      </w:r>
      <w:r w:rsidRPr="006B5BF6">
        <w:rPr>
          <w:rFonts w:cs="Times New Roman"/>
          <w:lang w:val="fr-CA"/>
        </w:rPr>
        <w:t>aspect de la décision de la majorité qui risque le plus de compromettre l</w:t>
      </w:r>
      <w:r>
        <w:rPr>
          <w:rFonts w:cs="Times New Roman"/>
          <w:lang w:val="fr-CA"/>
        </w:rPr>
        <w:t>’</w:t>
      </w:r>
      <w:r w:rsidRPr="006B5BF6">
        <w:rPr>
          <w:rFonts w:cs="Times New Roman"/>
          <w:lang w:val="fr-CA"/>
        </w:rPr>
        <w:t>intégrité des décisions de notre Cour et d</w:t>
      </w:r>
      <w:r>
        <w:rPr>
          <w:rFonts w:cs="Times New Roman"/>
          <w:lang w:val="fr-CA"/>
        </w:rPr>
        <w:t>’</w:t>
      </w:r>
      <w:r w:rsidRPr="006B5BF6">
        <w:rPr>
          <w:rFonts w:cs="Times New Roman"/>
          <w:lang w:val="fr-CA"/>
        </w:rPr>
        <w:t>ébranler la confiance du public à l</w:t>
      </w:r>
      <w:r>
        <w:rPr>
          <w:rFonts w:cs="Times New Roman"/>
          <w:lang w:val="fr-CA"/>
        </w:rPr>
        <w:t>’</w:t>
      </w:r>
      <w:r w:rsidRPr="006B5BF6">
        <w:rPr>
          <w:rFonts w:cs="Times New Roman"/>
          <w:lang w:val="fr-CA"/>
        </w:rPr>
        <w:t xml:space="preserve">égard de la stabilité du droit est son mépris des précédents et de la règle du </w:t>
      </w:r>
      <w:r w:rsidRPr="006B5BF6">
        <w:rPr>
          <w:rFonts w:cs="Times New Roman"/>
          <w:i/>
          <w:lang w:val="fr-CA"/>
        </w:rPr>
        <w:t>stare decisis</w:t>
      </w:r>
      <w:r w:rsidRPr="006B5BF6">
        <w:rPr>
          <w:rFonts w:cs="Times New Roman"/>
          <w:lang w:val="fr-CA"/>
        </w:rPr>
        <w:t>.</w:t>
      </w:r>
    </w:p>
    <w:p w14:paraId="6742689E"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iCs/>
          <w:lang w:val="fr-CA"/>
        </w:rPr>
        <w:t xml:space="preserve">La règle </w:t>
      </w:r>
      <w:r w:rsidRPr="006B5BF6">
        <w:rPr>
          <w:rFonts w:cs="Times New Roman"/>
          <w:lang w:val="fr-CA"/>
        </w:rPr>
        <w:t xml:space="preserve">du </w:t>
      </w:r>
      <w:r w:rsidRPr="006B5BF6">
        <w:rPr>
          <w:rFonts w:cs="Times New Roman"/>
          <w:i/>
          <w:lang w:val="fr-CA"/>
        </w:rPr>
        <w:t>stare decisis</w:t>
      </w:r>
      <w:r w:rsidRPr="006B5BF6">
        <w:rPr>
          <w:rFonts w:cs="Times New Roman"/>
          <w:lang w:val="fr-CA"/>
        </w:rPr>
        <w:t xml:space="preserve"> limite considérablement la capacité de notre Cour d</w:t>
      </w:r>
      <w:r>
        <w:rPr>
          <w:rFonts w:cs="Times New Roman"/>
          <w:lang w:val="fr-CA"/>
        </w:rPr>
        <w:t>’</w:t>
      </w:r>
      <w:r w:rsidRPr="006B5BF6">
        <w:rPr>
          <w:rFonts w:cs="Times New Roman"/>
          <w:lang w:val="fr-CA"/>
        </w:rPr>
        <w:t>infirmer ses propres précédents. Le juge Rothstein a précisé certaines de ces limites dans l</w:t>
      </w:r>
      <w:r>
        <w:rPr>
          <w:rFonts w:cs="Times New Roman"/>
          <w:lang w:val="fr-CA"/>
        </w:rPr>
        <w:t>’</w:t>
      </w:r>
      <w:r w:rsidRPr="006B5BF6">
        <w:rPr>
          <w:rFonts w:cs="Times New Roman"/>
          <w:lang w:val="fr-CA"/>
        </w:rPr>
        <w:t xml:space="preserve">arrêt </w:t>
      </w:r>
      <w:r w:rsidRPr="006B5BF6">
        <w:rPr>
          <w:rFonts w:cs="Times New Roman"/>
          <w:i/>
          <w:lang w:val="fr-CA"/>
        </w:rPr>
        <w:t>Canada c. Craig</w:t>
      </w:r>
      <w:r w:rsidRPr="006B5BF6">
        <w:rPr>
          <w:rFonts w:cs="Times New Roman"/>
          <w:lang w:val="fr-CA"/>
        </w:rPr>
        <w:t>, [2012] 2 R.C.S. 489, qui est la décision relative à l</w:t>
      </w:r>
      <w:r>
        <w:rPr>
          <w:rFonts w:cs="Times New Roman"/>
          <w:lang w:val="fr-CA"/>
        </w:rPr>
        <w:t>’</w:t>
      </w:r>
      <w:r w:rsidRPr="006B5BF6">
        <w:rPr>
          <w:rFonts w:cs="Times New Roman"/>
          <w:lang w:val="fr-CA"/>
        </w:rPr>
        <w:t xml:space="preserve">application de la règle du </w:t>
      </w:r>
      <w:r w:rsidRPr="006B5BF6">
        <w:rPr>
          <w:rFonts w:cs="Times New Roman"/>
          <w:i/>
          <w:lang w:val="fr-CA"/>
        </w:rPr>
        <w:t>stare decisis</w:t>
      </w:r>
      <w:r w:rsidRPr="006B5BF6">
        <w:rPr>
          <w:rFonts w:cs="Times New Roman"/>
          <w:lang w:val="fr-CA"/>
        </w:rPr>
        <w:t xml:space="preserve"> par une juridiction du même degré sur laquelle la majorité se fonde :</w:t>
      </w:r>
    </w:p>
    <w:p w14:paraId="79B46377" w14:textId="45317427" w:rsidR="00AE2373" w:rsidRPr="006B5BF6" w:rsidRDefault="00AE2373" w:rsidP="00610555">
      <w:pPr>
        <w:pStyle w:val="Citation-AltC"/>
        <w:tabs>
          <w:tab w:val="left" w:pos="1710"/>
          <w:tab w:val="left" w:pos="2160"/>
        </w:tabs>
        <w:spacing w:after="240"/>
        <w:ind w:firstLine="274"/>
        <w:contextualSpacing w:val="0"/>
        <w:rPr>
          <w:rFonts w:eastAsiaTheme="minorEastAsia"/>
          <w:lang w:val="fr-CA"/>
        </w:rPr>
      </w:pPr>
      <w:r w:rsidRPr="006B5BF6">
        <w:rPr>
          <w:lang w:val="fr-CA"/>
        </w:rPr>
        <w:t xml:space="preserve">Notre Cour a récemment examiné, dans </w:t>
      </w:r>
      <w:r w:rsidRPr="006B5BF6">
        <w:rPr>
          <w:i/>
          <w:iCs/>
          <w:lang w:val="fr-CA"/>
        </w:rPr>
        <w:t>Ontario (Procureur général) c. Fraser</w:t>
      </w:r>
      <w:r w:rsidRPr="006B5BF6">
        <w:rPr>
          <w:lang w:val="fr-CA"/>
        </w:rPr>
        <w:t>,</w:t>
      </w:r>
      <w:r w:rsidRPr="006B5BF6">
        <w:rPr>
          <w:i/>
          <w:iCs/>
          <w:lang w:val="fr-CA"/>
        </w:rPr>
        <w:t xml:space="preserve"> </w:t>
      </w:r>
      <w:r w:rsidRPr="006B5BF6">
        <w:rPr>
          <w:lang w:val="fr-CA"/>
        </w:rPr>
        <w:t>2011 CSC 20, [2011] 2 R.C.S. 3, si elle devait écarter l</w:t>
      </w:r>
      <w:r>
        <w:rPr>
          <w:lang w:val="fr-CA"/>
        </w:rPr>
        <w:t>’</w:t>
      </w:r>
      <w:r w:rsidRPr="006B5BF6">
        <w:rPr>
          <w:lang w:val="fr-CA"/>
        </w:rPr>
        <w:t>une de ses propres décisions. Au paragraphe 56, la juge en chef McLachlin et le juge LeBel soulignent, dans leurs motifs conjoints pour la majorité, qu</w:t>
      </w:r>
      <w:r>
        <w:rPr>
          <w:lang w:val="fr-CA"/>
        </w:rPr>
        <w:t>’</w:t>
      </w:r>
      <w:r w:rsidRPr="006B5BF6">
        <w:rPr>
          <w:lang w:val="fr-CA"/>
        </w:rPr>
        <w:t>il ne convient pas d</w:t>
      </w:r>
      <w:r>
        <w:rPr>
          <w:lang w:val="fr-CA"/>
        </w:rPr>
        <w:t>’</w:t>
      </w:r>
      <w:r w:rsidRPr="006B5BF6">
        <w:rPr>
          <w:lang w:val="fr-CA"/>
        </w:rPr>
        <w:t xml:space="preserve">écarter un précédent à la légère. </w:t>
      </w:r>
      <w:r w:rsidRPr="006B5BF6">
        <w:rPr>
          <w:i/>
          <w:lang w:val="fr-CA"/>
        </w:rPr>
        <w:t>C</w:t>
      </w:r>
      <w:r>
        <w:rPr>
          <w:i/>
          <w:lang w:val="fr-CA"/>
        </w:rPr>
        <w:t>’</w:t>
      </w:r>
      <w:r w:rsidRPr="006B5BF6">
        <w:rPr>
          <w:i/>
          <w:lang w:val="fr-CA"/>
        </w:rPr>
        <w:t>est particulièrement vrai lorsque le précédent exprime l</w:t>
      </w:r>
      <w:r>
        <w:rPr>
          <w:i/>
          <w:lang w:val="fr-CA"/>
        </w:rPr>
        <w:t>’</w:t>
      </w:r>
      <w:r w:rsidRPr="006B5BF6">
        <w:rPr>
          <w:i/>
          <w:lang w:val="fr-CA"/>
        </w:rPr>
        <w:t>avis réfléchi de majorités claires</w:t>
      </w:r>
      <w:r w:rsidRPr="006B5BF6">
        <w:rPr>
          <w:lang w:val="fr-CA"/>
        </w:rPr>
        <w:t xml:space="preserve"> (par. 57).</w:t>
      </w:r>
    </w:p>
    <w:p w14:paraId="550A937C" w14:textId="6E0606DE" w:rsidR="00C57D36" w:rsidRDefault="00AE2373" w:rsidP="00C57D36">
      <w:pPr>
        <w:pStyle w:val="Citation-AltC"/>
        <w:tabs>
          <w:tab w:val="left" w:pos="1710"/>
          <w:tab w:val="left" w:pos="2160"/>
        </w:tabs>
        <w:spacing w:after="240"/>
        <w:ind w:firstLine="364"/>
        <w:contextualSpacing w:val="0"/>
        <w:rPr>
          <w:i/>
          <w:iCs/>
          <w:lang w:val="fr-CA"/>
        </w:rPr>
      </w:pPr>
      <w:r w:rsidRPr="006B5BF6">
        <w:rPr>
          <w:lang w:val="fr-CA"/>
        </w:rPr>
        <w:t>Il est malgré tout arrivé à plusieurs reprises que la Cour écarte ses propres décisions. (Voir </w:t>
      </w:r>
      <w:r w:rsidRPr="006B5BF6">
        <w:rPr>
          <w:i/>
          <w:iCs/>
          <w:lang w:val="fr-CA"/>
        </w:rPr>
        <w:t>R. c. Chaulk</w:t>
      </w:r>
      <w:r w:rsidRPr="006B5BF6">
        <w:rPr>
          <w:lang w:val="fr-CA"/>
        </w:rPr>
        <w:t>, [1990] 3 R.C.S. 1303, p. 1353, le juge en chef Lamer pour la majorité; </w:t>
      </w:r>
      <w:r w:rsidRPr="006B5BF6">
        <w:rPr>
          <w:i/>
          <w:iCs/>
          <w:lang w:val="fr-CA"/>
        </w:rPr>
        <w:t>R. c. B. (K.G.)</w:t>
      </w:r>
      <w:r w:rsidRPr="006B5BF6">
        <w:rPr>
          <w:lang w:val="fr-CA"/>
        </w:rPr>
        <w:t>, [1993] 1 R.C.S. 740; </w:t>
      </w:r>
      <w:r w:rsidRPr="006B5BF6">
        <w:rPr>
          <w:i/>
          <w:iCs/>
          <w:lang w:val="fr-CA"/>
        </w:rPr>
        <w:t>R. c. Robinson</w:t>
      </w:r>
      <w:r w:rsidRPr="006B5BF6">
        <w:rPr>
          <w:lang w:val="fr-CA"/>
        </w:rPr>
        <w:t xml:space="preserve">, [1996] 1 R.C.S. 683.) </w:t>
      </w:r>
      <w:r w:rsidRPr="006B5BF6">
        <w:rPr>
          <w:i/>
          <w:iCs/>
          <w:lang w:val="fr-CA"/>
        </w:rPr>
        <w:t>Il lui faut toutefois être convaincue, pour des raisons impérieuses, que la décision est erronée et qu</w:t>
      </w:r>
      <w:r>
        <w:rPr>
          <w:i/>
          <w:iCs/>
          <w:lang w:val="fr-CA"/>
        </w:rPr>
        <w:t>’</w:t>
      </w:r>
      <w:r w:rsidRPr="006B5BF6">
        <w:rPr>
          <w:i/>
          <w:iCs/>
          <w:lang w:val="fr-CA"/>
        </w:rPr>
        <w:t>elle devrait être écartée</w:t>
      </w:r>
      <w:r w:rsidR="00C57D36">
        <w:rPr>
          <w:i/>
          <w:iCs/>
          <w:lang w:val="fr-CA"/>
        </w:rPr>
        <w:t xml:space="preserve"> .</w:t>
      </w:r>
      <w:r w:rsidR="00D962E1">
        <w:rPr>
          <w:i/>
          <w:iCs/>
          <w:lang w:val="fr-CA"/>
        </w:rPr>
        <w:t> </w:t>
      </w:r>
      <w:r w:rsidR="00C57D36">
        <w:rPr>
          <w:i/>
          <w:iCs/>
          <w:lang w:val="fr-CA"/>
        </w:rPr>
        <w:t>.</w:t>
      </w:r>
      <w:r w:rsidR="00D962E1">
        <w:rPr>
          <w:i/>
          <w:iCs/>
          <w:lang w:val="fr-CA"/>
        </w:rPr>
        <w:t> </w:t>
      </w:r>
      <w:r w:rsidR="00C57D36">
        <w:rPr>
          <w:i/>
          <w:iCs/>
          <w:lang w:val="fr-CA"/>
        </w:rPr>
        <w:t>.</w:t>
      </w:r>
    </w:p>
    <w:p w14:paraId="20AD7B40" w14:textId="647C8C33" w:rsidR="00AE2373" w:rsidRPr="006B5BF6" w:rsidRDefault="00AE2373" w:rsidP="00C57D36">
      <w:pPr>
        <w:pStyle w:val="Citation-AltC"/>
        <w:tabs>
          <w:tab w:val="left" w:pos="1710"/>
          <w:tab w:val="left" w:pos="2160"/>
        </w:tabs>
        <w:spacing w:after="240"/>
        <w:ind w:firstLine="364"/>
        <w:contextualSpacing w:val="0"/>
        <w:rPr>
          <w:rFonts w:eastAsiaTheme="minorEastAsia"/>
          <w:lang w:val="fr-CA"/>
        </w:rPr>
      </w:pPr>
      <w:r w:rsidRPr="006B5BF6">
        <w:rPr>
          <w:lang w:val="fr-CA"/>
        </w:rPr>
        <w:t>La prudence est de mise lorsqu</w:t>
      </w:r>
      <w:r>
        <w:rPr>
          <w:lang w:val="fr-CA"/>
        </w:rPr>
        <w:t>’</w:t>
      </w:r>
      <w:r w:rsidRPr="006B5BF6">
        <w:rPr>
          <w:lang w:val="fr-CA"/>
        </w:rPr>
        <w:t>il s</w:t>
      </w:r>
      <w:r>
        <w:rPr>
          <w:lang w:val="fr-CA"/>
        </w:rPr>
        <w:t>’</w:t>
      </w:r>
      <w:r w:rsidRPr="006B5BF6">
        <w:rPr>
          <w:lang w:val="fr-CA"/>
        </w:rPr>
        <w:t xml:space="preserve">agit de décider de rompre avec une décision antérieure. Dans </w:t>
      </w:r>
      <w:r w:rsidRPr="006B5BF6">
        <w:rPr>
          <w:i/>
          <w:iCs/>
          <w:lang w:val="fr-CA"/>
        </w:rPr>
        <w:t>Queensland c. Commonwealth</w:t>
      </w:r>
      <w:r w:rsidRPr="006B5BF6">
        <w:rPr>
          <w:lang w:val="fr-CA"/>
        </w:rPr>
        <w:t> (1977), 139 C.L.R. 585 (H.C.A.), p. 599, le juge Gibbs a articulé de façon concise l</w:t>
      </w:r>
      <w:r>
        <w:rPr>
          <w:lang w:val="fr-CA"/>
        </w:rPr>
        <w:t>’</w:t>
      </w:r>
      <w:r w:rsidRPr="006B5BF6">
        <w:rPr>
          <w:lang w:val="fr-CA"/>
        </w:rPr>
        <w:t>approche qui s</w:t>
      </w:r>
      <w:r>
        <w:rPr>
          <w:lang w:val="fr-CA"/>
        </w:rPr>
        <w:t>’</w:t>
      </w:r>
      <w:r w:rsidRPr="006B5BF6">
        <w:rPr>
          <w:lang w:val="fr-CA"/>
        </w:rPr>
        <w:t>impose :</w:t>
      </w:r>
    </w:p>
    <w:p w14:paraId="3A5E068A" w14:textId="77777777" w:rsidR="00AE2373" w:rsidRPr="006B5BF6" w:rsidRDefault="00AE2373" w:rsidP="00AE2373">
      <w:pPr>
        <w:pStyle w:val="Citation-AltC"/>
        <w:ind w:left="1800" w:hanging="360"/>
        <w:contextualSpacing w:val="0"/>
        <w:rPr>
          <w:rFonts w:eastAsiaTheme="minorEastAsia"/>
          <w:lang w:val="fr-CA"/>
        </w:rPr>
      </w:pPr>
      <w:r w:rsidRPr="006B5BF6">
        <w:rPr>
          <w:lang w:val="fr-CA"/>
        </w:rPr>
        <w:tab/>
        <w:t>[</w:t>
      </w:r>
      <w:r w:rsidRPr="006B5BF6">
        <w:rPr>
          <w:smallCaps/>
          <w:lang w:val="fr-CA"/>
        </w:rPr>
        <w:t>traduction</w:t>
      </w:r>
      <w:r w:rsidRPr="006B5BF6">
        <w:rPr>
          <w:lang w:val="fr-CA"/>
        </w:rPr>
        <w:t xml:space="preserve">] Nul juge ne peut ignorer les décisions et le raisonnement de ses prédécesseurs et arriver à ses propres </w:t>
      </w:r>
      <w:r w:rsidRPr="006B5BF6">
        <w:rPr>
          <w:lang w:val="fr-CA"/>
        </w:rPr>
        <w:lastRenderedPageBreak/>
        <w:t>conclusions comme si la jurisprudence n</w:t>
      </w:r>
      <w:r>
        <w:rPr>
          <w:lang w:val="fr-CA"/>
        </w:rPr>
        <w:t>’</w:t>
      </w:r>
      <w:r w:rsidRPr="006B5BF6">
        <w:rPr>
          <w:lang w:val="fr-CA"/>
        </w:rPr>
        <w:t>existait pas, ou qu</w:t>
      </w:r>
      <w:r>
        <w:rPr>
          <w:lang w:val="fr-CA"/>
        </w:rPr>
        <w:t>’</w:t>
      </w:r>
      <w:r w:rsidRPr="006B5BF6">
        <w:rPr>
          <w:lang w:val="fr-CA"/>
        </w:rPr>
        <w:t>une décision cessait d</w:t>
      </w:r>
      <w:r>
        <w:rPr>
          <w:lang w:val="fr-CA"/>
        </w:rPr>
        <w:t>’</w:t>
      </w:r>
      <w:r w:rsidRPr="006B5BF6">
        <w:rPr>
          <w:lang w:val="fr-CA"/>
        </w:rPr>
        <w:t>être opposable dès l</w:t>
      </w:r>
      <w:r>
        <w:rPr>
          <w:lang w:val="fr-CA"/>
        </w:rPr>
        <w:t>’</w:t>
      </w:r>
      <w:r w:rsidRPr="006B5BF6">
        <w:rPr>
          <w:lang w:val="fr-CA"/>
        </w:rPr>
        <w:t>ajournement d</w:t>
      </w:r>
      <w:r>
        <w:rPr>
          <w:lang w:val="fr-CA"/>
        </w:rPr>
        <w:t>’</w:t>
      </w:r>
      <w:r w:rsidRPr="006B5BF6">
        <w:rPr>
          <w:lang w:val="fr-CA"/>
        </w:rPr>
        <w:t>une session. Contrairement au législateur, le juge ne peut entreprendre une réforme qui réduit à néant les décisions antérieures et les principes établis précédemment. Ce n</w:t>
      </w:r>
      <w:r>
        <w:rPr>
          <w:lang w:val="fr-CA"/>
        </w:rPr>
        <w:t>’</w:t>
      </w:r>
      <w:r w:rsidRPr="006B5BF6">
        <w:rPr>
          <w:lang w:val="fr-CA"/>
        </w:rPr>
        <w:t>est qu</w:t>
      </w:r>
      <w:r>
        <w:rPr>
          <w:lang w:val="fr-CA"/>
        </w:rPr>
        <w:t>’</w:t>
      </w:r>
      <w:r w:rsidRPr="006B5BF6">
        <w:rPr>
          <w:lang w:val="fr-CA"/>
        </w:rPr>
        <w:t>après avoir examiné la décision antérieure de la cour le plus attentivement et le plus respectueusement possible, et après avoir dûment considéré toutes les circonstances, que le juge peut faire primer sa propre opinion sur elle.</w:t>
      </w:r>
      <w:r w:rsidRPr="006B5BF6">
        <w:rPr>
          <w:rFonts w:eastAsiaTheme="minorEastAsia"/>
          <w:lang w:val="fr-CA"/>
        </w:rPr>
        <w:t xml:space="preserve"> [Italiques ajoutés, par. 24</w:t>
      </w:r>
      <w:r w:rsidRPr="006B5BF6">
        <w:rPr>
          <w:rFonts w:eastAsiaTheme="minorEastAsia"/>
          <w:lang w:val="fr-CA"/>
        </w:rPr>
        <w:noBreakHyphen/>
        <w:t>26.]</w:t>
      </w:r>
    </w:p>
    <w:p w14:paraId="442DB021" w14:textId="3F541F5D"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À l</w:t>
      </w:r>
      <w:r>
        <w:rPr>
          <w:rFonts w:cs="Times New Roman"/>
          <w:lang w:val="fr-CA"/>
        </w:rPr>
        <w:t>’</w:t>
      </w:r>
      <w:r w:rsidRPr="006B5BF6">
        <w:rPr>
          <w:rFonts w:cs="Times New Roman"/>
          <w:lang w:val="fr-CA"/>
        </w:rPr>
        <w:t>étranger, certaines des juridictions les plus élevées ont également souligné la nécessité de faire preuve de prudence et d</w:t>
      </w:r>
      <w:r>
        <w:rPr>
          <w:rFonts w:cs="Times New Roman"/>
          <w:lang w:val="fr-CA"/>
        </w:rPr>
        <w:t>’</w:t>
      </w:r>
      <w:r w:rsidRPr="006B5BF6">
        <w:rPr>
          <w:rFonts w:cs="Times New Roman"/>
          <w:lang w:val="fr-CA"/>
        </w:rPr>
        <w:t>invoquer des raisons impérieuses avant de s</w:t>
      </w:r>
      <w:r>
        <w:rPr>
          <w:rFonts w:cs="Times New Roman"/>
          <w:lang w:val="fr-CA"/>
        </w:rPr>
        <w:t>’</w:t>
      </w:r>
      <w:r w:rsidRPr="006B5BF6">
        <w:rPr>
          <w:rFonts w:cs="Times New Roman"/>
          <w:lang w:val="fr-CA"/>
        </w:rPr>
        <w:t>écarter d</w:t>
      </w:r>
      <w:r>
        <w:rPr>
          <w:rFonts w:cs="Times New Roman"/>
          <w:lang w:val="fr-CA"/>
        </w:rPr>
        <w:t>’</w:t>
      </w:r>
      <w:r w:rsidRPr="006B5BF6">
        <w:rPr>
          <w:rFonts w:cs="Times New Roman"/>
          <w:lang w:val="fr-CA"/>
        </w:rPr>
        <w:t>un précédent. La Cour suprême des États</w:t>
      </w:r>
      <w:r w:rsidRPr="006B5BF6">
        <w:rPr>
          <w:rFonts w:cs="Times New Roman"/>
          <w:lang w:val="fr-CA"/>
        </w:rPr>
        <w:noBreakHyphen/>
        <w:t>Unis refuse d</w:t>
      </w:r>
      <w:r>
        <w:rPr>
          <w:rFonts w:cs="Times New Roman"/>
          <w:lang w:val="fr-CA"/>
        </w:rPr>
        <w:t>’</w:t>
      </w:r>
      <w:r w:rsidRPr="006B5BF6">
        <w:rPr>
          <w:rFonts w:cs="Times New Roman"/>
          <w:lang w:val="fr-CA"/>
        </w:rPr>
        <w:t>écarter ses propres décisions à moins qu</w:t>
      </w:r>
      <w:r>
        <w:rPr>
          <w:rFonts w:cs="Times New Roman"/>
          <w:lang w:val="fr-CA"/>
        </w:rPr>
        <w:t>’</w:t>
      </w:r>
      <w:r w:rsidRPr="006B5BF6">
        <w:rPr>
          <w:rFonts w:cs="Times New Roman"/>
          <w:lang w:val="fr-CA"/>
        </w:rPr>
        <w:t>il existe une [</w:t>
      </w:r>
      <w:r w:rsidRPr="006B5BF6">
        <w:rPr>
          <w:rFonts w:cs="Times New Roman"/>
          <w:smallCaps/>
          <w:lang w:val="fr-CA"/>
        </w:rPr>
        <w:t>traduction</w:t>
      </w:r>
      <w:r w:rsidRPr="006B5BF6">
        <w:rPr>
          <w:rFonts w:cs="Times New Roman"/>
          <w:lang w:val="fr-CA"/>
        </w:rPr>
        <w:t>] « justification spéciale », qui doit être</w:t>
      </w:r>
      <w:r>
        <w:rPr>
          <w:rFonts w:cs="Times New Roman"/>
          <w:lang w:val="fr-CA"/>
        </w:rPr>
        <w:t xml:space="preserve"> </w:t>
      </w:r>
      <w:r w:rsidRPr="006B5BF6">
        <w:rPr>
          <w:rFonts w:cs="Times New Roman"/>
          <w:lang w:val="fr-CA"/>
        </w:rPr>
        <w:t>plus que la simple conviction qu</w:t>
      </w:r>
      <w:r>
        <w:rPr>
          <w:rFonts w:cs="Times New Roman"/>
          <w:lang w:val="fr-CA"/>
        </w:rPr>
        <w:t>’</w:t>
      </w:r>
      <w:r w:rsidRPr="006B5BF6">
        <w:rPr>
          <w:rFonts w:cs="Times New Roman"/>
          <w:lang w:val="fr-CA"/>
        </w:rPr>
        <w:t>une décision antérieure était mal fondée (</w:t>
      </w:r>
      <w:r w:rsidRPr="006B5BF6">
        <w:rPr>
          <w:rFonts w:cs="Times New Roman"/>
          <w:i/>
          <w:lang w:val="fr-CA"/>
        </w:rPr>
        <w:t>Kimble c. Marvel Entertainment</w:t>
      </w:r>
      <w:r>
        <w:rPr>
          <w:rFonts w:cs="Times New Roman"/>
          <w:i/>
          <w:lang w:val="fr-CA"/>
        </w:rPr>
        <w:t>,</w:t>
      </w:r>
      <w:r w:rsidRPr="006B5BF6">
        <w:rPr>
          <w:rFonts w:cs="Times New Roman"/>
          <w:i/>
          <w:lang w:val="fr-CA"/>
        </w:rPr>
        <w:t xml:space="preserve"> LLC</w:t>
      </w:r>
      <w:r w:rsidRPr="006B5BF6">
        <w:rPr>
          <w:rFonts w:cs="Times New Roman"/>
          <w:lang w:val="fr-CA"/>
        </w:rPr>
        <w:t>, 135 S. Ct. 2401 (2015), p. 2409; voir aussi</w:t>
      </w:r>
      <w:r w:rsidRPr="006B5BF6">
        <w:rPr>
          <w:rFonts w:cs="Times New Roman"/>
          <w:i/>
          <w:lang w:val="fr-CA"/>
        </w:rPr>
        <w:t xml:space="preserve"> Ha</w:t>
      </w:r>
      <w:r>
        <w:rPr>
          <w:rFonts w:cs="Times New Roman"/>
          <w:i/>
          <w:lang w:val="fr-CA"/>
        </w:rPr>
        <w:t>lliburton Co. c. Erica </w:t>
      </w:r>
      <w:r w:rsidRPr="006B5BF6">
        <w:rPr>
          <w:rFonts w:cs="Times New Roman"/>
          <w:i/>
          <w:lang w:val="fr-CA"/>
        </w:rPr>
        <w:t>P. John Fund, Inc.</w:t>
      </w:r>
      <w:r w:rsidRPr="006B5BF6">
        <w:rPr>
          <w:rFonts w:cs="Times New Roman"/>
          <w:lang w:val="fr-CA"/>
        </w:rPr>
        <w:t xml:space="preserve">, 573 U.S. (2014), p. 266; </w:t>
      </w:r>
      <w:r w:rsidRPr="006B5BF6">
        <w:rPr>
          <w:rFonts w:cs="Times New Roman"/>
          <w:i/>
          <w:lang w:val="fr-CA"/>
        </w:rPr>
        <w:t xml:space="preserve">Kisor c. Wilkie, </w:t>
      </w:r>
      <w:r w:rsidRPr="006B5BF6">
        <w:rPr>
          <w:rFonts w:cs="Times New Roman"/>
          <w:lang w:val="fr-CA"/>
        </w:rPr>
        <w:t>139 S. Ct. 2400 (2019), p. 2418 et 2422; Bryan A. Garner et</w:t>
      </w:r>
      <w:r w:rsidR="00C83B67">
        <w:rPr>
          <w:rFonts w:cs="Times New Roman"/>
          <w:lang w:val="fr-CA"/>
        </w:rPr>
        <w:t xml:space="preserve"> autres</w:t>
      </w:r>
      <w:r w:rsidRPr="006B5BF6">
        <w:rPr>
          <w:rFonts w:cs="Times New Roman"/>
          <w:lang w:val="fr-CA"/>
        </w:rPr>
        <w:t xml:space="preserve">, </w:t>
      </w:r>
      <w:r w:rsidRPr="006B5BF6">
        <w:rPr>
          <w:rFonts w:cs="Times New Roman"/>
          <w:i/>
          <w:lang w:val="fr-CA"/>
        </w:rPr>
        <w:t>The Law of Judicial Precedent</w:t>
      </w:r>
      <w:r w:rsidRPr="006B5BF6">
        <w:rPr>
          <w:rFonts w:cs="Times New Roman"/>
          <w:lang w:val="fr-CA"/>
        </w:rPr>
        <w:t xml:space="preserve"> (2016), p. 35</w:t>
      </w:r>
      <w:r w:rsidRPr="006B5BF6">
        <w:rPr>
          <w:rFonts w:cs="Times New Roman"/>
          <w:lang w:val="fr-CA"/>
        </w:rPr>
        <w:noBreakHyphen/>
        <w:t>36).</w:t>
      </w:r>
    </w:p>
    <w:p w14:paraId="27CAAD38"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De même, la Chambre des lords [</w:t>
      </w:r>
      <w:r w:rsidRPr="006B5BF6">
        <w:rPr>
          <w:rFonts w:cs="Times New Roman"/>
          <w:smallCaps/>
          <w:lang w:val="fr-CA"/>
        </w:rPr>
        <w:t>traduction</w:t>
      </w:r>
      <w:r w:rsidRPr="006B5BF6">
        <w:rPr>
          <w:rFonts w:cs="Times New Roman"/>
          <w:lang w:val="fr-CA"/>
        </w:rPr>
        <w:t>] « exige bien davantage qu</w:t>
      </w:r>
      <w:r>
        <w:rPr>
          <w:rFonts w:cs="Times New Roman"/>
          <w:lang w:val="fr-CA"/>
        </w:rPr>
        <w:t>’</w:t>
      </w:r>
      <w:r w:rsidRPr="006B5BF6">
        <w:rPr>
          <w:rFonts w:cs="Times New Roman"/>
          <w:lang w:val="fr-CA"/>
        </w:rPr>
        <w:t>un doute sur le bien</w:t>
      </w:r>
      <w:r w:rsidRPr="006B5BF6">
        <w:rPr>
          <w:rFonts w:cs="Times New Roman"/>
          <w:lang w:val="fr-CA"/>
        </w:rPr>
        <w:noBreakHyphen/>
        <w:t>fondé d</w:t>
      </w:r>
      <w:r>
        <w:rPr>
          <w:rFonts w:cs="Times New Roman"/>
          <w:lang w:val="fr-CA"/>
        </w:rPr>
        <w:t>’</w:t>
      </w:r>
      <w:r w:rsidRPr="006B5BF6">
        <w:rPr>
          <w:rFonts w:cs="Times New Roman"/>
          <w:lang w:val="fr-CA"/>
        </w:rPr>
        <w:t>une [décision antérieure] pour justifier de s</w:t>
      </w:r>
      <w:r>
        <w:rPr>
          <w:rFonts w:cs="Times New Roman"/>
          <w:lang w:val="fr-CA"/>
        </w:rPr>
        <w:t>’</w:t>
      </w:r>
      <w:r w:rsidRPr="006B5BF6">
        <w:rPr>
          <w:rFonts w:cs="Times New Roman"/>
          <w:lang w:val="fr-CA"/>
        </w:rPr>
        <w:t>en écarter » (</w:t>
      </w:r>
      <w:r w:rsidRPr="006B5BF6">
        <w:rPr>
          <w:rFonts w:cs="Times New Roman"/>
          <w:i/>
          <w:lang w:val="fr-CA"/>
        </w:rPr>
        <w:t>Fitzleet Estates Ltd. c. Cherry</w:t>
      </w:r>
      <w:r w:rsidRPr="006B5BF6">
        <w:rPr>
          <w:rFonts w:cs="Times New Roman"/>
          <w:lang w:val="fr-CA"/>
        </w:rPr>
        <w:t xml:space="preserve"> </w:t>
      </w:r>
      <w:r>
        <w:rPr>
          <w:rFonts w:cs="Times New Roman"/>
          <w:lang w:val="fr-CA"/>
        </w:rPr>
        <w:t>(</w:t>
      </w:r>
      <w:r w:rsidRPr="006B5BF6">
        <w:rPr>
          <w:rFonts w:cs="Times New Roman"/>
          <w:lang w:val="fr-CA"/>
        </w:rPr>
        <w:t>1977</w:t>
      </w:r>
      <w:r>
        <w:rPr>
          <w:rFonts w:cs="Times New Roman"/>
          <w:lang w:val="fr-CA"/>
        </w:rPr>
        <w:t xml:space="preserve">), </w:t>
      </w:r>
      <w:r w:rsidRPr="006B5BF6">
        <w:rPr>
          <w:rFonts w:cs="Times New Roman"/>
          <w:lang w:val="fr-CA"/>
        </w:rPr>
        <w:t>51</w:t>
      </w:r>
      <w:r>
        <w:rPr>
          <w:rFonts w:cs="Times New Roman"/>
          <w:lang w:val="fr-CA"/>
        </w:rPr>
        <w:t xml:space="preserve"> </w:t>
      </w:r>
      <w:r w:rsidRPr="006B5BF6">
        <w:rPr>
          <w:rFonts w:cs="Times New Roman"/>
          <w:lang w:val="fr-CA"/>
        </w:rPr>
        <w:t>T</w:t>
      </w:r>
      <w:r>
        <w:rPr>
          <w:rFonts w:cs="Times New Roman"/>
          <w:lang w:val="fr-CA"/>
        </w:rPr>
        <w:t>.</w:t>
      </w:r>
      <w:r w:rsidRPr="006B5BF6">
        <w:rPr>
          <w:rFonts w:cs="Times New Roman"/>
          <w:lang w:val="fr-CA"/>
        </w:rPr>
        <w:t>C</w:t>
      </w:r>
      <w:r>
        <w:rPr>
          <w:rFonts w:cs="Times New Roman"/>
          <w:lang w:val="fr-CA"/>
        </w:rPr>
        <w:t>.</w:t>
      </w:r>
      <w:r w:rsidRPr="006B5BF6">
        <w:rPr>
          <w:rFonts w:cs="Times New Roman"/>
          <w:lang w:val="fr-CA"/>
        </w:rPr>
        <w:t xml:space="preserve"> 708, p. 718), une approche à laquelle souscrit toujours la Cour suprême du Royaume</w:t>
      </w:r>
      <w:r w:rsidRPr="006B5BF6">
        <w:rPr>
          <w:rFonts w:cs="Times New Roman"/>
          <w:lang w:val="fr-CA"/>
        </w:rPr>
        <w:noBreakHyphen/>
        <w:t>Uni (</w:t>
      </w:r>
      <w:r w:rsidRPr="006B5BF6">
        <w:rPr>
          <w:rFonts w:cs="Times New Roman"/>
          <w:i/>
          <w:lang w:val="fr-CA"/>
        </w:rPr>
        <w:t>R. c. Taylor</w:t>
      </w:r>
      <w:r w:rsidRPr="006B5BF6">
        <w:rPr>
          <w:rFonts w:cs="Times New Roman"/>
          <w:lang w:val="fr-CA"/>
        </w:rPr>
        <w:t xml:space="preserve">, [2016] UKSC 5, [2016] 4 All E.R. 617, par. 19; </w:t>
      </w:r>
      <w:r w:rsidRPr="006B5BF6">
        <w:rPr>
          <w:rFonts w:cs="Times New Roman"/>
          <w:i/>
          <w:lang w:val="fr-CA"/>
        </w:rPr>
        <w:t>Willers c. Joyce (No. 2)</w:t>
      </w:r>
      <w:r w:rsidRPr="006B5BF6">
        <w:rPr>
          <w:rFonts w:cs="Times New Roman"/>
          <w:lang w:val="fr-CA"/>
        </w:rPr>
        <w:t xml:space="preserve">, [2016] UKSC 44, [2017] 2 All E.R. 383, par. 7; </w:t>
      </w:r>
      <w:r w:rsidRPr="006B5BF6">
        <w:rPr>
          <w:rFonts w:cs="Times New Roman"/>
          <w:i/>
          <w:lang w:val="fr-CA"/>
        </w:rPr>
        <w:t>Knauer c. Ministry of Justice</w:t>
      </w:r>
      <w:r w:rsidRPr="006B5BF6">
        <w:rPr>
          <w:rFonts w:cs="Times New Roman"/>
          <w:lang w:val="fr-CA"/>
        </w:rPr>
        <w:t>, [2016] UKSC 9, [2016] 4 All E.R. 897, par. 22-23).</w:t>
      </w:r>
    </w:p>
    <w:p w14:paraId="2563FEE8"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Pour sa part, la Cour suprême de la Nouvelle</w:t>
      </w:r>
      <w:r w:rsidRPr="006B5BF6">
        <w:rPr>
          <w:rFonts w:cs="Times New Roman"/>
          <w:lang w:val="fr-CA"/>
        </w:rPr>
        <w:noBreakHyphen/>
        <w:t>Zélande considère [</w:t>
      </w:r>
      <w:r w:rsidRPr="006B5BF6">
        <w:rPr>
          <w:rFonts w:cs="Times New Roman"/>
          <w:smallCaps/>
          <w:lang w:val="fr-CA"/>
        </w:rPr>
        <w:t>traduction</w:t>
      </w:r>
      <w:r w:rsidRPr="006B5BF6">
        <w:rPr>
          <w:rFonts w:cs="Times New Roman"/>
          <w:lang w:val="fr-CA"/>
        </w:rPr>
        <w:t xml:space="preserve">] « la prudence, souvent une prudence considérable » comme la « pierre </w:t>
      </w:r>
      <w:r w:rsidRPr="006B5BF6">
        <w:rPr>
          <w:rFonts w:cs="Times New Roman"/>
          <w:lang w:val="fr-CA"/>
        </w:rPr>
        <w:lastRenderedPageBreak/>
        <w:t>angulaire » de l</w:t>
      </w:r>
      <w:r>
        <w:rPr>
          <w:rFonts w:cs="Times New Roman"/>
          <w:lang w:val="fr-CA"/>
        </w:rPr>
        <w:t>’</w:t>
      </w:r>
      <w:r w:rsidRPr="006B5BF6">
        <w:rPr>
          <w:rFonts w:cs="Times New Roman"/>
          <w:lang w:val="fr-CA"/>
        </w:rPr>
        <w:t xml:space="preserve">application de la règle du </w:t>
      </w:r>
      <w:r w:rsidRPr="006B5BF6">
        <w:rPr>
          <w:rFonts w:cs="Times New Roman"/>
          <w:i/>
          <w:lang w:val="fr-CA"/>
        </w:rPr>
        <w:t xml:space="preserve">stare decisis </w:t>
      </w:r>
      <w:r w:rsidRPr="006B5BF6">
        <w:rPr>
          <w:rFonts w:cs="Times New Roman"/>
          <w:lang w:val="fr-CA"/>
        </w:rPr>
        <w:t>par une juridiction du même degré, ajoutant qu</w:t>
      </w:r>
      <w:r>
        <w:rPr>
          <w:rFonts w:cs="Times New Roman"/>
          <w:lang w:val="fr-CA"/>
        </w:rPr>
        <w:t>’</w:t>
      </w:r>
      <w:r w:rsidRPr="006B5BF6">
        <w:rPr>
          <w:rFonts w:cs="Times New Roman"/>
          <w:lang w:val="fr-CA"/>
        </w:rPr>
        <w:t>elle refuse d</w:t>
      </w:r>
      <w:r>
        <w:rPr>
          <w:rFonts w:cs="Times New Roman"/>
          <w:lang w:val="fr-CA"/>
        </w:rPr>
        <w:t>’</w:t>
      </w:r>
      <w:r w:rsidRPr="006B5BF6">
        <w:rPr>
          <w:rFonts w:cs="Times New Roman"/>
          <w:lang w:val="fr-CA"/>
        </w:rPr>
        <w:t>écarter un précédent « pour la simple raison que, si la question était jugée de nouveau, la Cour pourrait adopter un point de vue différent » (</w:t>
      </w:r>
      <w:r w:rsidRPr="006B5BF6">
        <w:rPr>
          <w:rFonts w:cs="Times New Roman"/>
          <w:i/>
          <w:lang w:val="fr-CA"/>
        </w:rPr>
        <w:t>Couch c. Attorney General</w:t>
      </w:r>
      <w:r w:rsidRPr="006B5BF6">
        <w:rPr>
          <w:rFonts w:cs="Times New Roman"/>
          <w:lang w:val="fr-CA"/>
        </w:rPr>
        <w:t xml:space="preserve"> </w:t>
      </w:r>
      <w:r w:rsidRPr="006B5BF6">
        <w:rPr>
          <w:rFonts w:cs="Times New Roman"/>
          <w:i/>
          <w:lang w:val="fr-CA"/>
        </w:rPr>
        <w:t>(No. 2)</w:t>
      </w:r>
      <w:r>
        <w:rPr>
          <w:rFonts w:cs="Times New Roman"/>
          <w:lang w:val="fr-CA"/>
        </w:rPr>
        <w:t>, [2010] N</w:t>
      </w:r>
      <w:r w:rsidRPr="006B5BF6">
        <w:rPr>
          <w:rFonts w:cs="Times New Roman"/>
          <w:lang w:val="fr-CA"/>
        </w:rPr>
        <w:t>ZSC 27, [2010] 3 N.Z.L.R. 149, par. 105,</w:t>
      </w:r>
      <w:r w:rsidRPr="006B5BF6">
        <w:rPr>
          <w:rFonts w:cs="Times New Roman"/>
          <w:i/>
          <w:lang w:val="fr-CA"/>
        </w:rPr>
        <w:t xml:space="preserve"> </w:t>
      </w:r>
      <w:r w:rsidRPr="006B5BF6">
        <w:rPr>
          <w:rFonts w:cs="Times New Roman"/>
          <w:lang w:val="fr-CA"/>
        </w:rPr>
        <w:t>le juge Tipping, et par. 209, le juge McGrath).</w:t>
      </w:r>
    </w:p>
    <w:p w14:paraId="0836E1A7" w14:textId="09A639E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La retenue et le respect des précédents guident également la Haute Cour de l</w:t>
      </w:r>
      <w:r>
        <w:rPr>
          <w:rFonts w:cs="Times New Roman"/>
          <w:lang w:val="fr-CA"/>
        </w:rPr>
        <w:t>’</w:t>
      </w:r>
      <w:r w:rsidRPr="006B5BF6">
        <w:rPr>
          <w:rFonts w:cs="Times New Roman"/>
          <w:lang w:val="fr-CA"/>
        </w:rPr>
        <w:t>Australie et la Cour constitutionnelle de l</w:t>
      </w:r>
      <w:r>
        <w:rPr>
          <w:rFonts w:cs="Times New Roman"/>
          <w:lang w:val="fr-CA"/>
        </w:rPr>
        <w:t>’</w:t>
      </w:r>
      <w:r w:rsidRPr="006B5BF6">
        <w:rPr>
          <w:rFonts w:cs="Times New Roman"/>
          <w:lang w:val="fr-CA"/>
        </w:rPr>
        <w:t>Afrique du Sud dans l</w:t>
      </w:r>
      <w:r>
        <w:rPr>
          <w:rFonts w:cs="Times New Roman"/>
          <w:lang w:val="fr-CA"/>
        </w:rPr>
        <w:t>’</w:t>
      </w:r>
      <w:r w:rsidRPr="006B5BF6">
        <w:rPr>
          <w:rFonts w:cs="Times New Roman"/>
          <w:lang w:val="fr-CA"/>
        </w:rPr>
        <w:t xml:space="preserve">application de la règle du </w:t>
      </w:r>
      <w:r w:rsidRPr="006B5BF6">
        <w:rPr>
          <w:rFonts w:cs="Times New Roman"/>
          <w:i/>
          <w:lang w:val="fr-CA"/>
        </w:rPr>
        <w:t xml:space="preserve">stare decisis </w:t>
      </w:r>
      <w:r w:rsidRPr="006B5BF6">
        <w:rPr>
          <w:rFonts w:cs="Times New Roman"/>
          <w:lang w:val="fr-CA"/>
        </w:rPr>
        <w:t>(</w:t>
      </w:r>
      <w:r w:rsidRPr="006B5BF6">
        <w:rPr>
          <w:rFonts w:cs="Times New Roman"/>
          <w:i/>
          <w:lang w:val="fr-CA"/>
        </w:rPr>
        <w:t>Lee c. New South Wales Crime Commission</w:t>
      </w:r>
      <w:r w:rsidRPr="006B5BF6">
        <w:rPr>
          <w:rFonts w:cs="Times New Roman"/>
          <w:lang w:val="fr-CA"/>
        </w:rPr>
        <w:t>, [2013] HCA 39, 302 A.L.R. 363, par. 62</w:t>
      </w:r>
      <w:r w:rsidRPr="006B5BF6">
        <w:rPr>
          <w:rFonts w:cs="Times New Roman"/>
          <w:lang w:val="fr-CA"/>
        </w:rPr>
        <w:noBreakHyphen/>
        <w:t xml:space="preserve">66 et 70; </w:t>
      </w:r>
      <w:r w:rsidRPr="006B5BF6">
        <w:rPr>
          <w:rFonts w:cs="Times New Roman"/>
          <w:i/>
          <w:lang w:val="fr-CA"/>
        </w:rPr>
        <w:t>Camps Bay Ratepayers</w:t>
      </w:r>
      <w:r>
        <w:rPr>
          <w:rFonts w:cs="Times New Roman"/>
          <w:i/>
          <w:lang w:val="fr-CA"/>
        </w:rPr>
        <w:t>’</w:t>
      </w:r>
      <w:r w:rsidRPr="006B5BF6">
        <w:rPr>
          <w:rFonts w:cs="Times New Roman"/>
          <w:i/>
          <w:lang w:val="fr-CA"/>
        </w:rPr>
        <w:t xml:space="preserve"> and Residents</w:t>
      </w:r>
      <w:r>
        <w:rPr>
          <w:rFonts w:cs="Times New Roman"/>
          <w:i/>
          <w:lang w:val="fr-CA"/>
        </w:rPr>
        <w:t>’</w:t>
      </w:r>
      <w:r w:rsidRPr="006B5BF6">
        <w:rPr>
          <w:rFonts w:cs="Times New Roman"/>
          <w:i/>
          <w:lang w:val="fr-CA"/>
        </w:rPr>
        <w:t xml:space="preserve"> Association c. Harrison</w:t>
      </w:r>
      <w:r w:rsidRPr="006B5BF6">
        <w:rPr>
          <w:rFonts w:cs="Times New Roman"/>
          <w:lang w:val="fr-CA"/>
        </w:rPr>
        <w:t>, [2010] Z.A.C.C. 19, 2011 (4) S.A. 42, p. 55</w:t>
      </w:r>
      <w:r w:rsidRPr="006B5BF6">
        <w:rPr>
          <w:rFonts w:cs="Times New Roman"/>
          <w:lang w:val="fr-CA"/>
        </w:rPr>
        <w:noBreakHyphen/>
        <w:t xml:space="preserve">56; </w:t>
      </w:r>
      <w:r w:rsidRPr="006B5BF6">
        <w:rPr>
          <w:rFonts w:cs="Times New Roman"/>
          <w:i/>
          <w:lang w:val="fr-CA"/>
        </w:rPr>
        <w:t>Buffalo City Metropolitan Authority c. Asla Construction</w:t>
      </w:r>
      <w:r w:rsidR="008C29A0">
        <w:rPr>
          <w:rFonts w:cs="Times New Roman"/>
          <w:i/>
          <w:lang w:val="fr-CA"/>
        </w:rPr>
        <w:t xml:space="preserve"> (Pty)</w:t>
      </w:r>
      <w:r w:rsidRPr="006B5BF6">
        <w:rPr>
          <w:rFonts w:cs="Times New Roman"/>
          <w:i/>
          <w:lang w:val="fr-CA"/>
        </w:rPr>
        <w:t xml:space="preserve"> Ltd.</w:t>
      </w:r>
      <w:r w:rsidRPr="006B5BF6">
        <w:rPr>
          <w:rFonts w:cs="Times New Roman"/>
          <w:lang w:val="fr-CA"/>
        </w:rPr>
        <w:t>, [2019] Z.A.C.C. 15, 2019 (4) S.A. 331, par. 65).</w:t>
      </w:r>
    </w:p>
    <w:p w14:paraId="3C7B6F34" w14:textId="2508E8F5" w:rsidR="00AE2373" w:rsidRPr="002E3951"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Les vertus de l</w:t>
      </w:r>
      <w:r>
        <w:rPr>
          <w:rFonts w:cs="Times New Roman"/>
          <w:lang w:val="fr-CA"/>
        </w:rPr>
        <w:t>’</w:t>
      </w:r>
      <w:r w:rsidRPr="006B5BF6">
        <w:rPr>
          <w:rFonts w:cs="Times New Roman"/>
          <w:lang w:val="fr-CA"/>
        </w:rPr>
        <w:t xml:space="preserve">application de la règle du </w:t>
      </w:r>
      <w:r w:rsidRPr="006B5BF6">
        <w:rPr>
          <w:rFonts w:cs="Times New Roman"/>
          <w:i/>
          <w:lang w:val="fr-CA"/>
        </w:rPr>
        <w:t>stare decisis</w:t>
      </w:r>
      <w:r w:rsidRPr="006B5BF6">
        <w:rPr>
          <w:rFonts w:cs="Times New Roman"/>
          <w:lang w:val="fr-CA"/>
        </w:rPr>
        <w:t xml:space="preserve"> par une juridiction du même degré sont largement reconnues. La doctrine [</w:t>
      </w:r>
      <w:r w:rsidRPr="006B5BF6">
        <w:rPr>
          <w:rFonts w:cs="Times New Roman"/>
          <w:smallCaps/>
          <w:lang w:val="fr-CA"/>
        </w:rPr>
        <w:t>traduction</w:t>
      </w:r>
      <w:r w:rsidRPr="006B5BF6">
        <w:rPr>
          <w:rFonts w:cs="Times New Roman"/>
          <w:lang w:val="fr-CA"/>
        </w:rPr>
        <w:t>] « favorise le développement uniforme, prévisible et cohérent des principes de droit, favorise la confiance envers les décisions judiciaires et contribue à l</w:t>
      </w:r>
      <w:r>
        <w:rPr>
          <w:rFonts w:cs="Times New Roman"/>
          <w:lang w:val="fr-CA"/>
        </w:rPr>
        <w:t>’</w:t>
      </w:r>
      <w:r w:rsidRPr="006B5BF6">
        <w:rPr>
          <w:rFonts w:cs="Times New Roman"/>
          <w:lang w:val="fr-CA"/>
        </w:rPr>
        <w:t>intégrité, réelle et perçue, du processus judiciaire » (</w:t>
      </w:r>
      <w:r w:rsidRPr="006B5BF6">
        <w:rPr>
          <w:rFonts w:cs="Times New Roman"/>
          <w:i/>
          <w:lang w:val="fr-CA"/>
        </w:rPr>
        <w:t>Kimble</w:t>
      </w:r>
      <w:r w:rsidRPr="006B5BF6">
        <w:rPr>
          <w:rFonts w:cs="Times New Roman"/>
          <w:lang w:val="fr-CA"/>
        </w:rPr>
        <w:t xml:space="preserve">, p. 2409, citant </w:t>
      </w:r>
      <w:r w:rsidRPr="006B5BF6">
        <w:rPr>
          <w:rFonts w:cs="Times New Roman"/>
          <w:i/>
          <w:lang w:val="fr-CA"/>
        </w:rPr>
        <w:t>Payne c. Tennesse</w:t>
      </w:r>
      <w:r>
        <w:rPr>
          <w:rFonts w:cs="Times New Roman"/>
          <w:i/>
          <w:lang w:val="fr-CA"/>
        </w:rPr>
        <w:t>e</w:t>
      </w:r>
      <w:r w:rsidRPr="006B5BF6">
        <w:rPr>
          <w:rFonts w:cs="Times New Roman"/>
          <w:lang w:val="fr-CA"/>
        </w:rPr>
        <w:t>, 501 U.S. 808 (1991), p. 827). Notre Cour a reconnu l</w:t>
      </w:r>
      <w:r>
        <w:rPr>
          <w:rFonts w:cs="Times New Roman"/>
          <w:lang w:val="fr-CA"/>
        </w:rPr>
        <w:t>’</w:t>
      </w:r>
      <w:r w:rsidRPr="006B5BF6">
        <w:rPr>
          <w:rFonts w:cs="Times New Roman"/>
          <w:lang w:val="fr-CA"/>
        </w:rPr>
        <w:t xml:space="preserve">importance que revêt la règle du </w:t>
      </w:r>
      <w:r w:rsidRPr="006B5BF6">
        <w:rPr>
          <w:rFonts w:cs="Times New Roman"/>
          <w:i/>
          <w:lang w:val="fr-CA"/>
        </w:rPr>
        <w:t>stare decisis</w:t>
      </w:r>
      <w:r w:rsidRPr="006B5BF6">
        <w:rPr>
          <w:rFonts w:cs="Times New Roman"/>
          <w:lang w:val="fr-CA"/>
        </w:rPr>
        <w:t xml:space="preserve"> pour assurer la « certitude du droit » (</w:t>
      </w:r>
      <w:r w:rsidRPr="006B5BF6">
        <w:rPr>
          <w:rFonts w:cs="Times New Roman"/>
          <w:i/>
          <w:lang w:val="fr-CA"/>
        </w:rPr>
        <w:t>Canada (Procureur général) c. Bedford</w:t>
      </w:r>
      <w:r w:rsidRPr="006B5BF6">
        <w:rPr>
          <w:rFonts w:cs="Times New Roman"/>
          <w:lang w:val="fr-CA"/>
        </w:rPr>
        <w:t xml:space="preserve">, [2013] 3 R.C.S. 1101, par. 38; </w:t>
      </w:r>
      <w:r w:rsidRPr="006B5BF6">
        <w:rPr>
          <w:rFonts w:cs="Times New Roman"/>
          <w:i/>
          <w:lang w:val="fr-CA"/>
        </w:rPr>
        <w:t>R. c. Bernard</w:t>
      </w:r>
      <w:r w:rsidRPr="006B5BF6">
        <w:rPr>
          <w:rFonts w:cs="Times New Roman"/>
          <w:lang w:val="fr-CA"/>
        </w:rPr>
        <w:t>, [1988] 2 R.C.S. 833, p. 849;</w:t>
      </w:r>
      <w:r w:rsidRPr="006B5BF6">
        <w:rPr>
          <w:rFonts w:cs="Times New Roman"/>
          <w:i/>
          <w:lang w:val="fr-CA"/>
        </w:rPr>
        <w:t xml:space="preserve"> Ministre des Affaires indiennes et du Nord c. Ranville</w:t>
      </w:r>
      <w:r w:rsidRPr="006B5BF6">
        <w:rPr>
          <w:rFonts w:cs="Times New Roman"/>
          <w:lang w:val="fr-CA"/>
        </w:rPr>
        <w:t>, [1982] 2 R.C.S. 518, p. 527). D</w:t>
      </w:r>
      <w:r>
        <w:rPr>
          <w:rFonts w:cs="Times New Roman"/>
          <w:lang w:val="fr-CA"/>
        </w:rPr>
        <w:t>’</w:t>
      </w:r>
      <w:r w:rsidRPr="006B5BF6">
        <w:rPr>
          <w:rFonts w:cs="Times New Roman"/>
          <w:lang w:val="fr-CA"/>
        </w:rPr>
        <w:t xml:space="preserve">autres </w:t>
      </w:r>
      <w:r>
        <w:rPr>
          <w:rFonts w:cs="Times New Roman"/>
          <w:lang w:val="fr-CA"/>
        </w:rPr>
        <w:t>cours</w:t>
      </w:r>
      <w:r w:rsidRPr="006B5BF6">
        <w:rPr>
          <w:rFonts w:cs="Times New Roman"/>
          <w:lang w:val="fr-CA"/>
        </w:rPr>
        <w:t xml:space="preserve"> ont qualifié la règle du </w:t>
      </w:r>
      <w:r w:rsidRPr="006B5BF6">
        <w:rPr>
          <w:rFonts w:cs="Times New Roman"/>
          <w:i/>
          <w:lang w:val="fr-CA"/>
        </w:rPr>
        <w:t>stare decisis</w:t>
      </w:r>
      <w:r w:rsidRPr="006B5BF6">
        <w:rPr>
          <w:rFonts w:cs="Times New Roman"/>
          <w:lang w:val="fr-CA"/>
        </w:rPr>
        <w:t xml:space="preserve"> de [</w:t>
      </w:r>
      <w:r w:rsidRPr="006B5BF6">
        <w:rPr>
          <w:rFonts w:cs="Times New Roman"/>
          <w:smallCaps/>
          <w:lang w:val="fr-CA"/>
        </w:rPr>
        <w:t>traduction</w:t>
      </w:r>
      <w:r w:rsidRPr="006B5BF6">
        <w:rPr>
          <w:rFonts w:cs="Times New Roman"/>
          <w:lang w:val="fr-CA"/>
        </w:rPr>
        <w:t>] « pierre d</w:t>
      </w:r>
      <w:r>
        <w:rPr>
          <w:rFonts w:cs="Times New Roman"/>
          <w:lang w:val="fr-CA"/>
        </w:rPr>
        <w:t>’</w:t>
      </w:r>
      <w:r w:rsidRPr="006B5BF6">
        <w:rPr>
          <w:rFonts w:cs="Times New Roman"/>
          <w:lang w:val="fr-CA"/>
        </w:rPr>
        <w:t>assise de la primauté du droit » (</w:t>
      </w:r>
      <w:r w:rsidRPr="006B5BF6">
        <w:rPr>
          <w:rFonts w:cs="Times New Roman"/>
          <w:i/>
          <w:lang w:val="fr-CA"/>
        </w:rPr>
        <w:t>Michigan c. Bay Mills Indian Community</w:t>
      </w:r>
      <w:r w:rsidRPr="006B5BF6">
        <w:rPr>
          <w:rFonts w:cs="Times New Roman"/>
          <w:lang w:val="fr-CA"/>
        </w:rPr>
        <w:t xml:space="preserve">, 572 U.S. 782 (2014), p. 798; </w:t>
      </w:r>
      <w:r w:rsidRPr="006B5BF6">
        <w:rPr>
          <w:rFonts w:cs="Times New Roman"/>
          <w:i/>
          <w:lang w:val="fr-CA"/>
        </w:rPr>
        <w:lastRenderedPageBreak/>
        <w:t xml:space="preserve">Kimble, </w:t>
      </w:r>
      <w:r w:rsidRPr="006B5BF6">
        <w:rPr>
          <w:rFonts w:cs="Times New Roman"/>
          <w:lang w:val="fr-CA"/>
        </w:rPr>
        <w:t xml:space="preserve">p. 2409; </w:t>
      </w:r>
      <w:r w:rsidRPr="006B5BF6">
        <w:rPr>
          <w:rFonts w:cs="Times New Roman"/>
          <w:i/>
          <w:lang w:val="fr-CA"/>
        </w:rPr>
        <w:t>Kisor</w:t>
      </w:r>
      <w:r w:rsidRPr="006B5BF6">
        <w:rPr>
          <w:rFonts w:cs="Times New Roman"/>
          <w:lang w:val="fr-CA"/>
        </w:rPr>
        <w:t xml:space="preserve">, p. 2422; voir également </w:t>
      </w:r>
      <w:r w:rsidRPr="006B5BF6">
        <w:rPr>
          <w:rFonts w:cs="Times New Roman"/>
          <w:i/>
          <w:lang w:val="fr-CA"/>
        </w:rPr>
        <w:t>Camps Bay</w:t>
      </w:r>
      <w:r w:rsidRPr="006B5BF6">
        <w:rPr>
          <w:rFonts w:cs="Times New Roman"/>
          <w:lang w:val="fr-CA"/>
        </w:rPr>
        <w:t>, p. 55</w:t>
      </w:r>
      <w:r w:rsidRPr="006B5BF6">
        <w:rPr>
          <w:rFonts w:cs="Times New Roman"/>
          <w:lang w:val="fr-CA"/>
        </w:rPr>
        <w:noBreakHyphen/>
        <w:t>56; Jeremy Waldron, « </w:t>
      </w:r>
      <w:r w:rsidRPr="00217097">
        <w:rPr>
          <w:rFonts w:cs="Times New Roman"/>
          <w:i/>
          <w:lang w:val="fr-CA"/>
        </w:rPr>
        <w:t>Stare Decisis</w:t>
      </w:r>
      <w:r w:rsidRPr="006B5BF6">
        <w:rPr>
          <w:rFonts w:cs="Times New Roman"/>
          <w:lang w:val="fr-CA"/>
        </w:rPr>
        <w:t xml:space="preserve"> and the Rule of Law</w:t>
      </w:r>
      <w:r w:rsidR="0078796C">
        <w:rPr>
          <w:rFonts w:cs="Times New Roman"/>
          <w:lang w:val="fr-CA"/>
        </w:rPr>
        <w:t xml:space="preserve"> </w:t>
      </w:r>
      <w:r w:rsidRPr="006B5BF6">
        <w:rPr>
          <w:rFonts w:cs="Times New Roman"/>
          <w:lang w:val="fr-CA"/>
        </w:rPr>
        <w:t xml:space="preserve">: A Layered Approach » (2012), 111 </w:t>
      </w:r>
      <w:r w:rsidRPr="006B5BF6">
        <w:rPr>
          <w:rFonts w:cs="Times New Roman"/>
          <w:i/>
          <w:lang w:val="fr-CA"/>
        </w:rPr>
        <w:t>Mich. L.</w:t>
      </w:r>
      <w:r>
        <w:rPr>
          <w:rFonts w:cs="Times New Roman"/>
          <w:i/>
          <w:lang w:val="fr-CA"/>
        </w:rPr>
        <w:t> </w:t>
      </w:r>
      <w:r w:rsidRPr="006B5BF6">
        <w:rPr>
          <w:rFonts w:cs="Times New Roman"/>
          <w:i/>
          <w:lang w:val="fr-CA"/>
        </w:rPr>
        <w:t>R</w:t>
      </w:r>
      <w:r>
        <w:rPr>
          <w:rFonts w:cs="Times New Roman"/>
          <w:i/>
          <w:lang w:val="fr-CA"/>
        </w:rPr>
        <w:t>ev</w:t>
      </w:r>
      <w:r w:rsidRPr="006B5BF6">
        <w:rPr>
          <w:rFonts w:cs="Times New Roman"/>
          <w:i/>
          <w:lang w:val="fr-CA"/>
        </w:rPr>
        <w:t>.</w:t>
      </w:r>
      <w:r w:rsidRPr="006B5BF6">
        <w:rPr>
          <w:rFonts w:cs="Times New Roman"/>
          <w:lang w:val="fr-CA"/>
        </w:rPr>
        <w:t xml:space="preserve"> </w:t>
      </w:r>
      <w:r w:rsidRPr="00BD25FD">
        <w:rPr>
          <w:rFonts w:cs="Times New Roman"/>
          <w:lang w:val="fr-CA"/>
        </w:rPr>
        <w:t>1, p. 28; Lewis F. Powell</w:t>
      </w:r>
      <w:r w:rsidR="002E3951">
        <w:rPr>
          <w:rFonts w:cs="Times New Roman"/>
          <w:lang w:val="fr-CA"/>
        </w:rPr>
        <w:t>,</w:t>
      </w:r>
      <w:r w:rsidR="00A22AF1">
        <w:rPr>
          <w:rFonts w:cs="Times New Roman"/>
          <w:lang w:val="fr-CA"/>
        </w:rPr>
        <w:t xml:space="preserve"> </w:t>
      </w:r>
      <w:r w:rsidRPr="00BD25FD">
        <w:rPr>
          <w:rFonts w:cs="Times New Roman"/>
          <w:lang w:val="fr-CA"/>
        </w:rPr>
        <w:t>Jr., « </w:t>
      </w:r>
      <w:r w:rsidRPr="0060773A">
        <w:rPr>
          <w:rFonts w:cs="Times New Roman"/>
          <w:i/>
          <w:iCs/>
          <w:lang w:val="fr-CA"/>
        </w:rPr>
        <w:t>Stare Decisis</w:t>
      </w:r>
      <w:r w:rsidRPr="00BD25FD">
        <w:rPr>
          <w:rFonts w:cs="Times New Roman"/>
          <w:lang w:val="fr-CA"/>
        </w:rPr>
        <w:t xml:space="preserve"> and Judicial Restraint » (1990), 47 </w:t>
      </w:r>
      <w:r w:rsidRPr="00BD25FD">
        <w:rPr>
          <w:rFonts w:cs="Times New Roman"/>
          <w:i/>
          <w:lang w:val="fr-CA"/>
        </w:rPr>
        <w:t xml:space="preserve">Wash. </w:t>
      </w:r>
      <w:r w:rsidRPr="002E3951">
        <w:rPr>
          <w:rFonts w:cs="Times New Roman"/>
          <w:i/>
          <w:lang w:val="fr-CA"/>
        </w:rPr>
        <w:t xml:space="preserve">&amp; Lee L. Rev. </w:t>
      </w:r>
      <w:r w:rsidRPr="002E3951">
        <w:rPr>
          <w:rFonts w:cs="Times New Roman"/>
          <w:lang w:val="fr-CA"/>
        </w:rPr>
        <w:t>281, p. 288).</w:t>
      </w:r>
    </w:p>
    <w:p w14:paraId="6665E5D2"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Le respect des précédents préserve également la légitimité institutionnelle de notre Cour. Les décisions de notre Cour ne perdent pas leur valeur de précédent « avec le départ de l</w:t>
      </w:r>
      <w:r>
        <w:rPr>
          <w:rFonts w:cs="Times New Roman"/>
          <w:lang w:val="fr-CA"/>
        </w:rPr>
        <w:t>’</w:t>
      </w:r>
      <w:r w:rsidRPr="006B5BF6">
        <w:rPr>
          <w:rFonts w:cs="Times New Roman"/>
          <w:lang w:val="fr-CA"/>
        </w:rPr>
        <w:t>un ou de plusieurs des juges qui y ont participé » (</w:t>
      </w:r>
      <w:r w:rsidRPr="006B5BF6">
        <w:rPr>
          <w:rFonts w:cs="Times New Roman"/>
          <w:i/>
          <w:lang w:val="fr-CA"/>
        </w:rPr>
        <w:t>Plo</w:t>
      </w:r>
      <w:r>
        <w:rPr>
          <w:rFonts w:cs="Times New Roman"/>
          <w:i/>
          <w:lang w:val="fr-CA"/>
        </w:rPr>
        <w:t>ur</w:t>
      </w:r>
      <w:r w:rsidRPr="006B5BF6">
        <w:rPr>
          <w:rFonts w:cs="Times New Roman"/>
          <w:i/>
          <w:lang w:val="fr-CA"/>
        </w:rPr>
        <w:t>de c. Wal</w:t>
      </w:r>
      <w:r w:rsidRPr="006B5BF6">
        <w:rPr>
          <w:rFonts w:cs="Times New Roman"/>
          <w:i/>
          <w:lang w:val="fr-CA"/>
        </w:rPr>
        <w:noBreakHyphen/>
        <w:t>Mart Canada Corp.</w:t>
      </w:r>
      <w:r w:rsidRPr="006B5BF6">
        <w:rPr>
          <w:rFonts w:cs="Times New Roman"/>
          <w:lang w:val="fr-CA"/>
        </w:rPr>
        <w:t>, [2009] 3 R.C.S. 465, par. 13). Des idées similaires ont été évoquées dans la jurisprudence américaine :</w:t>
      </w:r>
    </w:p>
    <w:p w14:paraId="0B9141D5" w14:textId="0D8BC721" w:rsidR="00AE2373" w:rsidRPr="006B5BF6" w:rsidRDefault="00AE2373" w:rsidP="00AE2373">
      <w:pPr>
        <w:pStyle w:val="Citation-AltC"/>
        <w:spacing w:after="240"/>
        <w:ind w:hanging="446"/>
        <w:contextualSpacing w:val="0"/>
        <w:rPr>
          <w:lang w:val="fr-CA"/>
        </w:rPr>
      </w:pPr>
      <w:r w:rsidRPr="006B5BF6">
        <w:rPr>
          <w:lang w:val="fr-CA"/>
        </w:rPr>
        <w:tab/>
      </w:r>
      <w:r w:rsidR="002E3951" w:rsidRPr="006B5BF6">
        <w:rPr>
          <w:lang w:val="fr-CA"/>
        </w:rPr>
        <w:t>[</w:t>
      </w:r>
      <w:r w:rsidR="002E3951" w:rsidRPr="006B5BF6">
        <w:rPr>
          <w:smallCaps/>
          <w:lang w:val="fr-CA"/>
        </w:rPr>
        <w:t>traduction</w:t>
      </w:r>
      <w:r w:rsidR="002E3951" w:rsidRPr="006B5BF6">
        <w:rPr>
          <w:lang w:val="fr-CA"/>
        </w:rPr>
        <w:t>]</w:t>
      </w:r>
      <w:r w:rsidR="002E3951">
        <w:rPr>
          <w:lang w:val="fr-CA"/>
        </w:rPr>
        <w:t xml:space="preserve"> </w:t>
      </w:r>
      <w:r w:rsidRPr="006B5BF6">
        <w:rPr>
          <w:lang w:val="fr-CA"/>
        </w:rPr>
        <w:t>Au</w:t>
      </w:r>
      <w:r w:rsidRPr="006B5BF6">
        <w:rPr>
          <w:lang w:val="fr-CA"/>
        </w:rPr>
        <w:noBreakHyphen/>
        <w:t>delà d</w:t>
      </w:r>
      <w:r>
        <w:rPr>
          <w:lang w:val="fr-CA"/>
        </w:rPr>
        <w:t>’</w:t>
      </w:r>
      <w:r w:rsidRPr="006B5BF6">
        <w:rPr>
          <w:lang w:val="fr-CA"/>
        </w:rPr>
        <w:t>un certain point, si la Cour infirme fréquemment ses décisions, sa bonne foi risque d</w:t>
      </w:r>
      <w:r>
        <w:rPr>
          <w:lang w:val="fr-CA"/>
        </w:rPr>
        <w:t>’</w:t>
      </w:r>
      <w:r w:rsidRPr="006B5BF6">
        <w:rPr>
          <w:lang w:val="fr-CA"/>
        </w:rPr>
        <w:t>être mise en doute. Malgré les différentes raisons pouvant permettre de comprendre et de justifier une décision d</w:t>
      </w:r>
      <w:r>
        <w:rPr>
          <w:lang w:val="fr-CA"/>
        </w:rPr>
        <w:t>’</w:t>
      </w:r>
      <w:r w:rsidRPr="006B5BF6">
        <w:rPr>
          <w:lang w:val="fr-CA"/>
        </w:rPr>
        <w:t>écarter un jugement précédent, il ne faut pas oublier que cette décision est habituellement perçue — à juste titre — comme, à tout le moins, une affirmation du fait qu</w:t>
      </w:r>
      <w:r>
        <w:rPr>
          <w:lang w:val="fr-CA"/>
        </w:rPr>
        <w:t>’</w:t>
      </w:r>
      <w:r w:rsidRPr="006B5BF6">
        <w:rPr>
          <w:lang w:val="fr-CA"/>
        </w:rPr>
        <w:t>une décision antérieure était erronée. Il y a une limite aux erreurs qui peuvent vraisemblablement être imputées aux tribunaux ayant siégé avant la formation actuelle. Si cette limite devait être franchie, la modification d</w:t>
      </w:r>
      <w:r>
        <w:rPr>
          <w:lang w:val="fr-CA"/>
        </w:rPr>
        <w:t>’</w:t>
      </w:r>
      <w:r w:rsidRPr="006B5BF6">
        <w:rPr>
          <w:lang w:val="fr-CA"/>
        </w:rPr>
        <w:t>une décision précédente serait considérée comme une preuve du fait que le réexamen légitime de principes a cédé devant la volonté d</w:t>
      </w:r>
      <w:r>
        <w:rPr>
          <w:lang w:val="fr-CA"/>
        </w:rPr>
        <w:t>’</w:t>
      </w:r>
      <w:r w:rsidRPr="006B5BF6">
        <w:rPr>
          <w:lang w:val="fr-CA"/>
        </w:rPr>
        <w:t>obtenir un résultat particulier à court terme. La Cour perdrait de sa légitimité en raison de la fréquence de ses hésitations.</w:t>
      </w:r>
    </w:p>
    <w:p w14:paraId="5E9749F1" w14:textId="14D97D90" w:rsidR="00AE2373" w:rsidRPr="006B5BF6" w:rsidRDefault="00AE2373" w:rsidP="00D86771">
      <w:pPr>
        <w:pStyle w:val="Citation-AltC"/>
        <w:ind w:left="0"/>
        <w:contextualSpacing w:val="0"/>
        <w:rPr>
          <w:lang w:val="en-US"/>
        </w:rPr>
      </w:pPr>
      <w:r w:rsidRPr="006B5BF6">
        <w:rPr>
          <w:lang w:val="en-US"/>
        </w:rPr>
        <w:t>(</w:t>
      </w:r>
      <w:r w:rsidRPr="006B5BF6">
        <w:rPr>
          <w:i/>
          <w:lang w:val="en-US"/>
        </w:rPr>
        <w:t>Planned Parenthood of Southeastern Pennsylvania c. Casey, Governor of Pennsylvania</w:t>
      </w:r>
      <w:r w:rsidRPr="006B5BF6">
        <w:rPr>
          <w:lang w:val="en-US"/>
        </w:rPr>
        <w:t>,</w:t>
      </w:r>
      <w:r w:rsidRPr="006B5BF6">
        <w:rPr>
          <w:i/>
          <w:lang w:val="en-US"/>
        </w:rPr>
        <w:t xml:space="preserve"> </w:t>
      </w:r>
      <w:r w:rsidRPr="006B5BF6">
        <w:rPr>
          <w:lang w:val="en-US"/>
        </w:rPr>
        <w:t xml:space="preserve">505 U.S. 833 (1992), p. 866; voir également </w:t>
      </w:r>
      <w:r w:rsidRPr="006B5BF6">
        <w:rPr>
          <w:i/>
          <w:lang w:val="en-US"/>
        </w:rPr>
        <w:t>Florida Department of Health and Rehabilitative Services c. Florida Nursing Home Association</w:t>
      </w:r>
      <w:r w:rsidRPr="006B5BF6">
        <w:rPr>
          <w:lang w:val="en-US"/>
        </w:rPr>
        <w:t>, 450 U.S. 147 (1981), p. 153, motifs concordants du juge</w:t>
      </w:r>
      <w:r w:rsidRPr="006B5BF6">
        <w:rPr>
          <w:i/>
          <w:lang w:val="en-US"/>
        </w:rPr>
        <w:t xml:space="preserve"> </w:t>
      </w:r>
      <w:r w:rsidRPr="006B5BF6">
        <w:rPr>
          <w:lang w:val="en-US"/>
        </w:rPr>
        <w:t>Stevens.)</w:t>
      </w:r>
    </w:p>
    <w:p w14:paraId="6CFC79EA" w14:textId="612157A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 xml:space="preserve">Plusieurs universitaires ont exprimé un point de vue semblable (voir, p. ex., Michael J. Gerhardt, </w:t>
      </w:r>
      <w:r w:rsidRPr="006B5BF6">
        <w:rPr>
          <w:rFonts w:cs="Times New Roman"/>
          <w:i/>
          <w:lang w:val="fr-CA"/>
        </w:rPr>
        <w:t>The Power of Precedent</w:t>
      </w:r>
      <w:r w:rsidRPr="006B5BF6">
        <w:rPr>
          <w:rFonts w:cs="Times New Roman"/>
          <w:lang w:val="fr-CA"/>
        </w:rPr>
        <w:t xml:space="preserve"> (2008), p. 18; Garner et </w:t>
      </w:r>
      <w:r w:rsidR="00D86771">
        <w:rPr>
          <w:rFonts w:cs="Times New Roman"/>
          <w:lang w:val="fr-CA"/>
        </w:rPr>
        <w:t>autres</w:t>
      </w:r>
      <w:r w:rsidR="006D2BF0">
        <w:rPr>
          <w:rFonts w:cs="Times New Roman"/>
          <w:lang w:val="fr-CA"/>
        </w:rPr>
        <w:t>, p. 391). Selon Aharon Barak,</w:t>
      </w:r>
    </w:p>
    <w:p w14:paraId="5B706512" w14:textId="532E7AC3" w:rsidR="00AE2373" w:rsidRPr="006B5BF6" w:rsidRDefault="00AE2373" w:rsidP="00AE2373">
      <w:pPr>
        <w:pStyle w:val="Citation-AltC"/>
        <w:widowControl w:val="0"/>
        <w:spacing w:after="240"/>
        <w:ind w:hanging="446"/>
        <w:contextualSpacing w:val="0"/>
        <w:rPr>
          <w:lang w:val="fr-CA"/>
        </w:rPr>
      </w:pPr>
      <w:r w:rsidRPr="006B5BF6">
        <w:rPr>
          <w:lang w:val="fr-CA"/>
        </w:rPr>
        <w:tab/>
      </w:r>
      <w:r w:rsidR="00D86771" w:rsidRPr="006B5BF6">
        <w:rPr>
          <w:lang w:val="fr-CA"/>
        </w:rPr>
        <w:t>[</w:t>
      </w:r>
      <w:r w:rsidR="00D86771" w:rsidRPr="006B5BF6">
        <w:rPr>
          <w:smallCaps/>
          <w:lang w:val="fr-CA"/>
        </w:rPr>
        <w:t>traduction</w:t>
      </w:r>
      <w:r w:rsidR="006D2BF0">
        <w:rPr>
          <w:lang w:val="fr-CA"/>
        </w:rPr>
        <w:t>]</w:t>
      </w:r>
      <w:r w:rsidRPr="006B5BF6">
        <w:rPr>
          <w:lang w:val="fr-CA"/>
        </w:rPr>
        <w:t xml:space="preserve"> l</w:t>
      </w:r>
      <w:r>
        <w:rPr>
          <w:lang w:val="fr-CA"/>
        </w:rPr>
        <w:t>’</w:t>
      </w:r>
      <w:r w:rsidRPr="006B5BF6">
        <w:rPr>
          <w:lang w:val="fr-CA"/>
        </w:rPr>
        <w:t>abandon d</w:t>
      </w:r>
      <w:r>
        <w:rPr>
          <w:lang w:val="fr-CA"/>
        </w:rPr>
        <w:t>’</w:t>
      </w:r>
      <w:r w:rsidRPr="006B5BF6">
        <w:rPr>
          <w:lang w:val="fr-CA"/>
        </w:rPr>
        <w:t>un précédent ternit la perception qu</w:t>
      </w:r>
      <w:r>
        <w:rPr>
          <w:lang w:val="fr-CA"/>
        </w:rPr>
        <w:t>’</w:t>
      </w:r>
      <w:r w:rsidRPr="006B5BF6">
        <w:rPr>
          <w:lang w:val="fr-CA"/>
        </w:rPr>
        <w:t xml:space="preserve">a le public </w:t>
      </w:r>
      <w:r w:rsidRPr="006B5BF6">
        <w:rPr>
          <w:lang w:val="fr-CA"/>
        </w:rPr>
        <w:lastRenderedPageBreak/>
        <w:t>du rôle de la magistrature et mine son respect et sa confiance envers elle. Le précédent ne devrait pas ressembler à un billet valide le jour de l</w:t>
      </w:r>
      <w:r>
        <w:rPr>
          <w:lang w:val="fr-CA"/>
        </w:rPr>
        <w:t>’</w:t>
      </w:r>
      <w:r w:rsidRPr="006B5BF6">
        <w:rPr>
          <w:lang w:val="fr-CA"/>
        </w:rPr>
        <w:t>achat seulement.</w:t>
      </w:r>
    </w:p>
    <w:p w14:paraId="01E252BD" w14:textId="4D2B36F2" w:rsidR="00AE2373" w:rsidRPr="00E0620A" w:rsidRDefault="00AE2373" w:rsidP="00D86771">
      <w:pPr>
        <w:pStyle w:val="Citation-AltC"/>
        <w:widowControl w:val="0"/>
        <w:ind w:left="0"/>
        <w:contextualSpacing w:val="0"/>
        <w:rPr>
          <w:lang w:val="en-US"/>
        </w:rPr>
      </w:pPr>
      <w:r w:rsidRPr="00E0620A">
        <w:rPr>
          <w:lang w:val="en-US"/>
        </w:rPr>
        <w:t xml:space="preserve">(« Overruling Precedent » (1986), 21 </w:t>
      </w:r>
      <w:r w:rsidRPr="00E0620A">
        <w:rPr>
          <w:i/>
          <w:lang w:val="en-US"/>
        </w:rPr>
        <w:t>Is.L.</w:t>
      </w:r>
      <w:r w:rsidR="00D07ADC" w:rsidRPr="00E0620A">
        <w:rPr>
          <w:i/>
          <w:lang w:val="en-US"/>
        </w:rPr>
        <w:t>R</w:t>
      </w:r>
      <w:r w:rsidRPr="00E0620A">
        <w:rPr>
          <w:i/>
          <w:lang w:val="en-US"/>
        </w:rPr>
        <w:t xml:space="preserve">. </w:t>
      </w:r>
      <w:r w:rsidRPr="00E0620A">
        <w:rPr>
          <w:lang w:val="en-US"/>
        </w:rPr>
        <w:t>269, p. 275)</w:t>
      </w:r>
    </w:p>
    <w:p w14:paraId="628CBF0D"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À notre avis, les motifs de la majorité ne tiennent pas compte du critère rigoureux auquel il faut satisfaire pour pouvoir écarter l</w:t>
      </w:r>
      <w:r>
        <w:rPr>
          <w:rFonts w:cs="Times New Roman"/>
          <w:lang w:val="fr-CA"/>
        </w:rPr>
        <w:t>’</w:t>
      </w:r>
      <w:r w:rsidRPr="006B5BF6">
        <w:rPr>
          <w:rFonts w:cs="Times New Roman"/>
          <w:lang w:val="fr-CA"/>
        </w:rPr>
        <w:t>une des décisions de notre Cour. La majorité justifie son abandon de la conception bien établie de notre Cour quant à l</w:t>
      </w:r>
      <w:r>
        <w:rPr>
          <w:rFonts w:cs="Times New Roman"/>
          <w:lang w:val="fr-CA"/>
        </w:rPr>
        <w:t>’</w:t>
      </w:r>
      <w:r w:rsidRPr="006B5BF6">
        <w:rPr>
          <w:rFonts w:cs="Times New Roman"/>
          <w:lang w:val="fr-CA"/>
        </w:rPr>
        <w:t>effet des dispositions législatives créant un droit d</w:t>
      </w:r>
      <w:r>
        <w:rPr>
          <w:rFonts w:cs="Times New Roman"/>
          <w:lang w:val="fr-CA"/>
        </w:rPr>
        <w:t>’</w:t>
      </w:r>
      <w:r w:rsidRPr="006B5BF6">
        <w:rPr>
          <w:rFonts w:cs="Times New Roman"/>
          <w:lang w:val="fr-CA"/>
        </w:rPr>
        <w:t>appel sur l</w:t>
      </w:r>
      <w:r>
        <w:rPr>
          <w:rFonts w:cs="Times New Roman"/>
          <w:lang w:val="fr-CA"/>
        </w:rPr>
        <w:t>’</w:t>
      </w:r>
      <w:r w:rsidRPr="006B5BF6">
        <w:rPr>
          <w:rFonts w:cs="Times New Roman"/>
          <w:lang w:val="fr-CA"/>
        </w:rPr>
        <w:t xml:space="preserve">analyse de la norme de contrôle en affirmant que </w:t>
      </w:r>
      <w:r w:rsidRPr="006B5BF6">
        <w:rPr>
          <w:rFonts w:cs="Times New Roman"/>
          <w:noProof/>
          <w:lang w:val="fr-CA"/>
        </w:rPr>
        <w:t xml:space="preserve">cette </w:t>
      </w:r>
      <w:r w:rsidRPr="006B5BF6">
        <w:rPr>
          <w:rFonts w:cs="Times New Roman"/>
          <w:lang w:val="fr-CA"/>
        </w:rPr>
        <w:t>approche était « non fondé[e] en principe » et qu</w:t>
      </w:r>
      <w:r>
        <w:rPr>
          <w:rFonts w:cs="Times New Roman"/>
          <w:lang w:val="fr-CA"/>
        </w:rPr>
        <w:t>’</w:t>
      </w:r>
      <w:r w:rsidRPr="006B5BF6">
        <w:rPr>
          <w:rFonts w:cs="Times New Roman"/>
          <w:lang w:val="fr-CA"/>
        </w:rPr>
        <w:t>elle avait fait l</w:t>
      </w:r>
      <w:r>
        <w:rPr>
          <w:rFonts w:cs="Times New Roman"/>
          <w:lang w:val="fr-CA"/>
        </w:rPr>
        <w:t>’</w:t>
      </w:r>
      <w:r w:rsidRPr="006B5BF6">
        <w:rPr>
          <w:rFonts w:cs="Times New Roman"/>
          <w:lang w:val="fr-CA"/>
        </w:rPr>
        <w:t xml:space="preserve">objet de critiques tant de la part des </w:t>
      </w:r>
      <w:r>
        <w:rPr>
          <w:rFonts w:cs="Times New Roman"/>
          <w:lang w:val="fr-CA"/>
        </w:rPr>
        <w:t xml:space="preserve">juges </w:t>
      </w:r>
      <w:r w:rsidRPr="006B5BF6">
        <w:rPr>
          <w:rFonts w:cs="Times New Roman"/>
          <w:lang w:val="fr-CA"/>
        </w:rPr>
        <w:t>que des auteurs. La majorité avance aussi l</w:t>
      </w:r>
      <w:r>
        <w:rPr>
          <w:rFonts w:cs="Times New Roman"/>
          <w:lang w:val="fr-CA"/>
        </w:rPr>
        <w:t>’</w:t>
      </w:r>
      <w:r w:rsidRPr="006B5BF6">
        <w:rPr>
          <w:rFonts w:cs="Times New Roman"/>
          <w:lang w:val="fr-CA"/>
        </w:rPr>
        <w:t>idée que les décisions de notre Cour ont établi un système de contrôle judiciaire « inapplicable et indûment complexe ». De l</w:t>
      </w:r>
      <w:r>
        <w:rPr>
          <w:rFonts w:cs="Times New Roman"/>
          <w:lang w:val="fr-CA"/>
        </w:rPr>
        <w:t>’</w:t>
      </w:r>
      <w:r w:rsidRPr="006B5BF6">
        <w:rPr>
          <w:rFonts w:cs="Times New Roman"/>
          <w:lang w:val="fr-CA"/>
        </w:rPr>
        <w:t>avis de la majorité, l</w:t>
      </w:r>
      <w:r>
        <w:rPr>
          <w:rFonts w:cs="Times New Roman"/>
          <w:lang w:val="fr-CA"/>
        </w:rPr>
        <w:t>’</w:t>
      </w:r>
      <w:r w:rsidRPr="006B5BF6">
        <w:rPr>
          <w:rFonts w:cs="Times New Roman"/>
          <w:lang w:val="fr-CA"/>
        </w:rPr>
        <w:t>abandon de ces décisions irait de pair avec les valeurs qui sous</w:t>
      </w:r>
      <w:r w:rsidRPr="006B5BF6">
        <w:rPr>
          <w:rFonts w:cs="Times New Roman"/>
          <w:lang w:val="fr-CA"/>
        </w:rPr>
        <w:noBreakHyphen/>
        <w:t xml:space="preserve">tendent la doctrine du </w:t>
      </w:r>
      <w:r w:rsidRPr="006B5BF6">
        <w:rPr>
          <w:rFonts w:cs="Times New Roman"/>
          <w:i/>
          <w:lang w:val="fr-CA"/>
        </w:rPr>
        <w:t>stare decisis</w:t>
      </w:r>
      <w:r w:rsidRPr="006B5BF6">
        <w:rPr>
          <w:rFonts w:cs="Times New Roman"/>
          <w:lang w:val="fr-CA"/>
        </w:rPr>
        <w:t>, soit « la clarté et [. . .] la certitude du droit ». Ce faisant, la majorité ne tient pas compte de plusieurs des principes fondamentaux établis par notre Cour en droit administratif.</w:t>
      </w:r>
    </w:p>
    <w:p w14:paraId="4C8A3DE0"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La majorité n</w:t>
      </w:r>
      <w:r>
        <w:rPr>
          <w:rFonts w:cs="Times New Roman"/>
          <w:lang w:val="fr-CA"/>
        </w:rPr>
        <w:t>’</w:t>
      </w:r>
      <w:r w:rsidRPr="006B5BF6">
        <w:rPr>
          <w:rFonts w:cs="Times New Roman"/>
          <w:lang w:val="fr-CA"/>
        </w:rPr>
        <w:t>explique pas dans ses motifs l</w:t>
      </w:r>
      <w:r>
        <w:rPr>
          <w:rFonts w:cs="Times New Roman"/>
          <w:lang w:val="fr-CA"/>
        </w:rPr>
        <w:t>’</w:t>
      </w:r>
      <w:r w:rsidRPr="006B5BF6">
        <w:rPr>
          <w:rFonts w:cs="Times New Roman"/>
          <w:lang w:val="fr-CA"/>
        </w:rPr>
        <w:t>aspect le plus important de son rejet de la jurisprudence de notre Cour, à savoir sa décision de modifier tout le « fondement conceptuel » du contrôle judiciaire en excluant de l</w:t>
      </w:r>
      <w:r>
        <w:rPr>
          <w:rFonts w:cs="Times New Roman"/>
          <w:lang w:val="fr-CA"/>
        </w:rPr>
        <w:t>’</w:t>
      </w:r>
      <w:r w:rsidRPr="006B5BF6">
        <w:rPr>
          <w:rFonts w:cs="Times New Roman"/>
          <w:lang w:val="fr-CA"/>
        </w:rPr>
        <w:t>analyse la spécialisation, l</w:t>
      </w:r>
      <w:r>
        <w:rPr>
          <w:rFonts w:cs="Times New Roman"/>
          <w:lang w:val="fr-CA"/>
        </w:rPr>
        <w:t>’</w:t>
      </w:r>
      <w:r w:rsidRPr="006B5BF6">
        <w:rPr>
          <w:rFonts w:cs="Times New Roman"/>
          <w:lang w:val="fr-CA"/>
        </w:rPr>
        <w:t>expertise et d</w:t>
      </w:r>
      <w:r>
        <w:rPr>
          <w:rFonts w:cs="Times New Roman"/>
          <w:lang w:val="fr-CA"/>
        </w:rPr>
        <w:t>’</w:t>
      </w:r>
      <w:r w:rsidRPr="006B5BF6">
        <w:rPr>
          <w:rFonts w:cs="Times New Roman"/>
          <w:lang w:val="fr-CA"/>
        </w:rPr>
        <w:t>autres avantages institutionnels. L</w:t>
      </w:r>
      <w:r>
        <w:rPr>
          <w:rFonts w:cs="Times New Roman"/>
          <w:lang w:val="fr-CA"/>
        </w:rPr>
        <w:t>’</w:t>
      </w:r>
      <w:r w:rsidRPr="006B5BF6">
        <w:rPr>
          <w:rFonts w:cs="Times New Roman"/>
          <w:lang w:val="fr-CA"/>
        </w:rPr>
        <w:t>absence totale de raisons justifiant ce revirement majeur — que la majorité invoque à maintes reprises pour racheter l</w:t>
      </w:r>
      <w:r>
        <w:rPr>
          <w:rFonts w:cs="Times New Roman"/>
          <w:lang w:val="fr-CA"/>
        </w:rPr>
        <w:t>’</w:t>
      </w:r>
      <w:r w:rsidRPr="006B5BF6">
        <w:rPr>
          <w:rFonts w:cs="Times New Roman"/>
          <w:lang w:val="fr-CA"/>
        </w:rPr>
        <w:t xml:space="preserve">abandon de précédents — décrédibilise ses affirmations quant à son respect des principes du </w:t>
      </w:r>
      <w:r w:rsidRPr="006B5BF6">
        <w:rPr>
          <w:rFonts w:cs="Times New Roman"/>
          <w:i/>
          <w:lang w:val="fr-CA"/>
        </w:rPr>
        <w:t>stare decisis</w:t>
      </w:r>
      <w:r w:rsidRPr="006B5BF6">
        <w:rPr>
          <w:rFonts w:cs="Times New Roman"/>
          <w:lang w:val="fr-CA"/>
        </w:rPr>
        <w:t>.</w:t>
      </w:r>
    </w:p>
    <w:p w14:paraId="6E749749"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lastRenderedPageBreak/>
        <w:t>La majorité explique sa décision d</w:t>
      </w:r>
      <w:r>
        <w:rPr>
          <w:rFonts w:cs="Times New Roman"/>
          <w:lang w:val="fr-CA"/>
        </w:rPr>
        <w:t>’</w:t>
      </w:r>
      <w:r w:rsidRPr="006B5BF6">
        <w:rPr>
          <w:rFonts w:cs="Times New Roman"/>
          <w:lang w:val="fr-CA"/>
        </w:rPr>
        <w:t>écarter les jugements antérieurs de notre Cour portant sur des dispositions législatives créant un droit d</w:t>
      </w:r>
      <w:r>
        <w:rPr>
          <w:rFonts w:cs="Times New Roman"/>
          <w:lang w:val="fr-CA"/>
        </w:rPr>
        <w:t>’</w:t>
      </w:r>
      <w:r w:rsidRPr="006B5BF6">
        <w:rPr>
          <w:rFonts w:cs="Times New Roman"/>
          <w:lang w:val="fr-CA"/>
        </w:rPr>
        <w:t>appel en affirmant que « rien ne saurait justifier [ces jugements] de façon satisfaisante ». Elle n</w:t>
      </w:r>
      <w:r>
        <w:rPr>
          <w:rFonts w:cs="Times New Roman"/>
          <w:lang w:val="fr-CA"/>
        </w:rPr>
        <w:t>’</w:t>
      </w:r>
      <w:r w:rsidRPr="006B5BF6">
        <w:rPr>
          <w:rFonts w:cs="Times New Roman"/>
          <w:lang w:val="fr-CA"/>
        </w:rPr>
        <w:t>avance toutefois aucun argument différent de ceux qu</w:t>
      </w:r>
      <w:r>
        <w:rPr>
          <w:rFonts w:cs="Times New Roman"/>
          <w:lang w:val="fr-CA"/>
        </w:rPr>
        <w:t>’</w:t>
      </w:r>
      <w:r w:rsidRPr="006B5BF6">
        <w:rPr>
          <w:rFonts w:cs="Times New Roman"/>
          <w:lang w:val="fr-CA"/>
        </w:rPr>
        <w:t>ont entendus et rejetés pendant des décennies d</w:t>
      </w:r>
      <w:r>
        <w:rPr>
          <w:rFonts w:cs="Times New Roman"/>
          <w:lang w:val="fr-CA"/>
        </w:rPr>
        <w:t>’</w:t>
      </w:r>
      <w:r w:rsidRPr="006B5BF6">
        <w:rPr>
          <w:rFonts w:cs="Times New Roman"/>
          <w:lang w:val="fr-CA"/>
        </w:rPr>
        <w:t>autres formations de notre Cour dont les décisions sont aujourd</w:t>
      </w:r>
      <w:r>
        <w:rPr>
          <w:rFonts w:cs="Times New Roman"/>
          <w:lang w:val="fr-CA"/>
        </w:rPr>
        <w:t>’</w:t>
      </w:r>
      <w:r w:rsidRPr="006B5BF6">
        <w:rPr>
          <w:rFonts w:cs="Times New Roman"/>
          <w:lang w:val="fr-CA"/>
        </w:rPr>
        <w:t>hui écartées. La majorité remplace plutôt cette jurisprudence constante par l</w:t>
      </w:r>
      <w:r>
        <w:rPr>
          <w:rFonts w:cs="Times New Roman"/>
          <w:lang w:val="fr-CA"/>
        </w:rPr>
        <w:t>’</w:t>
      </w:r>
      <w:r w:rsidRPr="006B5BF6">
        <w:rPr>
          <w:rFonts w:cs="Times New Roman"/>
          <w:lang w:val="fr-CA"/>
        </w:rPr>
        <w:t>approche qu</w:t>
      </w:r>
      <w:r>
        <w:rPr>
          <w:rFonts w:cs="Times New Roman"/>
          <w:lang w:val="fr-CA"/>
        </w:rPr>
        <w:t>’</w:t>
      </w:r>
      <w:r w:rsidRPr="006B5BF6">
        <w:rPr>
          <w:rFonts w:cs="Times New Roman"/>
          <w:lang w:val="fr-CA"/>
        </w:rPr>
        <w:t>elle privilégie en matière d</w:t>
      </w:r>
      <w:r>
        <w:rPr>
          <w:rFonts w:cs="Times New Roman"/>
          <w:lang w:val="fr-CA"/>
        </w:rPr>
        <w:t>’</w:t>
      </w:r>
      <w:r w:rsidRPr="006B5BF6">
        <w:rPr>
          <w:rFonts w:cs="Times New Roman"/>
          <w:lang w:val="fr-CA"/>
        </w:rPr>
        <w:t>interprétation des droits d</w:t>
      </w:r>
      <w:r>
        <w:rPr>
          <w:rFonts w:cs="Times New Roman"/>
          <w:lang w:val="fr-CA"/>
        </w:rPr>
        <w:t>’</w:t>
      </w:r>
      <w:r w:rsidRPr="006B5BF6">
        <w:rPr>
          <w:rFonts w:cs="Times New Roman"/>
          <w:lang w:val="fr-CA"/>
        </w:rPr>
        <w:t>appel conférés par la loi — approche qui a été rejetée par plusieurs formations antérieures de notre Cour dans une série de décisions qui s</w:t>
      </w:r>
      <w:r>
        <w:rPr>
          <w:rFonts w:cs="Times New Roman"/>
          <w:lang w:val="fr-CA"/>
        </w:rPr>
        <w:t>’</w:t>
      </w:r>
      <w:r w:rsidRPr="006B5BF6">
        <w:rPr>
          <w:rFonts w:cs="Times New Roman"/>
          <w:lang w:val="fr-CA"/>
        </w:rPr>
        <w:t xml:space="preserve">étirent sur trois décennies et qui ont été confirmées de manière explicite </w:t>
      </w:r>
      <w:r w:rsidRPr="006B5BF6">
        <w:rPr>
          <w:rFonts w:cs="Times New Roman"/>
          <w:i/>
          <w:lang w:val="fr-CA"/>
        </w:rPr>
        <w:t xml:space="preserve">pas </w:t>
      </w:r>
      <w:r w:rsidRPr="006B5BF6">
        <w:rPr>
          <w:rFonts w:cs="Times New Roman"/>
          <w:i/>
          <w:iCs/>
          <w:lang w:val="fr-CA"/>
        </w:rPr>
        <w:t xml:space="preserve">moins de quatre fois au cours des dix dernières années </w:t>
      </w:r>
      <w:r w:rsidRPr="006B5BF6">
        <w:rPr>
          <w:rFonts w:cs="Times New Roman"/>
          <w:lang w:val="fr-CA"/>
        </w:rPr>
        <w:t>(</w:t>
      </w:r>
      <w:r w:rsidRPr="006B5BF6">
        <w:rPr>
          <w:rFonts w:cs="Times New Roman"/>
          <w:i/>
          <w:lang w:val="fr-CA"/>
        </w:rPr>
        <w:t>Khosa</w:t>
      </w:r>
      <w:r w:rsidRPr="006B5BF6">
        <w:rPr>
          <w:rFonts w:cs="Times New Roman"/>
          <w:lang w:val="fr-CA"/>
        </w:rPr>
        <w:t xml:space="preserve">, par. 26; </w:t>
      </w:r>
      <w:r w:rsidRPr="006B5BF6">
        <w:rPr>
          <w:rFonts w:cs="Times New Roman"/>
          <w:i/>
          <w:lang w:val="fr-CA"/>
        </w:rPr>
        <w:t>Mowat</w:t>
      </w:r>
      <w:r w:rsidRPr="006B5BF6">
        <w:rPr>
          <w:rFonts w:cs="Times New Roman"/>
          <w:lang w:val="fr-CA"/>
        </w:rPr>
        <w:t>, par. 30</w:t>
      </w:r>
      <w:r w:rsidRPr="006B5BF6">
        <w:rPr>
          <w:rFonts w:cs="Times New Roman"/>
          <w:lang w:val="fr-CA"/>
        </w:rPr>
        <w:noBreakHyphen/>
        <w:t xml:space="preserve">31; </w:t>
      </w:r>
      <w:r w:rsidRPr="006B5BF6">
        <w:rPr>
          <w:rFonts w:cs="Times New Roman"/>
          <w:i/>
          <w:lang w:val="fr-CA"/>
        </w:rPr>
        <w:t>Mouvement laïque</w:t>
      </w:r>
      <w:r w:rsidRPr="006B5BF6">
        <w:rPr>
          <w:rFonts w:cs="Times New Roman"/>
          <w:lang w:val="fr-CA"/>
        </w:rPr>
        <w:t xml:space="preserve">, par. 38; </w:t>
      </w:r>
      <w:r w:rsidRPr="006B5BF6">
        <w:rPr>
          <w:rFonts w:cs="Times New Roman"/>
          <w:i/>
          <w:lang w:val="fr-CA"/>
        </w:rPr>
        <w:t>Edmonton East</w:t>
      </w:r>
      <w:r w:rsidRPr="006B5BF6">
        <w:rPr>
          <w:rFonts w:cs="Times New Roman"/>
          <w:lang w:val="fr-CA"/>
        </w:rPr>
        <w:t>, par. 27</w:t>
      </w:r>
      <w:r w:rsidRPr="006B5BF6">
        <w:rPr>
          <w:rFonts w:cs="Times New Roman"/>
          <w:lang w:val="fr-CA"/>
        </w:rPr>
        <w:noBreakHyphen/>
        <w:t>31; voir également </w:t>
      </w:r>
      <w:r w:rsidRPr="006B5BF6">
        <w:rPr>
          <w:rFonts w:cs="Times New Roman"/>
          <w:i/>
          <w:lang w:val="fr-CA"/>
        </w:rPr>
        <w:t>McLean</w:t>
      </w:r>
      <w:r w:rsidRPr="006B5BF6">
        <w:rPr>
          <w:rFonts w:cs="Times New Roman"/>
          <w:lang w:val="fr-CA"/>
        </w:rPr>
        <w:t>, par. 21).</w:t>
      </w:r>
    </w:p>
    <w:p w14:paraId="09DCAE5B"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L</w:t>
      </w:r>
      <w:r>
        <w:rPr>
          <w:rFonts w:cs="Times New Roman"/>
          <w:lang w:val="fr-CA"/>
        </w:rPr>
        <w:t>’</w:t>
      </w:r>
      <w:r w:rsidRPr="006B5BF6">
        <w:rPr>
          <w:rFonts w:cs="Times New Roman"/>
          <w:lang w:val="fr-CA"/>
        </w:rPr>
        <w:t xml:space="preserve">abandon de ces jugements bafoue les principes du </w:t>
      </w:r>
      <w:r w:rsidRPr="006B5BF6">
        <w:rPr>
          <w:rFonts w:cs="Times New Roman"/>
          <w:i/>
          <w:lang w:val="fr-CA"/>
        </w:rPr>
        <w:t>stare decisis</w:t>
      </w:r>
      <w:r w:rsidRPr="006B5BF6">
        <w:rPr>
          <w:rFonts w:cs="Times New Roman"/>
          <w:lang w:val="fr-CA"/>
        </w:rPr>
        <w:t xml:space="preserve"> qui interdisent aux </w:t>
      </w:r>
      <w:r>
        <w:rPr>
          <w:rFonts w:cs="Times New Roman"/>
          <w:lang w:val="fr-CA"/>
        </w:rPr>
        <w:t>cours</w:t>
      </w:r>
      <w:r w:rsidRPr="006B5BF6">
        <w:rPr>
          <w:rFonts w:cs="Times New Roman"/>
          <w:lang w:val="fr-CA"/>
        </w:rPr>
        <w:t xml:space="preserve"> d</w:t>
      </w:r>
      <w:r>
        <w:rPr>
          <w:rFonts w:cs="Times New Roman"/>
          <w:lang w:val="fr-CA"/>
        </w:rPr>
        <w:t>’</w:t>
      </w:r>
      <w:r w:rsidRPr="006B5BF6">
        <w:rPr>
          <w:rFonts w:cs="Times New Roman"/>
          <w:lang w:val="fr-CA"/>
        </w:rPr>
        <w:t>écarter des décisions antérieures qui [</w:t>
      </w:r>
      <w:r w:rsidRPr="006B5BF6">
        <w:rPr>
          <w:rFonts w:cs="Times New Roman"/>
          <w:smallCaps/>
          <w:lang w:val="fr-CA"/>
        </w:rPr>
        <w:t>traduction</w:t>
      </w:r>
      <w:r w:rsidRPr="006B5BF6">
        <w:rPr>
          <w:rFonts w:cs="Times New Roman"/>
          <w:lang w:val="fr-CA"/>
        </w:rPr>
        <w:t>] « représentent simplement une solution antérieurement retenue à laquelle la formation actuelle ne souscrit pas » (</w:t>
      </w:r>
      <w:r w:rsidRPr="006B5BF6">
        <w:rPr>
          <w:rFonts w:cs="Times New Roman"/>
          <w:i/>
          <w:lang w:val="fr-CA"/>
        </w:rPr>
        <w:t>Couch</w:t>
      </w:r>
      <w:r w:rsidRPr="006B5BF6">
        <w:rPr>
          <w:rFonts w:cs="Times New Roman"/>
          <w:lang w:val="fr-CA"/>
        </w:rPr>
        <w:t xml:space="preserve">, par. 105; voir aussi </w:t>
      </w:r>
      <w:r w:rsidRPr="006B5BF6">
        <w:rPr>
          <w:rFonts w:cs="Times New Roman"/>
          <w:i/>
          <w:lang w:val="fr-CA"/>
        </w:rPr>
        <w:t>Knauer</w:t>
      </w:r>
      <w:r w:rsidRPr="006B5BF6">
        <w:rPr>
          <w:rFonts w:cs="Times New Roman"/>
          <w:lang w:val="fr-CA"/>
        </w:rPr>
        <w:t xml:space="preserve">, par. 22; </w:t>
      </w:r>
      <w:r w:rsidRPr="006B5BF6">
        <w:rPr>
          <w:rFonts w:cs="Times New Roman"/>
          <w:i/>
          <w:lang w:val="fr-CA"/>
        </w:rPr>
        <w:t>Casey</w:t>
      </w:r>
      <w:r w:rsidRPr="006B5BF6">
        <w:rPr>
          <w:rFonts w:cs="Times New Roman"/>
          <w:lang w:val="fr-CA"/>
        </w:rPr>
        <w:t>, p. 864). [</w:t>
      </w:r>
      <w:r w:rsidRPr="006B5BF6">
        <w:rPr>
          <w:rFonts w:cs="Times New Roman"/>
          <w:smallCaps/>
          <w:lang w:val="fr-CA"/>
        </w:rPr>
        <w:t>traduction</w:t>
      </w:r>
      <w:r w:rsidRPr="006B5BF6">
        <w:rPr>
          <w:rFonts w:cs="Times New Roman"/>
          <w:lang w:val="fr-CA"/>
        </w:rPr>
        <w:t xml:space="preserve">] « [L]e principe du </w:t>
      </w:r>
      <w:r w:rsidRPr="006B5BF6">
        <w:rPr>
          <w:rFonts w:cs="Times New Roman"/>
          <w:i/>
          <w:lang w:val="fr-CA"/>
        </w:rPr>
        <w:t>stare decisis</w:t>
      </w:r>
      <w:r w:rsidRPr="006B5BF6">
        <w:rPr>
          <w:rFonts w:cs="Times New Roman"/>
          <w:lang w:val="fr-CA"/>
        </w:rPr>
        <w:t xml:space="preserve"> tient à l</w:t>
      </w:r>
      <w:r>
        <w:rPr>
          <w:rFonts w:cs="Times New Roman"/>
          <w:lang w:val="fr-CA"/>
        </w:rPr>
        <w:t>’</w:t>
      </w:r>
      <w:r w:rsidRPr="006B5BF6">
        <w:rPr>
          <w:rFonts w:cs="Times New Roman"/>
          <w:lang w:val="fr-CA"/>
        </w:rPr>
        <w:t>idée que les juges ne devraient pas pouvoir infirmer une décision pour la seule et unique raison qu</w:t>
      </w:r>
      <w:r>
        <w:rPr>
          <w:rFonts w:cs="Times New Roman"/>
          <w:lang w:val="fr-CA"/>
        </w:rPr>
        <w:t>’</w:t>
      </w:r>
      <w:r w:rsidRPr="006B5BF6">
        <w:rPr>
          <w:rFonts w:cs="Times New Roman"/>
          <w:lang w:val="fr-CA"/>
        </w:rPr>
        <w:t>ils ne l</w:t>
      </w:r>
      <w:r>
        <w:rPr>
          <w:rFonts w:cs="Times New Roman"/>
          <w:lang w:val="fr-CA"/>
        </w:rPr>
        <w:t>’</w:t>
      </w:r>
      <w:r w:rsidRPr="006B5BF6">
        <w:rPr>
          <w:rFonts w:cs="Times New Roman"/>
          <w:lang w:val="fr-CA"/>
        </w:rPr>
        <w:t>ont jamais aimé au départ » (</w:t>
      </w:r>
      <w:r w:rsidRPr="006B5BF6">
        <w:rPr>
          <w:rFonts w:cs="Times New Roman"/>
          <w:i/>
          <w:lang w:val="fr-CA"/>
        </w:rPr>
        <w:t>Knick c. Township of Scott, Pennsylvania</w:t>
      </w:r>
      <w:r w:rsidRPr="006B5BF6">
        <w:rPr>
          <w:rFonts w:cs="Times New Roman"/>
          <w:lang w:val="fr-CA"/>
        </w:rPr>
        <w:t>, 139 S. Ct. 2162 (2019), p. 2190, motifs dissidents de la juge Kagan)</w:t>
      </w:r>
      <w:r w:rsidRPr="006B5BF6">
        <w:rPr>
          <w:rFonts w:cs="Times New Roman"/>
          <w:i/>
          <w:lang w:val="fr-CA"/>
        </w:rPr>
        <w:t xml:space="preserve">. </w:t>
      </w:r>
      <w:r w:rsidRPr="006B5BF6">
        <w:rPr>
          <w:rFonts w:cs="Times New Roman"/>
          <w:lang w:val="fr-CA"/>
        </w:rPr>
        <w:t>Ainsi que la Cour suprême des États</w:t>
      </w:r>
      <w:r w:rsidRPr="006B5BF6">
        <w:rPr>
          <w:rFonts w:cs="Times New Roman"/>
          <w:lang w:val="fr-CA"/>
        </w:rPr>
        <w:noBreakHyphen/>
        <w:t>Unis l</w:t>
      </w:r>
      <w:r>
        <w:rPr>
          <w:rFonts w:cs="Times New Roman"/>
          <w:lang w:val="fr-CA"/>
        </w:rPr>
        <w:t>’</w:t>
      </w:r>
      <w:r w:rsidRPr="006B5BF6">
        <w:rPr>
          <w:rFonts w:cs="Times New Roman"/>
          <w:lang w:val="fr-CA"/>
        </w:rPr>
        <w:t>a souligné dans l</w:t>
      </w:r>
      <w:r>
        <w:rPr>
          <w:rFonts w:cs="Times New Roman"/>
          <w:lang w:val="fr-CA"/>
        </w:rPr>
        <w:t>’</w:t>
      </w:r>
      <w:r w:rsidRPr="006B5BF6">
        <w:rPr>
          <w:rFonts w:cs="Times New Roman"/>
          <w:lang w:val="fr-CA"/>
        </w:rPr>
        <w:t xml:space="preserve">arrêt </w:t>
      </w:r>
      <w:r w:rsidRPr="006B5BF6">
        <w:rPr>
          <w:rFonts w:cs="Times New Roman"/>
          <w:i/>
          <w:lang w:val="fr-CA"/>
        </w:rPr>
        <w:t>Kimble </w:t>
      </w:r>
      <w:r w:rsidRPr="006B5BF6">
        <w:rPr>
          <w:rFonts w:cs="Times New Roman"/>
          <w:lang w:val="fr-CA"/>
        </w:rPr>
        <w:t>:</w:t>
      </w:r>
    </w:p>
    <w:p w14:paraId="56CFD0DB" w14:textId="6190AC01" w:rsidR="00AE2373" w:rsidRPr="006B5BF6" w:rsidRDefault="00AE2373" w:rsidP="00A22AF1">
      <w:pPr>
        <w:pStyle w:val="Citation-AltC"/>
        <w:ind w:hanging="446"/>
        <w:contextualSpacing w:val="0"/>
        <w:rPr>
          <w:lang w:val="fr-CA"/>
        </w:rPr>
      </w:pPr>
      <w:r w:rsidRPr="006B5BF6">
        <w:rPr>
          <w:lang w:val="fr-CA"/>
        </w:rPr>
        <w:tab/>
        <w:t>[</w:t>
      </w:r>
      <w:r w:rsidRPr="006B5BF6">
        <w:rPr>
          <w:smallCaps/>
          <w:lang w:val="fr-CA"/>
        </w:rPr>
        <w:t>traduction</w:t>
      </w:r>
      <w:r w:rsidR="00D55E12">
        <w:rPr>
          <w:lang w:val="fr-CA"/>
        </w:rPr>
        <w:t>] . . .</w:t>
      </w:r>
      <w:r w:rsidRPr="006B5BF6">
        <w:rPr>
          <w:lang w:val="fr-CA"/>
        </w:rPr>
        <w:t xml:space="preserve"> l</w:t>
      </w:r>
      <w:r>
        <w:rPr>
          <w:lang w:val="fr-CA"/>
        </w:rPr>
        <w:t>’</w:t>
      </w:r>
      <w:r w:rsidRPr="006B5BF6">
        <w:rPr>
          <w:lang w:val="fr-CA"/>
        </w:rPr>
        <w:t>argument selon lequel quelque chose nous a échappé — si valable soit</w:t>
      </w:r>
      <w:r w:rsidRPr="006B5BF6">
        <w:rPr>
          <w:lang w:val="fr-CA"/>
        </w:rPr>
        <w:noBreakHyphen/>
        <w:t>il — ne saurait à lui seul justifier l</w:t>
      </w:r>
      <w:r>
        <w:rPr>
          <w:lang w:val="fr-CA"/>
        </w:rPr>
        <w:t>’</w:t>
      </w:r>
      <w:r w:rsidRPr="006B5BF6">
        <w:rPr>
          <w:lang w:val="fr-CA"/>
        </w:rPr>
        <w:t>abandon d</w:t>
      </w:r>
      <w:r>
        <w:rPr>
          <w:lang w:val="fr-CA"/>
        </w:rPr>
        <w:t>’</w:t>
      </w:r>
      <w:r w:rsidRPr="006B5BF6">
        <w:rPr>
          <w:lang w:val="fr-CA"/>
        </w:rPr>
        <w:t>un précédent établi. En d</w:t>
      </w:r>
      <w:r>
        <w:rPr>
          <w:lang w:val="fr-CA"/>
        </w:rPr>
        <w:t>’</w:t>
      </w:r>
      <w:r w:rsidRPr="006B5BF6">
        <w:rPr>
          <w:lang w:val="fr-CA"/>
        </w:rPr>
        <w:t xml:space="preserve">autres mots, il ne suffit pas de dire que nous en arriverions à une décision différente de celle que nous avions prise à </w:t>
      </w:r>
      <w:r w:rsidRPr="006B5BF6">
        <w:rPr>
          <w:lang w:val="fr-CA"/>
        </w:rPr>
        <w:lastRenderedPageBreak/>
        <w:t>l</w:t>
      </w:r>
      <w:r>
        <w:rPr>
          <w:lang w:val="fr-CA"/>
        </w:rPr>
        <w:t>’</w:t>
      </w:r>
      <w:r w:rsidRPr="006B5BF6">
        <w:rPr>
          <w:lang w:val="fr-CA"/>
        </w:rPr>
        <w:t>époque. Pour faire marche arrière, nous devons également pouvoir invoquer ce que nous avons appelé une « justification spéciale » — qui est plus que la simple conviction que « la décision précédente était erronée ». [</w:t>
      </w:r>
      <w:r w:rsidR="00D55E12">
        <w:rPr>
          <w:lang w:val="fr-CA"/>
        </w:rPr>
        <w:t>Référence</w:t>
      </w:r>
      <w:r w:rsidR="006D2BF0">
        <w:rPr>
          <w:lang w:val="fr-CA"/>
        </w:rPr>
        <w:t>s</w:t>
      </w:r>
      <w:r w:rsidR="00D55E12">
        <w:rPr>
          <w:lang w:val="fr-CA"/>
        </w:rPr>
        <w:t xml:space="preserve"> omise</w:t>
      </w:r>
      <w:r w:rsidR="006D2BF0">
        <w:rPr>
          <w:lang w:val="fr-CA"/>
        </w:rPr>
        <w:t>s</w:t>
      </w:r>
      <w:r w:rsidR="00D55E12">
        <w:rPr>
          <w:lang w:val="fr-CA"/>
        </w:rPr>
        <w:t>;</w:t>
      </w:r>
      <w:r>
        <w:rPr>
          <w:lang w:val="fr-CA"/>
        </w:rPr>
        <w:t xml:space="preserve"> p. </w:t>
      </w:r>
      <w:r w:rsidRPr="006B5BF6">
        <w:rPr>
          <w:lang w:val="fr-CA"/>
        </w:rPr>
        <w:t>2409.]</w:t>
      </w:r>
    </w:p>
    <w:p w14:paraId="7D8C58C4"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Cependant, c</w:t>
      </w:r>
      <w:r>
        <w:rPr>
          <w:rFonts w:cs="Times New Roman"/>
          <w:lang w:val="fr-CA"/>
        </w:rPr>
        <w:t>’</w:t>
      </w:r>
      <w:r w:rsidRPr="006B5BF6">
        <w:rPr>
          <w:rFonts w:cs="Times New Roman"/>
          <w:lang w:val="fr-CA"/>
        </w:rPr>
        <w:t>est le rejet en bloc sans précédent de tout un arsenal jurisprudentiel qui est particulièrement troublant. Les arrêts touchés sont trop nombreux pour qu</w:t>
      </w:r>
      <w:r>
        <w:rPr>
          <w:rFonts w:cs="Times New Roman"/>
          <w:lang w:val="fr-CA"/>
        </w:rPr>
        <w:t>’</w:t>
      </w:r>
      <w:r w:rsidRPr="006B5BF6">
        <w:rPr>
          <w:rFonts w:cs="Times New Roman"/>
          <w:lang w:val="fr-CA"/>
        </w:rPr>
        <w:t>on en dresse la liste ici. Au nombre de ceux</w:t>
      </w:r>
      <w:r w:rsidRPr="006B5BF6">
        <w:rPr>
          <w:rFonts w:cs="Times New Roman"/>
          <w:lang w:val="fr-CA"/>
        </w:rPr>
        <w:noBreakHyphen/>
        <w:t>ci figurent de nombreuses décisions rendues aux termes d</w:t>
      </w:r>
      <w:r>
        <w:rPr>
          <w:rFonts w:cs="Times New Roman"/>
          <w:lang w:val="fr-CA"/>
        </w:rPr>
        <w:t>’</w:t>
      </w:r>
      <w:r w:rsidRPr="006B5BF6">
        <w:rPr>
          <w:rFonts w:cs="Times New Roman"/>
          <w:lang w:val="fr-CA"/>
        </w:rPr>
        <w:t>un contrôle fondé sur la déférence en dépit de l</w:t>
      </w:r>
      <w:r>
        <w:rPr>
          <w:rFonts w:cs="Times New Roman"/>
          <w:lang w:val="fr-CA"/>
        </w:rPr>
        <w:t>’</w:t>
      </w:r>
      <w:r w:rsidRPr="006B5BF6">
        <w:rPr>
          <w:rFonts w:cs="Times New Roman"/>
          <w:lang w:val="fr-CA"/>
        </w:rPr>
        <w:t>existence d</w:t>
      </w:r>
      <w:r>
        <w:rPr>
          <w:rFonts w:cs="Times New Roman"/>
          <w:lang w:val="fr-CA"/>
        </w:rPr>
        <w:t>’</w:t>
      </w:r>
      <w:r w:rsidRPr="006B5BF6">
        <w:rPr>
          <w:rFonts w:cs="Times New Roman"/>
          <w:lang w:val="fr-CA"/>
        </w:rPr>
        <w:t>un droit d</w:t>
      </w:r>
      <w:r>
        <w:rPr>
          <w:rFonts w:cs="Times New Roman"/>
          <w:lang w:val="fr-CA"/>
        </w:rPr>
        <w:t>’</w:t>
      </w:r>
      <w:r w:rsidRPr="006B5BF6">
        <w:rPr>
          <w:rFonts w:cs="Times New Roman"/>
          <w:lang w:val="fr-CA"/>
        </w:rPr>
        <w:t>appel conféré par la loi (</w:t>
      </w:r>
      <w:r w:rsidRPr="006B5BF6">
        <w:rPr>
          <w:rFonts w:cs="Times New Roman"/>
          <w:i/>
          <w:lang w:val="fr-CA"/>
        </w:rPr>
        <w:t>Pezim</w:t>
      </w:r>
      <w:r w:rsidRPr="006B5BF6">
        <w:rPr>
          <w:rFonts w:cs="Times New Roman"/>
          <w:lang w:val="fr-CA"/>
        </w:rPr>
        <w:t>;</w:t>
      </w:r>
      <w:r w:rsidRPr="006B5BF6">
        <w:rPr>
          <w:rFonts w:cs="Times New Roman"/>
          <w:i/>
          <w:lang w:val="fr-CA"/>
        </w:rPr>
        <w:t xml:space="preserve"> Southam</w:t>
      </w:r>
      <w:r w:rsidRPr="006B5BF6">
        <w:rPr>
          <w:rFonts w:cs="Times New Roman"/>
          <w:lang w:val="fr-CA"/>
        </w:rPr>
        <w:t>;</w:t>
      </w:r>
      <w:r w:rsidRPr="006B5BF6">
        <w:rPr>
          <w:rFonts w:cs="Times New Roman"/>
          <w:i/>
          <w:lang w:val="fr-CA"/>
        </w:rPr>
        <w:t xml:space="preserve"> Comité pour le traitement égal des actionnaires minoritaires de la Société Asbestos Ltée c. Ontario (Commission des valeurs mobilières)</w:t>
      </w:r>
      <w:r w:rsidRPr="006B5BF6">
        <w:rPr>
          <w:rFonts w:cs="Times New Roman"/>
          <w:lang w:val="fr-CA"/>
        </w:rPr>
        <w:t xml:space="preserve">, [2001] 2 R.C.S. 132; </w:t>
      </w:r>
      <w:r w:rsidRPr="006B5BF6">
        <w:rPr>
          <w:rFonts w:cs="Times New Roman"/>
          <w:i/>
          <w:lang w:val="fr-CA"/>
        </w:rPr>
        <w:t>Dr. Q</w:t>
      </w:r>
      <w:r w:rsidRPr="006B5BF6">
        <w:rPr>
          <w:rFonts w:cs="Times New Roman"/>
          <w:lang w:val="fr-CA"/>
        </w:rPr>
        <w:t>;</w:t>
      </w:r>
      <w:r w:rsidRPr="006B5BF6">
        <w:rPr>
          <w:rFonts w:cs="Times New Roman"/>
          <w:i/>
          <w:lang w:val="fr-CA"/>
        </w:rPr>
        <w:t xml:space="preserve"> Ryan</w:t>
      </w:r>
      <w:r w:rsidRPr="006B5BF6">
        <w:rPr>
          <w:rFonts w:cs="Times New Roman"/>
          <w:lang w:val="fr-CA"/>
        </w:rPr>
        <w:t>;</w:t>
      </w:r>
      <w:r w:rsidRPr="006B5BF6">
        <w:rPr>
          <w:rFonts w:cs="Times New Roman"/>
          <w:i/>
          <w:lang w:val="fr-CA"/>
        </w:rPr>
        <w:t xml:space="preserve"> Cartaway</w:t>
      </w:r>
      <w:r w:rsidRPr="006B5BF6">
        <w:rPr>
          <w:rFonts w:cs="Times New Roman"/>
          <w:lang w:val="fr-CA"/>
        </w:rPr>
        <w:t>;</w:t>
      </w:r>
      <w:r w:rsidRPr="006B5BF6">
        <w:rPr>
          <w:rFonts w:cs="Times New Roman"/>
          <w:i/>
          <w:lang w:val="fr-CA"/>
        </w:rPr>
        <w:t xml:space="preserve"> VIA Rail</w:t>
      </w:r>
      <w:r w:rsidRPr="006B5BF6">
        <w:rPr>
          <w:rFonts w:cs="Times New Roman"/>
          <w:lang w:val="fr-CA"/>
        </w:rPr>
        <w:t>;</w:t>
      </w:r>
      <w:r w:rsidRPr="006B5BF6">
        <w:rPr>
          <w:rFonts w:cs="Times New Roman"/>
          <w:i/>
          <w:lang w:val="fr-CA"/>
        </w:rPr>
        <w:t xml:space="preserve"> Association des courtiers et agents immobiliers du Québec c. Proprio Direct inc., </w:t>
      </w:r>
      <w:r w:rsidRPr="006B5BF6">
        <w:rPr>
          <w:rFonts w:cs="Times New Roman"/>
          <w:lang w:val="fr-CA"/>
        </w:rPr>
        <w:t xml:space="preserve">[2008] 2 R.C.S. 195; </w:t>
      </w:r>
      <w:r w:rsidRPr="006B5BF6">
        <w:rPr>
          <w:rFonts w:cs="Times New Roman"/>
          <w:i/>
          <w:lang w:val="fr-CA"/>
        </w:rPr>
        <w:t>Nolan c. Kerry (Canada) Inc.</w:t>
      </w:r>
      <w:r w:rsidRPr="006B5BF6">
        <w:rPr>
          <w:rFonts w:cs="Times New Roman"/>
          <w:lang w:val="fr-CA"/>
        </w:rPr>
        <w:t>, [2009] 2 R.C.S. 678;</w:t>
      </w:r>
      <w:r w:rsidRPr="006B5BF6">
        <w:rPr>
          <w:rFonts w:cs="Times New Roman"/>
          <w:i/>
          <w:lang w:val="fr-CA"/>
        </w:rPr>
        <w:t xml:space="preserve"> McLean</w:t>
      </w:r>
      <w:r w:rsidRPr="006B5BF6">
        <w:rPr>
          <w:rFonts w:cs="Times New Roman"/>
          <w:lang w:val="fr-CA"/>
        </w:rPr>
        <w:t>;</w:t>
      </w:r>
      <w:r w:rsidRPr="006B5BF6">
        <w:rPr>
          <w:rFonts w:cs="Times New Roman"/>
          <w:i/>
          <w:lang w:val="fr-CA"/>
        </w:rPr>
        <w:t xml:space="preserve"> Bell Canada (2009)</w:t>
      </w:r>
      <w:r w:rsidRPr="006B5BF6">
        <w:rPr>
          <w:rFonts w:cs="Times New Roman"/>
          <w:lang w:val="fr-CA"/>
        </w:rPr>
        <w:t>;</w:t>
      </w:r>
      <w:r w:rsidRPr="006B5BF6">
        <w:rPr>
          <w:rFonts w:cs="Times New Roman"/>
          <w:i/>
          <w:lang w:val="fr-CA"/>
        </w:rPr>
        <w:t xml:space="preserve"> ATCO Gas</w:t>
      </w:r>
      <w:r w:rsidRPr="006B5BF6">
        <w:rPr>
          <w:rFonts w:cs="Times New Roman"/>
          <w:lang w:val="fr-CA"/>
        </w:rPr>
        <w:t xml:space="preserve">; </w:t>
      </w:r>
      <w:r w:rsidRPr="006B5BF6">
        <w:rPr>
          <w:rFonts w:cs="Times New Roman"/>
          <w:i/>
          <w:lang w:val="fr-CA"/>
        </w:rPr>
        <w:t>Mouvement laïque</w:t>
      </w:r>
      <w:r w:rsidRPr="006B5BF6">
        <w:rPr>
          <w:rFonts w:cs="Times New Roman"/>
          <w:lang w:val="fr-CA"/>
        </w:rPr>
        <w:t xml:space="preserve">; </w:t>
      </w:r>
      <w:r w:rsidRPr="006B5BF6">
        <w:rPr>
          <w:rFonts w:cs="Times New Roman"/>
          <w:i/>
          <w:lang w:val="fr-CA"/>
        </w:rPr>
        <w:t>Igloo Vikski</w:t>
      </w:r>
      <w:r w:rsidRPr="006B5BF6">
        <w:rPr>
          <w:rFonts w:cs="Times New Roman"/>
          <w:lang w:val="fr-CA"/>
        </w:rPr>
        <w:t xml:space="preserve">; </w:t>
      </w:r>
      <w:r w:rsidRPr="006B5BF6">
        <w:rPr>
          <w:rFonts w:cs="Times New Roman"/>
          <w:i/>
          <w:lang w:val="fr-CA"/>
        </w:rPr>
        <w:t>Edmonton East</w:t>
      </w:r>
      <w:r w:rsidRPr="006B5BF6">
        <w:rPr>
          <w:rFonts w:cs="Times New Roman"/>
          <w:lang w:val="fr-CA"/>
        </w:rPr>
        <w:t>), ainsi que des arrêts fondamentaux confirmant la pertinence de l</w:t>
      </w:r>
      <w:r>
        <w:rPr>
          <w:rFonts w:cs="Times New Roman"/>
          <w:lang w:val="fr-CA"/>
        </w:rPr>
        <w:t>’</w:t>
      </w:r>
      <w:r w:rsidRPr="006B5BF6">
        <w:rPr>
          <w:rFonts w:cs="Times New Roman"/>
          <w:lang w:val="fr-CA"/>
        </w:rPr>
        <w:t>expertise administrative tant pour l</w:t>
      </w:r>
      <w:r>
        <w:rPr>
          <w:rFonts w:cs="Times New Roman"/>
          <w:lang w:val="fr-CA"/>
        </w:rPr>
        <w:t>’</w:t>
      </w:r>
      <w:r w:rsidRPr="006B5BF6">
        <w:rPr>
          <w:rFonts w:cs="Times New Roman"/>
          <w:lang w:val="fr-CA"/>
        </w:rPr>
        <w:t>analyse de la norme de contrôle que pour la déférence envers l</w:t>
      </w:r>
      <w:r>
        <w:rPr>
          <w:rFonts w:cs="Times New Roman"/>
          <w:lang w:val="fr-CA"/>
        </w:rPr>
        <w:t>’</w:t>
      </w:r>
      <w:r w:rsidRPr="006B5BF6">
        <w:rPr>
          <w:rFonts w:cs="Times New Roman"/>
          <w:lang w:val="fr-CA"/>
        </w:rPr>
        <w:t xml:space="preserve">interprétation donnée par les tribunaux administratifs à leur « loi constitutive » (voir </w:t>
      </w:r>
      <w:r w:rsidRPr="006B5BF6">
        <w:rPr>
          <w:rFonts w:cs="Times New Roman"/>
          <w:i/>
          <w:lang w:val="fr-CA"/>
        </w:rPr>
        <w:t>S.C.F.P.</w:t>
      </w:r>
      <w:r w:rsidRPr="006B5BF6">
        <w:rPr>
          <w:rFonts w:cs="Times New Roman"/>
          <w:lang w:val="fr-CA"/>
        </w:rPr>
        <w:t xml:space="preserve">; </w:t>
      </w:r>
      <w:r w:rsidRPr="006B5BF6">
        <w:rPr>
          <w:rFonts w:cs="Times New Roman"/>
          <w:i/>
          <w:lang w:val="fr-CA"/>
        </w:rPr>
        <w:t>National Corn Growers</w:t>
      </w:r>
      <w:r w:rsidRPr="006B5BF6">
        <w:rPr>
          <w:rFonts w:cs="Times New Roman"/>
          <w:lang w:val="fr-CA"/>
        </w:rPr>
        <w:t xml:space="preserve">; </w:t>
      </w:r>
      <w:r w:rsidRPr="006B5BF6">
        <w:rPr>
          <w:rFonts w:cs="Times New Roman"/>
          <w:i/>
          <w:lang w:val="fr-CA"/>
        </w:rPr>
        <w:t>Domtar Inc.</w:t>
      </w:r>
      <w:r w:rsidRPr="006B5BF6">
        <w:rPr>
          <w:rFonts w:cs="Times New Roman"/>
          <w:lang w:val="fr-CA"/>
        </w:rPr>
        <w:t xml:space="preserve">; </w:t>
      </w:r>
      <w:r w:rsidRPr="006B5BF6">
        <w:rPr>
          <w:rFonts w:cs="Times New Roman"/>
          <w:i/>
          <w:lang w:val="fr-CA"/>
        </w:rPr>
        <w:t>Bradco Construction</w:t>
      </w:r>
      <w:r w:rsidRPr="006B5BF6">
        <w:rPr>
          <w:rFonts w:cs="Times New Roman"/>
          <w:lang w:val="fr-CA"/>
        </w:rPr>
        <w:t>;</w:t>
      </w:r>
      <w:r w:rsidRPr="006B5BF6">
        <w:rPr>
          <w:rFonts w:cs="Times New Roman"/>
          <w:i/>
          <w:lang w:val="fr-CA"/>
        </w:rPr>
        <w:t xml:space="preserve"> Southam</w:t>
      </w:r>
      <w:r w:rsidRPr="006B5BF6">
        <w:rPr>
          <w:rFonts w:cs="Times New Roman"/>
          <w:lang w:val="fr-CA"/>
        </w:rPr>
        <w:t xml:space="preserve">; </w:t>
      </w:r>
      <w:r w:rsidRPr="006B5BF6">
        <w:rPr>
          <w:rFonts w:cs="Times New Roman"/>
          <w:i/>
          <w:lang w:val="fr-CA"/>
        </w:rPr>
        <w:t>Pushpanathan</w:t>
      </w:r>
      <w:r w:rsidRPr="006B5BF6">
        <w:rPr>
          <w:rFonts w:cs="Times New Roman"/>
          <w:lang w:val="fr-CA"/>
        </w:rPr>
        <w:t xml:space="preserve">; </w:t>
      </w:r>
      <w:r w:rsidRPr="006B5BF6">
        <w:rPr>
          <w:rFonts w:cs="Times New Roman"/>
          <w:i/>
          <w:lang w:val="fr-CA"/>
        </w:rPr>
        <w:t>Alberta Teachers</w:t>
      </w:r>
      <w:r>
        <w:rPr>
          <w:rFonts w:cs="Times New Roman"/>
          <w:i/>
          <w:lang w:val="fr-CA"/>
        </w:rPr>
        <w:t>’</w:t>
      </w:r>
      <w:r w:rsidRPr="006B5BF6">
        <w:rPr>
          <w:rFonts w:cs="Times New Roman"/>
          <w:i/>
          <w:lang w:val="fr-CA"/>
        </w:rPr>
        <w:t xml:space="preserve"> Association</w:t>
      </w:r>
      <w:r w:rsidRPr="006B5BF6">
        <w:rPr>
          <w:rFonts w:cs="Times New Roman"/>
          <w:lang w:val="fr-CA"/>
        </w:rPr>
        <w:t xml:space="preserve">; </w:t>
      </w:r>
      <w:r w:rsidRPr="006B5BF6">
        <w:rPr>
          <w:rFonts w:cs="Times New Roman"/>
          <w:i/>
          <w:lang w:val="fr-CA" w:bidi="en-US"/>
        </w:rPr>
        <w:t>Commission canadienne des droits de la personne</w:t>
      </w:r>
      <w:r w:rsidRPr="006B5BF6">
        <w:rPr>
          <w:rFonts w:cs="Times New Roman"/>
          <w:lang w:val="fr-CA" w:bidi="en-US"/>
        </w:rPr>
        <w:t>, parmi tant d</w:t>
      </w:r>
      <w:r>
        <w:rPr>
          <w:rFonts w:cs="Times New Roman"/>
          <w:lang w:val="fr-CA" w:bidi="en-US"/>
        </w:rPr>
        <w:t>’</w:t>
      </w:r>
      <w:r w:rsidRPr="006B5BF6">
        <w:rPr>
          <w:rFonts w:cs="Times New Roman"/>
          <w:lang w:val="fr-CA" w:bidi="en-US"/>
        </w:rPr>
        <w:t>autres)</w:t>
      </w:r>
      <w:r w:rsidRPr="006B5BF6">
        <w:rPr>
          <w:rFonts w:cs="Times New Roman"/>
          <w:lang w:val="fr-CA"/>
        </w:rPr>
        <w:t>.</w:t>
      </w:r>
    </w:p>
    <w:p w14:paraId="0C365709"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La plupart de ces décisions ont été rendues par des formations unanimes ou par de fortes majorités. Cependant, la majorité ne reconnaît nulle part en l</w:t>
      </w:r>
      <w:r>
        <w:rPr>
          <w:rFonts w:cs="Times New Roman"/>
          <w:lang w:val="fr-CA"/>
        </w:rPr>
        <w:t>’</w:t>
      </w:r>
      <w:r w:rsidRPr="006B5BF6">
        <w:rPr>
          <w:rFonts w:cs="Times New Roman"/>
          <w:lang w:val="fr-CA"/>
        </w:rPr>
        <w:t>espèce la grande réticence de notre Cour à renverser des précédents qui « exprime[nt] l</w:t>
      </w:r>
      <w:r>
        <w:rPr>
          <w:rFonts w:cs="Times New Roman"/>
          <w:lang w:val="fr-CA"/>
        </w:rPr>
        <w:t>’</w:t>
      </w:r>
      <w:r w:rsidRPr="006B5BF6">
        <w:rPr>
          <w:rFonts w:cs="Times New Roman"/>
          <w:lang w:val="fr-CA"/>
        </w:rPr>
        <w:t>avis réfléchi de majorités claires » (</w:t>
      </w:r>
      <w:r w:rsidRPr="006B5BF6">
        <w:rPr>
          <w:rFonts w:cs="Times New Roman"/>
          <w:i/>
          <w:lang w:val="fr-CA"/>
        </w:rPr>
        <w:t>Craig</w:t>
      </w:r>
      <w:r w:rsidRPr="006B5BF6">
        <w:rPr>
          <w:rFonts w:cs="Times New Roman"/>
          <w:lang w:val="fr-CA"/>
        </w:rPr>
        <w:t xml:space="preserve">, par. 24; </w:t>
      </w:r>
      <w:r w:rsidRPr="006B5BF6">
        <w:rPr>
          <w:rFonts w:cs="Times New Roman"/>
          <w:i/>
          <w:lang w:val="fr-CA"/>
        </w:rPr>
        <w:t>Ontario (Procureur général) c. Fraser</w:t>
      </w:r>
      <w:r w:rsidRPr="006B5BF6">
        <w:rPr>
          <w:rFonts w:cs="Times New Roman"/>
          <w:lang w:val="fr-CA"/>
        </w:rPr>
        <w:t xml:space="preserve">, [2011] 2 R.C.S. 3, par. 57; voir également </w:t>
      </w:r>
      <w:r w:rsidRPr="006B5BF6">
        <w:rPr>
          <w:rFonts w:cs="Times New Roman"/>
          <w:i/>
          <w:iCs/>
          <w:lang w:val="fr-CA"/>
        </w:rPr>
        <w:t>Nishi c. Rascal Trucking Ltd.</w:t>
      </w:r>
      <w:r w:rsidRPr="006B5BF6">
        <w:rPr>
          <w:rFonts w:cs="Times New Roman"/>
          <w:lang w:val="fr-CA"/>
        </w:rPr>
        <w:t xml:space="preserve">, [2013] </w:t>
      </w:r>
      <w:r w:rsidRPr="006B5BF6">
        <w:rPr>
          <w:rFonts w:cs="Times New Roman"/>
          <w:lang w:val="fr-CA"/>
        </w:rPr>
        <w:lastRenderedPageBreak/>
        <w:t>2 R.C.S. 438, par. 23 et 24), ou des décisions à « caractère récent » (</w:t>
      </w:r>
      <w:r w:rsidRPr="006B5BF6">
        <w:rPr>
          <w:rFonts w:cs="Times New Roman"/>
          <w:i/>
          <w:lang w:val="fr-CA"/>
        </w:rPr>
        <w:t>Fraser</w:t>
      </w:r>
      <w:r w:rsidRPr="006B5BF6">
        <w:rPr>
          <w:rFonts w:cs="Times New Roman"/>
          <w:lang w:val="fr-CA"/>
        </w:rPr>
        <w:t xml:space="preserve">, par. 57; voir également </w:t>
      </w:r>
      <w:r w:rsidRPr="006B5BF6">
        <w:rPr>
          <w:rFonts w:cs="Times New Roman"/>
          <w:i/>
          <w:lang w:val="fr-CA"/>
        </w:rPr>
        <w:t>Nishi</w:t>
      </w:r>
      <w:r w:rsidRPr="006B5BF6">
        <w:rPr>
          <w:rFonts w:cs="Times New Roman"/>
          <w:lang w:val="fr-CA"/>
        </w:rPr>
        <w:t>, par. 23). En revanche, les décisions sur lesquelles s</w:t>
      </w:r>
      <w:r>
        <w:rPr>
          <w:rFonts w:cs="Times New Roman"/>
          <w:lang w:val="fr-CA"/>
        </w:rPr>
        <w:t>’</w:t>
      </w:r>
      <w:r w:rsidRPr="006B5BF6">
        <w:rPr>
          <w:rFonts w:cs="Times New Roman"/>
          <w:lang w:val="fr-CA"/>
        </w:rPr>
        <w:t>appuie la majorité concernaient des situations dans lesquelles un seul précédent avait été écarté et, le plus souvent, une décision plus ancienne; l</w:t>
      </w:r>
      <w:r>
        <w:rPr>
          <w:rFonts w:cs="Times New Roman"/>
          <w:lang w:val="fr-CA"/>
        </w:rPr>
        <w:t>’</w:t>
      </w:r>
      <w:r w:rsidRPr="006B5BF6">
        <w:rPr>
          <w:rFonts w:cs="Times New Roman"/>
          <w:lang w:val="fr-CA"/>
        </w:rPr>
        <w:t xml:space="preserve">arrêt </w:t>
      </w:r>
      <w:r w:rsidRPr="006B5BF6">
        <w:rPr>
          <w:rFonts w:cs="Times New Roman"/>
          <w:i/>
          <w:szCs w:val="24"/>
          <w:lang w:val="fr-CA"/>
        </w:rPr>
        <w:t xml:space="preserve">Craig </w:t>
      </w:r>
      <w:r w:rsidRPr="006B5BF6">
        <w:rPr>
          <w:rFonts w:cs="Times New Roman"/>
          <w:szCs w:val="24"/>
          <w:lang w:val="fr-CA"/>
        </w:rPr>
        <w:t>infirme une décision remontant à 34 ans; l</w:t>
      </w:r>
      <w:r>
        <w:rPr>
          <w:rFonts w:cs="Times New Roman"/>
          <w:szCs w:val="24"/>
          <w:lang w:val="fr-CA"/>
        </w:rPr>
        <w:t>’</w:t>
      </w:r>
      <w:r w:rsidRPr="006B5BF6">
        <w:rPr>
          <w:rFonts w:cs="Times New Roman"/>
          <w:szCs w:val="24"/>
          <w:lang w:val="fr-CA"/>
        </w:rPr>
        <w:t xml:space="preserve">arrêt </w:t>
      </w:r>
      <w:r w:rsidRPr="006B5BF6">
        <w:rPr>
          <w:rFonts w:cs="Times New Roman"/>
          <w:i/>
          <w:szCs w:val="24"/>
          <w:lang w:val="fr-CA"/>
        </w:rPr>
        <w:t>R. c. Henry</w:t>
      </w:r>
      <w:r w:rsidRPr="006B5BF6">
        <w:rPr>
          <w:rFonts w:cs="Times New Roman"/>
          <w:szCs w:val="24"/>
          <w:lang w:val="fr-CA"/>
        </w:rPr>
        <w:t>, [2005] 3 R.C.S. 609, infirme une décision remontant à 19 ans (et une autre, écartée en partie, remontant à 15 ans), et, dans l</w:t>
      </w:r>
      <w:r>
        <w:rPr>
          <w:rFonts w:cs="Times New Roman"/>
          <w:szCs w:val="24"/>
          <w:lang w:val="fr-CA"/>
        </w:rPr>
        <w:t>’</w:t>
      </w:r>
      <w:r w:rsidRPr="006B5BF6">
        <w:rPr>
          <w:rFonts w:cs="Times New Roman"/>
          <w:szCs w:val="24"/>
          <w:lang w:val="fr-CA"/>
        </w:rPr>
        <w:t xml:space="preserve">arrêt </w:t>
      </w:r>
      <w:r w:rsidRPr="006B5BF6">
        <w:rPr>
          <w:rFonts w:cs="Times New Roman"/>
          <w:i/>
          <w:szCs w:val="24"/>
          <w:lang w:val="fr-CA"/>
        </w:rPr>
        <w:t xml:space="preserve">Bernard, </w:t>
      </w:r>
      <w:r w:rsidRPr="006B5BF6">
        <w:rPr>
          <w:rFonts w:cs="Times New Roman"/>
          <w:iCs/>
          <w:szCs w:val="24"/>
          <w:lang w:val="fr-CA"/>
        </w:rPr>
        <w:t>les juges dissidents auraient infirmé une décision rendue une dizaine d</w:t>
      </w:r>
      <w:r>
        <w:rPr>
          <w:rFonts w:cs="Times New Roman"/>
          <w:iCs/>
          <w:szCs w:val="24"/>
          <w:lang w:val="fr-CA"/>
        </w:rPr>
        <w:t>’</w:t>
      </w:r>
      <w:r w:rsidRPr="006B5BF6">
        <w:rPr>
          <w:rFonts w:cs="Times New Roman"/>
          <w:iCs/>
          <w:szCs w:val="24"/>
          <w:lang w:val="fr-CA"/>
        </w:rPr>
        <w:t>années plus tôt.</w:t>
      </w:r>
    </w:p>
    <w:p w14:paraId="1BB5A341" w14:textId="77777777" w:rsidR="00AE2373" w:rsidRPr="006B5BF6" w:rsidRDefault="00AE2373" w:rsidP="00AE2373">
      <w:pPr>
        <w:pStyle w:val="ParaNoNdepar-AltN"/>
        <w:tabs>
          <w:tab w:val="clear" w:pos="1166"/>
          <w:tab w:val="clear" w:pos="1422"/>
          <w:tab w:val="num" w:pos="1152"/>
        </w:tabs>
        <w:rPr>
          <w:rFonts w:cs="Times New Roman"/>
          <w:lang w:val="fr-CA"/>
        </w:rPr>
      </w:pPr>
      <w:r w:rsidRPr="006B5BF6">
        <w:rPr>
          <w:rFonts w:cs="Times New Roman"/>
          <w:lang w:val="fr-CA"/>
        </w:rPr>
        <w:t>La décision de la majorité de renverser une jurisprudence risque également de bousculer les interprétations établies de nombreuses lois prévoyant un droit d</w:t>
      </w:r>
      <w:r>
        <w:rPr>
          <w:rFonts w:cs="Times New Roman"/>
          <w:lang w:val="fr-CA"/>
        </w:rPr>
        <w:t>’</w:t>
      </w:r>
      <w:r w:rsidRPr="006B5BF6">
        <w:rPr>
          <w:rFonts w:cs="Times New Roman"/>
          <w:lang w:val="fr-CA"/>
        </w:rPr>
        <w:t>appel. Suivant l</w:t>
      </w:r>
      <w:r>
        <w:rPr>
          <w:rFonts w:cs="Times New Roman"/>
          <w:lang w:val="fr-CA"/>
        </w:rPr>
        <w:t>’</w:t>
      </w:r>
      <w:r w:rsidRPr="006B5BF6">
        <w:rPr>
          <w:rFonts w:cs="Times New Roman"/>
          <w:lang w:val="fr-CA"/>
        </w:rPr>
        <w:t>approche de la majorité, chaque interprétation existante de ces lois par un organisme administratif qui a été confirmée en appliquant la norme de contrôle de la décision raisonnable sera susceptible d</w:t>
      </w:r>
      <w:r>
        <w:rPr>
          <w:rFonts w:cs="Times New Roman"/>
          <w:lang w:val="fr-CA"/>
        </w:rPr>
        <w:t>’</w:t>
      </w:r>
      <w:r w:rsidRPr="006B5BF6">
        <w:rPr>
          <w:rFonts w:cs="Times New Roman"/>
          <w:lang w:val="fr-CA"/>
        </w:rPr>
        <w:t>être remise en question. Par exemple, dans l</w:t>
      </w:r>
      <w:r>
        <w:rPr>
          <w:rFonts w:cs="Times New Roman"/>
          <w:lang w:val="fr-CA"/>
        </w:rPr>
        <w:t>’</w:t>
      </w:r>
      <w:r w:rsidRPr="006B5BF6">
        <w:rPr>
          <w:rFonts w:cs="Times New Roman"/>
          <w:lang w:val="fr-CA"/>
        </w:rPr>
        <w:t xml:space="preserve">arrêt </w:t>
      </w:r>
      <w:r w:rsidRPr="006B5BF6">
        <w:rPr>
          <w:rFonts w:cs="Times New Roman"/>
          <w:i/>
          <w:lang w:val="fr-CA"/>
        </w:rPr>
        <w:t>McLean</w:t>
      </w:r>
      <w:r w:rsidRPr="006B5BF6">
        <w:rPr>
          <w:rFonts w:cs="Times New Roman"/>
          <w:lang w:val="fr-CA"/>
        </w:rPr>
        <w:t>, notre Cour a reconnu qu</w:t>
      </w:r>
      <w:r>
        <w:rPr>
          <w:rFonts w:cs="Times New Roman"/>
          <w:lang w:val="fr-CA"/>
        </w:rPr>
        <w:t>’</w:t>
      </w:r>
      <w:r w:rsidRPr="006B5BF6">
        <w:rPr>
          <w:rFonts w:cs="Times New Roman"/>
          <w:lang w:val="fr-CA"/>
        </w:rPr>
        <w:t xml:space="preserve">un délai de prescription prévu par la </w:t>
      </w:r>
      <w:r w:rsidRPr="006B5BF6">
        <w:rPr>
          <w:rFonts w:cs="Times New Roman"/>
          <w:i/>
          <w:lang w:val="fr-CA"/>
        </w:rPr>
        <w:t>Securities Act</w:t>
      </w:r>
      <w:r w:rsidRPr="00092343">
        <w:rPr>
          <w:rStyle w:val="Hyperlink"/>
          <w:vertAlign w:val="superscript"/>
        </w:rPr>
        <w:footnoteReference w:id="6"/>
      </w:r>
      <w:r w:rsidRPr="006B5BF6">
        <w:rPr>
          <w:rFonts w:cs="Times New Roman"/>
          <w:i/>
          <w:lang w:val="fr-CA"/>
        </w:rPr>
        <w:t xml:space="preserve"> </w:t>
      </w:r>
      <w:r w:rsidRPr="006B5BF6">
        <w:rPr>
          <w:rFonts w:cs="Times New Roman"/>
          <w:iCs/>
          <w:lang w:val="fr-CA"/>
        </w:rPr>
        <w:t>de la Colombie</w:t>
      </w:r>
      <w:r w:rsidRPr="006B5BF6">
        <w:rPr>
          <w:rFonts w:cs="Times New Roman"/>
          <w:iCs/>
          <w:lang w:val="fr-CA"/>
        </w:rPr>
        <w:noBreakHyphen/>
        <w:t>Britannique</w:t>
      </w:r>
      <w:r w:rsidRPr="006B5BF6">
        <w:rPr>
          <w:rFonts w:cs="Times New Roman"/>
          <w:lang w:val="fr-CA"/>
        </w:rPr>
        <w:t xml:space="preserve"> se prêtait à deux interprétations valables, mais elle a retenu celle que la Commission privilégiait, en procédant à un contrôle empreint de déférence. Nous ne voyons aucune raison qui empêcherait une personne se trouvant dans la même situation que M</w:t>
      </w:r>
      <w:r w:rsidRPr="006B5BF6">
        <w:rPr>
          <w:rFonts w:cs="Times New Roman"/>
          <w:vertAlign w:val="superscript"/>
          <w:lang w:val="fr-CA"/>
        </w:rPr>
        <w:t>me</w:t>
      </w:r>
      <w:r w:rsidRPr="006B5BF6">
        <w:rPr>
          <w:rFonts w:cs="Times New Roman"/>
          <w:lang w:val="fr-CA"/>
        </w:rPr>
        <w:t> McLean de solliciter le réexamen de la décision de notre Cour en exerçant le droit d</w:t>
      </w:r>
      <w:r>
        <w:rPr>
          <w:rFonts w:cs="Times New Roman"/>
          <w:lang w:val="fr-CA"/>
        </w:rPr>
        <w:t>’</w:t>
      </w:r>
      <w:r w:rsidRPr="006B5BF6">
        <w:rPr>
          <w:rFonts w:cs="Times New Roman"/>
          <w:lang w:val="fr-CA"/>
        </w:rPr>
        <w:t xml:space="preserve">appel accordé par la </w:t>
      </w:r>
      <w:r w:rsidRPr="006B5BF6">
        <w:rPr>
          <w:rFonts w:cs="Times New Roman"/>
          <w:i/>
          <w:lang w:val="fr-CA"/>
        </w:rPr>
        <w:t>Securities Act</w:t>
      </w:r>
      <w:r w:rsidRPr="006B5BF6">
        <w:rPr>
          <w:rFonts w:cs="Times New Roman"/>
          <w:lang w:val="fr-CA"/>
        </w:rPr>
        <w:t xml:space="preserve"> et en demandant avec insistance à une cour de </w:t>
      </w:r>
      <w:r>
        <w:rPr>
          <w:rFonts w:cs="Times New Roman"/>
          <w:lang w:val="fr-CA"/>
        </w:rPr>
        <w:t>cours</w:t>
      </w:r>
      <w:r w:rsidRPr="006B5BF6">
        <w:rPr>
          <w:rFonts w:cs="Times New Roman"/>
          <w:lang w:val="fr-CA"/>
        </w:rPr>
        <w:t xml:space="preserve"> </w:t>
      </w:r>
      <w:r>
        <w:rPr>
          <w:rFonts w:cs="Times New Roman"/>
          <w:lang w:val="fr-CA"/>
        </w:rPr>
        <w:t xml:space="preserve">de révision </w:t>
      </w:r>
      <w:r w:rsidRPr="006B5BF6">
        <w:rPr>
          <w:rFonts w:cs="Times New Roman"/>
          <w:lang w:val="fr-CA"/>
        </w:rPr>
        <w:t>d</w:t>
      </w:r>
      <w:r>
        <w:rPr>
          <w:rFonts w:cs="Times New Roman"/>
          <w:lang w:val="fr-CA"/>
        </w:rPr>
        <w:t>’</w:t>
      </w:r>
      <w:r w:rsidRPr="006B5BF6">
        <w:rPr>
          <w:rFonts w:cs="Times New Roman"/>
          <w:lang w:val="fr-CA"/>
        </w:rPr>
        <w:t xml:space="preserve">offrir </w:t>
      </w:r>
      <w:r w:rsidRPr="006B5BF6">
        <w:rPr>
          <w:rFonts w:cs="Times New Roman"/>
          <w:i/>
          <w:iCs/>
          <w:lang w:val="fr-CA"/>
        </w:rPr>
        <w:t>sa propre</w:t>
      </w:r>
      <w:r w:rsidRPr="006B5BF6">
        <w:rPr>
          <w:rFonts w:cs="Times New Roman"/>
          <w:lang w:val="fr-CA"/>
        </w:rPr>
        <w:t xml:space="preserve"> interprétation définitive du délai de prescription pertinent, dès lors que les dispositions législatives conférant</w:t>
      </w:r>
      <w:r>
        <w:rPr>
          <w:rFonts w:cs="Times New Roman"/>
          <w:lang w:val="fr-CA"/>
        </w:rPr>
        <w:t xml:space="preserve"> </w:t>
      </w:r>
      <w:r w:rsidRPr="006B5BF6">
        <w:rPr>
          <w:rFonts w:cs="Times New Roman"/>
          <w:lang w:val="fr-CA"/>
        </w:rPr>
        <w:t>un droit d</w:t>
      </w:r>
      <w:r>
        <w:rPr>
          <w:rFonts w:cs="Times New Roman"/>
          <w:lang w:val="fr-CA"/>
        </w:rPr>
        <w:t>’</w:t>
      </w:r>
      <w:r w:rsidRPr="006B5BF6">
        <w:rPr>
          <w:rFonts w:cs="Times New Roman"/>
          <w:lang w:val="fr-CA"/>
        </w:rPr>
        <w:t xml:space="preserve">appel sont désormais interprétées de façon à permettre aux </w:t>
      </w:r>
      <w:r>
        <w:rPr>
          <w:rFonts w:cs="Times New Roman"/>
          <w:lang w:val="fr-CA"/>
        </w:rPr>
        <w:t>cours</w:t>
      </w:r>
      <w:r w:rsidRPr="006B5BF6">
        <w:rPr>
          <w:rFonts w:cs="Times New Roman"/>
          <w:lang w:val="fr-CA"/>
        </w:rPr>
        <w:t xml:space="preserve"> </w:t>
      </w:r>
      <w:r w:rsidRPr="006B5BF6">
        <w:rPr>
          <w:rFonts w:cs="Times New Roman"/>
          <w:lang w:val="fr-CA"/>
        </w:rPr>
        <w:lastRenderedPageBreak/>
        <w:t>de substituer leur décision à celle qu</w:t>
      </w:r>
      <w:r>
        <w:rPr>
          <w:rFonts w:cs="Times New Roman"/>
          <w:lang w:val="fr-CA"/>
        </w:rPr>
        <w:t>’</w:t>
      </w:r>
      <w:r w:rsidRPr="006B5BF6">
        <w:rPr>
          <w:rFonts w:cs="Times New Roman"/>
          <w:lang w:val="fr-CA"/>
        </w:rPr>
        <w:t>ils examinent plutôt que de procéder au contrôle de cette décision selon le principe de la déférence.</w:t>
      </w:r>
    </w:p>
    <w:p w14:paraId="2244A3D2" w14:textId="1BD446DA"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 xml:space="preserve">La majorité ne propose aucune solution pour contrer le chaos que cette incertitude juridique engendrerait pour celles et ceux qui se fient aux interprétations établies des lois administratives pour organiser leurs affaires, même si la nécessité de protéger ses intérêts liés à une confiance raisonnable constitue une raison particulièrement impérieuse et bien reconnue de respecter les précédents (Garner et </w:t>
      </w:r>
      <w:r w:rsidR="00D55E12">
        <w:rPr>
          <w:rFonts w:cs="Times New Roman"/>
          <w:lang w:val="fr-CA"/>
        </w:rPr>
        <w:t>autres</w:t>
      </w:r>
      <w:r w:rsidRPr="006B5BF6">
        <w:rPr>
          <w:rFonts w:cs="Times New Roman"/>
          <w:lang w:val="fr-CA"/>
        </w:rPr>
        <w:t>, p. 404</w:t>
      </w:r>
      <w:r w:rsidRPr="006B5BF6">
        <w:rPr>
          <w:rFonts w:cs="Times New Roman"/>
          <w:lang w:val="fr-CA"/>
        </w:rPr>
        <w:noBreakHyphen/>
        <w:t xml:space="preserve">411; Neil Duxbury, </w:t>
      </w:r>
      <w:r w:rsidRPr="006B5BF6">
        <w:rPr>
          <w:rFonts w:cs="Times New Roman"/>
          <w:i/>
          <w:lang w:val="fr-CA"/>
        </w:rPr>
        <w:t>The Nature and Authority of Precedent</w:t>
      </w:r>
      <w:r w:rsidRPr="006B5BF6">
        <w:rPr>
          <w:rFonts w:cs="Times New Roman"/>
          <w:lang w:val="fr-CA"/>
        </w:rPr>
        <w:t xml:space="preserve"> (2008), p. 118</w:t>
      </w:r>
      <w:r w:rsidRPr="006B5BF6">
        <w:rPr>
          <w:rFonts w:cs="Times New Roman"/>
          <w:lang w:val="fr-CA"/>
        </w:rPr>
        <w:noBreakHyphen/>
        <w:t xml:space="preserve">119; </w:t>
      </w:r>
      <w:r w:rsidRPr="006B5BF6">
        <w:rPr>
          <w:rFonts w:cs="Times New Roman"/>
          <w:i/>
          <w:lang w:val="fr-CA"/>
        </w:rPr>
        <w:t>Kimble</w:t>
      </w:r>
      <w:r w:rsidRPr="006B5BF6">
        <w:rPr>
          <w:rFonts w:cs="Times New Roman"/>
          <w:lang w:val="fr-CA"/>
        </w:rPr>
        <w:t>, p. 2410</w:t>
      </w:r>
      <w:r w:rsidRPr="006B5BF6">
        <w:rPr>
          <w:rFonts w:cs="Times New Roman"/>
          <w:lang w:val="fr-CA"/>
        </w:rPr>
        <w:noBreakHyphen/>
        <w:t xml:space="preserve">2411). En modifiant complètement le </w:t>
      </w:r>
      <w:r w:rsidRPr="006B5BF6">
        <w:rPr>
          <w:rFonts w:cs="Times New Roman"/>
          <w:i/>
          <w:lang w:val="fr-CA"/>
        </w:rPr>
        <w:t>statu quo</w:t>
      </w:r>
      <w:r w:rsidRPr="006B5BF6">
        <w:rPr>
          <w:rFonts w:cs="Times New Roman"/>
          <w:lang w:val="fr-CA"/>
        </w:rPr>
        <w:t>, l</w:t>
      </w:r>
      <w:r>
        <w:rPr>
          <w:rFonts w:cs="Times New Roman"/>
          <w:lang w:val="fr-CA"/>
        </w:rPr>
        <w:t>’</w:t>
      </w:r>
      <w:r w:rsidRPr="006B5BF6">
        <w:rPr>
          <w:rFonts w:cs="Times New Roman"/>
          <w:lang w:val="fr-CA"/>
        </w:rPr>
        <w:t>approche de la majorité porte un dur coup au principe de la « certitude du droit », soit « l</w:t>
      </w:r>
      <w:r>
        <w:rPr>
          <w:rFonts w:cs="Times New Roman"/>
          <w:lang w:val="fr-CA"/>
        </w:rPr>
        <w:t>’</w:t>
      </w:r>
      <w:r w:rsidRPr="006B5BF6">
        <w:rPr>
          <w:rFonts w:cs="Times New Roman"/>
          <w:lang w:val="fr-CA"/>
        </w:rPr>
        <w:t>assise fondamentale de la common law » (</w:t>
      </w:r>
      <w:r w:rsidRPr="006B5BF6">
        <w:rPr>
          <w:rFonts w:cs="Times New Roman"/>
          <w:i/>
          <w:lang w:val="fr-CA"/>
        </w:rPr>
        <w:t>Bedford</w:t>
      </w:r>
      <w:r w:rsidRPr="006B5BF6">
        <w:rPr>
          <w:rFonts w:cs="Times New Roman"/>
          <w:lang w:val="fr-CA"/>
        </w:rPr>
        <w:t>, par. 38; voir aussi Cromwell, p. 315).</w:t>
      </w:r>
    </w:p>
    <w:p w14:paraId="3E4D7366"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Par ailleurs, si notre Cour s</w:t>
      </w:r>
      <w:r>
        <w:rPr>
          <w:rFonts w:cs="Times New Roman"/>
          <w:lang w:val="fr-CA"/>
        </w:rPr>
        <w:t>’</w:t>
      </w:r>
      <w:r w:rsidRPr="006B5BF6">
        <w:rPr>
          <w:rFonts w:cs="Times New Roman"/>
          <w:lang w:val="fr-CA"/>
        </w:rPr>
        <w:t>était, pendant plus d</w:t>
      </w:r>
      <w:r>
        <w:rPr>
          <w:rFonts w:cs="Times New Roman"/>
          <w:lang w:val="fr-CA"/>
        </w:rPr>
        <w:t>’</w:t>
      </w:r>
      <w:r w:rsidRPr="006B5BF6">
        <w:rPr>
          <w:rFonts w:cs="Times New Roman"/>
          <w:lang w:val="fr-CA"/>
        </w:rPr>
        <w:t>une trentaine d</w:t>
      </w:r>
      <w:r>
        <w:rPr>
          <w:rFonts w:cs="Times New Roman"/>
          <w:lang w:val="fr-CA"/>
        </w:rPr>
        <w:t>’</w:t>
      </w:r>
      <w:r w:rsidRPr="006B5BF6">
        <w:rPr>
          <w:rFonts w:cs="Times New Roman"/>
          <w:lang w:val="fr-CA"/>
        </w:rPr>
        <w:t>années, méprise fortement sur l</w:t>
      </w:r>
      <w:r>
        <w:rPr>
          <w:rFonts w:cs="Times New Roman"/>
          <w:lang w:val="fr-CA"/>
        </w:rPr>
        <w:t>’</w:t>
      </w:r>
      <w:r w:rsidRPr="006B5BF6">
        <w:rPr>
          <w:rFonts w:cs="Times New Roman"/>
          <w:lang w:val="fr-CA"/>
        </w:rPr>
        <w:t>objet des voies d</w:t>
      </w:r>
      <w:r>
        <w:rPr>
          <w:rFonts w:cs="Times New Roman"/>
          <w:lang w:val="fr-CA"/>
        </w:rPr>
        <w:t>’</w:t>
      </w:r>
      <w:r w:rsidRPr="006B5BF6">
        <w:rPr>
          <w:rFonts w:cs="Times New Roman"/>
          <w:lang w:val="fr-CA"/>
        </w:rPr>
        <w:t xml:space="preserve">appel prévues par la loi en ne reconnaissant pas ce que </w:t>
      </w:r>
      <w:r w:rsidRPr="005C77C6">
        <w:rPr>
          <w:rFonts w:cs="Times New Roman"/>
          <w:iCs/>
          <w:lang w:val="fr-CA"/>
        </w:rPr>
        <w:t>la majorité</w:t>
      </w:r>
      <w:r w:rsidRPr="006B5BF6">
        <w:rPr>
          <w:rFonts w:cs="Times New Roman"/>
          <w:i/>
          <w:iCs/>
          <w:lang w:val="fr-CA"/>
        </w:rPr>
        <w:t xml:space="preserve"> en l</w:t>
      </w:r>
      <w:r>
        <w:rPr>
          <w:rFonts w:cs="Times New Roman"/>
          <w:i/>
          <w:iCs/>
          <w:lang w:val="fr-CA"/>
        </w:rPr>
        <w:t>’</w:t>
      </w:r>
      <w:r w:rsidRPr="006B5BF6">
        <w:rPr>
          <w:rFonts w:cs="Times New Roman"/>
          <w:i/>
          <w:iCs/>
          <w:lang w:val="fr-CA"/>
        </w:rPr>
        <w:t>espèce</w:t>
      </w:r>
      <w:r w:rsidRPr="006B5BF6">
        <w:rPr>
          <w:rFonts w:cs="Times New Roman"/>
          <w:lang w:val="fr-CA"/>
        </w:rPr>
        <w:t xml:space="preserve"> a finalement saisi — c</w:t>
      </w:r>
      <w:r>
        <w:rPr>
          <w:rFonts w:cs="Times New Roman"/>
          <w:lang w:val="fr-CA"/>
        </w:rPr>
        <w:t>’</w:t>
      </w:r>
      <w:r w:rsidRPr="006B5BF6">
        <w:rPr>
          <w:rFonts w:cs="Times New Roman"/>
          <w:lang w:val="fr-CA"/>
        </w:rPr>
        <w:t>est</w:t>
      </w:r>
      <w:r w:rsidRPr="006B5BF6">
        <w:rPr>
          <w:rFonts w:cs="Times New Roman"/>
          <w:lang w:val="fr-CA"/>
        </w:rPr>
        <w:noBreakHyphen/>
        <w:t>à</w:t>
      </w:r>
      <w:r w:rsidRPr="006B5BF6">
        <w:rPr>
          <w:rFonts w:cs="Times New Roman"/>
          <w:lang w:val="fr-CA"/>
        </w:rPr>
        <w:noBreakHyphen/>
        <w:t>dire le fait qu</w:t>
      </w:r>
      <w:r>
        <w:rPr>
          <w:rFonts w:cs="Times New Roman"/>
          <w:lang w:val="fr-CA"/>
        </w:rPr>
        <w:t>’</w:t>
      </w:r>
      <w:r w:rsidRPr="006B5BF6">
        <w:rPr>
          <w:rFonts w:cs="Times New Roman"/>
          <w:lang w:val="fr-CA"/>
        </w:rPr>
        <w:t xml:space="preserve">en adoptant ces mécanismes, le législateur confiait sans équivoque aux cours de justice le mandat de procéder à un examen </w:t>
      </w:r>
      <w:r w:rsidRPr="006B5BF6">
        <w:rPr>
          <w:rFonts w:cs="Times New Roman"/>
          <w:i/>
          <w:iCs/>
          <w:lang w:val="fr-CA"/>
        </w:rPr>
        <w:t>de novo</w:t>
      </w:r>
      <w:r w:rsidRPr="006B5BF6">
        <w:rPr>
          <w:rFonts w:cs="Times New Roman"/>
          <w:lang w:val="fr-CA"/>
        </w:rPr>
        <w:t xml:space="preserve"> de chaque question de droit dont traite un organisme administratif, indépendamment de l</w:t>
      </w:r>
      <w:r>
        <w:rPr>
          <w:rFonts w:cs="Times New Roman"/>
          <w:lang w:val="fr-CA"/>
        </w:rPr>
        <w:t>’</w:t>
      </w:r>
      <w:r w:rsidRPr="006B5BF6">
        <w:rPr>
          <w:rFonts w:cs="Times New Roman"/>
          <w:lang w:val="fr-CA"/>
        </w:rPr>
        <w:t>expertise de cet organisme —, il aurait alors été loisible aux législatures de l</w:t>
      </w:r>
      <w:r>
        <w:rPr>
          <w:rFonts w:cs="Times New Roman"/>
          <w:lang w:val="fr-CA"/>
        </w:rPr>
        <w:t>’</w:t>
      </w:r>
      <w:r w:rsidRPr="006B5BF6">
        <w:rPr>
          <w:rFonts w:cs="Times New Roman"/>
          <w:lang w:val="fr-CA"/>
        </w:rPr>
        <w:t>ensemble du Canada de clarifier cette interprétation et d</w:t>
      </w:r>
      <w:r>
        <w:rPr>
          <w:rFonts w:cs="Times New Roman"/>
          <w:lang w:val="fr-CA"/>
        </w:rPr>
        <w:t>’</w:t>
      </w:r>
      <w:r w:rsidRPr="006B5BF6">
        <w:rPr>
          <w:rFonts w:cs="Times New Roman"/>
          <w:lang w:val="fr-CA"/>
        </w:rPr>
        <w:t>adopter l</w:t>
      </w:r>
      <w:r>
        <w:rPr>
          <w:rFonts w:cs="Times New Roman"/>
          <w:lang w:val="fr-CA"/>
        </w:rPr>
        <w:t>’</w:t>
      </w:r>
      <w:r w:rsidRPr="006B5BF6">
        <w:rPr>
          <w:rFonts w:cs="Times New Roman"/>
          <w:lang w:val="fr-CA"/>
        </w:rPr>
        <w:t>approche privilégiée par la majorité au moyen d</w:t>
      </w:r>
      <w:r>
        <w:rPr>
          <w:rFonts w:cs="Times New Roman"/>
          <w:lang w:val="fr-CA"/>
        </w:rPr>
        <w:t>’</w:t>
      </w:r>
      <w:r w:rsidRPr="006B5BF6">
        <w:rPr>
          <w:rFonts w:cs="Times New Roman"/>
          <w:lang w:val="fr-CA"/>
        </w:rPr>
        <w:t>une modification législative. Étant donné la possibilité — et l</w:t>
      </w:r>
      <w:r>
        <w:rPr>
          <w:rFonts w:cs="Times New Roman"/>
          <w:lang w:val="fr-CA"/>
        </w:rPr>
        <w:t>’</w:t>
      </w:r>
      <w:r w:rsidRPr="006B5BF6">
        <w:rPr>
          <w:rFonts w:cs="Times New Roman"/>
          <w:lang w:val="fr-CA"/>
        </w:rPr>
        <w:t>absence continue — d</w:t>
      </w:r>
      <w:r>
        <w:rPr>
          <w:rFonts w:cs="Times New Roman"/>
          <w:lang w:val="fr-CA"/>
        </w:rPr>
        <w:t>’</w:t>
      </w:r>
      <w:r w:rsidRPr="006B5BF6">
        <w:rPr>
          <w:rFonts w:cs="Times New Roman"/>
          <w:lang w:val="fr-CA"/>
        </w:rPr>
        <w:t>intervention du législateur, les arguments militant en faveur du renversement de nos décisions antérieures sont encore moins convaincants (</w:t>
      </w:r>
      <w:r w:rsidRPr="006B5BF6">
        <w:rPr>
          <w:rFonts w:cs="Times New Roman"/>
          <w:i/>
          <w:lang w:val="fr-CA"/>
        </w:rPr>
        <w:t>Binus c. The Queen</w:t>
      </w:r>
      <w:r w:rsidRPr="006B5BF6">
        <w:rPr>
          <w:rFonts w:cs="Times New Roman"/>
          <w:lang w:val="fr-CA"/>
        </w:rPr>
        <w:t xml:space="preserve">, [1967] </w:t>
      </w:r>
      <w:r w:rsidRPr="006B5BF6">
        <w:rPr>
          <w:rFonts w:cs="Times New Roman"/>
          <w:lang w:val="fr-CA"/>
        </w:rPr>
        <w:lastRenderedPageBreak/>
        <w:t xml:space="preserve">R.C.S. 594, p. 601; voir également </w:t>
      </w:r>
      <w:r w:rsidRPr="006B5BF6">
        <w:rPr>
          <w:rFonts w:cs="Times New Roman"/>
          <w:i/>
          <w:lang w:val="fr-CA"/>
        </w:rPr>
        <w:t>Kimble</w:t>
      </w:r>
      <w:r w:rsidRPr="006B5BF6">
        <w:rPr>
          <w:rFonts w:cs="Times New Roman"/>
          <w:lang w:val="fr-CA"/>
        </w:rPr>
        <w:t xml:space="preserve">, p. 2409; </w:t>
      </w:r>
      <w:r w:rsidRPr="006B5BF6">
        <w:rPr>
          <w:rFonts w:cs="Times New Roman"/>
          <w:i/>
          <w:lang w:val="fr-CA"/>
        </w:rPr>
        <w:t>Kisor</w:t>
      </w:r>
      <w:r w:rsidRPr="006B5BF6">
        <w:rPr>
          <w:rFonts w:cs="Times New Roman"/>
          <w:lang w:val="fr-CA"/>
        </w:rPr>
        <w:t>, p. 2422</w:t>
      </w:r>
      <w:r w:rsidRPr="006B5BF6">
        <w:rPr>
          <w:rFonts w:cs="Times New Roman"/>
          <w:lang w:val="fr-CA"/>
        </w:rPr>
        <w:noBreakHyphen/>
        <w:t xml:space="preserve">2423; </w:t>
      </w:r>
      <w:r w:rsidRPr="006B5BF6">
        <w:rPr>
          <w:rFonts w:cs="Times New Roman"/>
          <w:i/>
          <w:lang w:val="fr-CA"/>
        </w:rPr>
        <w:t>Bilski c. Kappos, Under Secretary of Commerce for Intellectual Property and Director, Patent and Trademark Office</w:t>
      </w:r>
      <w:r w:rsidRPr="006B5BF6">
        <w:rPr>
          <w:rFonts w:cs="Times New Roman"/>
          <w:lang w:val="fr-CA"/>
        </w:rPr>
        <w:t>, 561 U.S. 593 (2010), p. 601</w:t>
      </w:r>
      <w:r w:rsidRPr="006B5BF6">
        <w:rPr>
          <w:rFonts w:cs="Times New Roman"/>
          <w:lang w:val="fr-CA"/>
        </w:rPr>
        <w:noBreakHyphen/>
        <w:t>602).</w:t>
      </w:r>
    </w:p>
    <w:p w14:paraId="3C50EE2A"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La Cour suprême des États</w:t>
      </w:r>
      <w:r w:rsidRPr="006B5BF6">
        <w:rPr>
          <w:rFonts w:cs="Times New Roman"/>
          <w:lang w:val="fr-CA"/>
        </w:rPr>
        <w:noBreakHyphen/>
        <w:t>Unis, dans l</w:t>
      </w:r>
      <w:r>
        <w:rPr>
          <w:rFonts w:cs="Times New Roman"/>
          <w:lang w:val="fr-CA"/>
        </w:rPr>
        <w:t>’</w:t>
      </w:r>
      <w:r w:rsidRPr="006B5BF6">
        <w:rPr>
          <w:rFonts w:cs="Times New Roman"/>
          <w:lang w:val="fr-CA"/>
        </w:rPr>
        <w:t xml:space="preserve">arrêt </w:t>
      </w:r>
      <w:r w:rsidRPr="006B5BF6">
        <w:rPr>
          <w:rFonts w:cs="Times New Roman"/>
          <w:i/>
          <w:lang w:val="fr-CA"/>
        </w:rPr>
        <w:t>Kisor</w:t>
      </w:r>
      <w:r w:rsidRPr="006B5BF6">
        <w:rPr>
          <w:rFonts w:cs="Times New Roman"/>
          <w:lang w:val="fr-CA"/>
        </w:rPr>
        <w:t>, a récemment approuvé chacune des raisons invoquées pour respecter les précédents : la constance, les intérêts liés à la confiance raisonnable et la possibilité d</w:t>
      </w:r>
      <w:r>
        <w:rPr>
          <w:rFonts w:cs="Times New Roman"/>
          <w:lang w:val="fr-CA"/>
        </w:rPr>
        <w:t>’</w:t>
      </w:r>
      <w:r w:rsidRPr="006B5BF6">
        <w:rPr>
          <w:rFonts w:cs="Times New Roman"/>
          <w:lang w:val="fr-CA"/>
        </w:rPr>
        <w:t xml:space="preserve">intervention législative. Dans cet arrêt, la Cour a invoqué la règle du </w:t>
      </w:r>
      <w:r w:rsidRPr="006B5BF6">
        <w:rPr>
          <w:rFonts w:cs="Times New Roman"/>
          <w:i/>
          <w:lang w:val="fr-CA"/>
        </w:rPr>
        <w:t xml:space="preserve">stare decisis </w:t>
      </w:r>
      <w:r w:rsidRPr="006B5BF6">
        <w:rPr>
          <w:rFonts w:cs="Times New Roman"/>
          <w:lang w:val="fr-CA"/>
        </w:rPr>
        <w:t xml:space="preserve">pour confirmer deux précédents en matière de droit administratif qui exhortaient les </w:t>
      </w:r>
      <w:r>
        <w:rPr>
          <w:rFonts w:cs="Times New Roman"/>
          <w:lang w:val="fr-CA"/>
        </w:rPr>
        <w:t>cours</w:t>
      </w:r>
      <w:r w:rsidRPr="006B5BF6">
        <w:rPr>
          <w:rFonts w:cs="Times New Roman"/>
          <w:lang w:val="fr-CA"/>
        </w:rPr>
        <w:t xml:space="preserve"> </w:t>
      </w:r>
      <w:r>
        <w:rPr>
          <w:rFonts w:cs="Times New Roman"/>
          <w:lang w:val="fr-CA"/>
        </w:rPr>
        <w:t xml:space="preserve">de révision </w:t>
      </w:r>
      <w:r w:rsidRPr="006B5BF6">
        <w:rPr>
          <w:rFonts w:cs="Times New Roman"/>
          <w:lang w:val="fr-CA"/>
        </w:rPr>
        <w:t>à faire preuve de déférence à l</w:t>
      </w:r>
      <w:r>
        <w:rPr>
          <w:rFonts w:cs="Times New Roman"/>
          <w:lang w:val="fr-CA"/>
        </w:rPr>
        <w:t>’</w:t>
      </w:r>
      <w:r w:rsidRPr="006B5BF6">
        <w:rPr>
          <w:rFonts w:cs="Times New Roman"/>
          <w:lang w:val="fr-CA"/>
        </w:rPr>
        <w:t>égard de l</w:t>
      </w:r>
      <w:r>
        <w:rPr>
          <w:rFonts w:cs="Times New Roman"/>
          <w:lang w:val="fr-CA"/>
        </w:rPr>
        <w:t>’</w:t>
      </w:r>
      <w:r w:rsidRPr="006B5BF6">
        <w:rPr>
          <w:rFonts w:cs="Times New Roman"/>
          <w:lang w:val="fr-CA"/>
        </w:rPr>
        <w:t>interprétation, par les organismes administratifs, de dispositions ambiguës de leurs règlements (</w:t>
      </w:r>
      <w:r w:rsidRPr="006B5BF6">
        <w:rPr>
          <w:rFonts w:cs="Times New Roman"/>
          <w:i/>
          <w:lang w:val="fr-CA"/>
        </w:rPr>
        <w:t>Bowles, Price Administrator c. Seminole Rock &amp; Sand Co.</w:t>
      </w:r>
      <w:r w:rsidRPr="006B5BF6">
        <w:rPr>
          <w:rFonts w:cs="Times New Roman"/>
          <w:lang w:val="fr-CA"/>
        </w:rPr>
        <w:t xml:space="preserve">, 325 U.S. 410 (1945); </w:t>
      </w:r>
      <w:r w:rsidRPr="006B5BF6">
        <w:rPr>
          <w:rFonts w:cs="Times New Roman"/>
          <w:i/>
          <w:lang w:val="fr-CA"/>
        </w:rPr>
        <w:t>Auer c. Robbins</w:t>
      </w:r>
      <w:r w:rsidRPr="006B5BF6">
        <w:rPr>
          <w:rFonts w:cs="Times New Roman"/>
          <w:lang w:val="fr-CA"/>
        </w:rPr>
        <w:t>, 519 U.S. 452 (1997)). S</w:t>
      </w:r>
      <w:r>
        <w:rPr>
          <w:rFonts w:cs="Times New Roman"/>
          <w:lang w:val="fr-CA"/>
        </w:rPr>
        <w:t>’</w:t>
      </w:r>
      <w:r w:rsidRPr="006B5BF6">
        <w:rPr>
          <w:rFonts w:cs="Times New Roman"/>
          <w:lang w:val="fr-CA"/>
        </w:rPr>
        <w:t xml:space="preserve">exprimant au nom de la majorité sur la question de la règle du </w:t>
      </w:r>
      <w:r w:rsidRPr="006B5BF6">
        <w:rPr>
          <w:rFonts w:cs="Times New Roman"/>
          <w:i/>
          <w:lang w:val="fr-CA"/>
        </w:rPr>
        <w:t>stare decisis</w:t>
      </w:r>
      <w:r w:rsidRPr="006B5BF6">
        <w:rPr>
          <w:rFonts w:cs="Times New Roman"/>
          <w:lang w:val="fr-CA"/>
        </w:rPr>
        <w:t>, la juge Kagan a expliqué en long et en large les raisons pour lesquelles la doctrine empêchait la Cour d</w:t>
      </w:r>
      <w:r>
        <w:rPr>
          <w:rFonts w:cs="Times New Roman"/>
          <w:lang w:val="fr-CA"/>
        </w:rPr>
        <w:t>’</w:t>
      </w:r>
      <w:r w:rsidRPr="006B5BF6">
        <w:rPr>
          <w:rFonts w:cs="Times New Roman"/>
          <w:lang w:val="fr-CA"/>
        </w:rPr>
        <w:t xml:space="preserve">infirmer les arrêts </w:t>
      </w:r>
      <w:r w:rsidRPr="006B5BF6">
        <w:rPr>
          <w:rFonts w:cs="Times New Roman"/>
          <w:i/>
          <w:lang w:val="fr-CA"/>
        </w:rPr>
        <w:t xml:space="preserve">Auer </w:t>
      </w:r>
      <w:r w:rsidRPr="006B5BF6">
        <w:rPr>
          <w:rFonts w:cs="Times New Roman"/>
          <w:lang w:val="fr-CA"/>
        </w:rPr>
        <w:t xml:space="preserve">et </w:t>
      </w:r>
      <w:r w:rsidRPr="006B5BF6">
        <w:rPr>
          <w:rFonts w:cs="Times New Roman"/>
          <w:i/>
          <w:lang w:val="fr-CA"/>
        </w:rPr>
        <w:t>Seminole Rock</w:t>
      </w:r>
      <w:r w:rsidRPr="006B5BF6">
        <w:rPr>
          <w:rFonts w:cs="Times New Roman"/>
          <w:lang w:val="fr-CA"/>
        </w:rPr>
        <w:t>. D</w:t>
      </w:r>
      <w:r>
        <w:rPr>
          <w:rFonts w:cs="Times New Roman"/>
          <w:lang w:val="fr-CA"/>
        </w:rPr>
        <w:t>’</w:t>
      </w:r>
      <w:r w:rsidRPr="006B5BF6">
        <w:rPr>
          <w:rFonts w:cs="Times New Roman"/>
          <w:lang w:val="fr-CA"/>
        </w:rPr>
        <w:t>abord, elle a rappelé l</w:t>
      </w:r>
      <w:r>
        <w:rPr>
          <w:rFonts w:cs="Times New Roman"/>
          <w:lang w:val="fr-CA"/>
        </w:rPr>
        <w:t>’</w:t>
      </w:r>
      <w:r w:rsidRPr="006B5BF6">
        <w:rPr>
          <w:rFonts w:cs="Times New Roman"/>
          <w:lang w:val="fr-CA"/>
        </w:rPr>
        <w:t xml:space="preserve">importance de la règle du </w:t>
      </w:r>
      <w:r w:rsidRPr="006B5BF6">
        <w:rPr>
          <w:rFonts w:cs="Times New Roman"/>
          <w:i/>
          <w:lang w:val="fr-CA"/>
        </w:rPr>
        <w:t>stare decisis</w:t>
      </w:r>
      <w:r w:rsidRPr="006B5BF6">
        <w:rPr>
          <w:rFonts w:cs="Times New Roman"/>
          <w:lang w:val="fr-CA"/>
        </w:rPr>
        <w:t xml:space="preserve"> et la nécessité d</w:t>
      </w:r>
      <w:r>
        <w:rPr>
          <w:rFonts w:cs="Times New Roman"/>
          <w:lang w:val="fr-CA"/>
        </w:rPr>
        <w:t>’</w:t>
      </w:r>
      <w:r w:rsidRPr="006B5BF6">
        <w:rPr>
          <w:rFonts w:cs="Times New Roman"/>
          <w:lang w:val="fr-CA"/>
        </w:rPr>
        <w:t>établir une justification spéciale permettant d</w:t>
      </w:r>
      <w:r>
        <w:rPr>
          <w:rFonts w:cs="Times New Roman"/>
          <w:lang w:val="fr-CA"/>
        </w:rPr>
        <w:t>’</w:t>
      </w:r>
      <w:r w:rsidRPr="006B5BF6">
        <w:rPr>
          <w:rFonts w:cs="Times New Roman"/>
          <w:lang w:val="fr-CA"/>
        </w:rPr>
        <w:t xml:space="preserve">outrepasser ses exigences. Elle a ensuite expliqué que la règle du </w:t>
      </w:r>
      <w:r w:rsidRPr="006B5BF6">
        <w:rPr>
          <w:rFonts w:cs="Times New Roman"/>
          <w:i/>
          <w:lang w:val="fr-CA"/>
        </w:rPr>
        <w:t>stare decisis</w:t>
      </w:r>
      <w:r w:rsidRPr="006B5BF6">
        <w:rPr>
          <w:rFonts w:cs="Times New Roman"/>
          <w:lang w:val="fr-CA"/>
        </w:rPr>
        <w:t xml:space="preserve"> revêtait encore plus d</w:t>
      </w:r>
      <w:r>
        <w:rPr>
          <w:rFonts w:cs="Times New Roman"/>
          <w:lang w:val="fr-CA"/>
        </w:rPr>
        <w:t>’</w:t>
      </w:r>
      <w:r w:rsidRPr="006B5BF6">
        <w:rPr>
          <w:rFonts w:cs="Times New Roman"/>
          <w:lang w:val="fr-CA"/>
        </w:rPr>
        <w:t>importance que d</w:t>
      </w:r>
      <w:r>
        <w:rPr>
          <w:rFonts w:cs="Times New Roman"/>
          <w:lang w:val="fr-CA"/>
        </w:rPr>
        <w:t>’</w:t>
      </w:r>
      <w:r w:rsidRPr="006B5BF6">
        <w:rPr>
          <w:rFonts w:cs="Times New Roman"/>
          <w:lang w:val="fr-CA"/>
        </w:rPr>
        <w:t>habitude lorsqu</w:t>
      </w:r>
      <w:r>
        <w:rPr>
          <w:rFonts w:cs="Times New Roman"/>
          <w:lang w:val="fr-CA"/>
        </w:rPr>
        <w:t>’</w:t>
      </w:r>
      <w:r w:rsidRPr="006B5BF6">
        <w:rPr>
          <w:rFonts w:cs="Times New Roman"/>
          <w:lang w:val="fr-CA"/>
        </w:rPr>
        <w:t>elle s</w:t>
      </w:r>
      <w:r>
        <w:rPr>
          <w:rFonts w:cs="Times New Roman"/>
          <w:lang w:val="fr-CA"/>
        </w:rPr>
        <w:t>’</w:t>
      </w:r>
      <w:r w:rsidRPr="006B5BF6">
        <w:rPr>
          <w:rFonts w:cs="Times New Roman"/>
          <w:lang w:val="fr-CA"/>
        </w:rPr>
        <w:t>appliquait à deux décisions confirmées par [</w:t>
      </w:r>
      <w:r w:rsidRPr="006B5BF6">
        <w:rPr>
          <w:rFonts w:cs="Times New Roman"/>
          <w:smallCaps/>
          <w:lang w:val="fr-CA"/>
        </w:rPr>
        <w:t>traduction</w:t>
      </w:r>
      <w:r w:rsidRPr="006B5BF6">
        <w:rPr>
          <w:rFonts w:cs="Times New Roman"/>
          <w:lang w:val="fr-CA"/>
        </w:rPr>
        <w:t>] « une jurisprudence constante » remontant à au moins 75 ans et qui avait par ailleurs été citée des milliers de fois par des juridictions inférieures (p. 2422). Elle a ajouté que l</w:t>
      </w:r>
      <w:r>
        <w:rPr>
          <w:rFonts w:cs="Times New Roman"/>
          <w:lang w:val="fr-CA"/>
        </w:rPr>
        <w:t>’</w:t>
      </w:r>
      <w:r w:rsidRPr="006B5BF6">
        <w:rPr>
          <w:rFonts w:cs="Times New Roman"/>
          <w:lang w:val="fr-CA"/>
        </w:rPr>
        <w:t>abandon des précédents contestés soulèverait des doutes quant à une foule d</w:t>
      </w:r>
      <w:r>
        <w:rPr>
          <w:rFonts w:cs="Times New Roman"/>
          <w:lang w:val="fr-CA"/>
        </w:rPr>
        <w:t>’</w:t>
      </w:r>
      <w:r w:rsidRPr="006B5BF6">
        <w:rPr>
          <w:rFonts w:cs="Times New Roman"/>
          <w:lang w:val="fr-CA"/>
        </w:rPr>
        <w:t>interprétations législatives établies et favoriserait la remise en question des décisions (p. 2422). Enfin, la juge Kagan a fait remarquer qu</w:t>
      </w:r>
      <w:r>
        <w:rPr>
          <w:rFonts w:cs="Times New Roman"/>
          <w:lang w:val="fr-CA"/>
        </w:rPr>
        <w:t>’</w:t>
      </w:r>
      <w:r w:rsidRPr="006B5BF6">
        <w:rPr>
          <w:rFonts w:cs="Times New Roman"/>
          <w:lang w:val="fr-CA"/>
        </w:rPr>
        <w:t>il était loisible au Congrès d</w:t>
      </w:r>
      <w:r>
        <w:rPr>
          <w:rFonts w:cs="Times New Roman"/>
          <w:lang w:val="fr-CA"/>
        </w:rPr>
        <w:t>’</w:t>
      </w:r>
      <w:r w:rsidRPr="006B5BF6">
        <w:rPr>
          <w:rFonts w:cs="Times New Roman"/>
          <w:lang w:val="fr-CA"/>
        </w:rPr>
        <w:t>annuler la jurisprudence si la Cour avait mal interprété l</w:t>
      </w:r>
      <w:r>
        <w:rPr>
          <w:rFonts w:cs="Times New Roman"/>
          <w:lang w:val="fr-CA"/>
        </w:rPr>
        <w:t>’</w:t>
      </w:r>
      <w:r w:rsidRPr="006B5BF6">
        <w:rPr>
          <w:rFonts w:cs="Times New Roman"/>
          <w:lang w:val="fr-CA"/>
        </w:rPr>
        <w:t>intention du législateur :</w:t>
      </w:r>
    </w:p>
    <w:p w14:paraId="7A3990A1" w14:textId="017D94D0" w:rsidR="00AE2373" w:rsidRPr="00845BDF" w:rsidRDefault="00845BDF" w:rsidP="00845BDF">
      <w:pPr>
        <w:pStyle w:val="Citation-AltC"/>
        <w:ind w:hanging="446"/>
        <w:rPr>
          <w:i/>
          <w:lang w:val="fr-CA"/>
        </w:rPr>
      </w:pPr>
      <w:r>
        <w:rPr>
          <w:lang w:val="fr-CA"/>
        </w:rPr>
        <w:lastRenderedPageBreak/>
        <w:tab/>
      </w:r>
      <w:r w:rsidRPr="006B5BF6">
        <w:rPr>
          <w:lang w:val="fr-CA"/>
        </w:rPr>
        <w:t>[</w:t>
      </w:r>
      <w:r w:rsidRPr="006B5BF6">
        <w:rPr>
          <w:smallCaps/>
          <w:lang w:val="fr-CA"/>
        </w:rPr>
        <w:t>traduction</w:t>
      </w:r>
      <w:r w:rsidRPr="006B5BF6">
        <w:rPr>
          <w:lang w:val="fr-CA"/>
        </w:rPr>
        <w:t>]</w:t>
      </w:r>
      <w:r>
        <w:rPr>
          <w:lang w:val="fr-CA"/>
        </w:rPr>
        <w:t xml:space="preserve"> . . .</w:t>
      </w:r>
      <w:r w:rsidR="00AE2373" w:rsidRPr="006B5BF6">
        <w:rPr>
          <w:lang w:val="fr-CA"/>
        </w:rPr>
        <w:t xml:space="preserve"> même si nous avons tort au sujet de l</w:t>
      </w:r>
      <w:r w:rsidR="00AE2373">
        <w:rPr>
          <w:lang w:val="fr-CA"/>
        </w:rPr>
        <w:t>’</w:t>
      </w:r>
      <w:r w:rsidR="00AE2373" w:rsidRPr="006B5BF6">
        <w:rPr>
          <w:lang w:val="fr-CA"/>
        </w:rPr>
        <w:t xml:space="preserve">arrêt </w:t>
      </w:r>
      <w:r w:rsidR="00AE2373" w:rsidRPr="006B5BF6">
        <w:rPr>
          <w:rFonts w:eastAsiaTheme="minorEastAsia"/>
          <w:i/>
          <w:lang w:val="fr-CA"/>
        </w:rPr>
        <w:t>Auer</w:t>
      </w:r>
      <w:r w:rsidR="00AE2373" w:rsidRPr="006B5BF6">
        <w:rPr>
          <w:rFonts w:eastAsiaTheme="minorEastAsia"/>
          <w:lang w:val="fr-CA"/>
        </w:rPr>
        <w:t>,</w:t>
      </w:r>
      <w:r w:rsidR="00AE2373" w:rsidRPr="006B5BF6">
        <w:rPr>
          <w:rFonts w:eastAsiaTheme="minorEastAsia"/>
          <w:i/>
          <w:lang w:val="fr-CA"/>
        </w:rPr>
        <w:t xml:space="preserve"> </w:t>
      </w:r>
      <w:r w:rsidR="00AE2373" w:rsidRPr="006B5BF6">
        <w:rPr>
          <w:rFonts w:eastAsiaTheme="minorEastAsia"/>
          <w:lang w:val="fr-CA"/>
        </w:rPr>
        <w:t>«</w:t>
      </w:r>
      <w:r w:rsidR="00AE2373" w:rsidRPr="006B5BF6">
        <w:rPr>
          <w:rFonts w:eastAsiaTheme="minorEastAsia"/>
          <w:i/>
          <w:lang w:val="fr-CA"/>
        </w:rPr>
        <w:t> </w:t>
      </w:r>
      <w:r w:rsidR="00AE2373" w:rsidRPr="006B5BF6">
        <w:rPr>
          <w:rFonts w:eastAsiaTheme="minorEastAsia"/>
          <w:iCs/>
          <w:lang w:val="fr-CA"/>
        </w:rPr>
        <w:t xml:space="preserve">il est toujours loisible au </w:t>
      </w:r>
      <w:r w:rsidR="00AE2373" w:rsidRPr="006B5BF6">
        <w:rPr>
          <w:rFonts w:eastAsiaTheme="minorEastAsia"/>
          <w:lang w:val="fr-CA"/>
        </w:rPr>
        <w:t>Congrès de modifier notre décision ». En matière constitutionnelle, seule notre Cour peut corriger ses erreurs. Cependant, telle n</w:t>
      </w:r>
      <w:r w:rsidR="00AE2373">
        <w:rPr>
          <w:rFonts w:eastAsiaTheme="minorEastAsia"/>
          <w:lang w:val="fr-CA"/>
        </w:rPr>
        <w:t>’</w:t>
      </w:r>
      <w:r w:rsidR="00AE2373" w:rsidRPr="006B5BF6">
        <w:rPr>
          <w:rFonts w:eastAsiaTheme="minorEastAsia"/>
          <w:lang w:val="fr-CA"/>
        </w:rPr>
        <w:t>est pas la situation qui se présente en l</w:t>
      </w:r>
      <w:r w:rsidR="00AE2373">
        <w:rPr>
          <w:rFonts w:eastAsiaTheme="minorEastAsia"/>
          <w:lang w:val="fr-CA"/>
        </w:rPr>
        <w:t>’</w:t>
      </w:r>
      <w:r w:rsidR="00AE2373" w:rsidRPr="006B5BF6">
        <w:rPr>
          <w:rFonts w:eastAsiaTheme="minorEastAsia"/>
          <w:lang w:val="fr-CA"/>
        </w:rPr>
        <w:t>espèce. Lorsque nous optons pour la retenue à l</w:t>
      </w:r>
      <w:r w:rsidR="00AE2373">
        <w:rPr>
          <w:rFonts w:eastAsiaTheme="minorEastAsia"/>
          <w:lang w:val="fr-CA"/>
        </w:rPr>
        <w:t>’</w:t>
      </w:r>
      <w:r w:rsidR="00AE2373" w:rsidRPr="006B5BF6">
        <w:rPr>
          <w:rFonts w:eastAsiaTheme="minorEastAsia"/>
          <w:lang w:val="fr-CA"/>
        </w:rPr>
        <w:t>égard d</w:t>
      </w:r>
      <w:r w:rsidR="00AE2373">
        <w:rPr>
          <w:rFonts w:eastAsiaTheme="minorEastAsia"/>
          <w:lang w:val="fr-CA"/>
        </w:rPr>
        <w:t>’</w:t>
      </w:r>
      <w:r w:rsidR="00AE2373" w:rsidRPr="006B5BF6">
        <w:rPr>
          <w:rFonts w:eastAsiaTheme="minorEastAsia"/>
          <w:lang w:val="fr-CA"/>
        </w:rPr>
        <w:t>une décision, la balle est dans le camp du Congrès, qui est libre d</w:t>
      </w:r>
      <w:r w:rsidR="00AE2373">
        <w:rPr>
          <w:rFonts w:eastAsiaTheme="minorEastAsia"/>
          <w:lang w:val="fr-CA"/>
        </w:rPr>
        <w:t>’</w:t>
      </w:r>
      <w:r w:rsidR="00AE2373" w:rsidRPr="006B5BF6">
        <w:rPr>
          <w:rFonts w:eastAsiaTheme="minorEastAsia"/>
          <w:lang w:val="fr-CA"/>
        </w:rPr>
        <w:t>accepter ou non notre décision. Jusqu</w:t>
      </w:r>
      <w:r w:rsidR="00AE2373">
        <w:rPr>
          <w:rFonts w:eastAsiaTheme="minorEastAsia"/>
          <w:lang w:val="fr-CA"/>
        </w:rPr>
        <w:t>’</w:t>
      </w:r>
      <w:r w:rsidR="00AE2373" w:rsidRPr="006B5BF6">
        <w:rPr>
          <w:rFonts w:eastAsiaTheme="minorEastAsia"/>
          <w:lang w:val="fr-CA"/>
        </w:rPr>
        <w:t>à maintenant du moins, le Congrès a choisi de l</w:t>
      </w:r>
      <w:r w:rsidR="00AE2373">
        <w:rPr>
          <w:rFonts w:eastAsiaTheme="minorEastAsia"/>
          <w:lang w:val="fr-CA"/>
        </w:rPr>
        <w:t>’</w:t>
      </w:r>
      <w:r w:rsidR="00AE2373" w:rsidRPr="006B5BF6">
        <w:rPr>
          <w:rFonts w:eastAsiaTheme="minorEastAsia"/>
          <w:lang w:val="fr-CA"/>
        </w:rPr>
        <w:t>accepter. Il aurait pu modifier l</w:t>
      </w:r>
      <w:r w:rsidR="00AE2373">
        <w:rPr>
          <w:rFonts w:eastAsiaTheme="minorEastAsia"/>
          <w:lang w:val="fr-CA"/>
        </w:rPr>
        <w:t>’</w:t>
      </w:r>
      <w:r w:rsidR="00AE2373" w:rsidRPr="006B5BF6">
        <w:rPr>
          <w:rFonts w:eastAsiaTheme="minorEastAsia"/>
          <w:lang w:val="fr-CA"/>
        </w:rPr>
        <w:t xml:space="preserve">APA </w:t>
      </w:r>
      <w:r w:rsidR="00AE2373" w:rsidRPr="006B5BF6">
        <w:rPr>
          <w:lang w:val="fr-CA"/>
        </w:rPr>
        <w:t>ou une loi spécifique afin d</w:t>
      </w:r>
      <w:r w:rsidR="00AE2373">
        <w:rPr>
          <w:lang w:val="fr-CA"/>
        </w:rPr>
        <w:t>’</w:t>
      </w:r>
      <w:r w:rsidR="00AE2373" w:rsidRPr="006B5BF6">
        <w:rPr>
          <w:lang w:val="fr-CA"/>
        </w:rPr>
        <w:t xml:space="preserve">exiger le type de contrôle </w:t>
      </w:r>
      <w:r w:rsidR="00AE2373" w:rsidRPr="006B5BF6">
        <w:rPr>
          <w:i/>
          <w:lang w:val="fr-CA"/>
        </w:rPr>
        <w:t xml:space="preserve">de novo </w:t>
      </w:r>
      <w:r w:rsidR="00AE2373" w:rsidRPr="006B5BF6">
        <w:rPr>
          <w:lang w:val="fr-CA"/>
        </w:rPr>
        <w:t>des interprétations des règlements que Kisor privilégie. Or, pendant près d</w:t>
      </w:r>
      <w:r w:rsidR="00AE2373">
        <w:rPr>
          <w:lang w:val="fr-CA"/>
        </w:rPr>
        <w:t>’</w:t>
      </w:r>
      <w:r w:rsidR="00AE2373" w:rsidRPr="006B5BF6">
        <w:rPr>
          <w:lang w:val="fr-CA"/>
        </w:rPr>
        <w:t>un siècle, le Congrès a plutôt permis que notre régime axé sur la déférence fonctionne de pair avec l</w:t>
      </w:r>
      <w:r w:rsidR="00AE2373">
        <w:rPr>
          <w:lang w:val="fr-CA"/>
        </w:rPr>
        <w:t>’</w:t>
      </w:r>
      <w:r w:rsidR="00AE2373" w:rsidRPr="006B5BF6">
        <w:rPr>
          <w:lang w:val="fr-CA"/>
        </w:rPr>
        <w:t>APA et les nombreuses lois qui délèguent un pouvoir de réglementation à des organismes administratifs. Le Congrès a continué d</w:t>
      </w:r>
      <w:r w:rsidR="00AE2373">
        <w:rPr>
          <w:lang w:val="fr-CA"/>
        </w:rPr>
        <w:t>’</w:t>
      </w:r>
      <w:r w:rsidR="00AE2373" w:rsidRPr="006B5BF6">
        <w:rPr>
          <w:lang w:val="fr-CA"/>
        </w:rPr>
        <w:t>agir ainsi même après que nous eûmes précisé que nos décisions en matière de déférence traduisaient une présomption concernant l</w:t>
      </w:r>
      <w:r w:rsidR="00AE2373">
        <w:rPr>
          <w:lang w:val="fr-CA"/>
        </w:rPr>
        <w:t>’</w:t>
      </w:r>
      <w:r w:rsidR="00AE2373" w:rsidRPr="006B5BF6">
        <w:rPr>
          <w:lang w:val="fr-CA"/>
        </w:rPr>
        <w:t>intention du Congrès, et même après que des juges de notre Cour eurent commencé à exprimer des doutes au sujet de la doctrine. Compte tenu de ce passé — et de la possibilité qui s</w:t>
      </w:r>
      <w:r w:rsidR="00AE2373">
        <w:rPr>
          <w:lang w:val="fr-CA"/>
        </w:rPr>
        <w:t>’</w:t>
      </w:r>
      <w:r w:rsidR="00AE2373" w:rsidRPr="006B5BF6">
        <w:rPr>
          <w:lang w:val="fr-CA"/>
        </w:rPr>
        <w:t>offre encore au Congrès de reprendre les arguments de Kisor —, nous aurions besoin d</w:t>
      </w:r>
      <w:r w:rsidR="00AE2373">
        <w:rPr>
          <w:lang w:val="fr-CA"/>
        </w:rPr>
        <w:t>’</w:t>
      </w:r>
      <w:r w:rsidR="00AE2373" w:rsidRPr="006B5BF6">
        <w:rPr>
          <w:lang w:val="fr-CA"/>
        </w:rPr>
        <w:t>une « justification spéciale » particulièrement importante pour écarter maintenant l</w:t>
      </w:r>
      <w:r w:rsidR="00AE2373">
        <w:rPr>
          <w:lang w:val="fr-CA"/>
        </w:rPr>
        <w:t>’</w:t>
      </w:r>
      <w:r w:rsidR="00AE2373" w:rsidRPr="006B5BF6">
        <w:rPr>
          <w:lang w:val="fr-CA"/>
        </w:rPr>
        <w:t xml:space="preserve">arrêt </w:t>
      </w:r>
      <w:r w:rsidR="00AE2373" w:rsidRPr="006B5BF6">
        <w:rPr>
          <w:i/>
          <w:lang w:val="fr-CA"/>
        </w:rPr>
        <w:t>Auer</w:t>
      </w:r>
      <w:r w:rsidR="00AE2373" w:rsidRPr="006B5BF6">
        <w:rPr>
          <w:lang w:val="fr-CA"/>
        </w:rPr>
        <w:t>.</w:t>
      </w:r>
      <w:r>
        <w:rPr>
          <w:i/>
          <w:lang w:val="fr-CA"/>
        </w:rPr>
        <w:t xml:space="preserve"> </w:t>
      </w:r>
      <w:r w:rsidR="00AE2373" w:rsidRPr="006B5BF6">
        <w:rPr>
          <w:lang w:val="fr-CA"/>
        </w:rPr>
        <w:t>[</w:t>
      </w:r>
      <w:r>
        <w:rPr>
          <w:lang w:val="fr-CA"/>
        </w:rPr>
        <w:t>Référence omise</w:t>
      </w:r>
      <w:r w:rsidR="00AE2373" w:rsidRPr="006B5BF6">
        <w:rPr>
          <w:lang w:val="fr-CA"/>
        </w:rPr>
        <w:t>; p. 2422</w:t>
      </w:r>
      <w:r w:rsidR="00AE2373" w:rsidRPr="006B5BF6">
        <w:rPr>
          <w:lang w:val="fr-CA"/>
        </w:rPr>
        <w:noBreakHyphen/>
        <w:t>2423</w:t>
      </w:r>
      <w:r>
        <w:rPr>
          <w:lang w:val="fr-CA"/>
        </w:rPr>
        <w:t>.</w:t>
      </w:r>
      <w:r w:rsidR="00AE2373" w:rsidRPr="006B5BF6">
        <w:rPr>
          <w:lang w:val="fr-CA"/>
        </w:rPr>
        <w:t>]</w:t>
      </w:r>
    </w:p>
    <w:p w14:paraId="0D6E59C4" w14:textId="4E5DFEE3" w:rsidR="00AE2373" w:rsidRPr="006B5BF6" w:rsidRDefault="00AE2373" w:rsidP="00AE2373">
      <w:pPr>
        <w:pStyle w:val="ParaNoNdepar-AltN"/>
        <w:tabs>
          <w:tab w:val="clear" w:pos="1166"/>
          <w:tab w:val="clear" w:pos="1422"/>
          <w:tab w:val="num" w:pos="1152"/>
        </w:tabs>
        <w:spacing w:before="0"/>
        <w:rPr>
          <w:rFonts w:cs="Times New Roman"/>
          <w:lang w:val="en-US"/>
        </w:rPr>
      </w:pPr>
      <w:r w:rsidRPr="006B5BF6">
        <w:rPr>
          <w:rFonts w:cs="Times New Roman"/>
          <w:lang w:val="fr-CA"/>
        </w:rPr>
        <w:t>Au vu de ces raisons impérieuses de respecter les précédents, dont bon nombre ont trouvé écho dans la jurisprudence de notre Cour, l</w:t>
      </w:r>
      <w:r>
        <w:rPr>
          <w:rFonts w:cs="Times New Roman"/>
          <w:lang w:val="fr-CA"/>
        </w:rPr>
        <w:t>’</w:t>
      </w:r>
      <w:r w:rsidRPr="006B5BF6">
        <w:rPr>
          <w:rFonts w:cs="Times New Roman"/>
          <w:lang w:val="fr-CA"/>
        </w:rPr>
        <w:t xml:space="preserve">argument des « critiques judiciaires et doctrinales » invoqué par la majorité est très loin de supplanter les exigences de la règle du </w:t>
      </w:r>
      <w:r w:rsidRPr="006B5BF6">
        <w:rPr>
          <w:rFonts w:cs="Times New Roman"/>
          <w:i/>
          <w:lang w:val="fr-CA"/>
        </w:rPr>
        <w:t>stare decisis</w:t>
      </w:r>
      <w:r w:rsidRPr="006B5BF6">
        <w:rPr>
          <w:rFonts w:cs="Times New Roman"/>
          <w:lang w:val="fr-CA"/>
        </w:rPr>
        <w:t>. Il est difficile de comprendre pourquoi les remarques incidentes de quelques juges canadiens citées par la majorité devraient être déterminantes, ou même convaincantes. La majorité passe sous silence l</w:t>
      </w:r>
      <w:r>
        <w:rPr>
          <w:rFonts w:cs="Times New Roman"/>
          <w:lang w:val="fr-CA"/>
        </w:rPr>
        <w:t>’</w:t>
      </w:r>
      <w:r w:rsidRPr="006B5BF6">
        <w:rPr>
          <w:rFonts w:cs="Times New Roman"/>
          <w:lang w:val="fr-CA"/>
        </w:rPr>
        <w:t xml:space="preserve">avis des juges et des universitaires qui </w:t>
      </w:r>
      <w:r w:rsidRPr="006B5BF6">
        <w:rPr>
          <w:rFonts w:cs="Times New Roman"/>
          <w:i/>
          <w:iCs/>
          <w:lang w:val="fr-CA"/>
        </w:rPr>
        <w:t xml:space="preserve">se sont </w:t>
      </w:r>
      <w:r w:rsidRPr="0078796C">
        <w:rPr>
          <w:rFonts w:cs="Times New Roman"/>
          <w:iCs/>
          <w:lang w:val="fr-CA"/>
        </w:rPr>
        <w:t>prononcés</w:t>
      </w:r>
      <w:r w:rsidRPr="006B5BF6">
        <w:rPr>
          <w:rFonts w:cs="Times New Roman"/>
          <w:lang w:val="fr-CA"/>
        </w:rPr>
        <w:t xml:space="preserve"> en faveur de l</w:t>
      </w:r>
      <w:r>
        <w:rPr>
          <w:rFonts w:cs="Times New Roman"/>
          <w:lang w:val="fr-CA"/>
        </w:rPr>
        <w:t>’</w:t>
      </w:r>
      <w:r w:rsidRPr="006B5BF6">
        <w:rPr>
          <w:rFonts w:cs="Times New Roman"/>
          <w:lang w:val="fr-CA"/>
        </w:rPr>
        <w:t>existence d</w:t>
      </w:r>
      <w:r>
        <w:rPr>
          <w:rFonts w:cs="Times New Roman"/>
          <w:lang w:val="fr-CA"/>
        </w:rPr>
        <w:t>’</w:t>
      </w:r>
      <w:r w:rsidRPr="006B5BF6">
        <w:rPr>
          <w:rFonts w:cs="Times New Roman"/>
          <w:lang w:val="fr-CA"/>
        </w:rPr>
        <w:t>une forte présomption d</w:t>
      </w:r>
      <w:r>
        <w:rPr>
          <w:rFonts w:cs="Times New Roman"/>
          <w:lang w:val="fr-CA"/>
        </w:rPr>
        <w:t>’</w:t>
      </w:r>
      <w:r w:rsidRPr="006B5BF6">
        <w:rPr>
          <w:rFonts w:cs="Times New Roman"/>
          <w:lang w:val="fr-CA"/>
        </w:rPr>
        <w:t xml:space="preserve">application de la norme </w:t>
      </w:r>
      <w:r w:rsidRPr="00BD0A20">
        <w:rPr>
          <w:rFonts w:cs="Times New Roman"/>
          <w:lang w:val="fr-CA"/>
        </w:rPr>
        <w:t>de la décision raisonnable, sans dire que notre vision des droits d’appel statutaires a de quoi inquiéter (Dyzenhaus, « </w:t>
      </w:r>
      <w:r w:rsidRPr="00BD0A20">
        <w:rPr>
          <w:rFonts w:eastAsia="Times New Roman" w:cs="Times New Roman"/>
          <w:lang w:val="fr-CA"/>
        </w:rPr>
        <w:t>Dignity in Administrative Law</w:t>
      </w:r>
      <w:r w:rsidR="00255472">
        <w:rPr>
          <w:rFonts w:eastAsia="Times New Roman" w:cs="Times New Roman"/>
          <w:lang w:val="fr-CA"/>
        </w:rPr>
        <w:t> </w:t>
      </w:r>
      <w:r w:rsidRPr="00BD0A20">
        <w:rPr>
          <w:rFonts w:eastAsia="Times New Roman" w:cs="Times New Roman"/>
          <w:lang w:val="fr-CA"/>
        </w:rPr>
        <w:t>: Judicial Deference in a Culture of Justification »,</w:t>
      </w:r>
      <w:r w:rsidRPr="00BD0A20">
        <w:rPr>
          <w:rFonts w:cs="Times New Roman"/>
          <w:lang w:val="fr-CA"/>
        </w:rPr>
        <w:t xml:space="preserve"> p. 109; Green, p. 489</w:t>
      </w:r>
      <w:r w:rsidRPr="00BD0A20">
        <w:rPr>
          <w:rFonts w:cs="Times New Roman"/>
          <w:lang w:val="fr-CA"/>
        </w:rPr>
        <w:noBreakHyphen/>
        <w:t xml:space="preserve">490; Matthew Lewans, </w:t>
      </w:r>
      <w:r w:rsidRPr="00BD0A20">
        <w:rPr>
          <w:rFonts w:cs="Times New Roman"/>
          <w:i/>
          <w:lang w:val="fr-CA"/>
        </w:rPr>
        <w:t>Administrative Law and Judicial Deference</w:t>
      </w:r>
      <w:r w:rsidRPr="00BD0A20">
        <w:rPr>
          <w:rFonts w:cs="Times New Roman"/>
          <w:lang w:val="fr-CA"/>
        </w:rPr>
        <w:t xml:space="preserve"> (2016); Jonathan M. Coady, « The Time Has Come</w:t>
      </w:r>
      <w:r w:rsidR="00255472">
        <w:rPr>
          <w:rFonts w:cs="Times New Roman"/>
          <w:lang w:val="fr-CA"/>
        </w:rPr>
        <w:t> </w:t>
      </w:r>
      <w:r w:rsidR="0078796C">
        <w:rPr>
          <w:rFonts w:cs="Times New Roman"/>
          <w:lang w:val="fr-CA"/>
        </w:rPr>
        <w:t xml:space="preserve"> </w:t>
      </w:r>
      <w:r w:rsidRPr="00BD0A20">
        <w:rPr>
          <w:rFonts w:cs="Times New Roman"/>
          <w:lang w:val="fr-CA"/>
        </w:rPr>
        <w:t xml:space="preserve">: Standard of Review in Canadian Administrative Law » (2017), 68 </w:t>
      </w:r>
      <w:r w:rsidR="000840DA">
        <w:rPr>
          <w:rFonts w:cs="Times New Roman"/>
          <w:i/>
          <w:lang w:val="fr-CA"/>
        </w:rPr>
        <w:t>R.D. U.N.-B.</w:t>
      </w:r>
      <w:r w:rsidRPr="00BD0A20">
        <w:rPr>
          <w:rFonts w:cs="Times New Roman"/>
          <w:lang w:val="fr-CA"/>
        </w:rPr>
        <w:t xml:space="preserve"> 87; Cromwell, « What I Think I’ve Learned About Administrative Law », p. 314</w:t>
      </w:r>
      <w:r w:rsidRPr="00BD0A20">
        <w:rPr>
          <w:rFonts w:cs="Times New Roman"/>
          <w:lang w:val="fr-CA"/>
        </w:rPr>
        <w:noBreakHyphen/>
        <w:t xml:space="preserve">316; </w:t>
      </w:r>
      <w:r w:rsidR="00AD54BB" w:rsidRPr="00BD0A20">
        <w:rPr>
          <w:rFonts w:cs="Times New Roman"/>
          <w:lang w:val="fr-CA"/>
        </w:rPr>
        <w:t>l’hon.</w:t>
      </w:r>
      <w:r w:rsidRPr="00BD0A20">
        <w:rPr>
          <w:rFonts w:cs="Times New Roman"/>
          <w:lang w:val="fr-CA"/>
        </w:rPr>
        <w:t xml:space="preserve"> </w:t>
      </w:r>
      <w:r w:rsidRPr="00AD54BB">
        <w:rPr>
          <w:rFonts w:cs="Times New Roman"/>
          <w:lang w:val="en-US"/>
        </w:rPr>
        <w:t xml:space="preserve">John M. Evans, « Standards </w:t>
      </w:r>
      <w:r w:rsidRPr="00AD54BB">
        <w:rPr>
          <w:rFonts w:cs="Times New Roman"/>
          <w:lang w:val="en-US"/>
        </w:rPr>
        <w:lastRenderedPageBreak/>
        <w:t xml:space="preserve">of Review in Administrative Law » (2013), 26 </w:t>
      </w:r>
      <w:r w:rsidRPr="00AD54BB">
        <w:rPr>
          <w:rFonts w:cs="Times New Roman"/>
          <w:i/>
          <w:lang w:val="en-US"/>
        </w:rPr>
        <w:t xml:space="preserve">R.C.D.A.P. </w:t>
      </w:r>
      <w:r w:rsidRPr="00AD54BB">
        <w:rPr>
          <w:rFonts w:cs="Times New Roman"/>
          <w:lang w:val="en-US"/>
        </w:rPr>
        <w:t xml:space="preserve">67, p. 79; </w:t>
      </w:r>
      <w:r w:rsidR="00AD54BB">
        <w:rPr>
          <w:rFonts w:cs="Times New Roman"/>
          <w:lang w:val="en-US"/>
        </w:rPr>
        <w:t>l’hon.</w:t>
      </w:r>
      <w:r w:rsidRPr="00AD54BB">
        <w:rPr>
          <w:rFonts w:cs="Times New Roman"/>
          <w:lang w:val="en-US"/>
        </w:rPr>
        <w:t xml:space="preserve"> John M. Evans, « Triumph of Reasonableness</w:t>
      </w:r>
      <w:r w:rsidR="0078796C">
        <w:rPr>
          <w:rFonts w:cs="Times New Roman"/>
          <w:lang w:val="en-US"/>
        </w:rPr>
        <w:t xml:space="preserve"> </w:t>
      </w:r>
      <w:r w:rsidRPr="00AD54BB">
        <w:rPr>
          <w:rFonts w:cs="Times New Roman"/>
          <w:lang w:val="en-US"/>
        </w:rPr>
        <w:t xml:space="preserve">: But How Much Does It Really Matter? » </w:t>
      </w:r>
      <w:r w:rsidRPr="006B5BF6">
        <w:rPr>
          <w:rFonts w:cs="Times New Roman"/>
        </w:rPr>
        <w:t xml:space="preserve">(2014), 27 </w:t>
      </w:r>
      <w:r w:rsidR="00F4055E">
        <w:rPr>
          <w:rFonts w:cs="Times New Roman"/>
          <w:i/>
        </w:rPr>
        <w:t>R.C.D.A.P.</w:t>
      </w:r>
      <w:r w:rsidRPr="006B5BF6">
        <w:rPr>
          <w:rFonts w:cs="Times New Roman"/>
        </w:rPr>
        <w:t xml:space="preserve"> 101; </w:t>
      </w:r>
      <w:r w:rsidRPr="006B5BF6">
        <w:rPr>
          <w:rFonts w:cs="Times New Roman"/>
          <w:lang w:val="en-US"/>
        </w:rPr>
        <w:t>Jerry V. DeMarco, « Seeking Simplicity in Canada</w:t>
      </w:r>
      <w:r>
        <w:rPr>
          <w:rFonts w:cs="Times New Roman"/>
          <w:lang w:val="en-US"/>
        </w:rPr>
        <w:t>’</w:t>
      </w:r>
      <w:r w:rsidRPr="006B5BF6">
        <w:rPr>
          <w:rFonts w:cs="Times New Roman"/>
          <w:lang w:val="en-US"/>
        </w:rPr>
        <w:t xml:space="preserve">s Complex World of Judicial Review » (2019), 32 </w:t>
      </w:r>
      <w:r w:rsidRPr="006B5BF6">
        <w:rPr>
          <w:rFonts w:cs="Times New Roman"/>
          <w:i/>
          <w:lang w:val="en-US"/>
        </w:rPr>
        <w:t xml:space="preserve">R.C.D.A.P. </w:t>
      </w:r>
      <w:r w:rsidRPr="006B5BF6">
        <w:rPr>
          <w:rFonts w:cs="Times New Roman"/>
          <w:lang w:val="en-US"/>
        </w:rPr>
        <w:t>67).</w:t>
      </w:r>
    </w:p>
    <w:p w14:paraId="5D766F9F" w14:textId="26F55BD3"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Un assortiment sélectif de critiques ne constitue pas une preuve de critiques généralisées ou d</w:t>
      </w:r>
      <w:r>
        <w:rPr>
          <w:rFonts w:cs="Times New Roman"/>
          <w:lang w:val="fr-CA"/>
        </w:rPr>
        <w:t>’</w:t>
      </w:r>
      <w:r w:rsidRPr="006B5BF6">
        <w:rPr>
          <w:rFonts w:cs="Times New Roman"/>
          <w:lang w:val="fr-CA"/>
        </w:rPr>
        <w:t>inapplicabilité. Notre Cour est fréquemment appelée à statuer sur des affaires très contestées et médiatisées qui donnent lieu à des divergences d</w:t>
      </w:r>
      <w:r>
        <w:rPr>
          <w:rFonts w:cs="Times New Roman"/>
          <w:lang w:val="fr-CA"/>
        </w:rPr>
        <w:t>’</w:t>
      </w:r>
      <w:r w:rsidRPr="006B5BF6">
        <w:rPr>
          <w:rFonts w:cs="Times New Roman"/>
          <w:lang w:val="fr-CA"/>
        </w:rPr>
        <w:t>opinions marquées et persistantes. Le public s</w:t>
      </w:r>
      <w:r>
        <w:rPr>
          <w:rFonts w:cs="Times New Roman"/>
          <w:lang w:val="fr-CA"/>
        </w:rPr>
        <w:t>’</w:t>
      </w:r>
      <w:r w:rsidRPr="006B5BF6">
        <w:rPr>
          <w:rFonts w:cs="Times New Roman"/>
          <w:lang w:val="fr-CA"/>
        </w:rPr>
        <w:t>en remet à nous pour trancher définitivement ces litiges, peu importe la composition de la Cour. Ainsi que l</w:t>
      </w:r>
      <w:r>
        <w:rPr>
          <w:rFonts w:cs="Times New Roman"/>
          <w:lang w:val="fr-CA"/>
        </w:rPr>
        <w:t>’</w:t>
      </w:r>
      <w:r w:rsidRPr="006B5BF6">
        <w:rPr>
          <w:rFonts w:cs="Times New Roman"/>
          <w:lang w:val="fr-CA"/>
        </w:rPr>
        <w:t>a expliqué le juge Hayne dans l</w:t>
      </w:r>
      <w:r>
        <w:rPr>
          <w:rFonts w:cs="Times New Roman"/>
          <w:lang w:val="fr-CA"/>
        </w:rPr>
        <w:t>’</w:t>
      </w:r>
      <w:r w:rsidRPr="006B5BF6">
        <w:rPr>
          <w:rFonts w:cs="Times New Roman"/>
          <w:lang w:val="fr-CA"/>
        </w:rPr>
        <w:t xml:space="preserve">arrêt </w:t>
      </w:r>
      <w:r w:rsidR="00255472">
        <w:rPr>
          <w:rFonts w:cs="Times New Roman"/>
          <w:i/>
          <w:lang w:val="fr-CA"/>
        </w:rPr>
        <w:t>Lee</w:t>
      </w:r>
      <w:r w:rsidR="00255472" w:rsidRPr="00255472">
        <w:rPr>
          <w:rFonts w:cs="Times New Roman"/>
          <w:lang w:val="fr-CA"/>
        </w:rPr>
        <w:t> </w:t>
      </w:r>
      <w:r w:rsidRPr="006B5BF6">
        <w:rPr>
          <w:rFonts w:cs="Times New Roman"/>
          <w:lang w:val="fr-CA"/>
        </w:rPr>
        <w:t>:</w:t>
      </w:r>
    </w:p>
    <w:p w14:paraId="0C5142E8" w14:textId="36E046EF" w:rsidR="00AE2373" w:rsidRPr="006B5BF6" w:rsidRDefault="003C6B4A" w:rsidP="004B3FFF">
      <w:pPr>
        <w:pStyle w:val="Citation-AltC"/>
        <w:spacing w:after="240"/>
        <w:ind w:left="1530"/>
        <w:contextualSpacing w:val="0"/>
        <w:rPr>
          <w:lang w:val="fr-CA"/>
        </w:rPr>
      </w:pPr>
      <w:r w:rsidRPr="006B5BF6">
        <w:rPr>
          <w:lang w:val="fr-CA"/>
        </w:rPr>
        <w:t>[</w:t>
      </w:r>
      <w:r w:rsidRPr="006B5BF6">
        <w:rPr>
          <w:smallCaps/>
          <w:lang w:val="fr-CA"/>
        </w:rPr>
        <w:t>traduction</w:t>
      </w:r>
      <w:r w:rsidRPr="006B5BF6">
        <w:rPr>
          <w:lang w:val="fr-CA"/>
        </w:rPr>
        <w:t>]</w:t>
      </w:r>
      <w:r>
        <w:rPr>
          <w:lang w:val="fr-CA"/>
        </w:rPr>
        <w:t xml:space="preserve"> </w:t>
      </w:r>
      <w:r w:rsidR="00AE2373" w:rsidRPr="006B5BF6">
        <w:rPr>
          <w:lang w:val="fr-CA"/>
        </w:rPr>
        <w:t>Dire que les jugements de notre Cour sont susceptibles de réexamen chaque fois qu</w:t>
      </w:r>
      <w:r w:rsidR="00AE2373">
        <w:rPr>
          <w:lang w:val="fr-CA"/>
        </w:rPr>
        <w:t>’</w:t>
      </w:r>
      <w:r w:rsidR="00AE2373" w:rsidRPr="006B5BF6">
        <w:rPr>
          <w:lang w:val="fr-CA"/>
        </w:rPr>
        <w:t>un nouvel argument est jugé plus intéressant que le principe exposé dans une décision précédente revient à occulter le rôle que doit jouer un tribunal d</w:t>
      </w:r>
      <w:r w:rsidR="00AE2373">
        <w:rPr>
          <w:lang w:val="fr-CA"/>
        </w:rPr>
        <w:t>’</w:t>
      </w:r>
      <w:r w:rsidR="00AE2373" w:rsidRPr="006B5BF6">
        <w:rPr>
          <w:lang w:val="fr-CA"/>
        </w:rPr>
        <w:t>appel de dernier ressort appelé à définir le droit. Lorsqu</w:t>
      </w:r>
      <w:r w:rsidR="00AE2373">
        <w:rPr>
          <w:lang w:val="fr-CA"/>
        </w:rPr>
        <w:t>’</w:t>
      </w:r>
      <w:r w:rsidR="00AE2373" w:rsidRPr="006B5BF6">
        <w:rPr>
          <w:lang w:val="fr-CA"/>
        </w:rPr>
        <w:t>il s</w:t>
      </w:r>
      <w:r w:rsidR="00AE2373">
        <w:rPr>
          <w:lang w:val="fr-CA"/>
        </w:rPr>
        <w:t>’</w:t>
      </w:r>
      <w:r w:rsidR="00AE2373" w:rsidRPr="006B5BF6">
        <w:rPr>
          <w:lang w:val="fr-CA"/>
        </w:rPr>
        <w:t>agit de domaines de droit complexes, les divergences d</w:t>
      </w:r>
      <w:r w:rsidR="00AE2373">
        <w:rPr>
          <w:lang w:val="fr-CA"/>
        </w:rPr>
        <w:t>’</w:t>
      </w:r>
      <w:r w:rsidR="00AE2373" w:rsidRPr="006B5BF6">
        <w:rPr>
          <w:lang w:val="fr-CA"/>
        </w:rPr>
        <w:t>opinions juridiques sont inévitables; devant un tribunal d</w:t>
      </w:r>
      <w:r w:rsidR="00AE2373">
        <w:rPr>
          <w:lang w:val="fr-CA"/>
        </w:rPr>
        <w:t>’</w:t>
      </w:r>
      <w:r w:rsidR="00AE2373" w:rsidRPr="006B5BF6">
        <w:rPr>
          <w:lang w:val="fr-CA"/>
        </w:rPr>
        <w:t>appel de dernier ressort, le choix entre des solutions juridiques opposées dépend dans bien des cas de l</w:t>
      </w:r>
      <w:r w:rsidR="00AE2373">
        <w:rPr>
          <w:lang w:val="fr-CA"/>
        </w:rPr>
        <w:t>’</w:t>
      </w:r>
      <w:r w:rsidR="00AE2373" w:rsidRPr="006B5BF6">
        <w:rPr>
          <w:lang w:val="fr-CA"/>
        </w:rPr>
        <w:t>importance que chacun des juges accorde à un facteur plutôt qu</w:t>
      </w:r>
      <w:r w:rsidR="00AE2373">
        <w:rPr>
          <w:lang w:val="fr-CA"/>
        </w:rPr>
        <w:t>’</w:t>
      </w:r>
      <w:r w:rsidR="00AE2373" w:rsidRPr="006B5BF6">
        <w:rPr>
          <w:lang w:val="fr-CA"/>
        </w:rPr>
        <w:t xml:space="preserve">à un autre. [. . .] </w:t>
      </w:r>
      <w:r>
        <w:rPr>
          <w:i/>
          <w:iCs/>
          <w:lang w:val="fr-CA"/>
        </w:rPr>
        <w:t>E</w:t>
      </w:r>
      <w:r w:rsidR="00AE2373" w:rsidRPr="006B5BF6">
        <w:rPr>
          <w:i/>
          <w:iCs/>
          <w:lang w:val="fr-CA"/>
        </w:rPr>
        <w:t>n pareil cas, la décision elle</w:t>
      </w:r>
      <w:r w:rsidR="00AE2373" w:rsidRPr="006B5BF6">
        <w:rPr>
          <w:i/>
          <w:iCs/>
          <w:lang w:val="fr-CA"/>
        </w:rPr>
        <w:noBreakHyphen/>
        <w:t>même permet de déterminer laquelle des solutions est la bonne, eu égard à l</w:t>
      </w:r>
      <w:r w:rsidR="00AE2373">
        <w:rPr>
          <w:i/>
          <w:iCs/>
          <w:lang w:val="fr-CA"/>
        </w:rPr>
        <w:t>’</w:t>
      </w:r>
      <w:r w:rsidR="00AE2373" w:rsidRPr="006B5BF6">
        <w:rPr>
          <w:i/>
          <w:iCs/>
          <w:lang w:val="fr-CA"/>
        </w:rPr>
        <w:t>état actuel du droit</w:t>
      </w:r>
      <w:r w:rsidR="00AE2373" w:rsidRPr="006B5BF6">
        <w:rPr>
          <w:lang w:val="fr-CA"/>
        </w:rPr>
        <w:t>. Il n</w:t>
      </w:r>
      <w:r w:rsidR="00AE2373">
        <w:rPr>
          <w:lang w:val="fr-CA"/>
        </w:rPr>
        <w:t>’</w:t>
      </w:r>
      <w:r w:rsidR="00AE2373" w:rsidRPr="006B5BF6">
        <w:rPr>
          <w:lang w:val="fr-CA"/>
        </w:rPr>
        <w:t>est pas utile de soutenir ultérieurement que, si l</w:t>
      </w:r>
      <w:r w:rsidR="00AE2373">
        <w:rPr>
          <w:lang w:val="fr-CA"/>
        </w:rPr>
        <w:t>’</w:t>
      </w:r>
      <w:r w:rsidR="00AE2373" w:rsidRPr="006B5BF6">
        <w:rPr>
          <w:lang w:val="fr-CA"/>
        </w:rPr>
        <w:t>on fait abstraction de la décision en cause, une autre solution bénéficie d</w:t>
      </w:r>
      <w:r w:rsidR="00AE2373">
        <w:rPr>
          <w:lang w:val="fr-CA"/>
        </w:rPr>
        <w:t>’</w:t>
      </w:r>
      <w:r w:rsidR="00AE2373" w:rsidRPr="006B5BF6">
        <w:rPr>
          <w:lang w:val="fr-CA"/>
        </w:rPr>
        <w:t xml:space="preserve">appuis plus solides dans la doctrine. </w:t>
      </w:r>
      <w:r w:rsidR="00AE2373" w:rsidRPr="006B5BF6">
        <w:rPr>
          <w:i/>
          <w:iCs/>
          <w:lang w:val="fr-CA"/>
        </w:rPr>
        <w:t>Cette approche saperait l</w:t>
      </w:r>
      <w:r w:rsidR="00AE2373">
        <w:rPr>
          <w:i/>
          <w:iCs/>
          <w:lang w:val="fr-CA"/>
        </w:rPr>
        <w:t>’</w:t>
      </w:r>
      <w:r w:rsidR="00AE2373" w:rsidRPr="006B5BF6">
        <w:rPr>
          <w:i/>
          <w:iCs/>
          <w:lang w:val="fr-CA"/>
        </w:rPr>
        <w:t>autorité et le caractère définitif des jugements de notre Cour.</w:t>
      </w:r>
      <w:r w:rsidR="00AE2373" w:rsidRPr="006B5BF6">
        <w:rPr>
          <w:lang w:val="fr-CA"/>
        </w:rPr>
        <w:t xml:space="preserve"> Étant donné qu</w:t>
      </w:r>
      <w:r w:rsidR="00AE2373">
        <w:rPr>
          <w:lang w:val="fr-CA"/>
        </w:rPr>
        <w:t>’</w:t>
      </w:r>
      <w:r w:rsidR="00AE2373" w:rsidRPr="006B5BF6">
        <w:rPr>
          <w:lang w:val="fr-CA"/>
        </w:rPr>
        <w:t>il appartient à la Cour, plutôt qu</w:t>
      </w:r>
      <w:r w:rsidR="00AE2373">
        <w:rPr>
          <w:lang w:val="fr-CA"/>
        </w:rPr>
        <w:t>’</w:t>
      </w:r>
      <w:r w:rsidR="00AE2373" w:rsidRPr="006B5BF6">
        <w:rPr>
          <w:lang w:val="fr-CA"/>
        </w:rPr>
        <w:t>aux juges qui la composent, de définir le droit, ses décisions seront suivies dans les affaires subséquentes portées à son attention, quelle que soit sa composition, sous réserve du pouvoir exceptionnel de la Cour d</w:t>
      </w:r>
      <w:r w:rsidR="00AE2373">
        <w:rPr>
          <w:lang w:val="fr-CA"/>
        </w:rPr>
        <w:t>’</w:t>
      </w:r>
      <w:r w:rsidR="00AE2373" w:rsidRPr="006B5BF6">
        <w:rPr>
          <w:lang w:val="fr-CA"/>
        </w:rPr>
        <w:t>en permettre le réexamen.</w:t>
      </w:r>
    </w:p>
    <w:p w14:paraId="2480677E" w14:textId="0C663CBB" w:rsidR="00AE2373" w:rsidRPr="006B5BF6" w:rsidRDefault="00AE2373" w:rsidP="003C6B4A">
      <w:pPr>
        <w:pStyle w:val="Citation-AltC"/>
        <w:tabs>
          <w:tab w:val="left" w:pos="1530"/>
        </w:tabs>
        <w:spacing w:after="240"/>
        <w:ind w:left="1170"/>
        <w:contextualSpacing w:val="0"/>
        <w:rPr>
          <w:lang w:val="fr-CA"/>
        </w:rPr>
      </w:pPr>
      <w:r w:rsidRPr="006B5BF6">
        <w:rPr>
          <w:lang w:val="fr-CA"/>
        </w:rPr>
        <w:tab/>
        <w:t>En conséquence, comme un auteur l</w:t>
      </w:r>
      <w:r>
        <w:rPr>
          <w:lang w:val="fr-CA"/>
        </w:rPr>
        <w:t>’</w:t>
      </w:r>
      <w:r w:rsidRPr="006B5BF6">
        <w:rPr>
          <w:lang w:val="fr-CA"/>
        </w:rPr>
        <w:t>a souligné, « la décision précédente doit être considérée comme la prémisse de base dont découleront d</w:t>
      </w:r>
      <w:r>
        <w:rPr>
          <w:lang w:val="fr-CA"/>
        </w:rPr>
        <w:t>’</w:t>
      </w:r>
      <w:r w:rsidRPr="006B5BF6">
        <w:rPr>
          <w:lang w:val="fr-CA"/>
        </w:rPr>
        <w:t>autres arguments, et non simplement comme une prémisse possible parmi un ensemble de prémisses opposées ». [</w:t>
      </w:r>
      <w:r w:rsidR="003C6B4A">
        <w:rPr>
          <w:lang w:val="fr-CA"/>
        </w:rPr>
        <w:t>En italique</w:t>
      </w:r>
      <w:r w:rsidRPr="006B5BF6">
        <w:rPr>
          <w:lang w:val="fr-CA"/>
        </w:rPr>
        <w:t xml:space="preserve"> dans l</w:t>
      </w:r>
      <w:r>
        <w:rPr>
          <w:lang w:val="fr-CA"/>
        </w:rPr>
        <w:t>’</w:t>
      </w:r>
      <w:r w:rsidRPr="006B5BF6">
        <w:rPr>
          <w:lang w:val="fr-CA"/>
        </w:rPr>
        <w:t>original; note en bas de page omise.]</w:t>
      </w:r>
    </w:p>
    <w:p w14:paraId="6D0F22DD" w14:textId="18328516" w:rsidR="00AE2373" w:rsidRPr="006B5BF6" w:rsidRDefault="00AE2373" w:rsidP="003C6B4A">
      <w:pPr>
        <w:pStyle w:val="Citation-AltC"/>
        <w:ind w:left="0"/>
        <w:contextualSpacing w:val="0"/>
        <w:rPr>
          <w:lang w:val="fr-CA"/>
        </w:rPr>
      </w:pPr>
      <w:r w:rsidRPr="006B5BF6">
        <w:rPr>
          <w:lang w:val="fr-CA"/>
        </w:rPr>
        <w:lastRenderedPageBreak/>
        <w:t>(par. 65</w:t>
      </w:r>
      <w:r w:rsidRPr="006B5BF6">
        <w:rPr>
          <w:lang w:val="fr-CA"/>
        </w:rPr>
        <w:noBreakHyphen/>
        <w:t xml:space="preserve">66, citant </w:t>
      </w:r>
      <w:r w:rsidRPr="006B5BF6">
        <w:rPr>
          <w:i/>
          <w:lang w:val="fr-CA"/>
        </w:rPr>
        <w:t>Baker c. Campbell</w:t>
      </w:r>
      <w:r w:rsidRPr="006B5BF6">
        <w:rPr>
          <w:lang w:val="fr-CA"/>
        </w:rPr>
        <w:t xml:space="preserve"> </w:t>
      </w:r>
      <w:r w:rsidR="006D2BF0">
        <w:rPr>
          <w:lang w:val="fr-CA"/>
        </w:rPr>
        <w:t>(</w:t>
      </w:r>
      <w:r w:rsidRPr="006B5BF6">
        <w:rPr>
          <w:lang w:val="fr-CA"/>
        </w:rPr>
        <w:t>1983</w:t>
      </w:r>
      <w:r w:rsidR="006D2BF0">
        <w:rPr>
          <w:lang w:val="fr-CA"/>
        </w:rPr>
        <w:t>),</w:t>
      </w:r>
      <w:r w:rsidRPr="006B5BF6">
        <w:rPr>
          <w:lang w:val="fr-CA"/>
        </w:rPr>
        <w:t xml:space="preserve"> 153 C.L.R. 52</w:t>
      </w:r>
      <w:r w:rsidR="006D2BF0">
        <w:rPr>
          <w:lang w:val="fr-CA"/>
        </w:rPr>
        <w:t xml:space="preserve"> (H.C.A.)</w:t>
      </w:r>
      <w:r w:rsidRPr="006B5BF6">
        <w:rPr>
          <w:lang w:val="fr-CA"/>
        </w:rPr>
        <w:t>, p. 102</w:t>
      </w:r>
      <w:r w:rsidRPr="006B5BF6">
        <w:rPr>
          <w:lang w:val="fr-CA"/>
        </w:rPr>
        <w:noBreakHyphen/>
        <w:t>103</w:t>
      </w:r>
      <w:r w:rsidR="003C6B4A">
        <w:rPr>
          <w:lang w:val="fr-CA"/>
        </w:rPr>
        <w:t>.</w:t>
      </w:r>
      <w:r w:rsidRPr="006B5BF6">
        <w:rPr>
          <w:lang w:val="fr-CA"/>
        </w:rPr>
        <w:t>)</w:t>
      </w:r>
    </w:p>
    <w:p w14:paraId="78B96D2C" w14:textId="476746A1" w:rsidR="00AE2373" w:rsidRPr="00DB751B" w:rsidRDefault="0078796C" w:rsidP="00AE2373">
      <w:pPr>
        <w:pStyle w:val="ParaNoNdepar-AltN"/>
        <w:tabs>
          <w:tab w:val="clear" w:pos="1166"/>
          <w:tab w:val="clear" w:pos="1422"/>
          <w:tab w:val="num" w:pos="1152"/>
        </w:tabs>
        <w:spacing w:before="0"/>
        <w:rPr>
          <w:rFonts w:cs="Times New Roman"/>
          <w:lang w:val="fr-CA"/>
        </w:rPr>
      </w:pPr>
      <w:r>
        <w:rPr>
          <w:rFonts w:cs="Times New Roman"/>
          <w:lang w:val="fr-CA"/>
        </w:rPr>
        <w:t>Notre</w:t>
      </w:r>
      <w:r w:rsidR="00AE2373" w:rsidRPr="006B5BF6">
        <w:rPr>
          <w:rFonts w:cs="Times New Roman"/>
          <w:lang w:val="fr-CA"/>
        </w:rPr>
        <w:t xml:space="preserve"> Cour a en fait mentionné clairement que « la critique d</w:t>
      </w:r>
      <w:r w:rsidR="00AE2373">
        <w:rPr>
          <w:rFonts w:cs="Times New Roman"/>
          <w:lang w:val="fr-CA"/>
        </w:rPr>
        <w:t>’</w:t>
      </w:r>
      <w:r w:rsidR="00AE2373" w:rsidRPr="006B5BF6">
        <w:rPr>
          <w:rFonts w:cs="Times New Roman"/>
          <w:lang w:val="fr-CA"/>
        </w:rPr>
        <w:t>un jugement ne saurait justifier son renversement » (</w:t>
      </w:r>
      <w:r w:rsidR="00AE2373" w:rsidRPr="006B5BF6">
        <w:rPr>
          <w:rFonts w:cs="Times New Roman"/>
          <w:i/>
          <w:lang w:val="fr-CA"/>
        </w:rPr>
        <w:t>Fraser</w:t>
      </w:r>
      <w:r w:rsidR="00AE2373" w:rsidRPr="006B5BF6">
        <w:rPr>
          <w:rFonts w:cs="Times New Roman"/>
          <w:lang w:val="fr-CA"/>
        </w:rPr>
        <w:t>, par. 86). Les divergences d</w:t>
      </w:r>
      <w:r w:rsidR="00AE2373">
        <w:rPr>
          <w:rFonts w:cs="Times New Roman"/>
          <w:lang w:val="fr-CA"/>
        </w:rPr>
        <w:t>’</w:t>
      </w:r>
      <w:r w:rsidR="00AE2373" w:rsidRPr="006B5BF6">
        <w:rPr>
          <w:rFonts w:cs="Times New Roman"/>
          <w:lang w:val="fr-CA"/>
        </w:rPr>
        <w:t>opinions d</w:t>
      </w:r>
      <w:r w:rsidR="00AE2373">
        <w:rPr>
          <w:rFonts w:cs="Times New Roman"/>
          <w:lang w:val="fr-CA"/>
        </w:rPr>
        <w:t>’</w:t>
      </w:r>
      <w:r w:rsidR="00AE2373" w:rsidRPr="006B5BF6">
        <w:rPr>
          <w:rFonts w:cs="Times New Roman"/>
          <w:lang w:val="fr-CA"/>
        </w:rPr>
        <w:t>ordre juridique et public découlent naturellement d</w:t>
      </w:r>
      <w:r w:rsidR="00AE2373">
        <w:rPr>
          <w:rFonts w:cs="Times New Roman"/>
          <w:lang w:val="fr-CA"/>
        </w:rPr>
        <w:t>’</w:t>
      </w:r>
      <w:r w:rsidR="00AE2373" w:rsidRPr="006B5BF6">
        <w:rPr>
          <w:rFonts w:cs="Times New Roman"/>
          <w:lang w:val="fr-CA"/>
        </w:rPr>
        <w:t xml:space="preserve">arrêts litigieux tels que </w:t>
      </w:r>
      <w:r w:rsidR="00AE2373" w:rsidRPr="006B5BF6">
        <w:rPr>
          <w:rFonts w:cs="Times New Roman"/>
          <w:i/>
          <w:lang w:val="fr-CA"/>
        </w:rPr>
        <w:t>R. c. Jordan</w:t>
      </w:r>
      <w:r w:rsidR="00AE2373" w:rsidRPr="006B5BF6">
        <w:rPr>
          <w:rFonts w:cs="Times New Roman"/>
          <w:lang w:val="fr-CA"/>
        </w:rPr>
        <w:t xml:space="preserve">, [2016] 1 R.C.S. 631, ou même </w:t>
      </w:r>
      <w:r w:rsidR="00AE2373" w:rsidRPr="006B5BF6">
        <w:rPr>
          <w:rFonts w:cs="Times New Roman"/>
          <w:i/>
          <w:lang w:val="fr-CA"/>
        </w:rPr>
        <w:t>Housen</w:t>
      </w:r>
      <w:r w:rsidR="00AE2373" w:rsidRPr="006B5BF6">
        <w:rPr>
          <w:rFonts w:cs="Times New Roman"/>
          <w:lang w:val="fr-CA"/>
        </w:rPr>
        <w:t>, qui, comme la reconnu notre Cour, avait été appliqué au départ par les cours d</w:t>
      </w:r>
      <w:r w:rsidR="00AE2373">
        <w:rPr>
          <w:rFonts w:cs="Times New Roman"/>
          <w:lang w:val="fr-CA"/>
        </w:rPr>
        <w:t>’</w:t>
      </w:r>
      <w:r w:rsidR="00AE2373" w:rsidRPr="006B5BF6">
        <w:rPr>
          <w:rFonts w:cs="Times New Roman"/>
          <w:lang w:val="fr-CA"/>
        </w:rPr>
        <w:t>appel avec « un enthousiasme variable » (</w:t>
      </w:r>
      <w:r w:rsidR="00AE2373" w:rsidRPr="006B5BF6">
        <w:rPr>
          <w:rFonts w:cs="Times New Roman"/>
          <w:i/>
          <w:lang w:val="fr-CA"/>
        </w:rPr>
        <w:t>H.L</w:t>
      </w:r>
      <w:r w:rsidR="00AE2373">
        <w:rPr>
          <w:rFonts w:cs="Times New Roman"/>
          <w:i/>
          <w:lang w:val="fr-CA"/>
        </w:rPr>
        <w:t>.</w:t>
      </w:r>
      <w:r w:rsidR="006D2BF0">
        <w:rPr>
          <w:rFonts w:cs="Times New Roman"/>
          <w:i/>
          <w:lang w:val="fr-CA"/>
        </w:rPr>
        <w:t xml:space="preserve"> c. Canada (Procureur  général</w:t>
      </w:r>
      <w:r w:rsidR="00AE2373" w:rsidRPr="006B5BF6">
        <w:rPr>
          <w:rFonts w:cs="Times New Roman"/>
          <w:i/>
          <w:lang w:val="fr-CA"/>
        </w:rPr>
        <w:t>)</w:t>
      </w:r>
      <w:r w:rsidR="00AE2373" w:rsidRPr="006B5BF6">
        <w:rPr>
          <w:rFonts w:cs="Times New Roman"/>
          <w:lang w:val="fr-CA"/>
        </w:rPr>
        <w:t>,</w:t>
      </w:r>
      <w:r w:rsidR="00AE2373" w:rsidRPr="006B5BF6">
        <w:rPr>
          <w:rFonts w:cs="Times New Roman"/>
          <w:i/>
          <w:lang w:val="fr-CA"/>
        </w:rPr>
        <w:t xml:space="preserve"> </w:t>
      </w:r>
      <w:r w:rsidR="00AE2373" w:rsidRPr="006B5BF6">
        <w:rPr>
          <w:rFonts w:cs="Times New Roman"/>
          <w:lang w:val="fr-CA"/>
        </w:rPr>
        <w:t xml:space="preserve">[2005] 1 R.C.S. </w:t>
      </w:r>
      <w:r w:rsidR="00AE2373" w:rsidRPr="007265C3">
        <w:rPr>
          <w:rFonts w:cs="Times New Roman"/>
          <w:lang w:val="fr-CA"/>
        </w:rPr>
        <w:t xml:space="preserve">401, par. 76; voir aussi Paul M. Perell, « The Standard of Appellate Review and the Ironies of Housen v. Nikolaisen » (2004), 28 </w:t>
      </w:r>
      <w:r w:rsidR="00AE2373" w:rsidRPr="007265C3">
        <w:rPr>
          <w:rFonts w:cs="Times New Roman"/>
          <w:i/>
          <w:lang w:val="fr-CA"/>
        </w:rPr>
        <w:t>Adv. Q.</w:t>
      </w:r>
      <w:r w:rsidR="00AE2373" w:rsidRPr="007265C3">
        <w:rPr>
          <w:rFonts w:cs="Times New Roman"/>
          <w:lang w:val="fr-CA"/>
        </w:rPr>
        <w:t xml:space="preserve"> 40, p. 53; Mike Madden, « Conquering the Common Law Hydra</w:t>
      </w:r>
      <w:r w:rsidR="00915E4C" w:rsidRPr="007265C3">
        <w:rPr>
          <w:rFonts w:cs="Times New Roman"/>
          <w:lang w:val="fr-CA"/>
        </w:rPr>
        <w:t xml:space="preserve"> </w:t>
      </w:r>
      <w:r w:rsidR="00AE2373" w:rsidRPr="007265C3">
        <w:rPr>
          <w:rFonts w:cs="Times New Roman"/>
          <w:lang w:val="fr-CA"/>
        </w:rPr>
        <w:t xml:space="preserve">: A Probably Correct and Reasonable Overview of Current Standards of Appellate and Judicial Review » (2010), 36 </w:t>
      </w:r>
      <w:r w:rsidR="00AE2373" w:rsidRPr="007265C3">
        <w:rPr>
          <w:rFonts w:cs="Times New Roman"/>
          <w:i/>
          <w:lang w:val="fr-CA"/>
        </w:rPr>
        <w:t>Adv. Q.</w:t>
      </w:r>
      <w:r w:rsidR="00AE2373" w:rsidRPr="007265C3">
        <w:rPr>
          <w:rFonts w:cs="Times New Roman"/>
          <w:lang w:val="fr-CA"/>
        </w:rPr>
        <w:t xml:space="preserve"> 269, p. 278</w:t>
      </w:r>
      <w:r w:rsidR="00AE2373" w:rsidRPr="007265C3">
        <w:rPr>
          <w:rFonts w:cs="Times New Roman"/>
          <w:lang w:val="fr-CA"/>
        </w:rPr>
        <w:noBreakHyphen/>
        <w:t>279 et 293; Paul J. Pape et John J. Adair, « Unreasonable Review</w:t>
      </w:r>
      <w:r w:rsidR="00915E4C" w:rsidRPr="007265C3">
        <w:rPr>
          <w:rFonts w:cs="Times New Roman"/>
          <w:lang w:val="fr-CA"/>
        </w:rPr>
        <w:t xml:space="preserve"> </w:t>
      </w:r>
      <w:r w:rsidR="00AE2373" w:rsidRPr="007265C3">
        <w:rPr>
          <w:rFonts w:cs="Times New Roman"/>
          <w:lang w:val="fr-CA"/>
        </w:rPr>
        <w:t xml:space="preserve">: The Losing Party and the Palpable and Overriding Error Standard » (2008), 27 </w:t>
      </w:r>
      <w:r w:rsidR="00AE2373" w:rsidRPr="007265C3">
        <w:rPr>
          <w:rFonts w:cs="Times New Roman"/>
          <w:i/>
          <w:lang w:val="fr-CA"/>
        </w:rPr>
        <w:t>Adv. J.</w:t>
      </w:r>
      <w:r w:rsidR="00AE2373" w:rsidRPr="007265C3">
        <w:rPr>
          <w:rFonts w:cs="Times New Roman"/>
          <w:lang w:val="fr-CA"/>
        </w:rPr>
        <w:t xml:space="preserve"> 6, p. 8; Geoff R. Hall, « Two Unsettled Questions in the Law of Contractual Interpretation</w:t>
      </w:r>
      <w:r w:rsidR="00915E4C" w:rsidRPr="007265C3">
        <w:rPr>
          <w:rFonts w:cs="Times New Roman"/>
          <w:lang w:val="fr-CA"/>
        </w:rPr>
        <w:t xml:space="preserve"> </w:t>
      </w:r>
      <w:r w:rsidR="00AE2373" w:rsidRPr="007265C3">
        <w:rPr>
          <w:rFonts w:cs="Times New Roman"/>
          <w:lang w:val="fr-CA"/>
        </w:rPr>
        <w:t xml:space="preserve">: A Call to the Supreme Court of Canada » (2011), 50 </w:t>
      </w:r>
      <w:r w:rsidR="00DB751B" w:rsidRPr="007265C3">
        <w:rPr>
          <w:rFonts w:cs="Times New Roman"/>
          <w:i/>
          <w:lang w:val="fr-CA"/>
        </w:rPr>
        <w:t>Rev. can. dr. comm.</w:t>
      </w:r>
      <w:r w:rsidR="00AE2373" w:rsidRPr="007265C3">
        <w:rPr>
          <w:rFonts w:cs="Times New Roman"/>
          <w:i/>
          <w:lang w:val="fr-CA"/>
        </w:rPr>
        <w:t xml:space="preserve"> </w:t>
      </w:r>
      <w:r w:rsidR="00AE2373" w:rsidRPr="00DB751B">
        <w:rPr>
          <w:rFonts w:cs="Times New Roman"/>
          <w:lang w:val="fr-CA"/>
        </w:rPr>
        <w:t>434, p. 436).</w:t>
      </w:r>
    </w:p>
    <w:p w14:paraId="7C9E189B"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Pour justifier le fait de contourner la jurisprudence de notre Cour, la majorité prétend que les précédents renversés s</w:t>
      </w:r>
      <w:r>
        <w:rPr>
          <w:rFonts w:cs="Times New Roman"/>
          <w:lang w:val="fr-CA"/>
        </w:rPr>
        <w:t>’</w:t>
      </w:r>
      <w:r w:rsidRPr="006B5BF6">
        <w:rPr>
          <w:rFonts w:cs="Times New Roman"/>
          <w:lang w:val="fr-CA"/>
        </w:rPr>
        <w:t xml:space="preserve">écartent </w:t>
      </w:r>
      <w:r w:rsidRPr="006B5BF6">
        <w:rPr>
          <w:rFonts w:cs="Times New Roman"/>
          <w:i/>
          <w:lang w:val="fr-CA"/>
        </w:rPr>
        <w:t>eux</w:t>
      </w:r>
      <w:r w:rsidRPr="006B5BF6">
        <w:rPr>
          <w:rFonts w:cs="Times New Roman"/>
          <w:i/>
          <w:lang w:val="fr-CA"/>
        </w:rPr>
        <w:noBreakHyphen/>
        <w:t>mêmes</w:t>
      </w:r>
      <w:r w:rsidRPr="006B5BF6">
        <w:rPr>
          <w:rFonts w:cs="Times New Roman"/>
          <w:lang w:val="fr-CA"/>
        </w:rPr>
        <w:t xml:space="preserve"> de la manière dont l</w:t>
      </w:r>
      <w:r>
        <w:rPr>
          <w:rFonts w:cs="Times New Roman"/>
          <w:lang w:val="fr-CA"/>
        </w:rPr>
        <w:t>’</w:t>
      </w:r>
      <w:r w:rsidRPr="006B5BF6">
        <w:rPr>
          <w:rFonts w:cs="Times New Roman"/>
          <w:lang w:val="fr-CA"/>
        </w:rPr>
        <w:t>analyse pragmatique et fonctionnelle aborde les droits d</w:t>
      </w:r>
      <w:r>
        <w:rPr>
          <w:rFonts w:cs="Times New Roman"/>
          <w:lang w:val="fr-CA"/>
        </w:rPr>
        <w:t>’</w:t>
      </w:r>
      <w:r w:rsidRPr="006B5BF6">
        <w:rPr>
          <w:rFonts w:cs="Times New Roman"/>
          <w:lang w:val="fr-CA"/>
        </w:rPr>
        <w:t>appel conférés par la loi. Avec égards, cette affirmation est inexacte. Depuis l</w:t>
      </w:r>
      <w:r>
        <w:rPr>
          <w:rFonts w:cs="Times New Roman"/>
          <w:lang w:val="fr-CA"/>
        </w:rPr>
        <w:t>’</w:t>
      </w:r>
      <w:r w:rsidRPr="006B5BF6">
        <w:rPr>
          <w:rFonts w:cs="Times New Roman"/>
          <w:lang w:val="fr-CA"/>
        </w:rPr>
        <w:t xml:space="preserve">arrêt </w:t>
      </w:r>
      <w:r w:rsidRPr="006B5BF6">
        <w:rPr>
          <w:rFonts w:cs="Times New Roman"/>
          <w:i/>
          <w:lang w:val="fr-CA"/>
        </w:rPr>
        <w:t xml:space="preserve">Bell Canada (1989) </w:t>
      </w:r>
      <w:r w:rsidRPr="006B5BF6">
        <w:rPr>
          <w:rFonts w:cs="Times New Roman"/>
          <w:lang w:val="fr-CA"/>
        </w:rPr>
        <w:t>et dans plusieurs décisions subséquentes décrites précédemment dans les présents motifs, les droits d</w:t>
      </w:r>
      <w:r>
        <w:rPr>
          <w:rFonts w:cs="Times New Roman"/>
          <w:lang w:val="fr-CA"/>
        </w:rPr>
        <w:t>’</w:t>
      </w:r>
      <w:r w:rsidRPr="006B5BF6">
        <w:rPr>
          <w:rFonts w:cs="Times New Roman"/>
          <w:lang w:val="fr-CA"/>
        </w:rPr>
        <w:t>appel accordés par la loi ne sont presque pas ou pas du tout entrés en ligne de compte dans l</w:t>
      </w:r>
      <w:r>
        <w:rPr>
          <w:rFonts w:cs="Times New Roman"/>
          <w:lang w:val="fr-CA"/>
        </w:rPr>
        <w:t>’</w:t>
      </w:r>
      <w:r w:rsidRPr="006B5BF6">
        <w:rPr>
          <w:rFonts w:cs="Times New Roman"/>
          <w:lang w:val="fr-CA"/>
        </w:rPr>
        <w:t xml:space="preserve">analyse relative à la norme de contrôle. De surcroît, dans les arrêts antérieurs à </w:t>
      </w:r>
      <w:r w:rsidRPr="006B5BF6">
        <w:rPr>
          <w:rFonts w:cs="Times New Roman"/>
          <w:i/>
          <w:lang w:val="fr-CA"/>
        </w:rPr>
        <w:t>Dunsmuir</w:t>
      </w:r>
      <w:r w:rsidRPr="006B5BF6">
        <w:rPr>
          <w:rFonts w:cs="Times New Roman"/>
          <w:lang w:val="fr-CA"/>
        </w:rPr>
        <w:t>, les droits d</w:t>
      </w:r>
      <w:r>
        <w:rPr>
          <w:rFonts w:cs="Times New Roman"/>
          <w:lang w:val="fr-CA"/>
        </w:rPr>
        <w:t>’</w:t>
      </w:r>
      <w:r w:rsidRPr="006B5BF6">
        <w:rPr>
          <w:rFonts w:cs="Times New Roman"/>
          <w:lang w:val="fr-CA"/>
        </w:rPr>
        <w:t>appel conférés par la loi n</w:t>
      </w:r>
      <w:r>
        <w:rPr>
          <w:rFonts w:cs="Times New Roman"/>
          <w:lang w:val="fr-CA"/>
        </w:rPr>
        <w:t>’</w:t>
      </w:r>
      <w:r w:rsidRPr="006B5BF6">
        <w:rPr>
          <w:rFonts w:cs="Times New Roman"/>
          <w:lang w:val="fr-CA"/>
        </w:rPr>
        <w:t xml:space="preserve">étaient encore perçus que </w:t>
      </w:r>
      <w:r w:rsidRPr="006B5BF6">
        <w:rPr>
          <w:rFonts w:cs="Times New Roman"/>
          <w:lang w:val="fr-CA"/>
        </w:rPr>
        <w:lastRenderedPageBreak/>
        <w:t>comme un facteur parmi d</w:t>
      </w:r>
      <w:r>
        <w:rPr>
          <w:rFonts w:cs="Times New Roman"/>
          <w:lang w:val="fr-CA"/>
        </w:rPr>
        <w:t>’</w:t>
      </w:r>
      <w:r w:rsidRPr="006B5BF6">
        <w:rPr>
          <w:rFonts w:cs="Times New Roman"/>
          <w:lang w:val="fr-CA"/>
        </w:rPr>
        <w:t xml:space="preserve">autres et </w:t>
      </w:r>
      <w:r w:rsidRPr="006B5BF6">
        <w:rPr>
          <w:rFonts w:cs="Times New Roman"/>
          <w:i/>
          <w:lang w:val="fr-CA"/>
        </w:rPr>
        <w:t>non</w:t>
      </w:r>
      <w:r w:rsidRPr="006B5BF6">
        <w:rPr>
          <w:rFonts w:cs="Times New Roman"/>
          <w:lang w:val="fr-CA"/>
        </w:rPr>
        <w:t xml:space="preserve"> comme des indices sans équivoque d</w:t>
      </w:r>
      <w:r>
        <w:rPr>
          <w:rFonts w:cs="Times New Roman"/>
          <w:lang w:val="fr-CA"/>
        </w:rPr>
        <w:t>’</w:t>
      </w:r>
      <w:r w:rsidRPr="006B5BF6">
        <w:rPr>
          <w:rFonts w:cs="Times New Roman"/>
          <w:lang w:val="fr-CA"/>
        </w:rPr>
        <w:t xml:space="preserve">un contrôle selon la norme de la décision correcte (voir, par exemple, </w:t>
      </w:r>
      <w:r w:rsidRPr="006B5BF6">
        <w:rPr>
          <w:rFonts w:cs="Times New Roman"/>
          <w:i/>
          <w:lang w:val="fr-CA"/>
        </w:rPr>
        <w:t>Canada (Sous</w:t>
      </w:r>
      <w:r w:rsidRPr="006B5BF6">
        <w:rPr>
          <w:rFonts w:cs="Times New Roman"/>
          <w:i/>
          <w:lang w:val="fr-CA"/>
        </w:rPr>
        <w:noBreakHyphen/>
        <w:t>ministre du Revenu national) c. Mattel Canada Inc.</w:t>
      </w:r>
      <w:r w:rsidRPr="006B5BF6">
        <w:rPr>
          <w:rFonts w:cs="Times New Roman"/>
          <w:lang w:val="fr-CA"/>
        </w:rPr>
        <w:t>, [2001] 2 R.C.S. 100, par. 27</w:t>
      </w:r>
      <w:r w:rsidRPr="006B5BF6">
        <w:rPr>
          <w:rFonts w:cs="Times New Roman"/>
          <w:lang w:val="fr-CA"/>
        </w:rPr>
        <w:noBreakHyphen/>
        <w:t xml:space="preserve">33; </w:t>
      </w:r>
      <w:r w:rsidRPr="006B5BF6">
        <w:rPr>
          <w:rFonts w:cs="Times New Roman"/>
          <w:i/>
          <w:lang w:val="fr-CA"/>
        </w:rPr>
        <w:t>Chieu c. Canada (Ministre de la Citoyenneté et de l</w:t>
      </w:r>
      <w:r>
        <w:rPr>
          <w:rFonts w:cs="Times New Roman"/>
          <w:i/>
          <w:lang w:val="fr-CA"/>
        </w:rPr>
        <w:t>’</w:t>
      </w:r>
      <w:r w:rsidRPr="006B5BF6">
        <w:rPr>
          <w:rFonts w:cs="Times New Roman"/>
          <w:i/>
          <w:lang w:val="fr-CA"/>
        </w:rPr>
        <w:t>Immigration)</w:t>
      </w:r>
      <w:r w:rsidRPr="006B5BF6">
        <w:rPr>
          <w:rFonts w:cs="Times New Roman"/>
          <w:lang w:val="fr-CA"/>
        </w:rPr>
        <w:t>, [2002] 1 R.C.S. 84, par. 23</w:t>
      </w:r>
      <w:r w:rsidRPr="006B5BF6">
        <w:rPr>
          <w:rFonts w:cs="Times New Roman"/>
          <w:lang w:val="fr-CA"/>
        </w:rPr>
        <w:noBreakHyphen/>
        <w:t xml:space="preserve">24; </w:t>
      </w:r>
      <w:r w:rsidRPr="006B5BF6">
        <w:rPr>
          <w:rFonts w:cs="Times New Roman"/>
          <w:i/>
          <w:lang w:val="fr-CA"/>
        </w:rPr>
        <w:t>Harvard College c. Canada (Commissaire aux brevets)</w:t>
      </w:r>
      <w:r w:rsidRPr="006B5BF6">
        <w:rPr>
          <w:rFonts w:cs="Times New Roman"/>
          <w:lang w:val="fr-CA"/>
        </w:rPr>
        <w:t>, [2002] 4 R.C.S. 45, par. 149</w:t>
      </w:r>
      <w:r w:rsidRPr="006B5BF6">
        <w:rPr>
          <w:rFonts w:cs="Times New Roman"/>
          <w:lang w:val="fr-CA"/>
        </w:rPr>
        <w:noBreakHyphen/>
        <w:t>151). Tant nos décisions qui ont précédé l</w:t>
      </w:r>
      <w:r>
        <w:rPr>
          <w:rFonts w:cs="Times New Roman"/>
          <w:lang w:val="fr-CA"/>
        </w:rPr>
        <w:t>’</w:t>
      </w:r>
      <w:r w:rsidRPr="006B5BF6">
        <w:rPr>
          <w:rFonts w:cs="Times New Roman"/>
          <w:lang w:val="fr-CA"/>
        </w:rPr>
        <w:t xml:space="preserve">arrêt </w:t>
      </w:r>
      <w:r w:rsidRPr="006B5BF6">
        <w:rPr>
          <w:rFonts w:cs="Times New Roman"/>
          <w:i/>
          <w:lang w:val="fr-CA"/>
        </w:rPr>
        <w:t xml:space="preserve">Dunsmuir </w:t>
      </w:r>
      <w:r w:rsidRPr="006B5BF6">
        <w:rPr>
          <w:rFonts w:cs="Times New Roman"/>
          <w:lang w:val="fr-CA"/>
        </w:rPr>
        <w:t>que celles qui l</w:t>
      </w:r>
      <w:r>
        <w:rPr>
          <w:rFonts w:cs="Times New Roman"/>
          <w:lang w:val="fr-CA"/>
        </w:rPr>
        <w:t>’</w:t>
      </w:r>
      <w:r w:rsidRPr="006B5BF6">
        <w:rPr>
          <w:rFonts w:cs="Times New Roman"/>
          <w:lang w:val="fr-CA"/>
        </w:rPr>
        <w:t>ont suivi sur les droits d</w:t>
      </w:r>
      <w:r>
        <w:rPr>
          <w:rFonts w:cs="Times New Roman"/>
          <w:lang w:val="fr-CA"/>
        </w:rPr>
        <w:t>’</w:t>
      </w:r>
      <w:r w:rsidRPr="006B5BF6">
        <w:rPr>
          <w:rFonts w:cs="Times New Roman"/>
          <w:lang w:val="fr-CA"/>
        </w:rPr>
        <w:t>appel conférés par la loi ont eu en commun l</w:t>
      </w:r>
      <w:r>
        <w:rPr>
          <w:rFonts w:cs="Times New Roman"/>
          <w:lang w:val="fr-CA"/>
        </w:rPr>
        <w:t>’</w:t>
      </w:r>
      <w:r w:rsidRPr="006B5BF6">
        <w:rPr>
          <w:rFonts w:cs="Times New Roman"/>
          <w:lang w:val="fr-CA"/>
        </w:rPr>
        <w:t>engagement indéfectible à déterminer la norme de contrôle applicable dans une instance administrative au moyen des principes de droit administratif, même lorsque les droits d</w:t>
      </w:r>
      <w:r>
        <w:rPr>
          <w:rFonts w:cs="Times New Roman"/>
          <w:lang w:val="fr-CA"/>
        </w:rPr>
        <w:t>’</w:t>
      </w:r>
      <w:r w:rsidRPr="006B5BF6">
        <w:rPr>
          <w:rFonts w:cs="Times New Roman"/>
          <w:lang w:val="fr-CA"/>
        </w:rPr>
        <w:t>appel entrent en jeu.</w:t>
      </w:r>
    </w:p>
    <w:p w14:paraId="5822FA9A" w14:textId="7E91E70C"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Pour la majorité, l</w:t>
      </w:r>
      <w:r>
        <w:rPr>
          <w:rFonts w:cs="Times New Roman"/>
          <w:lang w:val="fr-CA"/>
        </w:rPr>
        <w:t>’</w:t>
      </w:r>
      <w:r w:rsidRPr="006B5BF6">
        <w:rPr>
          <w:rFonts w:cs="Times New Roman"/>
          <w:lang w:val="fr-CA"/>
        </w:rPr>
        <w:t>élimination des facteurs contextuels semble justifier un remaniement de fond en comble de l</w:t>
      </w:r>
      <w:r>
        <w:rPr>
          <w:rFonts w:cs="Times New Roman"/>
          <w:lang w:val="fr-CA"/>
        </w:rPr>
        <w:t>’</w:t>
      </w:r>
      <w:r w:rsidRPr="006B5BF6">
        <w:rPr>
          <w:rFonts w:cs="Times New Roman"/>
          <w:lang w:val="fr-CA"/>
        </w:rPr>
        <w:t>ensemble du cadre d</w:t>
      </w:r>
      <w:r>
        <w:rPr>
          <w:rFonts w:cs="Times New Roman"/>
          <w:lang w:val="fr-CA"/>
        </w:rPr>
        <w:t>’</w:t>
      </w:r>
      <w:r w:rsidRPr="006B5BF6">
        <w:rPr>
          <w:rFonts w:cs="Times New Roman"/>
          <w:lang w:val="fr-CA"/>
        </w:rPr>
        <w:t>analyse du contrôle judiciaire. Pourtant, l</w:t>
      </w:r>
      <w:r>
        <w:rPr>
          <w:rFonts w:cs="Times New Roman"/>
          <w:lang w:val="fr-CA"/>
        </w:rPr>
        <w:t>’</w:t>
      </w:r>
      <w:r w:rsidRPr="006B5BF6">
        <w:rPr>
          <w:rFonts w:cs="Times New Roman"/>
          <w:lang w:val="fr-CA"/>
        </w:rPr>
        <w:t>élimination de l</w:t>
      </w:r>
      <w:r>
        <w:rPr>
          <w:rFonts w:cs="Times New Roman"/>
          <w:lang w:val="fr-CA"/>
        </w:rPr>
        <w:t>’</w:t>
      </w:r>
      <w:r w:rsidRPr="006B5BF6">
        <w:rPr>
          <w:rFonts w:cs="Times New Roman"/>
          <w:lang w:val="fr-CA"/>
        </w:rPr>
        <w:t>analyse contextuelle était pratiquement achevée dans notre jurisprudence post-</w:t>
      </w:r>
      <w:r w:rsidRPr="006B5BF6">
        <w:rPr>
          <w:rFonts w:cs="Times New Roman"/>
          <w:i/>
          <w:lang w:val="fr-CA"/>
        </w:rPr>
        <w:t>Dunsmuir</w:t>
      </w:r>
      <w:r w:rsidRPr="006B5BF6">
        <w:rPr>
          <w:rFonts w:cs="Times New Roman"/>
          <w:lang w:val="fr-CA"/>
        </w:rPr>
        <w:t xml:space="preserve"> et elle ne justifie pas les modifications fondamentales apportées au contrôle judiciaire par les juges majoritaires. Ni ces changements ni l</w:t>
      </w:r>
      <w:r>
        <w:rPr>
          <w:rFonts w:cs="Times New Roman"/>
          <w:lang w:val="fr-CA"/>
        </w:rPr>
        <w:t>’</w:t>
      </w:r>
      <w:r w:rsidRPr="006B5BF6">
        <w:rPr>
          <w:rFonts w:cs="Times New Roman"/>
          <w:lang w:val="fr-CA"/>
        </w:rPr>
        <w:t>affirmation de la majorité selon laquelle notre jurisprudence n</w:t>
      </w:r>
      <w:r>
        <w:rPr>
          <w:rFonts w:cs="Times New Roman"/>
          <w:lang w:val="fr-CA"/>
        </w:rPr>
        <w:t>’</w:t>
      </w:r>
      <w:r w:rsidRPr="006B5BF6">
        <w:rPr>
          <w:rFonts w:cs="Times New Roman"/>
          <w:lang w:val="fr-CA"/>
        </w:rPr>
        <w:t xml:space="preserve">est « pas clair[e] et [est] </w:t>
      </w:r>
      <w:r w:rsidRPr="006B5BF6">
        <w:rPr>
          <w:rFonts w:cs="Times New Roman"/>
          <w:noProof/>
          <w:lang w:val="fr-CA"/>
        </w:rPr>
        <w:t>indûment complex</w:t>
      </w:r>
      <w:r w:rsidR="006D2BF0">
        <w:rPr>
          <w:rFonts w:cs="Times New Roman"/>
          <w:noProof/>
          <w:lang w:val="fr-CA"/>
        </w:rPr>
        <w:t>[</w:t>
      </w:r>
      <w:r w:rsidRPr="006B5BF6">
        <w:rPr>
          <w:rFonts w:cs="Times New Roman"/>
          <w:noProof/>
          <w:lang w:val="fr-CA"/>
        </w:rPr>
        <w:t xml:space="preserve">e] » </w:t>
      </w:r>
      <w:r w:rsidRPr="006B5BF6">
        <w:rPr>
          <w:rFonts w:cs="Times New Roman"/>
          <w:lang w:val="fr-CA"/>
        </w:rPr>
        <w:t>ne permettent du jour au lendemain d</w:t>
      </w:r>
      <w:r>
        <w:rPr>
          <w:rFonts w:cs="Times New Roman"/>
          <w:lang w:val="fr-CA"/>
        </w:rPr>
        <w:t>’</w:t>
      </w:r>
      <w:r w:rsidRPr="006B5BF6">
        <w:rPr>
          <w:rFonts w:cs="Times New Roman"/>
          <w:lang w:val="fr-CA"/>
        </w:rPr>
        <w:t>affirmer qu</w:t>
      </w:r>
      <w:r>
        <w:rPr>
          <w:rFonts w:cs="Times New Roman"/>
          <w:lang w:val="fr-CA"/>
        </w:rPr>
        <w:t>’</w:t>
      </w:r>
      <w:r w:rsidRPr="006B5BF6">
        <w:rPr>
          <w:rFonts w:cs="Times New Roman"/>
          <w:lang w:val="fr-CA"/>
        </w:rPr>
        <w:t xml:space="preserve">on peut légitimement remettre en question </w:t>
      </w:r>
      <w:r w:rsidRPr="006B5BF6">
        <w:rPr>
          <w:rFonts w:cs="Times New Roman"/>
          <w:i/>
          <w:lang w:val="fr-CA"/>
        </w:rPr>
        <w:t>toutes</w:t>
      </w:r>
      <w:r w:rsidRPr="006B5BF6">
        <w:rPr>
          <w:rFonts w:cs="Times New Roman"/>
          <w:lang w:val="fr-CA"/>
        </w:rPr>
        <w:t xml:space="preserve"> les décisions que nous avons rendues en droit administratif — même celles qui n</w:t>
      </w:r>
      <w:r>
        <w:rPr>
          <w:rFonts w:cs="Times New Roman"/>
          <w:lang w:val="fr-CA"/>
        </w:rPr>
        <w:t>’</w:t>
      </w:r>
      <w:r w:rsidRPr="006B5BF6">
        <w:rPr>
          <w:rFonts w:cs="Times New Roman"/>
          <w:lang w:val="fr-CA"/>
        </w:rPr>
        <w:t>ont rien à voir avec les problèmes d</w:t>
      </w:r>
      <w:r>
        <w:rPr>
          <w:rFonts w:cs="Times New Roman"/>
          <w:lang w:val="fr-CA"/>
        </w:rPr>
        <w:t>’</w:t>
      </w:r>
      <w:r w:rsidRPr="006B5BF6">
        <w:rPr>
          <w:rFonts w:cs="Times New Roman"/>
          <w:lang w:val="fr-CA"/>
        </w:rPr>
        <w:t>ordre pratique engendrés par l</w:t>
      </w:r>
      <w:r>
        <w:rPr>
          <w:rFonts w:cs="Times New Roman"/>
          <w:lang w:val="fr-CA"/>
        </w:rPr>
        <w:t>’</w:t>
      </w:r>
      <w:r w:rsidRPr="006B5BF6">
        <w:rPr>
          <w:rFonts w:cs="Times New Roman"/>
          <w:lang w:val="fr-CA"/>
        </w:rPr>
        <w:t>application de l</w:t>
      </w:r>
      <w:r>
        <w:rPr>
          <w:rFonts w:cs="Times New Roman"/>
          <w:lang w:val="fr-CA"/>
        </w:rPr>
        <w:t>’</w:t>
      </w:r>
      <w:r w:rsidRPr="006B5BF6">
        <w:rPr>
          <w:rFonts w:cs="Times New Roman"/>
          <w:lang w:val="fr-CA"/>
        </w:rPr>
        <w:t xml:space="preserve">arrêt </w:t>
      </w:r>
      <w:r w:rsidRPr="006B5BF6">
        <w:rPr>
          <w:rFonts w:cs="Times New Roman"/>
          <w:i/>
          <w:iCs/>
          <w:lang w:val="fr-CA"/>
        </w:rPr>
        <w:t>Dunsmuir</w:t>
      </w:r>
      <w:r w:rsidRPr="006B5BF6">
        <w:rPr>
          <w:rFonts w:cs="Times New Roman"/>
          <w:lang w:val="fr-CA"/>
        </w:rPr>
        <w:t>.</w:t>
      </w:r>
    </w:p>
    <w:p w14:paraId="50F4CF5E"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Notre Cour provoque ainsi un revirement jurisprudentiel qui concerne l</w:t>
      </w:r>
      <w:r>
        <w:rPr>
          <w:rFonts w:cs="Times New Roman"/>
          <w:lang w:val="fr-CA"/>
        </w:rPr>
        <w:t>’</w:t>
      </w:r>
      <w:r w:rsidRPr="006B5BF6">
        <w:rPr>
          <w:rFonts w:cs="Times New Roman"/>
          <w:lang w:val="fr-CA"/>
        </w:rPr>
        <w:t>ensemble d</w:t>
      </w:r>
      <w:r>
        <w:rPr>
          <w:rFonts w:cs="Times New Roman"/>
          <w:lang w:val="fr-CA"/>
        </w:rPr>
        <w:t>’</w:t>
      </w:r>
      <w:r w:rsidRPr="006B5BF6">
        <w:rPr>
          <w:rFonts w:cs="Times New Roman"/>
          <w:lang w:val="fr-CA"/>
        </w:rPr>
        <w:t>un domaine du droit en écartant une longue série de précédents bien établis et récemment confirmés, dont plusieurs arrêts rendus à l</w:t>
      </w:r>
      <w:r>
        <w:rPr>
          <w:rFonts w:cs="Times New Roman"/>
          <w:lang w:val="fr-CA"/>
        </w:rPr>
        <w:t>’</w:t>
      </w:r>
      <w:r w:rsidRPr="006B5BF6">
        <w:rPr>
          <w:rFonts w:cs="Times New Roman"/>
          <w:lang w:val="fr-CA"/>
        </w:rPr>
        <w:t xml:space="preserve">unanimité ou à forte </w:t>
      </w:r>
      <w:r w:rsidRPr="006B5BF6">
        <w:rPr>
          <w:rFonts w:cs="Times New Roman"/>
          <w:lang w:val="fr-CA"/>
        </w:rPr>
        <w:lastRenderedPageBreak/>
        <w:t>majorité. Il n</w:t>
      </w:r>
      <w:r>
        <w:rPr>
          <w:rFonts w:cs="Times New Roman"/>
          <w:lang w:val="fr-CA"/>
        </w:rPr>
        <w:t>’</w:t>
      </w:r>
      <w:r w:rsidRPr="006B5BF6">
        <w:rPr>
          <w:rFonts w:cs="Times New Roman"/>
          <w:lang w:val="fr-CA"/>
        </w:rPr>
        <w:t>existe aucune raison logique justifiant une rupture aussi nette avec la jurisprudence existante de la Cour.</w:t>
      </w:r>
    </w:p>
    <w:p w14:paraId="5AC438CA" w14:textId="77777777" w:rsidR="00AE2373" w:rsidRPr="006B5BF6" w:rsidRDefault="00AE2373" w:rsidP="00AE2373">
      <w:pPr>
        <w:pStyle w:val="ParaNoNdepar-AltN"/>
        <w:numPr>
          <w:ilvl w:val="0"/>
          <w:numId w:val="0"/>
        </w:numPr>
        <w:tabs>
          <w:tab w:val="left" w:pos="720"/>
        </w:tabs>
        <w:rPr>
          <w:rFonts w:cs="Times New Roman"/>
          <w:u w:val="single"/>
          <w:lang w:val="fr-CA"/>
        </w:rPr>
      </w:pPr>
      <w:r w:rsidRPr="006B5BF6">
        <w:rPr>
          <w:rFonts w:cs="Times New Roman"/>
          <w:u w:val="single"/>
          <w:lang w:val="fr-CA"/>
        </w:rPr>
        <w:t>Un regard vers l</w:t>
      </w:r>
      <w:r>
        <w:rPr>
          <w:rFonts w:cs="Times New Roman"/>
          <w:u w:val="single"/>
          <w:lang w:val="fr-CA"/>
        </w:rPr>
        <w:t>’</w:t>
      </w:r>
      <w:r w:rsidRPr="006B5BF6">
        <w:rPr>
          <w:rFonts w:cs="Times New Roman"/>
          <w:u w:val="single"/>
          <w:lang w:val="fr-CA"/>
        </w:rPr>
        <w:t>avenir</w:t>
      </w:r>
    </w:p>
    <w:p w14:paraId="34C38FF3" w14:textId="138D7982"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À notre avis, il y a lieu, lorsque vient le temps de modifier nos décisions antérieures, d</w:t>
      </w:r>
      <w:r>
        <w:rPr>
          <w:rFonts w:cs="Times New Roman"/>
          <w:lang w:val="fr-CA"/>
        </w:rPr>
        <w:t>’</w:t>
      </w:r>
      <w:r w:rsidRPr="006B5BF6">
        <w:rPr>
          <w:rFonts w:cs="Times New Roman"/>
          <w:lang w:val="fr-CA"/>
        </w:rPr>
        <w:t>adopter une approche plus modeste qui ne prévoit la modification que de ce qui est nécessaire — et pas plus — pour clarifier le droit et son application. [</w:t>
      </w:r>
      <w:r w:rsidRPr="006B5BF6">
        <w:rPr>
          <w:rFonts w:cs="Times New Roman"/>
          <w:smallCaps/>
          <w:lang w:val="fr-CA"/>
        </w:rPr>
        <w:t>traduction</w:t>
      </w:r>
      <w:r w:rsidRPr="006B5BF6">
        <w:rPr>
          <w:rFonts w:cs="Times New Roman"/>
          <w:lang w:val="fr-CA"/>
        </w:rPr>
        <w:t>] « </w:t>
      </w:r>
      <w:r w:rsidR="00B03AAC">
        <w:rPr>
          <w:rFonts w:cs="Times New Roman"/>
          <w:lang w:val="fr-CA"/>
        </w:rPr>
        <w:t>[</w:t>
      </w:r>
      <w:r w:rsidRPr="006B5BF6">
        <w:rPr>
          <w:rFonts w:cs="Times New Roman"/>
          <w:lang w:val="fr-CA"/>
        </w:rPr>
        <w:t>L</w:t>
      </w:r>
      <w:r w:rsidR="00B03AAC">
        <w:rPr>
          <w:rFonts w:cs="Times New Roman"/>
          <w:lang w:val="fr-CA"/>
        </w:rPr>
        <w:t>]</w:t>
      </w:r>
      <w:r w:rsidRPr="006B5BF6">
        <w:rPr>
          <w:rFonts w:cs="Times New Roman"/>
          <w:lang w:val="fr-CA"/>
        </w:rPr>
        <w:t>orsqu</w:t>
      </w:r>
      <w:r>
        <w:rPr>
          <w:rFonts w:cs="Times New Roman"/>
          <w:lang w:val="fr-CA"/>
        </w:rPr>
        <w:t>’</w:t>
      </w:r>
      <w:r w:rsidRPr="006B5BF6">
        <w:rPr>
          <w:rFonts w:cs="Times New Roman"/>
          <w:lang w:val="fr-CA"/>
        </w:rPr>
        <w:t>un tribunal choisit d</w:t>
      </w:r>
      <w:r>
        <w:rPr>
          <w:rFonts w:cs="Times New Roman"/>
          <w:lang w:val="fr-CA"/>
        </w:rPr>
        <w:t>’</w:t>
      </w:r>
      <w:r w:rsidRPr="006B5BF6">
        <w:rPr>
          <w:rFonts w:cs="Times New Roman"/>
          <w:lang w:val="fr-CA"/>
        </w:rPr>
        <w:t>écarter ses propres précédents, il doit le faire avec prudence et modération et en tenant dûment compte de toutes les considérations importantes qui sous</w:t>
      </w:r>
      <w:r w:rsidRPr="006B5BF6">
        <w:rPr>
          <w:rFonts w:cs="Times New Roman"/>
          <w:lang w:val="fr-CA"/>
        </w:rPr>
        <w:noBreakHyphen/>
        <w:t xml:space="preserve">tendent la doctrine » (Garner et </w:t>
      </w:r>
      <w:r w:rsidR="00231D0B">
        <w:rPr>
          <w:rFonts w:cs="Times New Roman"/>
          <w:lang w:val="fr-CA"/>
        </w:rPr>
        <w:t>autres</w:t>
      </w:r>
      <w:r w:rsidRPr="006B5BF6">
        <w:rPr>
          <w:rFonts w:cs="Times New Roman"/>
          <w:lang w:val="fr-CA"/>
        </w:rPr>
        <w:t>, p. 41</w:t>
      </w:r>
      <w:r w:rsidRPr="006B5BF6">
        <w:rPr>
          <w:rFonts w:cs="Times New Roman"/>
          <w:lang w:val="fr-CA"/>
        </w:rPr>
        <w:noBreakHyphen/>
        <w:t>42). Cette approche en matière de modification de la jurisprudence préserve l</w:t>
      </w:r>
      <w:r>
        <w:rPr>
          <w:rFonts w:cs="Times New Roman"/>
          <w:lang w:val="fr-CA"/>
        </w:rPr>
        <w:t>’</w:t>
      </w:r>
      <w:r w:rsidRPr="006B5BF6">
        <w:rPr>
          <w:rFonts w:cs="Times New Roman"/>
          <w:lang w:val="fr-CA"/>
        </w:rPr>
        <w:t>intégrité du processus judiciaire et, sur un plan plus théorique, celle du droit lui</w:t>
      </w:r>
      <w:r w:rsidRPr="006B5BF6">
        <w:rPr>
          <w:rFonts w:cs="Times New Roman"/>
          <w:lang w:val="fr-CA"/>
        </w:rPr>
        <w:noBreakHyphen/>
        <w:t>même en tant que construit social. Michael J. Gerhardt résume cette approche avec éloquence</w:t>
      </w:r>
      <w:r w:rsidR="00993B8C">
        <w:rPr>
          <w:rFonts w:cs="Times New Roman"/>
          <w:lang w:val="fr-CA"/>
        </w:rPr>
        <w:t> </w:t>
      </w:r>
      <w:r w:rsidRPr="006B5BF6">
        <w:rPr>
          <w:rFonts w:cs="Times New Roman"/>
          <w:lang w:val="fr-CA"/>
        </w:rPr>
        <w:t>:</w:t>
      </w:r>
    </w:p>
    <w:p w14:paraId="499DBD8C" w14:textId="21536EB4" w:rsidR="00AE2373" w:rsidRPr="006B5BF6" w:rsidRDefault="00AE2373" w:rsidP="00AE2373">
      <w:pPr>
        <w:pStyle w:val="Citation-AltC"/>
        <w:ind w:hanging="446"/>
        <w:contextualSpacing w:val="0"/>
        <w:rPr>
          <w:lang w:val="fr-CA"/>
        </w:rPr>
      </w:pPr>
      <w:r w:rsidRPr="006B5BF6">
        <w:rPr>
          <w:lang w:val="fr-CA"/>
        </w:rPr>
        <w:tab/>
      </w:r>
      <w:r w:rsidR="003E777B" w:rsidRPr="006B5BF6">
        <w:rPr>
          <w:lang w:val="fr-CA"/>
        </w:rPr>
        <w:t>[</w:t>
      </w:r>
      <w:r w:rsidR="003E777B" w:rsidRPr="006B5BF6">
        <w:rPr>
          <w:smallCaps/>
          <w:lang w:val="fr-CA"/>
        </w:rPr>
        <w:t>traduction</w:t>
      </w:r>
      <w:r w:rsidR="003E777B" w:rsidRPr="006B5BF6">
        <w:rPr>
          <w:lang w:val="fr-CA"/>
        </w:rPr>
        <w:t>]</w:t>
      </w:r>
      <w:r w:rsidR="003E777B">
        <w:rPr>
          <w:lang w:val="fr-CA"/>
        </w:rPr>
        <w:t xml:space="preserve"> </w:t>
      </w:r>
      <w:r w:rsidRPr="006B5BF6">
        <w:rPr>
          <w:lang w:val="fr-CA"/>
        </w:rPr>
        <w:t>La modestie judiciaire est [. . .] une disposition à respecter les précédents (qui incarnent les opinions d</w:t>
      </w:r>
      <w:r>
        <w:rPr>
          <w:lang w:val="fr-CA"/>
        </w:rPr>
        <w:t>’</w:t>
      </w:r>
      <w:r w:rsidRPr="006B5BF6">
        <w:rPr>
          <w:lang w:val="fr-CA"/>
        </w:rPr>
        <w:t>autrui), par la volonté de tirer des leçons de leur expérience et de celle des autres, et à trancher les affaires de façon progressive pour minimiser toute contradiction avec les opinions antérieures de la Cour ou d</w:t>
      </w:r>
      <w:r>
        <w:rPr>
          <w:lang w:val="fr-CA"/>
        </w:rPr>
        <w:t>’</w:t>
      </w:r>
      <w:r w:rsidRPr="006B5BF6">
        <w:rPr>
          <w:lang w:val="fr-CA"/>
        </w:rPr>
        <w:t>autres acteurs constitutionnels. [p. 7]</w:t>
      </w:r>
    </w:p>
    <w:p w14:paraId="437D7AA0"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 xml:space="preserve">La modestie judiciaire favorise une évolution responsable de la common law. Lord Bingham a expliqué cette conception dans son ouvrage célèbre, </w:t>
      </w:r>
      <w:r w:rsidRPr="006B5BF6">
        <w:rPr>
          <w:rFonts w:cs="Times New Roman"/>
          <w:i/>
          <w:lang w:val="fr-CA"/>
        </w:rPr>
        <w:t xml:space="preserve">The Rule of Law </w:t>
      </w:r>
      <w:r w:rsidRPr="006B5BF6">
        <w:rPr>
          <w:rFonts w:cs="Times New Roman"/>
          <w:lang w:val="fr-CA"/>
        </w:rPr>
        <w:t>(2010) :</w:t>
      </w:r>
    </w:p>
    <w:p w14:paraId="176F6FE7" w14:textId="42D07B99" w:rsidR="00AE2373" w:rsidRPr="003E777B" w:rsidRDefault="00AE2373" w:rsidP="00AE2373">
      <w:pPr>
        <w:pStyle w:val="Citation-AltC"/>
        <w:spacing w:after="240"/>
        <w:ind w:hanging="446"/>
        <w:contextualSpacing w:val="0"/>
        <w:rPr>
          <w:lang w:val="en-US"/>
        </w:rPr>
      </w:pPr>
      <w:r w:rsidRPr="006B5BF6">
        <w:rPr>
          <w:lang w:val="fr-CA"/>
        </w:rPr>
        <w:tab/>
      </w:r>
      <w:r w:rsidR="003E777B" w:rsidRPr="006B5BF6">
        <w:rPr>
          <w:smallCaps/>
          <w:lang w:val="fr-CA"/>
        </w:rPr>
        <w:t>[traduction]</w:t>
      </w:r>
      <w:r w:rsidR="003E777B">
        <w:rPr>
          <w:smallCaps/>
          <w:lang w:val="fr-CA"/>
        </w:rPr>
        <w:t xml:space="preserve"> </w:t>
      </w:r>
      <w:r w:rsidRPr="006B5BF6">
        <w:rPr>
          <w:lang w:val="fr-CA"/>
        </w:rPr>
        <w:t>. . .</w:t>
      </w:r>
      <w:r>
        <w:rPr>
          <w:lang w:val="fr-CA"/>
        </w:rPr>
        <w:t xml:space="preserve"> </w:t>
      </w:r>
      <w:r w:rsidRPr="006B5BF6">
        <w:rPr>
          <w:lang w:val="fr-CA"/>
        </w:rPr>
        <w:t>c</w:t>
      </w:r>
      <w:r>
        <w:rPr>
          <w:lang w:val="fr-CA"/>
        </w:rPr>
        <w:t>’</w:t>
      </w:r>
      <w:r w:rsidRPr="006B5BF6">
        <w:rPr>
          <w:lang w:val="fr-CA"/>
        </w:rPr>
        <w:t>est une chose de poursuivre la tendance déjà entamée par le droit ou encore d</w:t>
      </w:r>
      <w:r>
        <w:rPr>
          <w:lang w:val="fr-CA"/>
        </w:rPr>
        <w:t>’</w:t>
      </w:r>
      <w:r w:rsidRPr="006B5BF6">
        <w:rPr>
          <w:lang w:val="fr-CA"/>
        </w:rPr>
        <w:t>adapter celui</w:t>
      </w:r>
      <w:r w:rsidRPr="006B5BF6">
        <w:rPr>
          <w:lang w:val="fr-CA"/>
        </w:rPr>
        <w:noBreakHyphen/>
        <w:t>ci aux perspectives et aux réalités actuelles; c</w:t>
      </w:r>
      <w:r>
        <w:rPr>
          <w:lang w:val="fr-CA"/>
        </w:rPr>
        <w:t>’</w:t>
      </w:r>
      <w:r w:rsidRPr="006B5BF6">
        <w:rPr>
          <w:lang w:val="fr-CA"/>
        </w:rPr>
        <w:t>en est une autre de chercher à reformuler le droit d</w:t>
      </w:r>
      <w:r>
        <w:rPr>
          <w:lang w:val="fr-CA"/>
        </w:rPr>
        <w:t>’</w:t>
      </w:r>
      <w:r w:rsidRPr="006B5BF6">
        <w:rPr>
          <w:lang w:val="fr-CA"/>
        </w:rPr>
        <w:t xml:space="preserve">une manière radicalement novatrice ou hasardeuse : on rend ainsi le droit incertain et </w:t>
      </w:r>
      <w:r w:rsidRPr="006B5BF6">
        <w:rPr>
          <w:lang w:val="fr-CA"/>
        </w:rPr>
        <w:lastRenderedPageBreak/>
        <w:t>imprévisible, des éléments qui sont l</w:t>
      </w:r>
      <w:r>
        <w:rPr>
          <w:lang w:val="fr-CA"/>
        </w:rPr>
        <w:t>’</w:t>
      </w:r>
      <w:r w:rsidRPr="006B5BF6">
        <w:rPr>
          <w:lang w:val="fr-CA"/>
        </w:rPr>
        <w:t>antithèse de la primauté du droit</w:t>
      </w:r>
      <w:r w:rsidR="003E777B">
        <w:rPr>
          <w:lang w:val="fr-CA"/>
        </w:rPr>
        <w:t xml:space="preserve">. </w:t>
      </w:r>
      <w:r w:rsidR="003E777B" w:rsidRPr="003E777B">
        <w:rPr>
          <w:lang w:val="en-US"/>
        </w:rPr>
        <w:t>[p. 45</w:t>
      </w:r>
      <w:r w:rsidR="003E777B" w:rsidRPr="003E777B">
        <w:rPr>
          <w:lang w:val="en-US"/>
        </w:rPr>
        <w:noBreakHyphen/>
        <w:t>46]</w:t>
      </w:r>
    </w:p>
    <w:p w14:paraId="2924AFC9" w14:textId="19F964E3" w:rsidR="00AE2373" w:rsidRPr="006B5BF6" w:rsidRDefault="00AE2373" w:rsidP="003E777B">
      <w:pPr>
        <w:pStyle w:val="Citation-AltC"/>
        <w:ind w:left="0"/>
        <w:contextualSpacing w:val="0"/>
      </w:pPr>
      <w:r w:rsidRPr="006B5BF6">
        <w:t xml:space="preserve">(Voir également Robert J. Sharpe, </w:t>
      </w:r>
      <w:r w:rsidRPr="006B5BF6">
        <w:rPr>
          <w:i/>
        </w:rPr>
        <w:t>Good Judgment</w:t>
      </w:r>
      <w:r w:rsidR="00CF1331">
        <w:rPr>
          <w:i/>
        </w:rPr>
        <w:t> </w:t>
      </w:r>
      <w:r w:rsidRPr="003E777B">
        <w:rPr>
          <w:i/>
        </w:rPr>
        <w:t>:</w:t>
      </w:r>
      <w:r w:rsidRPr="006B5BF6">
        <w:t xml:space="preserve"> </w:t>
      </w:r>
      <w:r w:rsidRPr="006B5BF6">
        <w:rPr>
          <w:i/>
        </w:rPr>
        <w:t>Making Judicial Decisions</w:t>
      </w:r>
      <w:r w:rsidRPr="006B5BF6">
        <w:t xml:space="preserve"> (2018), p. 93; Beverley McLachlin, « The Role of the Supreme Court of Canada in Shaping the Common Law »</w:t>
      </w:r>
      <w:r w:rsidR="003E777B">
        <w:t>,</w:t>
      </w:r>
      <w:r w:rsidRPr="006B5BF6">
        <w:t xml:space="preserve"> dans </w:t>
      </w:r>
      <w:r w:rsidR="003E777B" w:rsidRPr="006B5BF6">
        <w:t>Paul Daly, dir.</w:t>
      </w:r>
      <w:r w:rsidR="003E777B">
        <w:t>,</w:t>
      </w:r>
      <w:r w:rsidR="003E777B" w:rsidRPr="006B5BF6">
        <w:t xml:space="preserve"> </w:t>
      </w:r>
      <w:r w:rsidRPr="006B5BF6">
        <w:rPr>
          <w:i/>
        </w:rPr>
        <w:t>Apex Courts and the Common Law</w:t>
      </w:r>
      <w:r w:rsidR="003E777B">
        <w:t xml:space="preserve"> (</w:t>
      </w:r>
      <w:r w:rsidRPr="006B5BF6">
        <w:t>2019),</w:t>
      </w:r>
      <w:r w:rsidR="003E777B">
        <w:t xml:space="preserve"> 25,</w:t>
      </w:r>
      <w:r w:rsidRPr="006B5BF6">
        <w:t xml:space="preserve"> p. 35; </w:t>
      </w:r>
      <w:r w:rsidRPr="006B5BF6">
        <w:rPr>
          <w:rStyle w:val="Emphasis"/>
        </w:rPr>
        <w:t>R. c. Salituro</w:t>
      </w:r>
      <w:r w:rsidRPr="006B5BF6">
        <w:t xml:space="preserve">, [1991] 3 R.C.S. 654, p. 670; </w:t>
      </w:r>
      <w:r w:rsidRPr="006B5BF6">
        <w:rPr>
          <w:i/>
          <w:iCs/>
        </w:rPr>
        <w:t>Friedmann Equity Developments Inc. c. Final Note Ltd.</w:t>
      </w:r>
      <w:r w:rsidRPr="006B5BF6">
        <w:t xml:space="preserve">, [2000] 1 R.C.S. 842, par. 42; </w:t>
      </w:r>
      <w:r w:rsidRPr="006B5BF6">
        <w:rPr>
          <w:i/>
        </w:rPr>
        <w:t>R. c. Kang</w:t>
      </w:r>
      <w:r w:rsidRPr="006B5BF6">
        <w:rPr>
          <w:i/>
        </w:rPr>
        <w:noBreakHyphen/>
        <w:t>Brown</w:t>
      </w:r>
      <w:r w:rsidRPr="006B5BF6">
        <w:t>,</w:t>
      </w:r>
      <w:r w:rsidR="003E777B">
        <w:t xml:space="preserve"> [2008] 1 R.C.S. 456, par. 14-</w:t>
      </w:r>
      <w:r w:rsidRPr="006B5BF6">
        <w:t>1</w:t>
      </w:r>
      <w:r w:rsidR="003E777B">
        <w:t>6, le juge LeBel, et par. 73-</w:t>
      </w:r>
      <w:r w:rsidRPr="006B5BF6">
        <w:t>74, motifs concordants du juge Binnie.)</w:t>
      </w:r>
    </w:p>
    <w:p w14:paraId="7F7874B4"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Il ressort des propos de lord Bingham qu</w:t>
      </w:r>
      <w:r>
        <w:rPr>
          <w:rFonts w:cs="Times New Roman"/>
          <w:lang w:val="fr-CA"/>
        </w:rPr>
        <w:t>’</w:t>
      </w:r>
      <w:r w:rsidRPr="006B5BF6">
        <w:rPr>
          <w:rFonts w:cs="Times New Roman"/>
          <w:lang w:val="fr-CA"/>
        </w:rPr>
        <w:t>on doit trouver un équilibre subtil entre le maintien de la stabilité de la common law et l</w:t>
      </w:r>
      <w:r>
        <w:rPr>
          <w:rFonts w:cs="Times New Roman"/>
          <w:lang w:val="fr-CA"/>
        </w:rPr>
        <w:t>’</w:t>
      </w:r>
      <w:r w:rsidRPr="006B5BF6">
        <w:rPr>
          <w:rFonts w:cs="Times New Roman"/>
          <w:lang w:val="fr-CA"/>
        </w:rPr>
        <w:t>assurance que le droit est suffisamment souple et réceptif pour s</w:t>
      </w:r>
      <w:r>
        <w:rPr>
          <w:rFonts w:cs="Times New Roman"/>
          <w:lang w:val="fr-CA"/>
        </w:rPr>
        <w:t>’</w:t>
      </w:r>
      <w:r w:rsidRPr="006B5BF6">
        <w:rPr>
          <w:rFonts w:cs="Times New Roman"/>
          <w:lang w:val="fr-CA"/>
        </w:rPr>
        <w:t>adapter à de nouvelles réalités et à l</w:t>
      </w:r>
      <w:r>
        <w:rPr>
          <w:rFonts w:cs="Times New Roman"/>
          <w:lang w:val="fr-CA"/>
        </w:rPr>
        <w:t>’</w:t>
      </w:r>
      <w:r w:rsidRPr="006B5BF6">
        <w:rPr>
          <w:rFonts w:cs="Times New Roman"/>
          <w:lang w:val="fr-CA"/>
        </w:rPr>
        <w:t xml:space="preserve">évolution des normes sociales. La règle du </w:t>
      </w:r>
      <w:r w:rsidRPr="006B5BF6">
        <w:rPr>
          <w:rFonts w:cs="Times New Roman"/>
          <w:i/>
          <w:lang w:val="fr-CA"/>
        </w:rPr>
        <w:t>stare decisis</w:t>
      </w:r>
      <w:r w:rsidRPr="006B5BF6">
        <w:rPr>
          <w:rFonts w:cs="Times New Roman"/>
          <w:lang w:val="fr-CA"/>
        </w:rPr>
        <w:t xml:space="preserve"> joue un rôle essentiel pour maintenir cet équilibre et assurer le respect de la primauté du droit. Lorsque la règle du </w:t>
      </w:r>
      <w:r w:rsidRPr="006B5BF6">
        <w:rPr>
          <w:rFonts w:cs="Times New Roman"/>
          <w:i/>
          <w:lang w:val="fr-CA"/>
        </w:rPr>
        <w:t xml:space="preserve">stare decisis </w:t>
      </w:r>
      <w:r w:rsidRPr="006B5BF6">
        <w:rPr>
          <w:rFonts w:cs="Times New Roman"/>
          <w:lang w:val="fr-CA"/>
        </w:rPr>
        <w:t>est respectée, la jurisprudence agit comme une force stabilisatrice : elle offre une certitude quant à l</w:t>
      </w:r>
      <w:r>
        <w:rPr>
          <w:rFonts w:cs="Times New Roman"/>
          <w:lang w:val="fr-CA"/>
        </w:rPr>
        <w:t>’</w:t>
      </w:r>
      <w:r w:rsidRPr="006B5BF6">
        <w:rPr>
          <w:rFonts w:cs="Times New Roman"/>
          <w:lang w:val="fr-CA"/>
        </w:rPr>
        <w:t>état du droit, assure une uniformité qui permet aux justiciables d</w:t>
      </w:r>
      <w:r>
        <w:rPr>
          <w:rFonts w:cs="Times New Roman"/>
          <w:lang w:val="fr-CA"/>
        </w:rPr>
        <w:t>’</w:t>
      </w:r>
      <w:r w:rsidRPr="006B5BF6">
        <w:rPr>
          <w:rFonts w:cs="Times New Roman"/>
          <w:lang w:val="fr-CA"/>
        </w:rPr>
        <w:t>organiser leurs affaires en conséquence, et garantit une pérennité qui permet aux justiciables de se fier aux conséquences juridiques qu</w:t>
      </w:r>
      <w:r>
        <w:rPr>
          <w:rFonts w:cs="Times New Roman"/>
          <w:lang w:val="fr-CA"/>
        </w:rPr>
        <w:t>’</w:t>
      </w:r>
      <w:r w:rsidRPr="006B5BF6">
        <w:rPr>
          <w:rFonts w:cs="Times New Roman"/>
          <w:lang w:val="fr-CA"/>
        </w:rPr>
        <w:t xml:space="preserve">elle prévoit. La règle du </w:t>
      </w:r>
      <w:r w:rsidRPr="006B5BF6">
        <w:rPr>
          <w:rFonts w:cs="Times New Roman"/>
          <w:i/>
          <w:lang w:val="fr-CA"/>
        </w:rPr>
        <w:t>stare decisis</w:t>
      </w:r>
      <w:r w:rsidRPr="006B5BF6">
        <w:rPr>
          <w:rFonts w:cs="Times New Roman"/>
          <w:lang w:val="fr-CA"/>
        </w:rPr>
        <w:t xml:space="preserve"> est au cœur du développement itératif de la common law, ce qui favorise son évolution progressive, graduelle et responsable.</w:t>
      </w:r>
    </w:p>
    <w:p w14:paraId="4B22108E"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Alors, que suggérons</w:t>
      </w:r>
      <w:r w:rsidRPr="006B5BF6">
        <w:rPr>
          <w:rFonts w:cs="Times New Roman"/>
          <w:lang w:val="fr-CA"/>
        </w:rPr>
        <w:noBreakHyphen/>
        <w:t>nous? Nous sommes en faveur d</w:t>
      </w:r>
      <w:r>
        <w:rPr>
          <w:rFonts w:cs="Times New Roman"/>
          <w:lang w:val="fr-CA"/>
        </w:rPr>
        <w:t>’</w:t>
      </w:r>
      <w:r w:rsidRPr="006B5BF6">
        <w:rPr>
          <w:rFonts w:cs="Times New Roman"/>
          <w:lang w:val="fr-CA"/>
        </w:rPr>
        <w:t>un cadre d</w:t>
      </w:r>
      <w:r>
        <w:rPr>
          <w:rFonts w:cs="Times New Roman"/>
          <w:lang w:val="fr-CA"/>
        </w:rPr>
        <w:t>’</w:t>
      </w:r>
      <w:r w:rsidRPr="006B5BF6">
        <w:rPr>
          <w:rFonts w:cs="Times New Roman"/>
          <w:lang w:val="fr-CA"/>
        </w:rPr>
        <w:t xml:space="preserve">analyse de la norme de contrôle qui repose sur une règle de déférence significative et fondée </w:t>
      </w:r>
      <w:r w:rsidRPr="006B5BF6">
        <w:rPr>
          <w:rFonts w:cs="Times New Roman"/>
          <w:i/>
          <w:iCs/>
          <w:lang w:val="fr-CA"/>
        </w:rPr>
        <w:t>à la fois</w:t>
      </w:r>
      <w:r w:rsidRPr="006B5BF6">
        <w:rPr>
          <w:rFonts w:cs="Times New Roman"/>
          <w:lang w:val="fr-CA"/>
        </w:rPr>
        <w:t xml:space="preserve"> sur le choix du législateur de déléguer des pouvoirs décisionnels à des acteurs administratifs</w:t>
      </w:r>
      <w:r w:rsidRPr="006B5BF6">
        <w:rPr>
          <w:rFonts w:cs="Times New Roman"/>
          <w:i/>
          <w:iCs/>
          <w:lang w:val="fr-CA"/>
        </w:rPr>
        <w:t xml:space="preserve"> et</w:t>
      </w:r>
      <w:r w:rsidRPr="006B5BF6">
        <w:rPr>
          <w:rFonts w:cs="Times New Roman"/>
          <w:lang w:val="fr-CA"/>
        </w:rPr>
        <w:t xml:space="preserve"> sur l</w:t>
      </w:r>
      <w:r>
        <w:rPr>
          <w:rFonts w:cs="Times New Roman"/>
          <w:lang w:val="fr-CA"/>
        </w:rPr>
        <w:t>’</w:t>
      </w:r>
      <w:r w:rsidRPr="006B5BF6">
        <w:rPr>
          <w:rFonts w:cs="Times New Roman"/>
          <w:lang w:val="fr-CA"/>
        </w:rPr>
        <w:t>expertise spécialisée que ces décideurs possèdent et acquièrent au fur et à mesure qu</w:t>
      </w:r>
      <w:r>
        <w:rPr>
          <w:rFonts w:cs="Times New Roman"/>
          <w:lang w:val="fr-CA"/>
        </w:rPr>
        <w:t>’</w:t>
      </w:r>
      <w:r w:rsidRPr="006B5BF6">
        <w:rPr>
          <w:rFonts w:cs="Times New Roman"/>
          <w:lang w:val="fr-CA"/>
        </w:rPr>
        <w:t>ils s</w:t>
      </w:r>
      <w:r>
        <w:rPr>
          <w:rFonts w:cs="Times New Roman"/>
          <w:lang w:val="fr-CA"/>
        </w:rPr>
        <w:t>’</w:t>
      </w:r>
      <w:r w:rsidRPr="006B5BF6">
        <w:rPr>
          <w:rFonts w:cs="Times New Roman"/>
          <w:lang w:val="fr-CA"/>
        </w:rPr>
        <w:t>acquittent de leur mandat. Exception faite des trois catégories qui demeurent assujetties à la norme de la décision correcte établies dans l</w:t>
      </w:r>
      <w:r>
        <w:rPr>
          <w:rFonts w:cs="Times New Roman"/>
          <w:lang w:val="fr-CA"/>
        </w:rPr>
        <w:t>’</w:t>
      </w:r>
      <w:r w:rsidRPr="006B5BF6">
        <w:rPr>
          <w:rFonts w:cs="Times New Roman"/>
          <w:lang w:val="fr-CA"/>
        </w:rPr>
        <w:t xml:space="preserve">arrêt </w:t>
      </w:r>
      <w:r w:rsidRPr="006B5BF6">
        <w:rPr>
          <w:rFonts w:cs="Times New Roman"/>
          <w:i/>
          <w:iCs/>
          <w:lang w:val="fr-CA"/>
        </w:rPr>
        <w:t>Dunsmuir</w:t>
      </w:r>
      <w:r w:rsidRPr="006B5BF6">
        <w:rPr>
          <w:rFonts w:cs="Times New Roman"/>
          <w:lang w:val="fr-CA"/>
        </w:rPr>
        <w:t xml:space="preserve"> — et à défaut de directives claires et explicites du législateur sur la </w:t>
      </w:r>
      <w:r w:rsidRPr="006B5BF6">
        <w:rPr>
          <w:rFonts w:cs="Times New Roman"/>
          <w:i/>
          <w:iCs/>
          <w:lang w:val="fr-CA"/>
        </w:rPr>
        <w:t>norme</w:t>
      </w:r>
      <w:r w:rsidRPr="006B5BF6">
        <w:rPr>
          <w:rFonts w:cs="Times New Roman"/>
          <w:lang w:val="fr-CA"/>
        </w:rPr>
        <w:t xml:space="preserve"> </w:t>
      </w:r>
      <w:r w:rsidRPr="006B5BF6">
        <w:rPr>
          <w:rFonts w:cs="Times New Roman"/>
          <w:lang w:val="fr-CA"/>
        </w:rPr>
        <w:lastRenderedPageBreak/>
        <w:t>de contrôle applicable —, c</w:t>
      </w:r>
      <w:r>
        <w:rPr>
          <w:rFonts w:cs="Times New Roman"/>
          <w:lang w:val="fr-CA"/>
        </w:rPr>
        <w:t>’</w:t>
      </w:r>
      <w:r w:rsidRPr="006B5BF6">
        <w:rPr>
          <w:rFonts w:cs="Times New Roman"/>
          <w:lang w:val="fr-CA"/>
        </w:rPr>
        <w:t>est la norme de la décision raisonnable qui s</w:t>
      </w:r>
      <w:r>
        <w:rPr>
          <w:rFonts w:cs="Times New Roman"/>
          <w:lang w:val="fr-CA"/>
        </w:rPr>
        <w:t>’</w:t>
      </w:r>
      <w:r w:rsidRPr="006B5BF6">
        <w:rPr>
          <w:rFonts w:cs="Times New Roman"/>
          <w:lang w:val="fr-CA"/>
        </w:rPr>
        <w:t>applique au contrôle judiciaire des décisions administratives. À l</w:t>
      </w:r>
      <w:r>
        <w:rPr>
          <w:rFonts w:cs="Times New Roman"/>
          <w:lang w:val="fr-CA"/>
        </w:rPr>
        <w:t>’</w:t>
      </w:r>
      <w:r w:rsidRPr="006B5BF6">
        <w:rPr>
          <w:rFonts w:cs="Times New Roman"/>
          <w:lang w:val="fr-CA"/>
        </w:rPr>
        <w:t>instar de la majorité, nous sommes en faveur de l</w:t>
      </w:r>
      <w:r>
        <w:rPr>
          <w:rFonts w:cs="Times New Roman"/>
          <w:lang w:val="fr-CA"/>
        </w:rPr>
        <w:t>’</w:t>
      </w:r>
      <w:r w:rsidRPr="006B5BF6">
        <w:rPr>
          <w:rFonts w:cs="Times New Roman"/>
          <w:lang w:val="fr-CA"/>
        </w:rPr>
        <w:t>élimination de la catégorie des « questions touchant véritablement à la compétence » et de l</w:t>
      </w:r>
      <w:r>
        <w:rPr>
          <w:rFonts w:cs="Times New Roman"/>
          <w:lang w:val="fr-CA"/>
        </w:rPr>
        <w:t>’</w:t>
      </w:r>
      <w:r w:rsidRPr="006B5BF6">
        <w:rPr>
          <w:rFonts w:cs="Times New Roman"/>
          <w:lang w:val="fr-CA"/>
        </w:rPr>
        <w:t>abandon des facteurs contextuels évoqués dans l</w:t>
      </w:r>
      <w:r>
        <w:rPr>
          <w:rFonts w:cs="Times New Roman"/>
          <w:lang w:val="fr-CA"/>
        </w:rPr>
        <w:t>’</w:t>
      </w:r>
      <w:r w:rsidRPr="006B5BF6">
        <w:rPr>
          <w:rFonts w:cs="Times New Roman"/>
          <w:lang w:val="fr-CA"/>
        </w:rPr>
        <w:t xml:space="preserve">arrêt </w:t>
      </w:r>
      <w:r w:rsidRPr="006B5BF6">
        <w:rPr>
          <w:rFonts w:cs="Times New Roman"/>
          <w:i/>
          <w:iCs/>
          <w:lang w:val="fr-CA"/>
        </w:rPr>
        <w:t>Dunsmuir</w:t>
      </w:r>
      <w:r w:rsidRPr="006B5BF6">
        <w:rPr>
          <w:rFonts w:cs="Times New Roman"/>
          <w:lang w:val="fr-CA"/>
        </w:rPr>
        <w:t>. Ces propositions incorporent des changements progressifs dans notre cadre d</w:t>
      </w:r>
      <w:r>
        <w:rPr>
          <w:rFonts w:cs="Times New Roman"/>
          <w:lang w:val="fr-CA"/>
        </w:rPr>
        <w:t>’</w:t>
      </w:r>
      <w:r w:rsidRPr="006B5BF6">
        <w:rPr>
          <w:rFonts w:cs="Times New Roman"/>
          <w:lang w:val="fr-CA"/>
        </w:rPr>
        <w:t>analyse de contrôle judiciaire tout en respectant ses principes sous</w:t>
      </w:r>
      <w:r w:rsidRPr="006B5BF6">
        <w:rPr>
          <w:rFonts w:cs="Times New Roman"/>
          <w:lang w:val="fr-CA"/>
        </w:rPr>
        <w:noBreakHyphen/>
        <w:t>jacents et en laissant au législateur le soin de modifier les normes de contrôle, s</w:t>
      </w:r>
      <w:r>
        <w:rPr>
          <w:rFonts w:cs="Times New Roman"/>
          <w:lang w:val="fr-CA"/>
        </w:rPr>
        <w:t>’</w:t>
      </w:r>
      <w:r w:rsidRPr="006B5BF6">
        <w:rPr>
          <w:rFonts w:cs="Times New Roman"/>
          <w:lang w:val="fr-CA"/>
        </w:rPr>
        <w:t>il le souhaite.</w:t>
      </w:r>
    </w:p>
    <w:p w14:paraId="74E1F877" w14:textId="699C9D43"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Nous sommes d</w:t>
      </w:r>
      <w:r>
        <w:rPr>
          <w:rFonts w:cs="Times New Roman"/>
          <w:lang w:val="fr-CA"/>
        </w:rPr>
        <w:t>’</w:t>
      </w:r>
      <w:r w:rsidRPr="006B5BF6">
        <w:rPr>
          <w:rFonts w:cs="Times New Roman"/>
          <w:lang w:val="fr-CA"/>
        </w:rPr>
        <w:t>accord pour dire qu</w:t>
      </w:r>
      <w:r>
        <w:rPr>
          <w:rFonts w:cs="Times New Roman"/>
          <w:lang w:val="fr-CA"/>
        </w:rPr>
        <w:t>’</w:t>
      </w:r>
      <w:r w:rsidRPr="006B5BF6">
        <w:rPr>
          <w:rFonts w:cs="Times New Roman"/>
          <w:lang w:val="fr-CA"/>
        </w:rPr>
        <w:t>il faut prendre au sérieux les réserves exprimées par certains intervenants représentant des groupes particulièrement vulnérables au sujet de la qualité des décisions administratives. Mais la solution ne passe pas selon nous par la possibilité pour des juges généralistes qui n</w:t>
      </w:r>
      <w:r>
        <w:rPr>
          <w:rFonts w:cs="Times New Roman"/>
          <w:lang w:val="fr-CA"/>
        </w:rPr>
        <w:t>’</w:t>
      </w:r>
      <w:r w:rsidRPr="006B5BF6">
        <w:rPr>
          <w:rFonts w:cs="Times New Roman"/>
          <w:lang w:val="fr-CA"/>
        </w:rPr>
        <w:t>ont pas l</w:t>
      </w:r>
      <w:r>
        <w:rPr>
          <w:rFonts w:cs="Times New Roman"/>
          <w:lang w:val="fr-CA"/>
        </w:rPr>
        <w:t>’</w:t>
      </w:r>
      <w:r w:rsidRPr="006B5BF6">
        <w:rPr>
          <w:rFonts w:cs="Times New Roman"/>
          <w:lang w:val="fr-CA"/>
        </w:rPr>
        <w:t>expertise nécessaire pour exécuter ces mandats délicats de s</w:t>
      </w:r>
      <w:r>
        <w:rPr>
          <w:rFonts w:cs="Times New Roman"/>
          <w:lang w:val="fr-CA"/>
        </w:rPr>
        <w:t>’</w:t>
      </w:r>
      <w:r w:rsidRPr="006B5BF6">
        <w:rPr>
          <w:rFonts w:cs="Times New Roman"/>
          <w:lang w:val="fr-CA"/>
        </w:rPr>
        <w:t>immiscer encore plus dans la justice administrative. On ne corrige pas ce que l</w:t>
      </w:r>
      <w:r>
        <w:rPr>
          <w:rFonts w:cs="Times New Roman"/>
          <w:lang w:val="fr-CA"/>
        </w:rPr>
        <w:t>’</w:t>
      </w:r>
      <w:r w:rsidRPr="006B5BF6">
        <w:rPr>
          <w:rFonts w:cs="Times New Roman"/>
          <w:lang w:val="fr-CA"/>
        </w:rPr>
        <w:t xml:space="preserve">on estime être une lacune dans la prise de décisions administratives en permettant aux </w:t>
      </w:r>
      <w:r>
        <w:rPr>
          <w:rFonts w:cs="Times New Roman"/>
          <w:lang w:val="fr-CA"/>
        </w:rPr>
        <w:t>cours</w:t>
      </w:r>
      <w:r w:rsidRPr="006B5BF6">
        <w:rPr>
          <w:rFonts w:cs="Times New Roman"/>
          <w:lang w:val="fr-CA"/>
        </w:rPr>
        <w:t xml:space="preserve"> de procéder à un examen </w:t>
      </w:r>
      <w:r w:rsidRPr="006B5BF6">
        <w:rPr>
          <w:rFonts w:cs="Times New Roman"/>
          <w:i/>
          <w:iCs/>
          <w:lang w:val="fr-CA"/>
        </w:rPr>
        <w:t>de novo</w:t>
      </w:r>
      <w:r w:rsidRPr="006B5BF6">
        <w:rPr>
          <w:rFonts w:cs="Times New Roman"/>
          <w:lang w:val="fr-CA"/>
        </w:rPr>
        <w:t xml:space="preserve"> de chaque décision juridique et, ce faisant, en allongeant les délais et en augmentant les frais engagés pour obtenir une décision définitive. La solution réside plutôt dans le fait de s</w:t>
      </w:r>
      <w:r>
        <w:rPr>
          <w:rFonts w:cs="Times New Roman"/>
          <w:lang w:val="fr-CA"/>
        </w:rPr>
        <w:t>’</w:t>
      </w:r>
      <w:r w:rsidRPr="006B5BF6">
        <w:rPr>
          <w:rFonts w:cs="Times New Roman"/>
          <w:lang w:val="fr-CA"/>
        </w:rPr>
        <w:t>assu</w:t>
      </w:r>
      <w:r w:rsidR="00530870">
        <w:rPr>
          <w:rFonts w:cs="Times New Roman"/>
          <w:lang w:val="fr-CA"/>
        </w:rPr>
        <w:t>r</w:t>
      </w:r>
      <w:r w:rsidRPr="006B5BF6">
        <w:rPr>
          <w:rFonts w:cs="Times New Roman"/>
          <w:lang w:val="fr-CA"/>
        </w:rPr>
        <w:t>er que les décideurs administratifs possèdent les qualifications et la formation requises. À l</w:t>
      </w:r>
      <w:r>
        <w:rPr>
          <w:rFonts w:cs="Times New Roman"/>
          <w:lang w:val="fr-CA"/>
        </w:rPr>
        <w:t>’</w:t>
      </w:r>
      <w:r w:rsidRPr="006B5BF6">
        <w:rPr>
          <w:rFonts w:cs="Times New Roman"/>
          <w:lang w:val="fr-CA"/>
        </w:rPr>
        <w:t xml:space="preserve">instar des </w:t>
      </w:r>
      <w:r>
        <w:rPr>
          <w:rFonts w:cs="Times New Roman"/>
          <w:lang w:val="fr-CA"/>
        </w:rPr>
        <w:t>cours</w:t>
      </w:r>
      <w:r w:rsidRPr="006B5BF6">
        <w:rPr>
          <w:rFonts w:cs="Times New Roman"/>
          <w:lang w:val="fr-CA"/>
        </w:rPr>
        <w:t>, les acteurs administratifs sont tout à fait en mesure d</w:t>
      </w:r>
      <w:r>
        <w:rPr>
          <w:rFonts w:cs="Times New Roman"/>
          <w:lang w:val="fr-CA"/>
        </w:rPr>
        <w:t>’</w:t>
      </w:r>
      <w:r w:rsidRPr="006B5BF6">
        <w:rPr>
          <w:rFonts w:cs="Times New Roman"/>
          <w:lang w:val="fr-CA"/>
        </w:rPr>
        <w:t>améliorer la qualité de leur processus décisionnel et il leur incombe de le faire, améliorant du coup l</w:t>
      </w:r>
      <w:r>
        <w:rPr>
          <w:rFonts w:cs="Times New Roman"/>
          <w:lang w:val="fr-CA"/>
        </w:rPr>
        <w:t>’</w:t>
      </w:r>
      <w:r w:rsidRPr="006B5BF6">
        <w:rPr>
          <w:rFonts w:cs="Times New Roman"/>
          <w:lang w:val="fr-CA"/>
        </w:rPr>
        <w:t>accès à la justice administrative.</w:t>
      </w:r>
    </w:p>
    <w:p w14:paraId="1C05E81E"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 xml:space="preserve">Nous reconnaissons également que notre Cour devrait fournir des balises supplémentaires quant à la façon de procéder à un contrôle judiciaire fondé sur la norme </w:t>
      </w:r>
      <w:r w:rsidRPr="006B5BF6">
        <w:rPr>
          <w:rFonts w:cs="Times New Roman"/>
          <w:lang w:val="fr-CA"/>
        </w:rPr>
        <w:lastRenderedPageBreak/>
        <w:t>de la décision raisonnable</w:t>
      </w:r>
      <w:r w:rsidRPr="00092343">
        <w:rPr>
          <w:rStyle w:val="Hyperlink"/>
          <w:vertAlign w:val="superscript"/>
        </w:rPr>
        <w:footnoteReference w:id="7"/>
      </w:r>
      <w:r w:rsidRPr="006B5BF6">
        <w:rPr>
          <w:rFonts w:cs="Times New Roman"/>
          <w:lang w:val="fr-CA"/>
        </w:rPr>
        <w:t>. Nous craignons toutefois que la liste multifactorielle et non limitative des « contraintes » à la prise de décisions administratives dressée par la majorité n</w:t>
      </w:r>
      <w:r>
        <w:rPr>
          <w:rFonts w:cs="Times New Roman"/>
          <w:lang w:val="fr-CA"/>
        </w:rPr>
        <w:t>’</w:t>
      </w:r>
      <w:r w:rsidRPr="006B5BF6">
        <w:rPr>
          <w:rFonts w:cs="Times New Roman"/>
          <w:lang w:val="fr-CA"/>
        </w:rPr>
        <w:t>incite les cours de révision à disséquer les motifs administratifs et à se lancer dans « </w:t>
      </w:r>
      <w:r w:rsidRPr="006B5BF6">
        <w:rPr>
          <w:rFonts w:cs="Times New Roman"/>
          <w:shd w:val="clear" w:color="auto" w:fill="FFFFFF"/>
          <w:lang w:val="fr-CA"/>
        </w:rPr>
        <w:t>une chasse au trésor, phrase par phrase, à la recherche d</w:t>
      </w:r>
      <w:r>
        <w:rPr>
          <w:rFonts w:cs="Times New Roman"/>
          <w:shd w:val="clear" w:color="auto" w:fill="FFFFFF"/>
          <w:lang w:val="fr-CA"/>
        </w:rPr>
        <w:t>’</w:t>
      </w:r>
      <w:r w:rsidRPr="006B5BF6">
        <w:rPr>
          <w:rFonts w:cs="Times New Roman"/>
          <w:shd w:val="clear" w:color="auto" w:fill="FFFFFF"/>
          <w:lang w:val="fr-CA"/>
        </w:rPr>
        <w:t xml:space="preserve">une erreur » </w:t>
      </w:r>
      <w:r w:rsidRPr="006B5BF6">
        <w:rPr>
          <w:rFonts w:cs="Times New Roman"/>
          <w:lang w:val="fr-CA"/>
        </w:rPr>
        <w:t>(</w:t>
      </w:r>
      <w:r w:rsidRPr="006B5BF6">
        <w:rPr>
          <w:rFonts w:cs="Times New Roman"/>
          <w:i/>
          <w:iCs/>
          <w:lang w:val="fr-CA"/>
        </w:rPr>
        <w:t>Syndicat canadien des communications, de l</w:t>
      </w:r>
      <w:r>
        <w:rPr>
          <w:rFonts w:cs="Times New Roman"/>
          <w:i/>
          <w:iCs/>
          <w:lang w:val="fr-CA"/>
        </w:rPr>
        <w:t>’</w:t>
      </w:r>
      <w:r w:rsidRPr="006B5BF6">
        <w:rPr>
          <w:rFonts w:cs="Times New Roman"/>
          <w:i/>
          <w:iCs/>
          <w:lang w:val="fr-CA"/>
        </w:rPr>
        <w:t>énergie et du papier, Local 30 c. Irving Pulp &amp; Paper, Ltd</w:t>
      </w:r>
      <w:r w:rsidRPr="006B5BF6">
        <w:rPr>
          <w:rFonts w:cs="Times New Roman"/>
          <w:lang w:val="fr-CA"/>
        </w:rPr>
        <w:t>, [2013] 2 R.C.S. 458, par. 54). En pratique, ces « contraintes » risquent de se transformer en un vaste catalogue d</w:t>
      </w:r>
      <w:r>
        <w:rPr>
          <w:rFonts w:cs="Times New Roman"/>
          <w:lang w:val="fr-CA"/>
        </w:rPr>
        <w:t>’</w:t>
      </w:r>
      <w:r w:rsidRPr="006B5BF6">
        <w:rPr>
          <w:rFonts w:cs="Times New Roman"/>
          <w:lang w:val="fr-CA"/>
        </w:rPr>
        <w:t>erreurs hypothétiques qui peuvent servir à justifier l</w:t>
      </w:r>
      <w:r>
        <w:rPr>
          <w:rFonts w:cs="Times New Roman"/>
          <w:lang w:val="fr-CA"/>
        </w:rPr>
        <w:t>’</w:t>
      </w:r>
      <w:r w:rsidRPr="006B5BF6">
        <w:rPr>
          <w:rFonts w:cs="Times New Roman"/>
          <w:lang w:val="fr-CA"/>
        </w:rPr>
        <w:t>annulation d</w:t>
      </w:r>
      <w:r>
        <w:rPr>
          <w:rFonts w:cs="Times New Roman"/>
          <w:lang w:val="fr-CA"/>
        </w:rPr>
        <w:t>’</w:t>
      </w:r>
      <w:r w:rsidRPr="006B5BF6">
        <w:rPr>
          <w:rFonts w:cs="Times New Roman"/>
          <w:lang w:val="fr-CA"/>
        </w:rPr>
        <w:t>une décision administrative et devenir une liste de contrôle offrant des similitudes troublantes avec la série d</w:t>
      </w:r>
      <w:r>
        <w:rPr>
          <w:rFonts w:cs="Times New Roman"/>
          <w:lang w:val="fr-CA"/>
        </w:rPr>
        <w:t>’</w:t>
      </w:r>
      <w:r w:rsidRPr="006B5BF6">
        <w:rPr>
          <w:rFonts w:cs="Times New Roman"/>
          <w:lang w:val="fr-CA"/>
        </w:rPr>
        <w:t>« erreurs de compétence » énoncées dans l</w:t>
      </w:r>
      <w:r>
        <w:rPr>
          <w:rFonts w:cs="Times New Roman"/>
          <w:lang w:val="fr-CA"/>
        </w:rPr>
        <w:t>’</w:t>
      </w:r>
      <w:r w:rsidRPr="006B5BF6">
        <w:rPr>
          <w:rFonts w:cs="Times New Roman"/>
          <w:lang w:val="fr-CA"/>
        </w:rPr>
        <w:t xml:space="preserve">arrêt </w:t>
      </w:r>
      <w:r w:rsidRPr="006B5BF6">
        <w:rPr>
          <w:rFonts w:cs="Times New Roman"/>
          <w:i/>
          <w:lang w:val="fr-CA"/>
        </w:rPr>
        <w:t xml:space="preserve">Anisminic </w:t>
      </w:r>
      <w:r w:rsidRPr="006B5BF6">
        <w:rPr>
          <w:rFonts w:cs="Times New Roman"/>
          <w:lang w:val="fr-CA"/>
        </w:rPr>
        <w:t>lui</w:t>
      </w:r>
      <w:r w:rsidRPr="006B5BF6">
        <w:rPr>
          <w:rFonts w:cs="Times New Roman"/>
          <w:lang w:val="fr-CA"/>
        </w:rPr>
        <w:noBreakHyphen/>
        <w:t>même.</w:t>
      </w:r>
    </w:p>
    <w:p w14:paraId="29A6762E"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Cette façon de structurer le contrôle selon la norme de la décision raisonnable astreint effectivement les décideurs administratifs à une norme de justification plus exigeante que celle qui s</w:t>
      </w:r>
      <w:r>
        <w:rPr>
          <w:rFonts w:cs="Times New Roman"/>
          <w:lang w:val="fr-CA"/>
        </w:rPr>
        <w:t>’</w:t>
      </w:r>
      <w:r w:rsidRPr="006B5BF6">
        <w:rPr>
          <w:rFonts w:cs="Times New Roman"/>
          <w:lang w:val="fr-CA"/>
        </w:rPr>
        <w:t>applique aux juges de première instance. Cette approche sape la déférence et ravive, à l</w:t>
      </w:r>
      <w:r>
        <w:rPr>
          <w:rFonts w:cs="Times New Roman"/>
          <w:lang w:val="fr-CA"/>
        </w:rPr>
        <w:t>’</w:t>
      </w:r>
      <w:r w:rsidRPr="006B5BF6">
        <w:rPr>
          <w:rFonts w:cs="Times New Roman"/>
          <w:lang w:val="fr-CA"/>
        </w:rPr>
        <w:t>égard des décisions administratives, une attitude de méfiance qui avait été mise au rancart depuis longtemps. Nous sommes par ailleurs préoccupés par la mise en garde de la majorité selon laquelle les décideurs administratifs ne peuvent « </w:t>
      </w:r>
      <w:r w:rsidRPr="006B5BF6">
        <w:rPr>
          <w:rFonts w:cs="Times New Roman"/>
          <w:noProof/>
          <w:lang w:val="fr-CA"/>
        </w:rPr>
        <w:t>s</w:t>
      </w:r>
      <w:r>
        <w:rPr>
          <w:rFonts w:cs="Times New Roman"/>
          <w:noProof/>
          <w:lang w:val="fr-CA"/>
        </w:rPr>
        <w:t>’</w:t>
      </w:r>
      <w:r w:rsidRPr="006B5BF6">
        <w:rPr>
          <w:rFonts w:cs="Times New Roman"/>
          <w:noProof/>
          <w:lang w:val="fr-CA"/>
        </w:rPr>
        <w:t>arroger des pouvoirs que le législateur n</w:t>
      </w:r>
      <w:r>
        <w:rPr>
          <w:rFonts w:cs="Times New Roman"/>
          <w:noProof/>
          <w:lang w:val="fr-CA"/>
        </w:rPr>
        <w:t>’</w:t>
      </w:r>
      <w:r w:rsidRPr="006B5BF6">
        <w:rPr>
          <w:rFonts w:cs="Times New Roman"/>
          <w:noProof/>
          <w:lang w:val="fr-CA"/>
        </w:rPr>
        <w:t>a jamais voulu [leur] conférer »</w:t>
      </w:r>
      <w:r w:rsidRPr="006B5BF6">
        <w:rPr>
          <w:rFonts w:cs="Times New Roman"/>
          <w:lang w:val="fr-CA"/>
        </w:rPr>
        <w:t>, une évidence inutile qui risque de réintroduire sous un autre vocable le concept tortueux d</w:t>
      </w:r>
      <w:r>
        <w:rPr>
          <w:rFonts w:cs="Times New Roman"/>
          <w:lang w:val="fr-CA"/>
        </w:rPr>
        <w:t>’</w:t>
      </w:r>
      <w:r w:rsidRPr="006B5BF6">
        <w:rPr>
          <w:rFonts w:cs="Times New Roman"/>
          <w:lang w:val="fr-CA"/>
        </w:rPr>
        <w:t>« erreur de compétence ».</w:t>
      </w:r>
    </w:p>
    <w:p w14:paraId="72108DC9" w14:textId="68185E6F"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Nous préconisons le maintien d</w:t>
      </w:r>
      <w:r>
        <w:rPr>
          <w:rFonts w:cs="Times New Roman"/>
          <w:lang w:val="fr-CA"/>
        </w:rPr>
        <w:t>’</w:t>
      </w:r>
      <w:r w:rsidRPr="006B5BF6">
        <w:rPr>
          <w:rFonts w:cs="Times New Roman"/>
          <w:lang w:val="fr-CA"/>
        </w:rPr>
        <w:t xml:space="preserve">une conception du contrôle judiciaire selon la norme de la raisonnabilité qui est centrée sur le principe de la </w:t>
      </w:r>
      <w:r w:rsidRPr="006B5BF6">
        <w:rPr>
          <w:rFonts w:cs="Times New Roman"/>
          <w:i/>
          <w:iCs/>
          <w:lang w:val="fr-CA"/>
        </w:rPr>
        <w:t>déférence</w:t>
      </w:r>
      <w:r w:rsidRPr="006B5BF6">
        <w:rPr>
          <w:rFonts w:cs="Times New Roman"/>
          <w:lang w:val="fr-CA"/>
        </w:rPr>
        <w:t xml:space="preserve"> et sur ce qui </w:t>
      </w:r>
      <w:r w:rsidRPr="006B5BF6">
        <w:rPr>
          <w:rFonts w:cs="Times New Roman"/>
          <w:lang w:val="fr-CA"/>
        </w:rPr>
        <w:lastRenderedPageBreak/>
        <w:t xml:space="preserve">est exigé des cours de révision. Après tout, la retenue judiciaire est </w:t>
      </w:r>
      <w:r w:rsidRPr="006B5BF6">
        <w:rPr>
          <w:rFonts w:cs="Times New Roman"/>
          <w:i/>
          <w:iCs/>
          <w:lang w:val="fr-CA"/>
        </w:rPr>
        <w:t xml:space="preserve">la </w:t>
      </w:r>
      <w:r w:rsidRPr="006B5BF6">
        <w:rPr>
          <w:rFonts w:cs="Times New Roman"/>
          <w:lang w:val="fr-CA"/>
        </w:rPr>
        <w:t>marque distinctive du contrôle selon la norme de la décision raisonnable et ce qui le distingue de la norme de la décision correcte, laquelle permet à la cour de substituer son opinion à celle du décideur administratif. Le choix d</w:t>
      </w:r>
      <w:r>
        <w:rPr>
          <w:rFonts w:cs="Times New Roman"/>
          <w:lang w:val="fr-CA"/>
        </w:rPr>
        <w:t>’</w:t>
      </w:r>
      <w:r w:rsidRPr="006B5BF6">
        <w:rPr>
          <w:rFonts w:cs="Times New Roman"/>
          <w:lang w:val="fr-CA"/>
        </w:rPr>
        <w:t>une norme de contrôle particulière — qu</w:t>
      </w:r>
      <w:r>
        <w:rPr>
          <w:rFonts w:cs="Times New Roman"/>
          <w:lang w:val="fr-CA"/>
        </w:rPr>
        <w:t>’</w:t>
      </w:r>
      <w:r w:rsidRPr="006B5BF6">
        <w:rPr>
          <w:rFonts w:cs="Times New Roman"/>
          <w:lang w:val="fr-CA"/>
        </w:rPr>
        <w:t>on la qualifie de norme de la décision « correcte » ou « raisonnable » ou aut</w:t>
      </w:r>
      <w:r w:rsidR="00530870">
        <w:rPr>
          <w:rFonts w:cs="Times New Roman"/>
          <w:lang w:val="fr-CA"/>
        </w:rPr>
        <w:t>r</w:t>
      </w:r>
      <w:r w:rsidRPr="006B5BF6">
        <w:rPr>
          <w:rFonts w:cs="Times New Roman"/>
          <w:lang w:val="fr-CA"/>
        </w:rPr>
        <w:t>ement — consiste essentiellement à déterminer si la cour de révision « devrait ou non faire montre de déférence »</w:t>
      </w:r>
      <w:r w:rsidRPr="00092343">
        <w:rPr>
          <w:rStyle w:val="Hyperlink"/>
          <w:vertAlign w:val="superscript"/>
        </w:rPr>
        <w:footnoteReference w:id="8"/>
      </w:r>
      <w:r w:rsidRPr="006B5BF6">
        <w:rPr>
          <w:rFonts w:cs="Times New Roman"/>
          <w:lang w:val="fr-CA"/>
        </w:rPr>
        <w:t xml:space="preserve"> à l</w:t>
      </w:r>
      <w:r>
        <w:rPr>
          <w:rFonts w:cs="Times New Roman"/>
          <w:lang w:val="fr-CA"/>
        </w:rPr>
        <w:t>’</w:t>
      </w:r>
      <w:r w:rsidRPr="006B5BF6">
        <w:rPr>
          <w:rFonts w:cs="Times New Roman"/>
          <w:lang w:val="fr-CA"/>
        </w:rPr>
        <w:t>égard d</w:t>
      </w:r>
      <w:r>
        <w:rPr>
          <w:rFonts w:cs="Times New Roman"/>
          <w:lang w:val="fr-CA"/>
        </w:rPr>
        <w:t>’</w:t>
      </w:r>
      <w:r w:rsidRPr="006B5BF6">
        <w:rPr>
          <w:rFonts w:cs="Times New Roman"/>
          <w:lang w:val="fr-CA"/>
        </w:rPr>
        <w:t xml:space="preserve">une décision administrative (voir </w:t>
      </w:r>
      <w:r w:rsidRPr="006B5BF6">
        <w:rPr>
          <w:rFonts w:cs="Times New Roman"/>
          <w:i/>
          <w:iCs/>
          <w:lang w:val="fr-CA"/>
        </w:rPr>
        <w:t>Dunsmuir</w:t>
      </w:r>
      <w:r w:rsidRPr="006B5BF6">
        <w:rPr>
          <w:rFonts w:cs="Times New Roman"/>
          <w:lang w:val="fr-CA"/>
        </w:rPr>
        <w:t>, par. 141, motifs concordants du juge Binnie; Régimbald, p. 539</w:t>
      </w:r>
      <w:r w:rsidRPr="006B5BF6">
        <w:rPr>
          <w:rFonts w:cs="Times New Roman"/>
          <w:lang w:val="fr-CA"/>
        </w:rPr>
        <w:noBreakHyphen/>
        <w:t xml:space="preserve">540). Par conséquent, pour que les </w:t>
      </w:r>
      <w:r>
        <w:rPr>
          <w:rFonts w:cs="Times New Roman"/>
          <w:lang w:val="fr-CA"/>
        </w:rPr>
        <w:t>cours</w:t>
      </w:r>
      <w:r w:rsidRPr="006B5BF6">
        <w:rPr>
          <w:rFonts w:cs="Times New Roman"/>
          <w:lang w:val="fr-CA"/>
        </w:rPr>
        <w:t xml:space="preserve"> puissent mener à bien un contrôle « fondé sur la norme</w:t>
      </w:r>
      <w:r w:rsidR="00B03AAC">
        <w:rPr>
          <w:rFonts w:cs="Times New Roman"/>
          <w:lang w:val="fr-CA"/>
        </w:rPr>
        <w:t xml:space="preserve"> de la décision raisonnable », e</w:t>
      </w:r>
      <w:r w:rsidRPr="006B5BF6">
        <w:rPr>
          <w:rFonts w:cs="Times New Roman"/>
          <w:lang w:val="fr-CA"/>
        </w:rPr>
        <w:t>l</w:t>
      </w:r>
      <w:r w:rsidR="00B03AAC">
        <w:rPr>
          <w:rFonts w:cs="Times New Roman"/>
          <w:lang w:val="fr-CA"/>
        </w:rPr>
        <w:t>le</w:t>
      </w:r>
      <w:r w:rsidRPr="006B5BF6">
        <w:rPr>
          <w:rFonts w:cs="Times New Roman"/>
          <w:lang w:val="fr-CA"/>
        </w:rPr>
        <w:t>s doivent bien comprendre le sens du mot « déférence ».</w:t>
      </w:r>
    </w:p>
    <w:p w14:paraId="001C5860"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 xml:space="preserve">À notre avis, le principe de la déférence soumet à trois exigences les </w:t>
      </w:r>
      <w:r>
        <w:rPr>
          <w:rFonts w:cs="Times New Roman"/>
          <w:lang w:val="fr-CA"/>
        </w:rPr>
        <w:t>cours</w:t>
      </w:r>
      <w:r w:rsidRPr="006B5BF6">
        <w:rPr>
          <w:rFonts w:cs="Times New Roman"/>
          <w:lang w:val="fr-CA"/>
        </w:rPr>
        <w:t xml:space="preserve"> </w:t>
      </w:r>
      <w:r>
        <w:rPr>
          <w:rFonts w:cs="Times New Roman"/>
          <w:lang w:val="fr-CA"/>
        </w:rPr>
        <w:t xml:space="preserve">de révision </w:t>
      </w:r>
      <w:r w:rsidRPr="006B5BF6">
        <w:rPr>
          <w:rFonts w:cs="Times New Roman"/>
          <w:lang w:val="fr-CA"/>
        </w:rPr>
        <w:t>qui procèdent à un contrôle selon la norme de la décision raisonnable. Il influence l</w:t>
      </w:r>
      <w:r>
        <w:rPr>
          <w:rFonts w:cs="Times New Roman"/>
          <w:lang w:val="fr-CA"/>
        </w:rPr>
        <w:t>’</w:t>
      </w:r>
      <w:r w:rsidRPr="006B5BF6">
        <w:rPr>
          <w:rFonts w:cs="Times New Roman"/>
          <w:lang w:val="fr-CA"/>
        </w:rPr>
        <w:t>attitude que la cour de révision doit adopter à l</w:t>
      </w:r>
      <w:r>
        <w:rPr>
          <w:rFonts w:cs="Times New Roman"/>
          <w:lang w:val="fr-CA"/>
        </w:rPr>
        <w:t>’</w:t>
      </w:r>
      <w:r w:rsidRPr="006B5BF6">
        <w:rPr>
          <w:rFonts w:cs="Times New Roman"/>
          <w:lang w:val="fr-CA"/>
        </w:rPr>
        <w:t>égard du décideur administratif; il influence la façon dont la cour formule la question à laquelle elle doit répondre lorsqu</w:t>
      </w:r>
      <w:r>
        <w:rPr>
          <w:rFonts w:cs="Times New Roman"/>
          <w:lang w:val="fr-CA"/>
        </w:rPr>
        <w:t>’</w:t>
      </w:r>
      <w:r w:rsidRPr="006B5BF6">
        <w:rPr>
          <w:rFonts w:cs="Times New Roman"/>
          <w:lang w:val="fr-CA"/>
        </w:rPr>
        <w:t>elle est saisie d</w:t>
      </w:r>
      <w:r>
        <w:rPr>
          <w:rFonts w:cs="Times New Roman"/>
          <w:lang w:val="fr-CA"/>
        </w:rPr>
        <w:t>’</w:t>
      </w:r>
      <w:r w:rsidRPr="006B5BF6">
        <w:rPr>
          <w:rFonts w:cs="Times New Roman"/>
          <w:lang w:val="fr-CA"/>
        </w:rPr>
        <w:t>une demande de contrôle judiciaire et il influe sur la façon dont elle évalue la contestation dont fait l</w:t>
      </w:r>
      <w:r>
        <w:rPr>
          <w:rFonts w:cs="Times New Roman"/>
          <w:lang w:val="fr-CA"/>
        </w:rPr>
        <w:t>’</w:t>
      </w:r>
      <w:r w:rsidRPr="006B5BF6">
        <w:rPr>
          <w:rFonts w:cs="Times New Roman"/>
          <w:lang w:val="fr-CA"/>
        </w:rPr>
        <w:t>objet la décision administrative.</w:t>
      </w:r>
    </w:p>
    <w:p w14:paraId="5A771432"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D</w:t>
      </w:r>
      <w:r>
        <w:rPr>
          <w:rFonts w:cs="Times New Roman"/>
          <w:lang w:val="fr-CA"/>
        </w:rPr>
        <w:t>’</w:t>
      </w:r>
      <w:r w:rsidRPr="006B5BF6">
        <w:rPr>
          <w:rFonts w:cs="Times New Roman"/>
          <w:lang w:val="fr-CA"/>
        </w:rPr>
        <w:t>abord et avant tout, la déférence est « une attitude de la cour » qui effectue un contrôle selon la norme de la décision raisonnable (</w:t>
      </w:r>
      <w:r w:rsidRPr="006B5BF6">
        <w:rPr>
          <w:rFonts w:cs="Times New Roman"/>
          <w:i/>
          <w:lang w:val="fr-CA"/>
        </w:rPr>
        <w:t>Dunsmuir</w:t>
      </w:r>
      <w:r w:rsidRPr="006B5BF6">
        <w:rPr>
          <w:rFonts w:cs="Times New Roman"/>
          <w:lang w:val="fr-CA"/>
        </w:rPr>
        <w:t>, par. 48). Le principe de la déférence commande le respect du choix du législateur de confier à des acteurs administratifs plutôt qu</w:t>
      </w:r>
      <w:r>
        <w:rPr>
          <w:rFonts w:cs="Times New Roman"/>
          <w:lang w:val="fr-CA"/>
        </w:rPr>
        <w:t>’</w:t>
      </w:r>
      <w:r w:rsidRPr="006B5BF6">
        <w:rPr>
          <w:rFonts w:cs="Times New Roman"/>
          <w:lang w:val="fr-CA"/>
        </w:rPr>
        <w:t>aux cours de justice le soin de rendre certaines décisions et la reconnaissance du rôle important que jouent les décideurs administratifs</w:t>
      </w:r>
      <w:r w:rsidRPr="006B5BF6" w:rsidDel="00784516">
        <w:rPr>
          <w:rFonts w:cs="Times New Roman"/>
          <w:lang w:val="fr-CA"/>
        </w:rPr>
        <w:t xml:space="preserve"> </w:t>
      </w:r>
      <w:r w:rsidRPr="006B5BF6">
        <w:rPr>
          <w:rFonts w:cs="Times New Roman"/>
          <w:lang w:val="fr-CA"/>
        </w:rPr>
        <w:lastRenderedPageBreak/>
        <w:t>pour faire respecter et appliquer le principe de la primauté du droit (</w:t>
      </w:r>
      <w:r w:rsidRPr="006B5BF6" w:rsidDel="00784516">
        <w:rPr>
          <w:rFonts w:cs="Times New Roman"/>
          <w:i/>
          <w:lang w:val="fr-CA"/>
        </w:rPr>
        <w:t>Toronto (</w:t>
      </w:r>
      <w:r w:rsidRPr="006B5BF6">
        <w:rPr>
          <w:rFonts w:cs="Times New Roman"/>
          <w:i/>
          <w:lang w:val="fr-CA"/>
        </w:rPr>
        <w:t>Ville</w:t>
      </w:r>
      <w:r w:rsidRPr="006B5BF6" w:rsidDel="00784516">
        <w:rPr>
          <w:rFonts w:cs="Times New Roman"/>
          <w:i/>
          <w:lang w:val="fr-CA"/>
        </w:rPr>
        <w:t xml:space="preserve">) </w:t>
      </w:r>
      <w:r w:rsidRPr="006B5BF6">
        <w:rPr>
          <w:rFonts w:cs="Times New Roman"/>
          <w:i/>
          <w:lang w:val="fr-CA"/>
        </w:rPr>
        <w:t>c</w:t>
      </w:r>
      <w:r w:rsidRPr="006B5BF6" w:rsidDel="00784516">
        <w:rPr>
          <w:rFonts w:cs="Times New Roman"/>
          <w:i/>
          <w:lang w:val="fr-CA"/>
        </w:rPr>
        <w:t xml:space="preserve">. </w:t>
      </w:r>
      <w:r w:rsidRPr="006B5BF6">
        <w:rPr>
          <w:rFonts w:cs="Times New Roman"/>
          <w:i/>
          <w:lang w:val="fr-CA"/>
        </w:rPr>
        <w:t>S.C.F.P.</w:t>
      </w:r>
      <w:r w:rsidRPr="006B5BF6" w:rsidDel="00784516">
        <w:rPr>
          <w:rFonts w:cs="Times New Roman"/>
          <w:i/>
          <w:lang w:val="fr-CA"/>
        </w:rPr>
        <w:t xml:space="preserve">, </w:t>
      </w:r>
      <w:r w:rsidRPr="006B5BF6">
        <w:rPr>
          <w:rFonts w:cs="Times New Roman"/>
          <w:i/>
          <w:lang w:val="fr-CA"/>
        </w:rPr>
        <w:t>section l</w:t>
      </w:r>
      <w:r w:rsidRPr="006B5BF6" w:rsidDel="00784516">
        <w:rPr>
          <w:rFonts w:cs="Times New Roman"/>
          <w:i/>
          <w:lang w:val="fr-CA"/>
        </w:rPr>
        <w:t>ocal</w:t>
      </w:r>
      <w:r w:rsidRPr="006B5BF6">
        <w:rPr>
          <w:rFonts w:cs="Times New Roman"/>
          <w:i/>
          <w:lang w:val="fr-CA"/>
        </w:rPr>
        <w:t>e</w:t>
      </w:r>
      <w:r w:rsidRPr="006B5BF6" w:rsidDel="00784516">
        <w:rPr>
          <w:rFonts w:cs="Times New Roman"/>
          <w:i/>
          <w:lang w:val="fr-CA"/>
        </w:rPr>
        <w:t xml:space="preserve"> 79</w:t>
      </w:r>
      <w:r w:rsidRPr="006B5BF6" w:rsidDel="00784516">
        <w:rPr>
          <w:rFonts w:cs="Times New Roman"/>
          <w:lang w:val="fr-CA"/>
        </w:rPr>
        <w:t xml:space="preserve">, [2003] 3 </w:t>
      </w:r>
      <w:r w:rsidRPr="006B5BF6">
        <w:rPr>
          <w:rFonts w:cs="Times New Roman"/>
          <w:lang w:val="fr-CA"/>
        </w:rPr>
        <w:t>R.C.S.</w:t>
      </w:r>
      <w:r w:rsidRPr="006B5BF6" w:rsidDel="00784516">
        <w:rPr>
          <w:rFonts w:cs="Times New Roman"/>
          <w:lang w:val="fr-CA"/>
        </w:rPr>
        <w:t xml:space="preserve"> 77, </w:t>
      </w:r>
      <w:r w:rsidRPr="006B5BF6">
        <w:rPr>
          <w:rFonts w:cs="Times New Roman"/>
          <w:lang w:val="fr-CA"/>
        </w:rPr>
        <w:t>par. </w:t>
      </w:r>
      <w:r w:rsidRPr="006B5BF6" w:rsidDel="00784516">
        <w:rPr>
          <w:rFonts w:cs="Times New Roman"/>
          <w:lang w:val="fr-CA"/>
        </w:rPr>
        <w:t>131</w:t>
      </w:r>
      <w:r w:rsidRPr="006B5BF6">
        <w:rPr>
          <w:rFonts w:cs="Times New Roman"/>
          <w:lang w:val="fr-CA"/>
        </w:rPr>
        <w:t>, motifs concordants du juge LeBel). Le principe de la déférence commande aussi le respect des décideurs administratifs, de leur expertise spécialisée et du cadre institutionnel dans lequel ils évoluent (</w:t>
      </w:r>
      <w:r w:rsidRPr="006B5BF6">
        <w:rPr>
          <w:rFonts w:cs="Times New Roman"/>
          <w:i/>
          <w:lang w:val="fr-CA"/>
        </w:rPr>
        <w:t>Dunsmuir</w:t>
      </w:r>
      <w:r w:rsidRPr="006B5BF6">
        <w:rPr>
          <w:rFonts w:cs="Times New Roman"/>
          <w:lang w:val="fr-CA"/>
        </w:rPr>
        <w:t>, par. 48</w:t>
      </w:r>
      <w:r w:rsidRPr="006B5BF6">
        <w:rPr>
          <w:rFonts w:cs="Times New Roman"/>
          <w:lang w:val="fr-CA"/>
        </w:rPr>
        <w:noBreakHyphen/>
        <w:t xml:space="preserve">49). Les cours de révision doivent accorder </w:t>
      </w:r>
      <w:r w:rsidRPr="006B5BF6">
        <w:rPr>
          <w:rFonts w:cs="Times New Roman"/>
          <w:shd w:val="clear" w:color="auto" w:fill="FFFFFF"/>
          <w:lang w:val="fr-CA"/>
        </w:rPr>
        <w:t>une « attention respectueuse » aux motifs donnés à l</w:t>
      </w:r>
      <w:r>
        <w:rPr>
          <w:rFonts w:cs="Times New Roman"/>
          <w:shd w:val="clear" w:color="auto" w:fill="FFFFFF"/>
          <w:lang w:val="fr-CA"/>
        </w:rPr>
        <w:t>’</w:t>
      </w:r>
      <w:r w:rsidRPr="006B5BF6">
        <w:rPr>
          <w:rFonts w:cs="Times New Roman"/>
          <w:shd w:val="clear" w:color="auto" w:fill="FFFFFF"/>
          <w:lang w:val="fr-CA"/>
        </w:rPr>
        <w:t>appui d</w:t>
      </w:r>
      <w:r>
        <w:rPr>
          <w:rFonts w:cs="Times New Roman"/>
          <w:shd w:val="clear" w:color="auto" w:fill="FFFFFF"/>
          <w:lang w:val="fr-CA"/>
        </w:rPr>
        <w:t>’</w:t>
      </w:r>
      <w:r w:rsidRPr="006B5BF6">
        <w:rPr>
          <w:rFonts w:cs="Times New Roman"/>
          <w:shd w:val="clear" w:color="auto" w:fill="FFFFFF"/>
          <w:lang w:val="fr-CA"/>
        </w:rPr>
        <w:t>une décision</w:t>
      </w:r>
      <w:r w:rsidRPr="006B5BF6">
        <w:rPr>
          <w:rFonts w:cs="Times New Roman"/>
          <w:lang w:val="fr-CA"/>
        </w:rPr>
        <w:t xml:space="preserve"> administrative, s</w:t>
      </w:r>
      <w:r>
        <w:rPr>
          <w:rFonts w:cs="Times New Roman"/>
          <w:lang w:val="fr-CA"/>
        </w:rPr>
        <w:t>’</w:t>
      </w:r>
      <w:r w:rsidRPr="006B5BF6">
        <w:rPr>
          <w:rFonts w:cs="Times New Roman"/>
          <w:lang w:val="fr-CA"/>
        </w:rPr>
        <w:t>efforcer sincèrement de comprendre la décision et interpréter la décision de façon équitable et généreuse, en tenant compte de l</w:t>
      </w:r>
      <w:r>
        <w:rPr>
          <w:rFonts w:cs="Times New Roman"/>
          <w:lang w:val="fr-CA"/>
        </w:rPr>
        <w:t>’</w:t>
      </w:r>
      <w:r w:rsidRPr="006B5BF6">
        <w:rPr>
          <w:rFonts w:cs="Times New Roman"/>
          <w:lang w:val="fr-CA"/>
        </w:rPr>
        <w:t>ensemble du dossier (</w:t>
      </w:r>
      <w:r w:rsidRPr="006B5BF6">
        <w:rPr>
          <w:rFonts w:cs="Times New Roman"/>
          <w:i/>
          <w:lang w:val="fr-CA"/>
        </w:rPr>
        <w:t>Newfoundland Nurses</w:t>
      </w:r>
      <w:r w:rsidRPr="006B5BF6">
        <w:rPr>
          <w:rFonts w:cs="Times New Roman"/>
          <w:lang w:val="fr-CA"/>
        </w:rPr>
        <w:t>, par. 11</w:t>
      </w:r>
      <w:r w:rsidRPr="006B5BF6">
        <w:rPr>
          <w:rFonts w:cs="Times New Roman"/>
          <w:lang w:val="fr-CA"/>
        </w:rPr>
        <w:noBreakHyphen/>
        <w:t>14 et 17).</w:t>
      </w:r>
    </w:p>
    <w:p w14:paraId="254E9A48"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En deuxième lieu, le principe de la déférence influe sur la façon dont un</w:t>
      </w:r>
      <w:r>
        <w:rPr>
          <w:rFonts w:cs="Times New Roman"/>
          <w:lang w:val="fr-CA"/>
        </w:rPr>
        <w:t>e cour</w:t>
      </w:r>
      <w:r w:rsidRPr="006B5BF6">
        <w:rPr>
          <w:rFonts w:cs="Times New Roman"/>
          <w:lang w:val="fr-CA"/>
        </w:rPr>
        <w:t xml:space="preserve"> formule la question à laquelle </w:t>
      </w:r>
      <w:r>
        <w:rPr>
          <w:rFonts w:cs="Times New Roman"/>
          <w:lang w:val="fr-CA"/>
        </w:rPr>
        <w:t xml:space="preserve">elle </w:t>
      </w:r>
      <w:r w:rsidRPr="006B5BF6">
        <w:rPr>
          <w:rFonts w:cs="Times New Roman"/>
          <w:lang w:val="fr-CA"/>
        </w:rPr>
        <w:t>doit répondre lorsqu</w:t>
      </w:r>
      <w:r>
        <w:rPr>
          <w:rFonts w:cs="Times New Roman"/>
          <w:lang w:val="fr-CA"/>
        </w:rPr>
        <w:t>’elle</w:t>
      </w:r>
      <w:r w:rsidRPr="006B5BF6">
        <w:rPr>
          <w:rFonts w:cs="Times New Roman"/>
          <w:lang w:val="fr-CA"/>
        </w:rPr>
        <w:t xml:space="preserve"> effectue un contrôle judiciaire. La cour de révision ne cherche pas à savoir comment elle aurait résolu la question, mais plutôt s</w:t>
      </w:r>
      <w:r>
        <w:rPr>
          <w:rFonts w:cs="Times New Roman"/>
          <w:lang w:val="fr-CA"/>
        </w:rPr>
        <w:t>’</w:t>
      </w:r>
      <w:r w:rsidRPr="006B5BF6">
        <w:rPr>
          <w:rFonts w:cs="Times New Roman"/>
          <w:lang w:val="fr-CA"/>
        </w:rPr>
        <w:t>il a été démontré que la réponse donnée par le décideur administratif était déraisonnable (</w:t>
      </w:r>
      <w:r w:rsidRPr="006B5BF6">
        <w:rPr>
          <w:rFonts w:cs="Times New Roman"/>
          <w:i/>
          <w:iCs/>
          <w:lang w:val="fr-CA"/>
        </w:rPr>
        <w:t>Khosa</w:t>
      </w:r>
      <w:r w:rsidRPr="006B5BF6">
        <w:rPr>
          <w:rFonts w:cs="Times New Roman"/>
          <w:lang w:val="fr-CA"/>
        </w:rPr>
        <w:t>, par. 59, 61</w:t>
      </w:r>
      <w:r w:rsidRPr="006B5BF6">
        <w:rPr>
          <w:rFonts w:cs="Times New Roman"/>
          <w:lang w:val="fr-CA"/>
        </w:rPr>
        <w:noBreakHyphen/>
        <w:t xml:space="preserve">62 ; </w:t>
      </w:r>
      <w:r w:rsidRPr="006B5BF6">
        <w:rPr>
          <w:rFonts w:cs="Times New Roman"/>
          <w:i/>
          <w:iCs/>
          <w:lang w:val="fr-CA"/>
        </w:rPr>
        <w:t>Dunsmuir</w:t>
      </w:r>
      <w:r w:rsidRPr="006B5BF6">
        <w:rPr>
          <w:rFonts w:cs="Times New Roman"/>
          <w:lang w:val="fr-CA"/>
        </w:rPr>
        <w:t>, par. 47). En circonscrivant ainsi l</w:t>
      </w:r>
      <w:r>
        <w:rPr>
          <w:rFonts w:cs="Times New Roman"/>
          <w:lang w:val="fr-CA"/>
        </w:rPr>
        <w:t>’</w:t>
      </w:r>
      <w:r w:rsidRPr="006B5BF6">
        <w:rPr>
          <w:rFonts w:cs="Times New Roman"/>
          <w:lang w:val="fr-CA"/>
        </w:rPr>
        <w:t>examen, on s</w:t>
      </w:r>
      <w:r>
        <w:rPr>
          <w:rFonts w:cs="Times New Roman"/>
          <w:lang w:val="fr-CA"/>
        </w:rPr>
        <w:t>’</w:t>
      </w:r>
      <w:r w:rsidRPr="006B5BF6">
        <w:rPr>
          <w:rFonts w:cs="Times New Roman"/>
          <w:lang w:val="fr-CA"/>
        </w:rPr>
        <w:t>assure que l</w:t>
      </w:r>
      <w:r>
        <w:rPr>
          <w:rFonts w:cs="Times New Roman"/>
          <w:lang w:val="fr-CA"/>
        </w:rPr>
        <w:t>’</w:t>
      </w:r>
      <w:r w:rsidRPr="006B5BF6">
        <w:rPr>
          <w:rFonts w:cs="Times New Roman"/>
          <w:lang w:val="fr-CA"/>
        </w:rPr>
        <w:t>analyse est bel et bien centrée sur la décision administrative à l</w:t>
      </w:r>
      <w:r>
        <w:rPr>
          <w:rFonts w:cs="Times New Roman"/>
          <w:lang w:val="fr-CA"/>
        </w:rPr>
        <w:t>’</w:t>
      </w:r>
      <w:r w:rsidRPr="006B5BF6">
        <w:rPr>
          <w:rFonts w:cs="Times New Roman"/>
          <w:lang w:val="fr-CA"/>
        </w:rPr>
        <w:t>examen.</w:t>
      </w:r>
    </w:p>
    <w:p w14:paraId="53819565" w14:textId="3FBAAAE4"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Notre Cour a souvent cautionné cette vision du contrôle judiciaire selon la norme de la décision raisonnable. Dans l</w:t>
      </w:r>
      <w:r>
        <w:rPr>
          <w:rFonts w:cs="Times New Roman"/>
          <w:lang w:val="fr-CA"/>
        </w:rPr>
        <w:t>’</w:t>
      </w:r>
      <w:r w:rsidRPr="006B5BF6">
        <w:rPr>
          <w:rFonts w:cs="Times New Roman"/>
          <w:lang w:val="fr-CA"/>
        </w:rPr>
        <w:t xml:space="preserve">arrêt </w:t>
      </w:r>
      <w:r w:rsidRPr="006B5BF6">
        <w:rPr>
          <w:rFonts w:cs="Times New Roman"/>
          <w:i/>
          <w:lang w:val="fr-CA"/>
        </w:rPr>
        <w:t>Ryan</w:t>
      </w:r>
      <w:r w:rsidRPr="006B5BF6">
        <w:rPr>
          <w:rFonts w:cs="Times New Roman"/>
          <w:lang w:val="fr-CA"/>
        </w:rPr>
        <w:t>, par exemple, le juge Iacob</w:t>
      </w:r>
      <w:r w:rsidR="00152910">
        <w:rPr>
          <w:rFonts w:cs="Times New Roman"/>
          <w:lang w:val="fr-CA"/>
        </w:rPr>
        <w:t>ucci explique </w:t>
      </w:r>
      <w:r w:rsidRPr="006B5BF6">
        <w:rPr>
          <w:rFonts w:cs="Times New Roman"/>
          <w:lang w:val="fr-CA"/>
        </w:rPr>
        <w:t>:</w:t>
      </w:r>
    </w:p>
    <w:p w14:paraId="2D4D2A58" w14:textId="38CCFA7E" w:rsidR="00AE2373" w:rsidRPr="006B5BF6" w:rsidRDefault="00530870" w:rsidP="00AE2373">
      <w:pPr>
        <w:pStyle w:val="Citation-AltC"/>
        <w:spacing w:after="240"/>
        <w:ind w:hanging="446"/>
        <w:contextualSpacing w:val="0"/>
        <w:rPr>
          <w:lang w:val="fr-CA"/>
        </w:rPr>
      </w:pPr>
      <w:r>
        <w:rPr>
          <w:shd w:val="clear" w:color="auto" w:fill="FFFFFF"/>
          <w:lang w:val="fr-CA"/>
        </w:rPr>
        <w:tab/>
        <w:t>.</w:t>
      </w:r>
      <w:r w:rsidR="00947937">
        <w:rPr>
          <w:shd w:val="clear" w:color="auto" w:fill="FFFFFF"/>
          <w:lang w:val="fr-CA"/>
        </w:rPr>
        <w:t> </w:t>
      </w:r>
      <w:r>
        <w:rPr>
          <w:shd w:val="clear" w:color="auto" w:fill="FFFFFF"/>
          <w:lang w:val="fr-CA"/>
        </w:rPr>
        <w:t>.</w:t>
      </w:r>
      <w:r w:rsidR="00947937">
        <w:rPr>
          <w:shd w:val="clear" w:color="auto" w:fill="FFFFFF"/>
          <w:lang w:val="fr-CA"/>
        </w:rPr>
        <w:t> </w:t>
      </w:r>
      <w:r>
        <w:rPr>
          <w:shd w:val="clear" w:color="auto" w:fill="FFFFFF"/>
          <w:lang w:val="fr-CA"/>
        </w:rPr>
        <w:t>. l</w:t>
      </w:r>
      <w:r w:rsidR="00AE2373" w:rsidRPr="006B5BF6">
        <w:rPr>
          <w:shd w:val="clear" w:color="auto" w:fill="FFFFFF"/>
          <w:lang w:val="fr-CA"/>
        </w:rPr>
        <w:t>orsqu</w:t>
      </w:r>
      <w:r w:rsidR="00AE2373">
        <w:rPr>
          <w:shd w:val="clear" w:color="auto" w:fill="FFFFFF"/>
          <w:lang w:val="fr-CA"/>
        </w:rPr>
        <w:t>’</w:t>
      </w:r>
      <w:r w:rsidR="00AE2373" w:rsidRPr="006B5BF6">
        <w:rPr>
          <w:shd w:val="clear" w:color="auto" w:fill="FFFFFF"/>
          <w:lang w:val="fr-CA"/>
        </w:rPr>
        <w:t>elle décide si une mesure administrative est déraisonnable, la cour ne doit à aucun moment se demander ce qu</w:t>
      </w:r>
      <w:r w:rsidR="00AE2373">
        <w:rPr>
          <w:shd w:val="clear" w:color="auto" w:fill="FFFFFF"/>
          <w:lang w:val="fr-CA"/>
        </w:rPr>
        <w:t>’</w:t>
      </w:r>
      <w:r w:rsidR="00AE2373" w:rsidRPr="006B5BF6">
        <w:rPr>
          <w:shd w:val="clear" w:color="auto" w:fill="FFFFFF"/>
          <w:lang w:val="fr-CA"/>
        </w:rPr>
        <w:t>aurait été la décision correcte</w:t>
      </w:r>
      <w:r>
        <w:rPr>
          <w:shd w:val="clear" w:color="auto" w:fill="FFFFFF"/>
          <w:lang w:val="fr-CA"/>
        </w:rPr>
        <w:t>.</w:t>
      </w:r>
      <w:r w:rsidR="00AE2373" w:rsidRPr="006B5BF6">
        <w:rPr>
          <w:shd w:val="clear" w:color="auto" w:fill="FFFFFF"/>
          <w:lang w:val="fr-CA"/>
        </w:rPr>
        <w:t xml:space="preserve"> [. . .] La norme de la décision raisonnable n</w:t>
      </w:r>
      <w:r w:rsidR="00AE2373">
        <w:rPr>
          <w:shd w:val="clear" w:color="auto" w:fill="FFFFFF"/>
          <w:lang w:val="fr-CA"/>
        </w:rPr>
        <w:t>’</w:t>
      </w:r>
      <w:r w:rsidR="00AE2373" w:rsidRPr="006B5BF6">
        <w:rPr>
          <w:shd w:val="clear" w:color="auto" w:fill="FFFFFF"/>
          <w:lang w:val="fr-CA"/>
        </w:rPr>
        <w:t>implique pas que l</w:t>
      </w:r>
      <w:r w:rsidR="00AE2373">
        <w:rPr>
          <w:shd w:val="clear" w:color="auto" w:fill="FFFFFF"/>
          <w:lang w:val="fr-CA"/>
        </w:rPr>
        <w:t>’</w:t>
      </w:r>
      <w:r w:rsidR="00AE2373" w:rsidRPr="006B5BF6">
        <w:rPr>
          <w:shd w:val="clear" w:color="auto" w:fill="FFFFFF"/>
          <w:lang w:val="fr-CA"/>
        </w:rPr>
        <w:t>instance décisionnelle dispose simplement d</w:t>
      </w:r>
      <w:r w:rsidR="00AE2373">
        <w:rPr>
          <w:shd w:val="clear" w:color="auto" w:fill="FFFFFF"/>
          <w:lang w:val="fr-CA"/>
        </w:rPr>
        <w:t>’</w:t>
      </w:r>
      <w:r w:rsidR="00AE2373" w:rsidRPr="006B5BF6">
        <w:rPr>
          <w:shd w:val="clear" w:color="auto" w:fill="FFFFFF"/>
          <w:lang w:val="fr-CA"/>
        </w:rPr>
        <w:t>une « marge d</w:t>
      </w:r>
      <w:r w:rsidR="00AE2373">
        <w:rPr>
          <w:shd w:val="clear" w:color="auto" w:fill="FFFFFF"/>
          <w:lang w:val="fr-CA"/>
        </w:rPr>
        <w:t>’</w:t>
      </w:r>
      <w:r w:rsidR="00AE2373" w:rsidRPr="006B5BF6">
        <w:rPr>
          <w:shd w:val="clear" w:color="auto" w:fill="FFFFFF"/>
          <w:lang w:val="fr-CA"/>
        </w:rPr>
        <w:t>erreur » par rapport à ce que la cour estime être la solution correcte</w:t>
      </w:r>
      <w:r w:rsidR="00AE2373" w:rsidRPr="006B5BF6">
        <w:rPr>
          <w:lang w:val="fr-CA"/>
        </w:rPr>
        <w:t>.</w:t>
      </w:r>
    </w:p>
    <w:p w14:paraId="045E45F8" w14:textId="67662F91" w:rsidR="00AE2373" w:rsidRPr="006B5BF6" w:rsidRDefault="00AE2373" w:rsidP="00AE2373">
      <w:pPr>
        <w:pStyle w:val="Citation-AltC"/>
        <w:spacing w:after="240"/>
        <w:ind w:hanging="446"/>
        <w:contextualSpacing w:val="0"/>
        <w:rPr>
          <w:lang w:val="fr-CA"/>
        </w:rPr>
      </w:pPr>
      <w:r w:rsidRPr="006B5BF6">
        <w:rPr>
          <w:lang w:val="fr-CA"/>
        </w:rPr>
        <w:lastRenderedPageBreak/>
        <w:tab/>
      </w:r>
      <w:r w:rsidR="00530870">
        <w:rPr>
          <w:lang w:val="fr-CA"/>
        </w:rPr>
        <w:tab/>
        <w:t>. . .</w:t>
      </w:r>
      <w:r w:rsidRPr="006B5BF6">
        <w:rPr>
          <w:lang w:val="fr-CA"/>
        </w:rPr>
        <w:t xml:space="preserve"> </w:t>
      </w:r>
      <w:r w:rsidRPr="006B5BF6">
        <w:rPr>
          <w:shd w:val="clear" w:color="auto" w:fill="FFFFFF"/>
          <w:lang w:val="fr-CA"/>
        </w:rPr>
        <w:t>À la différence d</w:t>
      </w:r>
      <w:r>
        <w:rPr>
          <w:shd w:val="clear" w:color="auto" w:fill="FFFFFF"/>
          <w:lang w:val="fr-CA"/>
        </w:rPr>
        <w:t>’</w:t>
      </w:r>
      <w:r w:rsidRPr="006B5BF6">
        <w:rPr>
          <w:shd w:val="clear" w:color="auto" w:fill="FFFFFF"/>
          <w:lang w:val="fr-CA"/>
        </w:rPr>
        <w:t>un examen selon la norme de la décision correcte, il y a souvent plus d</w:t>
      </w:r>
      <w:r>
        <w:rPr>
          <w:shd w:val="clear" w:color="auto" w:fill="FFFFFF"/>
          <w:lang w:val="fr-CA"/>
        </w:rPr>
        <w:t>’</w:t>
      </w:r>
      <w:r w:rsidRPr="006B5BF6">
        <w:rPr>
          <w:shd w:val="clear" w:color="auto" w:fill="FFFFFF"/>
          <w:lang w:val="fr-CA"/>
        </w:rPr>
        <w:t>une seule bonne réponse aux questions examinées selon la norme de la décision raisonnable</w:t>
      </w:r>
      <w:r w:rsidR="00530870">
        <w:rPr>
          <w:shd w:val="clear" w:color="auto" w:fill="FFFFFF"/>
          <w:lang w:val="fr-CA"/>
        </w:rPr>
        <w:t>.</w:t>
      </w:r>
      <w:r w:rsidRPr="006B5BF6">
        <w:rPr>
          <w:shd w:val="clear" w:color="auto" w:fill="FFFFFF"/>
          <w:lang w:val="fr-CA"/>
        </w:rPr>
        <w:t xml:space="preserve"> [. . .] Même dans l</w:t>
      </w:r>
      <w:r>
        <w:rPr>
          <w:shd w:val="clear" w:color="auto" w:fill="FFFFFF"/>
          <w:lang w:val="fr-CA"/>
        </w:rPr>
        <w:t>’</w:t>
      </w:r>
      <w:r w:rsidRPr="006B5BF6">
        <w:rPr>
          <w:shd w:val="clear" w:color="auto" w:fill="FFFFFF"/>
          <w:lang w:val="fr-CA"/>
        </w:rPr>
        <w:t>hypothèse où il y aurait une réponse meilleure que les autres, le rôle de la cour n</w:t>
      </w:r>
      <w:r>
        <w:rPr>
          <w:shd w:val="clear" w:color="auto" w:fill="FFFFFF"/>
          <w:lang w:val="fr-CA"/>
        </w:rPr>
        <w:t>’</w:t>
      </w:r>
      <w:r w:rsidRPr="006B5BF6">
        <w:rPr>
          <w:shd w:val="clear" w:color="auto" w:fill="FFFFFF"/>
          <w:lang w:val="fr-CA"/>
        </w:rPr>
        <w:t>est pas de tenter de la découvrir lorsqu</w:t>
      </w:r>
      <w:r>
        <w:rPr>
          <w:shd w:val="clear" w:color="auto" w:fill="FFFFFF"/>
          <w:lang w:val="fr-CA"/>
        </w:rPr>
        <w:t>’</w:t>
      </w:r>
      <w:r w:rsidRPr="006B5BF6">
        <w:rPr>
          <w:shd w:val="clear" w:color="auto" w:fill="FFFFFF"/>
          <w:lang w:val="fr-CA"/>
        </w:rPr>
        <w:t>elle doit décider si la décision est déraisonnable.</w:t>
      </w:r>
      <w:r w:rsidRPr="006B5BF6">
        <w:rPr>
          <w:lang w:val="fr-CA"/>
        </w:rPr>
        <w:t xml:space="preserve"> [par. 50</w:t>
      </w:r>
      <w:r w:rsidRPr="006B5BF6">
        <w:rPr>
          <w:lang w:val="fr-CA"/>
        </w:rPr>
        <w:noBreakHyphen/>
        <w:t>51]</w:t>
      </w:r>
    </w:p>
    <w:p w14:paraId="2FAEDFF6" w14:textId="2DFB85C3" w:rsidR="00AE2373" w:rsidRPr="006B5BF6" w:rsidRDefault="00AE2373" w:rsidP="00530870">
      <w:pPr>
        <w:pStyle w:val="Citation-AltC"/>
        <w:ind w:left="90" w:hanging="90"/>
        <w:contextualSpacing w:val="0"/>
        <w:rPr>
          <w:lang w:val="fr-CA"/>
        </w:rPr>
      </w:pPr>
      <w:r w:rsidRPr="006B5BF6">
        <w:rPr>
          <w:lang w:val="fr-CA"/>
        </w:rPr>
        <w:tab/>
        <w:t xml:space="preserve">(Voir également </w:t>
      </w:r>
      <w:r w:rsidRPr="006B5BF6">
        <w:rPr>
          <w:i/>
          <w:lang w:val="fr-CA"/>
        </w:rPr>
        <w:t>Volvo Canada Ltd. c. T.U.A., local 720</w:t>
      </w:r>
      <w:r w:rsidRPr="006B5BF6">
        <w:rPr>
          <w:lang w:val="fr-CA"/>
        </w:rPr>
        <w:t xml:space="preserve">, [1980] 1 R.C.S. 178, p. 214; </w:t>
      </w:r>
      <w:r w:rsidRPr="006B5BF6">
        <w:rPr>
          <w:i/>
          <w:lang w:val="fr-CA"/>
        </w:rPr>
        <w:t>Toronto (Ville) c. S.C.F.P.</w:t>
      </w:r>
      <w:r w:rsidR="00530870">
        <w:rPr>
          <w:lang w:val="fr-CA"/>
        </w:rPr>
        <w:t>, par. 94-</w:t>
      </w:r>
      <w:r w:rsidRPr="006B5BF6">
        <w:rPr>
          <w:lang w:val="fr-CA"/>
        </w:rPr>
        <w:t xml:space="preserve">95, motifs concordants du juge LeBel; </w:t>
      </w:r>
      <w:r w:rsidRPr="006B5BF6">
        <w:rPr>
          <w:i/>
          <w:lang w:val="fr-CA"/>
        </w:rPr>
        <w:t>VIA Rail</w:t>
      </w:r>
      <w:r w:rsidRPr="006B5BF6">
        <w:rPr>
          <w:lang w:val="fr-CA"/>
        </w:rPr>
        <w:t xml:space="preserve">, par. 101; </w:t>
      </w:r>
      <w:r w:rsidRPr="006B5BF6">
        <w:rPr>
          <w:i/>
          <w:lang w:val="fr-CA"/>
        </w:rPr>
        <w:t>Mason c. Canada (Citoyenneté et Immigration)</w:t>
      </w:r>
      <w:r w:rsidRPr="006B5BF6">
        <w:rPr>
          <w:lang w:val="fr-CA"/>
        </w:rPr>
        <w:t xml:space="preserve">, 2019 FC 1251, par. 22 (CanLII), le juge Grammond; Régimbald, p. 539; Sharpe, p. 204 et 208; Paul Daly, « The Signal and the Noise in Administrative Law » (2017), 68 </w:t>
      </w:r>
      <w:r w:rsidR="00595369">
        <w:rPr>
          <w:i/>
          <w:lang w:val="fr-CA"/>
        </w:rPr>
        <w:t>R.D. </w:t>
      </w:r>
      <w:r w:rsidR="00373554">
        <w:rPr>
          <w:i/>
          <w:lang w:val="fr-CA"/>
        </w:rPr>
        <w:t>U.N.-B.</w:t>
      </w:r>
      <w:r w:rsidRPr="006B5BF6">
        <w:rPr>
          <w:lang w:val="fr-CA"/>
        </w:rPr>
        <w:t xml:space="preserve"> 6</w:t>
      </w:r>
      <w:r w:rsidR="00DE18D0">
        <w:rPr>
          <w:lang w:val="fr-CA"/>
        </w:rPr>
        <w:t>7</w:t>
      </w:r>
      <w:r w:rsidRPr="006B5BF6">
        <w:rPr>
          <w:lang w:val="fr-CA"/>
        </w:rPr>
        <w:t>, p. 85; Evans, « Triumph of Reasonableness</w:t>
      </w:r>
      <w:r w:rsidR="00532992">
        <w:rPr>
          <w:lang w:val="fr-CA"/>
        </w:rPr>
        <w:t xml:space="preserve"> </w:t>
      </w:r>
      <w:r w:rsidRPr="006B5BF6">
        <w:rPr>
          <w:lang w:val="fr-CA"/>
        </w:rPr>
        <w:t>: But How Much Does It Really Matter? », p. 107.)</w:t>
      </w:r>
    </w:p>
    <w:p w14:paraId="62D2A1ED"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Troisièmement, le contrôle fondé sur le principe de la déférence influence la façon dont la cour de révision évalue la contestation dont fait l</w:t>
      </w:r>
      <w:r>
        <w:rPr>
          <w:rFonts w:cs="Times New Roman"/>
          <w:lang w:val="fr-CA"/>
        </w:rPr>
        <w:t>’</w:t>
      </w:r>
      <w:r w:rsidRPr="006B5BF6">
        <w:rPr>
          <w:rFonts w:cs="Times New Roman"/>
          <w:lang w:val="fr-CA"/>
        </w:rPr>
        <w:t>objet la décision administrative. La déférence fait reposer sur les épaules du demandeur le fardeau de démontrer que la décision faisant l</w:t>
      </w:r>
      <w:r>
        <w:rPr>
          <w:rFonts w:cs="Times New Roman"/>
          <w:lang w:val="fr-CA"/>
        </w:rPr>
        <w:t>’</w:t>
      </w:r>
      <w:r w:rsidRPr="006B5BF6">
        <w:rPr>
          <w:rFonts w:cs="Times New Roman"/>
          <w:lang w:val="fr-CA"/>
        </w:rPr>
        <w:t>objet du contrôle judiciaire est déraisonnable (</w:t>
      </w:r>
      <w:r w:rsidRPr="006B5BF6">
        <w:rPr>
          <w:rFonts w:cs="Times New Roman"/>
          <w:i/>
          <w:lang w:val="fr-CA"/>
        </w:rPr>
        <w:t>Williams Lake Indian Band c. Canada (Affaires autochtones et Développement du Nord)</w:t>
      </w:r>
      <w:r w:rsidRPr="006B5BF6">
        <w:rPr>
          <w:rFonts w:cs="Times New Roman"/>
          <w:lang w:val="fr-CA"/>
        </w:rPr>
        <w:t>,</w:t>
      </w:r>
      <w:r w:rsidRPr="006B5BF6">
        <w:rPr>
          <w:rFonts w:cs="Times New Roman"/>
          <w:i/>
          <w:lang w:val="fr-CA"/>
        </w:rPr>
        <w:t xml:space="preserve"> </w:t>
      </w:r>
      <w:r w:rsidRPr="006B5BF6">
        <w:rPr>
          <w:rFonts w:cs="Times New Roman"/>
          <w:lang w:val="fr-CA"/>
        </w:rPr>
        <w:t xml:space="preserve">[2018] 1 R.C.S. 83, par. 108; </w:t>
      </w:r>
      <w:r w:rsidRPr="006B5BF6">
        <w:rPr>
          <w:rFonts w:cs="Times New Roman"/>
          <w:i/>
          <w:lang w:val="fr-CA"/>
        </w:rPr>
        <w:t>Établissement de Mission c. Khela</w:t>
      </w:r>
      <w:r w:rsidRPr="006B5BF6">
        <w:rPr>
          <w:rFonts w:cs="Times New Roman"/>
          <w:lang w:val="fr-CA"/>
        </w:rPr>
        <w:t xml:space="preserve">, [2014] 1 R.C.S. 502, par. 64; </w:t>
      </w:r>
      <w:r w:rsidRPr="006B5BF6">
        <w:rPr>
          <w:rFonts w:cs="Times New Roman"/>
          <w:i/>
          <w:lang w:val="fr-CA"/>
        </w:rPr>
        <w:t>May c. Établissement Ferndale</w:t>
      </w:r>
      <w:r w:rsidRPr="006B5BF6">
        <w:rPr>
          <w:rFonts w:cs="Times New Roman"/>
          <w:lang w:val="fr-CA"/>
        </w:rPr>
        <w:t xml:space="preserve">, [2005] 3 R.C.S. 809, par. 71; </w:t>
      </w:r>
      <w:r w:rsidRPr="006B5BF6">
        <w:rPr>
          <w:rFonts w:cs="Times New Roman"/>
          <w:i/>
          <w:lang w:val="fr-CA"/>
        </w:rPr>
        <w:t>Ryan</w:t>
      </w:r>
      <w:r w:rsidRPr="006B5BF6">
        <w:rPr>
          <w:rFonts w:cs="Times New Roman"/>
          <w:lang w:val="fr-CA"/>
        </w:rPr>
        <w:t xml:space="preserve">, par. 48; </w:t>
      </w:r>
      <w:r w:rsidRPr="006B5BF6">
        <w:rPr>
          <w:rFonts w:cs="Times New Roman"/>
          <w:i/>
          <w:lang w:val="fr-CA"/>
        </w:rPr>
        <w:t>Southam</w:t>
      </w:r>
      <w:r w:rsidRPr="006B5BF6">
        <w:rPr>
          <w:rFonts w:cs="Times New Roman"/>
          <w:lang w:val="fr-CA"/>
        </w:rPr>
        <w:t xml:space="preserve">, par. 61; </w:t>
      </w:r>
      <w:r w:rsidRPr="006B5BF6">
        <w:rPr>
          <w:rFonts w:cs="Times New Roman"/>
          <w:i/>
          <w:lang w:val="fr-CA"/>
        </w:rPr>
        <w:t>Northern Telecom c. Travailleurs en communication</w:t>
      </w:r>
      <w:r w:rsidRPr="006B5BF6">
        <w:rPr>
          <w:rFonts w:cs="Times New Roman"/>
          <w:lang w:val="fr-CA"/>
        </w:rPr>
        <w:t>, [1980] 1 R.C.S. 115, p. 130). Limiter ainsi l</w:t>
      </w:r>
      <w:r>
        <w:rPr>
          <w:rFonts w:cs="Times New Roman"/>
          <w:lang w:val="fr-CA"/>
        </w:rPr>
        <w:t>’</w:t>
      </w:r>
      <w:r w:rsidRPr="006B5BF6">
        <w:rPr>
          <w:rFonts w:cs="Times New Roman"/>
          <w:lang w:val="fr-CA"/>
        </w:rPr>
        <w:t>analyse à la question de savoir si le demandeur a démontré que la décision est déraisonnable renforce le rôle essentiel que jouent les décisions administratives dans le cadre d</w:t>
      </w:r>
      <w:r>
        <w:rPr>
          <w:rFonts w:cs="Times New Roman"/>
          <w:lang w:val="fr-CA"/>
        </w:rPr>
        <w:t>’</w:t>
      </w:r>
      <w:r w:rsidRPr="006B5BF6">
        <w:rPr>
          <w:rFonts w:cs="Times New Roman"/>
          <w:lang w:val="fr-CA"/>
        </w:rPr>
        <w:t>un contrôle dûment axé sur le principe de la déférence et confirme que le décideur n</w:t>
      </w:r>
      <w:r>
        <w:rPr>
          <w:rFonts w:cs="Times New Roman"/>
          <w:lang w:val="fr-CA"/>
        </w:rPr>
        <w:t>’</w:t>
      </w:r>
      <w:r w:rsidRPr="006B5BF6">
        <w:rPr>
          <w:rFonts w:cs="Times New Roman"/>
          <w:lang w:val="fr-CA"/>
        </w:rPr>
        <w:t>a pas à convaincre la cour de justice que sa décision est raisonnable.</w:t>
      </w:r>
    </w:p>
    <w:p w14:paraId="459AFED4" w14:textId="3BE8D21E"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L</w:t>
      </w:r>
      <w:r>
        <w:rPr>
          <w:rFonts w:cs="Times New Roman"/>
          <w:lang w:val="fr-CA"/>
        </w:rPr>
        <w:t>’</w:t>
      </w:r>
      <w:r w:rsidRPr="006B5BF6">
        <w:rPr>
          <w:rFonts w:cs="Times New Roman"/>
          <w:lang w:val="fr-CA"/>
        </w:rPr>
        <w:t>évaluation du caractère raisonnable d</w:t>
      </w:r>
      <w:r>
        <w:rPr>
          <w:rFonts w:cs="Times New Roman"/>
          <w:lang w:val="fr-CA"/>
        </w:rPr>
        <w:t>’</w:t>
      </w:r>
      <w:r w:rsidRPr="006B5BF6">
        <w:rPr>
          <w:rFonts w:cs="Times New Roman"/>
          <w:lang w:val="fr-CA"/>
        </w:rPr>
        <w:t>une décision nécessite également une évaluation qualitative. La raisonnabilité est un concept omniprésent dans notre droit, mais difficile à définir avec précision (</w:t>
      </w:r>
      <w:r w:rsidRPr="006B5BF6">
        <w:rPr>
          <w:rFonts w:cs="Times New Roman"/>
          <w:i/>
          <w:lang w:val="fr-CA"/>
        </w:rPr>
        <w:t>Dunsmuir</w:t>
      </w:r>
      <w:r w:rsidRPr="006B5BF6">
        <w:rPr>
          <w:rFonts w:cs="Times New Roman"/>
          <w:lang w:val="fr-CA"/>
        </w:rPr>
        <w:t xml:space="preserve">, par. 46). Ce concept exige, de </w:t>
      </w:r>
      <w:r w:rsidRPr="006B5BF6">
        <w:rPr>
          <w:rFonts w:cs="Times New Roman"/>
          <w:lang w:val="fr-CA"/>
        </w:rPr>
        <w:lastRenderedPageBreak/>
        <w:t>par sa nature même, une analyse factuelle qui implique une certaine compréhension des réalités courantes. Le caractère raisonnable ne peut être réduit à une formule ou à une liste de facteurs, dont bon nombre ne s</w:t>
      </w:r>
      <w:r>
        <w:rPr>
          <w:rFonts w:cs="Times New Roman"/>
          <w:lang w:val="fr-CA"/>
        </w:rPr>
        <w:t>’</w:t>
      </w:r>
      <w:r w:rsidRPr="006B5BF6">
        <w:rPr>
          <w:rFonts w:cs="Times New Roman"/>
          <w:lang w:val="fr-CA"/>
        </w:rPr>
        <w:t>appliqueront pas à une décision particulière. En fin de compte, la question de savoir si une décision administrative est raisonnable dépend du contexte (</w:t>
      </w:r>
      <w:r w:rsidRPr="006B5BF6">
        <w:rPr>
          <w:rFonts w:cs="Times New Roman"/>
          <w:i/>
          <w:iCs/>
          <w:lang w:val="fr-CA"/>
        </w:rPr>
        <w:t>Catalyst Paper Corp. c. North Cowichan (District)</w:t>
      </w:r>
      <w:r w:rsidRPr="006B5BF6">
        <w:rPr>
          <w:rFonts w:cs="Times New Roman"/>
          <w:lang w:val="fr-CA"/>
        </w:rPr>
        <w:t>, [2012] 1 R.C.S. 5, par. 18). Le droit administratif englobe une diversité infinie de décisions et de contextes décisionnels, comme l</w:t>
      </w:r>
      <w:r>
        <w:rPr>
          <w:rFonts w:cs="Times New Roman"/>
          <w:lang w:val="fr-CA"/>
        </w:rPr>
        <w:t>’</w:t>
      </w:r>
      <w:r w:rsidRPr="006B5BF6">
        <w:rPr>
          <w:rFonts w:cs="Times New Roman"/>
          <w:lang w:val="fr-CA"/>
        </w:rPr>
        <w:t>a expliqué de façon imagée le juge LeBel dans l</w:t>
      </w:r>
      <w:r>
        <w:rPr>
          <w:rFonts w:cs="Times New Roman"/>
          <w:lang w:val="fr-CA"/>
        </w:rPr>
        <w:t>’</w:t>
      </w:r>
      <w:r w:rsidRPr="006B5BF6">
        <w:rPr>
          <w:rFonts w:cs="Times New Roman"/>
          <w:lang w:val="fr-CA"/>
        </w:rPr>
        <w:t xml:space="preserve">arrêt </w:t>
      </w:r>
      <w:r w:rsidRPr="006B5BF6">
        <w:rPr>
          <w:rFonts w:cs="Times New Roman"/>
          <w:i/>
          <w:iCs/>
          <w:lang w:val="fr-CA"/>
        </w:rPr>
        <w:t>Blencoe c. Colombie</w:t>
      </w:r>
      <w:r w:rsidRPr="006B5BF6">
        <w:rPr>
          <w:rFonts w:cs="Times New Roman"/>
          <w:i/>
          <w:iCs/>
          <w:lang w:val="fr-CA"/>
        </w:rPr>
        <w:noBreakHyphen/>
        <w:t>Britannique (Human Rights Commission)</w:t>
      </w:r>
      <w:r w:rsidRPr="006B5BF6">
        <w:rPr>
          <w:rFonts w:cs="Times New Roman"/>
          <w:lang w:val="fr-CA"/>
        </w:rPr>
        <w:t>, [2000] 2 R.C.S. 307</w:t>
      </w:r>
      <w:r>
        <w:rPr>
          <w:rFonts w:cs="Times New Roman"/>
          <w:lang w:val="fr-CA"/>
        </w:rPr>
        <w:t>,</w:t>
      </w:r>
      <w:r w:rsidR="00530870">
        <w:rPr>
          <w:rFonts w:cs="Times New Roman"/>
          <w:lang w:val="fr-CA"/>
        </w:rPr>
        <w:t xml:space="preserve"> </w:t>
      </w:r>
      <w:r w:rsidRPr="006B5BF6">
        <w:rPr>
          <w:rFonts w:cs="Times New Roman"/>
          <w:lang w:val="fr-CA"/>
        </w:rPr>
        <w:t>para. 158 (dissident</w:t>
      </w:r>
      <w:r>
        <w:rPr>
          <w:rFonts w:cs="Times New Roman"/>
          <w:lang w:val="fr-CA"/>
        </w:rPr>
        <w:t xml:space="preserve"> en partie</w:t>
      </w:r>
      <w:r w:rsidRPr="006B5BF6">
        <w:rPr>
          <w:rFonts w:cs="Times New Roman"/>
          <w:lang w:val="fr-CA"/>
        </w:rPr>
        <w:t>, mais pas sur ce point) :</w:t>
      </w:r>
    </w:p>
    <w:p w14:paraId="662EDCE9" w14:textId="41B806FE" w:rsidR="00AE2373" w:rsidRPr="006B5BF6" w:rsidRDefault="00AE2373" w:rsidP="00AE2373">
      <w:pPr>
        <w:pStyle w:val="Citation-AltC"/>
        <w:ind w:hanging="446"/>
        <w:contextualSpacing w:val="0"/>
        <w:rPr>
          <w:lang w:val="fr-CA"/>
        </w:rPr>
      </w:pPr>
      <w:r w:rsidRPr="006B5BF6">
        <w:rPr>
          <w:lang w:val="fr-CA"/>
        </w:rPr>
        <w:tab/>
        <w:t>. . .</w:t>
      </w:r>
      <w:r w:rsidRPr="006B5BF6">
        <w:rPr>
          <w:shd w:val="clear" w:color="auto" w:fill="FFFFFF"/>
          <w:lang w:val="fr-CA"/>
        </w:rPr>
        <w:t xml:space="preserve"> les organismes administratifs diffèrent les uns des autres. En fait, c</w:t>
      </w:r>
      <w:r>
        <w:rPr>
          <w:shd w:val="clear" w:color="auto" w:fill="FFFFFF"/>
          <w:lang w:val="fr-CA"/>
        </w:rPr>
        <w:t>’</w:t>
      </w:r>
      <w:r w:rsidRPr="006B5BF6">
        <w:rPr>
          <w:shd w:val="clear" w:color="auto" w:fill="FFFFFF"/>
          <w:lang w:val="fr-CA"/>
        </w:rPr>
        <w:t>est le moins qu</w:t>
      </w:r>
      <w:r>
        <w:rPr>
          <w:shd w:val="clear" w:color="auto" w:fill="FFFFFF"/>
          <w:lang w:val="fr-CA"/>
        </w:rPr>
        <w:t>’</w:t>
      </w:r>
      <w:r w:rsidRPr="006B5BF6">
        <w:rPr>
          <w:shd w:val="clear" w:color="auto" w:fill="FFFFFF"/>
          <w:lang w:val="fr-CA"/>
        </w:rPr>
        <w:t>on puisse dire. À première vue, un conseil des relations de travail, une commission de police et un office de contrôle laitier peuvent paraître avoir autant de points en commun qu</w:t>
      </w:r>
      <w:r>
        <w:rPr>
          <w:shd w:val="clear" w:color="auto" w:fill="FFFFFF"/>
          <w:lang w:val="fr-CA"/>
        </w:rPr>
        <w:t>’</w:t>
      </w:r>
      <w:r w:rsidRPr="006B5BF6">
        <w:rPr>
          <w:shd w:val="clear" w:color="auto" w:fill="FFFFFF"/>
          <w:lang w:val="fr-CA"/>
        </w:rPr>
        <w:t>une ligne d</w:t>
      </w:r>
      <w:r>
        <w:rPr>
          <w:shd w:val="clear" w:color="auto" w:fill="FFFFFF"/>
          <w:lang w:val="fr-CA"/>
        </w:rPr>
        <w:t>’</w:t>
      </w:r>
      <w:r w:rsidRPr="006B5BF6">
        <w:rPr>
          <w:shd w:val="clear" w:color="auto" w:fill="FFFFFF"/>
          <w:lang w:val="fr-CA"/>
        </w:rPr>
        <w:t>assemblage, un policier et une vache! Les organismes administratifs ont évidemment certaines caractéristiques en commun, mais en raison de la diversité de leurs attributions, de leur mandat et de leur organisation, il peut être totalement inapproprié d</w:t>
      </w:r>
      <w:r>
        <w:rPr>
          <w:shd w:val="clear" w:color="auto" w:fill="FFFFFF"/>
          <w:lang w:val="fr-CA"/>
        </w:rPr>
        <w:t>’</w:t>
      </w:r>
      <w:r w:rsidRPr="006B5BF6">
        <w:rPr>
          <w:shd w:val="clear" w:color="auto" w:fill="FFFFFF"/>
          <w:lang w:val="fr-CA"/>
        </w:rPr>
        <w:t>appliquer les mêmes normes d</w:t>
      </w:r>
      <w:r>
        <w:rPr>
          <w:shd w:val="clear" w:color="auto" w:fill="FFFFFF"/>
          <w:lang w:val="fr-CA"/>
        </w:rPr>
        <w:t>’</w:t>
      </w:r>
      <w:r w:rsidRPr="006B5BF6">
        <w:rPr>
          <w:shd w:val="clear" w:color="auto" w:fill="FFFFFF"/>
          <w:lang w:val="fr-CA"/>
        </w:rPr>
        <w:t>un contexte à l</w:t>
      </w:r>
      <w:r>
        <w:rPr>
          <w:shd w:val="clear" w:color="auto" w:fill="FFFFFF"/>
          <w:lang w:val="fr-CA"/>
        </w:rPr>
        <w:t>’</w:t>
      </w:r>
      <w:r w:rsidRPr="006B5BF6">
        <w:rPr>
          <w:shd w:val="clear" w:color="auto" w:fill="FFFFFF"/>
          <w:lang w:val="fr-CA"/>
        </w:rPr>
        <w:t>autre.</w:t>
      </w:r>
      <w:r w:rsidR="00532992">
        <w:rPr>
          <w:shd w:val="clear" w:color="auto" w:fill="FFFFFF"/>
          <w:lang w:val="fr-CA"/>
        </w:rPr>
        <w:t xml:space="preserve"> </w:t>
      </w:r>
    </w:p>
    <w:p w14:paraId="2EDDC4F1" w14:textId="50C6A198" w:rsidR="00AE2373" w:rsidRPr="006B5BF6" w:rsidRDefault="00AE2373" w:rsidP="00AE2373">
      <w:pPr>
        <w:pStyle w:val="ParaNoNdepar-AltN"/>
        <w:tabs>
          <w:tab w:val="clear" w:pos="1422"/>
        </w:tabs>
        <w:spacing w:before="0"/>
        <w:rPr>
          <w:rFonts w:cs="Times New Roman"/>
          <w:lang w:val="fr-CA"/>
        </w:rPr>
      </w:pPr>
      <w:r w:rsidRPr="006B5BF6">
        <w:rPr>
          <w:rFonts w:cs="Times New Roman"/>
          <w:lang w:val="fr-CA"/>
        </w:rPr>
        <w:t>Selon nous, le principe de la déférence commande que l</w:t>
      </w:r>
      <w:r>
        <w:rPr>
          <w:rFonts w:cs="Times New Roman"/>
          <w:lang w:val="fr-CA"/>
        </w:rPr>
        <w:t>’</w:t>
      </w:r>
      <w:r w:rsidRPr="006B5BF6">
        <w:rPr>
          <w:rFonts w:cs="Times New Roman"/>
          <w:lang w:val="fr-CA"/>
        </w:rPr>
        <w:t>on considère chaque décision administrative comme un cas d</w:t>
      </w:r>
      <w:r>
        <w:rPr>
          <w:rFonts w:cs="Times New Roman"/>
          <w:lang w:val="fr-CA"/>
        </w:rPr>
        <w:t>’</w:t>
      </w:r>
      <w:r w:rsidRPr="006B5BF6">
        <w:rPr>
          <w:rFonts w:cs="Times New Roman"/>
          <w:lang w:val="fr-CA"/>
        </w:rPr>
        <w:t>espèce et qu</w:t>
      </w:r>
      <w:r>
        <w:rPr>
          <w:rFonts w:cs="Times New Roman"/>
          <w:lang w:val="fr-CA"/>
        </w:rPr>
        <w:t>’</w:t>
      </w:r>
      <w:r w:rsidRPr="006B5BF6">
        <w:rPr>
          <w:rFonts w:cs="Times New Roman"/>
          <w:lang w:val="fr-CA"/>
        </w:rPr>
        <w:t>on tienne compte du contexte qui lui est propre. Nous tenons toutefois à préciser qu</w:t>
      </w:r>
      <w:r>
        <w:rPr>
          <w:rFonts w:cs="Times New Roman"/>
          <w:lang w:val="fr-CA"/>
        </w:rPr>
        <w:t>’</w:t>
      </w:r>
      <w:r w:rsidRPr="006B5BF6">
        <w:rPr>
          <w:rFonts w:cs="Times New Roman"/>
          <w:lang w:val="fr-CA"/>
        </w:rPr>
        <w:t>il n</w:t>
      </w:r>
      <w:r>
        <w:rPr>
          <w:rFonts w:cs="Times New Roman"/>
          <w:lang w:val="fr-CA"/>
        </w:rPr>
        <w:t>’</w:t>
      </w:r>
      <w:r w:rsidRPr="006B5BF6">
        <w:rPr>
          <w:rFonts w:cs="Times New Roman"/>
          <w:lang w:val="fr-CA"/>
        </w:rPr>
        <w:t>y a aucune corrélation entre le caractère foncièrement contextuel du contrôle judiciaire effectué selon la norme de la décision raisonnable et le degré d</w:t>
      </w:r>
      <w:r>
        <w:rPr>
          <w:rFonts w:cs="Times New Roman"/>
          <w:lang w:val="fr-CA"/>
        </w:rPr>
        <w:t>’</w:t>
      </w:r>
      <w:r w:rsidRPr="006B5BF6">
        <w:rPr>
          <w:rFonts w:cs="Times New Roman"/>
          <w:lang w:val="fr-CA"/>
        </w:rPr>
        <w:t>attention avec lequel la cour de révision effectue son examen (</w:t>
      </w:r>
      <w:r w:rsidRPr="006B5BF6">
        <w:rPr>
          <w:rFonts w:cs="Times New Roman"/>
          <w:i/>
          <w:lang w:val="fr-CA"/>
        </w:rPr>
        <w:t>Alberta Teachers</w:t>
      </w:r>
      <w:r>
        <w:rPr>
          <w:rFonts w:cs="Times New Roman"/>
          <w:i/>
          <w:lang w:val="fr-CA"/>
        </w:rPr>
        <w:t>’</w:t>
      </w:r>
      <w:r w:rsidRPr="006B5BF6">
        <w:rPr>
          <w:rFonts w:cs="Times New Roman"/>
          <w:i/>
          <w:lang w:val="fr-CA"/>
        </w:rPr>
        <w:t xml:space="preserve"> Association</w:t>
      </w:r>
      <w:r w:rsidRPr="006B5BF6">
        <w:rPr>
          <w:rFonts w:cs="Times New Roman"/>
          <w:lang w:val="fr-CA"/>
        </w:rPr>
        <w:t xml:space="preserve">, par. 47; </w:t>
      </w:r>
      <w:r w:rsidRPr="006B5BF6">
        <w:rPr>
          <w:rFonts w:cs="Times New Roman"/>
          <w:i/>
          <w:lang w:val="fr-CA"/>
        </w:rPr>
        <w:t xml:space="preserve">Wilson, </w:t>
      </w:r>
      <w:r w:rsidRPr="006B5BF6">
        <w:rPr>
          <w:rFonts w:cs="Times New Roman"/>
          <w:lang w:val="fr-CA"/>
        </w:rPr>
        <w:t>par. 18). La nature contextuelle du contrôle judiciaire signifie simplement que, lorsqu</w:t>
      </w:r>
      <w:r>
        <w:rPr>
          <w:rFonts w:cs="Times New Roman"/>
          <w:lang w:val="fr-CA"/>
        </w:rPr>
        <w:t>’</w:t>
      </w:r>
      <w:r w:rsidRPr="006B5BF6">
        <w:rPr>
          <w:rFonts w:cs="Times New Roman"/>
          <w:lang w:val="fr-CA"/>
        </w:rPr>
        <w:t>elle est saisie d</w:t>
      </w:r>
      <w:r>
        <w:rPr>
          <w:rFonts w:cs="Times New Roman"/>
          <w:lang w:val="fr-CA"/>
        </w:rPr>
        <w:t>’</w:t>
      </w:r>
      <w:r w:rsidRPr="006B5BF6">
        <w:rPr>
          <w:rFonts w:cs="Times New Roman"/>
          <w:lang w:val="fr-CA"/>
        </w:rPr>
        <w:t xml:space="preserve">une contestation portant sur une décision administrative, la cour de révision doit tenir compte de toutes les circonstances pertinentes, y compris les motifs invoqués </w:t>
      </w:r>
      <w:r w:rsidRPr="006B5BF6">
        <w:rPr>
          <w:rFonts w:cs="Times New Roman"/>
          <w:lang w:val="fr-CA"/>
        </w:rPr>
        <w:lastRenderedPageBreak/>
        <w:t>au soutien de la décision, le dossier, le régime législatif et les questions particulières soulevées par le demandeur, parmi d</w:t>
      </w:r>
      <w:r>
        <w:rPr>
          <w:rFonts w:cs="Times New Roman"/>
          <w:lang w:val="fr-CA"/>
        </w:rPr>
        <w:t>’</w:t>
      </w:r>
      <w:r w:rsidRPr="006B5BF6">
        <w:rPr>
          <w:rFonts w:cs="Times New Roman"/>
          <w:lang w:val="fr-CA"/>
        </w:rPr>
        <w:t xml:space="preserve">autres facteurs (voir, par exemple, </w:t>
      </w:r>
      <w:r w:rsidRPr="006B5BF6">
        <w:rPr>
          <w:rFonts w:cs="Times New Roman"/>
          <w:i/>
          <w:lang w:val="fr-CA"/>
        </w:rPr>
        <w:t>Suresh c. Canada (Ministre de la Citoyenneté et de l</w:t>
      </w:r>
      <w:r>
        <w:rPr>
          <w:rFonts w:cs="Times New Roman"/>
          <w:i/>
          <w:lang w:val="fr-CA"/>
        </w:rPr>
        <w:t>’</w:t>
      </w:r>
      <w:r w:rsidRPr="006B5BF6">
        <w:rPr>
          <w:rFonts w:cs="Times New Roman"/>
          <w:i/>
          <w:lang w:val="fr-CA"/>
        </w:rPr>
        <w:t>Immigration)</w:t>
      </w:r>
      <w:r w:rsidR="00530870" w:rsidRPr="00530870">
        <w:rPr>
          <w:rFonts w:cs="Times New Roman"/>
          <w:lang w:val="fr-CA"/>
        </w:rPr>
        <w:t>,</w:t>
      </w:r>
      <w:r w:rsidRPr="006B5BF6">
        <w:rPr>
          <w:rFonts w:cs="Times New Roman"/>
          <w:lang w:val="fr-CA"/>
        </w:rPr>
        <w:t xml:space="preserve"> [2002] 1 R.C.S. 3, par. 40; </w:t>
      </w:r>
      <w:r w:rsidRPr="006B5BF6">
        <w:rPr>
          <w:rFonts w:cs="Times New Roman"/>
          <w:i/>
          <w:lang w:val="fr-CA"/>
        </w:rPr>
        <w:t>Newfoundland Nurses</w:t>
      </w:r>
      <w:r w:rsidRPr="006B5BF6">
        <w:rPr>
          <w:rFonts w:cs="Times New Roman"/>
          <w:lang w:val="fr-CA"/>
        </w:rPr>
        <w:t xml:space="preserve">, par. 18; Van Harten et </w:t>
      </w:r>
      <w:r w:rsidR="00530870">
        <w:rPr>
          <w:rFonts w:cs="Times New Roman"/>
          <w:lang w:val="fr-CA"/>
        </w:rPr>
        <w:t>autres</w:t>
      </w:r>
      <w:r w:rsidRPr="006B5BF6">
        <w:rPr>
          <w:rFonts w:cs="Times New Roman"/>
          <w:lang w:val="fr-CA"/>
        </w:rPr>
        <w:t>, p. 794). Sans ce contexte, il est impossible de déterminer ce qui constitue une justification suffisamment convaincante pour annuler une décision à l</w:t>
      </w:r>
      <w:r>
        <w:rPr>
          <w:rFonts w:cs="Times New Roman"/>
          <w:lang w:val="fr-CA"/>
        </w:rPr>
        <w:t>’</w:t>
      </w:r>
      <w:r w:rsidRPr="006B5BF6">
        <w:rPr>
          <w:rFonts w:cs="Times New Roman"/>
          <w:lang w:val="fr-CA"/>
        </w:rPr>
        <w:t>issue d</w:t>
      </w:r>
      <w:r>
        <w:rPr>
          <w:rFonts w:cs="Times New Roman"/>
          <w:lang w:val="fr-CA"/>
        </w:rPr>
        <w:t>’</w:t>
      </w:r>
      <w:r w:rsidRPr="006B5BF6">
        <w:rPr>
          <w:rFonts w:cs="Times New Roman"/>
          <w:lang w:val="fr-CA"/>
        </w:rPr>
        <w:t>un contrôle judiciaire selon la norme de la décision raisonnable. Le contexte peut influer sur le degré de persuasion de la contestation dont fait l</w:t>
      </w:r>
      <w:r>
        <w:rPr>
          <w:rFonts w:cs="Times New Roman"/>
          <w:lang w:val="fr-CA"/>
        </w:rPr>
        <w:t>’</w:t>
      </w:r>
      <w:r w:rsidRPr="006B5BF6">
        <w:rPr>
          <w:rFonts w:cs="Times New Roman"/>
          <w:lang w:val="fr-CA"/>
        </w:rPr>
        <w:t>objet la décision administrative, mais il n</w:t>
      </w:r>
      <w:r>
        <w:rPr>
          <w:rFonts w:cs="Times New Roman"/>
          <w:lang w:val="fr-CA"/>
        </w:rPr>
        <w:t>’</w:t>
      </w:r>
      <w:r w:rsidRPr="006B5BF6">
        <w:rPr>
          <w:rFonts w:cs="Times New Roman"/>
          <w:lang w:val="fr-CA"/>
        </w:rPr>
        <w:t>a aucune incidence sur l</w:t>
      </w:r>
      <w:r>
        <w:rPr>
          <w:rFonts w:cs="Times New Roman"/>
          <w:lang w:val="fr-CA"/>
        </w:rPr>
        <w:t>’</w:t>
      </w:r>
      <w:r w:rsidRPr="006B5BF6">
        <w:rPr>
          <w:rFonts w:cs="Times New Roman"/>
          <w:lang w:val="fr-CA"/>
        </w:rPr>
        <w:t>attitude de déférence que doit conserver la cour de révision (</w:t>
      </w:r>
      <w:r w:rsidRPr="006B5BF6">
        <w:rPr>
          <w:rFonts w:cs="Times New Roman"/>
          <w:i/>
          <w:lang w:val="fr-CA"/>
        </w:rPr>
        <w:t>Suresh</w:t>
      </w:r>
      <w:r w:rsidRPr="006B5BF6">
        <w:rPr>
          <w:rFonts w:cs="Times New Roman"/>
          <w:lang w:val="fr-CA"/>
        </w:rPr>
        <w:t>, par. 40).</w:t>
      </w:r>
    </w:p>
    <w:p w14:paraId="0CD9136B" w14:textId="77777777" w:rsidR="00AE2373" w:rsidRPr="006B5BF6" w:rsidRDefault="00AE2373" w:rsidP="00AE2373">
      <w:pPr>
        <w:pStyle w:val="ParaNoNdepar-AltN"/>
        <w:tabs>
          <w:tab w:val="clear" w:pos="1422"/>
        </w:tabs>
        <w:spacing w:before="0"/>
        <w:rPr>
          <w:rFonts w:cs="Times New Roman"/>
          <w:lang w:val="fr-CA"/>
        </w:rPr>
      </w:pPr>
      <w:r w:rsidRPr="006B5BF6">
        <w:rPr>
          <w:rFonts w:cs="Times New Roman"/>
          <w:lang w:val="fr-CA"/>
        </w:rPr>
        <w:t>La déférence ne suppose pas pour autant que la cour de révision se dérobe à son devoir de contrôler la décision. Dès lors qu</w:t>
      </w:r>
      <w:r>
        <w:rPr>
          <w:rFonts w:cs="Times New Roman"/>
          <w:lang w:val="fr-CA"/>
        </w:rPr>
        <w:t>’</w:t>
      </w:r>
      <w:r w:rsidRPr="006B5BF6">
        <w:rPr>
          <w:rFonts w:cs="Times New Roman"/>
          <w:lang w:val="fr-CA"/>
        </w:rPr>
        <w:t>elle maintient une attitude de respect, qu</w:t>
      </w:r>
      <w:r>
        <w:rPr>
          <w:rFonts w:cs="Times New Roman"/>
          <w:lang w:val="fr-CA"/>
        </w:rPr>
        <w:t>’</w:t>
      </w:r>
      <w:r w:rsidRPr="006B5BF6">
        <w:rPr>
          <w:rFonts w:cs="Times New Roman"/>
          <w:lang w:val="fr-CA"/>
        </w:rPr>
        <w:t>elle cerne correctement la question à trancher dans le cadre du contrôle judiciaire et qu</w:t>
      </w:r>
      <w:r>
        <w:rPr>
          <w:rFonts w:cs="Times New Roman"/>
          <w:lang w:val="fr-CA"/>
        </w:rPr>
        <w:t>’</w:t>
      </w:r>
      <w:r w:rsidRPr="006B5BF6">
        <w:rPr>
          <w:rFonts w:cs="Times New Roman"/>
          <w:lang w:val="fr-CA"/>
        </w:rPr>
        <w:t>elle exige qu</w:t>
      </w:r>
      <w:r>
        <w:rPr>
          <w:rFonts w:cs="Times New Roman"/>
          <w:lang w:val="fr-CA"/>
        </w:rPr>
        <w:t>’</w:t>
      </w:r>
      <w:r w:rsidRPr="006B5BF6">
        <w:rPr>
          <w:rFonts w:cs="Times New Roman"/>
          <w:lang w:val="fr-CA"/>
        </w:rPr>
        <w:t>on lui soumette des raisons impérieuses avant d</w:t>
      </w:r>
      <w:r>
        <w:rPr>
          <w:rFonts w:cs="Times New Roman"/>
          <w:lang w:val="fr-CA"/>
        </w:rPr>
        <w:t>’</w:t>
      </w:r>
      <w:r w:rsidRPr="006B5BF6">
        <w:rPr>
          <w:rFonts w:cs="Times New Roman"/>
          <w:lang w:val="fr-CA"/>
        </w:rPr>
        <w:t>annuler une décision, il lui est loisible d</w:t>
      </w:r>
      <w:r>
        <w:rPr>
          <w:rFonts w:cs="Times New Roman"/>
          <w:lang w:val="fr-CA"/>
        </w:rPr>
        <w:t>’</w:t>
      </w:r>
      <w:r w:rsidRPr="006B5BF6">
        <w:rPr>
          <w:rFonts w:cs="Times New Roman"/>
          <w:lang w:val="fr-CA"/>
        </w:rPr>
        <w:t>analyser en profondeur la décision administrative dont elle est saisie. Ce faisant, elle ne procède pas à un contrôle « déguisé selon la norme de la décision correcte », pour reprendre l</w:t>
      </w:r>
      <w:r>
        <w:rPr>
          <w:rFonts w:cs="Times New Roman"/>
          <w:lang w:val="fr-CA"/>
        </w:rPr>
        <w:t>’</w:t>
      </w:r>
      <w:r w:rsidRPr="006B5BF6">
        <w:rPr>
          <w:rFonts w:cs="Times New Roman"/>
          <w:lang w:val="fr-CA"/>
        </w:rPr>
        <w:t>expression employée par certains. Après tout, la déférence est la marque d</w:t>
      </w:r>
      <w:r>
        <w:rPr>
          <w:rFonts w:cs="Times New Roman"/>
          <w:lang w:val="fr-CA"/>
        </w:rPr>
        <w:t>’</w:t>
      </w:r>
      <w:r w:rsidRPr="006B5BF6">
        <w:rPr>
          <w:rFonts w:cs="Times New Roman"/>
          <w:lang w:val="fr-CA"/>
        </w:rPr>
        <w:t>une attitude de respect et non le signe d</w:t>
      </w:r>
      <w:r>
        <w:rPr>
          <w:rFonts w:cs="Times New Roman"/>
          <w:lang w:val="fr-CA"/>
        </w:rPr>
        <w:t>’</w:t>
      </w:r>
      <w:r w:rsidRPr="006B5BF6">
        <w:rPr>
          <w:rFonts w:cs="Times New Roman"/>
          <w:lang w:val="fr-CA"/>
        </w:rPr>
        <w:t>un manque d</w:t>
      </w:r>
      <w:r>
        <w:rPr>
          <w:rFonts w:cs="Times New Roman"/>
          <w:lang w:val="fr-CA"/>
        </w:rPr>
        <w:t>’</w:t>
      </w:r>
      <w:r w:rsidRPr="006B5BF6">
        <w:rPr>
          <w:rFonts w:cs="Times New Roman"/>
          <w:lang w:val="fr-CA"/>
        </w:rPr>
        <w:t>attention aux détails.</w:t>
      </w:r>
    </w:p>
    <w:p w14:paraId="7ECA9661" w14:textId="77777777" w:rsidR="00AE2373" w:rsidRPr="006B5BF6" w:rsidRDefault="00AE2373" w:rsidP="00AE2373">
      <w:pPr>
        <w:pStyle w:val="ParaNoNdepar-AltN"/>
        <w:tabs>
          <w:tab w:val="clear" w:pos="1422"/>
        </w:tabs>
        <w:spacing w:before="0"/>
        <w:rPr>
          <w:rFonts w:cs="Times New Roman"/>
          <w:lang w:val="fr-CA"/>
        </w:rPr>
      </w:pPr>
      <w:r w:rsidRPr="006B5BF6">
        <w:rPr>
          <w:rFonts w:cs="Times New Roman"/>
          <w:lang w:val="fr-CA"/>
        </w:rPr>
        <w:t>Dans cette optique, nous aimerions proposer quelques pistes qui, selon nous, pourraient baliser le contrôle judiciaire selon la norme de la décision raisonnable. Nous commencerons par les situations où la décision en question doit être motivée</w:t>
      </w:r>
      <w:r w:rsidRPr="00092343">
        <w:rPr>
          <w:rStyle w:val="Hyperlink"/>
          <w:vertAlign w:val="superscript"/>
        </w:rPr>
        <w:footnoteReference w:id="9"/>
      </w:r>
      <w:r w:rsidRPr="006B5BF6">
        <w:rPr>
          <w:rFonts w:cs="Times New Roman"/>
          <w:lang w:val="fr-CA"/>
        </w:rPr>
        <w:t>.</w:t>
      </w:r>
    </w:p>
    <w:p w14:paraId="3CF81561" w14:textId="77777777" w:rsidR="00AE2373" w:rsidRPr="006B5BF6" w:rsidRDefault="00AE2373" w:rsidP="00AE2373">
      <w:pPr>
        <w:pStyle w:val="ParaNoNdepar-AltN"/>
        <w:tabs>
          <w:tab w:val="clear" w:pos="1422"/>
        </w:tabs>
        <w:spacing w:before="0"/>
        <w:rPr>
          <w:rFonts w:cs="Times New Roman"/>
          <w:lang w:val="fr-CA"/>
        </w:rPr>
      </w:pPr>
      <w:r w:rsidRPr="006B5BF6">
        <w:rPr>
          <w:rFonts w:cs="Times New Roman"/>
          <w:lang w:val="fr-CA"/>
        </w:rPr>
        <w:lastRenderedPageBreak/>
        <w:t>La décision administrative est le point de mire du contrôle judiciaire. Pour déterminer si le décideur a agi raisonnablement, la cour de révision doit d</w:t>
      </w:r>
      <w:r>
        <w:rPr>
          <w:rFonts w:cs="Times New Roman"/>
          <w:lang w:val="fr-CA"/>
        </w:rPr>
        <w:t>’</w:t>
      </w:r>
      <w:r w:rsidRPr="006B5BF6">
        <w:rPr>
          <w:rFonts w:cs="Times New Roman"/>
          <w:lang w:val="fr-CA"/>
        </w:rPr>
        <w:t>abord, cela va de soi, examiner les motifs, s</w:t>
      </w:r>
      <w:r>
        <w:rPr>
          <w:rFonts w:cs="Times New Roman"/>
          <w:lang w:val="fr-CA"/>
        </w:rPr>
        <w:t>’</w:t>
      </w:r>
      <w:r w:rsidRPr="006B5BF6">
        <w:rPr>
          <w:rFonts w:cs="Times New Roman"/>
          <w:lang w:val="fr-CA"/>
        </w:rPr>
        <w:t>il en est, qui ont été exposés (</w:t>
      </w:r>
      <w:r w:rsidRPr="006B5BF6">
        <w:rPr>
          <w:rFonts w:cs="Times New Roman"/>
          <w:i/>
          <w:lang w:val="fr-CA"/>
        </w:rPr>
        <w:t>Williams Lake</w:t>
      </w:r>
      <w:r w:rsidRPr="006B5BF6">
        <w:rPr>
          <w:rFonts w:cs="Times New Roman"/>
          <w:lang w:val="fr-CA"/>
        </w:rPr>
        <w:t>, par. 36). En se penchant d</w:t>
      </w:r>
      <w:r>
        <w:rPr>
          <w:rFonts w:cs="Times New Roman"/>
          <w:lang w:val="fr-CA"/>
        </w:rPr>
        <w:t>’</w:t>
      </w:r>
      <w:r w:rsidRPr="006B5BF6">
        <w:rPr>
          <w:rFonts w:cs="Times New Roman"/>
          <w:lang w:val="fr-CA"/>
        </w:rPr>
        <w:t>abord sur les motifs de la décision, à la lumière du contexte qui l</w:t>
      </w:r>
      <w:r>
        <w:rPr>
          <w:rFonts w:cs="Times New Roman"/>
          <w:lang w:val="fr-CA"/>
        </w:rPr>
        <w:t>’</w:t>
      </w:r>
      <w:r w:rsidRPr="006B5BF6">
        <w:rPr>
          <w:rFonts w:cs="Times New Roman"/>
          <w:lang w:val="fr-CA"/>
        </w:rPr>
        <w:t>entoure et des arguments invoqués pour la contester, la cour de révision procède à un véritable contrôle tout en respectant la légitimité du processus décisionnel des autorités administratives spécialisées.</w:t>
      </w:r>
    </w:p>
    <w:p w14:paraId="1458F3BF" w14:textId="77777777" w:rsidR="00AE2373" w:rsidRPr="006B5BF6" w:rsidRDefault="00AE2373" w:rsidP="00AE2373">
      <w:pPr>
        <w:pStyle w:val="ParaNoNdepar-AltN"/>
        <w:tabs>
          <w:tab w:val="clear" w:pos="1422"/>
        </w:tabs>
        <w:spacing w:before="0"/>
        <w:rPr>
          <w:rFonts w:cs="Times New Roman"/>
          <w:lang w:val="fr-CA"/>
        </w:rPr>
      </w:pPr>
      <w:r w:rsidRPr="006B5BF6">
        <w:rPr>
          <w:rFonts w:cs="Times New Roman"/>
          <w:lang w:val="fr-CA"/>
        </w:rPr>
        <w:t>Les cours de révision devraient aborder les motifs dans un esprit de respect envers les décideurs spécialisés, le rôle important qui leur a été confié et le contexte institutionnel choisi par le législateur. Elles devraient interpréter les motifs de façon généreuse, en respectant leur teneur, et se garder de reconsidérer les incidences concrètes, les difficultés d</w:t>
      </w:r>
      <w:r>
        <w:rPr>
          <w:rFonts w:cs="Times New Roman"/>
          <w:lang w:val="fr-CA"/>
        </w:rPr>
        <w:t>’</w:t>
      </w:r>
      <w:r w:rsidRPr="006B5BF6">
        <w:rPr>
          <w:rFonts w:cs="Times New Roman"/>
          <w:lang w:val="fr-CA"/>
        </w:rPr>
        <w:t>ordre pratique et les connaissances de terrain invoquées pour justifier la décision administrative. Elles doivent également demeurer attentives aux concepts ou termes spécialisés employés dans une décision administrative que les juges généralistes connaissent peut</w:t>
      </w:r>
      <w:r w:rsidRPr="006B5BF6">
        <w:rPr>
          <w:rFonts w:cs="Times New Roman"/>
          <w:lang w:val="fr-CA"/>
        </w:rPr>
        <w:noBreakHyphen/>
        <w:t>être moins bien (</w:t>
      </w:r>
      <w:r w:rsidRPr="006B5BF6">
        <w:rPr>
          <w:rFonts w:cs="Times New Roman"/>
          <w:i/>
          <w:lang w:val="fr-CA"/>
        </w:rPr>
        <w:t>Newfoundland Nurses</w:t>
      </w:r>
      <w:r w:rsidRPr="006B5BF6">
        <w:rPr>
          <w:rFonts w:cs="Times New Roman"/>
          <w:lang w:val="fr-CA"/>
        </w:rPr>
        <w:t xml:space="preserve">, par. 13; </w:t>
      </w:r>
      <w:r w:rsidRPr="006B5BF6">
        <w:rPr>
          <w:rFonts w:cs="Times New Roman"/>
          <w:i/>
          <w:lang w:val="fr-CA"/>
        </w:rPr>
        <w:t>Igloo Vikski</w:t>
      </w:r>
      <w:r w:rsidRPr="006B5BF6">
        <w:rPr>
          <w:rFonts w:cs="Times New Roman"/>
          <w:lang w:val="fr-CA"/>
        </w:rPr>
        <w:t>, par. 17 et 30). Lorsque les mots employés ou le raisonnement ne leur sont pas familiers, les juges devraient reconnaître que ces différences constituent une conséquence inévitable et inestimable du choix délibéré du législateur de confier la question au système de justice administrative. Ces particularités peuvent conférer une très grande force à une décision administrative et, du coup, affaiblir la contestation dont celle-ci fait l</w:t>
      </w:r>
      <w:r>
        <w:rPr>
          <w:rFonts w:cs="Times New Roman"/>
          <w:lang w:val="fr-CA"/>
        </w:rPr>
        <w:t>’</w:t>
      </w:r>
      <w:r w:rsidRPr="006B5BF6">
        <w:rPr>
          <w:rFonts w:cs="Times New Roman"/>
          <w:lang w:val="fr-CA"/>
        </w:rPr>
        <w:t>objet. La cour de révision qui analyse la décision d</w:t>
      </w:r>
      <w:r>
        <w:rPr>
          <w:rFonts w:cs="Times New Roman"/>
          <w:lang w:val="fr-CA"/>
        </w:rPr>
        <w:t>’</w:t>
      </w:r>
      <w:r w:rsidRPr="006B5BF6">
        <w:rPr>
          <w:rFonts w:cs="Times New Roman"/>
          <w:lang w:val="fr-CA"/>
        </w:rPr>
        <w:t>un organisme administratif selon la norme de la décision raisonnable devrait donc se rappeler que l</w:t>
      </w:r>
      <w:r>
        <w:rPr>
          <w:rFonts w:cs="Times New Roman"/>
          <w:lang w:val="fr-CA"/>
        </w:rPr>
        <w:t>’</w:t>
      </w:r>
      <w:r w:rsidRPr="006B5BF6">
        <w:rPr>
          <w:rFonts w:cs="Times New Roman"/>
          <w:lang w:val="fr-CA"/>
        </w:rPr>
        <w:t>organisme jouit d</w:t>
      </w:r>
      <w:r>
        <w:rPr>
          <w:rFonts w:cs="Times New Roman"/>
          <w:lang w:val="fr-CA"/>
        </w:rPr>
        <w:t>’</w:t>
      </w:r>
      <w:r w:rsidRPr="006B5BF6">
        <w:rPr>
          <w:rFonts w:cs="Times New Roman"/>
          <w:lang w:val="fr-CA"/>
        </w:rPr>
        <w:t>un « privilège [. . .] en matière d</w:t>
      </w:r>
      <w:r>
        <w:rPr>
          <w:rFonts w:cs="Times New Roman"/>
          <w:lang w:val="fr-CA"/>
        </w:rPr>
        <w:t>’</w:t>
      </w:r>
      <w:r w:rsidRPr="006B5BF6">
        <w:rPr>
          <w:rFonts w:cs="Times New Roman"/>
          <w:lang w:val="fr-CA"/>
        </w:rPr>
        <w:t>interprétation » (</w:t>
      </w:r>
      <w:r w:rsidRPr="006B5BF6">
        <w:rPr>
          <w:rFonts w:cs="Times New Roman"/>
          <w:i/>
          <w:lang w:val="fr-CA"/>
        </w:rPr>
        <w:t>McLean</w:t>
      </w:r>
      <w:r w:rsidRPr="006B5BF6">
        <w:rPr>
          <w:rFonts w:cs="Times New Roman"/>
          <w:lang w:val="fr-CA"/>
        </w:rPr>
        <w:t>, par. 40).</w:t>
      </w:r>
    </w:p>
    <w:p w14:paraId="338BA122" w14:textId="77777777" w:rsidR="00AE2373" w:rsidRPr="006B5BF6" w:rsidRDefault="00AE2373" w:rsidP="00AE2373">
      <w:pPr>
        <w:pStyle w:val="ParaNoNdepar-AltN"/>
        <w:tabs>
          <w:tab w:val="clear" w:pos="1422"/>
        </w:tabs>
        <w:spacing w:before="0"/>
        <w:rPr>
          <w:rFonts w:cs="Times New Roman"/>
          <w:lang w:val="fr-CA"/>
        </w:rPr>
      </w:pPr>
      <w:r w:rsidRPr="006B5BF6">
        <w:rPr>
          <w:rFonts w:cs="Times New Roman"/>
          <w:lang w:val="fr-CA"/>
        </w:rPr>
        <w:lastRenderedPageBreak/>
        <w:t>Tout au long du contrôle fondé sur le principe de la déférence, la cour doit examiner les allégations d</w:t>
      </w:r>
      <w:r>
        <w:rPr>
          <w:rFonts w:cs="Times New Roman"/>
          <w:lang w:val="fr-CA"/>
        </w:rPr>
        <w:t>’</w:t>
      </w:r>
      <w:r w:rsidRPr="006B5BF6">
        <w:rPr>
          <w:rFonts w:cs="Times New Roman"/>
          <w:lang w:val="fr-CA"/>
        </w:rPr>
        <w:t>erreur administrative avec prudence, en tenant compte du contexte et de la nécessité d</w:t>
      </w:r>
      <w:r>
        <w:rPr>
          <w:rFonts w:cs="Times New Roman"/>
          <w:lang w:val="fr-CA"/>
        </w:rPr>
        <w:t>’</w:t>
      </w:r>
      <w:r w:rsidRPr="006B5BF6">
        <w:rPr>
          <w:rFonts w:cs="Times New Roman"/>
          <w:lang w:val="fr-CA"/>
        </w:rPr>
        <w:t>éviter de substituer son opinion à celle des personnes qui sont habilitées à répondre aux questions en litige et mieux outillées qu</w:t>
      </w:r>
      <w:r>
        <w:rPr>
          <w:rFonts w:cs="Times New Roman"/>
          <w:lang w:val="fr-CA"/>
        </w:rPr>
        <w:t>’</w:t>
      </w:r>
      <w:r w:rsidRPr="006B5BF6">
        <w:rPr>
          <w:rFonts w:cs="Times New Roman"/>
          <w:lang w:val="fr-CA"/>
        </w:rPr>
        <w:t>elle pour le faire. Étant donné que le principe de la déférence lui interdit de substituer son opinion à celle du décideur, la cour de révision doit évaluer avec circonspection les arguments que le demandeur invoque pour contester une décision administrative afin de s</w:t>
      </w:r>
      <w:r>
        <w:rPr>
          <w:rFonts w:cs="Times New Roman"/>
          <w:lang w:val="fr-CA"/>
        </w:rPr>
        <w:t>’</w:t>
      </w:r>
      <w:r w:rsidRPr="006B5BF6">
        <w:rPr>
          <w:rFonts w:cs="Times New Roman"/>
          <w:lang w:val="fr-CA"/>
        </w:rPr>
        <w:t>assurer qu</w:t>
      </w:r>
      <w:r>
        <w:rPr>
          <w:rFonts w:cs="Times New Roman"/>
          <w:lang w:val="fr-CA"/>
        </w:rPr>
        <w:t>’</w:t>
      </w:r>
      <w:r w:rsidRPr="006B5BF6">
        <w:rPr>
          <w:rFonts w:cs="Times New Roman"/>
          <w:lang w:val="fr-CA"/>
        </w:rPr>
        <w:t xml:space="preserve">ils concernent le caractère </w:t>
      </w:r>
      <w:r w:rsidRPr="006B5BF6">
        <w:rPr>
          <w:rFonts w:cs="Times New Roman"/>
          <w:i/>
          <w:iCs/>
          <w:lang w:val="fr-CA"/>
        </w:rPr>
        <w:t>raisonnable</w:t>
      </w:r>
      <w:r w:rsidRPr="006B5BF6">
        <w:rPr>
          <w:rFonts w:cs="Times New Roman"/>
          <w:lang w:val="fr-CA"/>
        </w:rPr>
        <w:t xml:space="preserve"> de celle</w:t>
      </w:r>
      <w:r w:rsidRPr="006B5BF6">
        <w:rPr>
          <w:rFonts w:cs="Times New Roman"/>
          <w:lang w:val="fr-CA"/>
        </w:rPr>
        <w:noBreakHyphen/>
        <w:t>ci.</w:t>
      </w:r>
    </w:p>
    <w:p w14:paraId="0EB1586A" w14:textId="056CB514" w:rsidR="00AE2373" w:rsidRPr="006B5BF6" w:rsidRDefault="00AE2373" w:rsidP="00AE2373">
      <w:pPr>
        <w:pStyle w:val="ParaNoNdepar-AltN"/>
        <w:tabs>
          <w:tab w:val="clear" w:pos="1422"/>
        </w:tabs>
        <w:spacing w:before="0"/>
        <w:rPr>
          <w:rFonts w:cs="Times New Roman"/>
          <w:lang w:val="fr-CA"/>
        </w:rPr>
      </w:pPr>
      <w:r w:rsidRPr="006B5BF6">
        <w:rPr>
          <w:rFonts w:cs="Times New Roman"/>
          <w:lang w:val="fr-CA"/>
        </w:rPr>
        <w:t>Sans surprise, on constate qu</w:t>
      </w:r>
      <w:r>
        <w:rPr>
          <w:rFonts w:cs="Times New Roman"/>
          <w:lang w:val="fr-CA"/>
        </w:rPr>
        <w:t>’</w:t>
      </w:r>
      <w:r w:rsidRPr="006B5BF6">
        <w:rPr>
          <w:rFonts w:cs="Times New Roman"/>
          <w:lang w:val="fr-CA"/>
        </w:rPr>
        <w:t>il est rare que les demandeurs formulent leur contestation d</w:t>
      </w:r>
      <w:r>
        <w:rPr>
          <w:rFonts w:cs="Times New Roman"/>
          <w:lang w:val="fr-CA"/>
        </w:rPr>
        <w:t>’</w:t>
      </w:r>
      <w:r w:rsidRPr="006B5BF6">
        <w:rPr>
          <w:rFonts w:cs="Times New Roman"/>
          <w:lang w:val="fr-CA"/>
        </w:rPr>
        <w:t xml:space="preserve">une décision administrative comme une invitation explicite adressée aux </w:t>
      </w:r>
      <w:r>
        <w:rPr>
          <w:rFonts w:cs="Times New Roman"/>
          <w:lang w:val="fr-CA"/>
        </w:rPr>
        <w:t>cours</w:t>
      </w:r>
      <w:r w:rsidRPr="006B5BF6">
        <w:rPr>
          <w:rFonts w:cs="Times New Roman"/>
          <w:lang w:val="fr-CA"/>
        </w:rPr>
        <w:t xml:space="preserve"> </w:t>
      </w:r>
      <w:r>
        <w:rPr>
          <w:rFonts w:cs="Times New Roman"/>
          <w:lang w:val="fr-CA"/>
        </w:rPr>
        <w:t xml:space="preserve">de révision </w:t>
      </w:r>
      <w:r w:rsidRPr="006B5BF6">
        <w:rPr>
          <w:rFonts w:cs="Times New Roman"/>
          <w:lang w:val="fr-CA"/>
        </w:rPr>
        <w:t xml:space="preserve">de substituer leur opinion à celle des acteurs administratifs. En conséquence, les </w:t>
      </w:r>
      <w:r>
        <w:rPr>
          <w:rFonts w:cs="Times New Roman"/>
          <w:lang w:val="fr-CA"/>
        </w:rPr>
        <w:t>cours</w:t>
      </w:r>
      <w:r w:rsidRPr="006B5BF6">
        <w:rPr>
          <w:rFonts w:cs="Times New Roman"/>
          <w:lang w:val="fr-CA"/>
        </w:rPr>
        <w:t xml:space="preserve"> doivent examiner attentivement la contestation d</w:t>
      </w:r>
      <w:r>
        <w:rPr>
          <w:rFonts w:cs="Times New Roman"/>
          <w:lang w:val="fr-CA"/>
        </w:rPr>
        <w:t>’</w:t>
      </w:r>
      <w:r w:rsidRPr="006B5BF6">
        <w:rPr>
          <w:rFonts w:cs="Times New Roman"/>
          <w:lang w:val="fr-CA"/>
        </w:rPr>
        <w:t>une décision administrative afin de déterminer si cette contestation tient essentiellement à une simple divergence d</w:t>
      </w:r>
      <w:r>
        <w:rPr>
          <w:rFonts w:cs="Times New Roman"/>
          <w:lang w:val="fr-CA"/>
        </w:rPr>
        <w:t>’</w:t>
      </w:r>
      <w:r w:rsidRPr="006B5BF6">
        <w:rPr>
          <w:rFonts w:cs="Times New Roman"/>
          <w:lang w:val="fr-CA"/>
        </w:rPr>
        <w:t>opinions quant à la façon dont le décideur a soupesé ou apprécié les différents facteurs qui entrent en ligne de compte dans le cadre du processus décisionnel. Un examen plus approfondi peut révéler que les allégations d</w:t>
      </w:r>
      <w:r>
        <w:rPr>
          <w:rFonts w:cs="Times New Roman"/>
          <w:lang w:val="fr-CA"/>
        </w:rPr>
        <w:t>’</w:t>
      </w:r>
      <w:r w:rsidRPr="006B5BF6">
        <w:rPr>
          <w:rFonts w:cs="Times New Roman"/>
          <w:lang w:val="fr-CA"/>
        </w:rPr>
        <w:t>erreur reflètent simplement l</w:t>
      </w:r>
      <w:r>
        <w:rPr>
          <w:rFonts w:cs="Times New Roman"/>
          <w:lang w:val="fr-CA"/>
        </w:rPr>
        <w:t>’</w:t>
      </w:r>
      <w:r w:rsidRPr="006B5BF6">
        <w:rPr>
          <w:rFonts w:cs="Times New Roman"/>
          <w:lang w:val="fr-CA"/>
        </w:rPr>
        <w:t xml:space="preserve">approche différente légitimement retenue par le décideur administratif. En écartant et en rejetant ces contestations, les </w:t>
      </w:r>
      <w:r>
        <w:rPr>
          <w:rFonts w:cs="Times New Roman"/>
          <w:lang w:val="fr-CA"/>
        </w:rPr>
        <w:t>cours</w:t>
      </w:r>
      <w:r w:rsidRPr="006B5BF6">
        <w:rPr>
          <w:rFonts w:cs="Times New Roman"/>
          <w:lang w:val="fr-CA"/>
        </w:rPr>
        <w:t xml:space="preserve"> respectent l</w:t>
      </w:r>
      <w:r>
        <w:rPr>
          <w:rFonts w:cs="Times New Roman"/>
          <w:lang w:val="fr-CA"/>
        </w:rPr>
        <w:t>’</w:t>
      </w:r>
      <w:r w:rsidRPr="006B5BF6">
        <w:rPr>
          <w:rFonts w:cs="Times New Roman"/>
          <w:lang w:val="fr-CA"/>
        </w:rPr>
        <w:t>angle distinct et précieux sous lequel les organismes administratifs apportent des réponses à des questions de droit, forts de la grande connaissance et de la sensibilité qu</w:t>
      </w:r>
      <w:r>
        <w:rPr>
          <w:rFonts w:cs="Times New Roman"/>
          <w:lang w:val="fr-CA"/>
        </w:rPr>
        <w:t>’</w:t>
      </w:r>
      <w:r w:rsidRPr="006B5BF6">
        <w:rPr>
          <w:rFonts w:cs="Times New Roman"/>
          <w:lang w:val="fr-CA"/>
        </w:rPr>
        <w:t>ils acquièrent en accomplissant leur mandat et en appliquant au quotidien des régimes législatifs complexes. La compréhension éclairée des acteurs administratifs rehausse la qualité du processus décisionnel et permet davantage d</w:t>
      </w:r>
      <w:r>
        <w:rPr>
          <w:rFonts w:cs="Times New Roman"/>
          <w:lang w:val="fr-CA"/>
        </w:rPr>
        <w:t>’</w:t>
      </w:r>
      <w:r w:rsidRPr="006B5BF6">
        <w:rPr>
          <w:rFonts w:cs="Times New Roman"/>
          <w:lang w:val="fr-CA"/>
        </w:rPr>
        <w:t>atteindre un résultat [</w:t>
      </w:r>
      <w:r w:rsidRPr="006B5BF6">
        <w:rPr>
          <w:rFonts w:cs="Times New Roman"/>
          <w:smallCaps/>
          <w:lang w:val="fr-CA"/>
        </w:rPr>
        <w:t>traduction</w:t>
      </w:r>
      <w:r w:rsidRPr="006B5BF6">
        <w:rPr>
          <w:rFonts w:cs="Times New Roman"/>
          <w:lang w:val="fr-CA"/>
        </w:rPr>
        <w:t>] « qui favorise l</w:t>
      </w:r>
      <w:r>
        <w:rPr>
          <w:rFonts w:cs="Times New Roman"/>
          <w:lang w:val="fr-CA"/>
        </w:rPr>
        <w:t>’</w:t>
      </w:r>
      <w:r w:rsidRPr="006B5BF6">
        <w:rPr>
          <w:rFonts w:cs="Times New Roman"/>
          <w:lang w:val="fr-CA"/>
        </w:rPr>
        <w:t>efficacité des politiques et de l</w:t>
      </w:r>
      <w:r>
        <w:rPr>
          <w:rFonts w:cs="Times New Roman"/>
          <w:lang w:val="fr-CA"/>
        </w:rPr>
        <w:t>’</w:t>
      </w:r>
      <w:r w:rsidRPr="006B5BF6">
        <w:rPr>
          <w:rFonts w:cs="Times New Roman"/>
          <w:lang w:val="fr-CA"/>
        </w:rPr>
        <w:t xml:space="preserve">administration publique </w:t>
      </w:r>
      <w:r w:rsidRPr="006B5BF6">
        <w:rPr>
          <w:rFonts w:cs="Times New Roman"/>
          <w:lang w:val="fr-CA"/>
        </w:rPr>
        <w:lastRenderedPageBreak/>
        <w:t>[. . .] [que les] connaissances limitées, [le] détachement et [les] modes de raisonnement qui caractérisent normalement les cours de justice » (</w:t>
      </w:r>
      <w:r w:rsidRPr="006B5BF6">
        <w:rPr>
          <w:rFonts w:cs="Times New Roman"/>
          <w:i/>
          <w:spacing w:val="-3"/>
          <w:lang w:val="fr-CA"/>
        </w:rPr>
        <w:t>National Corn Growers</w:t>
      </w:r>
      <w:r w:rsidRPr="006B5BF6">
        <w:rPr>
          <w:rFonts w:cs="Times New Roman"/>
          <w:spacing w:val="-3"/>
          <w:lang w:val="fr-CA"/>
        </w:rPr>
        <w:t xml:space="preserve">, </w:t>
      </w:r>
      <w:r w:rsidRPr="006B5BF6">
        <w:rPr>
          <w:rFonts w:cs="Times New Roman"/>
          <w:lang w:val="fr-CA"/>
        </w:rPr>
        <w:t>p. 1336</w:t>
      </w:r>
      <w:r w:rsidRPr="006B5BF6">
        <w:rPr>
          <w:rFonts w:cs="Times New Roman"/>
          <w:lang w:val="fr-CA"/>
        </w:rPr>
        <w:noBreakHyphen/>
      </w:r>
      <w:r w:rsidR="003A4C62">
        <w:rPr>
          <w:rFonts w:cs="Times New Roman"/>
          <w:lang w:val="fr-CA"/>
        </w:rPr>
        <w:t>13</w:t>
      </w:r>
      <w:r w:rsidRPr="006B5BF6">
        <w:rPr>
          <w:rFonts w:cs="Times New Roman"/>
          <w:lang w:val="fr-CA"/>
        </w:rPr>
        <w:t xml:space="preserve">37 (soulignement </w:t>
      </w:r>
      <w:r w:rsidR="003A4C62">
        <w:rPr>
          <w:rFonts w:cs="Times New Roman"/>
          <w:lang w:val="fr-CA"/>
        </w:rPr>
        <w:t>omis</w:t>
      </w:r>
      <w:r w:rsidRPr="006B5BF6">
        <w:rPr>
          <w:rFonts w:cs="Times New Roman"/>
          <w:lang w:val="fr-CA"/>
        </w:rPr>
        <w:t xml:space="preserve">), </w:t>
      </w:r>
      <w:r w:rsidRPr="006B5BF6">
        <w:rPr>
          <w:rFonts w:cs="Times New Roman"/>
          <w:iCs/>
          <w:lang w:val="fr-CA"/>
        </w:rPr>
        <w:t>motifs</w:t>
      </w:r>
      <w:r w:rsidRPr="006B5BF6">
        <w:rPr>
          <w:rFonts w:cs="Times New Roman"/>
          <w:i/>
          <w:lang w:val="fr-CA"/>
        </w:rPr>
        <w:t xml:space="preserve"> </w:t>
      </w:r>
      <w:r w:rsidRPr="006B5BF6">
        <w:rPr>
          <w:rFonts w:cs="Times New Roman"/>
          <w:iCs/>
          <w:lang w:val="fr-CA"/>
        </w:rPr>
        <w:t>concordants de la juge</w:t>
      </w:r>
      <w:r w:rsidRPr="006B5BF6">
        <w:rPr>
          <w:rFonts w:cs="Times New Roman"/>
          <w:i/>
          <w:lang w:val="fr-CA"/>
        </w:rPr>
        <w:t xml:space="preserve"> </w:t>
      </w:r>
      <w:r w:rsidRPr="006B5BF6">
        <w:rPr>
          <w:rFonts w:cs="Times New Roman"/>
          <w:lang w:val="fr-CA"/>
        </w:rPr>
        <w:t xml:space="preserve">Wilson, citant J. M. Evans et </w:t>
      </w:r>
      <w:r w:rsidR="003A4C62">
        <w:rPr>
          <w:rFonts w:cs="Times New Roman"/>
          <w:lang w:val="fr-CA"/>
        </w:rPr>
        <w:t>autres</w:t>
      </w:r>
      <w:r w:rsidRPr="006B5BF6">
        <w:rPr>
          <w:rFonts w:cs="Times New Roman"/>
          <w:lang w:val="fr-CA"/>
        </w:rPr>
        <w:t xml:space="preserve">, </w:t>
      </w:r>
      <w:r w:rsidRPr="006B5BF6">
        <w:rPr>
          <w:rFonts w:cs="Times New Roman"/>
          <w:i/>
          <w:lang w:val="fr-CA"/>
        </w:rPr>
        <w:t>Administrative Law</w:t>
      </w:r>
      <w:r w:rsidR="00C17879">
        <w:rPr>
          <w:rFonts w:cs="Times New Roman"/>
          <w:i/>
          <w:lang w:val="fr-CA"/>
        </w:rPr>
        <w:t> </w:t>
      </w:r>
      <w:r w:rsidR="0007101D">
        <w:rPr>
          <w:rFonts w:cs="Times New Roman"/>
          <w:i/>
          <w:lang w:val="fr-CA"/>
        </w:rPr>
        <w:t xml:space="preserve"> </w:t>
      </w:r>
      <w:r w:rsidRPr="006B5BF6">
        <w:rPr>
          <w:rFonts w:cs="Times New Roman"/>
          <w:i/>
          <w:lang w:val="fr-CA"/>
        </w:rPr>
        <w:t xml:space="preserve">: Cases, Text and Materials </w:t>
      </w:r>
      <w:r w:rsidRPr="006B5BF6">
        <w:rPr>
          <w:rFonts w:cs="Times New Roman"/>
          <w:lang w:val="fr-CA"/>
        </w:rPr>
        <w:t>(3</w:t>
      </w:r>
      <w:r w:rsidRPr="006B5BF6">
        <w:rPr>
          <w:rFonts w:cs="Times New Roman"/>
          <w:vertAlign w:val="superscript"/>
          <w:lang w:val="fr-CA"/>
        </w:rPr>
        <w:t>e</w:t>
      </w:r>
      <w:r w:rsidR="003A4C62">
        <w:rPr>
          <w:rFonts w:cs="Times New Roman"/>
          <w:lang w:val="fr-CA"/>
        </w:rPr>
        <w:t xml:space="preserve"> éd.</w:t>
      </w:r>
      <w:r w:rsidRPr="006B5BF6">
        <w:rPr>
          <w:rFonts w:cs="Times New Roman"/>
          <w:lang w:val="fr-CA"/>
        </w:rPr>
        <w:t xml:space="preserve"> 1989), p. 414).</w:t>
      </w:r>
    </w:p>
    <w:p w14:paraId="4499A3CA" w14:textId="77777777" w:rsidR="00AE2373" w:rsidRPr="006B5BF6" w:rsidRDefault="00AE2373" w:rsidP="00AE2373">
      <w:pPr>
        <w:pStyle w:val="ParaNoNdepar-AltN"/>
        <w:tabs>
          <w:tab w:val="clear" w:pos="1422"/>
        </w:tabs>
        <w:spacing w:before="0"/>
        <w:rPr>
          <w:rFonts w:cs="Times New Roman"/>
          <w:lang w:val="fr-CA"/>
        </w:rPr>
      </w:pPr>
      <w:r w:rsidRPr="006B5BF6">
        <w:rPr>
          <w:rFonts w:cs="Times New Roman"/>
          <w:lang w:val="fr-CA"/>
        </w:rPr>
        <w:t>Lorsqu</w:t>
      </w:r>
      <w:r>
        <w:rPr>
          <w:rFonts w:cs="Times New Roman"/>
          <w:lang w:val="fr-CA"/>
        </w:rPr>
        <w:t>’</w:t>
      </w:r>
      <w:r w:rsidRPr="006B5BF6">
        <w:rPr>
          <w:rFonts w:cs="Times New Roman"/>
          <w:lang w:val="fr-CA"/>
        </w:rPr>
        <w:t>ils sont saisis d</w:t>
      </w:r>
      <w:r>
        <w:rPr>
          <w:rFonts w:cs="Times New Roman"/>
          <w:lang w:val="fr-CA"/>
        </w:rPr>
        <w:t>’</w:t>
      </w:r>
      <w:r w:rsidRPr="006B5BF6">
        <w:rPr>
          <w:rFonts w:cs="Times New Roman"/>
          <w:lang w:val="fr-CA"/>
        </w:rPr>
        <w:t>une contestation d</w:t>
      </w:r>
      <w:r>
        <w:rPr>
          <w:rFonts w:cs="Times New Roman"/>
          <w:lang w:val="fr-CA"/>
        </w:rPr>
        <w:t>’</w:t>
      </w:r>
      <w:r w:rsidRPr="006B5BF6">
        <w:rPr>
          <w:rFonts w:cs="Times New Roman"/>
          <w:lang w:val="fr-CA"/>
        </w:rPr>
        <w:t xml:space="preserve">une décision administrative, les </w:t>
      </w:r>
      <w:r>
        <w:rPr>
          <w:rFonts w:cs="Times New Roman"/>
          <w:lang w:val="fr-CA"/>
        </w:rPr>
        <w:t>cours</w:t>
      </w:r>
      <w:r w:rsidRPr="006B5BF6">
        <w:rPr>
          <w:rFonts w:cs="Times New Roman"/>
          <w:lang w:val="fr-CA"/>
        </w:rPr>
        <w:t xml:space="preserve"> </w:t>
      </w:r>
      <w:r>
        <w:rPr>
          <w:rFonts w:cs="Times New Roman"/>
          <w:lang w:val="fr-CA"/>
        </w:rPr>
        <w:t xml:space="preserve">de révision </w:t>
      </w:r>
      <w:r w:rsidRPr="006B5BF6">
        <w:rPr>
          <w:rFonts w:cs="Times New Roman"/>
          <w:lang w:val="fr-CA"/>
        </w:rPr>
        <w:t xml:space="preserve">doivent également tenir compte de la </w:t>
      </w:r>
      <w:r w:rsidRPr="006B5BF6">
        <w:rPr>
          <w:rFonts w:cs="Times New Roman"/>
          <w:i/>
          <w:iCs/>
          <w:lang w:val="fr-CA"/>
        </w:rPr>
        <w:t xml:space="preserve">gravité </w:t>
      </w:r>
      <w:r w:rsidRPr="006B5BF6">
        <w:rPr>
          <w:rFonts w:cs="Times New Roman"/>
          <w:lang w:val="fr-CA"/>
        </w:rPr>
        <w:t>des erreurs dont serait entaché le raisonnement du décideur. Dans le cadre du contrôle judiciaire fondé sur la norme de la décision raisonnable, une erreur ne suffit pas nécessairement en soi à justifier l</w:t>
      </w:r>
      <w:r>
        <w:rPr>
          <w:rFonts w:cs="Times New Roman"/>
          <w:lang w:val="fr-CA"/>
        </w:rPr>
        <w:t>’</w:t>
      </w:r>
      <w:r w:rsidRPr="006B5BF6">
        <w:rPr>
          <w:rFonts w:cs="Times New Roman"/>
          <w:lang w:val="fr-CA"/>
        </w:rPr>
        <w:t>annulation d</w:t>
      </w:r>
      <w:r>
        <w:rPr>
          <w:rFonts w:cs="Times New Roman"/>
          <w:lang w:val="fr-CA"/>
        </w:rPr>
        <w:t>’</w:t>
      </w:r>
      <w:r w:rsidRPr="006B5BF6">
        <w:rPr>
          <w:rFonts w:cs="Times New Roman"/>
          <w:lang w:val="fr-CA"/>
        </w:rPr>
        <w:t>une décision. La gravité de l</w:t>
      </w:r>
      <w:r>
        <w:rPr>
          <w:rFonts w:cs="Times New Roman"/>
          <w:lang w:val="fr-CA"/>
        </w:rPr>
        <w:t>’</w:t>
      </w:r>
      <w:r w:rsidRPr="006B5BF6">
        <w:rPr>
          <w:rFonts w:cs="Times New Roman"/>
          <w:lang w:val="fr-CA"/>
        </w:rPr>
        <w:t>erreur dépend invariablement de la mesure dans laquelle elle influe sur la décision. L</w:t>
      </w:r>
      <w:r>
        <w:rPr>
          <w:rFonts w:cs="Times New Roman"/>
          <w:lang w:val="fr-CA"/>
        </w:rPr>
        <w:t>’</w:t>
      </w:r>
      <w:r w:rsidRPr="006B5BF6">
        <w:rPr>
          <w:rFonts w:cs="Times New Roman"/>
          <w:lang w:val="fr-CA"/>
        </w:rPr>
        <w:t>erreur ne peut servir de fondement à une demande de contrôle judiciaire lorsqu</w:t>
      </w:r>
      <w:r>
        <w:rPr>
          <w:rFonts w:cs="Times New Roman"/>
          <w:lang w:val="fr-CA"/>
        </w:rPr>
        <w:t>’</w:t>
      </w:r>
      <w:r w:rsidRPr="006B5BF6">
        <w:rPr>
          <w:rFonts w:cs="Times New Roman"/>
          <w:lang w:val="fr-CA"/>
        </w:rPr>
        <w:t>elle est secondaire au regard du raisonnement du décideur administratif ou mineure par rapport aux arguments plus solides invoqués pour justifier le résultat souhaité. En fin de compte, le rôle de la cour de révision consiste à examiner la décision dans son ensemble pour savoir si elle est raisonnable (</w:t>
      </w:r>
      <w:r w:rsidRPr="006B5BF6">
        <w:rPr>
          <w:rFonts w:cs="Times New Roman"/>
          <w:i/>
          <w:lang w:val="fr-CA"/>
        </w:rPr>
        <w:t>Dunsmuir</w:t>
      </w:r>
      <w:r w:rsidRPr="006B5BF6">
        <w:rPr>
          <w:rFonts w:cs="Times New Roman"/>
          <w:lang w:val="fr-CA"/>
        </w:rPr>
        <w:t xml:space="preserve">, par. 47; </w:t>
      </w:r>
      <w:r w:rsidRPr="006B5BF6">
        <w:rPr>
          <w:rFonts w:cs="Times New Roman"/>
          <w:i/>
          <w:lang w:val="fr-CA"/>
        </w:rPr>
        <w:t>Khosa</w:t>
      </w:r>
      <w:r w:rsidRPr="006B5BF6">
        <w:rPr>
          <w:rFonts w:cs="Times New Roman"/>
          <w:lang w:val="fr-CA"/>
        </w:rPr>
        <w:t>, par. 59). La prise en compte de la gravité des erreurs reprochées fait naturellement partie de cette opération et de l</w:t>
      </w:r>
      <w:r>
        <w:rPr>
          <w:rFonts w:cs="Times New Roman"/>
          <w:lang w:val="fr-CA"/>
        </w:rPr>
        <w:t>’</w:t>
      </w:r>
      <w:r w:rsidRPr="006B5BF6">
        <w:rPr>
          <w:rFonts w:cs="Times New Roman"/>
          <w:lang w:val="fr-CA"/>
        </w:rPr>
        <w:t>examen des motifs de la décision « en corrélation avec le résultat » (</w:t>
      </w:r>
      <w:r w:rsidRPr="006B5BF6">
        <w:rPr>
          <w:rFonts w:cs="Times New Roman"/>
          <w:i/>
          <w:lang w:val="fr-CA"/>
        </w:rPr>
        <w:t>Newfoundland Nurses</w:t>
      </w:r>
      <w:r w:rsidRPr="006B5BF6">
        <w:rPr>
          <w:rFonts w:cs="Times New Roman"/>
          <w:lang w:val="fr-CA"/>
        </w:rPr>
        <w:t>, par. 14).</w:t>
      </w:r>
    </w:p>
    <w:p w14:paraId="552D4895" w14:textId="77777777" w:rsidR="00AE2373" w:rsidRPr="006B5BF6" w:rsidRDefault="00AE2373" w:rsidP="00AE2373">
      <w:pPr>
        <w:pStyle w:val="ParaNoNdepar-AltN"/>
        <w:tabs>
          <w:tab w:val="clear" w:pos="1422"/>
        </w:tabs>
        <w:spacing w:before="0"/>
        <w:rPr>
          <w:rFonts w:cs="Times New Roman"/>
          <w:lang w:val="fr-CA"/>
        </w:rPr>
      </w:pPr>
      <w:r w:rsidRPr="006B5BF6">
        <w:rPr>
          <w:rFonts w:cs="Times New Roman"/>
          <w:lang w:val="fr-CA"/>
        </w:rPr>
        <w:t>L</w:t>
      </w:r>
      <w:r>
        <w:rPr>
          <w:rFonts w:cs="Times New Roman"/>
          <w:lang w:val="fr-CA"/>
        </w:rPr>
        <w:t>’</w:t>
      </w:r>
      <w:r w:rsidRPr="006B5BF6">
        <w:rPr>
          <w:rFonts w:cs="Times New Roman"/>
          <w:lang w:val="fr-CA"/>
        </w:rPr>
        <w:t>examen de la décision dans son ensemble est d</w:t>
      </w:r>
      <w:r>
        <w:rPr>
          <w:rFonts w:cs="Times New Roman"/>
          <w:lang w:val="fr-CA"/>
        </w:rPr>
        <w:t>’</w:t>
      </w:r>
      <w:r w:rsidRPr="006B5BF6">
        <w:rPr>
          <w:rFonts w:cs="Times New Roman"/>
          <w:lang w:val="fr-CA"/>
        </w:rPr>
        <w:t>autant plus essentiel lorsque le demandeur soutient qu</w:t>
      </w:r>
      <w:r>
        <w:rPr>
          <w:rFonts w:cs="Times New Roman"/>
          <w:lang w:val="fr-CA"/>
        </w:rPr>
        <w:t>’</w:t>
      </w:r>
      <w:r w:rsidRPr="006B5BF6">
        <w:rPr>
          <w:rFonts w:cs="Times New Roman"/>
          <w:lang w:val="fr-CA"/>
        </w:rPr>
        <w:t>une décision administrative est entachée de graves omissions. Fait important à souligner, ainsi que notre Cour l</w:t>
      </w:r>
      <w:r>
        <w:rPr>
          <w:rFonts w:cs="Times New Roman"/>
          <w:lang w:val="fr-CA"/>
        </w:rPr>
        <w:t>’</w:t>
      </w:r>
      <w:r w:rsidRPr="006B5BF6">
        <w:rPr>
          <w:rFonts w:cs="Times New Roman"/>
          <w:lang w:val="fr-CA"/>
        </w:rPr>
        <w:t>a fait remarquer à maintes reprises, les décideurs administratifs ne sont pas tenus d</w:t>
      </w:r>
      <w:r>
        <w:rPr>
          <w:rFonts w:cs="Times New Roman"/>
          <w:lang w:val="fr-CA"/>
        </w:rPr>
        <w:t>’</w:t>
      </w:r>
      <w:r w:rsidRPr="006B5BF6">
        <w:rPr>
          <w:rFonts w:cs="Times New Roman"/>
          <w:lang w:val="fr-CA"/>
        </w:rPr>
        <w:t>examiner et de commenter dans leurs motifs chaque argument soulevé par les parties (</w:t>
      </w:r>
      <w:r w:rsidRPr="006B5BF6">
        <w:rPr>
          <w:rFonts w:cs="Times New Roman"/>
          <w:i/>
          <w:lang w:val="fr-CA"/>
        </w:rPr>
        <w:t>Construction Labour Relations c. Driver Iron Inc.</w:t>
      </w:r>
      <w:r w:rsidRPr="006B5BF6">
        <w:rPr>
          <w:rFonts w:cs="Times New Roman"/>
          <w:lang w:val="fr-CA"/>
        </w:rPr>
        <w:t>, [2012] 3 R.C.S. 405, par. 3;</w:t>
      </w:r>
      <w:r w:rsidRPr="006B5BF6">
        <w:rPr>
          <w:rFonts w:cs="Times New Roman"/>
          <w:i/>
          <w:lang w:val="fr-CA"/>
        </w:rPr>
        <w:t xml:space="preserve"> Newfoundland Nurses</w:t>
      </w:r>
      <w:r w:rsidRPr="006B5BF6">
        <w:rPr>
          <w:rFonts w:cs="Times New Roman"/>
          <w:lang w:val="fr-CA"/>
        </w:rPr>
        <w:t xml:space="preserve">, </w:t>
      </w:r>
      <w:r w:rsidRPr="006B5BF6">
        <w:rPr>
          <w:rFonts w:cs="Times New Roman"/>
          <w:lang w:val="fr-CA"/>
        </w:rPr>
        <w:lastRenderedPageBreak/>
        <w:t xml:space="preserve">par. 16, citant </w:t>
      </w:r>
      <w:r w:rsidRPr="006B5BF6">
        <w:rPr>
          <w:rFonts w:cs="Times New Roman"/>
          <w:i/>
          <w:lang w:val="fr-CA"/>
        </w:rPr>
        <w:t>Union internationale des employés des services, Local no. 333 c. Nipawin District Staff Nurses Association</w:t>
      </w:r>
      <w:r w:rsidRPr="006B5BF6">
        <w:rPr>
          <w:rFonts w:cs="Times New Roman"/>
          <w:lang w:val="fr-CA"/>
        </w:rPr>
        <w:t>, [1975] 1 R.C.S. 382, p. 391). De plus, l</w:t>
      </w:r>
      <w:r>
        <w:rPr>
          <w:rFonts w:cs="Times New Roman"/>
          <w:lang w:val="fr-CA"/>
        </w:rPr>
        <w:t>’</w:t>
      </w:r>
      <w:r w:rsidRPr="006B5BF6">
        <w:rPr>
          <w:rFonts w:cs="Times New Roman"/>
          <w:lang w:val="fr-CA"/>
        </w:rPr>
        <w:t>examen qu</w:t>
      </w:r>
      <w:r>
        <w:rPr>
          <w:rFonts w:cs="Times New Roman"/>
          <w:lang w:val="fr-CA"/>
        </w:rPr>
        <w:t>’</w:t>
      </w:r>
      <w:r w:rsidRPr="006B5BF6">
        <w:rPr>
          <w:rFonts w:cs="Times New Roman"/>
          <w:lang w:val="fr-CA"/>
        </w:rPr>
        <w:t>effectue la cour de révision ne se limite pas à la teneur même des motifs écrits de la décision; lorsqu</w:t>
      </w:r>
      <w:r>
        <w:rPr>
          <w:rFonts w:cs="Times New Roman"/>
          <w:lang w:val="fr-CA"/>
        </w:rPr>
        <w:t>’</w:t>
      </w:r>
      <w:r w:rsidRPr="006B5BF6">
        <w:rPr>
          <w:rFonts w:cs="Times New Roman"/>
          <w:lang w:val="fr-CA"/>
        </w:rPr>
        <w:t>elle constate l</w:t>
      </w:r>
      <w:r>
        <w:rPr>
          <w:rFonts w:cs="Times New Roman"/>
          <w:lang w:val="fr-CA"/>
        </w:rPr>
        <w:t>’</w:t>
      </w:r>
      <w:r w:rsidRPr="006B5BF6">
        <w:rPr>
          <w:rFonts w:cs="Times New Roman"/>
          <w:lang w:val="fr-CA"/>
        </w:rPr>
        <w:t>existence d</w:t>
      </w:r>
      <w:r>
        <w:rPr>
          <w:rFonts w:cs="Times New Roman"/>
          <w:lang w:val="fr-CA"/>
        </w:rPr>
        <w:t>’</w:t>
      </w:r>
      <w:r w:rsidRPr="006B5BF6">
        <w:rPr>
          <w:rFonts w:cs="Times New Roman"/>
          <w:lang w:val="fr-CA"/>
        </w:rPr>
        <w:t>une lacune dans les motifs, la cour doit examiner le dossier pour savoir s</w:t>
      </w:r>
      <w:r>
        <w:rPr>
          <w:rFonts w:cs="Times New Roman"/>
          <w:lang w:val="fr-CA"/>
        </w:rPr>
        <w:t>’</w:t>
      </w:r>
      <w:r w:rsidRPr="006B5BF6">
        <w:rPr>
          <w:rFonts w:cs="Times New Roman"/>
          <w:lang w:val="fr-CA"/>
        </w:rPr>
        <w:t>il permet de mieux comprendre la décision (</w:t>
      </w:r>
      <w:r w:rsidRPr="006B5BF6">
        <w:rPr>
          <w:rFonts w:cs="Times New Roman"/>
          <w:i/>
          <w:lang w:val="fr-CA"/>
        </w:rPr>
        <w:t>Williams Lake</w:t>
      </w:r>
      <w:r w:rsidRPr="006B5BF6">
        <w:rPr>
          <w:rFonts w:cs="Times New Roman"/>
          <w:lang w:val="fr-CA"/>
        </w:rPr>
        <w:t>, par. 37;</w:t>
      </w:r>
      <w:r w:rsidRPr="006B5BF6">
        <w:rPr>
          <w:rFonts w:cs="Times New Roman"/>
          <w:i/>
          <w:lang w:val="fr-CA"/>
        </w:rPr>
        <w:t xml:space="preserve"> Delta Air Lines Inc. c. Lukács</w:t>
      </w:r>
      <w:r w:rsidRPr="006B5BF6">
        <w:rPr>
          <w:rFonts w:cs="Times New Roman"/>
          <w:lang w:val="fr-CA"/>
        </w:rPr>
        <w:t xml:space="preserve">, [2018] 1 R.C.S. 6, par. 23; </w:t>
      </w:r>
      <w:r w:rsidRPr="006B5BF6">
        <w:rPr>
          <w:rFonts w:cs="Times New Roman"/>
          <w:i/>
          <w:lang w:val="fr-CA"/>
        </w:rPr>
        <w:t>Newfoundland Nurses</w:t>
      </w:r>
      <w:r w:rsidRPr="006B5BF6">
        <w:rPr>
          <w:rFonts w:cs="Times New Roman"/>
          <w:lang w:val="fr-CA"/>
        </w:rPr>
        <w:t xml:space="preserve">, par. 15; </w:t>
      </w:r>
      <w:r w:rsidRPr="006B5BF6">
        <w:rPr>
          <w:rFonts w:cs="Times New Roman"/>
          <w:i/>
          <w:iCs/>
          <w:lang w:val="fr-CA"/>
        </w:rPr>
        <w:t>Alberta Teachers</w:t>
      </w:r>
      <w:r>
        <w:rPr>
          <w:rFonts w:cs="Times New Roman"/>
          <w:i/>
          <w:iCs/>
          <w:lang w:val="fr-CA"/>
        </w:rPr>
        <w:t>’</w:t>
      </w:r>
      <w:r w:rsidRPr="006B5BF6">
        <w:rPr>
          <w:rFonts w:cs="Times New Roman"/>
          <w:i/>
          <w:iCs/>
          <w:lang w:val="fr-CA"/>
        </w:rPr>
        <w:t xml:space="preserve"> Association</w:t>
      </w:r>
      <w:r w:rsidRPr="006B5BF6">
        <w:rPr>
          <w:rFonts w:cs="Times New Roman"/>
          <w:lang w:val="fr-CA"/>
        </w:rPr>
        <w:t>, par. 53 et 56).</w:t>
      </w:r>
    </w:p>
    <w:p w14:paraId="454671EB" w14:textId="77777777" w:rsidR="00AE2373" w:rsidRPr="006B5BF6" w:rsidRDefault="00AE2373" w:rsidP="00AE2373">
      <w:pPr>
        <w:pStyle w:val="ParaNoNdepar-AltN"/>
        <w:tabs>
          <w:tab w:val="clear" w:pos="1422"/>
        </w:tabs>
        <w:spacing w:before="0"/>
        <w:rPr>
          <w:rFonts w:cs="Times New Roman"/>
          <w:lang w:val="fr-CA"/>
        </w:rPr>
      </w:pPr>
      <w:r w:rsidRPr="006B5BF6">
        <w:rPr>
          <w:rFonts w:cs="Times New Roman"/>
          <w:lang w:val="fr-CA"/>
        </w:rPr>
        <w:t>Certains théoriciens se sont penchés sur l</w:t>
      </w:r>
      <w:r>
        <w:rPr>
          <w:rFonts w:cs="Times New Roman"/>
          <w:lang w:val="fr-CA"/>
        </w:rPr>
        <w:t>’</w:t>
      </w:r>
      <w:r w:rsidRPr="006B5BF6">
        <w:rPr>
          <w:rFonts w:cs="Times New Roman"/>
          <w:lang w:val="fr-CA"/>
        </w:rPr>
        <w:t>utilisation du dossier et d</w:t>
      </w:r>
      <w:r>
        <w:rPr>
          <w:rFonts w:cs="Times New Roman"/>
          <w:lang w:val="fr-CA"/>
        </w:rPr>
        <w:t>’</w:t>
      </w:r>
      <w:r w:rsidRPr="006B5BF6">
        <w:rPr>
          <w:rFonts w:cs="Times New Roman"/>
          <w:lang w:val="fr-CA"/>
        </w:rPr>
        <w:t>autres éléments contextuels pour compléter les motifs exposés par le décideur (voir, par exemple, Mullan, p. 69</w:t>
      </w:r>
      <w:r w:rsidRPr="006B5BF6">
        <w:rPr>
          <w:rFonts w:cs="Times New Roman"/>
          <w:lang w:val="fr-CA"/>
        </w:rPr>
        <w:noBreakHyphen/>
        <w:t>74). Nous sommes quant à nous en faveur de la possibilité de compléter les motifs, car cette démarche va de pair avec l</w:t>
      </w:r>
      <w:r>
        <w:rPr>
          <w:rFonts w:cs="Times New Roman"/>
          <w:lang w:val="fr-CA"/>
        </w:rPr>
        <w:t>’</w:t>
      </w:r>
      <w:r w:rsidRPr="006B5BF6">
        <w:rPr>
          <w:rFonts w:cs="Times New Roman"/>
          <w:lang w:val="fr-CA"/>
        </w:rPr>
        <w:t>approche souple qui sert à déterminer si la décision administrative doit ou non être motivée et tient compte « de la réalité quotidienne des organismes administratifs » (</w:t>
      </w:r>
      <w:r w:rsidRPr="006B5BF6">
        <w:rPr>
          <w:rFonts w:cs="Times New Roman"/>
          <w:i/>
          <w:lang w:val="fr-CA"/>
        </w:rPr>
        <w:t>Baker</w:t>
      </w:r>
      <w:r w:rsidRPr="006B5BF6">
        <w:rPr>
          <w:rFonts w:cs="Times New Roman"/>
          <w:lang w:val="fr-CA"/>
        </w:rPr>
        <w:t>, par. 44), laquelle se prête peut</w:t>
      </w:r>
      <w:r w:rsidRPr="006B5BF6">
        <w:rPr>
          <w:rFonts w:cs="Times New Roman"/>
          <w:lang w:val="fr-CA"/>
        </w:rPr>
        <w:noBreakHyphen/>
        <w:t>être mal à la production de motifs « d</w:t>
      </w:r>
      <w:r>
        <w:rPr>
          <w:rFonts w:cs="Times New Roman"/>
          <w:lang w:val="fr-CA"/>
        </w:rPr>
        <w:t>’</w:t>
      </w:r>
      <w:r w:rsidRPr="006B5BF6">
        <w:rPr>
          <w:rFonts w:cs="Times New Roman"/>
          <w:lang w:val="fr-CA"/>
        </w:rPr>
        <w:t>archives » s</w:t>
      </w:r>
      <w:r>
        <w:rPr>
          <w:rFonts w:cs="Times New Roman"/>
          <w:lang w:val="fr-CA"/>
        </w:rPr>
        <w:t>’</w:t>
      </w:r>
      <w:r w:rsidRPr="006B5BF6">
        <w:rPr>
          <w:rFonts w:cs="Times New Roman"/>
          <w:lang w:val="fr-CA"/>
        </w:rPr>
        <w:t>apparentant aux décisions judiciaires (par. 40, citant Roderick A. Macdonald et David Lametti, « Reasons for Decision in Administrative Law » (1990), 3</w:t>
      </w:r>
      <w:r w:rsidRPr="006B5BF6">
        <w:rPr>
          <w:rFonts w:cs="Times New Roman"/>
          <w:i/>
          <w:iCs/>
          <w:lang w:val="fr-CA"/>
        </w:rPr>
        <w:t xml:space="preserve"> R.C.D.A.P. </w:t>
      </w:r>
      <w:r w:rsidRPr="006B5BF6">
        <w:rPr>
          <w:rFonts w:cs="Times New Roman"/>
          <w:lang w:val="fr-CA"/>
        </w:rPr>
        <w:t>123).</w:t>
      </w:r>
    </w:p>
    <w:p w14:paraId="3A8D0C87" w14:textId="5CF655A6" w:rsidR="00AE2373" w:rsidRPr="006B5BF6" w:rsidRDefault="00AE2373" w:rsidP="00AE2373">
      <w:pPr>
        <w:pStyle w:val="ParaNoNdepar-AltN"/>
        <w:tabs>
          <w:tab w:val="clear" w:pos="1422"/>
        </w:tabs>
        <w:spacing w:before="0"/>
        <w:rPr>
          <w:rFonts w:cs="Times New Roman"/>
          <w:lang w:val="fr-CA"/>
        </w:rPr>
      </w:pPr>
      <w:r w:rsidRPr="006B5BF6">
        <w:rPr>
          <w:rFonts w:cs="Times New Roman"/>
          <w:lang w:val="fr-CA"/>
        </w:rPr>
        <w:t>Afin de combler les lacunes que comporte la décision administrative dont elle est saisie, la cour de révision pourrait consulter, par exemple, le dossier des actes de procédure officiels, les documents portés à l</w:t>
      </w:r>
      <w:r>
        <w:rPr>
          <w:rFonts w:cs="Times New Roman"/>
          <w:lang w:val="fr-CA"/>
        </w:rPr>
        <w:t>’</w:t>
      </w:r>
      <w:r w:rsidRPr="006B5BF6">
        <w:rPr>
          <w:rFonts w:cs="Times New Roman"/>
          <w:lang w:val="fr-CA"/>
        </w:rPr>
        <w:t>attention du décideur, les décisions antérieures de l</w:t>
      </w:r>
      <w:r>
        <w:rPr>
          <w:rFonts w:cs="Times New Roman"/>
          <w:lang w:val="fr-CA"/>
        </w:rPr>
        <w:t>’</w:t>
      </w:r>
      <w:r w:rsidRPr="006B5BF6">
        <w:rPr>
          <w:rFonts w:cs="Times New Roman"/>
          <w:lang w:val="fr-CA"/>
        </w:rPr>
        <w:t>organisme administratif, ainsi que les politiques ou lignes directrices élaborées pour l</w:t>
      </w:r>
      <w:r>
        <w:rPr>
          <w:rFonts w:cs="Times New Roman"/>
          <w:lang w:val="fr-CA"/>
        </w:rPr>
        <w:t>’</w:t>
      </w:r>
      <w:r w:rsidRPr="006B5BF6">
        <w:rPr>
          <w:rFonts w:cs="Times New Roman"/>
          <w:lang w:val="fr-CA"/>
        </w:rPr>
        <w:t xml:space="preserve">aider dans sa démarche (voir Matthew Lewans, « Renovating Judicial Review » (2017), 68 </w:t>
      </w:r>
      <w:r w:rsidR="00552C0B">
        <w:rPr>
          <w:rFonts w:cs="Times New Roman"/>
          <w:i/>
          <w:lang w:val="fr-CA"/>
        </w:rPr>
        <w:t>R.D. U.N.-B.</w:t>
      </w:r>
      <w:r w:rsidRPr="006B5BF6">
        <w:rPr>
          <w:rFonts w:cs="Times New Roman"/>
          <w:lang w:val="fr-CA"/>
        </w:rPr>
        <w:t xml:space="preserve"> 109, p. 137</w:t>
      </w:r>
      <w:r w:rsidRPr="006B5BF6">
        <w:rPr>
          <w:rFonts w:cs="Times New Roman"/>
          <w:lang w:val="fr-CA"/>
        </w:rPr>
        <w:noBreakHyphen/>
      </w:r>
      <w:r w:rsidR="000E0B23">
        <w:rPr>
          <w:rFonts w:cs="Times New Roman"/>
          <w:lang w:val="fr-CA"/>
        </w:rPr>
        <w:t>1</w:t>
      </w:r>
      <w:r w:rsidRPr="006B5BF6">
        <w:rPr>
          <w:rFonts w:cs="Times New Roman"/>
          <w:lang w:val="fr-CA"/>
        </w:rPr>
        <w:t xml:space="preserve">38). Après avoir consulté ces documents, </w:t>
      </w:r>
      <w:r>
        <w:rPr>
          <w:rFonts w:cs="Times New Roman"/>
          <w:lang w:val="fr-CA"/>
        </w:rPr>
        <w:t>la cour sera peut</w:t>
      </w:r>
      <w:r>
        <w:rPr>
          <w:rFonts w:cs="Times New Roman"/>
          <w:lang w:val="fr-CA"/>
        </w:rPr>
        <w:noBreakHyphen/>
      </w:r>
      <w:r w:rsidRPr="006B5BF6">
        <w:rPr>
          <w:rFonts w:cs="Times New Roman"/>
          <w:lang w:val="fr-CA"/>
        </w:rPr>
        <w:t xml:space="preserve">être davantage en mesure de comprendre, « par </w:t>
      </w:r>
      <w:r w:rsidRPr="006B5BF6">
        <w:rPr>
          <w:rFonts w:cs="Times New Roman"/>
          <w:lang w:val="fr-CA"/>
        </w:rPr>
        <w:lastRenderedPageBreak/>
        <w:t>déduction », pourquoi un décideur administratif est parvenu à un certain résultat (</w:t>
      </w:r>
      <w:r w:rsidRPr="006B5BF6">
        <w:rPr>
          <w:rFonts w:cs="Times New Roman"/>
          <w:i/>
          <w:lang w:val="fr-CA"/>
        </w:rPr>
        <w:t>Baker</w:t>
      </w:r>
      <w:r w:rsidRPr="006B5BF6">
        <w:rPr>
          <w:rFonts w:cs="Times New Roman"/>
          <w:lang w:val="fr-CA"/>
        </w:rPr>
        <w:t xml:space="preserve">, par. 44; voir également </w:t>
      </w:r>
      <w:r w:rsidRPr="006B5BF6">
        <w:rPr>
          <w:rFonts w:cs="Times New Roman"/>
          <w:i/>
          <w:lang w:val="fr-CA"/>
        </w:rPr>
        <w:t>Williams Lake</w:t>
      </w:r>
      <w:r w:rsidRPr="006B5BF6">
        <w:rPr>
          <w:rFonts w:cs="Times New Roman"/>
          <w:lang w:val="fr-CA"/>
        </w:rPr>
        <w:t xml:space="preserve">, par. 37; </w:t>
      </w:r>
      <w:r w:rsidRPr="006B5BF6">
        <w:rPr>
          <w:rFonts w:cs="Times New Roman"/>
          <w:i/>
          <w:lang w:val="fr-CA"/>
        </w:rPr>
        <w:t>Mills c. Workplace Safety and Insurance Appeals Tribunal</w:t>
      </w:r>
      <w:r>
        <w:rPr>
          <w:rFonts w:cs="Times New Roman"/>
          <w:i/>
          <w:lang w:val="fr-CA"/>
        </w:rPr>
        <w:t xml:space="preserve"> (Ont.</w:t>
      </w:r>
      <w:r w:rsidRPr="006B5BF6">
        <w:rPr>
          <w:rFonts w:cs="Times New Roman"/>
          <w:i/>
          <w:lang w:val="fr-CA"/>
        </w:rPr>
        <w:t>)</w:t>
      </w:r>
      <w:r w:rsidRPr="006B5BF6">
        <w:rPr>
          <w:rFonts w:cs="Times New Roman"/>
          <w:lang w:val="fr-CA"/>
        </w:rPr>
        <w:t>, 2008 ONCA 436, 237 O.A.C. 71, par. 38</w:t>
      </w:r>
      <w:r w:rsidRPr="006B5BF6">
        <w:rPr>
          <w:rFonts w:cs="Times New Roman"/>
          <w:lang w:val="fr-CA"/>
        </w:rPr>
        <w:noBreakHyphen/>
        <w:t>39). Il pourra aussi y trouver d</w:t>
      </w:r>
      <w:r>
        <w:rPr>
          <w:rFonts w:cs="Times New Roman"/>
          <w:lang w:val="fr-CA"/>
        </w:rPr>
        <w:t>’</w:t>
      </w:r>
      <w:r w:rsidRPr="006B5BF6">
        <w:rPr>
          <w:rFonts w:cs="Times New Roman"/>
          <w:lang w:val="fr-CA"/>
        </w:rPr>
        <w:t>autres éléments contextuels qui viennent corroborer le raisonnement suivi par le décideur. Ces éléments pourraient démontrer, par exemple, que l</w:t>
      </w:r>
      <w:r>
        <w:rPr>
          <w:rFonts w:cs="Times New Roman"/>
          <w:lang w:val="fr-CA"/>
        </w:rPr>
        <w:t>’</w:t>
      </w:r>
      <w:r w:rsidRPr="006B5BF6">
        <w:rPr>
          <w:rFonts w:cs="Times New Roman"/>
          <w:lang w:val="fr-CA"/>
        </w:rPr>
        <w:t>interprétation proposée par le décideur en ce qui concerne l</w:t>
      </w:r>
      <w:r>
        <w:rPr>
          <w:rFonts w:cs="Times New Roman"/>
          <w:lang w:val="fr-CA"/>
        </w:rPr>
        <w:t>’</w:t>
      </w:r>
      <w:r w:rsidRPr="006B5BF6">
        <w:rPr>
          <w:rFonts w:cs="Times New Roman"/>
          <w:lang w:val="fr-CA"/>
        </w:rPr>
        <w:t>objet du mandat que lui a confié la loi trouve appui dans l</w:t>
      </w:r>
      <w:r>
        <w:rPr>
          <w:rFonts w:cs="Times New Roman"/>
          <w:lang w:val="fr-CA"/>
        </w:rPr>
        <w:t>’</w:t>
      </w:r>
      <w:r w:rsidRPr="006B5BF6">
        <w:rPr>
          <w:rFonts w:cs="Times New Roman"/>
          <w:lang w:val="fr-CA"/>
        </w:rPr>
        <w:t>historique législatif de la disposition (</w:t>
      </w:r>
      <w:r w:rsidRPr="006B5BF6">
        <w:rPr>
          <w:rFonts w:cs="Times New Roman"/>
          <w:i/>
          <w:lang w:val="fr-CA"/>
        </w:rPr>
        <w:t>Celgene Corp. c. Canada (Procureur général)</w:t>
      </w:r>
      <w:r w:rsidRPr="006B5BF6">
        <w:rPr>
          <w:rFonts w:cs="Times New Roman"/>
          <w:lang w:val="fr-CA"/>
        </w:rPr>
        <w:t>, [2011] 1 R.C.S. 3, par. 25</w:t>
      </w:r>
      <w:r w:rsidRPr="006B5BF6">
        <w:rPr>
          <w:rFonts w:cs="Times New Roman"/>
          <w:lang w:val="fr-CA"/>
        </w:rPr>
        <w:noBreakHyphen/>
        <w:t xml:space="preserve">29). En consultant le dossier, </w:t>
      </w:r>
      <w:r>
        <w:rPr>
          <w:rFonts w:cs="Times New Roman"/>
          <w:lang w:val="fr-CA"/>
        </w:rPr>
        <w:t xml:space="preserve">la cour </w:t>
      </w:r>
      <w:r w:rsidRPr="006B5BF6">
        <w:rPr>
          <w:rFonts w:cs="Times New Roman"/>
          <w:lang w:val="fr-CA"/>
        </w:rPr>
        <w:t>pourra également trouver des réponses aux arguments spécifiques invoqués par le demandeur au soutien de sa demande de contrôle judiciaire, c</w:t>
      </w:r>
      <w:r>
        <w:rPr>
          <w:rFonts w:cs="Times New Roman"/>
          <w:lang w:val="fr-CA"/>
        </w:rPr>
        <w:t>’</w:t>
      </w:r>
      <w:r w:rsidRPr="006B5BF6">
        <w:rPr>
          <w:rFonts w:cs="Times New Roman"/>
          <w:lang w:val="fr-CA"/>
        </w:rPr>
        <w:t>est</w:t>
      </w:r>
      <w:r w:rsidRPr="006B5BF6">
        <w:rPr>
          <w:rFonts w:cs="Times New Roman"/>
          <w:lang w:val="fr-CA"/>
        </w:rPr>
        <w:noBreakHyphen/>
        <w:t>à</w:t>
      </w:r>
      <w:r w:rsidRPr="006B5BF6">
        <w:rPr>
          <w:rFonts w:cs="Times New Roman"/>
          <w:lang w:val="fr-CA"/>
        </w:rPr>
        <w:noBreakHyphen/>
        <w:t>dire des réponses qui « [vont] dans le même sens [que] le raisonnement suivi par le décideur » (</w:t>
      </w:r>
      <w:r w:rsidRPr="006B5BF6">
        <w:rPr>
          <w:rFonts w:cs="Times New Roman"/>
          <w:i/>
          <w:lang w:val="fr-CA"/>
        </w:rPr>
        <w:t>Igloo Vikski</w:t>
      </w:r>
      <w:r w:rsidRPr="006B5BF6">
        <w:rPr>
          <w:rFonts w:cs="Times New Roman"/>
          <w:lang w:val="fr-CA"/>
        </w:rPr>
        <w:t>, par. 45). Voilà comment les cours de révision peuvent légitimement compléter les motifs écrits sans « supplanter l</w:t>
      </w:r>
      <w:r>
        <w:rPr>
          <w:rFonts w:cs="Times New Roman"/>
          <w:lang w:val="fr-CA"/>
        </w:rPr>
        <w:t>’</w:t>
      </w:r>
      <w:r w:rsidRPr="006B5BF6">
        <w:rPr>
          <w:rFonts w:cs="Times New Roman"/>
          <w:lang w:val="fr-CA"/>
        </w:rPr>
        <w:t>analyse de l</w:t>
      </w:r>
      <w:r>
        <w:rPr>
          <w:rFonts w:cs="Times New Roman"/>
          <w:lang w:val="fr-CA"/>
        </w:rPr>
        <w:t>’</w:t>
      </w:r>
      <w:r w:rsidRPr="006B5BF6">
        <w:rPr>
          <w:rFonts w:cs="Times New Roman"/>
          <w:lang w:val="fr-CA"/>
        </w:rPr>
        <w:t>organisme administratif » (</w:t>
      </w:r>
      <w:r w:rsidRPr="006B5BF6">
        <w:rPr>
          <w:rFonts w:cs="Times New Roman"/>
          <w:i/>
          <w:lang w:val="fr-CA"/>
        </w:rPr>
        <w:t>Lukács</w:t>
      </w:r>
      <w:r w:rsidRPr="006B5BF6">
        <w:rPr>
          <w:rFonts w:cs="Times New Roman"/>
          <w:lang w:val="fr-CA"/>
        </w:rPr>
        <w:t>, par. 24).</w:t>
      </w:r>
    </w:p>
    <w:p w14:paraId="50266DCF" w14:textId="77777777" w:rsidR="00AE2373" w:rsidRPr="006B5BF6" w:rsidRDefault="00AE2373" w:rsidP="00AE2373">
      <w:pPr>
        <w:pStyle w:val="ParaNoNdepar-AltN"/>
        <w:tabs>
          <w:tab w:val="clear" w:pos="1422"/>
        </w:tabs>
        <w:spacing w:before="0"/>
        <w:rPr>
          <w:rFonts w:cs="Times New Roman"/>
          <w:lang w:val="fr-CA"/>
        </w:rPr>
      </w:pPr>
      <w:r w:rsidRPr="006B5BF6">
        <w:rPr>
          <w:rFonts w:cs="Times New Roman"/>
          <w:lang w:val="fr-CA"/>
        </w:rPr>
        <w:t>En d</w:t>
      </w:r>
      <w:r>
        <w:rPr>
          <w:rFonts w:cs="Times New Roman"/>
          <w:lang w:val="fr-CA"/>
        </w:rPr>
        <w:t>’</w:t>
      </w:r>
      <w:r w:rsidRPr="006B5BF6">
        <w:rPr>
          <w:rFonts w:cs="Times New Roman"/>
          <w:lang w:val="fr-CA"/>
        </w:rPr>
        <w:t>autres termes, l</w:t>
      </w:r>
      <w:r>
        <w:rPr>
          <w:rFonts w:cs="Times New Roman"/>
          <w:lang w:val="fr-CA"/>
        </w:rPr>
        <w:t>’</w:t>
      </w:r>
      <w:r w:rsidRPr="006B5BF6">
        <w:rPr>
          <w:rFonts w:cs="Times New Roman"/>
          <w:lang w:val="fr-CA"/>
        </w:rPr>
        <w:t>« insuffisance » des motifs « [ne] permet [pas] à elle seule de casser une décision » (</w:t>
      </w:r>
      <w:r w:rsidRPr="006B5BF6">
        <w:rPr>
          <w:rFonts w:cs="Times New Roman"/>
          <w:i/>
          <w:lang w:val="fr-CA"/>
        </w:rPr>
        <w:t>Newfoundland Nurses</w:t>
      </w:r>
      <w:r w:rsidRPr="006B5BF6">
        <w:rPr>
          <w:rFonts w:cs="Times New Roman"/>
          <w:lang w:val="fr-CA"/>
        </w:rPr>
        <w:t>, par. 14). Ainsi que notre Cour l</w:t>
      </w:r>
      <w:r>
        <w:rPr>
          <w:rFonts w:cs="Times New Roman"/>
          <w:lang w:val="fr-CA"/>
        </w:rPr>
        <w:t>’</w:t>
      </w:r>
      <w:r w:rsidRPr="006B5BF6">
        <w:rPr>
          <w:rFonts w:cs="Times New Roman"/>
          <w:lang w:val="fr-CA"/>
        </w:rPr>
        <w:t>a affirmé à maintes reprises, les motifs doivent plutôt « être examinés en corrélation avec le résultat et ils doivent permettre de savoir si celui-ci fait partie des issues possibles » (</w:t>
      </w:r>
      <w:r w:rsidRPr="006B5BF6">
        <w:rPr>
          <w:rFonts w:cs="Times New Roman"/>
          <w:i/>
          <w:lang w:val="fr-CA"/>
        </w:rPr>
        <w:t>Newfoundland Nurses</w:t>
      </w:r>
      <w:r w:rsidRPr="006B5BF6">
        <w:rPr>
          <w:rFonts w:cs="Times New Roman"/>
          <w:lang w:val="fr-CA"/>
        </w:rPr>
        <w:t xml:space="preserve">, par. 14; </w:t>
      </w:r>
      <w:r w:rsidRPr="006B5BF6">
        <w:rPr>
          <w:rFonts w:cs="Times New Roman"/>
          <w:i/>
          <w:lang w:val="fr-CA"/>
        </w:rPr>
        <w:t>Halifax (Regional Municipality) c. Canada (Travaux publics et Services gouvernementaux)</w:t>
      </w:r>
      <w:r w:rsidRPr="006B5BF6">
        <w:rPr>
          <w:rFonts w:cs="Times New Roman"/>
          <w:lang w:val="fr-CA"/>
        </w:rPr>
        <w:t>,</w:t>
      </w:r>
      <w:r w:rsidRPr="006B5BF6">
        <w:rPr>
          <w:rFonts w:cs="Times New Roman"/>
          <w:i/>
          <w:lang w:val="fr-CA"/>
        </w:rPr>
        <w:t xml:space="preserve"> </w:t>
      </w:r>
      <w:r w:rsidRPr="006B5BF6">
        <w:rPr>
          <w:rFonts w:cs="Times New Roman"/>
          <w:lang w:val="fr-CA"/>
        </w:rPr>
        <w:t xml:space="preserve">[2012] 2 R.C.S. 108, par. 44; </w:t>
      </w:r>
      <w:r w:rsidRPr="006B5BF6">
        <w:rPr>
          <w:rFonts w:cs="Times New Roman"/>
          <w:i/>
          <w:lang w:val="fr-CA"/>
        </w:rPr>
        <w:t xml:space="preserve">Agraira c. Canada (Sécurité publique et Protection civile), </w:t>
      </w:r>
      <w:r w:rsidRPr="006B5BF6">
        <w:rPr>
          <w:rFonts w:cs="Times New Roman"/>
          <w:lang w:val="fr-CA"/>
        </w:rPr>
        <w:t xml:space="preserve">[2013] 2 R.C.S. 559, par. 52; </w:t>
      </w:r>
      <w:r w:rsidRPr="006B5BF6">
        <w:rPr>
          <w:rFonts w:cs="Times New Roman"/>
          <w:i/>
          <w:lang w:val="fr-CA"/>
        </w:rPr>
        <w:t>Williams Lake</w:t>
      </w:r>
      <w:r w:rsidRPr="006B5BF6">
        <w:rPr>
          <w:rFonts w:cs="Times New Roman"/>
          <w:lang w:val="fr-CA"/>
        </w:rPr>
        <w:t xml:space="preserve">, par. 141, </w:t>
      </w:r>
      <w:r w:rsidRPr="006B5BF6">
        <w:rPr>
          <w:rFonts w:cs="Times New Roman"/>
          <w:iCs/>
          <w:lang w:val="fr-CA"/>
        </w:rPr>
        <w:t>motifs dissidents</w:t>
      </w:r>
      <w:r w:rsidRPr="006B5BF6">
        <w:rPr>
          <w:rFonts w:cs="Times New Roman"/>
          <w:i/>
          <w:lang w:val="fr-CA"/>
        </w:rPr>
        <w:t xml:space="preserve"> </w:t>
      </w:r>
      <w:r w:rsidRPr="006B5BF6">
        <w:rPr>
          <w:rFonts w:cs="Times New Roman"/>
          <w:iCs/>
          <w:lang w:val="fr-CA"/>
        </w:rPr>
        <w:t>du juge</w:t>
      </w:r>
      <w:r w:rsidRPr="006B5BF6">
        <w:rPr>
          <w:rFonts w:cs="Times New Roman"/>
          <w:i/>
          <w:lang w:val="fr-CA"/>
        </w:rPr>
        <w:t xml:space="preserve"> </w:t>
      </w:r>
      <w:r w:rsidRPr="006B5BF6">
        <w:rPr>
          <w:rFonts w:cs="Times New Roman"/>
          <w:lang w:val="fr-CA"/>
        </w:rPr>
        <w:t xml:space="preserve">Rowe, mais non sur ce point). Cette approche privilégie le fond plutôt que la forme dans les situations où le fondement de la décision rendue par un acteur administratif spécialisé est évident au </w:t>
      </w:r>
      <w:r w:rsidRPr="006B5BF6">
        <w:rPr>
          <w:rFonts w:cs="Times New Roman"/>
          <w:lang w:val="fr-CA"/>
        </w:rPr>
        <w:lastRenderedPageBreak/>
        <w:t>vu du dossier, mais n</w:t>
      </w:r>
      <w:r>
        <w:rPr>
          <w:rFonts w:cs="Times New Roman"/>
          <w:lang w:val="fr-CA"/>
        </w:rPr>
        <w:t>’</w:t>
      </w:r>
      <w:r w:rsidRPr="006B5BF6">
        <w:rPr>
          <w:rFonts w:cs="Times New Roman"/>
          <w:lang w:val="fr-CA"/>
        </w:rPr>
        <w:t>est pas exposé clairement dans ses motifs écrits. L</w:t>
      </w:r>
      <w:r>
        <w:rPr>
          <w:rFonts w:cs="Times New Roman"/>
          <w:lang w:val="fr-CA"/>
        </w:rPr>
        <w:t>’</w:t>
      </w:r>
      <w:r w:rsidRPr="006B5BF6">
        <w:rPr>
          <w:rFonts w:cs="Times New Roman"/>
          <w:lang w:val="fr-CA"/>
        </w:rPr>
        <w:t>annulation des décisions dans ces circonstances va à l</w:t>
      </w:r>
      <w:r>
        <w:rPr>
          <w:rFonts w:cs="Times New Roman"/>
          <w:lang w:val="fr-CA"/>
        </w:rPr>
        <w:t>’</w:t>
      </w:r>
      <w:r w:rsidRPr="006B5BF6">
        <w:rPr>
          <w:rFonts w:cs="Times New Roman"/>
          <w:lang w:val="fr-CA"/>
        </w:rPr>
        <w:t>encontre de l</w:t>
      </w:r>
      <w:r>
        <w:rPr>
          <w:rFonts w:cs="Times New Roman"/>
          <w:lang w:val="fr-CA"/>
        </w:rPr>
        <w:t>’</w:t>
      </w:r>
      <w:r w:rsidRPr="006B5BF6">
        <w:rPr>
          <w:rFonts w:cs="Times New Roman"/>
          <w:lang w:val="fr-CA"/>
        </w:rPr>
        <w:t>objet du principe de la déférence et fait entrave à l</w:t>
      </w:r>
      <w:r>
        <w:rPr>
          <w:rFonts w:cs="Times New Roman"/>
          <w:lang w:val="fr-CA"/>
        </w:rPr>
        <w:t>’</w:t>
      </w:r>
      <w:r w:rsidRPr="006B5BF6">
        <w:rPr>
          <w:rFonts w:cs="Times New Roman"/>
          <w:lang w:val="fr-CA"/>
        </w:rPr>
        <w:t>accès à la justice en entraînant un gaspillage des ressources administratives et judiciaires.</w:t>
      </w:r>
    </w:p>
    <w:p w14:paraId="6D4F8513" w14:textId="77777777" w:rsidR="00AE2373" w:rsidRPr="006B5BF6" w:rsidRDefault="00AE2373" w:rsidP="00AE2373">
      <w:pPr>
        <w:pStyle w:val="ParaNoNdepar-AltN"/>
        <w:tabs>
          <w:tab w:val="clear" w:pos="1422"/>
        </w:tabs>
        <w:spacing w:before="0"/>
        <w:rPr>
          <w:rFonts w:cs="Times New Roman"/>
          <w:lang w:val="fr-CA"/>
        </w:rPr>
      </w:pPr>
      <w:r w:rsidRPr="006B5BF6">
        <w:rPr>
          <w:rFonts w:cs="Times New Roman"/>
          <w:lang w:val="fr-CA"/>
        </w:rPr>
        <w:t>En conséquence, à notre avis, si le demandeur reproche au décideur administratif de ne pas avoir tenu compte d</w:t>
      </w:r>
      <w:r>
        <w:rPr>
          <w:rFonts w:cs="Times New Roman"/>
          <w:lang w:val="fr-CA"/>
        </w:rPr>
        <w:t>’</w:t>
      </w:r>
      <w:r w:rsidRPr="006B5BF6">
        <w:rPr>
          <w:rFonts w:cs="Times New Roman"/>
          <w:lang w:val="fr-CA"/>
        </w:rPr>
        <w:t>un facteur pertinent pour en arriver à sa décision, la cour de révision doit examiner les arguments et le dossier dont le décideur était saisi, ainsi que l</w:t>
      </w:r>
      <w:r>
        <w:rPr>
          <w:rFonts w:cs="Times New Roman"/>
          <w:lang w:val="fr-CA"/>
        </w:rPr>
        <w:t>’</w:t>
      </w:r>
      <w:r w:rsidRPr="006B5BF6">
        <w:rPr>
          <w:rFonts w:cs="Times New Roman"/>
          <w:lang w:val="fr-CA"/>
        </w:rPr>
        <w:t>importance relative de l</w:t>
      </w:r>
      <w:r>
        <w:rPr>
          <w:rFonts w:cs="Times New Roman"/>
          <w:lang w:val="fr-CA"/>
        </w:rPr>
        <w:t>’</w:t>
      </w:r>
      <w:r w:rsidRPr="006B5BF6">
        <w:rPr>
          <w:rFonts w:cs="Times New Roman"/>
          <w:lang w:val="fr-CA"/>
        </w:rPr>
        <w:t>omission par rapport à la décision rendue. Si le décideur a omis, par exemple, de mentionner une disposition législative précise ou l</w:t>
      </w:r>
      <w:r>
        <w:rPr>
          <w:rFonts w:cs="Times New Roman"/>
          <w:lang w:val="fr-CA"/>
        </w:rPr>
        <w:t>’</w:t>
      </w:r>
      <w:r w:rsidRPr="006B5BF6">
        <w:rPr>
          <w:rFonts w:cs="Times New Roman"/>
          <w:lang w:val="fr-CA"/>
        </w:rPr>
        <w:t>ensemble du dossier factuel complet porté à son attention, la cour de révision n</w:t>
      </w:r>
      <w:r>
        <w:rPr>
          <w:rFonts w:cs="Times New Roman"/>
          <w:lang w:val="fr-CA"/>
        </w:rPr>
        <w:t>’</w:t>
      </w:r>
      <w:r w:rsidRPr="006B5BF6">
        <w:rPr>
          <w:rFonts w:cs="Times New Roman"/>
          <w:lang w:val="fr-CA"/>
        </w:rPr>
        <w:t xml:space="preserve">a pas automatiquement le droit de procéder à un examen </w:t>
      </w:r>
      <w:r w:rsidRPr="006B5BF6">
        <w:rPr>
          <w:rFonts w:cs="Times New Roman"/>
          <w:i/>
          <w:lang w:val="fr-CA"/>
        </w:rPr>
        <w:t xml:space="preserve">de novo </w:t>
      </w:r>
      <w:r w:rsidRPr="006B5BF6">
        <w:rPr>
          <w:rFonts w:cs="Times New Roman"/>
          <w:iCs/>
          <w:lang w:val="fr-CA"/>
        </w:rPr>
        <w:t>de la décision contestée. L</w:t>
      </w:r>
      <w:r>
        <w:rPr>
          <w:rFonts w:cs="Times New Roman"/>
          <w:iCs/>
          <w:lang w:val="fr-CA"/>
        </w:rPr>
        <w:t>’</w:t>
      </w:r>
      <w:r w:rsidRPr="006B5BF6">
        <w:rPr>
          <w:rFonts w:cs="Times New Roman"/>
          <w:iCs/>
          <w:lang w:val="fr-CA"/>
        </w:rPr>
        <w:t>analyse doit se limiter à déterminer si le demandeur s</w:t>
      </w:r>
      <w:r>
        <w:rPr>
          <w:rFonts w:cs="Times New Roman"/>
          <w:iCs/>
          <w:lang w:val="fr-CA"/>
        </w:rPr>
        <w:t>’</w:t>
      </w:r>
      <w:r w:rsidRPr="006B5BF6">
        <w:rPr>
          <w:rFonts w:cs="Times New Roman"/>
          <w:iCs/>
          <w:lang w:val="fr-CA"/>
        </w:rPr>
        <w:t xml:space="preserve">est déchargé du fardeau qui lui incombait </w:t>
      </w:r>
      <w:r w:rsidRPr="006B5BF6">
        <w:rPr>
          <w:rFonts w:cs="Times New Roman"/>
          <w:lang w:val="fr-CA"/>
        </w:rPr>
        <w:t>d</w:t>
      </w:r>
      <w:r>
        <w:rPr>
          <w:rFonts w:cs="Times New Roman"/>
          <w:lang w:val="fr-CA"/>
        </w:rPr>
        <w:t>’</w:t>
      </w:r>
      <w:r w:rsidRPr="006B5BF6">
        <w:rPr>
          <w:rFonts w:cs="Times New Roman"/>
          <w:lang w:val="fr-CA"/>
        </w:rPr>
        <w:t>établir que l</w:t>
      </w:r>
      <w:r>
        <w:rPr>
          <w:rFonts w:cs="Times New Roman"/>
          <w:lang w:val="fr-CA"/>
        </w:rPr>
        <w:t>’</w:t>
      </w:r>
      <w:r w:rsidRPr="006B5BF6">
        <w:rPr>
          <w:rFonts w:cs="Times New Roman"/>
          <w:lang w:val="fr-CA"/>
        </w:rPr>
        <w:t>omission rend la décision contestée déraisonnable.</w:t>
      </w:r>
    </w:p>
    <w:p w14:paraId="1EB112CE" w14:textId="08C4C81D" w:rsidR="00AE2373" w:rsidRPr="006B5BF6" w:rsidRDefault="00AE2373" w:rsidP="00AE2373">
      <w:pPr>
        <w:pStyle w:val="ParaNoNdepar-AltN"/>
        <w:tabs>
          <w:tab w:val="clear" w:pos="1422"/>
        </w:tabs>
        <w:spacing w:before="0"/>
        <w:rPr>
          <w:rFonts w:cs="Times New Roman"/>
          <w:lang w:val="fr-CA"/>
        </w:rPr>
      </w:pPr>
      <w:r w:rsidRPr="006B5BF6">
        <w:rPr>
          <w:rFonts w:cs="Times New Roman"/>
          <w:lang w:val="fr-CA"/>
        </w:rPr>
        <w:t>Nous reconnaissons qu</w:t>
      </w:r>
      <w:r>
        <w:rPr>
          <w:rFonts w:cs="Times New Roman"/>
          <w:lang w:val="fr-CA"/>
        </w:rPr>
        <w:t>’</w:t>
      </w:r>
      <w:r w:rsidRPr="006B5BF6">
        <w:rPr>
          <w:rFonts w:cs="Times New Roman"/>
          <w:lang w:val="fr-CA"/>
        </w:rPr>
        <w:t>il est particulièrement difficile pour les juges de respecter la ligne de démarcation entre la norme de la décision raisonnable et celle de la décision correcte lorsqu</w:t>
      </w:r>
      <w:r>
        <w:rPr>
          <w:rFonts w:cs="Times New Roman"/>
          <w:lang w:val="fr-CA"/>
        </w:rPr>
        <w:t>’</w:t>
      </w:r>
      <w:r w:rsidRPr="006B5BF6">
        <w:rPr>
          <w:rFonts w:cs="Times New Roman"/>
          <w:lang w:val="fr-CA"/>
        </w:rPr>
        <w:t>ils sont appelés à réviser l</w:t>
      </w:r>
      <w:r>
        <w:rPr>
          <w:rFonts w:cs="Times New Roman"/>
          <w:lang w:val="fr-CA"/>
        </w:rPr>
        <w:t>’</w:t>
      </w:r>
      <w:r w:rsidRPr="006B5BF6">
        <w:rPr>
          <w:rFonts w:cs="Times New Roman"/>
          <w:lang w:val="fr-CA"/>
        </w:rPr>
        <w:t>interprétation que des décideurs administratifs ont donnée à leur mandat statutaire. Les juges interprètent quotidiennement des lois et ils ont mis au point une grille dont ils se servent pour analyser les mots dans ce contexte. Ils doivent toutefois conserver la même attitude de déférence dont nous avons déjà parlé lorsqu</w:t>
      </w:r>
      <w:r>
        <w:rPr>
          <w:rFonts w:cs="Times New Roman"/>
          <w:lang w:val="fr-CA"/>
        </w:rPr>
        <w:t>’</w:t>
      </w:r>
      <w:r w:rsidRPr="006B5BF6">
        <w:rPr>
          <w:rFonts w:cs="Times New Roman"/>
          <w:lang w:val="fr-CA"/>
        </w:rPr>
        <w:t>ils interprètent une disposition législative. Lorsqu</w:t>
      </w:r>
      <w:r>
        <w:rPr>
          <w:rFonts w:cs="Times New Roman"/>
          <w:lang w:val="fr-CA"/>
        </w:rPr>
        <w:t>’</w:t>
      </w:r>
      <w:r w:rsidRPr="006B5BF6">
        <w:rPr>
          <w:rFonts w:cs="Times New Roman"/>
          <w:lang w:val="fr-CA"/>
        </w:rPr>
        <w:t>elle révise une décision administrative portant sur l</w:t>
      </w:r>
      <w:r>
        <w:rPr>
          <w:rFonts w:cs="Times New Roman"/>
          <w:lang w:val="fr-CA"/>
        </w:rPr>
        <w:t>’</w:t>
      </w:r>
      <w:r w:rsidRPr="006B5BF6">
        <w:rPr>
          <w:rFonts w:cs="Times New Roman"/>
          <w:lang w:val="fr-CA"/>
        </w:rPr>
        <w:t>interprétation d</w:t>
      </w:r>
      <w:r>
        <w:rPr>
          <w:rFonts w:cs="Times New Roman"/>
          <w:lang w:val="fr-CA"/>
        </w:rPr>
        <w:t>’</w:t>
      </w:r>
      <w:r w:rsidRPr="006B5BF6">
        <w:rPr>
          <w:rFonts w:cs="Times New Roman"/>
          <w:lang w:val="fr-CA"/>
        </w:rPr>
        <w:t>une disposition législative, la cour de révision ne devrait pas évaluer la décision en tentant de déterminer l</w:t>
      </w:r>
      <w:r>
        <w:rPr>
          <w:rFonts w:cs="Times New Roman"/>
          <w:lang w:val="fr-CA"/>
        </w:rPr>
        <w:t>’</w:t>
      </w:r>
      <w:r w:rsidRPr="006B5BF6">
        <w:rPr>
          <w:rFonts w:cs="Times New Roman"/>
          <w:lang w:val="fr-CA"/>
        </w:rPr>
        <w:t xml:space="preserve">interprétation qui, à son avis, serait raisonnable. Pareille attitude </w:t>
      </w:r>
      <w:r w:rsidRPr="006B5BF6">
        <w:rPr>
          <w:rFonts w:cs="Times New Roman"/>
          <w:lang w:val="fr-CA"/>
        </w:rPr>
        <w:lastRenderedPageBreak/>
        <w:t>[</w:t>
      </w:r>
      <w:r w:rsidRPr="006B5BF6">
        <w:rPr>
          <w:rFonts w:cs="Times New Roman"/>
          <w:smallCaps/>
          <w:lang w:val="fr-CA"/>
        </w:rPr>
        <w:t>traduction</w:t>
      </w:r>
      <w:r w:rsidRPr="006B5BF6">
        <w:rPr>
          <w:rFonts w:cs="Times New Roman"/>
          <w:lang w:val="fr-CA"/>
        </w:rPr>
        <w:t xml:space="preserve">] « met en péril la déférence » (Paul Daly, « Unreasonable Interpretations of Law » (2014), 66 </w:t>
      </w:r>
      <w:r w:rsidRPr="006B5BF6">
        <w:rPr>
          <w:rFonts w:cs="Times New Roman"/>
          <w:i/>
          <w:lang w:val="fr-CA"/>
        </w:rPr>
        <w:t>S.C.L.R.</w:t>
      </w:r>
      <w:r w:rsidRPr="006B5BF6">
        <w:rPr>
          <w:rFonts w:cs="Times New Roman"/>
          <w:lang w:val="fr-CA"/>
        </w:rPr>
        <w:t xml:space="preserve"> (2d) 233, </w:t>
      </w:r>
      <w:r w:rsidR="000E0B23">
        <w:rPr>
          <w:rFonts w:cs="Times New Roman"/>
          <w:lang w:val="fr-CA"/>
        </w:rPr>
        <w:t>p. 250</w:t>
      </w:r>
      <w:r w:rsidRPr="006B5BF6">
        <w:rPr>
          <w:rFonts w:cs="Times New Roman"/>
          <w:lang w:val="fr-CA"/>
        </w:rPr>
        <w:t>).</w:t>
      </w:r>
    </w:p>
    <w:p w14:paraId="0A2B27B4" w14:textId="560A4559" w:rsidR="00AE2373" w:rsidRPr="006B5BF6" w:rsidRDefault="00AE2373" w:rsidP="00AE2373">
      <w:pPr>
        <w:pStyle w:val="ParaNoNdepar-AltN"/>
        <w:tabs>
          <w:tab w:val="clear" w:pos="1422"/>
        </w:tabs>
        <w:spacing w:before="0"/>
        <w:rPr>
          <w:rFonts w:cs="Times New Roman"/>
          <w:lang w:val="fr-CA"/>
        </w:rPr>
      </w:pPr>
      <w:r w:rsidRPr="006B5BF6">
        <w:rPr>
          <w:rFonts w:cs="Times New Roman"/>
          <w:lang w:val="fr-CA"/>
        </w:rPr>
        <w:t>Nous convenons avec le juge Evans que [</w:t>
      </w:r>
      <w:r w:rsidRPr="006B5BF6">
        <w:rPr>
          <w:rFonts w:cs="Times New Roman"/>
          <w:smallCaps/>
          <w:lang w:val="fr-CA"/>
        </w:rPr>
        <w:t>traduction</w:t>
      </w:r>
      <w:r w:rsidRPr="006B5BF6">
        <w:rPr>
          <w:rFonts w:cs="Times New Roman"/>
          <w:lang w:val="fr-CA"/>
        </w:rPr>
        <w:t>] « dès lors que la cour se lance dans sa propre interprétation de la loi pour déterminer si la décision du tribunal administratif était raisonnable, il semble y avoir peu de place pour la déférence »</w:t>
      </w:r>
      <w:r w:rsidRPr="006B5BF6">
        <w:rPr>
          <w:rFonts w:eastAsia="Times New Roman" w:cs="Times New Roman"/>
          <w:lang w:val="fr-CA"/>
        </w:rPr>
        <w:t xml:space="preserve"> (Evans, « Triumph of Reasonableness</w:t>
      </w:r>
      <w:r w:rsidR="00C17879">
        <w:rPr>
          <w:rFonts w:eastAsia="Times New Roman" w:cs="Times New Roman"/>
          <w:lang w:val="fr-CA"/>
        </w:rPr>
        <w:t> </w:t>
      </w:r>
      <w:r w:rsidRPr="006B5BF6">
        <w:rPr>
          <w:rFonts w:eastAsia="Times New Roman" w:cs="Times New Roman"/>
          <w:lang w:val="fr-CA"/>
        </w:rPr>
        <w:t xml:space="preserve">: But How Much Does It Really Matter? », p. 109; voir également </w:t>
      </w:r>
      <w:r w:rsidRPr="006B5BF6">
        <w:rPr>
          <w:rFonts w:eastAsia="Times New Roman" w:cs="Times New Roman"/>
          <w:i/>
          <w:lang w:val="fr-CA"/>
        </w:rPr>
        <w:t>Mason</w:t>
      </w:r>
      <w:r w:rsidRPr="006B5BF6">
        <w:rPr>
          <w:rFonts w:eastAsia="Times New Roman" w:cs="Times New Roman"/>
          <w:lang w:val="fr-CA"/>
        </w:rPr>
        <w:t>, par. 34; Dyzenhaus, « Dignity in Administrative Law</w:t>
      </w:r>
      <w:r w:rsidR="00C17879">
        <w:rPr>
          <w:rFonts w:eastAsia="Times New Roman" w:cs="Times New Roman"/>
          <w:lang w:val="fr-CA"/>
        </w:rPr>
        <w:t> </w:t>
      </w:r>
      <w:r w:rsidRPr="006B5BF6">
        <w:rPr>
          <w:rFonts w:eastAsia="Times New Roman" w:cs="Times New Roman"/>
          <w:lang w:val="fr-CA"/>
        </w:rPr>
        <w:t>: Judicial Deference in a Culture of Justification », p. 108; Daly, « Unreasonable Interpretations of Law », p. 254</w:t>
      </w:r>
      <w:r w:rsidRPr="006B5BF6">
        <w:rPr>
          <w:rFonts w:eastAsia="Times New Roman" w:cs="Times New Roman"/>
          <w:lang w:val="fr-CA"/>
        </w:rPr>
        <w:noBreakHyphen/>
        <w:t>255). Ajoutons qu</w:t>
      </w:r>
      <w:r>
        <w:rPr>
          <w:rFonts w:eastAsia="Times New Roman" w:cs="Times New Roman"/>
          <w:lang w:val="fr-CA"/>
        </w:rPr>
        <w:t>’</w:t>
      </w:r>
      <w:r w:rsidRPr="006B5BF6">
        <w:rPr>
          <w:rFonts w:eastAsia="Times New Roman" w:cs="Times New Roman"/>
          <w:lang w:val="fr-CA"/>
        </w:rPr>
        <w:t xml:space="preserve">une interprétation </w:t>
      </w:r>
      <w:r w:rsidRPr="006B5BF6">
        <w:rPr>
          <w:rFonts w:cs="Times New Roman"/>
          <w:i/>
          <w:lang w:val="fr-CA"/>
        </w:rPr>
        <w:t xml:space="preserve">de novo </w:t>
      </w:r>
      <w:r w:rsidRPr="006B5BF6">
        <w:rPr>
          <w:rFonts w:cs="Times New Roman"/>
          <w:lang w:val="fr-CA"/>
        </w:rPr>
        <w:t>d</w:t>
      </w:r>
      <w:r>
        <w:rPr>
          <w:rFonts w:cs="Times New Roman"/>
          <w:lang w:val="fr-CA"/>
        </w:rPr>
        <w:t>’</w:t>
      </w:r>
      <w:r w:rsidRPr="006B5BF6">
        <w:rPr>
          <w:rFonts w:cs="Times New Roman"/>
          <w:lang w:val="fr-CA"/>
        </w:rPr>
        <w:t>une loi, effectuée avant un contrôle effectué selon le principe de la déférence, occulte nécessairement un élément essentiel du processus d</w:t>
      </w:r>
      <w:r>
        <w:rPr>
          <w:rFonts w:cs="Times New Roman"/>
          <w:lang w:val="fr-CA"/>
        </w:rPr>
        <w:t>’</w:t>
      </w:r>
      <w:r w:rsidRPr="006B5BF6">
        <w:rPr>
          <w:rFonts w:cs="Times New Roman"/>
          <w:lang w:val="fr-CA"/>
        </w:rPr>
        <w:t>interprétation : le point de vue de l</w:t>
      </w:r>
      <w:r>
        <w:rPr>
          <w:rFonts w:cs="Times New Roman"/>
          <w:lang w:val="fr-CA"/>
        </w:rPr>
        <w:t>’</w:t>
      </w:r>
      <w:r w:rsidRPr="006B5BF6">
        <w:rPr>
          <w:rFonts w:cs="Times New Roman"/>
          <w:lang w:val="fr-CA"/>
        </w:rPr>
        <w:t>organisme administratif spécialisé qui applique régulièrement le régime législatif en question (Dyzenhaus, « Politics of Deference</w:t>
      </w:r>
      <w:r w:rsidR="004C320D">
        <w:rPr>
          <w:rFonts w:cs="Times New Roman"/>
          <w:lang w:val="fr-CA"/>
        </w:rPr>
        <w:t xml:space="preserve"> : </w:t>
      </w:r>
      <w:r w:rsidRPr="006B5BF6">
        <w:rPr>
          <w:rFonts w:cs="Times New Roman"/>
          <w:lang w:val="fr-CA"/>
        </w:rPr>
        <w:t xml:space="preserve">Judicial Review and Democracy », p. 304; Paul Daly, « Deference on Questions of Law » (2011), 74 </w:t>
      </w:r>
      <w:r w:rsidRPr="006B5BF6">
        <w:rPr>
          <w:rFonts w:cs="Times New Roman"/>
          <w:i/>
          <w:lang w:val="fr-CA"/>
        </w:rPr>
        <w:t xml:space="preserve">Mod. L. Rev. </w:t>
      </w:r>
      <w:r w:rsidRPr="006B5BF6">
        <w:rPr>
          <w:rFonts w:cs="Times New Roman"/>
          <w:lang w:val="fr-CA"/>
        </w:rPr>
        <w:t>694). En plaçant ce point de vue au cœur de leur analyse, les cours de justice témoignent de leur respect à l</w:t>
      </w:r>
      <w:r>
        <w:rPr>
          <w:rFonts w:cs="Times New Roman"/>
          <w:lang w:val="fr-CA"/>
        </w:rPr>
        <w:t>’</w:t>
      </w:r>
      <w:r w:rsidRPr="006B5BF6">
        <w:rPr>
          <w:rFonts w:cs="Times New Roman"/>
          <w:lang w:val="fr-CA"/>
        </w:rPr>
        <w:t>endroit des compétences et connaissances spécialisées des organismes administratifs ainsi qu</w:t>
      </w:r>
      <w:r>
        <w:rPr>
          <w:rFonts w:cs="Times New Roman"/>
          <w:lang w:val="fr-CA"/>
        </w:rPr>
        <w:t>’</w:t>
      </w:r>
      <w:r w:rsidRPr="006B5BF6">
        <w:rPr>
          <w:rFonts w:cs="Times New Roman"/>
          <w:lang w:val="fr-CA"/>
        </w:rPr>
        <w:t>à l</w:t>
      </w:r>
      <w:r>
        <w:rPr>
          <w:rFonts w:cs="Times New Roman"/>
          <w:lang w:val="fr-CA"/>
        </w:rPr>
        <w:t>’</w:t>
      </w:r>
      <w:r w:rsidRPr="006B5BF6">
        <w:rPr>
          <w:rFonts w:cs="Times New Roman"/>
          <w:lang w:val="fr-CA"/>
        </w:rPr>
        <w:t>égard du choix du législateur de déléguer le traitement de certaines questions à des organismes non judiciaires.</w:t>
      </w:r>
    </w:p>
    <w:p w14:paraId="349EE714" w14:textId="77777777" w:rsidR="00AE2373" w:rsidRPr="006B5BF6" w:rsidRDefault="00AE2373" w:rsidP="00AE2373">
      <w:pPr>
        <w:pStyle w:val="ParaNoNdepar-AltN"/>
        <w:tabs>
          <w:tab w:val="clear" w:pos="1422"/>
        </w:tabs>
        <w:spacing w:before="0"/>
        <w:rPr>
          <w:rFonts w:cs="Times New Roman"/>
          <w:lang w:val="fr-CA"/>
        </w:rPr>
      </w:pPr>
      <w:r w:rsidRPr="006B5BF6">
        <w:rPr>
          <w:rFonts w:cs="Times New Roman"/>
          <w:lang w:val="fr-CA"/>
        </w:rPr>
        <w:t>À l</w:t>
      </w:r>
      <w:r>
        <w:rPr>
          <w:rFonts w:cs="Times New Roman"/>
          <w:lang w:val="fr-CA"/>
        </w:rPr>
        <w:t>’</w:t>
      </w:r>
      <w:r w:rsidRPr="006B5BF6">
        <w:rPr>
          <w:rFonts w:cs="Times New Roman"/>
          <w:lang w:val="fr-CA"/>
        </w:rPr>
        <w:t>inverse, en imposant leur propre interprétation d</w:t>
      </w:r>
      <w:r>
        <w:rPr>
          <w:rFonts w:cs="Times New Roman"/>
          <w:lang w:val="fr-CA"/>
        </w:rPr>
        <w:t>’</w:t>
      </w:r>
      <w:r w:rsidRPr="006B5BF6">
        <w:rPr>
          <w:rFonts w:cs="Times New Roman"/>
          <w:lang w:val="fr-CA"/>
        </w:rPr>
        <w:t xml:space="preserve">une disposition législative, les cours de justice </w:t>
      </w:r>
      <w:r w:rsidRPr="006B5BF6">
        <w:rPr>
          <w:rFonts w:cs="Times New Roman"/>
          <w:i/>
          <w:iCs/>
          <w:lang w:val="fr-CA"/>
        </w:rPr>
        <w:t>dénaturent</w:t>
      </w:r>
      <w:r w:rsidRPr="006B5BF6">
        <w:rPr>
          <w:rFonts w:cs="Times New Roman"/>
          <w:lang w:val="fr-CA"/>
        </w:rPr>
        <w:t xml:space="preserve"> l</w:t>
      </w:r>
      <w:r>
        <w:rPr>
          <w:rFonts w:cs="Times New Roman"/>
          <w:lang w:val="fr-CA"/>
        </w:rPr>
        <w:t>’</w:t>
      </w:r>
      <w:r w:rsidRPr="006B5BF6">
        <w:rPr>
          <w:rFonts w:cs="Times New Roman"/>
          <w:lang w:val="fr-CA"/>
        </w:rPr>
        <w:t>intention du législateur de confier un mandat au décideur. Dans presque tous les cas, il est nécessaire d</w:t>
      </w:r>
      <w:r>
        <w:rPr>
          <w:rFonts w:cs="Times New Roman"/>
          <w:lang w:val="fr-CA"/>
        </w:rPr>
        <w:t>’</w:t>
      </w:r>
      <w:r w:rsidRPr="006B5BF6">
        <w:rPr>
          <w:rFonts w:cs="Times New Roman"/>
          <w:lang w:val="fr-CA"/>
        </w:rPr>
        <w:t>interpréter les dispositions d</w:t>
      </w:r>
      <w:r>
        <w:rPr>
          <w:rFonts w:cs="Times New Roman"/>
          <w:lang w:val="fr-CA"/>
        </w:rPr>
        <w:t>’</w:t>
      </w:r>
      <w:r w:rsidRPr="006B5BF6">
        <w:rPr>
          <w:rFonts w:cs="Times New Roman"/>
          <w:lang w:val="fr-CA"/>
        </w:rPr>
        <w:t xml:space="preserve">une loi pour les appliquer, de sorte que le mandat que le législateur confie aux décideurs administratifs comporte foncièrement une fonction </w:t>
      </w:r>
      <w:r w:rsidRPr="006B5BF6">
        <w:rPr>
          <w:rFonts w:cs="Times New Roman"/>
          <w:lang w:val="fr-CA"/>
        </w:rPr>
        <w:lastRenderedPageBreak/>
        <w:t>d</w:t>
      </w:r>
      <w:r>
        <w:rPr>
          <w:rFonts w:cs="Times New Roman"/>
          <w:lang w:val="fr-CA"/>
        </w:rPr>
        <w:t>’</w:t>
      </w:r>
      <w:r w:rsidRPr="006B5BF6">
        <w:rPr>
          <w:rFonts w:cs="Times New Roman"/>
          <w:lang w:val="fr-CA"/>
        </w:rPr>
        <w:t>interprétation. Le décideur qui applique la loi est la principale personne chargée d</w:t>
      </w:r>
      <w:r>
        <w:rPr>
          <w:rFonts w:cs="Times New Roman"/>
          <w:lang w:val="fr-CA"/>
        </w:rPr>
        <w:t>’</w:t>
      </w:r>
      <w:r w:rsidRPr="006B5BF6">
        <w:rPr>
          <w:rFonts w:cs="Times New Roman"/>
          <w:lang w:val="fr-CA"/>
        </w:rPr>
        <w:t>en interpréter les dispositions afin de s</w:t>
      </w:r>
      <w:r>
        <w:rPr>
          <w:rFonts w:cs="Times New Roman"/>
          <w:lang w:val="fr-CA"/>
        </w:rPr>
        <w:t>’</w:t>
      </w:r>
      <w:r w:rsidRPr="006B5BF6">
        <w:rPr>
          <w:rFonts w:cs="Times New Roman"/>
          <w:lang w:val="fr-CA"/>
        </w:rPr>
        <w:t>acquitter efficacement de son mandat.</w:t>
      </w:r>
    </w:p>
    <w:p w14:paraId="4F13B711" w14:textId="77777777" w:rsidR="00AE2373" w:rsidRPr="006B5BF6" w:rsidRDefault="00AE2373" w:rsidP="00AE2373">
      <w:pPr>
        <w:pStyle w:val="ParaNoNdepar-AltN"/>
        <w:tabs>
          <w:tab w:val="clear" w:pos="1422"/>
        </w:tabs>
        <w:spacing w:before="0"/>
        <w:rPr>
          <w:rFonts w:cs="Times New Roman"/>
          <w:lang w:val="fr-CA"/>
        </w:rPr>
      </w:pPr>
      <w:r w:rsidRPr="006B5BF6">
        <w:rPr>
          <w:rFonts w:cs="Times New Roman"/>
          <w:lang w:val="fr-CA"/>
        </w:rPr>
        <w:t>Lorsqu</w:t>
      </w:r>
      <w:r>
        <w:rPr>
          <w:rFonts w:cs="Times New Roman"/>
          <w:lang w:val="fr-CA"/>
        </w:rPr>
        <w:t>’</w:t>
      </w:r>
      <w:r w:rsidRPr="006B5BF6">
        <w:rPr>
          <w:rFonts w:cs="Times New Roman"/>
          <w:lang w:val="fr-CA"/>
        </w:rPr>
        <w:t>ils interprètent des dispositions législatives, les décideurs administratifs devraient donc être autorisés à tabler sur leur compétence spécialisée et sur la connaissance qu</w:t>
      </w:r>
      <w:r>
        <w:rPr>
          <w:rFonts w:cs="Times New Roman"/>
          <w:lang w:val="fr-CA"/>
        </w:rPr>
        <w:t>’</w:t>
      </w:r>
      <w:r w:rsidRPr="006B5BF6">
        <w:rPr>
          <w:rFonts w:cs="Times New Roman"/>
          <w:lang w:val="fr-CA"/>
        </w:rPr>
        <w:t>ils ont des réalités pratiques de leur régime administratif. Assez souvent, les mots et les termes ont une signification tout à fait différente de leur « sens ordinaire » lorsqu</w:t>
      </w:r>
      <w:r>
        <w:rPr>
          <w:rFonts w:cs="Times New Roman"/>
          <w:lang w:val="fr-CA"/>
        </w:rPr>
        <w:t>’</w:t>
      </w:r>
      <w:r w:rsidRPr="006B5BF6">
        <w:rPr>
          <w:rFonts w:cs="Times New Roman"/>
          <w:lang w:val="fr-CA"/>
        </w:rPr>
        <w:t>ils sont employés dans un domaine spécialisé. Dans certains cas, les règles de droit et les politiques sont si étroitement liées entre elles qu</w:t>
      </w:r>
      <w:r>
        <w:rPr>
          <w:rFonts w:cs="Times New Roman"/>
          <w:lang w:val="fr-CA"/>
        </w:rPr>
        <w:t>’</w:t>
      </w:r>
      <w:r w:rsidRPr="006B5BF6">
        <w:rPr>
          <w:rFonts w:cs="Times New Roman"/>
          <w:lang w:val="fr-CA"/>
        </w:rPr>
        <w:t>elles confèrent aux mots d</w:t>
      </w:r>
      <w:r>
        <w:rPr>
          <w:rFonts w:cs="Times New Roman"/>
          <w:lang w:val="fr-CA"/>
        </w:rPr>
        <w:t>’</w:t>
      </w:r>
      <w:r w:rsidRPr="006B5BF6">
        <w:rPr>
          <w:rFonts w:cs="Times New Roman"/>
          <w:lang w:val="fr-CA"/>
        </w:rPr>
        <w:t>une loi un sens unique qui est propre à un contexte particulier (</w:t>
      </w:r>
      <w:r w:rsidRPr="006B5BF6">
        <w:rPr>
          <w:rFonts w:cs="Times New Roman"/>
          <w:i/>
          <w:lang w:val="fr-CA"/>
        </w:rPr>
        <w:t>National Corn Growers</w:t>
      </w:r>
      <w:r w:rsidRPr="006B5BF6">
        <w:rPr>
          <w:rFonts w:cs="Times New Roman"/>
          <w:lang w:val="fr-CA"/>
        </w:rPr>
        <w:t xml:space="preserve">, p. 1336, </w:t>
      </w:r>
      <w:r w:rsidRPr="006B5BF6">
        <w:rPr>
          <w:rFonts w:cs="Times New Roman"/>
          <w:iCs/>
          <w:lang w:val="fr-CA"/>
        </w:rPr>
        <w:t>motifs concordants</w:t>
      </w:r>
      <w:r w:rsidRPr="006B5BF6">
        <w:rPr>
          <w:rFonts w:cs="Times New Roman"/>
          <w:i/>
          <w:lang w:val="fr-CA"/>
        </w:rPr>
        <w:t xml:space="preserve"> </w:t>
      </w:r>
      <w:r w:rsidRPr="006B5BF6">
        <w:rPr>
          <w:rFonts w:cs="Times New Roman"/>
          <w:lang w:val="fr-CA"/>
        </w:rPr>
        <w:t xml:space="preserve">de la juge Wilson; </w:t>
      </w:r>
      <w:r w:rsidRPr="006B5BF6">
        <w:rPr>
          <w:rFonts w:cs="Times New Roman"/>
          <w:i/>
          <w:spacing w:val="-3"/>
          <w:lang w:val="fr-CA"/>
        </w:rPr>
        <w:t>Domtar Inc.</w:t>
      </w:r>
      <w:r w:rsidRPr="006B5BF6">
        <w:rPr>
          <w:rFonts w:cs="Times New Roman"/>
          <w:spacing w:val="-3"/>
          <w:lang w:val="fr-CA"/>
        </w:rPr>
        <w:t>, p. 800). Qui plus est, non seulement les dispositions législatives peuvent</w:t>
      </w:r>
      <w:r w:rsidRPr="006B5BF6">
        <w:rPr>
          <w:rFonts w:cs="Times New Roman"/>
          <w:spacing w:val="-3"/>
          <w:lang w:val="fr-CA"/>
        </w:rPr>
        <w:noBreakHyphen/>
        <w:t>elles parfois se prêter à plusieurs interprétations raisonnables, mais elles peuvent aussi avoir été rédigées de manière générale ou [</w:t>
      </w:r>
      <w:r w:rsidRPr="006B5BF6">
        <w:rPr>
          <w:rFonts w:cs="Times New Roman"/>
          <w:smallCaps/>
          <w:spacing w:val="-3"/>
          <w:lang w:val="fr-CA"/>
        </w:rPr>
        <w:t>traduction</w:t>
      </w:r>
      <w:r w:rsidRPr="006B5BF6">
        <w:rPr>
          <w:rFonts w:cs="Times New Roman"/>
          <w:spacing w:val="-3"/>
          <w:lang w:val="fr-CA"/>
        </w:rPr>
        <w:t>] « délibérément ambiguë » afin de pouvoir être adaptées à des circonstances ultérieures inconnues (voir</w:t>
      </w:r>
      <w:r w:rsidRPr="006B5BF6">
        <w:rPr>
          <w:rFonts w:cs="Times New Roman"/>
          <w:lang w:val="fr-CA"/>
        </w:rPr>
        <w:t xml:space="preserve"> Felix Frankfurter, « Some Reflections on the Reading of Statutes » (1947), 47</w:t>
      </w:r>
      <w:r>
        <w:rPr>
          <w:rFonts w:cs="Times New Roman"/>
          <w:lang w:val="fr-CA"/>
        </w:rPr>
        <w:t xml:space="preserve"> </w:t>
      </w:r>
      <w:r w:rsidRPr="006B5BF6">
        <w:rPr>
          <w:rFonts w:cs="Times New Roman"/>
          <w:i/>
          <w:lang w:val="fr-CA"/>
        </w:rPr>
        <w:t xml:space="preserve">Colum. L. Rev. </w:t>
      </w:r>
      <w:r w:rsidRPr="006B5BF6">
        <w:rPr>
          <w:rFonts w:cs="Times New Roman"/>
          <w:lang w:val="fr-CA"/>
        </w:rPr>
        <w:t>527, p. 528). Pour toutes ces raisons, il est impératif que les cours de révision évitent d</w:t>
      </w:r>
      <w:r>
        <w:rPr>
          <w:rFonts w:cs="Times New Roman"/>
          <w:lang w:val="fr-CA"/>
        </w:rPr>
        <w:t>’</w:t>
      </w:r>
      <w:r w:rsidRPr="006B5BF6">
        <w:rPr>
          <w:rFonts w:cs="Times New Roman"/>
          <w:lang w:val="fr-CA"/>
        </w:rPr>
        <w:t>imposer des normes judiciaires aux décideurs administratifs ou d</w:t>
      </w:r>
      <w:r>
        <w:rPr>
          <w:rFonts w:cs="Times New Roman"/>
          <w:lang w:val="fr-CA"/>
        </w:rPr>
        <w:t>’</w:t>
      </w:r>
      <w:r w:rsidRPr="006B5BF6">
        <w:rPr>
          <w:rFonts w:cs="Times New Roman"/>
          <w:lang w:val="fr-CA"/>
        </w:rPr>
        <w:t>insister de façon dogmatique sur le formalisme. Lorsque le décideur peut expliquer sa décision de manière adéquate, cette décision devrait être confirmée (Daly, « Unreasonable Interpretations of Law », p. 233</w:t>
      </w:r>
      <w:r w:rsidRPr="006B5BF6">
        <w:rPr>
          <w:rFonts w:cs="Times New Roman"/>
          <w:lang w:val="fr-CA"/>
        </w:rPr>
        <w:noBreakHyphen/>
        <w:t>234, 250 et 254</w:t>
      </w:r>
      <w:r w:rsidRPr="006B5BF6">
        <w:rPr>
          <w:rFonts w:cs="Times New Roman"/>
          <w:lang w:val="fr-CA"/>
        </w:rPr>
        <w:noBreakHyphen/>
        <w:t>255).</w:t>
      </w:r>
    </w:p>
    <w:p w14:paraId="4262E7FC" w14:textId="1D75E55F" w:rsidR="00AE2373" w:rsidRPr="006B5BF6" w:rsidRDefault="00AE2373" w:rsidP="00AE2373">
      <w:pPr>
        <w:pStyle w:val="ParaNoNdepar-AltN"/>
        <w:tabs>
          <w:tab w:val="clear" w:pos="1422"/>
        </w:tabs>
        <w:spacing w:before="0"/>
        <w:rPr>
          <w:rFonts w:cs="Times New Roman"/>
          <w:lang w:val="fr-CA"/>
        </w:rPr>
      </w:pPr>
      <w:r w:rsidRPr="006B5BF6">
        <w:rPr>
          <w:rFonts w:cs="Times New Roman"/>
          <w:lang w:val="fr-CA"/>
        </w:rPr>
        <w:t>Les motifs de la décision qu</w:t>
      </w:r>
      <w:r>
        <w:rPr>
          <w:rFonts w:cs="Times New Roman"/>
          <w:lang w:val="fr-CA"/>
        </w:rPr>
        <w:t>’</w:t>
      </w:r>
      <w:r w:rsidRPr="006B5BF6">
        <w:rPr>
          <w:rFonts w:cs="Times New Roman"/>
          <w:lang w:val="fr-CA"/>
        </w:rPr>
        <w:t>a rendue le juge Brown dans l</w:t>
      </w:r>
      <w:r>
        <w:rPr>
          <w:rFonts w:cs="Times New Roman"/>
          <w:lang w:val="fr-CA"/>
        </w:rPr>
        <w:t>’</w:t>
      </w:r>
      <w:r w:rsidRPr="006B5BF6">
        <w:rPr>
          <w:rFonts w:cs="Times New Roman"/>
          <w:lang w:val="fr-CA"/>
        </w:rPr>
        <w:t xml:space="preserve">affaire </w:t>
      </w:r>
      <w:r w:rsidRPr="006B5BF6">
        <w:rPr>
          <w:rFonts w:cs="Times New Roman"/>
          <w:i/>
          <w:lang w:val="fr-CA"/>
        </w:rPr>
        <w:t>Igloo Vikski</w:t>
      </w:r>
      <w:r w:rsidRPr="006B5BF6">
        <w:rPr>
          <w:rFonts w:cs="Times New Roman"/>
          <w:lang w:val="fr-CA"/>
        </w:rPr>
        <w:t xml:space="preserve"> constituent un bon exemple d</w:t>
      </w:r>
      <w:r>
        <w:rPr>
          <w:rFonts w:cs="Times New Roman"/>
          <w:lang w:val="fr-CA"/>
        </w:rPr>
        <w:t>’</w:t>
      </w:r>
      <w:r w:rsidRPr="006B5BF6">
        <w:rPr>
          <w:rFonts w:cs="Times New Roman"/>
          <w:lang w:val="fr-CA"/>
        </w:rPr>
        <w:t>une attitude de déférence à privilégier en matière d</w:t>
      </w:r>
      <w:r>
        <w:rPr>
          <w:rFonts w:cs="Times New Roman"/>
          <w:lang w:val="fr-CA"/>
        </w:rPr>
        <w:t>’</w:t>
      </w:r>
      <w:r w:rsidRPr="006B5BF6">
        <w:rPr>
          <w:rFonts w:cs="Times New Roman"/>
          <w:lang w:val="fr-CA"/>
        </w:rPr>
        <w:t>interprétation législative. Cette affaire portait sur l</w:t>
      </w:r>
      <w:r>
        <w:rPr>
          <w:rFonts w:cs="Times New Roman"/>
          <w:lang w:val="fr-CA"/>
        </w:rPr>
        <w:t>’</w:t>
      </w:r>
      <w:r w:rsidRPr="006B5BF6">
        <w:rPr>
          <w:rFonts w:cs="Times New Roman"/>
          <w:lang w:val="fr-CA"/>
        </w:rPr>
        <w:t xml:space="preserve">interprétation du </w:t>
      </w:r>
      <w:r w:rsidRPr="006B5BF6">
        <w:rPr>
          <w:rFonts w:cs="Times New Roman"/>
          <w:i/>
          <w:lang w:val="fr-CA"/>
        </w:rPr>
        <w:t xml:space="preserve">Tarif des </w:t>
      </w:r>
      <w:r w:rsidRPr="006B5BF6">
        <w:rPr>
          <w:rFonts w:cs="Times New Roman"/>
          <w:i/>
          <w:lang w:val="fr-CA"/>
        </w:rPr>
        <w:lastRenderedPageBreak/>
        <w:t>douanes</w:t>
      </w:r>
      <w:r w:rsidR="0007101D">
        <w:rPr>
          <w:rFonts w:cs="Times New Roman"/>
          <w:lang w:val="fr-CA"/>
        </w:rPr>
        <w:t>, L.C. 1997, c</w:t>
      </w:r>
      <w:r w:rsidRPr="006B5BF6">
        <w:rPr>
          <w:rFonts w:cs="Times New Roman"/>
          <w:lang w:val="fr-CA"/>
        </w:rPr>
        <w:t>. 36, à l</w:t>
      </w:r>
      <w:r>
        <w:rPr>
          <w:rFonts w:cs="Times New Roman"/>
          <w:lang w:val="fr-CA"/>
        </w:rPr>
        <w:t>’</w:t>
      </w:r>
      <w:r w:rsidRPr="006B5BF6">
        <w:rPr>
          <w:rFonts w:cs="Times New Roman"/>
          <w:lang w:val="fr-CA"/>
        </w:rPr>
        <w:t>égard de gants de gardien de but pour le hockey. L</w:t>
      </w:r>
      <w:r>
        <w:rPr>
          <w:rFonts w:cs="Times New Roman"/>
          <w:lang w:val="fr-CA"/>
        </w:rPr>
        <w:t>’</w:t>
      </w:r>
      <w:r w:rsidRPr="006B5BF6">
        <w:rPr>
          <w:rFonts w:cs="Times New Roman"/>
          <w:lang w:val="fr-CA"/>
        </w:rPr>
        <w:t>Agence des services frontaliers du Canada avait classé les gants comme des « gants, mitaines et moufles ». Igloo Vikski soutenait qu</w:t>
      </w:r>
      <w:r>
        <w:rPr>
          <w:rFonts w:cs="Times New Roman"/>
          <w:lang w:val="fr-CA"/>
        </w:rPr>
        <w:t>’</w:t>
      </w:r>
      <w:r w:rsidRPr="006B5BF6">
        <w:rPr>
          <w:rFonts w:cs="Times New Roman"/>
          <w:lang w:val="fr-CA"/>
        </w:rPr>
        <w:t>ils auraient dû être classés comme des articles de sport. Le Tribunal canadien du commerce extérieur (</w:t>
      </w:r>
      <w:r w:rsidR="00B03AAC">
        <w:rPr>
          <w:rFonts w:cs="Times New Roman"/>
          <w:lang w:val="fr-CA"/>
        </w:rPr>
        <w:t>« </w:t>
      </w:r>
      <w:r w:rsidRPr="006B5BF6">
        <w:rPr>
          <w:rFonts w:cs="Times New Roman"/>
          <w:lang w:val="fr-CA"/>
        </w:rPr>
        <w:t>TCCE</w:t>
      </w:r>
      <w:r w:rsidR="00B03AAC">
        <w:rPr>
          <w:rFonts w:cs="Times New Roman"/>
          <w:lang w:val="fr-CA"/>
        </w:rPr>
        <w:t> »</w:t>
      </w:r>
      <w:r w:rsidRPr="006B5BF6">
        <w:rPr>
          <w:rFonts w:cs="Times New Roman"/>
          <w:lang w:val="fr-CA"/>
        </w:rPr>
        <w:t>) a confirmé la classification initiale, mais la Cour d</w:t>
      </w:r>
      <w:r>
        <w:rPr>
          <w:rFonts w:cs="Times New Roman"/>
          <w:lang w:val="fr-CA"/>
        </w:rPr>
        <w:t>’</w:t>
      </w:r>
      <w:r w:rsidRPr="006B5BF6">
        <w:rPr>
          <w:rFonts w:cs="Times New Roman"/>
          <w:lang w:val="fr-CA"/>
        </w:rPr>
        <w:t>appel fédérale a infirmé la décision.</w:t>
      </w:r>
    </w:p>
    <w:p w14:paraId="676A7C18" w14:textId="77777777" w:rsidR="00AE2373" w:rsidRPr="006B5BF6" w:rsidRDefault="00AE2373" w:rsidP="00AE2373">
      <w:pPr>
        <w:pStyle w:val="ParaNoNdepar-AltN"/>
        <w:tabs>
          <w:tab w:val="clear" w:pos="1422"/>
        </w:tabs>
        <w:spacing w:before="0"/>
        <w:rPr>
          <w:rFonts w:cs="Times New Roman"/>
          <w:lang w:val="fr-CA"/>
        </w:rPr>
      </w:pPr>
      <w:r w:rsidRPr="006B5BF6">
        <w:rPr>
          <w:rFonts w:cs="Times New Roman"/>
          <w:lang w:val="fr-CA"/>
        </w:rPr>
        <w:t>Reconnaissant que « l</w:t>
      </w:r>
      <w:r>
        <w:rPr>
          <w:rFonts w:cs="Times New Roman"/>
          <w:lang w:val="fr-CA"/>
        </w:rPr>
        <w:t>’</w:t>
      </w:r>
      <w:r w:rsidRPr="006B5BF6">
        <w:rPr>
          <w:rFonts w:cs="Times New Roman"/>
          <w:lang w:val="fr-CA"/>
        </w:rPr>
        <w:t>expertise spécialisée » du TCCE donnait à celui</w:t>
      </w:r>
      <w:r w:rsidRPr="006B5BF6">
        <w:rPr>
          <w:rFonts w:cs="Times New Roman"/>
          <w:lang w:val="fr-CA"/>
        </w:rPr>
        <w:noBreakHyphen/>
        <w:t>ci un avantage sur la cour de révision relativement à certaines questions de droit, le juge Brown a décidé que la norme de contrôle était celle de la décision raisonnable. S</w:t>
      </w:r>
      <w:r>
        <w:rPr>
          <w:rFonts w:cs="Times New Roman"/>
          <w:lang w:val="fr-CA"/>
        </w:rPr>
        <w:t>’</w:t>
      </w:r>
      <w:r w:rsidRPr="006B5BF6">
        <w:rPr>
          <w:rFonts w:cs="Times New Roman"/>
          <w:lang w:val="fr-CA"/>
        </w:rPr>
        <w:t>exprimant au nom de sept autres membres de la Cour, il a soigneusement passé en revue les motifs de la décision du TCCE et la façon dont le Tribunal avait analysé les arguments d</w:t>
      </w:r>
      <w:r>
        <w:rPr>
          <w:rFonts w:cs="Times New Roman"/>
          <w:lang w:val="fr-CA"/>
        </w:rPr>
        <w:t>’</w:t>
      </w:r>
      <w:r w:rsidRPr="006B5BF6">
        <w:rPr>
          <w:rFonts w:cs="Times New Roman"/>
          <w:lang w:val="fr-CA"/>
        </w:rPr>
        <w:t>Igloo Vikski, avant de se pencher sur les erreurs invoquées par celle</w:t>
      </w:r>
      <w:r w:rsidRPr="006B5BF6">
        <w:rPr>
          <w:rFonts w:cs="Times New Roman"/>
          <w:lang w:val="fr-CA"/>
        </w:rPr>
        <w:noBreakHyphen/>
        <w:t>ci et par la Cour d</w:t>
      </w:r>
      <w:r>
        <w:rPr>
          <w:rFonts w:cs="Times New Roman"/>
          <w:lang w:val="fr-CA"/>
        </w:rPr>
        <w:t>’</w:t>
      </w:r>
      <w:r w:rsidRPr="006B5BF6">
        <w:rPr>
          <w:rFonts w:cs="Times New Roman"/>
          <w:lang w:val="fr-CA"/>
        </w:rPr>
        <w:t>appel fédérale. Reconnaissant que les motifs de la décision du TCCE n</w:t>
      </w:r>
      <w:r>
        <w:rPr>
          <w:rFonts w:cs="Times New Roman"/>
          <w:lang w:val="fr-CA"/>
        </w:rPr>
        <w:t>’</w:t>
      </w:r>
      <w:r w:rsidRPr="006B5BF6">
        <w:rPr>
          <w:rFonts w:cs="Times New Roman"/>
          <w:lang w:val="fr-CA"/>
        </w:rPr>
        <w:t>étaient pas « parfaitement limpides », le juge Brown a néanmoins conclu que l</w:t>
      </w:r>
      <w:r>
        <w:rPr>
          <w:rFonts w:cs="Times New Roman"/>
          <w:lang w:val="fr-CA"/>
        </w:rPr>
        <w:t>’</w:t>
      </w:r>
      <w:r w:rsidRPr="006B5BF6">
        <w:rPr>
          <w:rFonts w:cs="Times New Roman"/>
          <w:lang w:val="fr-CA"/>
        </w:rPr>
        <w:t>interprétation du Tribunal était raisonnable. Tout en convenant avec Igloo Vikski qu</w:t>
      </w:r>
      <w:r>
        <w:rPr>
          <w:rFonts w:cs="Times New Roman"/>
          <w:lang w:val="fr-CA"/>
        </w:rPr>
        <w:t>’</w:t>
      </w:r>
      <w:r w:rsidRPr="006B5BF6">
        <w:rPr>
          <w:rFonts w:cs="Times New Roman"/>
          <w:lang w:val="fr-CA"/>
        </w:rPr>
        <w:t>une autre interprétation que celle donnée par le TCCE était possible, il a précisé que, compte tenu de sa formulation générale, la loi applicable avait une portée suffisamment large pour englober l</w:t>
      </w:r>
      <w:r>
        <w:rPr>
          <w:rFonts w:cs="Times New Roman"/>
          <w:lang w:val="fr-CA"/>
        </w:rPr>
        <w:t>’</w:t>
      </w:r>
      <w:r w:rsidRPr="006B5BF6">
        <w:rPr>
          <w:rFonts w:cs="Times New Roman"/>
          <w:lang w:val="fr-CA"/>
        </w:rPr>
        <w:t>interprétation raisonnable faite par le TCCE. L</w:t>
      </w:r>
      <w:r>
        <w:rPr>
          <w:rFonts w:cs="Times New Roman"/>
          <w:lang w:val="fr-CA"/>
        </w:rPr>
        <w:t>’</w:t>
      </w:r>
      <w:r w:rsidRPr="006B5BF6">
        <w:rPr>
          <w:rFonts w:cs="Times New Roman"/>
          <w:lang w:val="fr-CA"/>
        </w:rPr>
        <w:t xml:space="preserve">arrêt </w:t>
      </w:r>
      <w:r w:rsidRPr="006B5BF6">
        <w:rPr>
          <w:rFonts w:cs="Times New Roman"/>
          <w:i/>
          <w:lang w:val="fr-CA"/>
        </w:rPr>
        <w:t xml:space="preserve">Igloo Vikski, </w:t>
      </w:r>
      <w:r w:rsidRPr="006B5BF6">
        <w:rPr>
          <w:rFonts w:cs="Times New Roman"/>
          <w:lang w:val="fr-CA"/>
        </w:rPr>
        <w:t>dans lequel le juge Brown résume d</w:t>
      </w:r>
      <w:r>
        <w:rPr>
          <w:rFonts w:cs="Times New Roman"/>
          <w:lang w:val="fr-CA"/>
        </w:rPr>
        <w:t>’</w:t>
      </w:r>
      <w:r w:rsidRPr="006B5BF6">
        <w:rPr>
          <w:rFonts w:cs="Times New Roman"/>
          <w:lang w:val="fr-CA"/>
        </w:rPr>
        <w:t>abord les motifs exposés au soutien de l</w:t>
      </w:r>
      <w:r>
        <w:rPr>
          <w:rFonts w:cs="Times New Roman"/>
          <w:lang w:val="fr-CA"/>
        </w:rPr>
        <w:t>’</w:t>
      </w:r>
      <w:r w:rsidRPr="006B5BF6">
        <w:rPr>
          <w:rFonts w:cs="Times New Roman"/>
          <w:lang w:val="fr-CA"/>
        </w:rPr>
        <w:t>interprétation, puis les arguments invoqués pour la contester, eu égard au contexte, représente un excellent exemple d</w:t>
      </w:r>
      <w:r>
        <w:rPr>
          <w:rFonts w:cs="Times New Roman"/>
          <w:lang w:val="fr-CA"/>
        </w:rPr>
        <w:t>’</w:t>
      </w:r>
      <w:r w:rsidRPr="006B5BF6">
        <w:rPr>
          <w:rFonts w:cs="Times New Roman"/>
          <w:lang w:val="fr-CA"/>
        </w:rPr>
        <w:t>un contrôle judiciaire respectueux et empreint de la déférence souhaitable.</w:t>
      </w:r>
    </w:p>
    <w:p w14:paraId="7B27A4D8" w14:textId="77777777" w:rsidR="00AE2373" w:rsidRPr="006B5BF6" w:rsidRDefault="00AE2373" w:rsidP="00AE2373">
      <w:pPr>
        <w:pStyle w:val="ParaNoNdepar-AltN"/>
        <w:tabs>
          <w:tab w:val="clear" w:pos="1422"/>
        </w:tabs>
        <w:spacing w:before="0"/>
        <w:rPr>
          <w:rFonts w:cs="Times New Roman"/>
          <w:lang w:val="fr-CA"/>
        </w:rPr>
      </w:pPr>
      <w:r w:rsidRPr="006B5BF6">
        <w:rPr>
          <w:rFonts w:cs="Times New Roman"/>
          <w:lang w:val="fr-CA"/>
        </w:rPr>
        <w:t>Nous concluons notre examen du contrôle selon la norme de la raisonnabilité en passant aux situations dans lesquelles le décideur n</w:t>
      </w:r>
      <w:r>
        <w:rPr>
          <w:rFonts w:cs="Times New Roman"/>
          <w:lang w:val="fr-CA"/>
        </w:rPr>
        <w:t>’</w:t>
      </w:r>
      <w:r w:rsidRPr="006B5BF6">
        <w:rPr>
          <w:rFonts w:cs="Times New Roman"/>
          <w:lang w:val="fr-CA"/>
        </w:rPr>
        <w:t xml:space="preserve">est pas tenu de </w:t>
      </w:r>
      <w:r w:rsidRPr="006B5BF6">
        <w:rPr>
          <w:rFonts w:cs="Times New Roman"/>
          <w:lang w:val="fr-CA"/>
        </w:rPr>
        <w:lastRenderedPageBreak/>
        <w:t>motiver sa décision ou dans lesquelles il est impossible d</w:t>
      </w:r>
      <w:r>
        <w:rPr>
          <w:rFonts w:cs="Times New Roman"/>
          <w:lang w:val="fr-CA"/>
        </w:rPr>
        <w:t>’</w:t>
      </w:r>
      <w:r w:rsidRPr="006B5BF6">
        <w:rPr>
          <w:rFonts w:cs="Times New Roman"/>
          <w:lang w:val="fr-CA"/>
        </w:rPr>
        <w:t>obtenir les motifs de la décision aux fins de contrôle judiciaire. En pareil cas, la cour de révision devrait s</w:t>
      </w:r>
      <w:r>
        <w:rPr>
          <w:rFonts w:cs="Times New Roman"/>
          <w:lang w:val="fr-CA"/>
        </w:rPr>
        <w:t>’</w:t>
      </w:r>
      <w:r w:rsidRPr="006B5BF6">
        <w:rPr>
          <w:rFonts w:cs="Times New Roman"/>
          <w:lang w:val="fr-CA"/>
        </w:rPr>
        <w:t>en tenir à la question de savoir s</w:t>
      </w:r>
      <w:r>
        <w:rPr>
          <w:rFonts w:cs="Times New Roman"/>
          <w:lang w:val="fr-CA"/>
        </w:rPr>
        <w:t>’</w:t>
      </w:r>
      <w:r w:rsidRPr="006B5BF6">
        <w:rPr>
          <w:rFonts w:cs="Times New Roman"/>
          <w:lang w:val="fr-CA"/>
        </w:rPr>
        <w:t>il a été établi que la décision est déraisonnable. Le caractère raisonnable de la décision peut être démontré à l</w:t>
      </w:r>
      <w:r>
        <w:rPr>
          <w:rFonts w:cs="Times New Roman"/>
          <w:lang w:val="fr-CA"/>
        </w:rPr>
        <w:t>’</w:t>
      </w:r>
      <w:r w:rsidRPr="006B5BF6">
        <w:rPr>
          <w:rFonts w:cs="Times New Roman"/>
          <w:lang w:val="fr-CA"/>
        </w:rPr>
        <w:t>aide de décisions antérieures de l</w:t>
      </w:r>
      <w:r>
        <w:rPr>
          <w:rFonts w:cs="Times New Roman"/>
          <w:lang w:val="fr-CA"/>
        </w:rPr>
        <w:t>’</w:t>
      </w:r>
      <w:r w:rsidRPr="006B5BF6">
        <w:rPr>
          <w:rFonts w:cs="Times New Roman"/>
          <w:lang w:val="fr-CA"/>
        </w:rPr>
        <w:t xml:space="preserve">organisme administratif (voir </w:t>
      </w:r>
      <w:r w:rsidRPr="006B5BF6">
        <w:rPr>
          <w:rFonts w:cs="Times New Roman"/>
          <w:i/>
          <w:lang w:val="fr-CA"/>
        </w:rPr>
        <w:t>Edmonton East</w:t>
      </w:r>
      <w:r w:rsidRPr="006B5BF6">
        <w:rPr>
          <w:rFonts w:cs="Times New Roman"/>
          <w:lang w:val="fr-CA"/>
        </w:rPr>
        <w:t>, par. 38, 44</w:t>
      </w:r>
      <w:r w:rsidRPr="006B5BF6">
        <w:rPr>
          <w:rFonts w:cs="Times New Roman"/>
          <w:lang w:val="fr-CA"/>
        </w:rPr>
        <w:noBreakHyphen/>
        <w:t xml:space="preserve">46; </w:t>
      </w:r>
      <w:r w:rsidRPr="006B5BF6">
        <w:rPr>
          <w:rFonts w:cs="Times New Roman"/>
          <w:i/>
          <w:lang w:val="fr-CA"/>
        </w:rPr>
        <w:t>Alberta Teachers</w:t>
      </w:r>
      <w:r>
        <w:rPr>
          <w:rFonts w:cs="Times New Roman"/>
          <w:i/>
          <w:lang w:val="fr-CA"/>
        </w:rPr>
        <w:t>’</w:t>
      </w:r>
      <w:r w:rsidRPr="006B5BF6">
        <w:rPr>
          <w:rFonts w:cs="Times New Roman"/>
          <w:i/>
          <w:lang w:val="fr-CA"/>
        </w:rPr>
        <w:t xml:space="preserve"> Association</w:t>
      </w:r>
      <w:r w:rsidRPr="006B5BF6">
        <w:rPr>
          <w:rFonts w:cs="Times New Roman"/>
          <w:lang w:val="fr-CA"/>
        </w:rPr>
        <w:t>, par. 56</w:t>
      </w:r>
      <w:r w:rsidRPr="006B5BF6">
        <w:rPr>
          <w:rFonts w:cs="Times New Roman"/>
          <w:lang w:val="fr-CA"/>
        </w:rPr>
        <w:noBreakHyphen/>
        <w:t>64). Dans d</w:t>
      </w:r>
      <w:r>
        <w:rPr>
          <w:rFonts w:cs="Times New Roman"/>
          <w:lang w:val="fr-CA"/>
        </w:rPr>
        <w:t>’</w:t>
      </w:r>
      <w:r w:rsidRPr="006B5BF6">
        <w:rPr>
          <w:rFonts w:cs="Times New Roman"/>
          <w:lang w:val="fr-CA"/>
        </w:rPr>
        <w:t>autres cas, la cour de révision devra peut</w:t>
      </w:r>
      <w:r w:rsidRPr="006B5BF6">
        <w:rPr>
          <w:rFonts w:cs="Times New Roman"/>
          <w:lang w:val="fr-CA"/>
        </w:rPr>
        <w:noBreakHyphen/>
        <w:t>être s</w:t>
      </w:r>
      <w:r>
        <w:rPr>
          <w:rFonts w:cs="Times New Roman"/>
          <w:lang w:val="fr-CA"/>
        </w:rPr>
        <w:t>’</w:t>
      </w:r>
      <w:r w:rsidRPr="006B5BF6">
        <w:rPr>
          <w:rFonts w:cs="Times New Roman"/>
          <w:lang w:val="fr-CA"/>
        </w:rPr>
        <w:t xml:space="preserve">en remettre au contexte procédural entourant la décision pour apprécier le caractère raisonnable du résultat (voir </w:t>
      </w:r>
      <w:r w:rsidRPr="006B5BF6">
        <w:rPr>
          <w:rFonts w:cs="Times New Roman"/>
          <w:i/>
          <w:lang w:val="fr-CA"/>
        </w:rPr>
        <w:t>Law Society of British Columbia c. Trinity Western University</w:t>
      </w:r>
      <w:r w:rsidRPr="006B5BF6">
        <w:rPr>
          <w:rFonts w:cs="Times New Roman"/>
          <w:lang w:val="fr-CA"/>
        </w:rPr>
        <w:t>, [2018] 2 R.C.S. 293, par. 51</w:t>
      </w:r>
      <w:r w:rsidRPr="006B5BF6">
        <w:rPr>
          <w:rFonts w:cs="Times New Roman"/>
          <w:lang w:val="fr-CA"/>
        </w:rPr>
        <w:noBreakHyphen/>
        <w:t xml:space="preserve">56; </w:t>
      </w:r>
      <w:r w:rsidRPr="006B5BF6">
        <w:rPr>
          <w:rFonts w:cs="Times New Roman"/>
          <w:i/>
          <w:lang w:val="fr-CA"/>
        </w:rPr>
        <w:t>Edmonton East</w:t>
      </w:r>
      <w:r w:rsidRPr="006B5BF6">
        <w:rPr>
          <w:rFonts w:cs="Times New Roman"/>
          <w:lang w:val="fr-CA"/>
        </w:rPr>
        <w:t>, par. 48</w:t>
      </w:r>
      <w:r w:rsidRPr="006B5BF6">
        <w:rPr>
          <w:rFonts w:cs="Times New Roman"/>
          <w:lang w:val="fr-CA"/>
        </w:rPr>
        <w:noBreakHyphen/>
        <w:t xml:space="preserve">60; </w:t>
      </w:r>
      <w:r w:rsidRPr="006B5BF6">
        <w:rPr>
          <w:rFonts w:cs="Times New Roman"/>
          <w:i/>
          <w:lang w:val="fr-CA"/>
        </w:rPr>
        <w:t>Catalyst Paper Corp.</w:t>
      </w:r>
      <w:r w:rsidRPr="006B5BF6">
        <w:rPr>
          <w:rFonts w:cs="Times New Roman"/>
          <w:lang w:val="fr-CA"/>
        </w:rPr>
        <w:t>, par. 32</w:t>
      </w:r>
      <w:r w:rsidRPr="006B5BF6">
        <w:rPr>
          <w:rFonts w:cs="Times New Roman"/>
          <w:lang w:val="fr-CA"/>
        </w:rPr>
        <w:noBreakHyphen/>
        <w:t>36). Dans tous les cas, la question à trancher demeure celle de savoir si la partie qui conteste la décision a démontré que celle</w:t>
      </w:r>
      <w:r w:rsidRPr="006B5BF6">
        <w:rPr>
          <w:rFonts w:cs="Times New Roman"/>
          <w:lang w:val="fr-CA"/>
        </w:rPr>
        <w:noBreakHyphen/>
        <w:t>ci est déraisonnable.</w:t>
      </w:r>
    </w:p>
    <w:p w14:paraId="3AEBE389" w14:textId="77777777" w:rsidR="00AE2373" w:rsidRPr="006B5BF6" w:rsidRDefault="00AE2373" w:rsidP="00AE2373">
      <w:pPr>
        <w:pStyle w:val="ParaNoNdepar-AltN"/>
        <w:tabs>
          <w:tab w:val="clear" w:pos="1422"/>
        </w:tabs>
        <w:spacing w:before="0"/>
        <w:rPr>
          <w:rFonts w:cs="Times New Roman"/>
          <w:lang w:val="fr-CA"/>
        </w:rPr>
      </w:pPr>
      <w:r w:rsidRPr="006B5BF6">
        <w:rPr>
          <w:rFonts w:cs="Times New Roman"/>
          <w:lang w:val="fr-CA"/>
        </w:rPr>
        <w:t>En résumé, le contrôle judiciaire selon la norme de la décision raisonnable commande la déférence à l</w:t>
      </w:r>
      <w:r>
        <w:rPr>
          <w:rFonts w:cs="Times New Roman"/>
          <w:lang w:val="fr-CA"/>
        </w:rPr>
        <w:t>’</w:t>
      </w:r>
      <w:r w:rsidRPr="006B5BF6">
        <w:rPr>
          <w:rFonts w:cs="Times New Roman"/>
          <w:lang w:val="fr-CA"/>
        </w:rPr>
        <w:t>égard des décideurs administratifs et le respect de l</w:t>
      </w:r>
      <w:r>
        <w:rPr>
          <w:rFonts w:cs="Times New Roman"/>
          <w:lang w:val="fr-CA"/>
        </w:rPr>
        <w:t>’</w:t>
      </w:r>
      <w:r w:rsidRPr="006B5BF6">
        <w:rPr>
          <w:rFonts w:cs="Times New Roman"/>
          <w:lang w:val="fr-CA"/>
        </w:rPr>
        <w:t>intention du législateur de leur confier un mandat. La déférence doit éclairer l</w:t>
      </w:r>
      <w:r>
        <w:rPr>
          <w:rFonts w:cs="Times New Roman"/>
          <w:lang w:val="fr-CA"/>
        </w:rPr>
        <w:t>’</w:t>
      </w:r>
      <w:r w:rsidRPr="006B5BF6">
        <w:rPr>
          <w:rFonts w:cs="Times New Roman"/>
          <w:lang w:val="fr-CA"/>
        </w:rPr>
        <w:t>attitude de la cour de révision et la nature de l</w:t>
      </w:r>
      <w:r>
        <w:rPr>
          <w:rFonts w:cs="Times New Roman"/>
          <w:lang w:val="fr-CA"/>
        </w:rPr>
        <w:t>’</w:t>
      </w:r>
      <w:r w:rsidRPr="006B5BF6">
        <w:rPr>
          <w:rFonts w:cs="Times New Roman"/>
          <w:lang w:val="fr-CA"/>
        </w:rPr>
        <w:t>analyse qu</w:t>
      </w:r>
      <w:r>
        <w:rPr>
          <w:rFonts w:cs="Times New Roman"/>
          <w:lang w:val="fr-CA"/>
        </w:rPr>
        <w:t>’</w:t>
      </w:r>
      <w:r w:rsidRPr="006B5BF6">
        <w:rPr>
          <w:rFonts w:cs="Times New Roman"/>
          <w:lang w:val="fr-CA"/>
        </w:rPr>
        <w:t>elle mènera : il ne s</w:t>
      </w:r>
      <w:r>
        <w:rPr>
          <w:rFonts w:cs="Times New Roman"/>
          <w:lang w:val="fr-CA"/>
        </w:rPr>
        <w:t>’</w:t>
      </w:r>
      <w:r w:rsidRPr="006B5BF6">
        <w:rPr>
          <w:rFonts w:cs="Times New Roman"/>
          <w:lang w:val="fr-CA"/>
        </w:rPr>
        <w:t>agit pas pour elle de déterminer comment elle aurait tranché la question dont le décideur administratif était saisi, mais plutôt de se demander si celui</w:t>
      </w:r>
      <w:r w:rsidRPr="006B5BF6">
        <w:rPr>
          <w:rFonts w:cs="Times New Roman"/>
          <w:lang w:val="fr-CA"/>
        </w:rPr>
        <w:noBreakHyphen/>
        <w:t>ci a agi de façon raisonnable. À cette fin, elle examine d</w:t>
      </w:r>
      <w:r>
        <w:rPr>
          <w:rFonts w:cs="Times New Roman"/>
          <w:lang w:val="fr-CA"/>
        </w:rPr>
        <w:t>’</w:t>
      </w:r>
      <w:r w:rsidRPr="006B5BF6">
        <w:rPr>
          <w:rFonts w:cs="Times New Roman"/>
          <w:lang w:val="fr-CA"/>
        </w:rPr>
        <w:t>abord les motifs exposés au soutien de la décision administrative à la lumière du contexte et des arguments invoqués par la partie qui affirme qu</w:t>
      </w:r>
      <w:r>
        <w:rPr>
          <w:rFonts w:cs="Times New Roman"/>
          <w:lang w:val="fr-CA"/>
        </w:rPr>
        <w:t>’</w:t>
      </w:r>
      <w:r w:rsidRPr="006B5BF6">
        <w:rPr>
          <w:rFonts w:cs="Times New Roman"/>
          <w:lang w:val="fr-CA"/>
        </w:rPr>
        <w:t>elle n</w:t>
      </w:r>
      <w:r>
        <w:rPr>
          <w:rFonts w:cs="Times New Roman"/>
          <w:lang w:val="fr-CA"/>
        </w:rPr>
        <w:t>’</w:t>
      </w:r>
      <w:r w:rsidRPr="006B5BF6">
        <w:rPr>
          <w:rFonts w:cs="Times New Roman"/>
          <w:lang w:val="fr-CA"/>
        </w:rPr>
        <w:t xml:space="preserve">est pas raisonnable. La cour de révision doit faire porter son analyse principalement sur le caractère raisonnable de la décision examinée dans son ensemble, à la lumière du dossier, en tenant compte de la gravité des erreurs dont serait entaché le raisonnement du décideur. En appliquant comme il se doit la norme de la décision raisonnable lors du contrôle judiciaire des décisions contestées devant eux, les juges assurent une </w:t>
      </w:r>
      <w:r w:rsidRPr="006B5BF6">
        <w:rPr>
          <w:rFonts w:cs="Times New Roman"/>
          <w:lang w:val="fr-CA"/>
        </w:rPr>
        <w:lastRenderedPageBreak/>
        <w:t>surveillance minutieuse et concrète du système de justice administrative tout en respectant la légitimité de celui</w:t>
      </w:r>
      <w:r w:rsidRPr="006B5BF6">
        <w:rPr>
          <w:rFonts w:cs="Times New Roman"/>
          <w:lang w:val="fr-CA"/>
        </w:rPr>
        <w:noBreakHyphen/>
        <w:t>ci et le point de vue des décideurs spécialisés de première ligne.</w:t>
      </w:r>
    </w:p>
    <w:p w14:paraId="0684DC5C" w14:textId="77777777" w:rsidR="00AE2373" w:rsidRPr="006B5BF6" w:rsidRDefault="00AE2373" w:rsidP="00AE2373">
      <w:pPr>
        <w:pStyle w:val="TitleTitre-AltT"/>
        <w:spacing w:before="0"/>
        <w:rPr>
          <w:rFonts w:cs="Times New Roman"/>
          <w:u w:val="single"/>
          <w:lang w:val="fr-CA"/>
        </w:rPr>
      </w:pPr>
      <w:r w:rsidRPr="006B5BF6">
        <w:rPr>
          <w:rFonts w:cs="Times New Roman"/>
          <w:u w:val="single"/>
          <w:lang w:val="fr-CA"/>
        </w:rPr>
        <w:t>Application à M. Vavilov</w:t>
      </w:r>
    </w:p>
    <w:p w14:paraId="320663E1"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Alexander Vavilov conteste la décision de la greffière de la citoyenneté d</w:t>
      </w:r>
      <w:r>
        <w:rPr>
          <w:rFonts w:cs="Times New Roman"/>
          <w:lang w:val="fr-CA"/>
        </w:rPr>
        <w:t>’</w:t>
      </w:r>
      <w:r w:rsidRPr="006B5BF6">
        <w:rPr>
          <w:rFonts w:cs="Times New Roman"/>
          <w:lang w:val="fr-CA"/>
        </w:rPr>
        <w:t>annuler son certificat de citoyenneté. La greffière a conclu que M. Vavilov n</w:t>
      </w:r>
      <w:r>
        <w:rPr>
          <w:rFonts w:cs="Times New Roman"/>
          <w:lang w:val="fr-CA"/>
        </w:rPr>
        <w:t>’</w:t>
      </w:r>
      <w:r w:rsidRPr="006B5BF6">
        <w:rPr>
          <w:rFonts w:cs="Times New Roman"/>
          <w:lang w:val="fr-CA"/>
        </w:rPr>
        <w:t>était pas un citoyen canadien et que, par conséquent, il n</w:t>
      </w:r>
      <w:r>
        <w:rPr>
          <w:rFonts w:cs="Times New Roman"/>
          <w:lang w:val="fr-CA"/>
        </w:rPr>
        <w:t>’</w:t>
      </w:r>
      <w:r w:rsidRPr="006B5BF6">
        <w:rPr>
          <w:rFonts w:cs="Times New Roman"/>
          <w:lang w:val="fr-CA"/>
        </w:rPr>
        <w:t>avait pas droit à un certificat de citoyenneté canadienne parce que, même s</w:t>
      </w:r>
      <w:r>
        <w:rPr>
          <w:rFonts w:cs="Times New Roman"/>
          <w:lang w:val="fr-CA"/>
        </w:rPr>
        <w:t>’</w:t>
      </w:r>
      <w:r w:rsidRPr="006B5BF6">
        <w:rPr>
          <w:rFonts w:cs="Times New Roman"/>
          <w:lang w:val="fr-CA"/>
        </w:rPr>
        <w:t>il est né au Canada, ses parents étaient [</w:t>
      </w:r>
      <w:r w:rsidRPr="006B5BF6">
        <w:rPr>
          <w:rFonts w:cs="Times New Roman"/>
          <w:smallCaps/>
          <w:lang w:val="fr-CA"/>
        </w:rPr>
        <w:t>traduction</w:t>
      </w:r>
      <w:r w:rsidRPr="006B5BF6">
        <w:rPr>
          <w:rFonts w:cs="Times New Roman"/>
          <w:lang w:val="fr-CA"/>
        </w:rPr>
        <w:t>] « représentant[s] ou au service d</w:t>
      </w:r>
      <w:r>
        <w:rPr>
          <w:rFonts w:cs="Times New Roman"/>
          <w:lang w:val="fr-CA"/>
        </w:rPr>
        <w:t>’</w:t>
      </w:r>
      <w:r w:rsidRPr="006B5BF6">
        <w:rPr>
          <w:rFonts w:cs="Times New Roman"/>
          <w:lang w:val="fr-CA"/>
        </w:rPr>
        <w:t>un gouvernement étranger » au sens de l</w:t>
      </w:r>
      <w:r>
        <w:rPr>
          <w:rFonts w:cs="Times New Roman"/>
          <w:lang w:val="fr-CA"/>
        </w:rPr>
        <w:t>’</w:t>
      </w:r>
      <w:r w:rsidRPr="006B5BF6">
        <w:rPr>
          <w:rFonts w:cs="Times New Roman"/>
          <w:lang w:val="fr-CA"/>
        </w:rPr>
        <w:t>al. 3(2)</w:t>
      </w:r>
      <w:r w:rsidRPr="0092234E">
        <w:rPr>
          <w:rFonts w:cs="Times New Roman"/>
          <w:iCs/>
          <w:lang w:val="fr-CA"/>
        </w:rPr>
        <w:t>a)</w:t>
      </w:r>
      <w:r w:rsidRPr="006B5BF6">
        <w:rPr>
          <w:rFonts w:cs="Times New Roman"/>
          <w:lang w:val="fr-CA"/>
        </w:rPr>
        <w:t xml:space="preserve"> de la </w:t>
      </w:r>
      <w:r w:rsidRPr="006B5BF6">
        <w:rPr>
          <w:rFonts w:cs="Times New Roman"/>
          <w:i/>
          <w:lang w:val="fr-CA"/>
        </w:rPr>
        <w:t>Loi sur la citoyenneté</w:t>
      </w:r>
      <w:r w:rsidRPr="006B5BF6">
        <w:rPr>
          <w:rFonts w:cs="Times New Roman"/>
          <w:lang w:val="fr-CA"/>
        </w:rPr>
        <w:t>, L.R.C. 1985, c. C</w:t>
      </w:r>
      <w:r w:rsidRPr="006B5BF6">
        <w:rPr>
          <w:rFonts w:cs="Times New Roman"/>
          <w:lang w:val="fr-CA"/>
        </w:rPr>
        <w:noBreakHyphen/>
        <w:t>29.</w:t>
      </w:r>
    </w:p>
    <w:p w14:paraId="3A3279E4"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La première question à trancher est de savoir quelle est la norme de contrôle applicable. Nous convenons avec la majorité que la norme de la décision raisonnable s</w:t>
      </w:r>
      <w:r>
        <w:rPr>
          <w:rFonts w:cs="Times New Roman"/>
          <w:lang w:val="fr-CA"/>
        </w:rPr>
        <w:t>’</w:t>
      </w:r>
      <w:r w:rsidRPr="006B5BF6">
        <w:rPr>
          <w:rFonts w:cs="Times New Roman"/>
          <w:lang w:val="fr-CA"/>
        </w:rPr>
        <w:t>applique.</w:t>
      </w:r>
    </w:p>
    <w:p w14:paraId="3D7B00C9"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La seconde question à trancher est de savoir s</w:t>
      </w:r>
      <w:r>
        <w:rPr>
          <w:rFonts w:cs="Times New Roman"/>
          <w:lang w:val="fr-CA"/>
        </w:rPr>
        <w:t>’</w:t>
      </w:r>
      <w:r w:rsidRPr="006B5BF6">
        <w:rPr>
          <w:rFonts w:cs="Times New Roman"/>
          <w:lang w:val="fr-CA"/>
        </w:rPr>
        <w:t>il était raisonnable pour la greffière de conclure que l</w:t>
      </w:r>
      <w:r>
        <w:rPr>
          <w:rFonts w:cs="Times New Roman"/>
          <w:lang w:val="fr-CA"/>
        </w:rPr>
        <w:t>’</w:t>
      </w:r>
      <w:r w:rsidRPr="006B5BF6">
        <w:rPr>
          <w:rFonts w:cs="Times New Roman"/>
          <w:lang w:val="fr-CA"/>
        </w:rPr>
        <w:t>exception à la règle de la citoyenneté canadienne prévue à l</w:t>
      </w:r>
      <w:r>
        <w:rPr>
          <w:rFonts w:cs="Times New Roman"/>
          <w:lang w:val="fr-CA"/>
        </w:rPr>
        <w:t>’</w:t>
      </w:r>
      <w:r w:rsidRPr="006B5BF6">
        <w:rPr>
          <w:rFonts w:cs="Times New Roman"/>
          <w:lang w:val="fr-CA"/>
        </w:rPr>
        <w:t>al. 3(2)</w:t>
      </w:r>
      <w:r w:rsidRPr="0092234E">
        <w:rPr>
          <w:rFonts w:cs="Times New Roman"/>
          <w:iCs/>
          <w:lang w:val="fr-CA"/>
        </w:rPr>
        <w:t>a)</w:t>
      </w:r>
      <w:r w:rsidRPr="006B5BF6">
        <w:rPr>
          <w:rFonts w:cs="Times New Roman"/>
          <w:lang w:val="fr-CA"/>
        </w:rPr>
        <w:t xml:space="preserve"> s</w:t>
      </w:r>
      <w:r>
        <w:rPr>
          <w:rFonts w:cs="Times New Roman"/>
          <w:lang w:val="fr-CA"/>
        </w:rPr>
        <w:t>’</w:t>
      </w:r>
      <w:r w:rsidRPr="006B5BF6">
        <w:rPr>
          <w:rFonts w:cs="Times New Roman"/>
          <w:lang w:val="fr-CA"/>
        </w:rPr>
        <w:t>appliquait non seulement aux parents qui bénéficient de privilèges et d</w:t>
      </w:r>
      <w:r>
        <w:rPr>
          <w:rFonts w:cs="Times New Roman"/>
          <w:lang w:val="fr-CA"/>
        </w:rPr>
        <w:t>’</w:t>
      </w:r>
      <w:r w:rsidRPr="006B5BF6">
        <w:rPr>
          <w:rFonts w:cs="Times New Roman"/>
          <w:lang w:val="fr-CA"/>
        </w:rPr>
        <w:t>immunités diplomatiques, mais aussi aux agents du renseignement d</w:t>
      </w:r>
      <w:r>
        <w:rPr>
          <w:rFonts w:cs="Times New Roman"/>
          <w:lang w:val="fr-CA"/>
        </w:rPr>
        <w:t>’</w:t>
      </w:r>
      <w:r w:rsidRPr="006B5BF6">
        <w:rPr>
          <w:rFonts w:cs="Times New Roman"/>
          <w:lang w:val="fr-CA"/>
        </w:rPr>
        <w:t>un gouvernement étranger. Il incombe donc à M. Vavilov de convaincre la cour de révision que la décision était déraisonnable. À notre avis, il s</w:t>
      </w:r>
      <w:r>
        <w:rPr>
          <w:rFonts w:cs="Times New Roman"/>
          <w:lang w:val="fr-CA"/>
        </w:rPr>
        <w:t>’</w:t>
      </w:r>
      <w:r w:rsidRPr="006B5BF6">
        <w:rPr>
          <w:rFonts w:cs="Times New Roman"/>
          <w:lang w:val="fr-CA"/>
        </w:rPr>
        <w:t>est acquitté de ce fardeau.</w:t>
      </w:r>
    </w:p>
    <w:p w14:paraId="32D9FA82" w14:textId="7C08A535"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Monsieur Vavilov est né au Canada en 1994. Ses parents, Elena Vavilova et</w:t>
      </w:r>
      <w:r>
        <w:rPr>
          <w:rFonts w:cs="Times New Roman"/>
          <w:lang w:val="fr-CA"/>
        </w:rPr>
        <w:t xml:space="preserve"> </w:t>
      </w:r>
      <w:r w:rsidRPr="006B5BF6">
        <w:rPr>
          <w:rFonts w:cs="Times New Roman"/>
          <w:lang w:val="fr-CA"/>
        </w:rPr>
        <w:t xml:space="preserve">Andrey Bezrukov, des citoyens russes, sont entrés au Canada quelque temps avant </w:t>
      </w:r>
      <w:r w:rsidRPr="006B5BF6">
        <w:rPr>
          <w:rFonts w:cs="Times New Roman"/>
          <w:lang w:val="fr-CA"/>
        </w:rPr>
        <w:lastRenderedPageBreak/>
        <w:t>sa naissance, ont usurpé l</w:t>
      </w:r>
      <w:r>
        <w:rPr>
          <w:rFonts w:cs="Times New Roman"/>
          <w:lang w:val="fr-CA"/>
        </w:rPr>
        <w:t>’</w:t>
      </w:r>
      <w:r w:rsidRPr="006B5BF6">
        <w:rPr>
          <w:rFonts w:cs="Times New Roman"/>
          <w:lang w:val="fr-CA"/>
        </w:rPr>
        <w:t>identité de deux Canadiens décédés et ont obtenu frauduleusement des passeports canadiens. Après avoir quitté le Canada pour aller vivre en France, M. Vavilov et sa famille ont déménagé aux États</w:t>
      </w:r>
      <w:r w:rsidRPr="006B5BF6">
        <w:rPr>
          <w:rFonts w:cs="Times New Roman"/>
          <w:lang w:val="fr-CA"/>
        </w:rPr>
        <w:noBreakHyphen/>
        <w:t>Unis. Pendant qu</w:t>
      </w:r>
      <w:r>
        <w:rPr>
          <w:rFonts w:cs="Times New Roman"/>
          <w:lang w:val="fr-CA"/>
        </w:rPr>
        <w:t>’</w:t>
      </w:r>
      <w:r w:rsidRPr="006B5BF6">
        <w:rPr>
          <w:rFonts w:cs="Times New Roman"/>
          <w:lang w:val="fr-CA"/>
        </w:rPr>
        <w:t>ils se trouvaient aux États</w:t>
      </w:r>
      <w:r w:rsidRPr="006B5BF6">
        <w:rPr>
          <w:rFonts w:cs="Times New Roman"/>
          <w:lang w:val="fr-CA"/>
        </w:rPr>
        <w:noBreakHyphen/>
        <w:t>Unis, les parents de M. Vavilov ont acquis la citoyenneté américaine grâce à leur fausse identité canadienne. M</w:t>
      </w:r>
      <w:r w:rsidR="00B03AAC">
        <w:rPr>
          <w:rFonts w:cs="Times New Roman"/>
          <w:lang w:val="fr-CA"/>
        </w:rPr>
        <w:t>onsieur</w:t>
      </w:r>
      <w:r w:rsidRPr="006B5BF6">
        <w:rPr>
          <w:rFonts w:cs="Times New Roman"/>
          <w:lang w:val="fr-CA"/>
        </w:rPr>
        <w:t> Vavilov et son frère aîné ont également obtenu la citoyenneté américaine.</w:t>
      </w:r>
    </w:p>
    <w:p w14:paraId="6F6C1EBF"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En juin 2010, des agents du Federal Bureau of Investigation des États</w:t>
      </w:r>
      <w:r w:rsidRPr="006B5BF6">
        <w:rPr>
          <w:rFonts w:cs="Times New Roman"/>
          <w:lang w:val="fr-CA"/>
        </w:rPr>
        <w:noBreakHyphen/>
        <w:t>Unis ont arrêté les parents de M. Vavilov et les ont accusés de complot en vue d</w:t>
      </w:r>
      <w:r>
        <w:rPr>
          <w:rFonts w:cs="Times New Roman"/>
          <w:lang w:val="fr-CA"/>
        </w:rPr>
        <w:t>’</w:t>
      </w:r>
      <w:r w:rsidRPr="006B5BF6">
        <w:rPr>
          <w:rFonts w:cs="Times New Roman"/>
          <w:lang w:val="fr-CA"/>
        </w:rPr>
        <w:t>agir en tant qu</w:t>
      </w:r>
      <w:r>
        <w:rPr>
          <w:rFonts w:cs="Times New Roman"/>
          <w:lang w:val="fr-CA"/>
        </w:rPr>
        <w:t>’</w:t>
      </w:r>
      <w:r w:rsidRPr="006B5BF6">
        <w:rPr>
          <w:rFonts w:cs="Times New Roman"/>
          <w:lang w:val="fr-CA"/>
        </w:rPr>
        <w:t>agents non accrédités d</w:t>
      </w:r>
      <w:r>
        <w:rPr>
          <w:rFonts w:cs="Times New Roman"/>
          <w:lang w:val="fr-CA"/>
        </w:rPr>
        <w:t>’</w:t>
      </w:r>
      <w:r w:rsidRPr="006B5BF6">
        <w:rPr>
          <w:rFonts w:cs="Times New Roman"/>
          <w:lang w:val="fr-CA"/>
        </w:rPr>
        <w:t>un gouvernement étranger et en vue de se livrer au blanchiment d</w:t>
      </w:r>
      <w:r>
        <w:rPr>
          <w:rFonts w:cs="Times New Roman"/>
          <w:lang w:val="fr-CA"/>
        </w:rPr>
        <w:t>’</w:t>
      </w:r>
      <w:r w:rsidRPr="006B5BF6">
        <w:rPr>
          <w:rFonts w:cs="Times New Roman"/>
          <w:lang w:val="fr-CA"/>
        </w:rPr>
        <w:t>argent. Les parents de M. Vavilov ont plaidé coupable à des accusations de complot en juillet 2010 et ont été renvoyés en Russie dans le cadre d</w:t>
      </w:r>
      <w:r>
        <w:rPr>
          <w:rFonts w:cs="Times New Roman"/>
          <w:lang w:val="fr-CA"/>
        </w:rPr>
        <w:t>’</w:t>
      </w:r>
      <w:r w:rsidRPr="006B5BF6">
        <w:rPr>
          <w:rFonts w:cs="Times New Roman"/>
          <w:lang w:val="fr-CA"/>
        </w:rPr>
        <w:t>un échange d</w:t>
      </w:r>
      <w:r>
        <w:rPr>
          <w:rFonts w:cs="Times New Roman"/>
          <w:lang w:val="fr-CA"/>
        </w:rPr>
        <w:t>’</w:t>
      </w:r>
      <w:r w:rsidRPr="006B5BF6">
        <w:rPr>
          <w:rFonts w:cs="Times New Roman"/>
          <w:lang w:val="fr-CA"/>
        </w:rPr>
        <w:t xml:space="preserve">espions. Vers la même période, </w:t>
      </w:r>
      <w:r>
        <w:rPr>
          <w:rFonts w:cs="Times New Roman"/>
          <w:lang w:val="fr-CA"/>
        </w:rPr>
        <w:t>M. </w:t>
      </w:r>
      <w:r w:rsidRPr="006B5BF6">
        <w:rPr>
          <w:rFonts w:cs="Times New Roman"/>
          <w:lang w:val="fr-CA"/>
        </w:rPr>
        <w:t>Vavilov et son frère se sont rendus en Russie. Le gouvernement américain a subséquemment révoqué le passeport et la citoyenneté de M. Vavilov, qui s</w:t>
      </w:r>
      <w:r>
        <w:rPr>
          <w:rFonts w:cs="Times New Roman"/>
          <w:lang w:val="fr-CA"/>
        </w:rPr>
        <w:t>’</w:t>
      </w:r>
      <w:r w:rsidRPr="006B5BF6">
        <w:rPr>
          <w:rFonts w:cs="Times New Roman"/>
          <w:lang w:val="fr-CA"/>
        </w:rPr>
        <w:t>est vu délivrer, en décembre 2010, un passeport et un acte de naissance russes.</w:t>
      </w:r>
    </w:p>
    <w:p w14:paraId="21E47734"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De 2010 à 2013, M. Vavilov a tenté à de nombreuses reprises d</w:t>
      </w:r>
      <w:r>
        <w:rPr>
          <w:rFonts w:cs="Times New Roman"/>
          <w:lang w:val="fr-CA"/>
        </w:rPr>
        <w:t>’</w:t>
      </w:r>
      <w:r w:rsidRPr="006B5BF6">
        <w:rPr>
          <w:rFonts w:cs="Times New Roman"/>
          <w:lang w:val="fr-CA"/>
        </w:rPr>
        <w:t>obtenir un passeport canadien. En décembre 2011, les autorités ontariennes lui ont délivré un nouvel acte de naissance qui indiquait les vrais noms et lieux de naissance de ses parents. Sur la foi de cet acte de naissance, M. Vavilov a demandé et obtenu un certificat de citoyenneté canadienne en janvier 2013. À l</w:t>
      </w:r>
      <w:r>
        <w:rPr>
          <w:rFonts w:cs="Times New Roman"/>
          <w:lang w:val="fr-CA"/>
        </w:rPr>
        <w:t>’</w:t>
      </w:r>
      <w:r w:rsidRPr="006B5BF6">
        <w:rPr>
          <w:rFonts w:cs="Times New Roman"/>
          <w:lang w:val="fr-CA"/>
        </w:rPr>
        <w:t>aide de ces documents, M. Vavilov a demandé la prolongation du délai de validité de son passeport canadien au début de l</w:t>
      </w:r>
      <w:r>
        <w:rPr>
          <w:rFonts w:cs="Times New Roman"/>
          <w:lang w:val="fr-CA"/>
        </w:rPr>
        <w:t>’</w:t>
      </w:r>
      <w:r w:rsidRPr="006B5BF6">
        <w:rPr>
          <w:rFonts w:cs="Times New Roman"/>
          <w:lang w:val="fr-CA"/>
        </w:rPr>
        <w:t xml:space="preserve">année 2013. Le 18 juillet 2013, la greffière a écrit à </w:t>
      </w:r>
      <w:r>
        <w:rPr>
          <w:rFonts w:cs="Times New Roman"/>
          <w:lang w:val="fr-CA"/>
        </w:rPr>
        <w:t>M. </w:t>
      </w:r>
      <w:r w:rsidRPr="006B5BF6">
        <w:rPr>
          <w:rFonts w:cs="Times New Roman"/>
          <w:lang w:val="fr-CA"/>
        </w:rPr>
        <w:t xml:space="preserve">Vavilov pour </w:t>
      </w:r>
      <w:r w:rsidRPr="006B5BF6">
        <w:rPr>
          <w:rFonts w:cs="Times New Roman"/>
          <w:lang w:val="fr-CA"/>
        </w:rPr>
        <w:lastRenderedPageBreak/>
        <w:t>l</w:t>
      </w:r>
      <w:r>
        <w:rPr>
          <w:rFonts w:cs="Times New Roman"/>
          <w:lang w:val="fr-CA"/>
        </w:rPr>
        <w:t>’</w:t>
      </w:r>
      <w:r w:rsidRPr="006B5BF6">
        <w:rPr>
          <w:rFonts w:cs="Times New Roman"/>
          <w:lang w:val="fr-CA"/>
        </w:rPr>
        <w:t>informer qu</w:t>
      </w:r>
      <w:r>
        <w:rPr>
          <w:rFonts w:cs="Times New Roman"/>
          <w:lang w:val="fr-CA"/>
        </w:rPr>
        <w:t>’</w:t>
      </w:r>
      <w:r w:rsidRPr="006B5BF6">
        <w:rPr>
          <w:rFonts w:cs="Times New Roman"/>
          <w:lang w:val="fr-CA"/>
        </w:rPr>
        <w:t>il y avait lieu de croire que son certificat de citoyenneté avait été délivré par erreur et l</w:t>
      </w:r>
      <w:r>
        <w:rPr>
          <w:rFonts w:cs="Times New Roman"/>
          <w:lang w:val="fr-CA"/>
        </w:rPr>
        <w:t>’</w:t>
      </w:r>
      <w:r w:rsidRPr="006B5BF6">
        <w:rPr>
          <w:rFonts w:cs="Times New Roman"/>
          <w:lang w:val="fr-CA"/>
        </w:rPr>
        <w:t>a invité à fournir des renseignements supplémentaires.</w:t>
      </w:r>
    </w:p>
    <w:p w14:paraId="54BDDC6F" w14:textId="69ADBBC5"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Le 22 avril 2014, M. Vavilov a fait parvenir à la greffière de longues observations écrites dans lesquelles il soutenait que l</w:t>
      </w:r>
      <w:r>
        <w:rPr>
          <w:rFonts w:cs="Times New Roman"/>
          <w:lang w:val="fr-CA"/>
        </w:rPr>
        <w:t>’</w:t>
      </w:r>
      <w:r w:rsidRPr="006B5BF6">
        <w:rPr>
          <w:rFonts w:cs="Times New Roman"/>
          <w:lang w:val="fr-CA"/>
        </w:rPr>
        <w:t>exception restreinte prévue au par. 3(2) de la Loi ne s</w:t>
      </w:r>
      <w:r>
        <w:rPr>
          <w:rFonts w:cs="Times New Roman"/>
          <w:lang w:val="fr-CA"/>
        </w:rPr>
        <w:t>’</w:t>
      </w:r>
      <w:r w:rsidRPr="006B5BF6">
        <w:rPr>
          <w:rFonts w:cs="Times New Roman"/>
          <w:lang w:val="fr-CA"/>
        </w:rPr>
        <w:t>appliquait pas à lui. Comme il était né au Canada, il avait droit</w:t>
      </w:r>
      <w:r w:rsidR="00B03AAC">
        <w:rPr>
          <w:rFonts w:cs="Times New Roman"/>
          <w:lang w:val="fr-CA"/>
        </w:rPr>
        <w:t xml:space="preserve"> à la citoyenneté canadienne. Monsieur</w:t>
      </w:r>
      <w:r w:rsidRPr="006B5BF6">
        <w:rPr>
          <w:rFonts w:cs="Times New Roman"/>
          <w:lang w:val="fr-CA"/>
        </w:rPr>
        <w:t> Vavilov a également fait valoir que la greffière n</w:t>
      </w:r>
      <w:r>
        <w:rPr>
          <w:rFonts w:cs="Times New Roman"/>
          <w:lang w:val="fr-CA"/>
        </w:rPr>
        <w:t>’</w:t>
      </w:r>
      <w:r w:rsidRPr="006B5BF6">
        <w:rPr>
          <w:rFonts w:cs="Times New Roman"/>
          <w:lang w:val="fr-CA"/>
        </w:rPr>
        <w:t>avait pas respecté les exigences de l</w:t>
      </w:r>
      <w:r>
        <w:rPr>
          <w:rFonts w:cs="Times New Roman"/>
          <w:lang w:val="fr-CA"/>
        </w:rPr>
        <w:t>’</w:t>
      </w:r>
      <w:r w:rsidRPr="006B5BF6">
        <w:rPr>
          <w:rFonts w:cs="Times New Roman"/>
          <w:lang w:val="fr-CA"/>
        </w:rPr>
        <w:t>équité procédurale.</w:t>
      </w:r>
    </w:p>
    <w:p w14:paraId="12BE604D"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Dans une lettre datée du 15 août 2014, la greffière a informé M. Vavilov qu</w:t>
      </w:r>
      <w:r>
        <w:rPr>
          <w:rFonts w:cs="Times New Roman"/>
          <w:lang w:val="fr-CA"/>
        </w:rPr>
        <w:t>’</w:t>
      </w:r>
      <w:r w:rsidRPr="006B5BF6">
        <w:rPr>
          <w:rFonts w:cs="Times New Roman"/>
          <w:lang w:val="fr-CA"/>
        </w:rPr>
        <w:t>elle annulait son certificat de citoyenneté canadienne. À son avis, étant donné que M. Vavilov tombait sous le coup des deux restrictions énoncées au par. 3(2) de la Loi, il n</w:t>
      </w:r>
      <w:r>
        <w:rPr>
          <w:rFonts w:cs="Times New Roman"/>
          <w:lang w:val="fr-CA"/>
        </w:rPr>
        <w:t>’</w:t>
      </w:r>
      <w:r w:rsidRPr="006B5BF6">
        <w:rPr>
          <w:rFonts w:cs="Times New Roman"/>
          <w:lang w:val="fr-CA"/>
        </w:rPr>
        <w:t>était pas un citoyen canadien. En premier lieu, lorsque M. Vavilov est né au Canada, ses parents n</w:t>
      </w:r>
      <w:r>
        <w:rPr>
          <w:rFonts w:cs="Times New Roman"/>
          <w:lang w:val="fr-CA"/>
        </w:rPr>
        <w:t>’</w:t>
      </w:r>
      <w:r w:rsidRPr="006B5BF6">
        <w:rPr>
          <w:rFonts w:cs="Times New Roman"/>
          <w:lang w:val="fr-CA"/>
        </w:rPr>
        <w:t>avaient qualité ni de citoyens canadiens ni de résidents permanents. En second lieu, à titre d</w:t>
      </w:r>
      <w:r>
        <w:rPr>
          <w:rFonts w:cs="Times New Roman"/>
          <w:lang w:val="fr-CA"/>
        </w:rPr>
        <w:t>’</w:t>
      </w:r>
      <w:r w:rsidRPr="006B5BF6">
        <w:rPr>
          <w:rFonts w:cs="Times New Roman"/>
          <w:lang w:val="fr-CA"/>
        </w:rPr>
        <w:t>agents non officiels travaillant pour le Service des renseignements extérieurs russe, les parents de M. Vavilov étaient [</w:t>
      </w:r>
      <w:r w:rsidRPr="006B5BF6">
        <w:rPr>
          <w:rFonts w:cs="Times New Roman"/>
          <w:smallCaps/>
          <w:lang w:val="fr-CA"/>
        </w:rPr>
        <w:t>traduction</w:t>
      </w:r>
      <w:r w:rsidRPr="006B5BF6">
        <w:rPr>
          <w:rFonts w:cs="Times New Roman"/>
          <w:lang w:val="fr-CA"/>
        </w:rPr>
        <w:t>] « représentant[s] ou au service d</w:t>
      </w:r>
      <w:r>
        <w:rPr>
          <w:rFonts w:cs="Times New Roman"/>
          <w:lang w:val="fr-CA"/>
        </w:rPr>
        <w:t>’</w:t>
      </w:r>
      <w:r w:rsidRPr="006B5BF6">
        <w:rPr>
          <w:rFonts w:cs="Times New Roman"/>
          <w:lang w:val="fr-CA"/>
        </w:rPr>
        <w:t>un gouvernement étranger » au sens de l</w:t>
      </w:r>
      <w:r>
        <w:rPr>
          <w:rFonts w:cs="Times New Roman"/>
          <w:lang w:val="fr-CA"/>
        </w:rPr>
        <w:t>’</w:t>
      </w:r>
      <w:r w:rsidRPr="006B5BF6">
        <w:rPr>
          <w:rFonts w:cs="Times New Roman"/>
          <w:lang w:val="fr-CA"/>
        </w:rPr>
        <w:t>al. 3(2)</w:t>
      </w:r>
      <w:r w:rsidRPr="0092234E">
        <w:rPr>
          <w:rFonts w:cs="Times New Roman"/>
          <w:iCs/>
          <w:lang w:val="fr-CA"/>
        </w:rPr>
        <w:t>a)</w:t>
      </w:r>
      <w:r w:rsidRPr="006B5BF6">
        <w:rPr>
          <w:rFonts w:cs="Times New Roman"/>
          <w:lang w:val="fr-CA"/>
        </w:rPr>
        <w:t>.</w:t>
      </w:r>
    </w:p>
    <w:p w14:paraId="2C811283"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La Cour fédérale ([2016] 2 R.C.F. 39) a rejeté la demande de contrôle judiciaire de M. Vavilov. Elle a conclu que la greffière avait respecté les exigences de l</w:t>
      </w:r>
      <w:r>
        <w:rPr>
          <w:rFonts w:cs="Times New Roman"/>
          <w:lang w:val="fr-CA"/>
        </w:rPr>
        <w:t>’</w:t>
      </w:r>
      <w:r w:rsidRPr="006B5BF6">
        <w:rPr>
          <w:rFonts w:cs="Times New Roman"/>
          <w:lang w:val="fr-CA"/>
        </w:rPr>
        <w:t>équité procédurale et, appliquant la norme de la décision correcte, elle a jugé que la greffière avait interprété correctement l</w:t>
      </w:r>
      <w:r>
        <w:rPr>
          <w:rFonts w:cs="Times New Roman"/>
          <w:lang w:val="fr-CA"/>
        </w:rPr>
        <w:t>’</w:t>
      </w:r>
      <w:r w:rsidRPr="006B5BF6">
        <w:rPr>
          <w:rFonts w:cs="Times New Roman"/>
          <w:lang w:val="fr-CA"/>
        </w:rPr>
        <w:t>al. 3(2)</w:t>
      </w:r>
      <w:r w:rsidRPr="0092234E">
        <w:rPr>
          <w:rFonts w:cs="Times New Roman"/>
          <w:iCs/>
          <w:lang w:val="fr-CA"/>
        </w:rPr>
        <w:t>a)</w:t>
      </w:r>
      <w:r w:rsidRPr="006B5BF6">
        <w:rPr>
          <w:rFonts w:cs="Times New Roman"/>
          <w:lang w:val="fr-CA"/>
        </w:rPr>
        <w:t>. La Cour fédérale a par la suite examiné l</w:t>
      </w:r>
      <w:r>
        <w:rPr>
          <w:rFonts w:cs="Times New Roman"/>
          <w:lang w:val="fr-CA"/>
        </w:rPr>
        <w:t>’</w:t>
      </w:r>
      <w:r w:rsidRPr="006B5BF6">
        <w:rPr>
          <w:rFonts w:cs="Times New Roman"/>
          <w:lang w:val="fr-CA"/>
        </w:rPr>
        <w:t>application de cet alinéa selon la norme de la décision raisonnable et jugé qu</w:t>
      </w:r>
      <w:r>
        <w:rPr>
          <w:rFonts w:cs="Times New Roman"/>
          <w:lang w:val="fr-CA"/>
        </w:rPr>
        <w:t>’</w:t>
      </w:r>
      <w:r w:rsidRPr="006B5BF6">
        <w:rPr>
          <w:rFonts w:cs="Times New Roman"/>
          <w:lang w:val="fr-CA"/>
        </w:rPr>
        <w:t xml:space="preserve">il était raisonnable de la part de la greffière de conclure que les parents de </w:t>
      </w:r>
      <w:r>
        <w:rPr>
          <w:rFonts w:cs="Times New Roman"/>
          <w:lang w:val="fr-CA"/>
        </w:rPr>
        <w:lastRenderedPageBreak/>
        <w:t>M. </w:t>
      </w:r>
      <w:r w:rsidRPr="006B5BF6">
        <w:rPr>
          <w:rFonts w:cs="Times New Roman"/>
          <w:lang w:val="fr-CA"/>
        </w:rPr>
        <w:t>Vavilov travaillaient au Canada en qualité d</w:t>
      </w:r>
      <w:r>
        <w:rPr>
          <w:rFonts w:cs="Times New Roman"/>
          <w:lang w:val="fr-CA"/>
        </w:rPr>
        <w:t>’</w:t>
      </w:r>
      <w:r w:rsidRPr="006B5BF6">
        <w:rPr>
          <w:rFonts w:cs="Times New Roman"/>
          <w:lang w:val="fr-CA"/>
        </w:rPr>
        <w:t>agents d</w:t>
      </w:r>
      <w:r>
        <w:rPr>
          <w:rFonts w:cs="Times New Roman"/>
          <w:lang w:val="fr-CA"/>
        </w:rPr>
        <w:t>’</w:t>
      </w:r>
      <w:r w:rsidRPr="006B5BF6">
        <w:rPr>
          <w:rFonts w:cs="Times New Roman"/>
          <w:lang w:val="fr-CA"/>
        </w:rPr>
        <w:t>infiltration du gouvernement russe au moment de sa naissance.</w:t>
      </w:r>
    </w:p>
    <w:p w14:paraId="6EAFE954"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La Cour d</w:t>
      </w:r>
      <w:r>
        <w:rPr>
          <w:rFonts w:cs="Times New Roman"/>
          <w:lang w:val="fr-CA"/>
        </w:rPr>
        <w:t>’</w:t>
      </w:r>
      <w:r w:rsidRPr="006B5BF6">
        <w:rPr>
          <w:rFonts w:cs="Times New Roman"/>
          <w:lang w:val="fr-CA"/>
        </w:rPr>
        <w:t>appel fédérale ([2018] 3 R.C.F. 75) a fait droit à l</w:t>
      </w:r>
      <w:r>
        <w:rPr>
          <w:rFonts w:cs="Times New Roman"/>
          <w:lang w:val="fr-CA"/>
        </w:rPr>
        <w:t>’</w:t>
      </w:r>
      <w:r w:rsidRPr="006B5BF6">
        <w:rPr>
          <w:rFonts w:cs="Times New Roman"/>
          <w:lang w:val="fr-CA"/>
        </w:rPr>
        <w:t>appel et a cassé la décision par laquelle la greffière avait annulé le certificat de citoyenneté de M. Vavilov. S</w:t>
      </w:r>
      <w:r>
        <w:rPr>
          <w:rFonts w:cs="Times New Roman"/>
          <w:lang w:val="fr-CA"/>
        </w:rPr>
        <w:t>’</w:t>
      </w:r>
      <w:r w:rsidRPr="006B5BF6">
        <w:rPr>
          <w:rFonts w:cs="Times New Roman"/>
          <w:lang w:val="fr-CA"/>
        </w:rPr>
        <w:t>exprimant au nom de la majorité, le juge Stratas a reconnu que les exigences de l</w:t>
      </w:r>
      <w:r>
        <w:rPr>
          <w:rFonts w:cs="Times New Roman"/>
          <w:lang w:val="fr-CA"/>
        </w:rPr>
        <w:t>’</w:t>
      </w:r>
      <w:r w:rsidRPr="006B5BF6">
        <w:rPr>
          <w:rFonts w:cs="Times New Roman"/>
          <w:lang w:val="fr-CA"/>
        </w:rPr>
        <w:t>équité procédurale avaient été respectées, mais a estimé que l</w:t>
      </w:r>
      <w:r>
        <w:rPr>
          <w:rFonts w:cs="Times New Roman"/>
          <w:lang w:val="fr-CA"/>
        </w:rPr>
        <w:t>’</w:t>
      </w:r>
      <w:r w:rsidRPr="006B5BF6">
        <w:rPr>
          <w:rFonts w:cs="Times New Roman"/>
          <w:lang w:val="fr-CA"/>
        </w:rPr>
        <w:t>interprétation donnée à l</w:t>
      </w:r>
      <w:r>
        <w:rPr>
          <w:rFonts w:cs="Times New Roman"/>
          <w:lang w:val="fr-CA"/>
        </w:rPr>
        <w:t>’</w:t>
      </w:r>
      <w:r w:rsidRPr="006B5BF6">
        <w:rPr>
          <w:rFonts w:cs="Times New Roman"/>
          <w:lang w:val="fr-CA"/>
        </w:rPr>
        <w:t>al. 3(2)</w:t>
      </w:r>
      <w:r w:rsidRPr="0092234E">
        <w:rPr>
          <w:rFonts w:cs="Times New Roman"/>
          <w:iCs/>
          <w:lang w:val="fr-CA"/>
        </w:rPr>
        <w:t>a)</w:t>
      </w:r>
      <w:r w:rsidRPr="006B5BF6">
        <w:rPr>
          <w:rFonts w:cs="Times New Roman"/>
          <w:lang w:val="fr-CA"/>
        </w:rPr>
        <w:t xml:space="preserve"> par la greffière n</w:t>
      </w:r>
      <w:r>
        <w:rPr>
          <w:rFonts w:cs="Times New Roman"/>
          <w:lang w:val="fr-CA"/>
        </w:rPr>
        <w:t>’</w:t>
      </w:r>
      <w:r w:rsidRPr="006B5BF6">
        <w:rPr>
          <w:rFonts w:cs="Times New Roman"/>
          <w:lang w:val="fr-CA"/>
        </w:rPr>
        <w:t>était pas raisonnable. À son avis, seules les personnes qui jouissent de privilèges et d</w:t>
      </w:r>
      <w:r>
        <w:rPr>
          <w:rFonts w:cs="Times New Roman"/>
          <w:lang w:val="fr-CA"/>
        </w:rPr>
        <w:t>’</w:t>
      </w:r>
      <w:r w:rsidRPr="006B5BF6">
        <w:rPr>
          <w:rFonts w:cs="Times New Roman"/>
          <w:lang w:val="fr-CA"/>
        </w:rPr>
        <w:t>immunités diplomatiques étaient visées par l</w:t>
      </w:r>
      <w:r>
        <w:rPr>
          <w:rFonts w:cs="Times New Roman"/>
          <w:lang w:val="fr-CA"/>
        </w:rPr>
        <w:t>’</w:t>
      </w:r>
      <w:r w:rsidRPr="006B5BF6">
        <w:rPr>
          <w:rFonts w:cs="Times New Roman"/>
          <w:lang w:val="fr-CA"/>
        </w:rPr>
        <w:t>exception prévue à l</w:t>
      </w:r>
      <w:r>
        <w:rPr>
          <w:rFonts w:cs="Times New Roman"/>
          <w:lang w:val="fr-CA"/>
        </w:rPr>
        <w:t>’</w:t>
      </w:r>
      <w:r w:rsidRPr="006B5BF6">
        <w:rPr>
          <w:rFonts w:cs="Times New Roman"/>
          <w:lang w:val="fr-CA"/>
        </w:rPr>
        <w:t>al. 3(2)</w:t>
      </w:r>
      <w:r w:rsidRPr="0092234E">
        <w:rPr>
          <w:rFonts w:cs="Times New Roman"/>
          <w:iCs/>
          <w:lang w:val="fr-CA"/>
        </w:rPr>
        <w:t>a)</w:t>
      </w:r>
      <w:r w:rsidRPr="006B5BF6">
        <w:rPr>
          <w:rFonts w:cs="Times New Roman"/>
          <w:lang w:val="fr-CA"/>
        </w:rPr>
        <w:t>. Le juge Stratas est parvenu à cette conclusion après avoir examiné le contexte et l</w:t>
      </w:r>
      <w:r>
        <w:rPr>
          <w:rFonts w:cs="Times New Roman"/>
          <w:lang w:val="fr-CA"/>
        </w:rPr>
        <w:t>’</w:t>
      </w:r>
      <w:r w:rsidRPr="006B5BF6">
        <w:rPr>
          <w:rFonts w:cs="Times New Roman"/>
          <w:lang w:val="fr-CA"/>
        </w:rPr>
        <w:t>objet de la disposition, son origine législative et les principes du droit international relatifs à la citoyenneté et aux privilèges et immunités diplomatiques.</w:t>
      </w:r>
    </w:p>
    <w:p w14:paraId="6D972F21"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En règle générale, il faut contrôler judiciairement les décisions administratives pour juger de leur caractère raisonnable. Aucune des exceptions justifiant le recours à la norme de la décision correcte ne s</w:t>
      </w:r>
      <w:r>
        <w:rPr>
          <w:rFonts w:cs="Times New Roman"/>
          <w:lang w:val="fr-CA"/>
        </w:rPr>
        <w:t>’</w:t>
      </w:r>
      <w:r w:rsidRPr="006B5BF6">
        <w:rPr>
          <w:rFonts w:cs="Times New Roman"/>
          <w:lang w:val="fr-CA"/>
        </w:rPr>
        <w:t>applique à l</w:t>
      </w:r>
      <w:r>
        <w:rPr>
          <w:rFonts w:cs="Times New Roman"/>
          <w:lang w:val="fr-CA"/>
        </w:rPr>
        <w:t>’</w:t>
      </w:r>
      <w:r w:rsidRPr="006B5BF6">
        <w:rPr>
          <w:rFonts w:cs="Times New Roman"/>
          <w:lang w:val="fr-CA"/>
        </w:rPr>
        <w:t>interprétation par la greffière de la Loi en espèce. En conséquence, la norme de contrôle applicable est celle de la décision raisonnable.</w:t>
      </w:r>
    </w:p>
    <w:p w14:paraId="5BF7E951" w14:textId="6E802533" w:rsidR="00AE2373" w:rsidRPr="006B5BF6" w:rsidRDefault="00AE2373" w:rsidP="00AE2373">
      <w:pPr>
        <w:pStyle w:val="ParaNoNdepar-AltN"/>
        <w:widowControl w:val="0"/>
        <w:tabs>
          <w:tab w:val="clear" w:pos="1166"/>
          <w:tab w:val="clear" w:pos="1422"/>
          <w:tab w:val="num" w:pos="1152"/>
        </w:tabs>
        <w:rPr>
          <w:rFonts w:cs="Times New Roman"/>
          <w:lang w:val="fr-CA"/>
        </w:rPr>
      </w:pPr>
      <w:r w:rsidRPr="006B5BF6">
        <w:rPr>
          <w:rFonts w:cs="Times New Roman"/>
          <w:lang w:val="fr-CA"/>
        </w:rPr>
        <w:t xml:space="preserve">Les dispositions suivantes de la </w:t>
      </w:r>
      <w:r w:rsidRPr="006B5BF6">
        <w:rPr>
          <w:rFonts w:cs="Times New Roman"/>
          <w:i/>
          <w:lang w:val="fr-CA"/>
        </w:rPr>
        <w:t xml:space="preserve">Loi sur la citoyenneté </w:t>
      </w:r>
      <w:r w:rsidRPr="006B5BF6">
        <w:rPr>
          <w:rFonts w:cs="Times New Roman"/>
          <w:lang w:val="fr-CA"/>
        </w:rPr>
        <w:t>sont pertinentes en l</w:t>
      </w:r>
      <w:r>
        <w:rPr>
          <w:rFonts w:cs="Times New Roman"/>
          <w:lang w:val="fr-CA"/>
        </w:rPr>
        <w:t>’</w:t>
      </w:r>
      <w:r w:rsidRPr="006B5BF6">
        <w:rPr>
          <w:rFonts w:cs="Times New Roman"/>
          <w:lang w:val="fr-CA"/>
        </w:rPr>
        <w:t>espèce</w:t>
      </w:r>
      <w:r w:rsidR="00B41CBD">
        <w:rPr>
          <w:rFonts w:cs="Times New Roman"/>
          <w:lang w:val="fr-CA"/>
        </w:rPr>
        <w:t> </w:t>
      </w:r>
      <w:r w:rsidR="008F015D">
        <w:rPr>
          <w:rFonts w:cs="Times New Roman"/>
          <w:lang w:val="fr-CA"/>
        </w:rPr>
        <w:t xml:space="preserve"> </w:t>
      </w:r>
      <w:r w:rsidRPr="006B5BF6">
        <w:rPr>
          <w:rFonts w:cs="Times New Roman"/>
          <w:lang w:val="fr-CA"/>
        </w:rPr>
        <w:t>:</w:t>
      </w:r>
    </w:p>
    <w:p w14:paraId="50BEAAA8" w14:textId="77777777" w:rsidR="00AE2373" w:rsidRPr="006B5BF6" w:rsidRDefault="00AE2373" w:rsidP="00AE2373">
      <w:pPr>
        <w:pStyle w:val="Citation-AltC"/>
        <w:widowControl w:val="0"/>
        <w:spacing w:after="240"/>
        <w:ind w:hanging="446"/>
        <w:contextualSpacing w:val="0"/>
        <w:rPr>
          <w:b/>
          <w:lang w:val="fr-CA"/>
        </w:rPr>
      </w:pPr>
      <w:r w:rsidRPr="006B5BF6">
        <w:rPr>
          <w:b/>
          <w:lang w:val="fr-CA"/>
        </w:rPr>
        <w:tab/>
        <w:t>Citoyens</w:t>
      </w:r>
    </w:p>
    <w:p w14:paraId="3DA5CDE4" w14:textId="77777777" w:rsidR="00AE2373" w:rsidRPr="006B5BF6" w:rsidRDefault="00AE2373" w:rsidP="00AE2373">
      <w:pPr>
        <w:pStyle w:val="Citation-AltC"/>
        <w:spacing w:after="240"/>
        <w:ind w:hanging="446"/>
        <w:contextualSpacing w:val="0"/>
        <w:rPr>
          <w:lang w:val="fr-CA"/>
        </w:rPr>
      </w:pPr>
      <w:r w:rsidRPr="006B5BF6">
        <w:rPr>
          <w:b/>
          <w:lang w:val="fr-CA"/>
        </w:rPr>
        <w:tab/>
        <w:t>3 (1)</w:t>
      </w:r>
      <w:r w:rsidRPr="006B5BF6">
        <w:rPr>
          <w:lang w:val="fr-CA"/>
        </w:rPr>
        <w:t xml:space="preserve"> Sous réserve des autres dispositions de la présente loi, a qualité de citoyen toute personne :</w:t>
      </w:r>
    </w:p>
    <w:p w14:paraId="1CD87C05" w14:textId="77777777" w:rsidR="00AE2373" w:rsidRPr="006B5BF6" w:rsidRDefault="00AE2373" w:rsidP="00AE2373">
      <w:pPr>
        <w:pStyle w:val="Citation-AltC"/>
        <w:spacing w:after="240"/>
        <w:ind w:left="1890" w:hanging="450"/>
        <w:contextualSpacing w:val="0"/>
        <w:rPr>
          <w:lang w:val="fr-CA"/>
        </w:rPr>
      </w:pPr>
      <w:r w:rsidRPr="006B5BF6">
        <w:rPr>
          <w:b/>
          <w:lang w:val="fr-CA"/>
        </w:rPr>
        <w:lastRenderedPageBreak/>
        <w:tab/>
        <w:t>a)</w:t>
      </w:r>
      <w:r w:rsidRPr="006B5BF6">
        <w:rPr>
          <w:lang w:val="fr-CA"/>
        </w:rPr>
        <w:t xml:space="preserve"> née au Canada après le 14 février 1977;</w:t>
      </w:r>
    </w:p>
    <w:p w14:paraId="381A9DA4" w14:textId="524672F0" w:rsidR="00AE2373" w:rsidRPr="006B5BF6" w:rsidRDefault="00F30177" w:rsidP="00AE2373">
      <w:pPr>
        <w:pStyle w:val="Citation-AltC"/>
        <w:spacing w:after="240"/>
        <w:ind w:left="4590" w:hanging="450"/>
        <w:contextualSpacing w:val="0"/>
        <w:rPr>
          <w:lang w:val="fr-CA"/>
        </w:rPr>
      </w:pPr>
      <w:r>
        <w:rPr>
          <w:lang w:val="fr-CA"/>
        </w:rPr>
        <w:tab/>
        <w:t>. . .</w:t>
      </w:r>
    </w:p>
    <w:p w14:paraId="701E5D8A" w14:textId="77777777" w:rsidR="00AE2373" w:rsidRPr="006B5BF6" w:rsidRDefault="00AE2373" w:rsidP="00AE2373">
      <w:pPr>
        <w:pStyle w:val="Citation-AltC"/>
        <w:spacing w:after="240"/>
        <w:ind w:hanging="446"/>
        <w:contextualSpacing w:val="0"/>
        <w:rPr>
          <w:b/>
          <w:lang w:val="fr-CA"/>
        </w:rPr>
      </w:pPr>
      <w:r w:rsidRPr="006B5BF6">
        <w:rPr>
          <w:b/>
          <w:lang w:val="fr-CA"/>
        </w:rPr>
        <w:tab/>
        <w:t>Inapplicabilité aux enfants de diplomates étrangers, etc.</w:t>
      </w:r>
    </w:p>
    <w:p w14:paraId="57F7637A" w14:textId="0F5CB165" w:rsidR="00AE2373" w:rsidRPr="006B5BF6" w:rsidRDefault="00AE2373" w:rsidP="00AE2373">
      <w:pPr>
        <w:pStyle w:val="Citation-AltC"/>
        <w:spacing w:after="240"/>
        <w:ind w:hanging="446"/>
        <w:contextualSpacing w:val="0"/>
        <w:rPr>
          <w:bCs/>
          <w:lang w:val="fr-CA"/>
        </w:rPr>
      </w:pPr>
      <w:r w:rsidRPr="006B5BF6">
        <w:rPr>
          <w:b/>
          <w:lang w:val="fr-CA"/>
        </w:rPr>
        <w:tab/>
        <w:t>(2)</w:t>
      </w:r>
      <w:r w:rsidRPr="006B5BF6">
        <w:rPr>
          <w:bCs/>
          <w:lang w:val="fr-CA"/>
        </w:rPr>
        <w:t xml:space="preserve"> L</w:t>
      </w:r>
      <w:r>
        <w:rPr>
          <w:bCs/>
          <w:lang w:val="fr-CA"/>
        </w:rPr>
        <w:t>’</w:t>
      </w:r>
      <w:r w:rsidRPr="006B5BF6">
        <w:rPr>
          <w:bCs/>
          <w:lang w:val="fr-CA"/>
        </w:rPr>
        <w:t>alinéa (1)a) ne s</w:t>
      </w:r>
      <w:r>
        <w:rPr>
          <w:bCs/>
          <w:lang w:val="fr-CA"/>
        </w:rPr>
        <w:t>’</w:t>
      </w:r>
      <w:r w:rsidRPr="006B5BF6">
        <w:rPr>
          <w:bCs/>
          <w:lang w:val="fr-CA"/>
        </w:rPr>
        <w:t>applique pas à la personne dont, au moment de la naissance, les parents n</w:t>
      </w:r>
      <w:r>
        <w:rPr>
          <w:bCs/>
          <w:lang w:val="fr-CA"/>
        </w:rPr>
        <w:t>’</w:t>
      </w:r>
      <w:r w:rsidRPr="006B5BF6">
        <w:rPr>
          <w:bCs/>
          <w:lang w:val="fr-CA"/>
        </w:rPr>
        <w:t>avaient qualité ni de citoyens ni de résidents permanents et dont le père ou la mère était</w:t>
      </w:r>
      <w:r w:rsidR="00B41CBD">
        <w:rPr>
          <w:bCs/>
          <w:lang w:val="fr-CA"/>
        </w:rPr>
        <w:t> </w:t>
      </w:r>
      <w:r w:rsidRPr="006B5BF6">
        <w:rPr>
          <w:bCs/>
          <w:lang w:val="fr-CA"/>
        </w:rPr>
        <w:t>:</w:t>
      </w:r>
    </w:p>
    <w:p w14:paraId="48B03256" w14:textId="77777777" w:rsidR="00AE2373" w:rsidRPr="006B5BF6" w:rsidRDefault="00AE2373" w:rsidP="00AE2373">
      <w:pPr>
        <w:pStyle w:val="Citation-AltC"/>
        <w:spacing w:after="240"/>
        <w:ind w:left="1890" w:hanging="450"/>
        <w:contextualSpacing w:val="0"/>
        <w:rPr>
          <w:bCs/>
          <w:lang w:val="fr-CA"/>
        </w:rPr>
      </w:pPr>
      <w:r w:rsidRPr="006B5BF6">
        <w:rPr>
          <w:b/>
          <w:bCs/>
          <w:lang w:val="fr-CA"/>
        </w:rPr>
        <w:tab/>
        <w:t>a)</w:t>
      </w:r>
      <w:r w:rsidRPr="006B5BF6">
        <w:rPr>
          <w:bCs/>
          <w:lang w:val="fr-CA"/>
        </w:rPr>
        <w:t xml:space="preserve"> agent diplomatique ou consulaire, représentant à un autre titre ou au service au Canada d</w:t>
      </w:r>
      <w:r>
        <w:rPr>
          <w:bCs/>
          <w:lang w:val="fr-CA"/>
        </w:rPr>
        <w:t>’</w:t>
      </w:r>
      <w:r w:rsidRPr="006B5BF6">
        <w:rPr>
          <w:bCs/>
          <w:lang w:val="fr-CA"/>
        </w:rPr>
        <w:t>un gouvernement étranger;</w:t>
      </w:r>
    </w:p>
    <w:p w14:paraId="2A87E01D" w14:textId="77777777" w:rsidR="00AE2373" w:rsidRPr="006B5BF6" w:rsidRDefault="00AE2373" w:rsidP="00AE2373">
      <w:pPr>
        <w:pStyle w:val="Citation-AltC"/>
        <w:spacing w:after="240"/>
        <w:ind w:left="1890" w:hanging="450"/>
        <w:contextualSpacing w:val="0"/>
        <w:rPr>
          <w:bCs/>
          <w:lang w:val="fr-CA"/>
        </w:rPr>
      </w:pPr>
      <w:r w:rsidRPr="006B5BF6">
        <w:rPr>
          <w:b/>
          <w:bCs/>
          <w:lang w:val="fr-CA"/>
        </w:rPr>
        <w:tab/>
        <w:t>b)</w:t>
      </w:r>
      <w:r w:rsidRPr="006B5BF6">
        <w:rPr>
          <w:bCs/>
          <w:lang w:val="fr-CA"/>
        </w:rPr>
        <w:t xml:space="preserve"> au service d</w:t>
      </w:r>
      <w:r>
        <w:rPr>
          <w:bCs/>
          <w:lang w:val="fr-CA"/>
        </w:rPr>
        <w:t>’</w:t>
      </w:r>
      <w:r w:rsidRPr="006B5BF6">
        <w:rPr>
          <w:bCs/>
          <w:lang w:val="fr-CA"/>
        </w:rPr>
        <w:t>une personne mentionnée à l</w:t>
      </w:r>
      <w:r>
        <w:rPr>
          <w:bCs/>
          <w:lang w:val="fr-CA"/>
        </w:rPr>
        <w:t>’</w:t>
      </w:r>
      <w:r w:rsidRPr="006B5BF6">
        <w:rPr>
          <w:bCs/>
          <w:lang w:val="fr-CA"/>
        </w:rPr>
        <w:t>alinéa a);</w:t>
      </w:r>
    </w:p>
    <w:p w14:paraId="39AD8E54" w14:textId="77777777" w:rsidR="00AE2373" w:rsidRPr="006B5BF6" w:rsidRDefault="00AE2373" w:rsidP="00AE2373">
      <w:pPr>
        <w:pStyle w:val="Citation-AltC"/>
        <w:ind w:left="1890" w:hanging="450"/>
        <w:contextualSpacing w:val="0"/>
        <w:rPr>
          <w:bCs/>
          <w:lang w:val="fr-CA"/>
        </w:rPr>
      </w:pPr>
      <w:r w:rsidRPr="006B5BF6">
        <w:rPr>
          <w:b/>
          <w:bCs/>
          <w:lang w:val="fr-CA"/>
        </w:rPr>
        <w:tab/>
        <w:t>c)</w:t>
      </w:r>
      <w:r w:rsidRPr="006B5BF6">
        <w:rPr>
          <w:bCs/>
          <w:lang w:val="fr-CA"/>
        </w:rPr>
        <w:t xml:space="preserve"> fonctionnaire ou au service, au Canada, d</w:t>
      </w:r>
      <w:r>
        <w:rPr>
          <w:bCs/>
          <w:lang w:val="fr-CA"/>
        </w:rPr>
        <w:t>’</w:t>
      </w:r>
      <w:r w:rsidRPr="006B5BF6">
        <w:rPr>
          <w:bCs/>
          <w:lang w:val="fr-CA"/>
        </w:rPr>
        <w:t>une organisation internationale — notamment d</w:t>
      </w:r>
      <w:r>
        <w:rPr>
          <w:bCs/>
          <w:lang w:val="fr-CA"/>
        </w:rPr>
        <w:t>’</w:t>
      </w:r>
      <w:r w:rsidRPr="006B5BF6">
        <w:rPr>
          <w:bCs/>
          <w:lang w:val="fr-CA"/>
        </w:rPr>
        <w:t>une institution spécialisée des Nations Unies — bénéficiant sous le régime d</w:t>
      </w:r>
      <w:r>
        <w:rPr>
          <w:bCs/>
          <w:lang w:val="fr-CA"/>
        </w:rPr>
        <w:t>’</w:t>
      </w:r>
      <w:r w:rsidRPr="006B5BF6">
        <w:rPr>
          <w:bCs/>
          <w:lang w:val="fr-CA"/>
        </w:rPr>
        <w:t>une loi fédérale de privilèges et immunités diplomatiques que le ministre des Affaires étrangères certifie être équivalents à ceux dont jouissent les personnes visées à l</w:t>
      </w:r>
      <w:r>
        <w:rPr>
          <w:bCs/>
          <w:lang w:val="fr-CA"/>
        </w:rPr>
        <w:t>’</w:t>
      </w:r>
      <w:r w:rsidRPr="006B5BF6">
        <w:rPr>
          <w:bCs/>
          <w:lang w:val="fr-CA"/>
        </w:rPr>
        <w:t>alinéa a).</w:t>
      </w:r>
    </w:p>
    <w:p w14:paraId="523A0588" w14:textId="77777777" w:rsidR="00AE2373" w:rsidRPr="006B5BF6" w:rsidRDefault="00AE2373" w:rsidP="00AE2373">
      <w:pPr>
        <w:pStyle w:val="ContinueParaSuitedupar-AltP"/>
        <w:spacing w:before="0"/>
        <w:rPr>
          <w:rFonts w:cs="Times New Roman"/>
          <w:lang w:val="fr-CA"/>
        </w:rPr>
      </w:pPr>
      <w:r w:rsidRPr="006B5BF6">
        <w:rPr>
          <w:rFonts w:cs="Times New Roman"/>
          <w:lang w:val="fr-CA"/>
        </w:rPr>
        <w:t>Suivant la règle générale énoncée à l</w:t>
      </w:r>
      <w:r>
        <w:rPr>
          <w:rFonts w:cs="Times New Roman"/>
          <w:lang w:val="fr-CA"/>
        </w:rPr>
        <w:t>’</w:t>
      </w:r>
      <w:r w:rsidRPr="006B5BF6">
        <w:rPr>
          <w:rFonts w:cs="Times New Roman"/>
          <w:lang w:val="fr-CA"/>
        </w:rPr>
        <w:t>al. 3(1)</w:t>
      </w:r>
      <w:r w:rsidRPr="00F30177">
        <w:rPr>
          <w:rFonts w:cs="Times New Roman"/>
          <w:iCs/>
          <w:lang w:val="fr-CA"/>
        </w:rPr>
        <w:t>a)</w:t>
      </w:r>
      <w:r w:rsidRPr="006B5BF6">
        <w:rPr>
          <w:rFonts w:cs="Times New Roman"/>
          <w:lang w:val="fr-CA"/>
        </w:rPr>
        <w:t xml:space="preserve"> de la Loi, les personnes nées au Canada ont qualité de citoyens canadiens. Le paragraphe 3(2) prévoit une exception à cette règle, de sorte que, si cette disposition s</w:t>
      </w:r>
      <w:r>
        <w:rPr>
          <w:rFonts w:cs="Times New Roman"/>
          <w:lang w:val="fr-CA"/>
        </w:rPr>
        <w:t>’</w:t>
      </w:r>
      <w:r w:rsidRPr="006B5BF6">
        <w:rPr>
          <w:rFonts w:cs="Times New Roman"/>
          <w:lang w:val="fr-CA"/>
        </w:rPr>
        <w:t>applique à M. Vavilov, celui</w:t>
      </w:r>
      <w:r w:rsidRPr="006B5BF6">
        <w:rPr>
          <w:rFonts w:cs="Times New Roman"/>
          <w:lang w:val="fr-CA"/>
        </w:rPr>
        <w:noBreakHyphen/>
        <w:t>ci n</w:t>
      </w:r>
      <w:r>
        <w:rPr>
          <w:rFonts w:cs="Times New Roman"/>
          <w:lang w:val="fr-CA"/>
        </w:rPr>
        <w:t>’</w:t>
      </w:r>
      <w:r w:rsidRPr="006B5BF6">
        <w:rPr>
          <w:rFonts w:cs="Times New Roman"/>
          <w:lang w:val="fr-CA"/>
        </w:rPr>
        <w:t>a jamais été citoyen canadien.</w:t>
      </w:r>
    </w:p>
    <w:p w14:paraId="16F30428"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La question précise à trancher en l</w:t>
      </w:r>
      <w:r>
        <w:rPr>
          <w:rFonts w:cs="Times New Roman"/>
          <w:lang w:val="fr-CA"/>
        </w:rPr>
        <w:t>’</w:t>
      </w:r>
      <w:r w:rsidRPr="006B5BF6">
        <w:rPr>
          <w:rFonts w:cs="Times New Roman"/>
          <w:lang w:val="fr-CA"/>
        </w:rPr>
        <w:t>espèce est de savoir si l</w:t>
      </w:r>
      <w:r>
        <w:rPr>
          <w:rFonts w:cs="Times New Roman"/>
          <w:lang w:val="fr-CA"/>
        </w:rPr>
        <w:t>’</w:t>
      </w:r>
      <w:r w:rsidRPr="006B5BF6">
        <w:rPr>
          <w:rFonts w:cs="Times New Roman"/>
          <w:lang w:val="fr-CA"/>
        </w:rPr>
        <w:t>interprétation que la greffière a donnée à l</w:t>
      </w:r>
      <w:r>
        <w:rPr>
          <w:rFonts w:cs="Times New Roman"/>
          <w:lang w:val="fr-CA"/>
        </w:rPr>
        <w:t>’</w:t>
      </w:r>
      <w:r w:rsidRPr="006B5BF6">
        <w:rPr>
          <w:rFonts w:cs="Times New Roman"/>
          <w:lang w:val="fr-CA"/>
        </w:rPr>
        <w:t>exception prévue par la Loi à la règle de la citoyenneté était raisonnable. Le contrôle effectué en fonction de la norme de la décision raisonnable commande la déférence à l</w:t>
      </w:r>
      <w:r>
        <w:rPr>
          <w:rFonts w:cs="Times New Roman"/>
          <w:lang w:val="fr-CA"/>
        </w:rPr>
        <w:t>’</w:t>
      </w:r>
      <w:r w:rsidRPr="006B5BF6">
        <w:rPr>
          <w:rFonts w:cs="Times New Roman"/>
          <w:lang w:val="fr-CA"/>
        </w:rPr>
        <w:t>endroit du décideur et nous débutons notre analyse en examinant les motifs invoqués par la greffière à la lumière du contexte et des moyens plaidés.</w:t>
      </w:r>
    </w:p>
    <w:p w14:paraId="03F32C88"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Dans le cas qui nous occupe, la greffière a résumé, dans la lettre qu</w:t>
      </w:r>
      <w:r>
        <w:rPr>
          <w:rFonts w:cs="Times New Roman"/>
          <w:lang w:val="fr-CA"/>
        </w:rPr>
        <w:t>’</w:t>
      </w:r>
      <w:r w:rsidRPr="006B5BF6">
        <w:rPr>
          <w:rFonts w:cs="Times New Roman"/>
          <w:lang w:val="fr-CA"/>
        </w:rPr>
        <w:t>elle a adressée à M. Vavilov, les principaux motifs à l</w:t>
      </w:r>
      <w:r>
        <w:rPr>
          <w:rFonts w:cs="Times New Roman"/>
          <w:lang w:val="fr-CA"/>
        </w:rPr>
        <w:t>’</w:t>
      </w:r>
      <w:r w:rsidRPr="006B5BF6">
        <w:rPr>
          <w:rFonts w:cs="Times New Roman"/>
          <w:lang w:val="fr-CA"/>
        </w:rPr>
        <w:t xml:space="preserve">appui de sa décision. En concluant que </w:t>
      </w:r>
      <w:r w:rsidRPr="006B5BF6">
        <w:rPr>
          <w:rFonts w:cs="Times New Roman"/>
          <w:lang w:val="fr-CA"/>
        </w:rPr>
        <w:lastRenderedPageBreak/>
        <w:t>M. Vavilov n</w:t>
      </w:r>
      <w:r>
        <w:rPr>
          <w:rFonts w:cs="Times New Roman"/>
          <w:lang w:val="fr-CA"/>
        </w:rPr>
        <w:t>’</w:t>
      </w:r>
      <w:r w:rsidRPr="006B5BF6">
        <w:rPr>
          <w:rFonts w:cs="Times New Roman"/>
          <w:lang w:val="fr-CA"/>
        </w:rPr>
        <w:t>avait pas droit à la citoyenneté canadienne, la greffière a fait sienne les recommandations d</w:t>
      </w:r>
      <w:r>
        <w:rPr>
          <w:rFonts w:cs="Times New Roman"/>
          <w:lang w:val="fr-CA"/>
        </w:rPr>
        <w:t>’</w:t>
      </w:r>
      <w:r w:rsidRPr="006B5BF6">
        <w:rPr>
          <w:rFonts w:cs="Times New Roman"/>
          <w:lang w:val="fr-CA"/>
        </w:rPr>
        <w:t>une analyste qui travaillait pour Citoyenneté et Immigration Canada. Ce rapport fait partie à juste titre des motifs à l</w:t>
      </w:r>
      <w:r>
        <w:rPr>
          <w:rFonts w:cs="Times New Roman"/>
          <w:lang w:val="fr-CA"/>
        </w:rPr>
        <w:t>’</w:t>
      </w:r>
      <w:r w:rsidRPr="006B5BF6">
        <w:rPr>
          <w:rFonts w:cs="Times New Roman"/>
          <w:lang w:val="fr-CA"/>
        </w:rPr>
        <w:t>appui de la décision de la greffière.</w:t>
      </w:r>
    </w:p>
    <w:p w14:paraId="23000126"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Dans son rapport, l</w:t>
      </w:r>
      <w:r>
        <w:rPr>
          <w:rFonts w:cs="Times New Roman"/>
          <w:lang w:val="fr-CA"/>
        </w:rPr>
        <w:t>’</w:t>
      </w:r>
      <w:r w:rsidRPr="006B5BF6">
        <w:rPr>
          <w:rFonts w:cs="Times New Roman"/>
          <w:lang w:val="fr-CA"/>
        </w:rPr>
        <w:t>analyste a tenté de répondre à la question de savoir si un certificat de citoyenneté canadienne avait été délivré par erreur à M. Vavilov. Elle a également précisé que la question clé à trancher en l</w:t>
      </w:r>
      <w:r>
        <w:rPr>
          <w:rFonts w:cs="Times New Roman"/>
          <w:lang w:val="fr-CA"/>
        </w:rPr>
        <w:t>’</w:t>
      </w:r>
      <w:r w:rsidRPr="006B5BF6">
        <w:rPr>
          <w:rFonts w:cs="Times New Roman"/>
          <w:lang w:val="fr-CA"/>
        </w:rPr>
        <w:t>espèce était celle de savoir si le père ou la mère de M. Vavilov était un « représentant à un autre titre ou au service » d</w:t>
      </w:r>
      <w:r>
        <w:rPr>
          <w:rFonts w:cs="Times New Roman"/>
          <w:lang w:val="fr-CA"/>
        </w:rPr>
        <w:t>’</w:t>
      </w:r>
      <w:r w:rsidRPr="006B5BF6">
        <w:rPr>
          <w:rFonts w:cs="Times New Roman"/>
          <w:lang w:val="fr-CA"/>
        </w:rPr>
        <w:t>un gouvernement étranger au sens de l</w:t>
      </w:r>
      <w:r>
        <w:rPr>
          <w:rFonts w:cs="Times New Roman"/>
          <w:lang w:val="fr-CA"/>
        </w:rPr>
        <w:t>’</w:t>
      </w:r>
      <w:r w:rsidRPr="006B5BF6">
        <w:rPr>
          <w:rFonts w:cs="Times New Roman"/>
          <w:lang w:val="fr-CA"/>
        </w:rPr>
        <w:t>al. 3(2)</w:t>
      </w:r>
      <w:r w:rsidRPr="0092234E">
        <w:rPr>
          <w:rFonts w:cs="Times New Roman"/>
          <w:iCs/>
          <w:lang w:val="fr-CA"/>
        </w:rPr>
        <w:t>a)</w:t>
      </w:r>
      <w:r w:rsidRPr="006B5BF6">
        <w:rPr>
          <w:rFonts w:cs="Times New Roman"/>
          <w:lang w:val="fr-CA"/>
        </w:rPr>
        <w:t>. Une bonne partie du rapport traite de questions qui ne sont pas contestées dans le présent pourvoi, dont celle du statut juridique des parents de M. Vavilov au Canada et de leur emploi comme agents du renseignement russes.</w:t>
      </w:r>
    </w:p>
    <w:p w14:paraId="5238DAEE" w14:textId="77777777" w:rsidR="00AE2373" w:rsidRPr="006B5BF6" w:rsidRDefault="00AE2373" w:rsidP="00AE2373">
      <w:pPr>
        <w:pStyle w:val="ParaNoNdepar-AltN"/>
        <w:tabs>
          <w:tab w:val="clear" w:pos="1166"/>
          <w:tab w:val="clear" w:pos="1422"/>
          <w:tab w:val="num" w:pos="1152"/>
        </w:tabs>
        <w:rPr>
          <w:rFonts w:cs="Times New Roman"/>
          <w:lang w:val="fr-CA"/>
        </w:rPr>
      </w:pPr>
      <w:r w:rsidRPr="006B5BF6">
        <w:rPr>
          <w:rFonts w:cs="Times New Roman"/>
          <w:lang w:val="fr-CA"/>
        </w:rPr>
        <w:t>L</w:t>
      </w:r>
      <w:r>
        <w:rPr>
          <w:rFonts w:cs="Times New Roman"/>
          <w:lang w:val="fr-CA"/>
        </w:rPr>
        <w:t>’</w:t>
      </w:r>
      <w:r w:rsidRPr="006B5BF6">
        <w:rPr>
          <w:rFonts w:cs="Times New Roman"/>
          <w:lang w:val="fr-CA"/>
        </w:rPr>
        <w:t>analyste a débuté son analyse par un examen du libellé de l</w:t>
      </w:r>
      <w:r>
        <w:rPr>
          <w:rFonts w:cs="Times New Roman"/>
          <w:lang w:val="fr-CA"/>
        </w:rPr>
        <w:t>’</w:t>
      </w:r>
      <w:r w:rsidRPr="006B5BF6">
        <w:rPr>
          <w:rFonts w:cs="Times New Roman"/>
          <w:lang w:val="fr-CA"/>
        </w:rPr>
        <w:t>al. 3(2)</w:t>
      </w:r>
      <w:r w:rsidRPr="0092234E">
        <w:rPr>
          <w:rFonts w:cs="Times New Roman"/>
          <w:iCs/>
          <w:lang w:val="fr-CA"/>
        </w:rPr>
        <w:t>a)</w:t>
      </w:r>
      <w:r w:rsidRPr="006B5BF6">
        <w:rPr>
          <w:rFonts w:cs="Times New Roman"/>
          <w:lang w:val="fr-CA"/>
        </w:rPr>
        <w:t>. Pour conclure que cette disposition avait pour effet d</w:t>
      </w:r>
      <w:r>
        <w:rPr>
          <w:rFonts w:cs="Times New Roman"/>
          <w:lang w:val="fr-CA"/>
        </w:rPr>
        <w:t>’</w:t>
      </w:r>
      <w:r w:rsidRPr="006B5BF6">
        <w:rPr>
          <w:rFonts w:cs="Times New Roman"/>
          <w:lang w:val="fr-CA"/>
        </w:rPr>
        <w:t>empêcher M. Vavilov d</w:t>
      </w:r>
      <w:r>
        <w:rPr>
          <w:rFonts w:cs="Times New Roman"/>
          <w:lang w:val="fr-CA"/>
        </w:rPr>
        <w:t>’</w:t>
      </w:r>
      <w:r w:rsidRPr="006B5BF6">
        <w:rPr>
          <w:rFonts w:cs="Times New Roman"/>
          <w:lang w:val="fr-CA"/>
        </w:rPr>
        <w:t>obtenir la citoyenneté canadienne, elle a invoqué deux arguments tirés du texte. D</w:t>
      </w:r>
      <w:r>
        <w:rPr>
          <w:rFonts w:cs="Times New Roman"/>
          <w:lang w:val="fr-CA"/>
        </w:rPr>
        <w:t>’</w:t>
      </w:r>
      <w:r w:rsidRPr="006B5BF6">
        <w:rPr>
          <w:rFonts w:cs="Times New Roman"/>
          <w:lang w:val="fr-CA"/>
        </w:rPr>
        <w:t>abord, elle a comparé la version actuelle de l</w:t>
      </w:r>
      <w:r>
        <w:rPr>
          <w:rFonts w:cs="Times New Roman"/>
          <w:lang w:val="fr-CA"/>
        </w:rPr>
        <w:t>’</w:t>
      </w:r>
      <w:r w:rsidRPr="006B5BF6">
        <w:rPr>
          <w:rFonts w:cs="Times New Roman"/>
          <w:lang w:val="fr-CA"/>
        </w:rPr>
        <w:t>al. 3(2)</w:t>
      </w:r>
      <w:r w:rsidRPr="0092234E">
        <w:rPr>
          <w:rFonts w:cs="Times New Roman"/>
          <w:iCs/>
          <w:lang w:val="fr-CA"/>
        </w:rPr>
        <w:t>a)</w:t>
      </w:r>
      <w:r w:rsidRPr="006B5BF6">
        <w:rPr>
          <w:rFonts w:cs="Times New Roman"/>
          <w:lang w:val="fr-CA"/>
        </w:rPr>
        <w:t xml:space="preserve"> actuel à une version antérieure de l</w:t>
      </w:r>
      <w:r>
        <w:rPr>
          <w:rFonts w:cs="Times New Roman"/>
          <w:lang w:val="fr-CA"/>
        </w:rPr>
        <w:t>’</w:t>
      </w:r>
      <w:r w:rsidRPr="006B5BF6">
        <w:rPr>
          <w:rFonts w:cs="Times New Roman"/>
          <w:lang w:val="fr-CA"/>
        </w:rPr>
        <w:t xml:space="preserve">exception énoncée </w:t>
      </w:r>
      <w:r>
        <w:rPr>
          <w:rFonts w:cs="Times New Roman"/>
          <w:lang w:val="fr-CA"/>
        </w:rPr>
        <w:t xml:space="preserve">au par. 5(3) de </w:t>
      </w:r>
      <w:r w:rsidRPr="006B5BF6">
        <w:rPr>
          <w:rFonts w:cs="Times New Roman"/>
          <w:lang w:val="fr-CA"/>
        </w:rPr>
        <w:t xml:space="preserve">la </w:t>
      </w:r>
      <w:r w:rsidRPr="006B5BF6">
        <w:rPr>
          <w:rFonts w:cs="Times New Roman"/>
          <w:i/>
          <w:lang w:val="fr-CA"/>
        </w:rPr>
        <w:t>Loi sur la citoyenneté canadienne</w:t>
      </w:r>
      <w:r w:rsidRPr="006B5BF6">
        <w:rPr>
          <w:rFonts w:cs="Times New Roman"/>
          <w:lang w:val="fr-CA"/>
        </w:rPr>
        <w:t>, S.R.C. 1970, c. C</w:t>
      </w:r>
      <w:r w:rsidRPr="006B5BF6">
        <w:rPr>
          <w:rFonts w:cs="Times New Roman"/>
          <w:lang w:val="fr-CA"/>
        </w:rPr>
        <w:noBreakHyphen/>
        <w:t>19 :</w:t>
      </w:r>
    </w:p>
    <w:p w14:paraId="6A33CB47" w14:textId="77777777" w:rsidR="00AE2373" w:rsidRPr="006B5BF6" w:rsidRDefault="00AE2373" w:rsidP="00AE2373">
      <w:pPr>
        <w:pStyle w:val="Citation-AltC"/>
        <w:spacing w:after="240"/>
        <w:ind w:hanging="446"/>
        <w:contextualSpacing w:val="0"/>
        <w:rPr>
          <w:b/>
          <w:lang w:val="fr-CA"/>
        </w:rPr>
      </w:pPr>
      <w:r w:rsidRPr="006B5BF6">
        <w:rPr>
          <w:b/>
          <w:lang w:val="fr-CA"/>
        </w:rPr>
        <w:tab/>
        <w:t>Ne s</w:t>
      </w:r>
      <w:r>
        <w:rPr>
          <w:b/>
          <w:lang w:val="fr-CA"/>
        </w:rPr>
        <w:t>’</w:t>
      </w:r>
      <w:r w:rsidRPr="006B5BF6">
        <w:rPr>
          <w:b/>
          <w:lang w:val="fr-CA"/>
        </w:rPr>
        <w:t>applique pas aux enfants de diplomates étrangers, etc.</w:t>
      </w:r>
    </w:p>
    <w:p w14:paraId="600A556E" w14:textId="77777777" w:rsidR="00AE2373" w:rsidRPr="006B5BF6" w:rsidRDefault="00AE2373" w:rsidP="00AE2373">
      <w:pPr>
        <w:pStyle w:val="Citation-AltC"/>
        <w:spacing w:after="240"/>
        <w:ind w:hanging="446"/>
        <w:contextualSpacing w:val="0"/>
        <w:rPr>
          <w:lang w:val="fr-CA"/>
        </w:rPr>
      </w:pPr>
      <w:r w:rsidRPr="006B5BF6">
        <w:rPr>
          <w:lang w:val="fr-CA"/>
        </w:rPr>
        <w:tab/>
        <w:t>(3) Le paragraphe (1) ne s</w:t>
      </w:r>
      <w:r>
        <w:rPr>
          <w:lang w:val="fr-CA"/>
        </w:rPr>
        <w:t>’</w:t>
      </w:r>
      <w:r w:rsidRPr="006B5BF6">
        <w:rPr>
          <w:lang w:val="fr-CA"/>
        </w:rPr>
        <w:t>applique pas à une personne si, au moment de la naissance de cette personne, son parent responsable</w:t>
      </w:r>
    </w:p>
    <w:p w14:paraId="077C59B8" w14:textId="77777777" w:rsidR="00AE2373" w:rsidRPr="006B5BF6" w:rsidRDefault="00AE2373" w:rsidP="00AE2373">
      <w:pPr>
        <w:pStyle w:val="Citation-AltC"/>
        <w:spacing w:after="240"/>
        <w:ind w:left="1890" w:hanging="450"/>
        <w:contextualSpacing w:val="0"/>
        <w:rPr>
          <w:lang w:val="fr-CA"/>
        </w:rPr>
      </w:pPr>
      <w:r w:rsidRPr="006B5BF6">
        <w:rPr>
          <w:lang w:val="fr-CA"/>
        </w:rPr>
        <w:tab/>
      </w:r>
      <w:r w:rsidRPr="00B03AAC">
        <w:rPr>
          <w:i/>
          <w:lang w:val="fr-CA"/>
        </w:rPr>
        <w:t>a</w:t>
      </w:r>
      <w:r w:rsidRPr="006B5BF6">
        <w:rPr>
          <w:lang w:val="fr-CA"/>
        </w:rPr>
        <w:t>) était un étranger n</w:t>
      </w:r>
      <w:r>
        <w:rPr>
          <w:lang w:val="fr-CA"/>
        </w:rPr>
        <w:t>’</w:t>
      </w:r>
      <w:r w:rsidRPr="006B5BF6">
        <w:rPr>
          <w:lang w:val="fr-CA"/>
        </w:rPr>
        <w:t>ayant pas été licitement admissibilité au Canada pour y résider en permanence; et</w:t>
      </w:r>
    </w:p>
    <w:p w14:paraId="488AABE1" w14:textId="77777777" w:rsidR="00AE2373" w:rsidRPr="006B5BF6" w:rsidRDefault="00AE2373" w:rsidP="00AE2373">
      <w:pPr>
        <w:pStyle w:val="Citation-AltC"/>
        <w:spacing w:after="240"/>
        <w:ind w:left="1890" w:hanging="450"/>
        <w:contextualSpacing w:val="0"/>
        <w:rPr>
          <w:lang w:val="fr-CA"/>
        </w:rPr>
      </w:pPr>
      <w:r w:rsidRPr="006B5BF6">
        <w:rPr>
          <w:lang w:val="fr-CA"/>
        </w:rPr>
        <w:tab/>
      </w:r>
      <w:r w:rsidRPr="00B03AAC">
        <w:rPr>
          <w:i/>
          <w:lang w:val="fr-CA"/>
        </w:rPr>
        <w:t>b</w:t>
      </w:r>
      <w:r w:rsidRPr="006B5BF6">
        <w:rPr>
          <w:lang w:val="fr-CA"/>
        </w:rPr>
        <w:t>) était</w:t>
      </w:r>
    </w:p>
    <w:p w14:paraId="0AF0ADE2" w14:textId="77777777" w:rsidR="00AE2373" w:rsidRPr="006B5BF6" w:rsidRDefault="00AE2373" w:rsidP="00AE2373">
      <w:pPr>
        <w:pStyle w:val="Citation-AltC"/>
        <w:spacing w:after="240"/>
        <w:ind w:left="2610" w:hanging="450"/>
        <w:contextualSpacing w:val="0"/>
        <w:rPr>
          <w:lang w:val="fr-CA"/>
        </w:rPr>
      </w:pPr>
      <w:r w:rsidRPr="006B5BF6">
        <w:rPr>
          <w:lang w:val="fr-CA"/>
        </w:rPr>
        <w:lastRenderedPageBreak/>
        <w:tab/>
        <w:t>(i) un agent diplomatique ou consulaire étranger ou un représentant d</w:t>
      </w:r>
      <w:r>
        <w:rPr>
          <w:lang w:val="fr-CA"/>
        </w:rPr>
        <w:t>’</w:t>
      </w:r>
      <w:r w:rsidRPr="006B5BF6">
        <w:rPr>
          <w:lang w:val="fr-CA"/>
        </w:rPr>
        <w:t xml:space="preserve">un gouvernement étranger </w:t>
      </w:r>
      <w:r w:rsidRPr="006B5BF6">
        <w:rPr>
          <w:u w:val="single"/>
          <w:lang w:val="fr-CA"/>
        </w:rPr>
        <w:t>accrédité auprès de Sa Majesté</w:t>
      </w:r>
      <w:r w:rsidRPr="006B5BF6">
        <w:rPr>
          <w:lang w:val="fr-CA"/>
        </w:rPr>
        <w:t>,</w:t>
      </w:r>
    </w:p>
    <w:p w14:paraId="4E4B7418" w14:textId="77777777" w:rsidR="00AE2373" w:rsidRPr="006B5BF6" w:rsidRDefault="00AE2373" w:rsidP="00AE2373">
      <w:pPr>
        <w:pStyle w:val="Citation-AltC"/>
        <w:spacing w:after="240"/>
        <w:ind w:left="2610" w:hanging="450"/>
        <w:contextualSpacing w:val="0"/>
        <w:rPr>
          <w:lang w:val="fr-CA"/>
        </w:rPr>
      </w:pPr>
      <w:r w:rsidRPr="006B5BF6">
        <w:rPr>
          <w:lang w:val="fr-CA"/>
        </w:rPr>
        <w:tab/>
        <w:t>(ii) un employé d</w:t>
      </w:r>
      <w:r>
        <w:rPr>
          <w:lang w:val="fr-CA"/>
        </w:rPr>
        <w:t>’</w:t>
      </w:r>
      <w:r w:rsidRPr="006B5BF6">
        <w:rPr>
          <w:lang w:val="fr-CA"/>
        </w:rPr>
        <w:t xml:space="preserve">un gouvernement étranger, </w:t>
      </w:r>
      <w:r w:rsidRPr="006B5BF6">
        <w:rPr>
          <w:u w:val="single"/>
          <w:lang w:val="fr-CA"/>
        </w:rPr>
        <w:t>attaché à une mission diplomatique ou à un consulat au Canada, ou au service d</w:t>
      </w:r>
      <w:r>
        <w:rPr>
          <w:u w:val="single"/>
          <w:lang w:val="fr-CA"/>
        </w:rPr>
        <w:t>’</w:t>
      </w:r>
      <w:r w:rsidRPr="006B5BF6">
        <w:rPr>
          <w:u w:val="single"/>
          <w:lang w:val="fr-CA"/>
        </w:rPr>
        <w:t>une telle mission ou d</w:t>
      </w:r>
      <w:r>
        <w:rPr>
          <w:u w:val="single"/>
          <w:lang w:val="fr-CA"/>
        </w:rPr>
        <w:t>’</w:t>
      </w:r>
      <w:r w:rsidRPr="006B5BF6">
        <w:rPr>
          <w:u w:val="single"/>
          <w:lang w:val="fr-CA"/>
        </w:rPr>
        <w:t>un tel consulat</w:t>
      </w:r>
      <w:r w:rsidRPr="006B5BF6">
        <w:rPr>
          <w:lang w:val="fr-CA"/>
        </w:rPr>
        <w:t>, ou</w:t>
      </w:r>
    </w:p>
    <w:p w14:paraId="3FB19103" w14:textId="73B43DA5" w:rsidR="00AE2373" w:rsidRPr="006B5BF6" w:rsidRDefault="00AE2373" w:rsidP="00AE2373">
      <w:pPr>
        <w:pStyle w:val="Citation-AltC"/>
        <w:ind w:left="2606" w:hanging="446"/>
        <w:contextualSpacing w:val="0"/>
        <w:rPr>
          <w:lang w:val="fr-CA"/>
        </w:rPr>
      </w:pPr>
      <w:r w:rsidRPr="006B5BF6">
        <w:rPr>
          <w:lang w:val="fr-CA"/>
        </w:rPr>
        <w:tab/>
        <w:t>(iii) un employé au service d</w:t>
      </w:r>
      <w:r>
        <w:rPr>
          <w:lang w:val="fr-CA"/>
        </w:rPr>
        <w:t>’</w:t>
      </w:r>
      <w:r w:rsidRPr="006B5BF6">
        <w:rPr>
          <w:lang w:val="fr-CA"/>
        </w:rPr>
        <w:t>une personne mentionnée au sous</w:t>
      </w:r>
      <w:r w:rsidRPr="006B5BF6">
        <w:rPr>
          <w:lang w:val="fr-CA"/>
        </w:rPr>
        <w:noBreakHyphen/>
        <w:t xml:space="preserve">alinéa (i). </w:t>
      </w:r>
    </w:p>
    <w:p w14:paraId="1A150732" w14:textId="017C98DC"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L</w:t>
      </w:r>
      <w:r>
        <w:rPr>
          <w:rFonts w:cs="Times New Roman"/>
          <w:lang w:val="fr-CA"/>
        </w:rPr>
        <w:t>’</w:t>
      </w:r>
      <w:r w:rsidRPr="006B5BF6">
        <w:rPr>
          <w:rFonts w:cs="Times New Roman"/>
          <w:lang w:val="fr-CA"/>
        </w:rPr>
        <w:t>analyste a affirmé que la suppression des mentions d</w:t>
      </w:r>
      <w:r>
        <w:rPr>
          <w:rFonts w:cs="Times New Roman"/>
          <w:lang w:val="fr-CA"/>
        </w:rPr>
        <w:t>’</w:t>
      </w:r>
      <w:r w:rsidRPr="006B5BF6">
        <w:rPr>
          <w:rFonts w:cs="Times New Roman"/>
          <w:lang w:val="fr-CA"/>
        </w:rPr>
        <w:t>accréditation officielle et de mission diplomatique permettait de penser que l</w:t>
      </w:r>
      <w:r>
        <w:rPr>
          <w:rFonts w:cs="Times New Roman"/>
          <w:lang w:val="fr-CA"/>
        </w:rPr>
        <w:t>’</w:t>
      </w:r>
      <w:r w:rsidRPr="006B5BF6">
        <w:rPr>
          <w:rFonts w:cs="Times New Roman"/>
          <w:lang w:val="fr-CA"/>
        </w:rPr>
        <w:t>ancienne exception avait une portée plus étroite que l</w:t>
      </w:r>
      <w:r>
        <w:rPr>
          <w:rFonts w:cs="Times New Roman"/>
          <w:lang w:val="fr-CA"/>
        </w:rPr>
        <w:t>’</w:t>
      </w:r>
      <w:r w:rsidRPr="006B5BF6">
        <w:rPr>
          <w:rFonts w:cs="Times New Roman"/>
          <w:lang w:val="fr-CA"/>
        </w:rPr>
        <w:t>exception actuelle prévue à l</w:t>
      </w:r>
      <w:r>
        <w:rPr>
          <w:rFonts w:cs="Times New Roman"/>
          <w:lang w:val="fr-CA"/>
        </w:rPr>
        <w:t>’</w:t>
      </w:r>
      <w:r w:rsidRPr="006B5BF6">
        <w:rPr>
          <w:rFonts w:cs="Times New Roman"/>
          <w:lang w:val="fr-CA"/>
        </w:rPr>
        <w:t>al. 3(2)</w:t>
      </w:r>
      <w:r w:rsidRPr="0092234E">
        <w:rPr>
          <w:rFonts w:cs="Times New Roman"/>
          <w:iCs/>
          <w:lang w:val="fr-CA"/>
        </w:rPr>
        <w:t>a)</w:t>
      </w:r>
      <w:r w:rsidRPr="006B5BF6">
        <w:rPr>
          <w:rFonts w:cs="Times New Roman"/>
          <w:lang w:val="fr-CA"/>
        </w:rPr>
        <w:t xml:space="preserve">. Elle a ensuite souligné que la définition du terme « agent diplomatique ou consulaire » figurant au par. 35(1) de la </w:t>
      </w:r>
      <w:r w:rsidRPr="006B5BF6">
        <w:rPr>
          <w:rFonts w:cs="Times New Roman"/>
          <w:i/>
          <w:lang w:val="fr-CA"/>
        </w:rPr>
        <w:t>Loi d</w:t>
      </w:r>
      <w:r>
        <w:rPr>
          <w:rFonts w:cs="Times New Roman"/>
          <w:i/>
          <w:lang w:val="fr-CA"/>
        </w:rPr>
        <w:t>’</w:t>
      </w:r>
      <w:r w:rsidRPr="006B5BF6">
        <w:rPr>
          <w:rFonts w:cs="Times New Roman"/>
          <w:i/>
          <w:lang w:val="fr-CA"/>
        </w:rPr>
        <w:t>interprétation</w:t>
      </w:r>
      <w:r w:rsidRPr="006B5BF6">
        <w:rPr>
          <w:rFonts w:cs="Times New Roman"/>
          <w:lang w:val="fr-CA"/>
        </w:rPr>
        <w:t>, L.R.C. 1985, c. I</w:t>
      </w:r>
      <w:r w:rsidRPr="006B5BF6">
        <w:rPr>
          <w:rFonts w:cs="Times New Roman"/>
          <w:lang w:val="fr-CA"/>
        </w:rPr>
        <w:noBreakHyphen/>
        <w:t>21, associe clairement cette personne à un poste diplomatique. Étant donné que la version actuelle de l</w:t>
      </w:r>
      <w:r>
        <w:rPr>
          <w:rFonts w:cs="Times New Roman"/>
          <w:lang w:val="fr-CA"/>
        </w:rPr>
        <w:t>’</w:t>
      </w:r>
      <w:r w:rsidRPr="006B5BF6">
        <w:rPr>
          <w:rFonts w:cs="Times New Roman"/>
          <w:lang w:val="fr-CA"/>
        </w:rPr>
        <w:t>al. 3(2)</w:t>
      </w:r>
      <w:r w:rsidRPr="0092234E">
        <w:rPr>
          <w:rFonts w:cs="Times New Roman"/>
          <w:iCs/>
          <w:lang w:val="fr-CA"/>
        </w:rPr>
        <w:t>a)</w:t>
      </w:r>
      <w:r w:rsidRPr="006B5BF6">
        <w:rPr>
          <w:rFonts w:cs="Times New Roman"/>
          <w:lang w:val="fr-CA"/>
        </w:rPr>
        <w:t xml:space="preserve"> n</w:t>
      </w:r>
      <w:r>
        <w:rPr>
          <w:rFonts w:cs="Times New Roman"/>
          <w:lang w:val="fr-CA"/>
        </w:rPr>
        <w:t>’</w:t>
      </w:r>
      <w:r w:rsidRPr="006B5BF6">
        <w:rPr>
          <w:rFonts w:cs="Times New Roman"/>
          <w:lang w:val="fr-CA"/>
        </w:rPr>
        <w:t>associe pas les « représentant[s] à un autre titre ou au service au Canada d</w:t>
      </w:r>
      <w:r>
        <w:rPr>
          <w:rFonts w:cs="Times New Roman"/>
          <w:lang w:val="fr-CA"/>
        </w:rPr>
        <w:t>’</w:t>
      </w:r>
      <w:r w:rsidRPr="006B5BF6">
        <w:rPr>
          <w:rFonts w:cs="Times New Roman"/>
          <w:lang w:val="fr-CA"/>
        </w:rPr>
        <w:t>un gouvernement étranger » à une mission diplomatique, l</w:t>
      </w:r>
      <w:r>
        <w:rPr>
          <w:rFonts w:cs="Times New Roman"/>
          <w:lang w:val="fr-CA"/>
        </w:rPr>
        <w:t>’</w:t>
      </w:r>
      <w:r w:rsidRPr="006B5BF6">
        <w:rPr>
          <w:rFonts w:cs="Times New Roman"/>
          <w:lang w:val="fr-CA"/>
        </w:rPr>
        <w:t>analyste a conclu [</w:t>
      </w:r>
      <w:r w:rsidRPr="006B5BF6">
        <w:rPr>
          <w:rFonts w:cs="Times New Roman"/>
          <w:smallCaps/>
          <w:lang w:val="fr-CA"/>
        </w:rPr>
        <w:t>traduction</w:t>
      </w:r>
      <w:r w:rsidRPr="006B5BF6">
        <w:rPr>
          <w:rFonts w:cs="Times New Roman"/>
          <w:lang w:val="fr-CA"/>
        </w:rPr>
        <w:t>] « </w:t>
      </w:r>
      <w:r w:rsidR="00F30177">
        <w:rPr>
          <w:rFonts w:cs="Times New Roman"/>
          <w:lang w:val="fr-CA"/>
        </w:rPr>
        <w:t>[</w:t>
      </w:r>
      <w:r w:rsidR="00F30177" w:rsidRPr="006B5BF6">
        <w:rPr>
          <w:rFonts w:cs="Times New Roman"/>
          <w:lang w:val="fr-CA"/>
        </w:rPr>
        <w:t>qu</w:t>
      </w:r>
      <w:r w:rsidR="00F30177">
        <w:rPr>
          <w:rFonts w:cs="Times New Roman"/>
          <w:lang w:val="fr-CA"/>
        </w:rPr>
        <w:t>’]</w:t>
      </w:r>
      <w:r w:rsidRPr="006B5BF6">
        <w:rPr>
          <w:rFonts w:cs="Times New Roman"/>
          <w:lang w:val="fr-CA"/>
        </w:rPr>
        <w:t>il est raisonnable de soutenir que cette disposition est censée englober les personnes qui ne sont pas visées par la définition du terme “[personnel] diplomatique et consulaire” ». Enfin, l</w:t>
      </w:r>
      <w:r>
        <w:rPr>
          <w:rFonts w:cs="Times New Roman"/>
          <w:lang w:val="fr-CA"/>
        </w:rPr>
        <w:t>’</w:t>
      </w:r>
      <w:r w:rsidRPr="006B5BF6">
        <w:rPr>
          <w:rFonts w:cs="Times New Roman"/>
          <w:lang w:val="fr-CA"/>
        </w:rPr>
        <w:t>analyste a souligné que l</w:t>
      </w:r>
      <w:r>
        <w:rPr>
          <w:rFonts w:cs="Times New Roman"/>
          <w:lang w:val="fr-CA"/>
        </w:rPr>
        <w:t>’</w:t>
      </w:r>
      <w:r w:rsidRPr="006B5BF6">
        <w:rPr>
          <w:rFonts w:cs="Times New Roman"/>
          <w:lang w:val="fr-CA"/>
        </w:rPr>
        <w:t>expression « représentant à un autre titre ou au service au Canada d</w:t>
      </w:r>
      <w:r>
        <w:rPr>
          <w:rFonts w:cs="Times New Roman"/>
          <w:lang w:val="fr-CA"/>
        </w:rPr>
        <w:t>’</w:t>
      </w:r>
      <w:r w:rsidRPr="006B5BF6">
        <w:rPr>
          <w:rFonts w:cs="Times New Roman"/>
          <w:lang w:val="fr-CA"/>
        </w:rPr>
        <w:t>un gouvernement étranger » n</w:t>
      </w:r>
      <w:r>
        <w:rPr>
          <w:rFonts w:cs="Times New Roman"/>
          <w:lang w:val="fr-CA"/>
        </w:rPr>
        <w:t>’</w:t>
      </w:r>
      <w:r w:rsidRPr="006B5BF6">
        <w:rPr>
          <w:rFonts w:cs="Times New Roman"/>
          <w:lang w:val="fr-CA"/>
        </w:rPr>
        <w:t xml:space="preserve">avait pas encore été interprétée par les </w:t>
      </w:r>
      <w:r>
        <w:rPr>
          <w:rFonts w:cs="Times New Roman"/>
          <w:lang w:val="fr-CA"/>
        </w:rPr>
        <w:t>cours</w:t>
      </w:r>
      <w:r w:rsidRPr="006B5BF6">
        <w:rPr>
          <w:rFonts w:cs="Times New Roman"/>
          <w:lang w:val="fr-CA"/>
        </w:rPr>
        <w:t>.</w:t>
      </w:r>
    </w:p>
    <w:p w14:paraId="33C1BA3E"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Hormis le rapport de l</w:t>
      </w:r>
      <w:r>
        <w:rPr>
          <w:rFonts w:cs="Times New Roman"/>
          <w:lang w:val="fr-CA"/>
        </w:rPr>
        <w:t>’</w:t>
      </w:r>
      <w:r w:rsidRPr="006B5BF6">
        <w:rPr>
          <w:rFonts w:cs="Times New Roman"/>
          <w:lang w:val="fr-CA"/>
        </w:rPr>
        <w:t>analyste, le dossier renferme peu d</w:t>
      </w:r>
      <w:r>
        <w:rPr>
          <w:rFonts w:cs="Times New Roman"/>
          <w:lang w:val="fr-CA"/>
        </w:rPr>
        <w:t>’</w:t>
      </w:r>
      <w:r w:rsidRPr="006B5BF6">
        <w:rPr>
          <w:rFonts w:cs="Times New Roman"/>
          <w:lang w:val="fr-CA"/>
        </w:rPr>
        <w:t>éléments étoffant les motifs de la greffière. Il n</w:t>
      </w:r>
      <w:r>
        <w:rPr>
          <w:rFonts w:cs="Times New Roman"/>
          <w:lang w:val="fr-CA"/>
        </w:rPr>
        <w:t>’</w:t>
      </w:r>
      <w:r w:rsidRPr="006B5BF6">
        <w:rPr>
          <w:rFonts w:cs="Times New Roman"/>
          <w:lang w:val="fr-CA"/>
        </w:rPr>
        <w:t>y a aucun élément de preuve permettant de savoir si la greffière a déjà appliqué cette disposition à des personnes comme M. Vavilov, dont les parents ne jouissaient pas de privilèges ou d</w:t>
      </w:r>
      <w:r>
        <w:rPr>
          <w:rFonts w:cs="Times New Roman"/>
          <w:lang w:val="fr-CA"/>
        </w:rPr>
        <w:t>’</w:t>
      </w:r>
      <w:r w:rsidRPr="006B5BF6">
        <w:rPr>
          <w:rFonts w:cs="Times New Roman"/>
          <w:lang w:val="fr-CA"/>
        </w:rPr>
        <w:t xml:space="preserve">immunités diplomatiques. Il ne semble pas </w:t>
      </w:r>
      <w:r w:rsidRPr="006B5BF6">
        <w:rPr>
          <w:rFonts w:cs="Times New Roman"/>
          <w:lang w:val="fr-CA"/>
        </w:rPr>
        <w:lastRenderedPageBreak/>
        <w:t>y avoir non plus de politiques, de lignes directrices ou d</w:t>
      </w:r>
      <w:r>
        <w:rPr>
          <w:rFonts w:cs="Times New Roman"/>
          <w:lang w:val="fr-CA"/>
        </w:rPr>
        <w:t>’</w:t>
      </w:r>
      <w:r w:rsidRPr="006B5BF6">
        <w:rPr>
          <w:rFonts w:cs="Times New Roman"/>
          <w:lang w:val="fr-CA"/>
        </w:rPr>
        <w:t>avis juridiques internes qui auraient pu aider la greffière à prendre ce type de décision.</w:t>
      </w:r>
    </w:p>
    <w:p w14:paraId="2A12B564"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Pour contester la décision de la greffière, il incombe à M. Vavilov de démontrer pourquoi cette décision n</w:t>
      </w:r>
      <w:r>
        <w:rPr>
          <w:rFonts w:cs="Times New Roman"/>
          <w:lang w:val="fr-CA"/>
        </w:rPr>
        <w:t>’</w:t>
      </w:r>
      <w:r w:rsidRPr="006B5BF6">
        <w:rPr>
          <w:rFonts w:cs="Times New Roman"/>
          <w:lang w:val="fr-CA"/>
        </w:rPr>
        <w:t>est pas raisonnable. Devant notre Cour, M. Vavilov a soutenu que l</w:t>
      </w:r>
      <w:r>
        <w:rPr>
          <w:rFonts w:cs="Times New Roman"/>
          <w:lang w:val="fr-CA"/>
        </w:rPr>
        <w:t>’</w:t>
      </w:r>
      <w:r w:rsidRPr="006B5BF6">
        <w:rPr>
          <w:rFonts w:cs="Times New Roman"/>
          <w:lang w:val="fr-CA"/>
        </w:rPr>
        <w:t>analyste s</w:t>
      </w:r>
      <w:r>
        <w:rPr>
          <w:rFonts w:cs="Times New Roman"/>
          <w:lang w:val="fr-CA"/>
        </w:rPr>
        <w:t>’</w:t>
      </w:r>
      <w:r w:rsidRPr="006B5BF6">
        <w:rPr>
          <w:rFonts w:cs="Times New Roman"/>
          <w:lang w:val="fr-CA"/>
        </w:rPr>
        <w:t>est fondée uniquement sur le texte de l</w:t>
      </w:r>
      <w:r>
        <w:rPr>
          <w:rFonts w:cs="Times New Roman"/>
          <w:lang w:val="fr-CA"/>
        </w:rPr>
        <w:t>’</w:t>
      </w:r>
      <w:r w:rsidRPr="006B5BF6">
        <w:rPr>
          <w:rFonts w:cs="Times New Roman"/>
          <w:lang w:val="fr-CA"/>
        </w:rPr>
        <w:t>exception à la règle de la citoyenneté. De l</w:t>
      </w:r>
      <w:r>
        <w:rPr>
          <w:rFonts w:cs="Times New Roman"/>
          <w:lang w:val="fr-CA"/>
        </w:rPr>
        <w:t>’</w:t>
      </w:r>
      <w:r w:rsidRPr="006B5BF6">
        <w:rPr>
          <w:rFonts w:cs="Times New Roman"/>
          <w:lang w:val="fr-CA"/>
        </w:rPr>
        <w:t xml:space="preserve">avis de </w:t>
      </w:r>
      <w:r>
        <w:rPr>
          <w:rFonts w:cs="Times New Roman"/>
          <w:lang w:val="fr-CA"/>
        </w:rPr>
        <w:t>M. </w:t>
      </w:r>
      <w:r w:rsidRPr="006B5BF6">
        <w:rPr>
          <w:rFonts w:cs="Times New Roman"/>
          <w:lang w:val="fr-CA"/>
        </w:rPr>
        <w:t>Vavilov, si l</w:t>
      </w:r>
      <w:r>
        <w:rPr>
          <w:rFonts w:cs="Times New Roman"/>
          <w:lang w:val="fr-CA"/>
        </w:rPr>
        <w:t>’</w:t>
      </w:r>
      <w:r w:rsidRPr="006B5BF6">
        <w:rPr>
          <w:rFonts w:cs="Times New Roman"/>
          <w:lang w:val="fr-CA"/>
        </w:rPr>
        <w:t>analyste avait tenu compte des objectifs plus larges de l</w:t>
      </w:r>
      <w:r>
        <w:rPr>
          <w:rFonts w:cs="Times New Roman"/>
          <w:lang w:val="fr-CA"/>
        </w:rPr>
        <w:t>’</w:t>
      </w:r>
      <w:r w:rsidRPr="006B5BF6">
        <w:rPr>
          <w:rFonts w:cs="Times New Roman"/>
          <w:lang w:val="fr-CA"/>
        </w:rPr>
        <w:t>al. 3(2)</w:t>
      </w:r>
      <w:r w:rsidRPr="0092234E">
        <w:rPr>
          <w:rFonts w:cs="Times New Roman"/>
          <w:iCs/>
          <w:lang w:val="fr-CA"/>
        </w:rPr>
        <w:t>a)</w:t>
      </w:r>
      <w:r w:rsidRPr="006B5BF6">
        <w:rPr>
          <w:rFonts w:cs="Times New Roman"/>
          <w:lang w:val="fr-CA"/>
        </w:rPr>
        <w:t>, elle aurait conclu que les mots « représentant » et « au service » ne s</w:t>
      </w:r>
      <w:r>
        <w:rPr>
          <w:rFonts w:cs="Times New Roman"/>
          <w:lang w:val="fr-CA"/>
        </w:rPr>
        <w:t>’</w:t>
      </w:r>
      <w:r w:rsidRPr="006B5BF6">
        <w:rPr>
          <w:rFonts w:cs="Times New Roman"/>
          <w:lang w:val="fr-CA"/>
        </w:rPr>
        <w:t>appliquent qu</w:t>
      </w:r>
      <w:r>
        <w:rPr>
          <w:rFonts w:cs="Times New Roman"/>
          <w:lang w:val="fr-CA"/>
        </w:rPr>
        <w:t>’</w:t>
      </w:r>
      <w:r w:rsidRPr="006B5BF6">
        <w:rPr>
          <w:rFonts w:cs="Times New Roman"/>
          <w:lang w:val="fr-CA"/>
        </w:rPr>
        <w:t>aux personnes qui jouissent de privilèges et d</w:t>
      </w:r>
      <w:r>
        <w:rPr>
          <w:rFonts w:cs="Times New Roman"/>
          <w:lang w:val="fr-CA"/>
        </w:rPr>
        <w:t>’</w:t>
      </w:r>
      <w:r w:rsidRPr="006B5BF6">
        <w:rPr>
          <w:rFonts w:cs="Times New Roman"/>
          <w:lang w:val="fr-CA"/>
        </w:rPr>
        <w:t>immunités diplomatiques.</w:t>
      </w:r>
    </w:p>
    <w:p w14:paraId="2AC58124"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Dans les arguments qu</w:t>
      </w:r>
      <w:r>
        <w:rPr>
          <w:rFonts w:cs="Times New Roman"/>
          <w:lang w:val="fr-CA"/>
        </w:rPr>
        <w:t>’</w:t>
      </w:r>
      <w:r w:rsidRPr="006B5BF6">
        <w:rPr>
          <w:rFonts w:cs="Times New Roman"/>
          <w:lang w:val="fr-CA"/>
        </w:rPr>
        <w:t>il a présentés à la greffière, M. Vavilov a invoqué trois raisons pour lesquelles le libellé du par. 3(2) devait être interprété à la lumière des règles du droit canadien et du droit international concernant le rôle et les fonctions des diplomates.</w:t>
      </w:r>
    </w:p>
    <w:p w14:paraId="75F80450" w14:textId="7029BF33"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D</w:t>
      </w:r>
      <w:r>
        <w:rPr>
          <w:rFonts w:cs="Times New Roman"/>
          <w:lang w:val="fr-CA"/>
        </w:rPr>
        <w:t>’</w:t>
      </w:r>
      <w:r w:rsidRPr="006B5BF6">
        <w:rPr>
          <w:rFonts w:cs="Times New Roman"/>
          <w:lang w:val="fr-CA"/>
        </w:rPr>
        <w:t>abord, M. Vavilov a expliqué que l</w:t>
      </w:r>
      <w:r>
        <w:rPr>
          <w:rFonts w:cs="Times New Roman"/>
          <w:lang w:val="fr-CA"/>
        </w:rPr>
        <w:t>’</w:t>
      </w:r>
      <w:r w:rsidRPr="006B5BF6">
        <w:rPr>
          <w:rFonts w:cs="Times New Roman"/>
          <w:lang w:val="fr-CA"/>
        </w:rPr>
        <w:t>al. 3(2)</w:t>
      </w:r>
      <w:r w:rsidRPr="0092234E">
        <w:rPr>
          <w:rFonts w:cs="Times New Roman"/>
          <w:iCs/>
          <w:lang w:val="fr-CA"/>
        </w:rPr>
        <w:t>a)</w:t>
      </w:r>
      <w:r w:rsidRPr="006B5BF6">
        <w:rPr>
          <w:rFonts w:cs="Times New Roman"/>
          <w:lang w:val="fr-CA"/>
        </w:rPr>
        <w:t xml:space="preserve"> devrait être interprété en corrélation avec la </w:t>
      </w:r>
      <w:r w:rsidRPr="006B5BF6">
        <w:rPr>
          <w:rFonts w:cs="Times New Roman"/>
          <w:i/>
          <w:lang w:val="fr-CA"/>
        </w:rPr>
        <w:t>Loi sur les missions étrangères et les organisations internationales,</w:t>
      </w:r>
      <w:r w:rsidRPr="006B5BF6">
        <w:rPr>
          <w:rFonts w:cs="Times New Roman"/>
          <w:lang w:val="fr-CA"/>
        </w:rPr>
        <w:t xml:space="preserve"> L.C. 1991, c. 41 (la </w:t>
      </w:r>
      <w:r w:rsidRPr="006B5BF6">
        <w:rPr>
          <w:rFonts w:cs="Times New Roman"/>
          <w:i/>
          <w:iCs/>
          <w:lang w:val="fr-CA"/>
        </w:rPr>
        <w:t>LMEOI</w:t>
      </w:r>
      <w:r w:rsidRPr="006B5BF6">
        <w:rPr>
          <w:rFonts w:cs="Times New Roman"/>
          <w:lang w:val="fr-CA"/>
        </w:rPr>
        <w:t xml:space="preserve">). Cette loi incorpore en droit canadien des aspects de la </w:t>
      </w:r>
      <w:r w:rsidRPr="006B5BF6">
        <w:rPr>
          <w:rFonts w:cs="Times New Roman"/>
          <w:i/>
          <w:iCs/>
          <w:lang w:val="fr-CA"/>
        </w:rPr>
        <w:t>Convention de Vienne sur les relations diplomatiques</w:t>
      </w:r>
      <w:r w:rsidRPr="006B5BF6">
        <w:rPr>
          <w:rFonts w:cs="Times New Roman"/>
          <w:lang w:val="fr-CA"/>
        </w:rPr>
        <w:t>, R.T. Can. 1966, n</w:t>
      </w:r>
      <w:r w:rsidRPr="006B5BF6">
        <w:rPr>
          <w:rFonts w:cs="Times New Roman"/>
          <w:vertAlign w:val="superscript"/>
          <w:lang w:val="fr-CA"/>
        </w:rPr>
        <w:t>o</w:t>
      </w:r>
      <w:r w:rsidRPr="006B5BF6">
        <w:rPr>
          <w:rFonts w:cs="Times New Roman"/>
          <w:lang w:val="fr-CA"/>
        </w:rPr>
        <w:t xml:space="preserve"> 29, ann. I de la </w:t>
      </w:r>
      <w:r w:rsidRPr="006B5BF6">
        <w:rPr>
          <w:rFonts w:cs="Times New Roman"/>
          <w:i/>
          <w:lang w:val="fr-CA"/>
        </w:rPr>
        <w:t>LMEOI</w:t>
      </w:r>
      <w:r w:rsidRPr="006B5BF6">
        <w:rPr>
          <w:rFonts w:cs="Times New Roman"/>
          <w:lang w:val="fr-CA"/>
        </w:rPr>
        <w:t xml:space="preserve">, et de la </w:t>
      </w:r>
      <w:r w:rsidRPr="006B5BF6">
        <w:rPr>
          <w:rFonts w:cs="Times New Roman"/>
          <w:i/>
          <w:lang w:val="fr-CA"/>
        </w:rPr>
        <w:t>Convention de Vienne sur les relations consulaires</w:t>
      </w:r>
      <w:r w:rsidRPr="006B5BF6">
        <w:rPr>
          <w:rFonts w:cs="Times New Roman"/>
          <w:lang w:val="fr-CA"/>
        </w:rPr>
        <w:t>,</w:t>
      </w:r>
      <w:r w:rsidRPr="006B5BF6">
        <w:rPr>
          <w:rFonts w:cs="Times New Roman"/>
          <w:i/>
          <w:lang w:val="fr-CA"/>
        </w:rPr>
        <w:t xml:space="preserve"> </w:t>
      </w:r>
      <w:r w:rsidRPr="006B5BF6">
        <w:rPr>
          <w:rFonts w:cs="Times New Roman"/>
          <w:lang w:val="fr-CA"/>
        </w:rPr>
        <w:t>R.T. Can. 1974, n</w:t>
      </w:r>
      <w:r w:rsidRPr="006B5BF6">
        <w:rPr>
          <w:rFonts w:cs="Times New Roman"/>
          <w:vertAlign w:val="superscript"/>
          <w:lang w:val="fr-CA"/>
        </w:rPr>
        <w:t>o</w:t>
      </w:r>
      <w:r w:rsidRPr="006B5BF6">
        <w:rPr>
          <w:rFonts w:cs="Times New Roman"/>
          <w:lang w:val="fr-CA"/>
        </w:rPr>
        <w:t xml:space="preserve"> 25, ann. II de la </w:t>
      </w:r>
      <w:r w:rsidRPr="006B5BF6">
        <w:rPr>
          <w:rFonts w:cs="Times New Roman"/>
          <w:i/>
          <w:lang w:val="fr-CA"/>
        </w:rPr>
        <w:t>LMEOI</w:t>
      </w:r>
      <w:r w:rsidRPr="006B5BF6">
        <w:rPr>
          <w:rFonts w:cs="Times New Roman"/>
          <w:lang w:val="fr-CA"/>
        </w:rPr>
        <w:t>, qui portent sur les privilèges et immunités diplomatiques. M</w:t>
      </w:r>
      <w:r w:rsidR="003E3846">
        <w:rPr>
          <w:rFonts w:cs="Times New Roman"/>
          <w:lang w:val="fr-CA"/>
        </w:rPr>
        <w:t>onsieur</w:t>
      </w:r>
      <w:r w:rsidRPr="006B5BF6">
        <w:rPr>
          <w:rFonts w:cs="Times New Roman"/>
          <w:lang w:val="fr-CA"/>
        </w:rPr>
        <w:t> Vavilov a soutenu que le par. 3(2) empêchait les enfants de diplomates d</w:t>
      </w:r>
      <w:r>
        <w:rPr>
          <w:rFonts w:cs="Times New Roman"/>
          <w:lang w:val="fr-CA"/>
        </w:rPr>
        <w:t>’</w:t>
      </w:r>
      <w:r w:rsidRPr="006B5BF6">
        <w:rPr>
          <w:rFonts w:cs="Times New Roman"/>
          <w:lang w:val="fr-CA"/>
        </w:rPr>
        <w:t>acquérir la citoyenneté, parce que les privilèges et immunités diplomatiques, y compris l</w:t>
      </w:r>
      <w:r>
        <w:rPr>
          <w:rFonts w:cs="Times New Roman"/>
          <w:lang w:val="fr-CA"/>
        </w:rPr>
        <w:t>’</w:t>
      </w:r>
      <w:r w:rsidRPr="006B5BF6">
        <w:rPr>
          <w:rFonts w:cs="Times New Roman"/>
          <w:lang w:val="fr-CA"/>
        </w:rPr>
        <w:t xml:space="preserve">immunité contre les poursuites criminelles et la responsabilité civile, étaient </w:t>
      </w:r>
      <w:r w:rsidRPr="006B5BF6">
        <w:rPr>
          <w:rFonts w:cs="Times New Roman"/>
          <w:lang w:val="fr-CA"/>
        </w:rPr>
        <w:lastRenderedPageBreak/>
        <w:t>incompatibles avec les obligations et les responsabilités de la citoyenneté. Étant donné que les parents de M. Vavilov ne bénéficiaient pas de privilèges et d</w:t>
      </w:r>
      <w:r>
        <w:rPr>
          <w:rFonts w:cs="Times New Roman"/>
          <w:lang w:val="fr-CA"/>
        </w:rPr>
        <w:t>’</w:t>
      </w:r>
      <w:r w:rsidRPr="006B5BF6">
        <w:rPr>
          <w:rFonts w:cs="Times New Roman"/>
          <w:lang w:val="fr-CA"/>
        </w:rPr>
        <w:t>immunités de cette nature, il ne servirait à rien d</w:t>
      </w:r>
      <w:r>
        <w:rPr>
          <w:rFonts w:cs="Times New Roman"/>
          <w:lang w:val="fr-CA"/>
        </w:rPr>
        <w:t>’</w:t>
      </w:r>
      <w:r w:rsidRPr="006B5BF6">
        <w:rPr>
          <w:rFonts w:cs="Times New Roman"/>
          <w:lang w:val="fr-CA"/>
        </w:rPr>
        <w:t>empêcher leurs enfants nés au Canada de devenir des citoyens canadiens.</w:t>
      </w:r>
    </w:p>
    <w:p w14:paraId="46CA60C8" w14:textId="2D5D41E5"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En deuxième lieu, M</w:t>
      </w:r>
      <w:r w:rsidR="003E3846">
        <w:rPr>
          <w:rFonts w:cs="Times New Roman"/>
          <w:lang w:val="fr-CA"/>
        </w:rPr>
        <w:t>.</w:t>
      </w:r>
      <w:r w:rsidRPr="006B5BF6">
        <w:rPr>
          <w:rFonts w:cs="Times New Roman"/>
          <w:lang w:val="fr-CA"/>
        </w:rPr>
        <w:t> Vavilov a remis à la greffière des procès</w:t>
      </w:r>
      <w:r w:rsidRPr="006B5BF6">
        <w:rPr>
          <w:rFonts w:cs="Times New Roman"/>
          <w:lang w:val="fr-CA"/>
        </w:rPr>
        <w:noBreakHyphen/>
        <w:t>verbaux de réunions de comités publiés dans le Hansard, comme les explications qu</w:t>
      </w:r>
      <w:r>
        <w:rPr>
          <w:rFonts w:cs="Times New Roman"/>
          <w:lang w:val="fr-CA"/>
        </w:rPr>
        <w:t>’</w:t>
      </w:r>
      <w:r w:rsidRPr="006B5BF6">
        <w:rPr>
          <w:rFonts w:cs="Times New Roman"/>
          <w:lang w:val="fr-CA"/>
        </w:rPr>
        <w:t>avait données l</w:t>
      </w:r>
      <w:r>
        <w:rPr>
          <w:rFonts w:cs="Times New Roman"/>
          <w:lang w:val="fr-CA"/>
        </w:rPr>
        <w:t>’</w:t>
      </w:r>
      <w:r w:rsidRPr="006B5BF6">
        <w:rPr>
          <w:rFonts w:cs="Times New Roman"/>
          <w:lang w:val="fr-CA"/>
        </w:rPr>
        <w:t>hon</w:t>
      </w:r>
      <w:r w:rsidR="00E20265">
        <w:rPr>
          <w:rFonts w:cs="Times New Roman"/>
          <w:lang w:val="fr-CA"/>
        </w:rPr>
        <w:t>.</w:t>
      </w:r>
      <w:r w:rsidRPr="006B5BF6">
        <w:rPr>
          <w:rFonts w:cs="Times New Roman"/>
          <w:lang w:val="fr-CA"/>
        </w:rPr>
        <w:t xml:space="preserve"> J. Hugh Faulkner, secrétaire d</w:t>
      </w:r>
      <w:r>
        <w:rPr>
          <w:rFonts w:cs="Times New Roman"/>
          <w:lang w:val="fr-CA"/>
        </w:rPr>
        <w:t>’</w:t>
      </w:r>
      <w:r w:rsidRPr="006B5BF6">
        <w:rPr>
          <w:rFonts w:cs="Times New Roman"/>
          <w:lang w:val="fr-CA"/>
        </w:rPr>
        <w:t>État, lors du dépôt des modifications proposées au par. 3(2), et selon lesquelles le législateur avait récrit la disposition afin de limiter la portée de l</w:t>
      </w:r>
      <w:r>
        <w:rPr>
          <w:rFonts w:cs="Times New Roman"/>
          <w:lang w:val="fr-CA"/>
        </w:rPr>
        <w:t>’</w:t>
      </w:r>
      <w:r w:rsidRPr="006B5BF6">
        <w:rPr>
          <w:rFonts w:cs="Times New Roman"/>
          <w:lang w:val="fr-CA"/>
        </w:rPr>
        <w:t>exception à la règle de la citoyenneté.</w:t>
      </w:r>
    </w:p>
    <w:p w14:paraId="5CEFABE6"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En troisième lieu, M. Vavilov a cité des décisions judiciaires pour soutenir : (i) que l</w:t>
      </w:r>
      <w:r>
        <w:rPr>
          <w:rFonts w:cs="Times New Roman"/>
          <w:lang w:val="fr-CA"/>
        </w:rPr>
        <w:t>’</w:t>
      </w:r>
      <w:r w:rsidRPr="006B5BF6">
        <w:rPr>
          <w:rFonts w:cs="Times New Roman"/>
          <w:lang w:val="fr-CA"/>
        </w:rPr>
        <w:t>exception à la règle de la citoyenneté devrait être interprétée de façon restrictive, parce qu</w:t>
      </w:r>
      <w:r>
        <w:rPr>
          <w:rFonts w:cs="Times New Roman"/>
          <w:lang w:val="fr-CA"/>
        </w:rPr>
        <w:t>’</w:t>
      </w:r>
      <w:r w:rsidRPr="006B5BF6">
        <w:rPr>
          <w:rFonts w:cs="Times New Roman"/>
          <w:lang w:val="fr-CA"/>
        </w:rPr>
        <w:t>elle supprime des droits substantiels (</w:t>
      </w:r>
      <w:r w:rsidRPr="006B5BF6">
        <w:rPr>
          <w:rFonts w:cs="Times New Roman"/>
          <w:i/>
          <w:lang w:val="fr-CA"/>
        </w:rPr>
        <w:t xml:space="preserve">Brossard c. Québec, </w:t>
      </w:r>
      <w:r w:rsidRPr="006B5BF6">
        <w:rPr>
          <w:rFonts w:cs="Times New Roman"/>
          <w:lang w:val="fr-CA"/>
        </w:rPr>
        <w:t>[1988] 2 R.C.S. 279, p. 307), (ii) que l</w:t>
      </w:r>
      <w:r>
        <w:rPr>
          <w:rFonts w:cs="Times New Roman"/>
          <w:lang w:val="fr-CA"/>
        </w:rPr>
        <w:t>’</w:t>
      </w:r>
      <w:r w:rsidRPr="006B5BF6">
        <w:rPr>
          <w:rFonts w:cs="Times New Roman"/>
          <w:lang w:val="fr-CA"/>
        </w:rPr>
        <w:t>al. 3(2)</w:t>
      </w:r>
      <w:r w:rsidRPr="0092234E">
        <w:rPr>
          <w:rFonts w:cs="Times New Roman"/>
          <w:iCs/>
          <w:lang w:val="fr-CA"/>
        </w:rPr>
        <w:t>a)</w:t>
      </w:r>
      <w:r w:rsidRPr="006B5BF6">
        <w:rPr>
          <w:rFonts w:cs="Times New Roman"/>
          <w:i/>
          <w:iCs/>
          <w:lang w:val="fr-CA"/>
        </w:rPr>
        <w:t xml:space="preserve"> </w:t>
      </w:r>
      <w:r w:rsidRPr="006B5BF6">
        <w:rPr>
          <w:rFonts w:cs="Times New Roman"/>
          <w:lang w:val="fr-CA"/>
        </w:rPr>
        <w:t>devait recevoir une interprétation fonctionnelle et fondée sur son objet (</w:t>
      </w:r>
      <w:r w:rsidRPr="006B5BF6">
        <w:rPr>
          <w:rFonts w:cs="Times New Roman"/>
          <w:i/>
          <w:lang w:val="fr-CA"/>
        </w:rPr>
        <w:t>Medovarski c. Canada</w:t>
      </w:r>
      <w:r>
        <w:rPr>
          <w:rFonts w:cs="Times New Roman"/>
          <w:i/>
          <w:lang w:val="fr-CA"/>
        </w:rPr>
        <w:t xml:space="preserve"> (Ministre de la Citoyenneté et de l’Immigration)</w:t>
      </w:r>
      <w:r w:rsidRPr="006B5BF6">
        <w:rPr>
          <w:rFonts w:cs="Times New Roman"/>
          <w:lang w:val="fr-CA"/>
        </w:rPr>
        <w:t xml:space="preserve">, [2005] 2 R.C.S. 539, par. 8), et (iii) que, étant donné que les parents de </w:t>
      </w:r>
      <w:r>
        <w:rPr>
          <w:rFonts w:cs="Times New Roman"/>
          <w:lang w:val="fr-CA"/>
        </w:rPr>
        <w:t>M. </w:t>
      </w:r>
      <w:r w:rsidRPr="006B5BF6">
        <w:rPr>
          <w:rFonts w:cs="Times New Roman"/>
          <w:lang w:val="fr-CA"/>
        </w:rPr>
        <w:t>Vavilov ne bénéficiaient pas de l</w:t>
      </w:r>
      <w:r>
        <w:rPr>
          <w:rFonts w:cs="Times New Roman"/>
          <w:lang w:val="fr-CA"/>
        </w:rPr>
        <w:t>’</w:t>
      </w:r>
      <w:r w:rsidRPr="006B5BF6">
        <w:rPr>
          <w:rFonts w:cs="Times New Roman"/>
          <w:lang w:val="fr-CA"/>
        </w:rPr>
        <w:t>immunité à l</w:t>
      </w:r>
      <w:r>
        <w:rPr>
          <w:rFonts w:cs="Times New Roman"/>
          <w:lang w:val="fr-CA"/>
        </w:rPr>
        <w:t>’</w:t>
      </w:r>
      <w:r w:rsidRPr="006B5BF6">
        <w:rPr>
          <w:rFonts w:cs="Times New Roman"/>
          <w:lang w:val="fr-CA"/>
        </w:rPr>
        <w:t>égard des poursuites criminelles et civiles, ils n</w:t>
      </w:r>
      <w:r>
        <w:rPr>
          <w:rFonts w:cs="Times New Roman"/>
          <w:lang w:val="fr-CA"/>
        </w:rPr>
        <w:t>’</w:t>
      </w:r>
      <w:r w:rsidRPr="006B5BF6">
        <w:rPr>
          <w:rFonts w:cs="Times New Roman"/>
          <w:lang w:val="fr-CA"/>
        </w:rPr>
        <w:t>étaient pas visés par le par. 3(2) (</w:t>
      </w:r>
      <w:r w:rsidRPr="006B5BF6">
        <w:rPr>
          <w:rFonts w:cs="Times New Roman"/>
          <w:i/>
          <w:lang w:val="fr-CA"/>
        </w:rPr>
        <w:t>Greco c. Holy See (State of the Vatican City)</w:t>
      </w:r>
      <w:r w:rsidRPr="006B5BF6">
        <w:rPr>
          <w:rFonts w:cs="Times New Roman"/>
          <w:lang w:val="fr-CA"/>
        </w:rPr>
        <w:t xml:space="preserve">, [1999] O.J. No. 2467 (QL) (C.S.J.); </w:t>
      </w:r>
      <w:r w:rsidRPr="006B5BF6">
        <w:rPr>
          <w:rFonts w:cs="Times New Roman"/>
          <w:i/>
          <w:lang w:val="fr-CA"/>
        </w:rPr>
        <w:t xml:space="preserve">R. c. Bonadie </w:t>
      </w:r>
      <w:r w:rsidRPr="006B5BF6">
        <w:rPr>
          <w:rFonts w:cs="Times New Roman"/>
          <w:lang w:val="fr-CA"/>
        </w:rPr>
        <w:t xml:space="preserve">(1996), 109 C.C.C. (3d) 356 (C.J. Ont.); </w:t>
      </w:r>
      <w:r w:rsidRPr="006B5BF6">
        <w:rPr>
          <w:rFonts w:cs="Times New Roman"/>
          <w:i/>
          <w:lang w:val="fr-CA"/>
        </w:rPr>
        <w:t>Al</w:t>
      </w:r>
      <w:r w:rsidRPr="006B5BF6">
        <w:rPr>
          <w:rFonts w:cs="Times New Roman"/>
          <w:i/>
          <w:lang w:val="fr-CA"/>
        </w:rPr>
        <w:noBreakHyphen/>
        <w:t>Ghamdi c. Canada (Ministre des Affaires étrangères et du Commerce international</w:t>
      </w:r>
      <w:r w:rsidRPr="006B5BF6">
        <w:rPr>
          <w:rFonts w:cs="Times New Roman"/>
          <w:lang w:val="fr-CA"/>
        </w:rPr>
        <w:t>), 2007 CF 559</w:t>
      </w:r>
      <w:r>
        <w:rPr>
          <w:rFonts w:cs="Times New Roman"/>
          <w:lang w:val="fr-CA"/>
        </w:rPr>
        <w:t>)</w:t>
      </w:r>
      <w:r w:rsidRPr="006B5BF6">
        <w:rPr>
          <w:rFonts w:cs="Times New Roman"/>
          <w:lang w:val="fr-CA"/>
        </w:rPr>
        <w:t>.</w:t>
      </w:r>
    </w:p>
    <w:p w14:paraId="71A28F30" w14:textId="3C87D3BF"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La décision que la Cour fédérale a rendue dans l</w:t>
      </w:r>
      <w:r>
        <w:rPr>
          <w:rFonts w:cs="Times New Roman"/>
          <w:lang w:val="fr-CA"/>
        </w:rPr>
        <w:t>’</w:t>
      </w:r>
      <w:r w:rsidRPr="006B5BF6">
        <w:rPr>
          <w:rFonts w:cs="Times New Roman"/>
          <w:lang w:val="fr-CA"/>
        </w:rPr>
        <w:t xml:space="preserve">affaire </w:t>
      </w:r>
      <w:r w:rsidRPr="006B5BF6">
        <w:rPr>
          <w:rFonts w:cs="Times New Roman"/>
          <w:i/>
          <w:lang w:val="fr-CA"/>
        </w:rPr>
        <w:t>Al</w:t>
      </w:r>
      <w:r w:rsidRPr="006B5BF6">
        <w:rPr>
          <w:rFonts w:cs="Times New Roman"/>
          <w:i/>
          <w:lang w:val="fr-CA"/>
        </w:rPr>
        <w:noBreakHyphen/>
        <w:t>Ghamdi</w:t>
      </w:r>
      <w:r w:rsidRPr="006B5BF6">
        <w:rPr>
          <w:rFonts w:cs="Times New Roman"/>
          <w:lang w:val="fr-CA"/>
        </w:rPr>
        <w:t>, qui portait sur la constitutionnalité de l</w:t>
      </w:r>
      <w:r>
        <w:rPr>
          <w:rFonts w:cs="Times New Roman"/>
          <w:lang w:val="fr-CA"/>
        </w:rPr>
        <w:t>’</w:t>
      </w:r>
      <w:r w:rsidRPr="006B5BF6">
        <w:rPr>
          <w:rFonts w:cs="Times New Roman"/>
          <w:lang w:val="fr-CA"/>
        </w:rPr>
        <w:t>al. 3(2)</w:t>
      </w:r>
      <w:r w:rsidRPr="0092234E">
        <w:rPr>
          <w:rFonts w:cs="Times New Roman"/>
          <w:iCs/>
          <w:lang w:val="fr-CA"/>
        </w:rPr>
        <w:t>a)</w:t>
      </w:r>
      <w:r w:rsidRPr="006B5BF6">
        <w:rPr>
          <w:rFonts w:cs="Times New Roman"/>
          <w:lang w:val="fr-CA"/>
        </w:rPr>
        <w:t xml:space="preserve">, est particulièrement pertinente. Dans </w:t>
      </w:r>
      <w:r w:rsidRPr="006B5BF6">
        <w:rPr>
          <w:rFonts w:cs="Times New Roman"/>
          <w:lang w:val="fr-CA"/>
        </w:rPr>
        <w:lastRenderedPageBreak/>
        <w:t>cette décision, le juge Shore a écrit en effet que l</w:t>
      </w:r>
      <w:r>
        <w:rPr>
          <w:rFonts w:cs="Times New Roman"/>
          <w:lang w:val="fr-CA"/>
        </w:rPr>
        <w:t>’</w:t>
      </w:r>
      <w:r w:rsidRPr="006B5BF6">
        <w:rPr>
          <w:rFonts w:cs="Times New Roman"/>
          <w:lang w:val="fr-CA"/>
        </w:rPr>
        <w:t>al. 3(2)</w:t>
      </w:r>
      <w:r w:rsidRPr="0092234E">
        <w:rPr>
          <w:rFonts w:cs="Times New Roman"/>
          <w:iCs/>
          <w:lang w:val="fr-CA"/>
        </w:rPr>
        <w:t>a)</w:t>
      </w:r>
      <w:r w:rsidRPr="006B5BF6">
        <w:rPr>
          <w:rFonts w:cs="Times New Roman"/>
          <w:i/>
          <w:iCs/>
          <w:lang w:val="fr-CA"/>
        </w:rPr>
        <w:t xml:space="preserve"> </w:t>
      </w:r>
      <w:r w:rsidRPr="006B5BF6">
        <w:rPr>
          <w:rFonts w:cs="Times New Roman"/>
          <w:lang w:val="fr-CA"/>
        </w:rPr>
        <w:t>s</w:t>
      </w:r>
      <w:r>
        <w:rPr>
          <w:rFonts w:cs="Times New Roman"/>
          <w:lang w:val="fr-CA"/>
        </w:rPr>
        <w:t>’</w:t>
      </w:r>
      <w:r w:rsidRPr="006B5BF6">
        <w:rPr>
          <w:rFonts w:cs="Times New Roman"/>
          <w:lang w:val="fr-CA"/>
        </w:rPr>
        <w:t>appliquait uniquement aux « enfants de personnes ayant l</w:t>
      </w:r>
      <w:r w:rsidR="006D761B">
        <w:rPr>
          <w:rFonts w:cs="Times New Roman"/>
          <w:lang w:val="fr-CA"/>
        </w:rPr>
        <w:t>e statut diplomatique » (par. 5 et</w:t>
      </w:r>
      <w:r w:rsidRPr="006B5BF6">
        <w:rPr>
          <w:rFonts w:cs="Times New Roman"/>
          <w:lang w:val="fr-CA"/>
        </w:rPr>
        <w:t xml:space="preserve"> 65). Le juge Shore a ajouté ce qui suit : « [c]</w:t>
      </w:r>
      <w:r>
        <w:rPr>
          <w:rFonts w:cs="Times New Roman"/>
          <w:lang w:val="fr-CA"/>
        </w:rPr>
        <w:t>’</w:t>
      </w:r>
      <w:r w:rsidRPr="006B5BF6">
        <w:rPr>
          <w:rFonts w:cs="Times New Roman"/>
          <w:lang w:val="fr-CA"/>
        </w:rPr>
        <w:t>est précisément en raison de la vaste gamme de privilèges dont jouissent les diplomates et leur famille, privilèges qui sont de par leur nature même incompatibles avec les obligations de la citoyenneté, qu</w:t>
      </w:r>
      <w:r>
        <w:rPr>
          <w:rFonts w:cs="Times New Roman"/>
          <w:lang w:val="fr-CA"/>
        </w:rPr>
        <w:t>’</w:t>
      </w:r>
      <w:r w:rsidRPr="006B5BF6">
        <w:rPr>
          <w:rFonts w:cs="Times New Roman"/>
          <w:lang w:val="fr-CA"/>
        </w:rPr>
        <w:t>une personne qui jouit du statut diplomatique ne peut acquérir la citoyenneté » (par. 63).</w:t>
      </w:r>
    </w:p>
    <w:p w14:paraId="045C0F37" w14:textId="5AA50CF5"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Dans ses motifs, la greffière n</w:t>
      </w:r>
      <w:r>
        <w:rPr>
          <w:rFonts w:cs="Times New Roman"/>
          <w:lang w:val="fr-CA"/>
        </w:rPr>
        <w:t>’</w:t>
      </w:r>
      <w:r w:rsidRPr="006B5BF6">
        <w:rPr>
          <w:rFonts w:cs="Times New Roman"/>
          <w:lang w:val="fr-CA"/>
        </w:rPr>
        <w:t>a pas répondu aux arguments abondants et convaincants que M. Vavilov a invoqués au sujet des objectifs de l</w:t>
      </w:r>
      <w:r>
        <w:rPr>
          <w:rFonts w:cs="Times New Roman"/>
          <w:lang w:val="fr-CA"/>
        </w:rPr>
        <w:t>’</w:t>
      </w:r>
      <w:r w:rsidRPr="006B5BF6">
        <w:rPr>
          <w:rFonts w:cs="Times New Roman"/>
          <w:lang w:val="fr-CA"/>
        </w:rPr>
        <w:t>al. 3(2)</w:t>
      </w:r>
      <w:r w:rsidRPr="0092234E">
        <w:rPr>
          <w:rFonts w:cs="Times New Roman"/>
          <w:iCs/>
          <w:lang w:val="fr-CA"/>
        </w:rPr>
        <w:t>a)</w:t>
      </w:r>
      <w:r w:rsidRPr="006B5BF6">
        <w:rPr>
          <w:rFonts w:cs="Times New Roman"/>
          <w:lang w:val="fr-CA"/>
        </w:rPr>
        <w:t>. Il semble que l</w:t>
      </w:r>
      <w:r>
        <w:rPr>
          <w:rFonts w:cs="Times New Roman"/>
          <w:lang w:val="fr-CA"/>
        </w:rPr>
        <w:t>’</w:t>
      </w:r>
      <w:r w:rsidRPr="006B5BF6">
        <w:rPr>
          <w:rFonts w:cs="Times New Roman"/>
          <w:lang w:val="fr-CA"/>
        </w:rPr>
        <w:t>analyste ait mal compris les arguments de M. Vavilov sur ce point. Commentant la portée du par. 3(2), l</w:t>
      </w:r>
      <w:r>
        <w:rPr>
          <w:rFonts w:cs="Times New Roman"/>
          <w:lang w:val="fr-CA"/>
        </w:rPr>
        <w:t>’</w:t>
      </w:r>
      <w:r w:rsidRPr="006B5BF6">
        <w:rPr>
          <w:rFonts w:cs="Times New Roman"/>
          <w:lang w:val="fr-CA"/>
        </w:rPr>
        <w:t>analyste s</w:t>
      </w:r>
      <w:r>
        <w:rPr>
          <w:rFonts w:cs="Times New Roman"/>
          <w:lang w:val="fr-CA"/>
        </w:rPr>
        <w:t>’</w:t>
      </w:r>
      <w:r w:rsidRPr="006B5BF6">
        <w:rPr>
          <w:rFonts w:cs="Times New Roman"/>
          <w:lang w:val="fr-CA"/>
        </w:rPr>
        <w:t>est exprimée comme suit : [</w:t>
      </w:r>
      <w:r w:rsidRPr="006B5BF6">
        <w:rPr>
          <w:rFonts w:cs="Times New Roman"/>
          <w:smallCaps/>
          <w:lang w:val="fr-CA"/>
        </w:rPr>
        <w:t>traduction</w:t>
      </w:r>
      <w:r w:rsidRPr="006B5BF6">
        <w:rPr>
          <w:rFonts w:cs="Times New Roman"/>
          <w:lang w:val="fr-CA"/>
        </w:rPr>
        <w:t>] « l</w:t>
      </w:r>
      <w:r>
        <w:rPr>
          <w:rFonts w:cs="Times New Roman"/>
          <w:lang w:val="fr-CA"/>
        </w:rPr>
        <w:t>’</w:t>
      </w:r>
      <w:r w:rsidRPr="006B5BF6">
        <w:rPr>
          <w:rFonts w:cs="Times New Roman"/>
          <w:lang w:val="fr-CA"/>
        </w:rPr>
        <w:t>avocat soutient que [Citoyenneté et Immigration Canada] ne peut invoquer le par</w:t>
      </w:r>
      <w:r w:rsidR="006D761B">
        <w:rPr>
          <w:rFonts w:cs="Times New Roman"/>
          <w:lang w:val="fr-CA"/>
        </w:rPr>
        <w:t>.</w:t>
      </w:r>
      <w:r w:rsidRPr="006B5BF6">
        <w:rPr>
          <w:rFonts w:cs="Times New Roman"/>
          <w:lang w:val="fr-CA"/>
        </w:rPr>
        <w:t xml:space="preserve"> 3(2), parce que le Ministère n</w:t>
      </w:r>
      <w:r>
        <w:rPr>
          <w:rFonts w:cs="Times New Roman"/>
          <w:lang w:val="fr-CA"/>
        </w:rPr>
        <w:t>’</w:t>
      </w:r>
      <w:r w:rsidRPr="006B5BF6">
        <w:rPr>
          <w:rFonts w:cs="Times New Roman"/>
          <w:lang w:val="fr-CA"/>
        </w:rPr>
        <w:t>a pas demandé ou obtenu une vérification auprès du Bureau du protocole d</w:t>
      </w:r>
      <w:r>
        <w:rPr>
          <w:rFonts w:cs="Times New Roman"/>
          <w:lang w:val="fr-CA"/>
        </w:rPr>
        <w:t>’</w:t>
      </w:r>
      <w:r w:rsidRPr="006B5BF6">
        <w:rPr>
          <w:rFonts w:cs="Times New Roman"/>
          <w:lang w:val="fr-CA"/>
        </w:rPr>
        <w:t>Affaires étrangères afin de prouver que les parents de M. Vavilov détenaient un statut diplomatique ou consulaire auprès de la Fédération russe pendant qu</w:t>
      </w:r>
      <w:r>
        <w:rPr>
          <w:rFonts w:cs="Times New Roman"/>
          <w:lang w:val="fr-CA"/>
        </w:rPr>
        <w:t>’</w:t>
      </w:r>
      <w:r w:rsidRPr="006B5BF6">
        <w:rPr>
          <w:rFonts w:cs="Times New Roman"/>
          <w:lang w:val="fr-CA"/>
        </w:rPr>
        <w:t>ils résidaient au Canada ». Il semble donc que l</w:t>
      </w:r>
      <w:r>
        <w:rPr>
          <w:rFonts w:cs="Times New Roman"/>
          <w:lang w:val="fr-CA"/>
        </w:rPr>
        <w:t>’</w:t>
      </w:r>
      <w:r w:rsidRPr="006B5BF6">
        <w:rPr>
          <w:rFonts w:cs="Times New Roman"/>
          <w:lang w:val="fr-CA"/>
        </w:rPr>
        <w:t>analyste n</w:t>
      </w:r>
      <w:r>
        <w:rPr>
          <w:rFonts w:cs="Times New Roman"/>
          <w:lang w:val="fr-CA"/>
        </w:rPr>
        <w:t>’</w:t>
      </w:r>
      <w:r w:rsidRPr="006B5BF6">
        <w:rPr>
          <w:rFonts w:cs="Times New Roman"/>
          <w:lang w:val="fr-CA"/>
        </w:rPr>
        <w:t>a pas reconnu que l</w:t>
      </w:r>
      <w:r>
        <w:rPr>
          <w:rFonts w:cs="Times New Roman"/>
          <w:lang w:val="fr-CA"/>
        </w:rPr>
        <w:t>’</w:t>
      </w:r>
      <w:r w:rsidRPr="006B5BF6">
        <w:rPr>
          <w:rFonts w:cs="Times New Roman"/>
          <w:lang w:val="fr-CA"/>
        </w:rPr>
        <w:t>argument de M. Vavilov revêtait un caractère plus fondamental, soit que les objectifs du par. 3(2) exigent une interprétation restrictive des mots « représentant » et « au service ». Pendant son interrogatoire préalable, l</w:t>
      </w:r>
      <w:r>
        <w:rPr>
          <w:rFonts w:cs="Times New Roman"/>
          <w:lang w:val="fr-CA"/>
        </w:rPr>
        <w:t>’</w:t>
      </w:r>
      <w:r w:rsidRPr="006B5BF6">
        <w:rPr>
          <w:rFonts w:cs="Times New Roman"/>
          <w:lang w:val="fr-CA"/>
        </w:rPr>
        <w:t>analyste a effectivement reconnu que sa recherche ne lui avait pas permis de déterminer l</w:t>
      </w:r>
      <w:r>
        <w:rPr>
          <w:rFonts w:cs="Times New Roman"/>
          <w:lang w:val="fr-CA"/>
        </w:rPr>
        <w:t>’</w:t>
      </w:r>
      <w:r w:rsidRPr="006B5BF6">
        <w:rPr>
          <w:rFonts w:cs="Times New Roman"/>
          <w:lang w:val="fr-CA"/>
        </w:rPr>
        <w:t>objectif de politique générale qui sous</w:t>
      </w:r>
      <w:r w:rsidRPr="006B5BF6">
        <w:rPr>
          <w:rFonts w:cs="Times New Roman"/>
          <w:lang w:val="fr-CA"/>
        </w:rPr>
        <w:noBreakHyphen/>
        <w:t>tend l</w:t>
      </w:r>
      <w:r>
        <w:rPr>
          <w:rFonts w:cs="Times New Roman"/>
          <w:lang w:val="fr-CA"/>
        </w:rPr>
        <w:t>’</w:t>
      </w:r>
      <w:r w:rsidRPr="006B5BF6">
        <w:rPr>
          <w:rFonts w:cs="Times New Roman"/>
          <w:lang w:val="fr-CA"/>
        </w:rPr>
        <w:t>al. 3(2)</w:t>
      </w:r>
      <w:r w:rsidRPr="0092234E">
        <w:rPr>
          <w:rFonts w:cs="Times New Roman"/>
          <w:iCs/>
          <w:lang w:val="fr-CA"/>
        </w:rPr>
        <w:t>a)</w:t>
      </w:r>
      <w:r w:rsidRPr="006B5BF6">
        <w:rPr>
          <w:rFonts w:cs="Times New Roman"/>
          <w:lang w:val="fr-CA"/>
        </w:rPr>
        <w:t xml:space="preserve"> ou les raisons pour lesquelles les mots « représentant » et « au service » avaient été inclus dans la Loi. Il semble également que l</w:t>
      </w:r>
      <w:r>
        <w:rPr>
          <w:rFonts w:cs="Times New Roman"/>
          <w:lang w:val="fr-CA"/>
        </w:rPr>
        <w:t>’</w:t>
      </w:r>
      <w:r w:rsidRPr="006B5BF6">
        <w:rPr>
          <w:rFonts w:cs="Times New Roman"/>
          <w:lang w:val="fr-CA"/>
        </w:rPr>
        <w:t>analyste n</w:t>
      </w:r>
      <w:r>
        <w:rPr>
          <w:rFonts w:cs="Times New Roman"/>
          <w:lang w:val="fr-CA"/>
        </w:rPr>
        <w:t>’</w:t>
      </w:r>
      <w:r w:rsidRPr="006B5BF6">
        <w:rPr>
          <w:rFonts w:cs="Times New Roman"/>
          <w:lang w:val="fr-CA"/>
        </w:rPr>
        <w:t xml:space="preserve">ait pas saisi la pertinence possible de la décision </w:t>
      </w:r>
      <w:r w:rsidRPr="006B5BF6">
        <w:rPr>
          <w:rFonts w:cs="Times New Roman"/>
          <w:i/>
          <w:lang w:val="fr-CA"/>
        </w:rPr>
        <w:t>Al</w:t>
      </w:r>
      <w:r w:rsidRPr="006B5BF6">
        <w:rPr>
          <w:rFonts w:cs="Times New Roman"/>
          <w:i/>
          <w:lang w:val="fr-CA"/>
        </w:rPr>
        <w:noBreakHyphen/>
        <w:t>Ghamdi</w:t>
      </w:r>
      <w:r w:rsidRPr="006B5BF6">
        <w:rPr>
          <w:rFonts w:cs="Times New Roman"/>
          <w:lang w:val="fr-CA"/>
        </w:rPr>
        <w:t>, étant donné qu</w:t>
      </w:r>
      <w:r>
        <w:rPr>
          <w:rFonts w:cs="Times New Roman"/>
          <w:lang w:val="fr-CA"/>
        </w:rPr>
        <w:t>’</w:t>
      </w:r>
      <w:r w:rsidRPr="006B5BF6">
        <w:rPr>
          <w:rFonts w:cs="Times New Roman"/>
          <w:lang w:val="fr-CA"/>
        </w:rPr>
        <w:t>elle a mentionné dans son rapport que [</w:t>
      </w:r>
      <w:r w:rsidRPr="006B5BF6">
        <w:rPr>
          <w:rFonts w:cs="Times New Roman"/>
          <w:smallCaps/>
          <w:lang w:val="fr-CA"/>
        </w:rPr>
        <w:t>traduction</w:t>
      </w:r>
      <w:r w:rsidRPr="006B5BF6">
        <w:rPr>
          <w:rFonts w:cs="Times New Roman"/>
          <w:lang w:val="fr-CA"/>
        </w:rPr>
        <w:t>] « les décisions rendues jusqu</w:t>
      </w:r>
      <w:r>
        <w:rPr>
          <w:rFonts w:cs="Times New Roman"/>
          <w:lang w:val="fr-CA"/>
        </w:rPr>
        <w:t>’</w:t>
      </w:r>
      <w:r w:rsidRPr="006B5BF6">
        <w:rPr>
          <w:rFonts w:cs="Times New Roman"/>
          <w:lang w:val="fr-CA"/>
        </w:rPr>
        <w:t xml:space="preserve">à maintenant </w:t>
      </w:r>
      <w:r w:rsidRPr="006B5BF6">
        <w:rPr>
          <w:rFonts w:cs="Times New Roman"/>
          <w:lang w:val="fr-CA"/>
        </w:rPr>
        <w:lastRenderedPageBreak/>
        <w:t>concernent uniquement les personnes dont, au moment de la naissance, les parents détenaient un statut diplomatique au Canada ».</w:t>
      </w:r>
    </w:p>
    <w:p w14:paraId="5AC05E50"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En fin de compte, la greffière a donné une interprétation large à l</w:t>
      </w:r>
      <w:r>
        <w:rPr>
          <w:rFonts w:cs="Times New Roman"/>
          <w:lang w:val="fr-CA"/>
        </w:rPr>
        <w:t>’</w:t>
      </w:r>
      <w:r w:rsidRPr="006B5BF6">
        <w:rPr>
          <w:rFonts w:cs="Times New Roman"/>
          <w:lang w:val="fr-CA"/>
        </w:rPr>
        <w:t>al. 3(2)</w:t>
      </w:r>
      <w:r w:rsidRPr="0092234E">
        <w:rPr>
          <w:rFonts w:cs="Times New Roman"/>
          <w:iCs/>
          <w:lang w:val="fr-CA"/>
        </w:rPr>
        <w:t>a)</w:t>
      </w:r>
      <w:r w:rsidRPr="006B5BF6">
        <w:rPr>
          <w:rFonts w:cs="Times New Roman"/>
          <w:lang w:val="fr-CA"/>
        </w:rPr>
        <w:t xml:space="preserve"> en se fondant sur l</w:t>
      </w:r>
      <w:r>
        <w:rPr>
          <w:rFonts w:cs="Times New Roman"/>
          <w:lang w:val="fr-CA"/>
        </w:rPr>
        <w:t>’</w:t>
      </w:r>
      <w:r w:rsidRPr="006B5BF6">
        <w:rPr>
          <w:rFonts w:cs="Times New Roman"/>
          <w:lang w:val="fr-CA"/>
        </w:rPr>
        <w:t>analyse purement textuelle que l</w:t>
      </w:r>
      <w:r>
        <w:rPr>
          <w:rFonts w:cs="Times New Roman"/>
          <w:lang w:val="fr-CA"/>
        </w:rPr>
        <w:t>’</w:t>
      </w:r>
      <w:r w:rsidRPr="006B5BF6">
        <w:rPr>
          <w:rFonts w:cs="Times New Roman"/>
          <w:lang w:val="fr-CA"/>
        </w:rPr>
        <w:t>analyste en avait faite, notamment en le comparant avec le texte de la version antérieure. Cette interprétation des mots « représentant à un autre titre ou au service » n</w:t>
      </w:r>
      <w:r>
        <w:rPr>
          <w:rFonts w:cs="Times New Roman"/>
          <w:lang w:val="fr-CA"/>
        </w:rPr>
        <w:t>’</w:t>
      </w:r>
      <w:r w:rsidRPr="006B5BF6">
        <w:rPr>
          <w:rFonts w:cs="Times New Roman"/>
          <w:lang w:val="fr-CA"/>
        </w:rPr>
        <w:t>était raisonnable que si l</w:t>
      </w:r>
      <w:r>
        <w:rPr>
          <w:rFonts w:cs="Times New Roman"/>
          <w:lang w:val="fr-CA"/>
        </w:rPr>
        <w:t>’</w:t>
      </w:r>
      <w:r w:rsidRPr="006B5BF6">
        <w:rPr>
          <w:rFonts w:cs="Times New Roman"/>
          <w:lang w:val="fr-CA"/>
        </w:rPr>
        <w:t>on examinait le texte en faisant abstraction de son objectif. L</w:t>
      </w:r>
      <w:r>
        <w:rPr>
          <w:rFonts w:cs="Times New Roman"/>
          <w:lang w:val="fr-CA"/>
        </w:rPr>
        <w:t>’</w:t>
      </w:r>
      <w:r w:rsidRPr="006B5BF6">
        <w:rPr>
          <w:rFonts w:cs="Times New Roman"/>
          <w:lang w:val="fr-CA"/>
        </w:rPr>
        <w:t>historique de la disposition n</w:t>
      </w:r>
      <w:r>
        <w:rPr>
          <w:rFonts w:cs="Times New Roman"/>
          <w:lang w:val="fr-CA"/>
        </w:rPr>
        <w:t>’</w:t>
      </w:r>
      <w:r w:rsidRPr="006B5BF6">
        <w:rPr>
          <w:rFonts w:cs="Times New Roman"/>
          <w:lang w:val="fr-CA"/>
        </w:rPr>
        <w:t>indique nullement que le législateur fédéral avait l</w:t>
      </w:r>
      <w:r>
        <w:rPr>
          <w:rFonts w:cs="Times New Roman"/>
          <w:lang w:val="fr-CA"/>
        </w:rPr>
        <w:t>’</w:t>
      </w:r>
      <w:r w:rsidRPr="006B5BF6">
        <w:rPr>
          <w:rFonts w:cs="Times New Roman"/>
          <w:lang w:val="fr-CA"/>
        </w:rPr>
        <w:t>intention d</w:t>
      </w:r>
      <w:r>
        <w:rPr>
          <w:rFonts w:cs="Times New Roman"/>
          <w:lang w:val="fr-CA"/>
        </w:rPr>
        <w:t>’</w:t>
      </w:r>
      <w:r w:rsidRPr="006B5BF6">
        <w:rPr>
          <w:rFonts w:cs="Times New Roman"/>
          <w:lang w:val="fr-CA"/>
        </w:rPr>
        <w:t>en élargir le champ d</w:t>
      </w:r>
      <w:r>
        <w:rPr>
          <w:rFonts w:cs="Times New Roman"/>
          <w:lang w:val="fr-CA"/>
        </w:rPr>
        <w:t>’</w:t>
      </w:r>
      <w:r w:rsidRPr="006B5BF6">
        <w:rPr>
          <w:rFonts w:cs="Times New Roman"/>
          <w:lang w:val="fr-CA"/>
        </w:rPr>
        <w:t xml:space="preserve">application. Ainsi que le souligne M. Vavilov, les modifications apportées au par. 3(2) en 1976 semblent plutôt refléter celles qui ont été intégrées dans la </w:t>
      </w:r>
      <w:r w:rsidRPr="006B5BF6">
        <w:rPr>
          <w:rFonts w:cs="Times New Roman"/>
          <w:i/>
          <w:lang w:val="fr-CA"/>
        </w:rPr>
        <w:t xml:space="preserve">Convention de Vienne sur les relations diplomatiques </w:t>
      </w:r>
      <w:r w:rsidRPr="006B5BF6">
        <w:rPr>
          <w:rFonts w:cs="Times New Roman"/>
          <w:lang w:val="fr-CA"/>
        </w:rPr>
        <w:t xml:space="preserve">et dans la </w:t>
      </w:r>
      <w:r w:rsidRPr="006B5BF6">
        <w:rPr>
          <w:rFonts w:cs="Times New Roman"/>
          <w:i/>
          <w:lang w:val="fr-CA"/>
        </w:rPr>
        <w:t>Convention de Vienne sur les relations consulaires</w:t>
      </w:r>
      <w:r w:rsidRPr="006B5BF6">
        <w:rPr>
          <w:rFonts w:cs="Times New Roman"/>
          <w:lang w:val="fr-CA"/>
        </w:rPr>
        <w:t xml:space="preserve">, toutes deux incorporées en droit canadien en 1977. La façon dont les </w:t>
      </w:r>
      <w:r>
        <w:rPr>
          <w:rFonts w:cs="Times New Roman"/>
          <w:lang w:val="fr-CA"/>
        </w:rPr>
        <w:t>cours</w:t>
      </w:r>
      <w:r w:rsidRPr="006B5BF6">
        <w:rPr>
          <w:rFonts w:cs="Times New Roman"/>
          <w:lang w:val="fr-CA"/>
        </w:rPr>
        <w:t xml:space="preserve"> ont interprété cette disposition, notamment les remarques formulées dans la décision </w:t>
      </w:r>
      <w:r w:rsidRPr="006B5BF6">
        <w:rPr>
          <w:rFonts w:cs="Times New Roman"/>
          <w:i/>
          <w:lang w:val="fr-CA"/>
        </w:rPr>
        <w:t>Al</w:t>
      </w:r>
      <w:r w:rsidRPr="006B5BF6">
        <w:rPr>
          <w:rFonts w:cs="Times New Roman"/>
          <w:i/>
          <w:lang w:val="fr-CA"/>
        </w:rPr>
        <w:noBreakHyphen/>
        <w:t>Ghamdi</w:t>
      </w:r>
      <w:r w:rsidRPr="006B5BF6">
        <w:rPr>
          <w:rFonts w:cs="Times New Roman"/>
          <w:lang w:val="fr-CA"/>
        </w:rPr>
        <w:t xml:space="preserve"> au sujet de la portée restreinte de l</w:t>
      </w:r>
      <w:r>
        <w:rPr>
          <w:rFonts w:cs="Times New Roman"/>
          <w:lang w:val="fr-CA"/>
        </w:rPr>
        <w:t>’</w:t>
      </w:r>
      <w:r w:rsidRPr="006B5BF6">
        <w:rPr>
          <w:rFonts w:cs="Times New Roman"/>
          <w:lang w:val="fr-CA"/>
        </w:rPr>
        <w:t>al. 3(2)</w:t>
      </w:r>
      <w:r w:rsidRPr="0092234E">
        <w:rPr>
          <w:rFonts w:cs="Times New Roman"/>
          <w:iCs/>
          <w:lang w:val="fr-CA"/>
        </w:rPr>
        <w:t>a)</w:t>
      </w:r>
      <w:r w:rsidRPr="006B5BF6">
        <w:rPr>
          <w:rFonts w:cs="Times New Roman"/>
          <w:lang w:val="fr-CA"/>
        </w:rPr>
        <w:t xml:space="preserve"> et de l</w:t>
      </w:r>
      <w:r>
        <w:rPr>
          <w:rFonts w:cs="Times New Roman"/>
          <w:lang w:val="fr-CA"/>
        </w:rPr>
        <w:t>’</w:t>
      </w:r>
      <w:r w:rsidRPr="006B5BF6">
        <w:rPr>
          <w:rFonts w:cs="Times New Roman"/>
          <w:lang w:val="fr-CA"/>
        </w:rPr>
        <w:t>incompatibilité entre la citoyenneté et les privilèges et immunités diplomatiques, indique elle aussi qu</w:t>
      </w:r>
      <w:r>
        <w:rPr>
          <w:rFonts w:cs="Times New Roman"/>
          <w:lang w:val="fr-CA"/>
        </w:rPr>
        <w:t>’</w:t>
      </w:r>
      <w:r w:rsidRPr="006B5BF6">
        <w:rPr>
          <w:rFonts w:cs="Times New Roman"/>
          <w:lang w:val="fr-CA"/>
        </w:rPr>
        <w:t>il faut interpréter restrictivement l</w:t>
      </w:r>
      <w:r>
        <w:rPr>
          <w:rFonts w:cs="Times New Roman"/>
          <w:lang w:val="fr-CA"/>
        </w:rPr>
        <w:t>’</w:t>
      </w:r>
      <w:r w:rsidRPr="006B5BF6">
        <w:rPr>
          <w:rFonts w:cs="Times New Roman"/>
          <w:lang w:val="fr-CA"/>
        </w:rPr>
        <w:t>exception à la règle de la citoyenneté.</w:t>
      </w:r>
    </w:p>
    <w:p w14:paraId="20EEF8C8"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Qui plus est, ainsi que l</w:t>
      </w:r>
      <w:r>
        <w:rPr>
          <w:rFonts w:cs="Times New Roman"/>
          <w:lang w:val="fr-CA"/>
        </w:rPr>
        <w:t>’</w:t>
      </w:r>
      <w:r w:rsidRPr="006B5BF6">
        <w:rPr>
          <w:rFonts w:cs="Times New Roman"/>
          <w:lang w:val="fr-CA"/>
        </w:rPr>
        <w:t>a fait remarquer la majorité de la Cour d</w:t>
      </w:r>
      <w:r>
        <w:rPr>
          <w:rFonts w:cs="Times New Roman"/>
          <w:lang w:val="fr-CA"/>
        </w:rPr>
        <w:t>’</w:t>
      </w:r>
      <w:r w:rsidRPr="006B5BF6">
        <w:rPr>
          <w:rFonts w:cs="Times New Roman"/>
          <w:lang w:val="fr-CA"/>
        </w:rPr>
        <w:t>appel fédérale, le libellé de l</w:t>
      </w:r>
      <w:r>
        <w:rPr>
          <w:rFonts w:cs="Times New Roman"/>
          <w:lang w:val="fr-CA"/>
        </w:rPr>
        <w:t>’</w:t>
      </w:r>
      <w:r w:rsidRPr="006B5BF6">
        <w:rPr>
          <w:rFonts w:cs="Times New Roman"/>
          <w:lang w:val="fr-CA"/>
        </w:rPr>
        <w:t>al. 3(2)</w:t>
      </w:r>
      <w:r w:rsidRPr="00084158">
        <w:rPr>
          <w:rFonts w:cs="Times New Roman"/>
          <w:iCs/>
          <w:lang w:val="fr-CA"/>
        </w:rPr>
        <w:t>c)</w:t>
      </w:r>
      <w:r w:rsidRPr="006B5BF6">
        <w:rPr>
          <w:rFonts w:cs="Times New Roman"/>
          <w:lang w:val="fr-CA"/>
        </w:rPr>
        <w:t xml:space="preserve"> peut être perçu comme sapant l</w:t>
      </w:r>
      <w:r>
        <w:rPr>
          <w:rFonts w:cs="Times New Roman"/>
          <w:lang w:val="fr-CA"/>
        </w:rPr>
        <w:t>’</w:t>
      </w:r>
      <w:r w:rsidRPr="006B5BF6">
        <w:rPr>
          <w:rFonts w:cs="Times New Roman"/>
          <w:lang w:val="fr-CA"/>
        </w:rPr>
        <w:t>interprétation de la greffière. Cette disposition nie le droit à la citoyenneté aux enfants nés de personnes bénéficiant de « privilèges et immunités diplomatiques que le ministre des Affaires étrangères certifie être équivalents à ceux dont jouissent les personnes visées à l</w:t>
      </w:r>
      <w:r>
        <w:rPr>
          <w:rFonts w:cs="Times New Roman"/>
          <w:lang w:val="fr-CA"/>
        </w:rPr>
        <w:t>’</w:t>
      </w:r>
      <w:r w:rsidRPr="006B5BF6">
        <w:rPr>
          <w:rFonts w:cs="Times New Roman"/>
          <w:lang w:val="fr-CA"/>
        </w:rPr>
        <w:t>alinéa a) ». Ainsi que l</w:t>
      </w:r>
      <w:r>
        <w:rPr>
          <w:rFonts w:cs="Times New Roman"/>
          <w:lang w:val="fr-CA"/>
        </w:rPr>
        <w:t>’</w:t>
      </w:r>
      <w:r w:rsidRPr="006B5BF6">
        <w:rPr>
          <w:rFonts w:cs="Times New Roman"/>
          <w:lang w:val="fr-CA"/>
        </w:rPr>
        <w:t>a souligné le juge Stratas, ce texte laisse croire que l</w:t>
      </w:r>
      <w:r>
        <w:rPr>
          <w:rFonts w:cs="Times New Roman"/>
          <w:lang w:val="fr-CA"/>
        </w:rPr>
        <w:t>’</w:t>
      </w:r>
      <w:r w:rsidRPr="006B5BF6">
        <w:rPr>
          <w:rFonts w:cs="Times New Roman"/>
          <w:lang w:val="fr-CA"/>
        </w:rPr>
        <w:t>al. 3(2)</w:t>
      </w:r>
      <w:r w:rsidRPr="0092234E">
        <w:rPr>
          <w:rFonts w:cs="Times New Roman"/>
          <w:iCs/>
          <w:lang w:val="fr-CA"/>
        </w:rPr>
        <w:t>a)</w:t>
      </w:r>
      <w:r w:rsidRPr="006B5BF6">
        <w:rPr>
          <w:rFonts w:cs="Times New Roman"/>
          <w:lang w:val="fr-CA"/>
        </w:rPr>
        <w:t xml:space="preserve"> </w:t>
      </w:r>
      <w:r w:rsidRPr="006B5BF6">
        <w:rPr>
          <w:rFonts w:cs="Times New Roman"/>
          <w:i/>
          <w:lang w:val="fr-CA"/>
        </w:rPr>
        <w:lastRenderedPageBreak/>
        <w:t>ne</w:t>
      </w:r>
      <w:r w:rsidRPr="006B5BF6">
        <w:rPr>
          <w:rFonts w:cs="Times New Roman"/>
          <w:lang w:val="fr-CA"/>
        </w:rPr>
        <w:t xml:space="preserve"> vise donc </w:t>
      </w:r>
      <w:r w:rsidRPr="006B5BF6">
        <w:rPr>
          <w:rFonts w:cs="Times New Roman"/>
          <w:i/>
          <w:lang w:val="fr-CA"/>
        </w:rPr>
        <w:t>que</w:t>
      </w:r>
      <w:r w:rsidRPr="006B5BF6">
        <w:rPr>
          <w:rFonts w:cs="Times New Roman"/>
          <w:lang w:val="fr-CA"/>
        </w:rPr>
        <w:t xml:space="preserve"> les personnes « au service au Canada d</w:t>
      </w:r>
      <w:r>
        <w:rPr>
          <w:rFonts w:cs="Times New Roman"/>
          <w:lang w:val="fr-CA"/>
        </w:rPr>
        <w:t>’</w:t>
      </w:r>
      <w:r w:rsidRPr="006B5BF6">
        <w:rPr>
          <w:rFonts w:cs="Times New Roman"/>
          <w:lang w:val="fr-CA"/>
        </w:rPr>
        <w:t>un gouvernement étranger » qui jouissent de privilèges et immunités diplomatiques.</w:t>
      </w:r>
    </w:p>
    <w:p w14:paraId="0ACAE2B5"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En ignorant les objectifs de la disposition, la greffière a rendu une décision déraisonnable. Plus précisément, la prise en compte des arguments appuyant une interprétation selon laquelle le par. 3(2)</w:t>
      </w:r>
      <w:r w:rsidRPr="006B5BF6">
        <w:rPr>
          <w:rFonts w:cs="Times New Roman"/>
          <w:i/>
          <w:iCs/>
          <w:lang w:val="fr-CA"/>
        </w:rPr>
        <w:t xml:space="preserve"> </w:t>
      </w:r>
      <w:r w:rsidRPr="006B5BF6">
        <w:rPr>
          <w:rFonts w:cs="Times New Roman"/>
          <w:lang w:val="fr-CA"/>
        </w:rPr>
        <w:t>s</w:t>
      </w:r>
      <w:r>
        <w:rPr>
          <w:rFonts w:cs="Times New Roman"/>
          <w:lang w:val="fr-CA"/>
        </w:rPr>
        <w:t>’</w:t>
      </w:r>
      <w:r w:rsidRPr="006B5BF6">
        <w:rPr>
          <w:rFonts w:cs="Times New Roman"/>
          <w:lang w:val="fr-CA"/>
        </w:rPr>
        <w:t>applique uniquement aux personnes jouissant de privilèges et d</w:t>
      </w:r>
      <w:r>
        <w:rPr>
          <w:rFonts w:cs="Times New Roman"/>
          <w:lang w:val="fr-CA"/>
        </w:rPr>
        <w:t>’</w:t>
      </w:r>
      <w:r w:rsidRPr="006B5BF6">
        <w:rPr>
          <w:rFonts w:cs="Times New Roman"/>
          <w:lang w:val="fr-CA"/>
        </w:rPr>
        <w:t>immunités diplomatiques aurait vraisemblablement modifié l</w:t>
      </w:r>
      <w:r>
        <w:rPr>
          <w:rFonts w:cs="Times New Roman"/>
          <w:lang w:val="fr-CA"/>
        </w:rPr>
        <w:t>’</w:t>
      </w:r>
      <w:r w:rsidRPr="006B5BF6">
        <w:rPr>
          <w:rFonts w:cs="Times New Roman"/>
          <w:lang w:val="fr-CA"/>
        </w:rPr>
        <w:t>issue de l</w:t>
      </w:r>
      <w:r>
        <w:rPr>
          <w:rFonts w:cs="Times New Roman"/>
          <w:lang w:val="fr-CA"/>
        </w:rPr>
        <w:t>’</w:t>
      </w:r>
      <w:r w:rsidRPr="006B5BF6">
        <w:rPr>
          <w:rFonts w:cs="Times New Roman"/>
          <w:lang w:val="fr-CA"/>
        </w:rPr>
        <w:t>affaire.</w:t>
      </w:r>
    </w:p>
    <w:p w14:paraId="2467E943"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Monsieur Vavilov nous a convaincues que la décision de la greffière est déraisonnable. En conséquence, la Cour d</w:t>
      </w:r>
      <w:r>
        <w:rPr>
          <w:rFonts w:cs="Times New Roman"/>
          <w:lang w:val="fr-CA"/>
        </w:rPr>
        <w:t>’</w:t>
      </w:r>
      <w:r w:rsidRPr="006B5BF6">
        <w:rPr>
          <w:rFonts w:cs="Times New Roman"/>
          <w:lang w:val="fr-CA"/>
        </w:rPr>
        <w:t>appel a cassé à bon droit la décision par laquelle la greffière avait annulé le certificat de citoyenneté de M. Vavilov, qui a donc droit à un certificat de citoyenneté canadienne.</w:t>
      </w:r>
    </w:p>
    <w:p w14:paraId="416C68F6" w14:textId="77777777" w:rsidR="00AE2373" w:rsidRPr="006B5BF6" w:rsidRDefault="00AE2373" w:rsidP="00AE2373">
      <w:pPr>
        <w:pStyle w:val="ParaNoNdepar-AltN"/>
        <w:tabs>
          <w:tab w:val="clear" w:pos="1166"/>
          <w:tab w:val="clear" w:pos="1422"/>
          <w:tab w:val="num" w:pos="1152"/>
        </w:tabs>
        <w:spacing w:before="0"/>
        <w:rPr>
          <w:rFonts w:cs="Times New Roman"/>
          <w:lang w:val="fr-CA"/>
        </w:rPr>
      </w:pPr>
      <w:r w:rsidRPr="006B5BF6">
        <w:rPr>
          <w:rFonts w:cs="Times New Roman"/>
          <w:lang w:val="fr-CA"/>
        </w:rPr>
        <w:t>Par conséquent, nous rejetterions le pourvoi avec dépens devant toutes les cours en faveur de M. Vavilov.</w:t>
      </w:r>
    </w:p>
    <w:p w14:paraId="091DEEF4" w14:textId="2215BAF8" w:rsidR="004D7D95" w:rsidRPr="001E7F40" w:rsidRDefault="004D7D95" w:rsidP="00067295">
      <w:pPr>
        <w:pStyle w:val="SCCNormalDoubleSpacing"/>
        <w:spacing w:after="480"/>
        <w:rPr>
          <w:i/>
          <w:lang w:val="fr-CA"/>
        </w:rPr>
      </w:pPr>
      <w:r w:rsidRPr="00102521">
        <w:rPr>
          <w:lang w:val="fr-CA"/>
        </w:rPr>
        <w:tab/>
      </w:r>
      <w:r w:rsidR="00591C8F" w:rsidRPr="00F4073E">
        <w:rPr>
          <w:i/>
          <w:lang w:val="fr-CA"/>
        </w:rPr>
        <w:t>Pourvoi</w:t>
      </w:r>
      <w:r w:rsidR="001E7F40" w:rsidRPr="00F4073E">
        <w:rPr>
          <w:lang w:val="fr-CA"/>
        </w:rPr>
        <w:t xml:space="preserve"> </w:t>
      </w:r>
      <w:r w:rsidR="0055446A" w:rsidRPr="00F4073E">
        <w:rPr>
          <w:i/>
          <w:lang w:val="fr-CA"/>
        </w:rPr>
        <w:t>rejeté</w:t>
      </w:r>
      <w:r w:rsidR="00A574BD">
        <w:rPr>
          <w:i/>
          <w:lang w:val="fr-CA"/>
        </w:rPr>
        <w:t xml:space="preserve"> avec dépens dans toutes les juridictions</w:t>
      </w:r>
      <w:r w:rsidR="001E7F40" w:rsidRPr="00F4073E">
        <w:rPr>
          <w:i/>
          <w:lang w:val="fr-CA"/>
        </w:rPr>
        <w:t>.</w:t>
      </w:r>
    </w:p>
    <w:p w14:paraId="5C64C67A" w14:textId="77777777" w:rsidR="00BD6253" w:rsidRDefault="003750F1" w:rsidP="00067295">
      <w:pPr>
        <w:pStyle w:val="SCCLawFirm"/>
        <w:spacing w:after="480"/>
        <w:rPr>
          <w:lang w:val="fr-CA"/>
        </w:rPr>
      </w:pPr>
      <w:r>
        <w:rPr>
          <w:lang w:val="fr-CA"/>
        </w:rPr>
        <w:tab/>
      </w:r>
      <w:r w:rsidR="009D4CF1">
        <w:rPr>
          <w:lang w:val="fr-CA"/>
        </w:rPr>
        <w:t>Procureur de l</w:t>
      </w:r>
      <w:r w:rsidR="00356C64">
        <w:rPr>
          <w:lang w:val="fr-CA"/>
        </w:rPr>
        <w:t>’</w:t>
      </w:r>
      <w:r w:rsidR="009D4CF1">
        <w:rPr>
          <w:lang w:val="fr-CA"/>
        </w:rPr>
        <w:t>appelant</w:t>
      </w:r>
      <w:r w:rsidR="00BD6253" w:rsidRPr="007858EC">
        <w:rPr>
          <w:lang w:val="fr-CA"/>
        </w:rPr>
        <w:t> </w:t>
      </w:r>
      <w:r w:rsidR="007A7228">
        <w:rPr>
          <w:lang w:val="fr-CA"/>
        </w:rPr>
        <w:t>: </w:t>
      </w:r>
      <w:r w:rsidR="00BD6253" w:rsidRPr="007858EC">
        <w:rPr>
          <w:lang w:val="fr-CA"/>
        </w:rPr>
        <w:t>Procureur général du Canada, Toronto.</w:t>
      </w:r>
    </w:p>
    <w:p w14:paraId="211F2D3C" w14:textId="77777777" w:rsidR="00BD6253" w:rsidRDefault="00B92151" w:rsidP="00067295">
      <w:pPr>
        <w:pStyle w:val="SCCLawFirm"/>
        <w:spacing w:after="480"/>
      </w:pPr>
      <w:r w:rsidRPr="00102521">
        <w:rPr>
          <w:lang w:val="fr-CA"/>
        </w:rPr>
        <w:tab/>
      </w:r>
      <w:r w:rsidR="00BD6253">
        <w:t>Procureur</w:t>
      </w:r>
      <w:r w:rsidR="00704D46">
        <w:t>s</w:t>
      </w:r>
      <w:r w:rsidR="00BD6253">
        <w:t xml:space="preserve"> de </w:t>
      </w:r>
      <w:r w:rsidR="00BD6253" w:rsidRPr="002D3FEA">
        <w:t>l</w:t>
      </w:r>
      <w:r w:rsidR="00356C64" w:rsidRPr="002D3FEA">
        <w:t>’</w:t>
      </w:r>
      <w:r w:rsidR="00BD6253" w:rsidRPr="002D3FEA">
        <w:t>intimé </w:t>
      </w:r>
      <w:r w:rsidR="007A7228" w:rsidRPr="002D3FEA">
        <w:t>: </w:t>
      </w:r>
      <w:r w:rsidR="00BD6253" w:rsidRPr="002D3FEA">
        <w:t>Jackman Nazami &amp; Associates, Toronto;</w:t>
      </w:r>
      <w:r w:rsidR="00BD6253" w:rsidRPr="00AE50F9">
        <w:t xml:space="preserve"> </w:t>
      </w:r>
      <w:r w:rsidR="00BD6253" w:rsidRPr="00832223">
        <w:t>University of Windsor — Faculty of Law, Windsor.</w:t>
      </w:r>
    </w:p>
    <w:p w14:paraId="44171463" w14:textId="77777777" w:rsidR="00A833FB" w:rsidRPr="00102521" w:rsidRDefault="0069569A" w:rsidP="00067295">
      <w:pPr>
        <w:pStyle w:val="SCCLawFirm"/>
        <w:spacing w:after="480"/>
        <w:rPr>
          <w:lang w:val="fr-CA"/>
        </w:rPr>
      </w:pPr>
      <w:r w:rsidRPr="00B32C66">
        <w:tab/>
      </w:r>
      <w:r w:rsidR="00704D46">
        <w:rPr>
          <w:lang w:val="fr-CA"/>
        </w:rPr>
        <w:t>Procureur</w:t>
      </w:r>
      <w:r w:rsidR="00B92151" w:rsidRPr="00102521">
        <w:rPr>
          <w:lang w:val="fr-CA"/>
        </w:rPr>
        <w:t xml:space="preserve"> de l</w:t>
      </w:r>
      <w:r w:rsidR="00356C64">
        <w:rPr>
          <w:lang w:val="fr-CA"/>
        </w:rPr>
        <w:t>’</w:t>
      </w:r>
      <w:r w:rsidR="00080745">
        <w:rPr>
          <w:lang w:val="fr-CA"/>
        </w:rPr>
        <w:t>intervenant le</w:t>
      </w:r>
      <w:r>
        <w:rPr>
          <w:lang w:val="fr-CA"/>
        </w:rPr>
        <w:t xml:space="preserve"> </w:t>
      </w:r>
      <w:r w:rsidR="009D4CF1">
        <w:rPr>
          <w:lang w:val="fr-CA"/>
        </w:rPr>
        <w:t>p</w:t>
      </w:r>
      <w:r w:rsidR="00080745">
        <w:rPr>
          <w:lang w:val="fr-CA"/>
        </w:rPr>
        <w:t>rocureur général</w:t>
      </w:r>
      <w:r w:rsidR="00B92151" w:rsidRPr="00102521">
        <w:rPr>
          <w:lang w:val="fr-CA"/>
        </w:rPr>
        <w:t xml:space="preserve"> de l</w:t>
      </w:r>
      <w:r w:rsidR="00356C64">
        <w:rPr>
          <w:lang w:val="fr-CA"/>
        </w:rPr>
        <w:t>’</w:t>
      </w:r>
      <w:r w:rsidR="00B92151" w:rsidRPr="00102521">
        <w:rPr>
          <w:lang w:val="fr-CA"/>
        </w:rPr>
        <w:t>Ontario</w:t>
      </w:r>
      <w:r w:rsidR="007A7228">
        <w:rPr>
          <w:lang w:val="fr-CA"/>
        </w:rPr>
        <w:t> : </w:t>
      </w:r>
      <w:r>
        <w:rPr>
          <w:lang w:val="fr-CA"/>
        </w:rPr>
        <w:t>Procure</w:t>
      </w:r>
      <w:r w:rsidR="00080745">
        <w:rPr>
          <w:lang w:val="fr-CA"/>
        </w:rPr>
        <w:t>ur général</w:t>
      </w:r>
      <w:r>
        <w:rPr>
          <w:lang w:val="fr-CA"/>
        </w:rPr>
        <w:t xml:space="preserve"> de l</w:t>
      </w:r>
      <w:r w:rsidR="00356C64">
        <w:rPr>
          <w:lang w:val="fr-CA"/>
        </w:rPr>
        <w:t>’</w:t>
      </w:r>
      <w:r w:rsidR="00B92151" w:rsidRPr="00102521">
        <w:rPr>
          <w:lang w:val="fr-CA"/>
        </w:rPr>
        <w:t>Ontario, Toronto.</w:t>
      </w:r>
    </w:p>
    <w:p w14:paraId="4475FFA5" w14:textId="77777777" w:rsidR="0069569A" w:rsidRDefault="00704D46" w:rsidP="00067295">
      <w:pPr>
        <w:pStyle w:val="SCCLawFirm"/>
        <w:spacing w:after="480"/>
        <w:rPr>
          <w:lang w:val="fr-CA"/>
        </w:rPr>
      </w:pPr>
      <w:r>
        <w:rPr>
          <w:lang w:val="fr-CA"/>
        </w:rPr>
        <w:lastRenderedPageBreak/>
        <w:tab/>
        <w:t>Procureur</w:t>
      </w:r>
      <w:r w:rsidR="0069569A" w:rsidRPr="00102521">
        <w:rPr>
          <w:lang w:val="fr-CA"/>
        </w:rPr>
        <w:t xml:space="preserve"> de l</w:t>
      </w:r>
      <w:r w:rsidR="00356C64">
        <w:rPr>
          <w:lang w:val="fr-CA"/>
        </w:rPr>
        <w:t>’</w:t>
      </w:r>
      <w:r w:rsidR="0069569A">
        <w:rPr>
          <w:lang w:val="fr-CA"/>
        </w:rPr>
        <w:t xml:space="preserve">intervenante la </w:t>
      </w:r>
      <w:r w:rsidR="009D4CF1">
        <w:rPr>
          <w:lang w:val="fr-CA"/>
        </w:rPr>
        <w:t>p</w:t>
      </w:r>
      <w:r w:rsidR="0069569A">
        <w:rPr>
          <w:lang w:val="fr-CA"/>
        </w:rPr>
        <w:t>rocureure générale du Québec</w:t>
      </w:r>
      <w:r w:rsidR="0069569A" w:rsidRPr="00102521">
        <w:rPr>
          <w:lang w:val="fr-CA"/>
        </w:rPr>
        <w:t> </w:t>
      </w:r>
      <w:r w:rsidR="007A7228">
        <w:rPr>
          <w:lang w:val="fr-CA"/>
        </w:rPr>
        <w:t>: </w:t>
      </w:r>
      <w:r w:rsidR="0069569A">
        <w:rPr>
          <w:lang w:val="fr-CA"/>
        </w:rPr>
        <w:t>Procureure générale du Québec, Québec</w:t>
      </w:r>
      <w:r w:rsidR="0069569A" w:rsidRPr="00102521">
        <w:rPr>
          <w:lang w:val="fr-CA"/>
        </w:rPr>
        <w:t>.</w:t>
      </w:r>
    </w:p>
    <w:p w14:paraId="7DDD2312" w14:textId="77777777" w:rsidR="0069569A" w:rsidRPr="0069569A" w:rsidRDefault="0069569A" w:rsidP="00067295">
      <w:pPr>
        <w:pStyle w:val="SCCLawFirm"/>
        <w:spacing w:after="480"/>
        <w:rPr>
          <w:lang w:val="fr-CA"/>
        </w:rPr>
      </w:pPr>
      <w:r>
        <w:rPr>
          <w:lang w:val="fr-CA"/>
        </w:rPr>
        <w:tab/>
        <w:t>Procureur</w:t>
      </w:r>
      <w:r w:rsidRPr="00102521">
        <w:rPr>
          <w:lang w:val="fr-CA"/>
        </w:rPr>
        <w:t xml:space="preserve"> de l</w:t>
      </w:r>
      <w:r w:rsidR="00356C64">
        <w:rPr>
          <w:lang w:val="fr-CA"/>
        </w:rPr>
        <w:t>’</w:t>
      </w:r>
      <w:r>
        <w:rPr>
          <w:lang w:val="fr-CA"/>
        </w:rPr>
        <w:t xml:space="preserve">intervenant le </w:t>
      </w:r>
      <w:r w:rsidR="009D4CF1">
        <w:rPr>
          <w:lang w:val="fr-CA"/>
        </w:rPr>
        <w:t>p</w:t>
      </w:r>
      <w:r>
        <w:rPr>
          <w:lang w:val="fr-CA"/>
        </w:rPr>
        <w:t>rocureur général</w:t>
      </w:r>
      <w:r w:rsidRPr="00102521">
        <w:rPr>
          <w:lang w:val="fr-CA"/>
        </w:rPr>
        <w:t xml:space="preserve"> de l</w:t>
      </w:r>
      <w:r>
        <w:rPr>
          <w:lang w:val="fr-CA"/>
        </w:rPr>
        <w:t>a Colombie-Britannique</w:t>
      </w:r>
      <w:r w:rsidRPr="00102521">
        <w:rPr>
          <w:lang w:val="fr-CA"/>
        </w:rPr>
        <w:t> </w:t>
      </w:r>
      <w:r w:rsidR="007A7228">
        <w:rPr>
          <w:lang w:val="fr-CA"/>
        </w:rPr>
        <w:t>: </w:t>
      </w:r>
      <w:r>
        <w:rPr>
          <w:lang w:val="fr-CA"/>
        </w:rPr>
        <w:t xml:space="preserve">Procureur général de </w:t>
      </w:r>
      <w:r w:rsidRPr="00102521">
        <w:rPr>
          <w:lang w:val="fr-CA"/>
        </w:rPr>
        <w:t>l</w:t>
      </w:r>
      <w:r w:rsidR="001940D1">
        <w:rPr>
          <w:lang w:val="fr-CA"/>
        </w:rPr>
        <w:t>a Colombie</w:t>
      </w:r>
      <w:r w:rsidR="001940D1">
        <w:rPr>
          <w:lang w:val="fr-CA"/>
        </w:rPr>
        <w:noBreakHyphen/>
      </w:r>
      <w:r>
        <w:rPr>
          <w:lang w:val="fr-CA"/>
        </w:rPr>
        <w:t>Britannique</w:t>
      </w:r>
      <w:r w:rsidRPr="00102521">
        <w:rPr>
          <w:lang w:val="fr-CA"/>
        </w:rPr>
        <w:t xml:space="preserve">, </w:t>
      </w:r>
      <w:r>
        <w:rPr>
          <w:lang w:val="fr-CA"/>
        </w:rPr>
        <w:t>Victoria</w:t>
      </w:r>
      <w:r w:rsidRPr="00102521">
        <w:rPr>
          <w:lang w:val="fr-CA"/>
        </w:rPr>
        <w:t>.</w:t>
      </w:r>
    </w:p>
    <w:p w14:paraId="27976A58" w14:textId="77777777" w:rsidR="00A833FB" w:rsidRDefault="0069569A" w:rsidP="00067295">
      <w:pPr>
        <w:pStyle w:val="SCCLawFirm"/>
        <w:spacing w:after="480"/>
        <w:rPr>
          <w:lang w:val="fr-CA"/>
        </w:rPr>
      </w:pPr>
      <w:r>
        <w:rPr>
          <w:lang w:val="fr-CA"/>
        </w:rPr>
        <w:tab/>
        <w:t>Procureur</w:t>
      </w:r>
      <w:r w:rsidRPr="00102521">
        <w:rPr>
          <w:lang w:val="fr-CA"/>
        </w:rPr>
        <w:t xml:space="preserve"> de l</w:t>
      </w:r>
      <w:r w:rsidR="00356C64">
        <w:rPr>
          <w:lang w:val="fr-CA"/>
        </w:rPr>
        <w:t>’</w:t>
      </w:r>
      <w:r>
        <w:rPr>
          <w:lang w:val="fr-CA"/>
        </w:rPr>
        <w:t xml:space="preserve">intervenant le </w:t>
      </w:r>
      <w:r w:rsidR="009D4CF1">
        <w:rPr>
          <w:lang w:val="fr-CA"/>
        </w:rPr>
        <w:t>p</w:t>
      </w:r>
      <w:r>
        <w:rPr>
          <w:lang w:val="fr-CA"/>
        </w:rPr>
        <w:t>rocureur</w:t>
      </w:r>
      <w:r w:rsidRPr="00102521">
        <w:rPr>
          <w:lang w:val="fr-CA"/>
        </w:rPr>
        <w:t xml:space="preserve"> général de l</w:t>
      </w:r>
      <w:r>
        <w:rPr>
          <w:lang w:val="fr-CA"/>
        </w:rPr>
        <w:t>a Saskatchewan</w:t>
      </w:r>
      <w:r w:rsidRPr="00102521">
        <w:rPr>
          <w:lang w:val="fr-CA"/>
        </w:rPr>
        <w:t> </w:t>
      </w:r>
      <w:r w:rsidR="007A7228">
        <w:rPr>
          <w:lang w:val="fr-CA"/>
        </w:rPr>
        <w:t>: </w:t>
      </w:r>
      <w:r>
        <w:rPr>
          <w:lang w:val="fr-CA"/>
        </w:rPr>
        <w:t>Procureur</w:t>
      </w:r>
      <w:r w:rsidRPr="00102521">
        <w:rPr>
          <w:lang w:val="fr-CA"/>
        </w:rPr>
        <w:t xml:space="preserve"> général de l</w:t>
      </w:r>
      <w:r>
        <w:rPr>
          <w:lang w:val="fr-CA"/>
        </w:rPr>
        <w:t>a Saskatchewan</w:t>
      </w:r>
      <w:r w:rsidRPr="00102521">
        <w:rPr>
          <w:lang w:val="fr-CA"/>
        </w:rPr>
        <w:t xml:space="preserve">, </w:t>
      </w:r>
      <w:r w:rsidR="00696915">
        <w:rPr>
          <w:lang w:val="fr-CA"/>
        </w:rPr>
        <w:t>Re</w:t>
      </w:r>
      <w:r>
        <w:rPr>
          <w:lang w:val="fr-CA"/>
        </w:rPr>
        <w:t>gina</w:t>
      </w:r>
      <w:r w:rsidRPr="00102521">
        <w:rPr>
          <w:lang w:val="fr-CA"/>
        </w:rPr>
        <w:t>.</w:t>
      </w:r>
    </w:p>
    <w:p w14:paraId="76D76EBC" w14:textId="77777777" w:rsidR="00E50D75" w:rsidRPr="006C35AC" w:rsidRDefault="00A0781C" w:rsidP="00067295">
      <w:pPr>
        <w:pStyle w:val="SCCLawFirm"/>
        <w:spacing w:after="480"/>
        <w:rPr>
          <w:lang w:val="fr-CA"/>
        </w:rPr>
      </w:pPr>
      <w:r>
        <w:rPr>
          <w:lang w:val="fr-CA"/>
        </w:rPr>
        <w:tab/>
        <w:t>Procureur</w:t>
      </w:r>
      <w:r w:rsidR="00E50D75">
        <w:rPr>
          <w:lang w:val="fr-CA"/>
        </w:rPr>
        <w:t xml:space="preserve"> de l</w:t>
      </w:r>
      <w:r w:rsidR="00356C64">
        <w:rPr>
          <w:lang w:val="fr-CA"/>
        </w:rPr>
        <w:t>’</w:t>
      </w:r>
      <w:r w:rsidR="00E50D75">
        <w:rPr>
          <w:lang w:val="fr-CA"/>
        </w:rPr>
        <w:t>intervenant le</w:t>
      </w:r>
      <w:r w:rsidR="00E50D75" w:rsidRPr="006C35AC">
        <w:rPr>
          <w:lang w:val="fr-CA"/>
        </w:rPr>
        <w:t xml:space="preserve"> Conseil canadien pour les réfugiés </w:t>
      </w:r>
      <w:r w:rsidR="007A7228">
        <w:rPr>
          <w:lang w:val="fr-CA"/>
        </w:rPr>
        <w:t>: </w:t>
      </w:r>
      <w:r w:rsidR="00E50D75" w:rsidRPr="006C35AC">
        <w:rPr>
          <w:lang w:val="fr-CA"/>
        </w:rPr>
        <w:t>The Law Office of Jamie Liew, Ottawa.</w:t>
      </w:r>
    </w:p>
    <w:p w14:paraId="41C0080D" w14:textId="26141B84" w:rsidR="00A833FB" w:rsidRPr="00102521" w:rsidRDefault="00D528A4" w:rsidP="00067295">
      <w:pPr>
        <w:pStyle w:val="SCCLawFirm"/>
        <w:spacing w:after="480"/>
        <w:rPr>
          <w:lang w:val="fr-CA"/>
        </w:rPr>
      </w:pPr>
      <w:r>
        <w:rPr>
          <w:lang w:val="fr-CA"/>
        </w:rPr>
        <w:tab/>
        <w:t>Procureur</w:t>
      </w:r>
      <w:r w:rsidR="00B92151" w:rsidRPr="00102521">
        <w:rPr>
          <w:lang w:val="fr-CA"/>
        </w:rPr>
        <w:t xml:space="preserve"> de l</w:t>
      </w:r>
      <w:r w:rsidR="00356C64">
        <w:rPr>
          <w:lang w:val="fr-CA"/>
        </w:rPr>
        <w:t>’</w:t>
      </w:r>
      <w:r w:rsidR="00377DD5">
        <w:rPr>
          <w:lang w:val="fr-CA"/>
        </w:rPr>
        <w:t>intervenant</w:t>
      </w:r>
      <w:r w:rsidR="00B92151" w:rsidRPr="00102521">
        <w:rPr>
          <w:lang w:val="fr-CA"/>
        </w:rPr>
        <w:t xml:space="preserve"> </w:t>
      </w:r>
      <w:r w:rsidR="00377DD5">
        <w:rPr>
          <w:lang w:val="fr-CA"/>
        </w:rPr>
        <w:t xml:space="preserve">le </w:t>
      </w:r>
      <w:r w:rsidR="00B92151" w:rsidRPr="00102521">
        <w:rPr>
          <w:lang w:val="fr-CA"/>
        </w:rPr>
        <w:t xml:space="preserve">Centre ontarien de défense des droits des </w:t>
      </w:r>
      <w:r w:rsidR="00EE5A62" w:rsidRPr="0059132D">
        <w:rPr>
          <w:lang w:val="fr-CA"/>
        </w:rPr>
        <w:t xml:space="preserve">locataires </w:t>
      </w:r>
      <w:r w:rsidR="0059132D" w:rsidRPr="0059132D">
        <w:rPr>
          <w:lang w:val="fr-CA"/>
        </w:rPr>
        <w:t>-</w:t>
      </w:r>
      <w:r w:rsidR="00976493" w:rsidRPr="0059132D">
        <w:rPr>
          <w:lang w:val="fr-CA"/>
        </w:rPr>
        <w:t xml:space="preserve"> </w:t>
      </w:r>
      <w:r w:rsidR="00EE5A62" w:rsidRPr="0059132D">
        <w:rPr>
          <w:lang w:val="fr-CA"/>
        </w:rPr>
        <w:t>Programme</w:t>
      </w:r>
      <w:r w:rsidR="00EE5A62" w:rsidRPr="00EE5A62">
        <w:rPr>
          <w:lang w:val="fr-CA"/>
        </w:rPr>
        <w:t xml:space="preserve"> d</w:t>
      </w:r>
      <w:r w:rsidR="00356C64">
        <w:rPr>
          <w:lang w:val="fr-CA"/>
        </w:rPr>
        <w:t>’</w:t>
      </w:r>
      <w:r w:rsidR="00EE5A62" w:rsidRPr="00EE5A62">
        <w:rPr>
          <w:lang w:val="fr-CA"/>
        </w:rPr>
        <w:t>avocats de service en droit du logement</w:t>
      </w:r>
      <w:r w:rsidR="00B41CBD">
        <w:rPr>
          <w:lang w:val="fr-CA"/>
        </w:rPr>
        <w:t> </w:t>
      </w:r>
      <w:r w:rsidR="007A7228">
        <w:rPr>
          <w:lang w:val="fr-CA"/>
        </w:rPr>
        <w:t>: </w:t>
      </w:r>
      <w:r w:rsidR="00EE5A62" w:rsidRPr="00EE5A62">
        <w:rPr>
          <w:lang w:val="fr-CA"/>
        </w:rPr>
        <w:t>Centre ontarien de défense des droits des locataires</w:t>
      </w:r>
      <w:r w:rsidR="00B92151" w:rsidRPr="00102521">
        <w:rPr>
          <w:lang w:val="fr-CA"/>
        </w:rPr>
        <w:t>, Toronto.</w:t>
      </w:r>
    </w:p>
    <w:p w14:paraId="7F01A7F8" w14:textId="77777777" w:rsidR="00A833FB" w:rsidRPr="00102521" w:rsidRDefault="00D528A4" w:rsidP="00067295">
      <w:pPr>
        <w:pStyle w:val="SCCLawFirm"/>
        <w:spacing w:after="480"/>
        <w:rPr>
          <w:lang w:val="fr-CA"/>
        </w:rPr>
      </w:pPr>
      <w:r>
        <w:rPr>
          <w:lang w:val="fr-CA"/>
        </w:rPr>
        <w:tab/>
        <w:t>Procureur</w:t>
      </w:r>
      <w:r w:rsidR="00976493">
        <w:rPr>
          <w:lang w:val="fr-CA"/>
        </w:rPr>
        <w:t xml:space="preserve"> des intervenant</w:t>
      </w:r>
      <w:r w:rsidR="00774FD3">
        <w:rPr>
          <w:lang w:val="fr-CA"/>
        </w:rPr>
        <w:t>e</w:t>
      </w:r>
      <w:r w:rsidR="00377DD5">
        <w:rPr>
          <w:lang w:val="fr-CA"/>
        </w:rPr>
        <w:t>s</w:t>
      </w:r>
      <w:r w:rsidR="00B92151" w:rsidRPr="00102521">
        <w:rPr>
          <w:lang w:val="fr-CA"/>
        </w:rPr>
        <w:t xml:space="preserve"> </w:t>
      </w:r>
      <w:r w:rsidR="00377DD5">
        <w:rPr>
          <w:lang w:val="fr-CA"/>
        </w:rPr>
        <w:t xml:space="preserve">la </w:t>
      </w:r>
      <w:r w:rsidR="00B92151" w:rsidRPr="00102521">
        <w:rPr>
          <w:lang w:val="fr-CA"/>
        </w:rPr>
        <w:t>Commission des valeurs mobilières de l</w:t>
      </w:r>
      <w:r w:rsidR="00356C64">
        <w:rPr>
          <w:lang w:val="fr-CA"/>
        </w:rPr>
        <w:t>’</w:t>
      </w:r>
      <w:r w:rsidR="00B92151" w:rsidRPr="00102521">
        <w:rPr>
          <w:lang w:val="fr-CA"/>
        </w:rPr>
        <w:t xml:space="preserve">Ontario, British Columbia Securities Commission et Alberta Securities </w:t>
      </w:r>
      <w:r w:rsidR="00B92151" w:rsidRPr="00296DA2">
        <w:rPr>
          <w:lang w:val="fr-CA"/>
        </w:rPr>
        <w:t>Commission</w:t>
      </w:r>
      <w:r w:rsidR="007A7228" w:rsidRPr="00296DA2">
        <w:rPr>
          <w:lang w:val="fr-CA"/>
        </w:rPr>
        <w:t> : </w:t>
      </w:r>
      <w:r w:rsidR="00B92151" w:rsidRPr="00296DA2">
        <w:rPr>
          <w:lang w:val="fr-CA"/>
        </w:rPr>
        <w:t>Ontario Securities Commission, Toronto.</w:t>
      </w:r>
    </w:p>
    <w:p w14:paraId="7D95DFB5" w14:textId="77777777" w:rsidR="00A833FB" w:rsidRPr="00377DD5" w:rsidRDefault="00B92151" w:rsidP="00067295">
      <w:pPr>
        <w:pStyle w:val="SCCLawFirm"/>
        <w:spacing w:after="480"/>
        <w:rPr>
          <w:lang w:val="fr-CA"/>
        </w:rPr>
      </w:pPr>
      <w:r w:rsidRPr="00102521">
        <w:rPr>
          <w:lang w:val="fr-CA"/>
        </w:rPr>
        <w:tab/>
      </w:r>
      <w:r w:rsidR="00D528A4">
        <w:rPr>
          <w:lang w:val="fr-CA"/>
        </w:rPr>
        <w:t>Procureur</w:t>
      </w:r>
      <w:r w:rsidRPr="00377DD5">
        <w:rPr>
          <w:lang w:val="fr-CA"/>
        </w:rPr>
        <w:t xml:space="preserve"> de l</w:t>
      </w:r>
      <w:r w:rsidR="00356C64">
        <w:rPr>
          <w:lang w:val="fr-CA"/>
        </w:rPr>
        <w:t>’</w:t>
      </w:r>
      <w:r w:rsidR="00976493">
        <w:rPr>
          <w:lang w:val="fr-CA"/>
        </w:rPr>
        <w:t>intervenant</w:t>
      </w:r>
      <w:r w:rsidR="00774FD3">
        <w:rPr>
          <w:lang w:val="fr-CA"/>
        </w:rPr>
        <w:t>e</w:t>
      </w:r>
      <w:r w:rsidRPr="00377DD5">
        <w:rPr>
          <w:lang w:val="fr-CA"/>
        </w:rPr>
        <w:t xml:space="preserve"> Ecojustice Canada Society </w:t>
      </w:r>
      <w:r w:rsidR="007A7228">
        <w:rPr>
          <w:lang w:val="fr-CA"/>
        </w:rPr>
        <w:t>: </w:t>
      </w:r>
      <w:r w:rsidRPr="00377DD5">
        <w:rPr>
          <w:lang w:val="fr-CA"/>
        </w:rPr>
        <w:t>Ecojustice Canada Society, Toronto.</w:t>
      </w:r>
    </w:p>
    <w:p w14:paraId="79B42474" w14:textId="77777777" w:rsidR="000C39E8" w:rsidRDefault="00B92151" w:rsidP="00774FD3">
      <w:pPr>
        <w:pStyle w:val="SCCLawFirm"/>
        <w:spacing w:after="480"/>
        <w:rPr>
          <w:lang w:val="fr-CA"/>
        </w:rPr>
      </w:pPr>
      <w:r w:rsidRPr="00377DD5">
        <w:rPr>
          <w:lang w:val="fr-CA"/>
        </w:rPr>
        <w:tab/>
      </w:r>
      <w:r w:rsidR="00377DD5">
        <w:rPr>
          <w:lang w:val="fr-CA"/>
        </w:rPr>
        <w:t>Procureur</w:t>
      </w:r>
      <w:r w:rsidRPr="00102521">
        <w:rPr>
          <w:lang w:val="fr-CA"/>
        </w:rPr>
        <w:t xml:space="preserve"> </w:t>
      </w:r>
      <w:r w:rsidR="00774FD3">
        <w:rPr>
          <w:lang w:val="fr-CA"/>
        </w:rPr>
        <w:t xml:space="preserve">des </w:t>
      </w:r>
      <w:r w:rsidR="00377DD5">
        <w:rPr>
          <w:lang w:val="fr-CA"/>
        </w:rPr>
        <w:t>intervenants</w:t>
      </w:r>
      <w:r w:rsidRPr="00102521">
        <w:rPr>
          <w:lang w:val="fr-CA"/>
        </w:rPr>
        <w:t xml:space="preserve"> </w:t>
      </w:r>
      <w:r w:rsidR="00377DD5">
        <w:rPr>
          <w:lang w:val="fr-CA"/>
        </w:rPr>
        <w:t xml:space="preserve">le </w:t>
      </w:r>
      <w:r w:rsidRPr="00102521">
        <w:rPr>
          <w:lang w:val="fr-CA"/>
        </w:rPr>
        <w:t>Tribunal d</w:t>
      </w:r>
      <w:r w:rsidR="00356C64">
        <w:rPr>
          <w:lang w:val="fr-CA"/>
        </w:rPr>
        <w:t>’</w:t>
      </w:r>
      <w:r w:rsidRPr="00102521">
        <w:rPr>
          <w:lang w:val="fr-CA"/>
        </w:rPr>
        <w:t>appel de la sécurité professionnelle et de l</w:t>
      </w:r>
      <w:r w:rsidR="00356C64">
        <w:rPr>
          <w:lang w:val="fr-CA"/>
        </w:rPr>
        <w:t>’</w:t>
      </w:r>
      <w:r w:rsidRPr="00102521">
        <w:rPr>
          <w:lang w:val="fr-CA"/>
        </w:rPr>
        <w:t>assurance contre les accidents du travail</w:t>
      </w:r>
      <w:r w:rsidR="00976493">
        <w:rPr>
          <w:lang w:val="fr-CA"/>
        </w:rPr>
        <w:t xml:space="preserve"> (Ontario)</w:t>
      </w:r>
      <w:r w:rsidR="00377DD5">
        <w:rPr>
          <w:lang w:val="fr-CA"/>
        </w:rPr>
        <w:t xml:space="preserve">, </w:t>
      </w:r>
      <w:r w:rsidR="00377DD5" w:rsidRPr="00102521">
        <w:rPr>
          <w:lang w:val="fr-CA"/>
        </w:rPr>
        <w:t>Workers</w:t>
      </w:r>
      <w:r w:rsidR="00356C64">
        <w:rPr>
          <w:lang w:val="fr-CA"/>
        </w:rPr>
        <w:t>’</w:t>
      </w:r>
      <w:r w:rsidR="00377DD5" w:rsidRPr="00102521">
        <w:rPr>
          <w:lang w:val="fr-CA"/>
        </w:rPr>
        <w:t xml:space="preserve"> Compensation Appeals Tribunal (</w:t>
      </w:r>
      <w:r w:rsidR="001940D1">
        <w:rPr>
          <w:lang w:val="fr-CA"/>
        </w:rPr>
        <w:t>Territoires du Nord</w:t>
      </w:r>
      <w:r w:rsidR="001940D1">
        <w:rPr>
          <w:lang w:val="fr-CA"/>
        </w:rPr>
        <w:noBreakHyphen/>
      </w:r>
      <w:r w:rsidR="00976493">
        <w:rPr>
          <w:lang w:val="fr-CA"/>
        </w:rPr>
        <w:t xml:space="preserve">Ouest et </w:t>
      </w:r>
      <w:r w:rsidR="00377DD5">
        <w:rPr>
          <w:lang w:val="fr-CA"/>
        </w:rPr>
        <w:t xml:space="preserve">Nunavut), le </w:t>
      </w:r>
      <w:r w:rsidR="00377DD5" w:rsidRPr="00102521">
        <w:rPr>
          <w:lang w:val="fr-CA"/>
        </w:rPr>
        <w:t xml:space="preserve">Tribunal </w:t>
      </w:r>
      <w:r w:rsidR="00377DD5" w:rsidRPr="00102521">
        <w:rPr>
          <w:lang w:val="fr-CA"/>
        </w:rPr>
        <w:lastRenderedPageBreak/>
        <w:t>d</w:t>
      </w:r>
      <w:r w:rsidR="00356C64">
        <w:rPr>
          <w:lang w:val="fr-CA"/>
        </w:rPr>
        <w:t>’</w:t>
      </w:r>
      <w:r w:rsidR="00377DD5" w:rsidRPr="00102521">
        <w:rPr>
          <w:lang w:val="fr-CA"/>
        </w:rPr>
        <w:t>appel des décisions de la Commission des accid</w:t>
      </w:r>
      <w:r w:rsidR="001940D1">
        <w:rPr>
          <w:lang w:val="fr-CA"/>
        </w:rPr>
        <w:t>ents du travail de la Nouvelle</w:t>
      </w:r>
      <w:r w:rsidR="001940D1">
        <w:rPr>
          <w:lang w:val="fr-CA"/>
        </w:rPr>
        <w:noBreakHyphen/>
      </w:r>
      <w:r w:rsidR="00377DD5">
        <w:rPr>
          <w:lang w:val="fr-CA"/>
        </w:rPr>
        <w:t>É</w:t>
      </w:r>
      <w:r w:rsidR="00377DD5" w:rsidRPr="00102521">
        <w:rPr>
          <w:lang w:val="fr-CA"/>
        </w:rPr>
        <w:t>cosse</w:t>
      </w:r>
      <w:r w:rsidR="00377DD5">
        <w:rPr>
          <w:lang w:val="fr-CA"/>
        </w:rPr>
        <w:t xml:space="preserve">, </w:t>
      </w:r>
      <w:r w:rsidR="00BE4F96" w:rsidRPr="00102521">
        <w:rPr>
          <w:lang w:val="fr-CA"/>
        </w:rPr>
        <w:t>Appeals Commission for Alberta Workers</w:t>
      </w:r>
      <w:r w:rsidR="00356C64">
        <w:rPr>
          <w:lang w:val="fr-CA"/>
        </w:rPr>
        <w:t>’</w:t>
      </w:r>
      <w:r w:rsidR="00BE4F96" w:rsidRPr="00102521">
        <w:rPr>
          <w:lang w:val="fr-CA"/>
        </w:rPr>
        <w:t xml:space="preserve"> Compensation et</w:t>
      </w:r>
      <w:r w:rsidR="00BD6253">
        <w:rPr>
          <w:lang w:val="fr-CA"/>
        </w:rPr>
        <w:t xml:space="preserve"> le</w:t>
      </w:r>
      <w:r w:rsidR="00BE4F96" w:rsidRPr="00102521">
        <w:rPr>
          <w:lang w:val="fr-CA"/>
        </w:rPr>
        <w:t xml:space="preserve"> Tribunal d</w:t>
      </w:r>
      <w:r w:rsidR="00356C64">
        <w:rPr>
          <w:lang w:val="fr-CA"/>
        </w:rPr>
        <w:t>’</w:t>
      </w:r>
      <w:r w:rsidR="00BE4F96" w:rsidRPr="00102521">
        <w:rPr>
          <w:lang w:val="fr-CA"/>
        </w:rPr>
        <w:t>ap</w:t>
      </w:r>
      <w:r w:rsidR="00976493">
        <w:rPr>
          <w:lang w:val="fr-CA"/>
        </w:rPr>
        <w:t xml:space="preserve">pel des </w:t>
      </w:r>
      <w:r w:rsidR="00976493" w:rsidRPr="00296DA2">
        <w:rPr>
          <w:lang w:val="fr-CA"/>
        </w:rPr>
        <w:t>accidents au travail (</w:t>
      </w:r>
      <w:r w:rsidR="001940D1" w:rsidRPr="00296DA2">
        <w:rPr>
          <w:lang w:val="fr-CA"/>
        </w:rPr>
        <w:t>Nouveau</w:t>
      </w:r>
      <w:r w:rsidR="001940D1" w:rsidRPr="00296DA2">
        <w:rPr>
          <w:lang w:val="fr-CA"/>
        </w:rPr>
        <w:noBreakHyphen/>
      </w:r>
      <w:r w:rsidR="00BE4F96" w:rsidRPr="00296DA2">
        <w:rPr>
          <w:lang w:val="fr-CA"/>
        </w:rPr>
        <w:t>Brunswick</w:t>
      </w:r>
      <w:r w:rsidR="00976493" w:rsidRPr="00296DA2">
        <w:rPr>
          <w:lang w:val="fr-CA"/>
        </w:rPr>
        <w:t>)</w:t>
      </w:r>
      <w:r w:rsidR="009D4CF1" w:rsidRPr="00296DA2">
        <w:rPr>
          <w:lang w:val="fr-CA"/>
        </w:rPr>
        <w:t> </w:t>
      </w:r>
      <w:r w:rsidR="007A7228" w:rsidRPr="00296DA2">
        <w:rPr>
          <w:lang w:val="fr-CA"/>
        </w:rPr>
        <w:t>: </w:t>
      </w:r>
      <w:r w:rsidR="00377DD5" w:rsidRPr="00296DA2">
        <w:rPr>
          <w:lang w:val="fr-CA"/>
        </w:rPr>
        <w:t>Workplace Safety and Insurance Appeals Tribunal, Toronto.</w:t>
      </w:r>
    </w:p>
    <w:p w14:paraId="0EE7602B" w14:textId="0897BA49" w:rsidR="006914C1" w:rsidRPr="006914C1" w:rsidRDefault="006914C1" w:rsidP="007D00E7">
      <w:pPr>
        <w:pStyle w:val="SCCNormalDoubleSpacing"/>
        <w:spacing w:after="480"/>
        <w:rPr>
          <w:i/>
          <w:lang w:val="fr-CA"/>
        </w:rPr>
      </w:pPr>
      <w:r>
        <w:rPr>
          <w:lang w:val="fr-CA"/>
        </w:rPr>
        <w:tab/>
      </w:r>
      <w:r w:rsidRPr="006914C1">
        <w:rPr>
          <w:i/>
          <w:lang w:val="fr-CA"/>
        </w:rPr>
        <w:t>Procureurs de l’intervenant</w:t>
      </w:r>
      <w:r w:rsidR="001D7B46">
        <w:rPr>
          <w:i/>
          <w:lang w:val="fr-CA"/>
        </w:rPr>
        <w:t>e</w:t>
      </w:r>
      <w:r>
        <w:rPr>
          <w:i/>
          <w:lang w:val="fr-CA"/>
        </w:rPr>
        <w:t xml:space="preserve"> British Columbia International Commercial Arbitration Centre Foundation : Fasken Martineau DuMoulin, Vancouver.</w:t>
      </w:r>
    </w:p>
    <w:p w14:paraId="6E2FE033" w14:textId="77777777" w:rsidR="00A01CF7" w:rsidRDefault="00377DD5" w:rsidP="00774FD3">
      <w:pPr>
        <w:pStyle w:val="SCCLawFirm"/>
        <w:spacing w:after="480"/>
        <w:rPr>
          <w:lang w:val="fr-CA"/>
        </w:rPr>
      </w:pPr>
      <w:r>
        <w:rPr>
          <w:lang w:val="fr-CA"/>
        </w:rPr>
        <w:tab/>
        <w:t>Procureurs</w:t>
      </w:r>
      <w:r w:rsidR="00B92151" w:rsidRPr="00102521">
        <w:rPr>
          <w:lang w:val="fr-CA"/>
        </w:rPr>
        <w:t xml:space="preserve"> de l</w:t>
      </w:r>
      <w:r w:rsidR="00356C64">
        <w:rPr>
          <w:lang w:val="fr-CA"/>
        </w:rPr>
        <w:t>’</w:t>
      </w:r>
      <w:r>
        <w:rPr>
          <w:lang w:val="fr-CA"/>
        </w:rPr>
        <w:t>intervenant le Conseil des tribun</w:t>
      </w:r>
      <w:r w:rsidR="00B92151" w:rsidRPr="00102521">
        <w:rPr>
          <w:lang w:val="fr-CA"/>
        </w:rPr>
        <w:t>aux administratifs canadiens</w:t>
      </w:r>
      <w:r w:rsidR="009D4CF1" w:rsidRPr="00102521">
        <w:rPr>
          <w:lang w:val="fr-CA"/>
        </w:rPr>
        <w:t> </w:t>
      </w:r>
      <w:r w:rsidR="007A7228">
        <w:rPr>
          <w:lang w:val="fr-CA"/>
        </w:rPr>
        <w:t>: </w:t>
      </w:r>
      <w:r w:rsidR="00B92151" w:rsidRPr="00102521">
        <w:rPr>
          <w:lang w:val="fr-CA"/>
        </w:rPr>
        <w:t>Lax O</w:t>
      </w:r>
      <w:r w:rsidR="00356C64">
        <w:rPr>
          <w:lang w:val="fr-CA"/>
        </w:rPr>
        <w:t>’</w:t>
      </w:r>
      <w:r w:rsidR="00B92151" w:rsidRPr="00102521">
        <w:rPr>
          <w:lang w:val="fr-CA"/>
        </w:rPr>
        <w:t>Sullivan Lisus Gottlieb, Toronto.</w:t>
      </w:r>
    </w:p>
    <w:p w14:paraId="3DB8F931" w14:textId="74CDAF5B" w:rsidR="00B4021E" w:rsidRDefault="00B4021E" w:rsidP="007D00E7">
      <w:pPr>
        <w:pStyle w:val="SCCNormalDoubleSpacing"/>
        <w:spacing w:after="480"/>
        <w:rPr>
          <w:rStyle w:val="SCCCounselPartyRoleChar"/>
          <w:i/>
          <w:lang w:val="fr-CA"/>
        </w:rPr>
      </w:pPr>
      <w:r>
        <w:rPr>
          <w:lang w:val="fr-CA"/>
        </w:rPr>
        <w:tab/>
      </w:r>
      <w:r w:rsidRPr="00296DA2">
        <w:rPr>
          <w:i/>
          <w:lang w:val="fr-CA"/>
        </w:rPr>
        <w:t>Procureurs des intervenant</w:t>
      </w:r>
      <w:r w:rsidR="00EB428C">
        <w:rPr>
          <w:i/>
          <w:lang w:val="fr-CA"/>
        </w:rPr>
        <w:t>e</w:t>
      </w:r>
      <w:r w:rsidRPr="00296DA2">
        <w:rPr>
          <w:i/>
          <w:lang w:val="fr-CA"/>
        </w:rPr>
        <w:t xml:space="preserve">s </w:t>
      </w:r>
      <w:r w:rsidRPr="00296DA2">
        <w:rPr>
          <w:rStyle w:val="SCCCounselPartyRoleChar"/>
          <w:i/>
          <w:lang w:val="fr-CA"/>
        </w:rPr>
        <w:t>National Academy of Arbitrators, Ontario Labour</w:t>
      </w:r>
      <w:r w:rsidRPr="00296DA2">
        <w:rPr>
          <w:rStyle w:val="SCCCounselPartyRoleChar"/>
          <w:i/>
          <w:lang w:val="fr-CA"/>
        </w:rPr>
        <w:noBreakHyphen/>
        <w:t>Management Arbitrators’ Association et la Conférence des arbitres du Québec</w:t>
      </w:r>
      <w:r w:rsidR="00296DA2" w:rsidRPr="00102521">
        <w:rPr>
          <w:lang w:val="fr-CA"/>
        </w:rPr>
        <w:t> </w:t>
      </w:r>
      <w:r w:rsidRPr="00296DA2">
        <w:rPr>
          <w:rStyle w:val="SCCCounselPartyRoleChar"/>
          <w:i/>
          <w:lang w:val="fr-CA"/>
        </w:rPr>
        <w:t>: </w:t>
      </w:r>
      <w:r w:rsidR="00314D21">
        <w:rPr>
          <w:rStyle w:val="SCCCounselPartyRoleChar"/>
          <w:i/>
          <w:lang w:val="fr-CA"/>
        </w:rPr>
        <w:t xml:space="preserve">Susan L. Stewart, Toronto; </w:t>
      </w:r>
      <w:r w:rsidRPr="00296DA2">
        <w:rPr>
          <w:rStyle w:val="SCCCounselPartyRoleChar"/>
          <w:i/>
          <w:lang w:val="fr-CA"/>
        </w:rPr>
        <w:t>Paliare Roland Rosenberg Roths</w:t>
      </w:r>
      <w:r w:rsidR="00314D21">
        <w:rPr>
          <w:rStyle w:val="SCCCounselPartyRoleChar"/>
          <w:i/>
          <w:lang w:val="fr-CA"/>
        </w:rPr>
        <w:t>tein, Toronto</w:t>
      </w:r>
      <w:r w:rsidR="00300224">
        <w:rPr>
          <w:rStyle w:val="SCCCounselPartyRoleChar"/>
          <w:i/>
          <w:lang w:val="fr-CA"/>
        </w:rPr>
        <w:t xml:space="preserve">; </w:t>
      </w:r>
      <w:r w:rsidR="00300224" w:rsidRPr="00300224">
        <w:rPr>
          <w:rStyle w:val="SCCCounselPartyRoleChar"/>
          <w:i/>
          <w:lang w:val="fr-CA"/>
        </w:rPr>
        <w:t>Rae Christen Jeffries, Toronto.</w:t>
      </w:r>
    </w:p>
    <w:p w14:paraId="3CC37F68" w14:textId="77777777" w:rsidR="00A01CF7" w:rsidRDefault="006C688B" w:rsidP="00774FD3">
      <w:pPr>
        <w:pStyle w:val="SCCLawFirm"/>
        <w:spacing w:after="480"/>
        <w:rPr>
          <w:lang w:val="fr-CA"/>
        </w:rPr>
      </w:pPr>
      <w:r w:rsidRPr="00B4021E">
        <w:rPr>
          <w:lang w:val="fr-CA"/>
        </w:rPr>
        <w:tab/>
      </w:r>
      <w:r>
        <w:rPr>
          <w:lang w:val="fr-CA"/>
        </w:rPr>
        <w:t>Procureur</w:t>
      </w:r>
      <w:r w:rsidR="00B92151" w:rsidRPr="00102521">
        <w:rPr>
          <w:lang w:val="fr-CA"/>
        </w:rPr>
        <w:t>s de l</w:t>
      </w:r>
      <w:r w:rsidR="00356C64">
        <w:rPr>
          <w:lang w:val="fr-CA"/>
        </w:rPr>
        <w:t>’</w:t>
      </w:r>
      <w:r>
        <w:rPr>
          <w:lang w:val="fr-CA"/>
        </w:rPr>
        <w:t>intervenant</w:t>
      </w:r>
      <w:r w:rsidR="00B92151" w:rsidRPr="00102521">
        <w:rPr>
          <w:lang w:val="fr-CA"/>
        </w:rPr>
        <w:t xml:space="preserve"> </w:t>
      </w:r>
      <w:r w:rsidR="00A01CF7">
        <w:rPr>
          <w:lang w:val="fr-CA"/>
        </w:rPr>
        <w:t xml:space="preserve">le </w:t>
      </w:r>
      <w:r w:rsidR="00B92151" w:rsidRPr="009D4CF1">
        <w:rPr>
          <w:lang w:val="fr-CA"/>
        </w:rPr>
        <w:t>Congrès du travail du</w:t>
      </w:r>
      <w:r w:rsidR="009D4CF1">
        <w:rPr>
          <w:lang w:val="fr-CA"/>
        </w:rPr>
        <w:t xml:space="preserve"> Canada</w:t>
      </w:r>
      <w:r w:rsidRPr="00102521">
        <w:rPr>
          <w:lang w:val="fr-CA"/>
        </w:rPr>
        <w:t> </w:t>
      </w:r>
      <w:r w:rsidR="007A7228">
        <w:rPr>
          <w:lang w:val="fr-CA"/>
        </w:rPr>
        <w:t>: </w:t>
      </w:r>
      <w:r>
        <w:rPr>
          <w:lang w:val="fr-CA"/>
        </w:rPr>
        <w:t>Goldblatt Partners</w:t>
      </w:r>
      <w:r w:rsidR="00B92151" w:rsidRPr="00102521">
        <w:rPr>
          <w:lang w:val="fr-CA"/>
        </w:rPr>
        <w:t>, Toronto.</w:t>
      </w:r>
    </w:p>
    <w:p w14:paraId="32FB95EB" w14:textId="77777777" w:rsidR="003D255E" w:rsidRPr="003D255E" w:rsidRDefault="003D255E" w:rsidP="007D00E7">
      <w:pPr>
        <w:pStyle w:val="SCCNormalDoubleSpacing"/>
        <w:spacing w:after="480"/>
        <w:rPr>
          <w:i/>
          <w:lang w:val="fr-CA"/>
        </w:rPr>
      </w:pPr>
      <w:r w:rsidRPr="00B4021E">
        <w:rPr>
          <w:lang w:val="fr-CA"/>
        </w:rPr>
        <w:tab/>
      </w:r>
      <w:r w:rsidRPr="003D255E">
        <w:rPr>
          <w:i/>
          <w:lang w:val="fr-CA"/>
        </w:rPr>
        <w:t>Procureurs de l’intervenante l’Association</w:t>
      </w:r>
      <w:r>
        <w:rPr>
          <w:i/>
          <w:lang w:val="fr-CA"/>
        </w:rPr>
        <w:t xml:space="preserve"> nationale des organismes de réglementation de la pharmacie : Shores Jardine, Edmonton.</w:t>
      </w:r>
    </w:p>
    <w:p w14:paraId="0C5541E8" w14:textId="77777777" w:rsidR="00A833FB" w:rsidRPr="0065665F" w:rsidRDefault="00BE4F96" w:rsidP="00067295">
      <w:pPr>
        <w:pStyle w:val="SCCLawFirm"/>
        <w:spacing w:after="480"/>
        <w:rPr>
          <w:lang w:val="fr-CA"/>
        </w:rPr>
      </w:pPr>
      <w:r>
        <w:rPr>
          <w:lang w:val="fr-CA"/>
        </w:rPr>
        <w:tab/>
      </w:r>
      <w:r w:rsidRPr="0065665F">
        <w:rPr>
          <w:lang w:val="fr-CA"/>
        </w:rPr>
        <w:t>Procureurs</w:t>
      </w:r>
      <w:r w:rsidR="00B92151" w:rsidRPr="0065665F">
        <w:rPr>
          <w:lang w:val="fr-CA"/>
        </w:rPr>
        <w:t xml:space="preserve"> de l</w:t>
      </w:r>
      <w:r w:rsidR="00356C64" w:rsidRPr="0065665F">
        <w:rPr>
          <w:lang w:val="fr-CA"/>
        </w:rPr>
        <w:t>’</w:t>
      </w:r>
      <w:r w:rsidR="00A01CF7" w:rsidRPr="0065665F">
        <w:rPr>
          <w:lang w:val="fr-CA"/>
        </w:rPr>
        <w:t>intervenant</w:t>
      </w:r>
      <w:r w:rsidR="00774FD3" w:rsidRPr="0065665F">
        <w:rPr>
          <w:lang w:val="fr-CA"/>
        </w:rPr>
        <w:t>e</w:t>
      </w:r>
      <w:r w:rsidR="00B92151" w:rsidRPr="0065665F">
        <w:rPr>
          <w:lang w:val="fr-CA"/>
        </w:rPr>
        <w:t xml:space="preserve"> Queen</w:t>
      </w:r>
      <w:r w:rsidR="00356C64" w:rsidRPr="0065665F">
        <w:rPr>
          <w:lang w:val="fr-CA"/>
        </w:rPr>
        <w:t>’</w:t>
      </w:r>
      <w:r w:rsidR="00B92151" w:rsidRPr="0065665F">
        <w:rPr>
          <w:lang w:val="fr-CA"/>
        </w:rPr>
        <w:t>s Prison Law Clinic</w:t>
      </w:r>
      <w:r w:rsidRPr="0065665F">
        <w:rPr>
          <w:lang w:val="fr-CA"/>
        </w:rPr>
        <w:t> </w:t>
      </w:r>
      <w:r w:rsidR="007A7228" w:rsidRPr="0065665F">
        <w:rPr>
          <w:lang w:val="fr-CA"/>
        </w:rPr>
        <w:t>: </w:t>
      </w:r>
      <w:r w:rsidRPr="0065665F">
        <w:rPr>
          <w:lang w:val="fr-CA"/>
        </w:rPr>
        <w:t>Stockwoods</w:t>
      </w:r>
      <w:r w:rsidR="00B92151" w:rsidRPr="0065665F">
        <w:rPr>
          <w:lang w:val="fr-CA"/>
        </w:rPr>
        <w:t>, Toronto.</w:t>
      </w:r>
    </w:p>
    <w:p w14:paraId="3DCE19B4" w14:textId="475CA3AE" w:rsidR="00A833FB" w:rsidRPr="0065665F" w:rsidRDefault="00B92151" w:rsidP="00067295">
      <w:pPr>
        <w:pStyle w:val="SCCLawFirm"/>
        <w:spacing w:after="480"/>
        <w:rPr>
          <w:lang w:val="fr-CA"/>
        </w:rPr>
      </w:pPr>
      <w:r w:rsidRPr="0065665F">
        <w:rPr>
          <w:lang w:val="fr-CA"/>
        </w:rPr>
        <w:lastRenderedPageBreak/>
        <w:tab/>
      </w:r>
      <w:r w:rsidR="00BE4F96" w:rsidRPr="0065665F">
        <w:rPr>
          <w:lang w:val="fr-CA"/>
        </w:rPr>
        <w:t>Procureurs</w:t>
      </w:r>
      <w:r w:rsidRPr="0065665F">
        <w:rPr>
          <w:lang w:val="fr-CA"/>
        </w:rPr>
        <w:t xml:space="preserve"> de l</w:t>
      </w:r>
      <w:r w:rsidR="00356C64" w:rsidRPr="0065665F">
        <w:rPr>
          <w:lang w:val="fr-CA"/>
        </w:rPr>
        <w:t>’</w:t>
      </w:r>
      <w:r w:rsidR="00BE4F96" w:rsidRPr="0065665F">
        <w:rPr>
          <w:lang w:val="fr-CA"/>
        </w:rPr>
        <w:t>intervenant</w:t>
      </w:r>
      <w:r w:rsidRPr="0065665F">
        <w:rPr>
          <w:lang w:val="fr-CA"/>
        </w:rPr>
        <w:t xml:space="preserve"> Advocates for the Rule of Law </w:t>
      </w:r>
      <w:r w:rsidR="007A7228" w:rsidRPr="0065665F">
        <w:rPr>
          <w:lang w:val="fr-CA"/>
        </w:rPr>
        <w:t>: </w:t>
      </w:r>
      <w:r w:rsidR="0065665F" w:rsidRPr="0065665F">
        <w:rPr>
          <w:lang w:val="fr-CA"/>
        </w:rPr>
        <w:t>McCarthy Tétrault, Vancouver</w:t>
      </w:r>
      <w:r w:rsidRPr="0065665F">
        <w:rPr>
          <w:lang w:val="fr-CA"/>
        </w:rPr>
        <w:t>.</w:t>
      </w:r>
    </w:p>
    <w:p w14:paraId="26BCDF9D" w14:textId="77777777" w:rsidR="00A833FB" w:rsidRPr="00A03443" w:rsidRDefault="00E50D75" w:rsidP="00067295">
      <w:pPr>
        <w:pStyle w:val="SCCLawFirm"/>
        <w:spacing w:after="480"/>
        <w:rPr>
          <w:lang w:val="en-US"/>
        </w:rPr>
      </w:pPr>
      <w:r w:rsidRPr="0065665F">
        <w:rPr>
          <w:lang w:val="fr-CA"/>
        </w:rPr>
        <w:tab/>
      </w:r>
      <w:r w:rsidR="00D528A4" w:rsidRPr="00A03443">
        <w:rPr>
          <w:lang w:val="en-US"/>
        </w:rPr>
        <w:t>Procureur</w:t>
      </w:r>
      <w:r w:rsidRPr="00A03443">
        <w:rPr>
          <w:lang w:val="en-US"/>
        </w:rPr>
        <w:t xml:space="preserve"> de l</w:t>
      </w:r>
      <w:r w:rsidR="00356C64">
        <w:rPr>
          <w:lang w:val="en-US"/>
        </w:rPr>
        <w:t>’</w:t>
      </w:r>
      <w:r w:rsidRPr="00A03443">
        <w:rPr>
          <w:lang w:val="en-US"/>
        </w:rPr>
        <w:t>intervenant Parkdale Community Legal Services </w:t>
      </w:r>
      <w:r w:rsidR="007A7228">
        <w:rPr>
          <w:lang w:val="en-US"/>
        </w:rPr>
        <w:t>: </w:t>
      </w:r>
      <w:r w:rsidRPr="00A03443">
        <w:rPr>
          <w:lang w:val="en-US"/>
        </w:rPr>
        <w:t>Parkdale Community Legal Services, Toronto.</w:t>
      </w:r>
    </w:p>
    <w:p w14:paraId="36DB5FFB" w14:textId="7C0DC0B0" w:rsidR="00A833FB" w:rsidRPr="00B92151" w:rsidRDefault="00BE4F96" w:rsidP="00067295">
      <w:pPr>
        <w:pStyle w:val="SCCLawFirm"/>
        <w:spacing w:after="480"/>
      </w:pPr>
      <w:r>
        <w:tab/>
        <w:t>Procureurs</w:t>
      </w:r>
      <w:r w:rsidR="00B92151">
        <w:t xml:space="preserve"> de l</w:t>
      </w:r>
      <w:r w:rsidR="00356C64">
        <w:t>’</w:t>
      </w:r>
      <w:r>
        <w:t>intervenant</w:t>
      </w:r>
      <w:r w:rsidR="00B92151">
        <w:t xml:space="preserve"> Cambridge Comparative Administrative Law Forum </w:t>
      </w:r>
      <w:r w:rsidR="007A7228">
        <w:t>: </w:t>
      </w:r>
      <w:r w:rsidR="00B92151">
        <w:t xml:space="preserve">Cambridge </w:t>
      </w:r>
      <w:r w:rsidRPr="00AE50F9">
        <w:t>University — The Faculty of Law, Cambridge</w:t>
      </w:r>
      <w:r w:rsidR="00373E1D">
        <w:t xml:space="preserve">, </w:t>
      </w:r>
      <w:r w:rsidR="000B0D33">
        <w:t>R.-U.</w:t>
      </w:r>
      <w:r w:rsidRPr="00AE50F9">
        <w:t xml:space="preserve">; White &amp; Case, </w:t>
      </w:r>
      <w:r w:rsidR="00A01CF7" w:rsidRPr="00A01CF7">
        <w:t>Washington, D.C</w:t>
      </w:r>
      <w:r w:rsidRPr="00A01CF7">
        <w:t>.</w:t>
      </w:r>
    </w:p>
    <w:p w14:paraId="18FDE0C6" w14:textId="77777777" w:rsidR="00A833FB" w:rsidRPr="00102521" w:rsidRDefault="00BE4F96" w:rsidP="00067295">
      <w:pPr>
        <w:pStyle w:val="SCCLawFirm"/>
        <w:spacing w:after="480"/>
        <w:rPr>
          <w:lang w:val="fr-CA"/>
        </w:rPr>
      </w:pPr>
      <w:r w:rsidRPr="00B32C66">
        <w:tab/>
      </w:r>
      <w:r>
        <w:rPr>
          <w:lang w:val="fr-CA"/>
        </w:rPr>
        <w:t>Procureurs</w:t>
      </w:r>
      <w:r w:rsidR="00B92151" w:rsidRPr="00102521">
        <w:rPr>
          <w:lang w:val="fr-CA"/>
        </w:rPr>
        <w:t xml:space="preserve"> de l</w:t>
      </w:r>
      <w:r w:rsidR="00356C64">
        <w:rPr>
          <w:lang w:val="fr-CA"/>
        </w:rPr>
        <w:t>’</w:t>
      </w:r>
      <w:r>
        <w:rPr>
          <w:lang w:val="fr-CA"/>
        </w:rPr>
        <w:t>intervenante</w:t>
      </w:r>
      <w:r w:rsidR="00B92151" w:rsidRPr="00102521">
        <w:rPr>
          <w:lang w:val="fr-CA"/>
        </w:rPr>
        <w:t xml:space="preserve"> </w:t>
      </w:r>
      <w:r w:rsidR="00A01CF7">
        <w:rPr>
          <w:lang w:val="fr-CA"/>
        </w:rPr>
        <w:t xml:space="preserve">la </w:t>
      </w:r>
      <w:r w:rsidR="00B92151" w:rsidRPr="00102521">
        <w:rPr>
          <w:lang w:val="fr-CA"/>
        </w:rPr>
        <w:t>Clinique d</w:t>
      </w:r>
      <w:r w:rsidR="00356C64">
        <w:rPr>
          <w:lang w:val="fr-CA"/>
        </w:rPr>
        <w:t>’</w:t>
      </w:r>
      <w:r w:rsidR="00C343C4">
        <w:rPr>
          <w:lang w:val="fr-CA"/>
        </w:rPr>
        <w:t>intérêt public</w:t>
      </w:r>
      <w:r w:rsidR="00B92151" w:rsidRPr="00102521">
        <w:rPr>
          <w:lang w:val="fr-CA"/>
        </w:rPr>
        <w:t xml:space="preserve"> et de politique d</w:t>
      </w:r>
      <w:r w:rsidR="00356C64">
        <w:rPr>
          <w:lang w:val="fr-CA"/>
        </w:rPr>
        <w:t>’</w:t>
      </w:r>
      <w:r w:rsidR="00B92151" w:rsidRPr="00102521">
        <w:rPr>
          <w:lang w:val="fr-CA"/>
        </w:rPr>
        <w:t>internet du Canada Samuelson-Glushko </w:t>
      </w:r>
      <w:r w:rsidR="007A7228">
        <w:rPr>
          <w:lang w:val="fr-CA"/>
        </w:rPr>
        <w:t>: </w:t>
      </w:r>
      <w:r w:rsidR="00B92151" w:rsidRPr="00102521">
        <w:rPr>
          <w:lang w:val="fr-CA"/>
        </w:rPr>
        <w:t>Caza</w:t>
      </w:r>
      <w:r>
        <w:rPr>
          <w:lang w:val="fr-CA"/>
        </w:rPr>
        <w:t xml:space="preserve"> Saikaley</w:t>
      </w:r>
      <w:r w:rsidR="00B92151" w:rsidRPr="00102521">
        <w:rPr>
          <w:lang w:val="fr-CA"/>
        </w:rPr>
        <w:t>, Ottawa.</w:t>
      </w:r>
    </w:p>
    <w:p w14:paraId="5EA4D56F" w14:textId="77777777" w:rsidR="004D7D95" w:rsidRPr="00CC5668" w:rsidRDefault="00BE4F96" w:rsidP="00067295">
      <w:pPr>
        <w:pStyle w:val="SCCLawFirm"/>
        <w:spacing w:after="480"/>
        <w:rPr>
          <w:lang w:val="fr-CA"/>
        </w:rPr>
      </w:pPr>
      <w:r>
        <w:rPr>
          <w:lang w:val="fr-CA"/>
        </w:rPr>
        <w:tab/>
        <w:t>Procureurs</w:t>
      </w:r>
      <w:r w:rsidR="00B92151" w:rsidRPr="00102521">
        <w:rPr>
          <w:lang w:val="fr-CA"/>
        </w:rPr>
        <w:t xml:space="preserve"> de l</w:t>
      </w:r>
      <w:r w:rsidR="00356C64">
        <w:rPr>
          <w:lang w:val="fr-CA"/>
        </w:rPr>
        <w:t>’</w:t>
      </w:r>
      <w:r>
        <w:rPr>
          <w:lang w:val="fr-CA"/>
        </w:rPr>
        <w:t>intervenante</w:t>
      </w:r>
      <w:r w:rsidR="007A7228">
        <w:rPr>
          <w:lang w:val="fr-CA"/>
        </w:rPr>
        <w:t xml:space="preserve"> </w:t>
      </w:r>
      <w:r>
        <w:rPr>
          <w:lang w:val="fr-CA"/>
        </w:rPr>
        <w:t>l</w:t>
      </w:r>
      <w:r w:rsidR="00356C64">
        <w:rPr>
          <w:lang w:val="fr-CA"/>
        </w:rPr>
        <w:t>’</w:t>
      </w:r>
      <w:r w:rsidR="00B92151" w:rsidRPr="00102521">
        <w:rPr>
          <w:lang w:val="fr-CA"/>
        </w:rPr>
        <w:t xml:space="preserve">Association du </w:t>
      </w:r>
      <w:r w:rsidR="00A01CF7">
        <w:rPr>
          <w:lang w:val="fr-CA"/>
        </w:rPr>
        <w:t>B</w:t>
      </w:r>
      <w:r w:rsidR="00B92151" w:rsidRPr="00102521">
        <w:rPr>
          <w:lang w:val="fr-CA"/>
        </w:rPr>
        <w:t xml:space="preserve">arreau </w:t>
      </w:r>
      <w:r w:rsidR="00682E67">
        <w:rPr>
          <w:lang w:val="fr-CA"/>
        </w:rPr>
        <w:t>c</w:t>
      </w:r>
      <w:r w:rsidR="00B92151" w:rsidRPr="00102521">
        <w:rPr>
          <w:lang w:val="fr-CA"/>
        </w:rPr>
        <w:t>anadien </w:t>
      </w:r>
      <w:r w:rsidR="007A7228">
        <w:rPr>
          <w:lang w:val="fr-CA"/>
        </w:rPr>
        <w:t>: </w:t>
      </w:r>
      <w:r>
        <w:rPr>
          <w:lang w:val="fr-CA"/>
        </w:rPr>
        <w:t>Gowling WLG (</w:t>
      </w:r>
      <w:r w:rsidRPr="00A01CF7">
        <w:rPr>
          <w:lang w:val="fr-CA"/>
        </w:rPr>
        <w:t>Canada)</w:t>
      </w:r>
      <w:r w:rsidR="00B92151" w:rsidRPr="00A01CF7">
        <w:rPr>
          <w:lang w:val="fr-CA"/>
        </w:rPr>
        <w:t>,</w:t>
      </w:r>
      <w:r w:rsidRPr="00A01CF7">
        <w:rPr>
          <w:lang w:val="fr-CA"/>
        </w:rPr>
        <w:t xml:space="preserve"> </w:t>
      </w:r>
      <w:r w:rsidR="00E50D75" w:rsidRPr="00A01CF7">
        <w:rPr>
          <w:lang w:val="fr-CA"/>
        </w:rPr>
        <w:t>Ottawa</w:t>
      </w:r>
      <w:r w:rsidRPr="00A01CF7">
        <w:rPr>
          <w:lang w:val="fr-CA"/>
        </w:rPr>
        <w:t>.</w:t>
      </w:r>
    </w:p>
    <w:p w14:paraId="749CE46E" w14:textId="77777777" w:rsidR="00A01CF7" w:rsidRDefault="00CC5668" w:rsidP="00774FD3">
      <w:pPr>
        <w:pStyle w:val="SCCLawFirm"/>
        <w:spacing w:after="480"/>
        <w:rPr>
          <w:lang w:val="fr-CA"/>
        </w:rPr>
      </w:pPr>
      <w:r>
        <w:rPr>
          <w:lang w:val="fr-CA"/>
        </w:rPr>
        <w:tab/>
        <w:t>Procureur</w:t>
      </w:r>
      <w:r w:rsidR="00BE4F96" w:rsidRPr="006C35AC">
        <w:rPr>
          <w:lang w:val="fr-CA"/>
        </w:rPr>
        <w:t>s</w:t>
      </w:r>
      <w:r>
        <w:rPr>
          <w:lang w:val="fr-CA"/>
        </w:rPr>
        <w:t xml:space="preserve"> de l</w:t>
      </w:r>
      <w:r w:rsidR="00356C64">
        <w:rPr>
          <w:lang w:val="fr-CA"/>
        </w:rPr>
        <w:t>’</w:t>
      </w:r>
      <w:r>
        <w:rPr>
          <w:lang w:val="fr-CA"/>
        </w:rPr>
        <w:t>intervenant</w:t>
      </w:r>
      <w:r w:rsidR="00BE4F96" w:rsidRPr="006C35AC">
        <w:rPr>
          <w:lang w:val="fr-CA"/>
        </w:rPr>
        <w:t xml:space="preserve">e </w:t>
      </w:r>
      <w:r>
        <w:rPr>
          <w:lang w:val="fr-CA"/>
        </w:rPr>
        <w:t>l</w:t>
      </w:r>
      <w:r w:rsidR="00356C64">
        <w:rPr>
          <w:lang w:val="fr-CA"/>
        </w:rPr>
        <w:t>’</w:t>
      </w:r>
      <w:r w:rsidR="00BE4F96" w:rsidRPr="006C35AC">
        <w:rPr>
          <w:lang w:val="fr-CA"/>
        </w:rPr>
        <w:t xml:space="preserve">Association canadienne des avocats et avocates en droit des </w:t>
      </w:r>
      <w:r w:rsidR="00BE4F96" w:rsidRPr="00581195">
        <w:rPr>
          <w:lang w:val="fr-CA"/>
        </w:rPr>
        <w:t>réfugiés </w:t>
      </w:r>
      <w:r w:rsidR="007A7228" w:rsidRPr="00581195">
        <w:rPr>
          <w:lang w:val="fr-CA"/>
        </w:rPr>
        <w:t>: </w:t>
      </w:r>
      <w:r w:rsidRPr="00581195">
        <w:rPr>
          <w:lang w:val="fr-CA"/>
        </w:rPr>
        <w:t>Centre for Criminology &amp; Sociolegal Studies — University of Toronto, Toronto;</w:t>
      </w:r>
      <w:r w:rsidRPr="00CC5668">
        <w:rPr>
          <w:lang w:val="fr-CA"/>
        </w:rPr>
        <w:t xml:space="preserve"> Legal Aid Ontario, Toronto.</w:t>
      </w:r>
    </w:p>
    <w:p w14:paraId="41F43963" w14:textId="3DBD8800" w:rsidR="00C36665" w:rsidRPr="00832223" w:rsidRDefault="00C36665" w:rsidP="00C36665">
      <w:pPr>
        <w:pStyle w:val="SCCNormalDoubleSpacing"/>
        <w:spacing w:after="480"/>
        <w:rPr>
          <w:i/>
          <w:lang w:val="fr-CA"/>
        </w:rPr>
      </w:pPr>
      <w:r>
        <w:rPr>
          <w:lang w:val="fr-CA"/>
        </w:rPr>
        <w:tab/>
      </w:r>
      <w:r w:rsidR="006A1EBF">
        <w:rPr>
          <w:i/>
          <w:lang w:val="fr-CA"/>
        </w:rPr>
        <w:t>Procureur</w:t>
      </w:r>
      <w:r w:rsidRPr="00832223">
        <w:rPr>
          <w:i/>
          <w:lang w:val="fr-CA"/>
        </w:rPr>
        <w:t xml:space="preserve"> de l’intervenant Community &amp; Legal Aid Services Programme</w:t>
      </w:r>
      <w:r w:rsidR="005C3731" w:rsidRPr="00832223">
        <w:rPr>
          <w:i/>
          <w:lang w:val="fr-CA"/>
        </w:rPr>
        <w:t> </w:t>
      </w:r>
      <w:r w:rsidRPr="00832223">
        <w:rPr>
          <w:i/>
          <w:lang w:val="fr-CA"/>
        </w:rPr>
        <w:t>: Community &amp; Legal Aid Services Programme, Toronto.</w:t>
      </w:r>
    </w:p>
    <w:p w14:paraId="514A5452" w14:textId="77777777" w:rsidR="00E50D75" w:rsidRDefault="00CC5668" w:rsidP="00067295">
      <w:pPr>
        <w:pStyle w:val="SCCLawFirm"/>
        <w:spacing w:after="480"/>
        <w:rPr>
          <w:lang w:val="fr-CA"/>
        </w:rPr>
      </w:pPr>
      <w:r w:rsidRPr="00832223">
        <w:rPr>
          <w:lang w:val="fr-CA"/>
        </w:rPr>
        <w:tab/>
      </w:r>
      <w:r>
        <w:rPr>
          <w:lang w:val="fr-CA"/>
        </w:rPr>
        <w:t>Procureurs de l</w:t>
      </w:r>
      <w:r w:rsidR="00356C64">
        <w:rPr>
          <w:lang w:val="fr-CA"/>
        </w:rPr>
        <w:t>’</w:t>
      </w:r>
      <w:r>
        <w:rPr>
          <w:lang w:val="fr-CA"/>
        </w:rPr>
        <w:t>intervenante</w:t>
      </w:r>
      <w:r w:rsidR="00BE4F96" w:rsidRPr="006C35AC">
        <w:rPr>
          <w:lang w:val="fr-CA"/>
        </w:rPr>
        <w:t xml:space="preserve"> </w:t>
      </w:r>
      <w:r>
        <w:rPr>
          <w:lang w:val="fr-CA"/>
        </w:rPr>
        <w:t>l</w:t>
      </w:r>
      <w:r w:rsidR="00356C64">
        <w:rPr>
          <w:lang w:val="fr-CA"/>
        </w:rPr>
        <w:t>’</w:t>
      </w:r>
      <w:r w:rsidR="00BE4F96" w:rsidRPr="006C35AC">
        <w:rPr>
          <w:lang w:val="fr-CA"/>
        </w:rPr>
        <w:t xml:space="preserve">Association québécoise des avocats et avocates en droit de </w:t>
      </w:r>
      <w:r w:rsidR="00BE4F96" w:rsidRPr="003A111C">
        <w:rPr>
          <w:lang w:val="fr-CA"/>
        </w:rPr>
        <w:t>l</w:t>
      </w:r>
      <w:r w:rsidR="00356C64" w:rsidRPr="003A111C">
        <w:rPr>
          <w:lang w:val="fr-CA"/>
        </w:rPr>
        <w:t>’</w:t>
      </w:r>
      <w:r w:rsidR="00BE4F96" w:rsidRPr="003A111C">
        <w:rPr>
          <w:lang w:val="fr-CA"/>
        </w:rPr>
        <w:t>immigration</w:t>
      </w:r>
      <w:r w:rsidRPr="003A111C">
        <w:rPr>
          <w:lang w:val="fr-CA"/>
        </w:rPr>
        <w:t> </w:t>
      </w:r>
      <w:r w:rsidR="007A7228" w:rsidRPr="003A111C">
        <w:rPr>
          <w:lang w:val="fr-CA"/>
        </w:rPr>
        <w:t>: </w:t>
      </w:r>
      <w:r w:rsidR="001940D1" w:rsidRPr="003A111C">
        <w:rPr>
          <w:lang w:val="fr-CA"/>
        </w:rPr>
        <w:t>Nguyen, Tutunjian &amp; Cliche</w:t>
      </w:r>
      <w:r w:rsidR="001940D1" w:rsidRPr="003A111C">
        <w:rPr>
          <w:lang w:val="fr-CA"/>
        </w:rPr>
        <w:noBreakHyphen/>
      </w:r>
      <w:r w:rsidRPr="003A111C">
        <w:rPr>
          <w:lang w:val="fr-CA"/>
        </w:rPr>
        <w:t xml:space="preserve">Rivard, </w:t>
      </w:r>
      <w:r w:rsidR="00E50D75" w:rsidRPr="003A111C">
        <w:rPr>
          <w:lang w:val="fr-CA"/>
        </w:rPr>
        <w:t>Montréal</w:t>
      </w:r>
      <w:r w:rsidRPr="003A111C">
        <w:rPr>
          <w:lang w:val="fr-CA"/>
        </w:rPr>
        <w:t>;</w:t>
      </w:r>
      <w:r w:rsidR="00BE4F96" w:rsidRPr="003A111C">
        <w:rPr>
          <w:lang w:val="fr-CA"/>
        </w:rPr>
        <w:t xml:space="preserve"> Hadekel Shams, Montréal.</w:t>
      </w:r>
    </w:p>
    <w:p w14:paraId="2B91A0F6" w14:textId="676F3C2B" w:rsidR="009B57B3" w:rsidRPr="00F94C64" w:rsidRDefault="00E50D75" w:rsidP="00F94C64">
      <w:pPr>
        <w:pStyle w:val="SCCLawFirm"/>
        <w:rPr>
          <w:lang w:val="fr-CA"/>
        </w:rPr>
      </w:pPr>
      <w:r>
        <w:rPr>
          <w:lang w:val="fr-CA"/>
        </w:rPr>
        <w:lastRenderedPageBreak/>
        <w:tab/>
        <w:t>Procureurs</w:t>
      </w:r>
      <w:r w:rsidRPr="00102521">
        <w:rPr>
          <w:lang w:val="fr-CA"/>
        </w:rPr>
        <w:t xml:space="preserve"> de l</w:t>
      </w:r>
      <w:r w:rsidR="00356C64">
        <w:rPr>
          <w:lang w:val="fr-CA"/>
        </w:rPr>
        <w:t>’</w:t>
      </w:r>
      <w:r>
        <w:rPr>
          <w:lang w:val="fr-CA"/>
        </w:rPr>
        <w:t>intervenant</w:t>
      </w:r>
      <w:r w:rsidRPr="00102521">
        <w:rPr>
          <w:lang w:val="fr-CA"/>
        </w:rPr>
        <w:t xml:space="preserve">e </w:t>
      </w:r>
      <w:r>
        <w:rPr>
          <w:lang w:val="fr-CA"/>
        </w:rPr>
        <w:t xml:space="preserve">la </w:t>
      </w:r>
      <w:r w:rsidRPr="00102521">
        <w:rPr>
          <w:lang w:val="fr-CA"/>
        </w:rPr>
        <w:t>Société de soutien à l</w:t>
      </w:r>
      <w:r w:rsidR="00356C64">
        <w:rPr>
          <w:lang w:val="fr-CA"/>
        </w:rPr>
        <w:t>’</w:t>
      </w:r>
      <w:r w:rsidRPr="00102521">
        <w:rPr>
          <w:lang w:val="fr-CA"/>
        </w:rPr>
        <w:t xml:space="preserve">enfance et à la famille des </w:t>
      </w:r>
      <w:r>
        <w:rPr>
          <w:lang w:val="fr-CA"/>
        </w:rPr>
        <w:t>Premières N</w:t>
      </w:r>
      <w:r w:rsidRPr="00102521">
        <w:rPr>
          <w:lang w:val="fr-CA"/>
        </w:rPr>
        <w:t xml:space="preserve">ations du </w:t>
      </w:r>
      <w:r w:rsidRPr="009D4CF1">
        <w:rPr>
          <w:lang w:val="fr-CA"/>
        </w:rPr>
        <w:t>Canada</w:t>
      </w:r>
      <w:r w:rsidRPr="00102521">
        <w:rPr>
          <w:lang w:val="fr-CA"/>
        </w:rPr>
        <w:t> </w:t>
      </w:r>
      <w:r w:rsidR="007A7228">
        <w:rPr>
          <w:lang w:val="fr-CA"/>
        </w:rPr>
        <w:t>: </w:t>
      </w:r>
      <w:r>
        <w:rPr>
          <w:lang w:val="fr-CA"/>
        </w:rPr>
        <w:t>Stikeman Elliott</w:t>
      </w:r>
      <w:r w:rsidRPr="009D1A19">
        <w:rPr>
          <w:lang w:val="fr-CA"/>
        </w:rPr>
        <w:t>, Ottawa.</w:t>
      </w:r>
    </w:p>
    <w:sectPr w:rsidR="009B57B3" w:rsidRPr="00F94C64"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6E7B0" w14:textId="77777777" w:rsidR="009C3F4C" w:rsidRDefault="009C3F4C">
      <w:r>
        <w:separator/>
      </w:r>
    </w:p>
  </w:endnote>
  <w:endnote w:type="continuationSeparator" w:id="0">
    <w:p w14:paraId="26A45660" w14:textId="77777777" w:rsidR="009C3F4C" w:rsidRDefault="009C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Rmn 12pt">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A4D81" w14:textId="77777777" w:rsidR="009C3F4C" w:rsidRDefault="009C3F4C">
      <w:r>
        <w:separator/>
      </w:r>
    </w:p>
  </w:footnote>
  <w:footnote w:type="continuationSeparator" w:id="0">
    <w:p w14:paraId="5C09EFBE" w14:textId="77777777" w:rsidR="009C3F4C" w:rsidRDefault="009C3F4C">
      <w:r>
        <w:continuationSeparator/>
      </w:r>
    </w:p>
  </w:footnote>
  <w:footnote w:id="1">
    <w:p w14:paraId="770372FD" w14:textId="1AFB4EF5" w:rsidR="004F2B0A" w:rsidRPr="00D7035C" w:rsidRDefault="004F2B0A" w:rsidP="00AE2373">
      <w:pPr>
        <w:pStyle w:val="FootnoteText"/>
        <w:rPr>
          <w:lang w:val="fr-CA"/>
        </w:rPr>
      </w:pPr>
      <w:r w:rsidRPr="00D7035C">
        <w:rPr>
          <w:rStyle w:val="FootnoteReference"/>
          <w:lang w:val="fr-CA"/>
        </w:rPr>
        <w:footnoteRef/>
      </w:r>
      <w:r>
        <w:rPr>
          <w:lang w:val="fr-CA"/>
        </w:rPr>
        <w:t xml:space="preserve"> À part l’un des deux </w:t>
      </w:r>
      <w:r w:rsidRPr="00D7035C">
        <w:rPr>
          <w:i/>
          <w:lang w:val="fr-CA"/>
        </w:rPr>
        <w:t>amici</w:t>
      </w:r>
      <w:r>
        <w:rPr>
          <w:i/>
          <w:lang w:val="fr-CA"/>
        </w:rPr>
        <w:t xml:space="preserve"> curiae</w:t>
      </w:r>
      <w:r w:rsidRPr="00D7035C">
        <w:rPr>
          <w:lang w:val="fr-CA"/>
        </w:rPr>
        <w:t xml:space="preserve">, </w:t>
      </w:r>
      <w:r>
        <w:rPr>
          <w:lang w:val="fr-CA"/>
        </w:rPr>
        <w:t>personne ne nous a demandé de modifier cette catégorie.</w:t>
      </w:r>
    </w:p>
  </w:footnote>
  <w:footnote w:id="2">
    <w:p w14:paraId="5A5F5B01" w14:textId="5A7B27DC" w:rsidR="004F2B0A" w:rsidRPr="00C521FF" w:rsidRDefault="004F2B0A" w:rsidP="00A22AF1">
      <w:pPr>
        <w:pStyle w:val="FootnoteText"/>
        <w:ind w:left="180" w:hanging="180"/>
        <w:rPr>
          <w:lang w:val="fr-CA"/>
        </w:rPr>
      </w:pPr>
      <w:r w:rsidRPr="004C4864">
        <w:rPr>
          <w:rStyle w:val="FootnoteReference"/>
          <w:lang w:val="fr-CA"/>
        </w:rPr>
        <w:footnoteRef/>
      </w:r>
      <w:r w:rsidRPr="004C4864">
        <w:rPr>
          <w:lang w:val="fr-CA"/>
        </w:rPr>
        <w:t xml:space="preserve"> </w:t>
      </w:r>
      <w:r>
        <w:rPr>
          <w:lang w:val="fr-CA"/>
        </w:rPr>
        <w:tab/>
        <w:t>Les « </w:t>
      </w:r>
      <w:r w:rsidRPr="008C2188">
        <w:rPr>
          <w:lang w:val="fr-CA"/>
        </w:rPr>
        <w:t xml:space="preserve">préoccupations constitutionnelles » citées par la majorité ne constituent pas une </w:t>
      </w:r>
      <w:r>
        <w:rPr>
          <w:lang w:val="fr-CA"/>
        </w:rPr>
        <w:t xml:space="preserve">solution </w:t>
      </w:r>
      <w:r w:rsidRPr="008C2188">
        <w:rPr>
          <w:lang w:val="fr-CA"/>
        </w:rPr>
        <w:t>à ce dilemme : rien dans l</w:t>
      </w:r>
      <w:r>
        <w:rPr>
          <w:lang w:val="fr-CA"/>
        </w:rPr>
        <w:t>’</w:t>
      </w:r>
      <w:r w:rsidRPr="008C2188">
        <w:rPr>
          <w:lang w:val="fr-CA"/>
        </w:rPr>
        <w:t xml:space="preserve">arrêt </w:t>
      </w:r>
      <w:r w:rsidRPr="008C2188">
        <w:rPr>
          <w:i/>
          <w:iCs/>
          <w:lang w:val="fr-CA"/>
        </w:rPr>
        <w:t>Crevier c. Procureur général du Québec</w:t>
      </w:r>
      <w:r w:rsidRPr="008C2188">
        <w:rPr>
          <w:lang w:val="fr-CA"/>
        </w:rPr>
        <w:t>, [1981] 2 R.C.S. 220</w:t>
      </w:r>
      <w:r>
        <w:rPr>
          <w:lang w:val="fr-CA"/>
        </w:rPr>
        <w:t>, n’</w:t>
      </w:r>
      <w:r w:rsidRPr="008C2188">
        <w:rPr>
          <w:lang w:val="fr-CA"/>
        </w:rPr>
        <w:t>empêche les clauses privatives d</w:t>
      </w:r>
      <w:r>
        <w:rPr>
          <w:lang w:val="fr-CA"/>
        </w:rPr>
        <w:t>’</w:t>
      </w:r>
      <w:r w:rsidRPr="008C2188">
        <w:rPr>
          <w:lang w:val="fr-CA"/>
        </w:rPr>
        <w:t xml:space="preserve">influencer la </w:t>
      </w:r>
      <w:r w:rsidRPr="006704CE">
        <w:rPr>
          <w:i/>
          <w:lang w:val="fr-CA"/>
        </w:rPr>
        <w:t>norme</w:t>
      </w:r>
      <w:r w:rsidRPr="008C2188">
        <w:rPr>
          <w:lang w:val="fr-CA"/>
        </w:rPr>
        <w:t xml:space="preserve"> de contrôle, comme c</w:t>
      </w:r>
      <w:r>
        <w:rPr>
          <w:lang w:val="fr-CA"/>
        </w:rPr>
        <w:t>’</w:t>
      </w:r>
      <w:r w:rsidRPr="008C2188">
        <w:rPr>
          <w:lang w:val="fr-CA"/>
        </w:rPr>
        <w:t>était le cas pendant des années selon l</w:t>
      </w:r>
      <w:r>
        <w:rPr>
          <w:lang w:val="fr-CA"/>
        </w:rPr>
        <w:t>’</w:t>
      </w:r>
      <w:r w:rsidRPr="008C2188">
        <w:rPr>
          <w:lang w:val="fr-CA"/>
        </w:rPr>
        <w:t xml:space="preserve">analyse pragmatique et fonctionnelle, ainsi que </w:t>
      </w:r>
      <w:r w:rsidRPr="00C06DD7">
        <w:rPr>
          <w:lang w:val="fr-CA"/>
        </w:rPr>
        <w:t>dans l</w:t>
      </w:r>
      <w:r>
        <w:rPr>
          <w:lang w:val="fr-CA"/>
        </w:rPr>
        <w:t>’</w:t>
      </w:r>
      <w:r w:rsidRPr="00C06DD7">
        <w:rPr>
          <w:lang w:val="fr-CA"/>
        </w:rPr>
        <w:t xml:space="preserve">arrêt </w:t>
      </w:r>
      <w:r w:rsidRPr="00C06DD7">
        <w:rPr>
          <w:i/>
          <w:lang w:val="fr-CA"/>
        </w:rPr>
        <w:t>S.C.F.P.</w:t>
      </w:r>
      <w:r w:rsidRPr="00C06DD7">
        <w:rPr>
          <w:lang w:val="fr-CA"/>
        </w:rPr>
        <w:t xml:space="preserve"> (David Dyzenhaus, « Dignity in Administrative Law</w:t>
      </w:r>
      <w:r>
        <w:rPr>
          <w:lang w:val="fr-CA"/>
        </w:rPr>
        <w:t> </w:t>
      </w:r>
      <w:r w:rsidRPr="00C06DD7">
        <w:rPr>
          <w:lang w:val="fr-CA"/>
        </w:rPr>
        <w:t xml:space="preserve">: Judicial Deference in a Culture of Justification » (2012), 17 </w:t>
      </w:r>
      <w:r>
        <w:rPr>
          <w:i/>
          <w:lang w:val="fr-CA"/>
        </w:rPr>
        <w:t>R. études const.</w:t>
      </w:r>
      <w:r w:rsidRPr="00D350E6">
        <w:rPr>
          <w:lang w:val="fr-CA"/>
        </w:rPr>
        <w:t xml:space="preserve"> </w:t>
      </w:r>
      <w:r w:rsidRPr="00C06DD7">
        <w:t xml:space="preserve">87, p. 103; David Mullan, « Unresolved Issues on Standard of Review in Canadian Judicial Review of Administrative Action — the Top Fifteen! » </w:t>
      </w:r>
      <w:r w:rsidRPr="00C06DD7">
        <w:rPr>
          <w:lang w:val="fr-CA"/>
        </w:rPr>
        <w:t>(2013), 42</w:t>
      </w:r>
      <w:r w:rsidRPr="00C521FF">
        <w:rPr>
          <w:lang w:val="fr-CA"/>
        </w:rPr>
        <w:t xml:space="preserve"> </w:t>
      </w:r>
      <w:r w:rsidRPr="00C521FF">
        <w:rPr>
          <w:i/>
          <w:lang w:val="fr-CA"/>
        </w:rPr>
        <w:t>Adv. Q</w:t>
      </w:r>
      <w:r w:rsidRPr="00C521FF">
        <w:rPr>
          <w:lang w:val="fr-CA"/>
        </w:rPr>
        <w:t>. 1, p. 21).</w:t>
      </w:r>
    </w:p>
  </w:footnote>
  <w:footnote w:id="3">
    <w:p w14:paraId="17332263" w14:textId="37177193" w:rsidR="004F2B0A" w:rsidRPr="00EC5537" w:rsidRDefault="004F2B0A" w:rsidP="00A22AF1">
      <w:pPr>
        <w:pStyle w:val="FootnoteText"/>
        <w:ind w:left="180" w:hanging="180"/>
        <w:rPr>
          <w:lang w:val="fr-CA"/>
        </w:rPr>
      </w:pPr>
      <w:r w:rsidRPr="004C4864">
        <w:rPr>
          <w:rStyle w:val="FootnoteReference"/>
          <w:lang w:val="fr-CA"/>
        </w:rPr>
        <w:footnoteRef/>
      </w:r>
      <w:r w:rsidRPr="004C4864">
        <w:rPr>
          <w:lang w:val="fr-CA"/>
        </w:rPr>
        <w:t xml:space="preserve"> </w:t>
      </w:r>
      <w:r>
        <w:rPr>
          <w:lang w:val="fr-CA"/>
        </w:rPr>
        <w:tab/>
        <w:t xml:space="preserve">Voir </w:t>
      </w:r>
      <w:r w:rsidRPr="00EC5537">
        <w:rPr>
          <w:i/>
          <w:lang w:val="fr-CA"/>
        </w:rPr>
        <w:t>l</w:t>
      </w:r>
      <w:r>
        <w:rPr>
          <w:i/>
          <w:lang w:val="fr-CA"/>
        </w:rPr>
        <w:t>’Administrative Tribunal Act</w:t>
      </w:r>
      <w:r>
        <w:rPr>
          <w:lang w:val="fr-CA"/>
        </w:rPr>
        <w:t>, S.B.C. 2004, c. 45.</w:t>
      </w:r>
      <w:r>
        <w:rPr>
          <w:i/>
          <w:lang w:val="fr-CA"/>
        </w:rPr>
        <w:t xml:space="preserve"> </w:t>
      </w:r>
      <w:r w:rsidRPr="00EC5537">
        <w:rPr>
          <w:lang w:val="fr-CA"/>
        </w:rPr>
        <w:t>La</w:t>
      </w:r>
      <w:r>
        <w:rPr>
          <w:lang w:val="fr-CA"/>
        </w:rPr>
        <w:t xml:space="preserve"> tentative récente du Québec d’adopter une loi semblable est un autre exemple d’une législature qui a compris q</w:t>
      </w:r>
      <w:r w:rsidRPr="00627CDF">
        <w:rPr>
          <w:lang w:val="fr-CA"/>
        </w:rPr>
        <w:t>u</w:t>
      </w:r>
      <w:r>
        <w:rPr>
          <w:lang w:val="fr-CA"/>
        </w:rPr>
        <w:t>’</w:t>
      </w:r>
      <w:r w:rsidRPr="00627CDF">
        <w:rPr>
          <w:lang w:val="fr-CA"/>
        </w:rPr>
        <w:t>elle</w:t>
      </w:r>
      <w:r>
        <w:rPr>
          <w:lang w:val="fr-CA"/>
        </w:rPr>
        <w:t xml:space="preserve"> était libre d’établir des normes de contrôle et que la simple existence d’un droit d’appel ne dictait pas la nature des normes en question. Voir le projet de loi 32, </w:t>
      </w:r>
      <w:r w:rsidRPr="00EC5537">
        <w:rPr>
          <w:i/>
          <w:lang w:val="fr-CA"/>
        </w:rPr>
        <w:t>Loi visant principalement à favoriser</w:t>
      </w:r>
      <w:r>
        <w:rPr>
          <w:i/>
          <w:lang w:val="fr-CA"/>
        </w:rPr>
        <w:t xml:space="preserve"> l’efficacité de la justice pénale et à établir les modalités d’intervention de la Cour du Québec dans un pourvoi en appel</w:t>
      </w:r>
      <w:r>
        <w:rPr>
          <w:lang w:val="fr-CA"/>
        </w:rPr>
        <w:t>, 42</w:t>
      </w:r>
      <w:r w:rsidRPr="00EC5537">
        <w:rPr>
          <w:vertAlign w:val="superscript"/>
          <w:lang w:val="fr-CA"/>
        </w:rPr>
        <w:t>e</w:t>
      </w:r>
      <w:r>
        <w:rPr>
          <w:lang w:val="fr-CA"/>
        </w:rPr>
        <w:t xml:space="preserve"> lég., 1</w:t>
      </w:r>
      <w:r w:rsidRPr="00EC5537">
        <w:rPr>
          <w:vertAlign w:val="superscript"/>
          <w:lang w:val="fr-CA"/>
        </w:rPr>
        <w:t>re</w:t>
      </w:r>
      <w:r>
        <w:rPr>
          <w:vertAlign w:val="superscript"/>
          <w:lang w:val="fr-CA"/>
        </w:rPr>
        <w:t xml:space="preserve"> </w:t>
      </w:r>
      <w:r>
        <w:rPr>
          <w:lang w:val="fr-CA"/>
        </w:rPr>
        <w:t>sess., 2019.</w:t>
      </w:r>
    </w:p>
  </w:footnote>
  <w:footnote w:id="4">
    <w:p w14:paraId="1FBAEE75" w14:textId="2304FB2B" w:rsidR="004F2B0A" w:rsidRPr="004C4864" w:rsidRDefault="004F2B0A" w:rsidP="00A22AF1">
      <w:pPr>
        <w:pStyle w:val="FootnoteText"/>
        <w:ind w:left="180" w:hanging="180"/>
        <w:rPr>
          <w:lang w:val="fr-CA"/>
        </w:rPr>
      </w:pPr>
      <w:r w:rsidRPr="004C4864">
        <w:rPr>
          <w:rStyle w:val="FootnoteReference"/>
          <w:lang w:val="fr-CA"/>
        </w:rPr>
        <w:footnoteRef/>
      </w:r>
      <w:r>
        <w:rPr>
          <w:lang w:val="fr-CA"/>
        </w:rPr>
        <w:t xml:space="preserve"> </w:t>
      </w:r>
      <w:r>
        <w:rPr>
          <w:lang w:val="fr-CA"/>
        </w:rPr>
        <w:tab/>
      </w:r>
      <w:r w:rsidRPr="00627CDF">
        <w:rPr>
          <w:lang w:val="fr-CA"/>
        </w:rPr>
        <w:t>L</w:t>
      </w:r>
      <w:r>
        <w:rPr>
          <w:lang w:val="fr-CA"/>
        </w:rPr>
        <w:t>’</w:t>
      </w:r>
      <w:r w:rsidRPr="00627CDF">
        <w:rPr>
          <w:lang w:val="fr-CA"/>
        </w:rPr>
        <w:t>id</w:t>
      </w:r>
      <w:r>
        <w:rPr>
          <w:lang w:val="fr-CA"/>
        </w:rPr>
        <w:t>ée selon laquelle la volonté du législateur trouve son expression la plus éloquente dans les droits d’appel prévus par une loi ne trouve appui dans aucune des observations formulées par quatre des cinq procureurs généraux qui ont comparu devant nous.</w:t>
      </w:r>
    </w:p>
  </w:footnote>
  <w:footnote w:id="5">
    <w:p w14:paraId="615AC4B6" w14:textId="11246628" w:rsidR="004F2B0A" w:rsidRPr="00E64B53" w:rsidRDefault="004F2B0A" w:rsidP="00A22AF1">
      <w:pPr>
        <w:pStyle w:val="FootnoteText"/>
        <w:ind w:left="180" w:hanging="180"/>
        <w:rPr>
          <w:lang w:val="fr-CA"/>
        </w:rPr>
      </w:pPr>
      <w:r w:rsidRPr="003E2CBD">
        <w:rPr>
          <w:rStyle w:val="FootnoteReference"/>
        </w:rPr>
        <w:footnoteRef/>
      </w:r>
      <w:r>
        <w:rPr>
          <w:lang w:val="fr-CA"/>
        </w:rPr>
        <w:t xml:space="preserve"> </w:t>
      </w:r>
      <w:r>
        <w:rPr>
          <w:lang w:val="fr-CA"/>
        </w:rPr>
        <w:tab/>
      </w:r>
      <w:r w:rsidRPr="00E64B53">
        <w:rPr>
          <w:lang w:val="fr-CA"/>
        </w:rPr>
        <w:t xml:space="preserve">Même les </w:t>
      </w:r>
      <w:r w:rsidRPr="00E64B53">
        <w:rPr>
          <w:i/>
          <w:lang w:val="fr-CA"/>
        </w:rPr>
        <w:t>amici curiae</w:t>
      </w:r>
      <w:r w:rsidRPr="00E64B53">
        <w:rPr>
          <w:lang w:val="fr-CA"/>
        </w:rPr>
        <w:t xml:space="preserve"> ne sont pas allés jusqu</w:t>
      </w:r>
      <w:r>
        <w:rPr>
          <w:lang w:val="fr-CA"/>
        </w:rPr>
        <w:t>’</w:t>
      </w:r>
      <w:r w:rsidRPr="00E64B53">
        <w:rPr>
          <w:lang w:val="fr-CA"/>
        </w:rPr>
        <w:t xml:space="preserve">à affirmer que </w:t>
      </w:r>
      <w:r w:rsidRPr="00E64B53">
        <w:rPr>
          <w:i/>
          <w:iCs/>
          <w:lang w:val="fr-CA"/>
        </w:rPr>
        <w:t xml:space="preserve">toutes </w:t>
      </w:r>
      <w:r w:rsidRPr="00E64B53">
        <w:rPr>
          <w:lang w:val="fr-CA"/>
        </w:rPr>
        <w:t>les dispositions créant un droit d</w:t>
      </w:r>
      <w:r>
        <w:rPr>
          <w:lang w:val="fr-CA"/>
        </w:rPr>
        <w:t>’appel témoignaient de l’</w:t>
      </w:r>
      <w:r w:rsidRPr="00E64B53">
        <w:rPr>
          <w:lang w:val="fr-CA"/>
        </w:rPr>
        <w:t xml:space="preserve">intention du législateur de permettre aux </w:t>
      </w:r>
      <w:r w:rsidRPr="009E7539">
        <w:rPr>
          <w:lang w:val="fr-CA"/>
        </w:rPr>
        <w:t>cours</w:t>
      </w:r>
      <w:r w:rsidRPr="00E64B53">
        <w:rPr>
          <w:lang w:val="fr-CA"/>
        </w:rPr>
        <w:t xml:space="preserve"> de substituer leur opinion à celle des décideurs administrat</w:t>
      </w:r>
      <w:r>
        <w:rPr>
          <w:lang w:val="fr-CA"/>
        </w:rPr>
        <w:t>ifs sur des questions de droit.</w:t>
      </w:r>
    </w:p>
  </w:footnote>
  <w:footnote w:id="6">
    <w:p w14:paraId="72395B85" w14:textId="77777777" w:rsidR="004F2B0A" w:rsidRPr="003B6ABC" w:rsidRDefault="004F2B0A" w:rsidP="00AE2373">
      <w:pPr>
        <w:pStyle w:val="FootnoteText"/>
        <w:rPr>
          <w:sz w:val="24"/>
          <w:szCs w:val="24"/>
          <w:lang w:val="fr-CA"/>
        </w:rPr>
      </w:pPr>
      <w:r w:rsidRPr="00B00C52">
        <w:rPr>
          <w:rStyle w:val="FootnoteReference"/>
          <w:szCs w:val="24"/>
        </w:rPr>
        <w:footnoteRef/>
      </w:r>
      <w:r>
        <w:rPr>
          <w:sz w:val="24"/>
          <w:szCs w:val="24"/>
          <w:lang w:val="fr-CA"/>
        </w:rPr>
        <w:t xml:space="preserve"> </w:t>
      </w:r>
      <w:r w:rsidRPr="00D74C78">
        <w:rPr>
          <w:szCs w:val="24"/>
          <w:lang w:val="fr-CA"/>
        </w:rPr>
        <w:t>R.S.B.C. 1996, c. 418, art. 159</w:t>
      </w:r>
      <w:r>
        <w:rPr>
          <w:szCs w:val="24"/>
          <w:lang w:val="fr-CA"/>
        </w:rPr>
        <w:t>.</w:t>
      </w:r>
    </w:p>
  </w:footnote>
  <w:footnote w:id="7">
    <w:p w14:paraId="1D79029E" w14:textId="67ED5470" w:rsidR="004F2B0A" w:rsidRPr="002A6570" w:rsidRDefault="004F2B0A" w:rsidP="001C7B9F">
      <w:pPr>
        <w:pStyle w:val="FootnoteText"/>
        <w:ind w:left="180" w:hanging="180"/>
        <w:rPr>
          <w:lang w:val="fr-CA"/>
        </w:rPr>
      </w:pPr>
      <w:r>
        <w:rPr>
          <w:rStyle w:val="FootnoteReference"/>
        </w:rPr>
        <w:footnoteRef/>
      </w:r>
      <w:r>
        <w:rPr>
          <w:lang w:val="fr-CA"/>
        </w:rPr>
        <w:t xml:space="preserve"> </w:t>
      </w:r>
      <w:r>
        <w:rPr>
          <w:lang w:val="fr-CA"/>
        </w:rPr>
        <w:tab/>
      </w:r>
      <w:r w:rsidRPr="002A6570">
        <w:rPr>
          <w:lang w:val="fr-CA"/>
        </w:rPr>
        <w:t xml:space="preserve">Pour </w:t>
      </w:r>
      <w:r>
        <w:rPr>
          <w:lang w:val="fr-CA"/>
        </w:rPr>
        <w:t xml:space="preserve">répondre </w:t>
      </w:r>
      <w:r w:rsidRPr="002A6570">
        <w:rPr>
          <w:lang w:val="fr-CA"/>
        </w:rPr>
        <w:t xml:space="preserve">aux </w:t>
      </w:r>
      <w:r>
        <w:rPr>
          <w:lang w:val="fr-CA"/>
        </w:rPr>
        <w:t xml:space="preserve">vœux formulés par certains commentateurs et certains des intervenants en l’espèce, dont l’Association du Barreau canadien et le Conseil des tribunaux administratifs canadiens </w:t>
      </w:r>
      <w:r w:rsidRPr="00EC1788">
        <w:rPr>
          <w:lang w:val="fr-CA"/>
        </w:rPr>
        <w:t>(</w:t>
      </w:r>
      <w:r>
        <w:rPr>
          <w:lang w:val="fr-CA"/>
        </w:rPr>
        <w:t>voir aussi Mullan, p. 76</w:t>
      </w:r>
      <w:r>
        <w:rPr>
          <w:lang w:val="fr-CA"/>
        </w:rPr>
        <w:noBreakHyphen/>
      </w:r>
      <w:r w:rsidRPr="00EC1788">
        <w:rPr>
          <w:lang w:val="fr-CA"/>
        </w:rPr>
        <w:t>78)</w:t>
      </w:r>
      <w:r>
        <w:rPr>
          <w:lang w:val="fr-CA"/>
        </w:rPr>
        <w:t>.</w:t>
      </w:r>
    </w:p>
  </w:footnote>
  <w:footnote w:id="8">
    <w:p w14:paraId="46662045" w14:textId="308343D1" w:rsidR="004F2B0A" w:rsidRPr="00ED59D8" w:rsidRDefault="004F2B0A" w:rsidP="001C7B9F">
      <w:pPr>
        <w:pStyle w:val="FootnoteText"/>
        <w:ind w:left="180" w:hanging="180"/>
        <w:rPr>
          <w:lang w:val="fr-CA"/>
        </w:rPr>
      </w:pPr>
      <w:r>
        <w:rPr>
          <w:rStyle w:val="FootnoteReference"/>
        </w:rPr>
        <w:footnoteRef/>
      </w:r>
      <w:r>
        <w:rPr>
          <w:lang w:val="fr-CA"/>
        </w:rPr>
        <w:t xml:space="preserve"> </w:t>
      </w:r>
      <w:r>
        <w:rPr>
          <w:lang w:val="fr-CA"/>
        </w:rPr>
        <w:tab/>
        <w:t>Mémoire de l’intervenante l’Association canadienne des avocats et avocates en droit des réfugiés, par. 5; mémoire de l’intervenant le Conseil des tribunaux administratifs canadiens, par. 24</w:t>
      </w:r>
      <w:r>
        <w:rPr>
          <w:lang w:val="fr-CA"/>
        </w:rPr>
        <w:noBreakHyphen/>
        <w:t>26.</w:t>
      </w:r>
    </w:p>
  </w:footnote>
  <w:footnote w:id="9">
    <w:p w14:paraId="56F0CBBC" w14:textId="4F0580FE" w:rsidR="004F2B0A" w:rsidRPr="007C642B" w:rsidRDefault="004F2B0A" w:rsidP="001C7B9F">
      <w:pPr>
        <w:pStyle w:val="FootnoteText"/>
        <w:ind w:left="180" w:hanging="180"/>
        <w:rPr>
          <w:lang w:val="fr-CA"/>
        </w:rPr>
      </w:pPr>
      <w:r w:rsidRPr="004840DC">
        <w:rPr>
          <w:rStyle w:val="FootnoteReference"/>
          <w:rFonts w:eastAsiaTheme="minorHAnsi"/>
        </w:rPr>
        <w:footnoteRef/>
      </w:r>
      <w:r>
        <w:rPr>
          <w:lang w:val="fr-CA"/>
        </w:rPr>
        <w:t xml:space="preserve"> Pour respecter </w:t>
      </w:r>
      <w:r w:rsidRPr="007C642B">
        <w:rPr>
          <w:lang w:val="fr-CA"/>
        </w:rPr>
        <w:t>l</w:t>
      </w:r>
      <w:r>
        <w:rPr>
          <w:lang w:val="fr-CA"/>
        </w:rPr>
        <w:t>’</w:t>
      </w:r>
      <w:r w:rsidRPr="007C642B">
        <w:rPr>
          <w:lang w:val="fr-CA"/>
        </w:rPr>
        <w:t>obligation d</w:t>
      </w:r>
      <w:r>
        <w:rPr>
          <w:lang w:val="fr-CA"/>
        </w:rPr>
        <w:t>’</w:t>
      </w:r>
      <w:r w:rsidRPr="007C642B">
        <w:rPr>
          <w:lang w:val="fr-CA"/>
        </w:rPr>
        <w:t xml:space="preserve">équité procédurale </w:t>
      </w:r>
      <w:r>
        <w:rPr>
          <w:lang w:val="fr-CA"/>
        </w:rPr>
        <w:t xml:space="preserve">selon </w:t>
      </w:r>
      <w:r w:rsidRPr="007C642B">
        <w:rPr>
          <w:lang w:val="fr-CA"/>
        </w:rPr>
        <w:t>l</w:t>
      </w:r>
      <w:r>
        <w:rPr>
          <w:lang w:val="fr-CA"/>
        </w:rPr>
        <w:t>’</w:t>
      </w:r>
      <w:r w:rsidRPr="007C642B">
        <w:rPr>
          <w:lang w:val="fr-CA"/>
        </w:rPr>
        <w:t xml:space="preserve">arrêt </w:t>
      </w:r>
      <w:r w:rsidRPr="007C642B">
        <w:rPr>
          <w:i/>
          <w:lang w:val="fr-CA"/>
        </w:rPr>
        <w:t>Baker c. Canada (Ministre de la Citoyenneté et de l</w:t>
      </w:r>
      <w:r>
        <w:rPr>
          <w:i/>
          <w:lang w:val="fr-CA"/>
        </w:rPr>
        <w:t>’</w:t>
      </w:r>
      <w:r w:rsidRPr="007C642B">
        <w:rPr>
          <w:i/>
          <w:lang w:val="fr-CA"/>
        </w:rPr>
        <w:t>Immigration),</w:t>
      </w:r>
      <w:r w:rsidRPr="007C642B">
        <w:rPr>
          <w:lang w:val="fr-CA"/>
        </w:rPr>
        <w:t xml:space="preserve"> [1999] 2 R.C.S</w:t>
      </w:r>
      <w:r>
        <w:rPr>
          <w:lang w:val="fr-CA"/>
        </w:rPr>
        <w:t>. 817, par. </w:t>
      </w:r>
      <w:r w:rsidRPr="007C642B">
        <w:rPr>
          <w:lang w:val="fr-CA"/>
        </w:rPr>
        <w:t>43</w:t>
      </w:r>
      <w:r>
        <w:rPr>
          <w:lang w:val="fr-C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9C57DD9"/>
    <w:multiLevelType w:val="hybridMultilevel"/>
    <w:tmpl w:val="813E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97606"/>
    <w:multiLevelType w:val="hybridMultilevel"/>
    <w:tmpl w:val="0A52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8A3E89"/>
    <w:multiLevelType w:val="hybridMultilevel"/>
    <w:tmpl w:val="F04A0C9C"/>
    <w:lvl w:ilvl="0" w:tplc="30429A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47C51"/>
    <w:multiLevelType w:val="hybridMultilevel"/>
    <w:tmpl w:val="1ACA21DE"/>
    <w:lvl w:ilvl="0" w:tplc="00285408">
      <w:start w:val="1"/>
      <w:numFmt w:val="decimal"/>
      <w:lvlText w:val="%1)"/>
      <w:lvlJc w:val="left"/>
      <w:pPr>
        <w:ind w:left="72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4E7BCB"/>
    <w:multiLevelType w:val="hybridMultilevel"/>
    <w:tmpl w:val="8CBC8F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0F5C77"/>
    <w:multiLevelType w:val="hybridMultilevel"/>
    <w:tmpl w:val="F2BA603C"/>
    <w:lvl w:ilvl="0" w:tplc="3126C3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241E0"/>
    <w:multiLevelType w:val="hybridMultilevel"/>
    <w:tmpl w:val="49F49A9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88137EB"/>
    <w:multiLevelType w:val="hybridMultilevel"/>
    <w:tmpl w:val="D06449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7C7D07"/>
    <w:multiLevelType w:val="multilevel"/>
    <w:tmpl w:val="9238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A17090"/>
    <w:multiLevelType w:val="hybridMultilevel"/>
    <w:tmpl w:val="73E0DEC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0D37944"/>
    <w:multiLevelType w:val="hybridMultilevel"/>
    <w:tmpl w:val="DBC0E444"/>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3" w15:restartNumberingAfterBreak="0">
    <w:nsid w:val="2A205743"/>
    <w:multiLevelType w:val="multilevel"/>
    <w:tmpl w:val="DBA63338"/>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BC6390"/>
    <w:multiLevelType w:val="hybridMultilevel"/>
    <w:tmpl w:val="97042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F2F4EAC"/>
    <w:multiLevelType w:val="hybridMultilevel"/>
    <w:tmpl w:val="9EEE98C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4A60D4"/>
    <w:multiLevelType w:val="multilevel"/>
    <w:tmpl w:val="04FA375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769A2"/>
    <w:multiLevelType w:val="hybridMultilevel"/>
    <w:tmpl w:val="E4FE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325E9"/>
    <w:multiLevelType w:val="hybridMultilevel"/>
    <w:tmpl w:val="25848208"/>
    <w:lvl w:ilvl="0" w:tplc="76E228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83A5E"/>
    <w:multiLevelType w:val="hybridMultilevel"/>
    <w:tmpl w:val="BBBA7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F7A73BF"/>
    <w:multiLevelType w:val="hybridMultilevel"/>
    <w:tmpl w:val="50F40C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3FB70663"/>
    <w:multiLevelType w:val="hybridMultilevel"/>
    <w:tmpl w:val="488C77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2B73B24"/>
    <w:multiLevelType w:val="hybridMultilevel"/>
    <w:tmpl w:val="3DE4C220"/>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3" w15:restartNumberingAfterBreak="0">
    <w:nsid w:val="45E06344"/>
    <w:multiLevelType w:val="hybridMultilevel"/>
    <w:tmpl w:val="C9BA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5" w15:restartNumberingAfterBreak="0">
    <w:nsid w:val="484B1C49"/>
    <w:multiLevelType w:val="hybridMultilevel"/>
    <w:tmpl w:val="9F3A0C7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AE17053"/>
    <w:multiLevelType w:val="hybridMultilevel"/>
    <w:tmpl w:val="289EA820"/>
    <w:lvl w:ilvl="0" w:tplc="84F6459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E832DF0"/>
    <w:multiLevelType w:val="hybridMultilevel"/>
    <w:tmpl w:val="DE96BDFA"/>
    <w:lvl w:ilvl="0" w:tplc="F50A23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9B52E3"/>
    <w:multiLevelType w:val="hybridMultilevel"/>
    <w:tmpl w:val="776AA966"/>
    <w:lvl w:ilvl="0" w:tplc="3126C3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E47EA"/>
    <w:multiLevelType w:val="hybridMultilevel"/>
    <w:tmpl w:val="DBD2CAF6"/>
    <w:lvl w:ilvl="0" w:tplc="7092295A">
      <w:start w:val="1"/>
      <w:numFmt w:val="decimal"/>
      <w:lvlText w:val="%1)"/>
      <w:lvlJc w:val="left"/>
      <w:pPr>
        <w:ind w:left="72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4283EE8"/>
    <w:multiLevelType w:val="multilevel"/>
    <w:tmpl w:val="461CEFC6"/>
    <w:lvl w:ilvl="0">
      <w:start w:val="1"/>
      <w:numFmt w:val="decimal"/>
      <w:pStyle w:val="ParaNoNdepar-AltN"/>
      <w:lvlText w:val="[%1]"/>
      <w:lvlJc w:val="left"/>
      <w:pPr>
        <w:tabs>
          <w:tab w:val="num" w:pos="1422"/>
        </w:tabs>
        <w:ind w:left="27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52C4978"/>
    <w:multiLevelType w:val="hybridMultilevel"/>
    <w:tmpl w:val="0FC073A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8FF6ECD"/>
    <w:multiLevelType w:val="hybridMultilevel"/>
    <w:tmpl w:val="08F280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F98228E"/>
    <w:multiLevelType w:val="multilevel"/>
    <w:tmpl w:val="A3EE6540"/>
    <w:lvl w:ilvl="0">
      <w:start w:val="1"/>
      <w:numFmt w:val="bullet"/>
      <w:lvlText w:val="-"/>
      <w:lvlJc w:val="left"/>
      <w:pPr>
        <w:tabs>
          <w:tab w:val="num" w:pos="1422"/>
        </w:tabs>
        <w:ind w:left="270" w:firstLine="0"/>
      </w:pPr>
      <w:rPr>
        <w:rFonts w:ascii="Times New Roman" w:eastAsiaTheme="minorEastAsia" w:hAnsi="Times New Roman" w:cs="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61924DF"/>
    <w:multiLevelType w:val="hybridMultilevel"/>
    <w:tmpl w:val="EAB0E104"/>
    <w:lvl w:ilvl="0" w:tplc="5052A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3A1F89"/>
    <w:multiLevelType w:val="hybridMultilevel"/>
    <w:tmpl w:val="A56CB428"/>
    <w:lvl w:ilvl="0" w:tplc="337A277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F036DB"/>
    <w:multiLevelType w:val="hybridMultilevel"/>
    <w:tmpl w:val="0F860A5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F1B098E"/>
    <w:multiLevelType w:val="hybridMultilevel"/>
    <w:tmpl w:val="D1E0F5A8"/>
    <w:lvl w:ilvl="0" w:tplc="6922DB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6"/>
  </w:num>
  <w:num w:numId="3">
    <w:abstractNumId w:val="9"/>
  </w:num>
  <w:num w:numId="4">
    <w:abstractNumId w:val="2"/>
  </w:num>
  <w:num w:numId="5">
    <w:abstractNumId w:val="27"/>
  </w:num>
  <w:num w:numId="6">
    <w:abstractNumId w:val="28"/>
  </w:num>
  <w:num w:numId="7">
    <w:abstractNumId w:val="24"/>
  </w:num>
  <w:num w:numId="8">
    <w:abstractNumId w:val="2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5"/>
  </w:num>
  <w:num w:numId="10">
    <w:abstractNumId w:val="23"/>
  </w:num>
  <w:num w:numId="11">
    <w:abstractNumId w:val="17"/>
  </w:num>
  <w:num w:numId="12">
    <w:abstractNumId w:val="8"/>
  </w:num>
  <w:num w:numId="13">
    <w:abstractNumId w:val="31"/>
  </w:num>
  <w:num w:numId="14">
    <w:abstractNumId w:val="1"/>
  </w:num>
  <w:num w:numId="15">
    <w:abstractNumId w:val="20"/>
  </w:num>
  <w:num w:numId="16">
    <w:abstractNumId w:val="0"/>
  </w:num>
  <w:num w:numId="17">
    <w:abstractNumId w:val="25"/>
  </w:num>
  <w:num w:numId="18">
    <w:abstractNumId w:val="34"/>
  </w:num>
  <w:num w:numId="19">
    <w:abstractNumId w:val="38"/>
  </w:num>
  <w:num w:numId="20">
    <w:abstractNumId w:val="35"/>
  </w:num>
  <w:num w:numId="21">
    <w:abstractNumId w:val="7"/>
  </w:num>
  <w:num w:numId="22">
    <w:abstractNumId w:val="21"/>
  </w:num>
  <w:num w:numId="23">
    <w:abstractNumId w:val="15"/>
  </w:num>
  <w:num w:numId="24">
    <w:abstractNumId w:val="33"/>
  </w:num>
  <w:num w:numId="25">
    <w:abstractNumId w:val="39"/>
  </w:num>
  <w:num w:numId="26">
    <w:abstractNumId w:val="11"/>
  </w:num>
  <w:num w:numId="27">
    <w:abstractNumId w:val="19"/>
  </w:num>
  <w:num w:numId="28">
    <w:abstractNumId w:val="14"/>
  </w:num>
  <w:num w:numId="29">
    <w:abstractNumId w:val="4"/>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6"/>
  </w:num>
  <w:num w:numId="35">
    <w:abstractNumId w:val="30"/>
  </w:num>
  <w:num w:numId="36">
    <w:abstractNumId w:val="6"/>
  </w:num>
  <w:num w:numId="37">
    <w:abstractNumId w:val="37"/>
  </w:num>
  <w:num w:numId="38">
    <w:abstractNumId w:val="3"/>
  </w:num>
  <w:num w:numId="39">
    <w:abstractNumId w:val="22"/>
  </w:num>
  <w:num w:numId="40">
    <w:abstractNumId w:val="29"/>
  </w:num>
  <w:num w:numId="41">
    <w:abstractNumId w:val="16"/>
  </w:num>
  <w:num w:numId="42">
    <w:abstractNumId w:val="13"/>
  </w:num>
  <w:num w:numId="43">
    <w:abstractNumId w:val="10"/>
  </w:num>
  <w:num w:numId="44">
    <w:abstractNumId w:val="40"/>
  </w:num>
  <w:num w:numId="45">
    <w:abstractNumId w:val="18"/>
  </w:num>
  <w:num w:numId="46">
    <w:abstractNumId w:val="24"/>
  </w:num>
  <w:num w:numId="47">
    <w:abstractNumId w:val="24"/>
  </w:num>
  <w:num w:numId="48">
    <w:abstractNumId w:val="24"/>
  </w:num>
  <w:num w:numId="49">
    <w:abstractNumId w:val="2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2B2"/>
    <w:rsid w:val="00000C4F"/>
    <w:rsid w:val="00000ED4"/>
    <w:rsid w:val="00001F0D"/>
    <w:rsid w:val="00002582"/>
    <w:rsid w:val="00002C20"/>
    <w:rsid w:val="00003826"/>
    <w:rsid w:val="00005042"/>
    <w:rsid w:val="00005D62"/>
    <w:rsid w:val="00011F33"/>
    <w:rsid w:val="00013346"/>
    <w:rsid w:val="000158C7"/>
    <w:rsid w:val="00016BE6"/>
    <w:rsid w:val="0002239F"/>
    <w:rsid w:val="00023DEA"/>
    <w:rsid w:val="00023FC7"/>
    <w:rsid w:val="00025198"/>
    <w:rsid w:val="00027F09"/>
    <w:rsid w:val="00030163"/>
    <w:rsid w:val="00032F3C"/>
    <w:rsid w:val="00035BA0"/>
    <w:rsid w:val="00040B23"/>
    <w:rsid w:val="000476C4"/>
    <w:rsid w:val="0005246C"/>
    <w:rsid w:val="00053A33"/>
    <w:rsid w:val="00054E2A"/>
    <w:rsid w:val="00054F9D"/>
    <w:rsid w:val="00055599"/>
    <w:rsid w:val="000571F8"/>
    <w:rsid w:val="000578A3"/>
    <w:rsid w:val="000627C1"/>
    <w:rsid w:val="00062858"/>
    <w:rsid w:val="0006379D"/>
    <w:rsid w:val="000648CC"/>
    <w:rsid w:val="00067295"/>
    <w:rsid w:val="0007101D"/>
    <w:rsid w:val="000717B6"/>
    <w:rsid w:val="0007414C"/>
    <w:rsid w:val="000759A0"/>
    <w:rsid w:val="00076632"/>
    <w:rsid w:val="00076655"/>
    <w:rsid w:val="000767A0"/>
    <w:rsid w:val="00080745"/>
    <w:rsid w:val="000840DA"/>
    <w:rsid w:val="0008430F"/>
    <w:rsid w:val="000849A8"/>
    <w:rsid w:val="00084B1D"/>
    <w:rsid w:val="00091904"/>
    <w:rsid w:val="000921E4"/>
    <w:rsid w:val="00092343"/>
    <w:rsid w:val="00095C16"/>
    <w:rsid w:val="000B0D33"/>
    <w:rsid w:val="000B4D78"/>
    <w:rsid w:val="000B50BC"/>
    <w:rsid w:val="000B70F2"/>
    <w:rsid w:val="000C1DE1"/>
    <w:rsid w:val="000C2637"/>
    <w:rsid w:val="000C2FB0"/>
    <w:rsid w:val="000C39E8"/>
    <w:rsid w:val="000C43F6"/>
    <w:rsid w:val="000C518B"/>
    <w:rsid w:val="000C59B8"/>
    <w:rsid w:val="000C69BA"/>
    <w:rsid w:val="000C6AF0"/>
    <w:rsid w:val="000D067E"/>
    <w:rsid w:val="000D084C"/>
    <w:rsid w:val="000D0A77"/>
    <w:rsid w:val="000D11BD"/>
    <w:rsid w:val="000D4D33"/>
    <w:rsid w:val="000E0B23"/>
    <w:rsid w:val="000E242C"/>
    <w:rsid w:val="000E29A9"/>
    <w:rsid w:val="000E51C1"/>
    <w:rsid w:val="000E6704"/>
    <w:rsid w:val="000F43BA"/>
    <w:rsid w:val="000F7993"/>
    <w:rsid w:val="00102521"/>
    <w:rsid w:val="00102612"/>
    <w:rsid w:val="00102BCB"/>
    <w:rsid w:val="00103638"/>
    <w:rsid w:val="00104F33"/>
    <w:rsid w:val="00111DE2"/>
    <w:rsid w:val="00116B38"/>
    <w:rsid w:val="00122776"/>
    <w:rsid w:val="00125265"/>
    <w:rsid w:val="00127E03"/>
    <w:rsid w:val="00130A28"/>
    <w:rsid w:val="00130B2D"/>
    <w:rsid w:val="00130DED"/>
    <w:rsid w:val="00135406"/>
    <w:rsid w:val="00135972"/>
    <w:rsid w:val="0014002A"/>
    <w:rsid w:val="00140262"/>
    <w:rsid w:val="0014128B"/>
    <w:rsid w:val="001426A9"/>
    <w:rsid w:val="00143B2F"/>
    <w:rsid w:val="00146DA6"/>
    <w:rsid w:val="00147BC8"/>
    <w:rsid w:val="001506C8"/>
    <w:rsid w:val="0015170E"/>
    <w:rsid w:val="00151C38"/>
    <w:rsid w:val="00152910"/>
    <w:rsid w:val="00154D7C"/>
    <w:rsid w:val="00155F48"/>
    <w:rsid w:val="001570B0"/>
    <w:rsid w:val="0015752C"/>
    <w:rsid w:val="00157737"/>
    <w:rsid w:val="00160271"/>
    <w:rsid w:val="001626D1"/>
    <w:rsid w:val="0016515E"/>
    <w:rsid w:val="00165277"/>
    <w:rsid w:val="00166B24"/>
    <w:rsid w:val="00170592"/>
    <w:rsid w:val="001720F7"/>
    <w:rsid w:val="00174010"/>
    <w:rsid w:val="0017432E"/>
    <w:rsid w:val="00181AFE"/>
    <w:rsid w:val="0018328E"/>
    <w:rsid w:val="001862D8"/>
    <w:rsid w:val="00187BC4"/>
    <w:rsid w:val="001940D1"/>
    <w:rsid w:val="0019434E"/>
    <w:rsid w:val="0019477E"/>
    <w:rsid w:val="00194E16"/>
    <w:rsid w:val="00195D83"/>
    <w:rsid w:val="001961CD"/>
    <w:rsid w:val="00196EF6"/>
    <w:rsid w:val="001A00C1"/>
    <w:rsid w:val="001A0E4A"/>
    <w:rsid w:val="001A1E66"/>
    <w:rsid w:val="001A7095"/>
    <w:rsid w:val="001B146E"/>
    <w:rsid w:val="001B3144"/>
    <w:rsid w:val="001B33E0"/>
    <w:rsid w:val="001B4421"/>
    <w:rsid w:val="001B4573"/>
    <w:rsid w:val="001B7DF3"/>
    <w:rsid w:val="001C0504"/>
    <w:rsid w:val="001C18A4"/>
    <w:rsid w:val="001C1E9B"/>
    <w:rsid w:val="001C2CA2"/>
    <w:rsid w:val="001C3C83"/>
    <w:rsid w:val="001C779F"/>
    <w:rsid w:val="001C7B9F"/>
    <w:rsid w:val="001D02A4"/>
    <w:rsid w:val="001D2071"/>
    <w:rsid w:val="001D25F7"/>
    <w:rsid w:val="001D2AC1"/>
    <w:rsid w:val="001D4E88"/>
    <w:rsid w:val="001D5776"/>
    <w:rsid w:val="001D7B46"/>
    <w:rsid w:val="001E1601"/>
    <w:rsid w:val="001E2939"/>
    <w:rsid w:val="001E47E9"/>
    <w:rsid w:val="001E68C9"/>
    <w:rsid w:val="001E7F40"/>
    <w:rsid w:val="0020272B"/>
    <w:rsid w:val="002103C2"/>
    <w:rsid w:val="00212607"/>
    <w:rsid w:val="00213F68"/>
    <w:rsid w:val="00217097"/>
    <w:rsid w:val="00220FC2"/>
    <w:rsid w:val="002222F4"/>
    <w:rsid w:val="00224FC0"/>
    <w:rsid w:val="00225676"/>
    <w:rsid w:val="00225EA4"/>
    <w:rsid w:val="00226286"/>
    <w:rsid w:val="00226EAF"/>
    <w:rsid w:val="00231D0B"/>
    <w:rsid w:val="00231F3A"/>
    <w:rsid w:val="00233ED9"/>
    <w:rsid w:val="0023666E"/>
    <w:rsid w:val="002406EE"/>
    <w:rsid w:val="00243428"/>
    <w:rsid w:val="00243EC8"/>
    <w:rsid w:val="002443B4"/>
    <w:rsid w:val="002527C8"/>
    <w:rsid w:val="002537C6"/>
    <w:rsid w:val="00255472"/>
    <w:rsid w:val="002572B2"/>
    <w:rsid w:val="0025783E"/>
    <w:rsid w:val="00260EF8"/>
    <w:rsid w:val="00265DDF"/>
    <w:rsid w:val="00266002"/>
    <w:rsid w:val="00270D93"/>
    <w:rsid w:val="002745CC"/>
    <w:rsid w:val="002767DB"/>
    <w:rsid w:val="002773B3"/>
    <w:rsid w:val="00282C1C"/>
    <w:rsid w:val="0028761E"/>
    <w:rsid w:val="00290D46"/>
    <w:rsid w:val="00292C6E"/>
    <w:rsid w:val="00294660"/>
    <w:rsid w:val="00296DA2"/>
    <w:rsid w:val="00296E0D"/>
    <w:rsid w:val="00297BD5"/>
    <w:rsid w:val="002A100D"/>
    <w:rsid w:val="002A1C1C"/>
    <w:rsid w:val="002A2B0D"/>
    <w:rsid w:val="002A46C7"/>
    <w:rsid w:val="002A69E9"/>
    <w:rsid w:val="002B0157"/>
    <w:rsid w:val="002B09BD"/>
    <w:rsid w:val="002B43BF"/>
    <w:rsid w:val="002B5F5C"/>
    <w:rsid w:val="002B6FBE"/>
    <w:rsid w:val="002B7924"/>
    <w:rsid w:val="002B7FB6"/>
    <w:rsid w:val="002C10A6"/>
    <w:rsid w:val="002C403A"/>
    <w:rsid w:val="002C5257"/>
    <w:rsid w:val="002C5EE4"/>
    <w:rsid w:val="002D1CF7"/>
    <w:rsid w:val="002D28C3"/>
    <w:rsid w:val="002D3145"/>
    <w:rsid w:val="002D39A4"/>
    <w:rsid w:val="002D3FEA"/>
    <w:rsid w:val="002D7BEC"/>
    <w:rsid w:val="002E22CF"/>
    <w:rsid w:val="002E3951"/>
    <w:rsid w:val="002E6705"/>
    <w:rsid w:val="002F0116"/>
    <w:rsid w:val="002F370C"/>
    <w:rsid w:val="002F39B9"/>
    <w:rsid w:val="002F4C9C"/>
    <w:rsid w:val="002F50CE"/>
    <w:rsid w:val="002F6EA3"/>
    <w:rsid w:val="002F7454"/>
    <w:rsid w:val="00300224"/>
    <w:rsid w:val="00302F24"/>
    <w:rsid w:val="0030329A"/>
    <w:rsid w:val="00303EA4"/>
    <w:rsid w:val="00306D7F"/>
    <w:rsid w:val="0031086F"/>
    <w:rsid w:val="0031414C"/>
    <w:rsid w:val="00314D21"/>
    <w:rsid w:val="00314E01"/>
    <w:rsid w:val="003205EE"/>
    <w:rsid w:val="0032089D"/>
    <w:rsid w:val="00326B1F"/>
    <w:rsid w:val="00330A01"/>
    <w:rsid w:val="003310DE"/>
    <w:rsid w:val="003323B0"/>
    <w:rsid w:val="003326A0"/>
    <w:rsid w:val="00333BF9"/>
    <w:rsid w:val="0033628B"/>
    <w:rsid w:val="0033677C"/>
    <w:rsid w:val="0033756A"/>
    <w:rsid w:val="00340A49"/>
    <w:rsid w:val="00344586"/>
    <w:rsid w:val="003472AC"/>
    <w:rsid w:val="00350F51"/>
    <w:rsid w:val="0035169A"/>
    <w:rsid w:val="0035259D"/>
    <w:rsid w:val="00355965"/>
    <w:rsid w:val="00356C64"/>
    <w:rsid w:val="0036182F"/>
    <w:rsid w:val="003623EB"/>
    <w:rsid w:val="0036282F"/>
    <w:rsid w:val="00363789"/>
    <w:rsid w:val="00364B18"/>
    <w:rsid w:val="00366A37"/>
    <w:rsid w:val="0037291F"/>
    <w:rsid w:val="00373554"/>
    <w:rsid w:val="00373E1D"/>
    <w:rsid w:val="00373E78"/>
    <w:rsid w:val="003750F1"/>
    <w:rsid w:val="00377DD5"/>
    <w:rsid w:val="003837E2"/>
    <w:rsid w:val="0038445D"/>
    <w:rsid w:val="0038451B"/>
    <w:rsid w:val="00385141"/>
    <w:rsid w:val="003928EE"/>
    <w:rsid w:val="00392D30"/>
    <w:rsid w:val="003A0E13"/>
    <w:rsid w:val="003A111C"/>
    <w:rsid w:val="003A125D"/>
    <w:rsid w:val="003A33E6"/>
    <w:rsid w:val="003A3C0E"/>
    <w:rsid w:val="003A4C62"/>
    <w:rsid w:val="003A4C70"/>
    <w:rsid w:val="003B04CF"/>
    <w:rsid w:val="003B215F"/>
    <w:rsid w:val="003B4060"/>
    <w:rsid w:val="003B5D49"/>
    <w:rsid w:val="003C2DEE"/>
    <w:rsid w:val="003C4854"/>
    <w:rsid w:val="003C4C36"/>
    <w:rsid w:val="003C5560"/>
    <w:rsid w:val="003C6B4A"/>
    <w:rsid w:val="003C7745"/>
    <w:rsid w:val="003C799C"/>
    <w:rsid w:val="003C7A9C"/>
    <w:rsid w:val="003D0399"/>
    <w:rsid w:val="003D255E"/>
    <w:rsid w:val="003D2E74"/>
    <w:rsid w:val="003D3796"/>
    <w:rsid w:val="003D5BF1"/>
    <w:rsid w:val="003E1C50"/>
    <w:rsid w:val="003E1C71"/>
    <w:rsid w:val="003E3846"/>
    <w:rsid w:val="003E777B"/>
    <w:rsid w:val="003F2C16"/>
    <w:rsid w:val="003F327B"/>
    <w:rsid w:val="003F4089"/>
    <w:rsid w:val="003F5347"/>
    <w:rsid w:val="003F5DFD"/>
    <w:rsid w:val="0040376C"/>
    <w:rsid w:val="00405899"/>
    <w:rsid w:val="00406166"/>
    <w:rsid w:val="004066EA"/>
    <w:rsid w:val="0040704B"/>
    <w:rsid w:val="00407F74"/>
    <w:rsid w:val="004104B7"/>
    <w:rsid w:val="00410A55"/>
    <w:rsid w:val="00411300"/>
    <w:rsid w:val="0041192F"/>
    <w:rsid w:val="00413F17"/>
    <w:rsid w:val="004144A6"/>
    <w:rsid w:val="00415417"/>
    <w:rsid w:val="00420708"/>
    <w:rsid w:val="0042206D"/>
    <w:rsid w:val="00425DFC"/>
    <w:rsid w:val="00425E12"/>
    <w:rsid w:val="00425E66"/>
    <w:rsid w:val="00426659"/>
    <w:rsid w:val="00427FBD"/>
    <w:rsid w:val="00431139"/>
    <w:rsid w:val="00431B03"/>
    <w:rsid w:val="00432292"/>
    <w:rsid w:val="00433125"/>
    <w:rsid w:val="0043657B"/>
    <w:rsid w:val="00436794"/>
    <w:rsid w:val="00437379"/>
    <w:rsid w:val="00437A8D"/>
    <w:rsid w:val="00450352"/>
    <w:rsid w:val="004513B3"/>
    <w:rsid w:val="00452358"/>
    <w:rsid w:val="004541E6"/>
    <w:rsid w:val="00454BDB"/>
    <w:rsid w:val="00454CC7"/>
    <w:rsid w:val="00460526"/>
    <w:rsid w:val="0046474A"/>
    <w:rsid w:val="00464AD9"/>
    <w:rsid w:val="00464E9B"/>
    <w:rsid w:val="00465132"/>
    <w:rsid w:val="00470ABC"/>
    <w:rsid w:val="00477163"/>
    <w:rsid w:val="00480727"/>
    <w:rsid w:val="00480C90"/>
    <w:rsid w:val="004830DC"/>
    <w:rsid w:val="004836EF"/>
    <w:rsid w:val="0048396F"/>
    <w:rsid w:val="00484CC5"/>
    <w:rsid w:val="00485FF8"/>
    <w:rsid w:val="00487CA6"/>
    <w:rsid w:val="00491D9E"/>
    <w:rsid w:val="00491DE6"/>
    <w:rsid w:val="00493C18"/>
    <w:rsid w:val="004953E7"/>
    <w:rsid w:val="00495BAD"/>
    <w:rsid w:val="00495BE1"/>
    <w:rsid w:val="004A0BA1"/>
    <w:rsid w:val="004A102F"/>
    <w:rsid w:val="004A25D9"/>
    <w:rsid w:val="004A600C"/>
    <w:rsid w:val="004A6118"/>
    <w:rsid w:val="004A7D45"/>
    <w:rsid w:val="004B1BC5"/>
    <w:rsid w:val="004B1FF1"/>
    <w:rsid w:val="004B2B78"/>
    <w:rsid w:val="004B3C19"/>
    <w:rsid w:val="004B3FFF"/>
    <w:rsid w:val="004B4A47"/>
    <w:rsid w:val="004B703D"/>
    <w:rsid w:val="004C145D"/>
    <w:rsid w:val="004C320D"/>
    <w:rsid w:val="004C478D"/>
    <w:rsid w:val="004C5126"/>
    <w:rsid w:val="004D433A"/>
    <w:rsid w:val="004D5ABA"/>
    <w:rsid w:val="004D7D95"/>
    <w:rsid w:val="004E0503"/>
    <w:rsid w:val="004E262E"/>
    <w:rsid w:val="004E2C26"/>
    <w:rsid w:val="004E6BFE"/>
    <w:rsid w:val="004F0919"/>
    <w:rsid w:val="004F0998"/>
    <w:rsid w:val="004F2B0A"/>
    <w:rsid w:val="004F2E7D"/>
    <w:rsid w:val="00504783"/>
    <w:rsid w:val="005072E4"/>
    <w:rsid w:val="005125A8"/>
    <w:rsid w:val="00516598"/>
    <w:rsid w:val="00516CAE"/>
    <w:rsid w:val="00517549"/>
    <w:rsid w:val="00520ABC"/>
    <w:rsid w:val="00520CBC"/>
    <w:rsid w:val="00521AE8"/>
    <w:rsid w:val="00521D12"/>
    <w:rsid w:val="0052474A"/>
    <w:rsid w:val="005257F1"/>
    <w:rsid w:val="00527180"/>
    <w:rsid w:val="00530870"/>
    <w:rsid w:val="00531F52"/>
    <w:rsid w:val="00532992"/>
    <w:rsid w:val="005365B0"/>
    <w:rsid w:val="00540B2C"/>
    <w:rsid w:val="00545BDA"/>
    <w:rsid w:val="00545E93"/>
    <w:rsid w:val="00551533"/>
    <w:rsid w:val="00552C0B"/>
    <w:rsid w:val="0055446A"/>
    <w:rsid w:val="00554A83"/>
    <w:rsid w:val="00555291"/>
    <w:rsid w:val="0055688A"/>
    <w:rsid w:val="00556B88"/>
    <w:rsid w:val="00561AD2"/>
    <w:rsid w:val="00566932"/>
    <w:rsid w:val="00566AD1"/>
    <w:rsid w:val="00570222"/>
    <w:rsid w:val="00572ABA"/>
    <w:rsid w:val="00573C42"/>
    <w:rsid w:val="00581195"/>
    <w:rsid w:val="00583B24"/>
    <w:rsid w:val="00583EDE"/>
    <w:rsid w:val="00584690"/>
    <w:rsid w:val="0059026E"/>
    <w:rsid w:val="0059132D"/>
    <w:rsid w:val="00591C8F"/>
    <w:rsid w:val="00595369"/>
    <w:rsid w:val="005A166C"/>
    <w:rsid w:val="005A40AD"/>
    <w:rsid w:val="005A6079"/>
    <w:rsid w:val="005B1283"/>
    <w:rsid w:val="005B1AC2"/>
    <w:rsid w:val="005B354E"/>
    <w:rsid w:val="005B61E0"/>
    <w:rsid w:val="005B68A6"/>
    <w:rsid w:val="005B79AB"/>
    <w:rsid w:val="005C1196"/>
    <w:rsid w:val="005C2CCD"/>
    <w:rsid w:val="005C3731"/>
    <w:rsid w:val="005C4482"/>
    <w:rsid w:val="005C5DCE"/>
    <w:rsid w:val="005C6728"/>
    <w:rsid w:val="005C707B"/>
    <w:rsid w:val="005C7A80"/>
    <w:rsid w:val="005D00B7"/>
    <w:rsid w:val="005D2BB7"/>
    <w:rsid w:val="005D3DCA"/>
    <w:rsid w:val="005E2252"/>
    <w:rsid w:val="005E25F3"/>
    <w:rsid w:val="005E4477"/>
    <w:rsid w:val="005E4698"/>
    <w:rsid w:val="005E71D0"/>
    <w:rsid w:val="005E7597"/>
    <w:rsid w:val="005E773F"/>
    <w:rsid w:val="005F17A1"/>
    <w:rsid w:val="005F1A71"/>
    <w:rsid w:val="005F369E"/>
    <w:rsid w:val="0060158C"/>
    <w:rsid w:val="00603924"/>
    <w:rsid w:val="00603D71"/>
    <w:rsid w:val="0060631D"/>
    <w:rsid w:val="0060773A"/>
    <w:rsid w:val="006078B2"/>
    <w:rsid w:val="00610539"/>
    <w:rsid w:val="00610555"/>
    <w:rsid w:val="00610981"/>
    <w:rsid w:val="00611C1C"/>
    <w:rsid w:val="00613969"/>
    <w:rsid w:val="00614DBE"/>
    <w:rsid w:val="006155B7"/>
    <w:rsid w:val="00616662"/>
    <w:rsid w:val="00617457"/>
    <w:rsid w:val="006178E9"/>
    <w:rsid w:val="0062436C"/>
    <w:rsid w:val="00625C35"/>
    <w:rsid w:val="00625EA3"/>
    <w:rsid w:val="006307D2"/>
    <w:rsid w:val="006322C1"/>
    <w:rsid w:val="006367EA"/>
    <w:rsid w:val="00640672"/>
    <w:rsid w:val="0064126D"/>
    <w:rsid w:val="00642426"/>
    <w:rsid w:val="00642764"/>
    <w:rsid w:val="00642B53"/>
    <w:rsid w:val="00642E4A"/>
    <w:rsid w:val="00647E49"/>
    <w:rsid w:val="00656313"/>
    <w:rsid w:val="006565F4"/>
    <w:rsid w:val="0065665F"/>
    <w:rsid w:val="006577CF"/>
    <w:rsid w:val="006579F5"/>
    <w:rsid w:val="0066121B"/>
    <w:rsid w:val="006634FF"/>
    <w:rsid w:val="00663D13"/>
    <w:rsid w:val="0066620C"/>
    <w:rsid w:val="00667745"/>
    <w:rsid w:val="006700F0"/>
    <w:rsid w:val="0067172E"/>
    <w:rsid w:val="00675FC8"/>
    <w:rsid w:val="00677DAD"/>
    <w:rsid w:val="00682E67"/>
    <w:rsid w:val="00684EEA"/>
    <w:rsid w:val="0068565E"/>
    <w:rsid w:val="00686A93"/>
    <w:rsid w:val="006914C1"/>
    <w:rsid w:val="0069569A"/>
    <w:rsid w:val="0069689B"/>
    <w:rsid w:val="00696915"/>
    <w:rsid w:val="00697516"/>
    <w:rsid w:val="006A1EBF"/>
    <w:rsid w:val="006A7D51"/>
    <w:rsid w:val="006B0AF5"/>
    <w:rsid w:val="006B354B"/>
    <w:rsid w:val="006B485D"/>
    <w:rsid w:val="006B5FF5"/>
    <w:rsid w:val="006C3B27"/>
    <w:rsid w:val="006C3B62"/>
    <w:rsid w:val="006C688B"/>
    <w:rsid w:val="006D0D81"/>
    <w:rsid w:val="006D13DB"/>
    <w:rsid w:val="006D2BF0"/>
    <w:rsid w:val="006D5103"/>
    <w:rsid w:val="006D5529"/>
    <w:rsid w:val="006D554C"/>
    <w:rsid w:val="006D5DEB"/>
    <w:rsid w:val="006D761B"/>
    <w:rsid w:val="006E2506"/>
    <w:rsid w:val="006E2CB4"/>
    <w:rsid w:val="006E2DA6"/>
    <w:rsid w:val="006E713D"/>
    <w:rsid w:val="006F30AF"/>
    <w:rsid w:val="006F6398"/>
    <w:rsid w:val="006F6EAD"/>
    <w:rsid w:val="00701759"/>
    <w:rsid w:val="00704D46"/>
    <w:rsid w:val="00705C15"/>
    <w:rsid w:val="0070796B"/>
    <w:rsid w:val="007110F6"/>
    <w:rsid w:val="007126AD"/>
    <w:rsid w:val="00713FE5"/>
    <w:rsid w:val="00715273"/>
    <w:rsid w:val="007208D1"/>
    <w:rsid w:val="00720B64"/>
    <w:rsid w:val="00720DEF"/>
    <w:rsid w:val="00722BB7"/>
    <w:rsid w:val="007265C3"/>
    <w:rsid w:val="00727BFE"/>
    <w:rsid w:val="00733B7F"/>
    <w:rsid w:val="007342FB"/>
    <w:rsid w:val="00736365"/>
    <w:rsid w:val="0073643C"/>
    <w:rsid w:val="00742A65"/>
    <w:rsid w:val="007430EB"/>
    <w:rsid w:val="00743107"/>
    <w:rsid w:val="00744518"/>
    <w:rsid w:val="00744AD7"/>
    <w:rsid w:val="007456E6"/>
    <w:rsid w:val="00747288"/>
    <w:rsid w:val="00747DD3"/>
    <w:rsid w:val="00751946"/>
    <w:rsid w:val="00751B40"/>
    <w:rsid w:val="00752A7F"/>
    <w:rsid w:val="007549C8"/>
    <w:rsid w:val="0075512A"/>
    <w:rsid w:val="007600E8"/>
    <w:rsid w:val="00764FD7"/>
    <w:rsid w:val="00765D72"/>
    <w:rsid w:val="00765F6E"/>
    <w:rsid w:val="00766D14"/>
    <w:rsid w:val="00767A0F"/>
    <w:rsid w:val="007700FC"/>
    <w:rsid w:val="00774FD3"/>
    <w:rsid w:val="00776A55"/>
    <w:rsid w:val="00776B95"/>
    <w:rsid w:val="007832C6"/>
    <w:rsid w:val="00784100"/>
    <w:rsid w:val="007858EC"/>
    <w:rsid w:val="00785CD0"/>
    <w:rsid w:val="0078796C"/>
    <w:rsid w:val="00791272"/>
    <w:rsid w:val="00793275"/>
    <w:rsid w:val="00794914"/>
    <w:rsid w:val="00796DCE"/>
    <w:rsid w:val="007A05F6"/>
    <w:rsid w:val="007A281B"/>
    <w:rsid w:val="007A7228"/>
    <w:rsid w:val="007A74A4"/>
    <w:rsid w:val="007B547A"/>
    <w:rsid w:val="007B5FEE"/>
    <w:rsid w:val="007B6062"/>
    <w:rsid w:val="007B6F4A"/>
    <w:rsid w:val="007C1AFC"/>
    <w:rsid w:val="007C3289"/>
    <w:rsid w:val="007C4E28"/>
    <w:rsid w:val="007C5915"/>
    <w:rsid w:val="007D00E7"/>
    <w:rsid w:val="007D3652"/>
    <w:rsid w:val="007D4C7C"/>
    <w:rsid w:val="007D61D5"/>
    <w:rsid w:val="007D654D"/>
    <w:rsid w:val="007E041A"/>
    <w:rsid w:val="007E1C47"/>
    <w:rsid w:val="007E337A"/>
    <w:rsid w:val="007E5C70"/>
    <w:rsid w:val="007F2FF5"/>
    <w:rsid w:val="007F3658"/>
    <w:rsid w:val="007F3F08"/>
    <w:rsid w:val="0080316C"/>
    <w:rsid w:val="00804CC6"/>
    <w:rsid w:val="00806C6A"/>
    <w:rsid w:val="0080785B"/>
    <w:rsid w:val="008121EE"/>
    <w:rsid w:val="00815EB9"/>
    <w:rsid w:val="00817190"/>
    <w:rsid w:val="00820FA8"/>
    <w:rsid w:val="00822EE7"/>
    <w:rsid w:val="0082415B"/>
    <w:rsid w:val="00825277"/>
    <w:rsid w:val="008260E2"/>
    <w:rsid w:val="008276A4"/>
    <w:rsid w:val="00830AA3"/>
    <w:rsid w:val="00831ED4"/>
    <w:rsid w:val="00832223"/>
    <w:rsid w:val="008322BD"/>
    <w:rsid w:val="008340C2"/>
    <w:rsid w:val="00834F73"/>
    <w:rsid w:val="00835792"/>
    <w:rsid w:val="008400E8"/>
    <w:rsid w:val="00843C9B"/>
    <w:rsid w:val="00845BDF"/>
    <w:rsid w:val="008513A9"/>
    <w:rsid w:val="00851BD6"/>
    <w:rsid w:val="008529D2"/>
    <w:rsid w:val="008567E6"/>
    <w:rsid w:val="00860164"/>
    <w:rsid w:val="00864C8A"/>
    <w:rsid w:val="00864CF8"/>
    <w:rsid w:val="00867745"/>
    <w:rsid w:val="00873560"/>
    <w:rsid w:val="00874914"/>
    <w:rsid w:val="00876C7F"/>
    <w:rsid w:val="00882C6D"/>
    <w:rsid w:val="0088517B"/>
    <w:rsid w:val="008864CC"/>
    <w:rsid w:val="00887A19"/>
    <w:rsid w:val="00887AC7"/>
    <w:rsid w:val="00891422"/>
    <w:rsid w:val="00892E1A"/>
    <w:rsid w:val="0089401C"/>
    <w:rsid w:val="00895808"/>
    <w:rsid w:val="00895D46"/>
    <w:rsid w:val="00896F90"/>
    <w:rsid w:val="00897A88"/>
    <w:rsid w:val="008A0609"/>
    <w:rsid w:val="008A0D24"/>
    <w:rsid w:val="008A3DC7"/>
    <w:rsid w:val="008A52DC"/>
    <w:rsid w:val="008B076C"/>
    <w:rsid w:val="008B440F"/>
    <w:rsid w:val="008B660A"/>
    <w:rsid w:val="008C01DA"/>
    <w:rsid w:val="008C08F8"/>
    <w:rsid w:val="008C2680"/>
    <w:rsid w:val="008C29A0"/>
    <w:rsid w:val="008D2F65"/>
    <w:rsid w:val="008D356C"/>
    <w:rsid w:val="008D5542"/>
    <w:rsid w:val="008D7A32"/>
    <w:rsid w:val="008F015D"/>
    <w:rsid w:val="008F2674"/>
    <w:rsid w:val="008F39F8"/>
    <w:rsid w:val="008F78E9"/>
    <w:rsid w:val="00911251"/>
    <w:rsid w:val="00911BF1"/>
    <w:rsid w:val="00913287"/>
    <w:rsid w:val="00914FB7"/>
    <w:rsid w:val="00915E4C"/>
    <w:rsid w:val="009179F9"/>
    <w:rsid w:val="00917C7A"/>
    <w:rsid w:val="00925167"/>
    <w:rsid w:val="00925A4B"/>
    <w:rsid w:val="0093264A"/>
    <w:rsid w:val="00933E5E"/>
    <w:rsid w:val="00935218"/>
    <w:rsid w:val="00936461"/>
    <w:rsid w:val="00937C52"/>
    <w:rsid w:val="00940196"/>
    <w:rsid w:val="009403F3"/>
    <w:rsid w:val="00944E85"/>
    <w:rsid w:val="0094523E"/>
    <w:rsid w:val="00947937"/>
    <w:rsid w:val="00951ED1"/>
    <w:rsid w:val="009539BE"/>
    <w:rsid w:val="00954D56"/>
    <w:rsid w:val="009555B7"/>
    <w:rsid w:val="00955A10"/>
    <w:rsid w:val="00956714"/>
    <w:rsid w:val="009567AA"/>
    <w:rsid w:val="009602C9"/>
    <w:rsid w:val="0096404C"/>
    <w:rsid w:val="00966DCE"/>
    <w:rsid w:val="00967374"/>
    <w:rsid w:val="00971AD9"/>
    <w:rsid w:val="00972631"/>
    <w:rsid w:val="009737A7"/>
    <w:rsid w:val="009760CE"/>
    <w:rsid w:val="00976493"/>
    <w:rsid w:val="00976687"/>
    <w:rsid w:val="009771F6"/>
    <w:rsid w:val="00981EC3"/>
    <w:rsid w:val="009847EF"/>
    <w:rsid w:val="00984E10"/>
    <w:rsid w:val="0098643E"/>
    <w:rsid w:val="00987C47"/>
    <w:rsid w:val="00991916"/>
    <w:rsid w:val="009923E7"/>
    <w:rsid w:val="00993B8C"/>
    <w:rsid w:val="009A2000"/>
    <w:rsid w:val="009A2305"/>
    <w:rsid w:val="009A2C42"/>
    <w:rsid w:val="009A343A"/>
    <w:rsid w:val="009A4F5D"/>
    <w:rsid w:val="009A61C9"/>
    <w:rsid w:val="009B2602"/>
    <w:rsid w:val="009B2F23"/>
    <w:rsid w:val="009B4EA1"/>
    <w:rsid w:val="009B5452"/>
    <w:rsid w:val="009B57B3"/>
    <w:rsid w:val="009B57BA"/>
    <w:rsid w:val="009B6075"/>
    <w:rsid w:val="009C0B92"/>
    <w:rsid w:val="009C28E0"/>
    <w:rsid w:val="009C3F4C"/>
    <w:rsid w:val="009C4430"/>
    <w:rsid w:val="009C4C91"/>
    <w:rsid w:val="009C5B3E"/>
    <w:rsid w:val="009C6FAF"/>
    <w:rsid w:val="009C75CF"/>
    <w:rsid w:val="009C7B64"/>
    <w:rsid w:val="009D1A19"/>
    <w:rsid w:val="009D2920"/>
    <w:rsid w:val="009D31E6"/>
    <w:rsid w:val="009D4CF1"/>
    <w:rsid w:val="009D5AEB"/>
    <w:rsid w:val="009D7719"/>
    <w:rsid w:val="009E3864"/>
    <w:rsid w:val="009E4992"/>
    <w:rsid w:val="009F0E33"/>
    <w:rsid w:val="009F37F8"/>
    <w:rsid w:val="009F3C20"/>
    <w:rsid w:val="009F4E2A"/>
    <w:rsid w:val="009F645F"/>
    <w:rsid w:val="00A01CF7"/>
    <w:rsid w:val="00A02AE9"/>
    <w:rsid w:val="00A03443"/>
    <w:rsid w:val="00A04936"/>
    <w:rsid w:val="00A0781C"/>
    <w:rsid w:val="00A10E37"/>
    <w:rsid w:val="00A110A3"/>
    <w:rsid w:val="00A118DB"/>
    <w:rsid w:val="00A1317E"/>
    <w:rsid w:val="00A149DF"/>
    <w:rsid w:val="00A14BDB"/>
    <w:rsid w:val="00A171D9"/>
    <w:rsid w:val="00A1755C"/>
    <w:rsid w:val="00A21A1E"/>
    <w:rsid w:val="00A21B90"/>
    <w:rsid w:val="00A22AAC"/>
    <w:rsid w:val="00A22AF1"/>
    <w:rsid w:val="00A24CD1"/>
    <w:rsid w:val="00A31B19"/>
    <w:rsid w:val="00A3259A"/>
    <w:rsid w:val="00A33AA1"/>
    <w:rsid w:val="00A36C11"/>
    <w:rsid w:val="00A37F2B"/>
    <w:rsid w:val="00A41805"/>
    <w:rsid w:val="00A4522A"/>
    <w:rsid w:val="00A457C6"/>
    <w:rsid w:val="00A46C24"/>
    <w:rsid w:val="00A47AD6"/>
    <w:rsid w:val="00A51882"/>
    <w:rsid w:val="00A52946"/>
    <w:rsid w:val="00A52AFB"/>
    <w:rsid w:val="00A542C0"/>
    <w:rsid w:val="00A542C7"/>
    <w:rsid w:val="00A548CB"/>
    <w:rsid w:val="00A5521C"/>
    <w:rsid w:val="00A574BD"/>
    <w:rsid w:val="00A60804"/>
    <w:rsid w:val="00A61DBB"/>
    <w:rsid w:val="00A643E7"/>
    <w:rsid w:val="00A65D8F"/>
    <w:rsid w:val="00A66A6F"/>
    <w:rsid w:val="00A70421"/>
    <w:rsid w:val="00A70763"/>
    <w:rsid w:val="00A71996"/>
    <w:rsid w:val="00A73C38"/>
    <w:rsid w:val="00A7579E"/>
    <w:rsid w:val="00A77BB8"/>
    <w:rsid w:val="00A80E1A"/>
    <w:rsid w:val="00A833FB"/>
    <w:rsid w:val="00A84DA2"/>
    <w:rsid w:val="00A865BF"/>
    <w:rsid w:val="00A8700E"/>
    <w:rsid w:val="00A87E6C"/>
    <w:rsid w:val="00A921A7"/>
    <w:rsid w:val="00A94779"/>
    <w:rsid w:val="00A9763A"/>
    <w:rsid w:val="00AA17F3"/>
    <w:rsid w:val="00AA2B4B"/>
    <w:rsid w:val="00AA4143"/>
    <w:rsid w:val="00AA4F68"/>
    <w:rsid w:val="00AA54E0"/>
    <w:rsid w:val="00AA5F75"/>
    <w:rsid w:val="00AA6A99"/>
    <w:rsid w:val="00AB01F7"/>
    <w:rsid w:val="00AB02C3"/>
    <w:rsid w:val="00AB09CA"/>
    <w:rsid w:val="00AB1C19"/>
    <w:rsid w:val="00AB3268"/>
    <w:rsid w:val="00AB4021"/>
    <w:rsid w:val="00AB670D"/>
    <w:rsid w:val="00AC3FA9"/>
    <w:rsid w:val="00AC4A8C"/>
    <w:rsid w:val="00AD1600"/>
    <w:rsid w:val="00AD39DA"/>
    <w:rsid w:val="00AD54BB"/>
    <w:rsid w:val="00AE2373"/>
    <w:rsid w:val="00AE25E1"/>
    <w:rsid w:val="00AF03C5"/>
    <w:rsid w:val="00AF19B8"/>
    <w:rsid w:val="00B000D8"/>
    <w:rsid w:val="00B00F75"/>
    <w:rsid w:val="00B0103A"/>
    <w:rsid w:val="00B03AAC"/>
    <w:rsid w:val="00B060EF"/>
    <w:rsid w:val="00B145B6"/>
    <w:rsid w:val="00B15FF1"/>
    <w:rsid w:val="00B202A9"/>
    <w:rsid w:val="00B21D0B"/>
    <w:rsid w:val="00B2267B"/>
    <w:rsid w:val="00B22E26"/>
    <w:rsid w:val="00B25B17"/>
    <w:rsid w:val="00B2640C"/>
    <w:rsid w:val="00B275E8"/>
    <w:rsid w:val="00B279EB"/>
    <w:rsid w:val="00B313AC"/>
    <w:rsid w:val="00B323B3"/>
    <w:rsid w:val="00B32C66"/>
    <w:rsid w:val="00B3579A"/>
    <w:rsid w:val="00B4021E"/>
    <w:rsid w:val="00B411BD"/>
    <w:rsid w:val="00B41CBD"/>
    <w:rsid w:val="00B436D3"/>
    <w:rsid w:val="00B467AE"/>
    <w:rsid w:val="00B50C81"/>
    <w:rsid w:val="00B512A0"/>
    <w:rsid w:val="00B52B6D"/>
    <w:rsid w:val="00B52E51"/>
    <w:rsid w:val="00B530C0"/>
    <w:rsid w:val="00B543F4"/>
    <w:rsid w:val="00B557F8"/>
    <w:rsid w:val="00B620E8"/>
    <w:rsid w:val="00B62B37"/>
    <w:rsid w:val="00B63864"/>
    <w:rsid w:val="00B7113C"/>
    <w:rsid w:val="00B73D59"/>
    <w:rsid w:val="00B8103E"/>
    <w:rsid w:val="00B815FC"/>
    <w:rsid w:val="00B84919"/>
    <w:rsid w:val="00B85159"/>
    <w:rsid w:val="00B92151"/>
    <w:rsid w:val="00B93FBC"/>
    <w:rsid w:val="00B94405"/>
    <w:rsid w:val="00B95F74"/>
    <w:rsid w:val="00B97357"/>
    <w:rsid w:val="00B979BF"/>
    <w:rsid w:val="00BA1A49"/>
    <w:rsid w:val="00BA51B8"/>
    <w:rsid w:val="00BA7DA0"/>
    <w:rsid w:val="00BB2EE4"/>
    <w:rsid w:val="00BB4C92"/>
    <w:rsid w:val="00BC2108"/>
    <w:rsid w:val="00BC2F53"/>
    <w:rsid w:val="00BC4E9C"/>
    <w:rsid w:val="00BC5062"/>
    <w:rsid w:val="00BC585C"/>
    <w:rsid w:val="00BD0797"/>
    <w:rsid w:val="00BD0A20"/>
    <w:rsid w:val="00BD0E9E"/>
    <w:rsid w:val="00BD1BEC"/>
    <w:rsid w:val="00BD3103"/>
    <w:rsid w:val="00BD32FF"/>
    <w:rsid w:val="00BD3C98"/>
    <w:rsid w:val="00BD4828"/>
    <w:rsid w:val="00BD6253"/>
    <w:rsid w:val="00BD6B44"/>
    <w:rsid w:val="00BE4727"/>
    <w:rsid w:val="00BE49AB"/>
    <w:rsid w:val="00BE4F96"/>
    <w:rsid w:val="00BE5530"/>
    <w:rsid w:val="00BF04DA"/>
    <w:rsid w:val="00BF1B1D"/>
    <w:rsid w:val="00BF3034"/>
    <w:rsid w:val="00BF6FE9"/>
    <w:rsid w:val="00C01533"/>
    <w:rsid w:val="00C02092"/>
    <w:rsid w:val="00C11642"/>
    <w:rsid w:val="00C1218B"/>
    <w:rsid w:val="00C12DC4"/>
    <w:rsid w:val="00C12FA1"/>
    <w:rsid w:val="00C13644"/>
    <w:rsid w:val="00C17879"/>
    <w:rsid w:val="00C2024D"/>
    <w:rsid w:val="00C217E4"/>
    <w:rsid w:val="00C21EEB"/>
    <w:rsid w:val="00C24D91"/>
    <w:rsid w:val="00C251E3"/>
    <w:rsid w:val="00C251F6"/>
    <w:rsid w:val="00C26DB2"/>
    <w:rsid w:val="00C3405D"/>
    <w:rsid w:val="00C343C4"/>
    <w:rsid w:val="00C36665"/>
    <w:rsid w:val="00C4132B"/>
    <w:rsid w:val="00C42DEA"/>
    <w:rsid w:val="00C45A9A"/>
    <w:rsid w:val="00C53F14"/>
    <w:rsid w:val="00C57D36"/>
    <w:rsid w:val="00C57E63"/>
    <w:rsid w:val="00C600CF"/>
    <w:rsid w:val="00C6084F"/>
    <w:rsid w:val="00C62A66"/>
    <w:rsid w:val="00C63702"/>
    <w:rsid w:val="00C66048"/>
    <w:rsid w:val="00C66359"/>
    <w:rsid w:val="00C66774"/>
    <w:rsid w:val="00C67908"/>
    <w:rsid w:val="00C71458"/>
    <w:rsid w:val="00C71522"/>
    <w:rsid w:val="00C72084"/>
    <w:rsid w:val="00C75676"/>
    <w:rsid w:val="00C77613"/>
    <w:rsid w:val="00C817AF"/>
    <w:rsid w:val="00C828E7"/>
    <w:rsid w:val="00C83B67"/>
    <w:rsid w:val="00C856DB"/>
    <w:rsid w:val="00C86719"/>
    <w:rsid w:val="00C91220"/>
    <w:rsid w:val="00C921DD"/>
    <w:rsid w:val="00C95F94"/>
    <w:rsid w:val="00CA0068"/>
    <w:rsid w:val="00CA1988"/>
    <w:rsid w:val="00CA4A5C"/>
    <w:rsid w:val="00CA6046"/>
    <w:rsid w:val="00CA6391"/>
    <w:rsid w:val="00CA6AD5"/>
    <w:rsid w:val="00CB02DF"/>
    <w:rsid w:val="00CB18CF"/>
    <w:rsid w:val="00CB29EE"/>
    <w:rsid w:val="00CB47E1"/>
    <w:rsid w:val="00CB55B3"/>
    <w:rsid w:val="00CB69B0"/>
    <w:rsid w:val="00CB79A0"/>
    <w:rsid w:val="00CB7DA6"/>
    <w:rsid w:val="00CC1A6C"/>
    <w:rsid w:val="00CC32DD"/>
    <w:rsid w:val="00CC5668"/>
    <w:rsid w:val="00CC596B"/>
    <w:rsid w:val="00CC6A19"/>
    <w:rsid w:val="00CD12E2"/>
    <w:rsid w:val="00CD1385"/>
    <w:rsid w:val="00CE036E"/>
    <w:rsid w:val="00CE3171"/>
    <w:rsid w:val="00CE5235"/>
    <w:rsid w:val="00CE5781"/>
    <w:rsid w:val="00CE7695"/>
    <w:rsid w:val="00CF1331"/>
    <w:rsid w:val="00CF1601"/>
    <w:rsid w:val="00CF2D7E"/>
    <w:rsid w:val="00CF323F"/>
    <w:rsid w:val="00CF3731"/>
    <w:rsid w:val="00CF4FEC"/>
    <w:rsid w:val="00D0172F"/>
    <w:rsid w:val="00D019E4"/>
    <w:rsid w:val="00D01E33"/>
    <w:rsid w:val="00D02076"/>
    <w:rsid w:val="00D0255F"/>
    <w:rsid w:val="00D049C5"/>
    <w:rsid w:val="00D068A7"/>
    <w:rsid w:val="00D07ADC"/>
    <w:rsid w:val="00D11664"/>
    <w:rsid w:val="00D128BC"/>
    <w:rsid w:val="00D17476"/>
    <w:rsid w:val="00D17B0E"/>
    <w:rsid w:val="00D203D7"/>
    <w:rsid w:val="00D21DA5"/>
    <w:rsid w:val="00D24B6A"/>
    <w:rsid w:val="00D25B64"/>
    <w:rsid w:val="00D3022E"/>
    <w:rsid w:val="00D32086"/>
    <w:rsid w:val="00D33F51"/>
    <w:rsid w:val="00D349E2"/>
    <w:rsid w:val="00D34D80"/>
    <w:rsid w:val="00D350E6"/>
    <w:rsid w:val="00D37A3F"/>
    <w:rsid w:val="00D41054"/>
    <w:rsid w:val="00D41C0F"/>
    <w:rsid w:val="00D434C5"/>
    <w:rsid w:val="00D43511"/>
    <w:rsid w:val="00D4431D"/>
    <w:rsid w:val="00D45D78"/>
    <w:rsid w:val="00D4667A"/>
    <w:rsid w:val="00D47EE8"/>
    <w:rsid w:val="00D5170D"/>
    <w:rsid w:val="00D51999"/>
    <w:rsid w:val="00D528A4"/>
    <w:rsid w:val="00D52D06"/>
    <w:rsid w:val="00D545CD"/>
    <w:rsid w:val="00D55E12"/>
    <w:rsid w:val="00D57BEA"/>
    <w:rsid w:val="00D57DF5"/>
    <w:rsid w:val="00D61BE4"/>
    <w:rsid w:val="00D63A1C"/>
    <w:rsid w:val="00D65F05"/>
    <w:rsid w:val="00D67298"/>
    <w:rsid w:val="00D7516F"/>
    <w:rsid w:val="00D7572E"/>
    <w:rsid w:val="00D75D40"/>
    <w:rsid w:val="00D773E9"/>
    <w:rsid w:val="00D77F95"/>
    <w:rsid w:val="00D81FD3"/>
    <w:rsid w:val="00D8317A"/>
    <w:rsid w:val="00D85831"/>
    <w:rsid w:val="00D86771"/>
    <w:rsid w:val="00D905A9"/>
    <w:rsid w:val="00D91B6E"/>
    <w:rsid w:val="00D92E83"/>
    <w:rsid w:val="00D94A53"/>
    <w:rsid w:val="00D95F8E"/>
    <w:rsid w:val="00D962E1"/>
    <w:rsid w:val="00D97033"/>
    <w:rsid w:val="00D976C7"/>
    <w:rsid w:val="00DA0590"/>
    <w:rsid w:val="00DB334D"/>
    <w:rsid w:val="00DB751B"/>
    <w:rsid w:val="00DC1739"/>
    <w:rsid w:val="00DC1788"/>
    <w:rsid w:val="00DC3878"/>
    <w:rsid w:val="00DC4464"/>
    <w:rsid w:val="00DC64DF"/>
    <w:rsid w:val="00DD0FA8"/>
    <w:rsid w:val="00DD2F72"/>
    <w:rsid w:val="00DD5092"/>
    <w:rsid w:val="00DD5333"/>
    <w:rsid w:val="00DE18D0"/>
    <w:rsid w:val="00DE319C"/>
    <w:rsid w:val="00DE32AC"/>
    <w:rsid w:val="00DF0CA8"/>
    <w:rsid w:val="00DF0E58"/>
    <w:rsid w:val="00DF11E9"/>
    <w:rsid w:val="00DF19ED"/>
    <w:rsid w:val="00DF2B48"/>
    <w:rsid w:val="00DF49A7"/>
    <w:rsid w:val="00E00D54"/>
    <w:rsid w:val="00E03D3E"/>
    <w:rsid w:val="00E03DBF"/>
    <w:rsid w:val="00E0620A"/>
    <w:rsid w:val="00E07EE2"/>
    <w:rsid w:val="00E07FD1"/>
    <w:rsid w:val="00E1289C"/>
    <w:rsid w:val="00E1297A"/>
    <w:rsid w:val="00E12984"/>
    <w:rsid w:val="00E13A9E"/>
    <w:rsid w:val="00E16EB6"/>
    <w:rsid w:val="00E17A60"/>
    <w:rsid w:val="00E20265"/>
    <w:rsid w:val="00E22C53"/>
    <w:rsid w:val="00E23579"/>
    <w:rsid w:val="00E24573"/>
    <w:rsid w:val="00E25E1E"/>
    <w:rsid w:val="00E2604B"/>
    <w:rsid w:val="00E27EE7"/>
    <w:rsid w:val="00E32C63"/>
    <w:rsid w:val="00E35404"/>
    <w:rsid w:val="00E3612D"/>
    <w:rsid w:val="00E36AC8"/>
    <w:rsid w:val="00E41DF0"/>
    <w:rsid w:val="00E42A26"/>
    <w:rsid w:val="00E42AD8"/>
    <w:rsid w:val="00E45109"/>
    <w:rsid w:val="00E478B3"/>
    <w:rsid w:val="00E47B7A"/>
    <w:rsid w:val="00E50D75"/>
    <w:rsid w:val="00E5160E"/>
    <w:rsid w:val="00E56A44"/>
    <w:rsid w:val="00E56E30"/>
    <w:rsid w:val="00E60269"/>
    <w:rsid w:val="00E60AED"/>
    <w:rsid w:val="00E6324C"/>
    <w:rsid w:val="00E660C2"/>
    <w:rsid w:val="00E744F5"/>
    <w:rsid w:val="00E74A5A"/>
    <w:rsid w:val="00E75D9B"/>
    <w:rsid w:val="00E80457"/>
    <w:rsid w:val="00E8198C"/>
    <w:rsid w:val="00E872DB"/>
    <w:rsid w:val="00E921C9"/>
    <w:rsid w:val="00E97830"/>
    <w:rsid w:val="00EA07E1"/>
    <w:rsid w:val="00EA0D52"/>
    <w:rsid w:val="00EA46C7"/>
    <w:rsid w:val="00EA4C05"/>
    <w:rsid w:val="00EA5B9C"/>
    <w:rsid w:val="00EA63D1"/>
    <w:rsid w:val="00EB397E"/>
    <w:rsid w:val="00EB428C"/>
    <w:rsid w:val="00EB6017"/>
    <w:rsid w:val="00EB7520"/>
    <w:rsid w:val="00EB764F"/>
    <w:rsid w:val="00EC0316"/>
    <w:rsid w:val="00EC3DEE"/>
    <w:rsid w:val="00EC4B78"/>
    <w:rsid w:val="00ED0EF8"/>
    <w:rsid w:val="00ED186E"/>
    <w:rsid w:val="00ED3C01"/>
    <w:rsid w:val="00ED4559"/>
    <w:rsid w:val="00ED55B8"/>
    <w:rsid w:val="00ED7813"/>
    <w:rsid w:val="00EE010E"/>
    <w:rsid w:val="00EE0830"/>
    <w:rsid w:val="00EE08DD"/>
    <w:rsid w:val="00EE5020"/>
    <w:rsid w:val="00EE5A62"/>
    <w:rsid w:val="00EE63BE"/>
    <w:rsid w:val="00EE6CB8"/>
    <w:rsid w:val="00EF0683"/>
    <w:rsid w:val="00EF20DD"/>
    <w:rsid w:val="00EF5DD7"/>
    <w:rsid w:val="00F0070C"/>
    <w:rsid w:val="00F00EB7"/>
    <w:rsid w:val="00F013AB"/>
    <w:rsid w:val="00F01754"/>
    <w:rsid w:val="00F045AF"/>
    <w:rsid w:val="00F0637D"/>
    <w:rsid w:val="00F143D7"/>
    <w:rsid w:val="00F20154"/>
    <w:rsid w:val="00F219E8"/>
    <w:rsid w:val="00F267DD"/>
    <w:rsid w:val="00F30177"/>
    <w:rsid w:val="00F30822"/>
    <w:rsid w:val="00F320D4"/>
    <w:rsid w:val="00F3240E"/>
    <w:rsid w:val="00F35A7F"/>
    <w:rsid w:val="00F36AB6"/>
    <w:rsid w:val="00F3798B"/>
    <w:rsid w:val="00F37A09"/>
    <w:rsid w:val="00F4055E"/>
    <w:rsid w:val="00F4073E"/>
    <w:rsid w:val="00F409CE"/>
    <w:rsid w:val="00F43349"/>
    <w:rsid w:val="00F4357A"/>
    <w:rsid w:val="00F4379D"/>
    <w:rsid w:val="00F44DB3"/>
    <w:rsid w:val="00F45613"/>
    <w:rsid w:val="00F47551"/>
    <w:rsid w:val="00F50D2D"/>
    <w:rsid w:val="00F53970"/>
    <w:rsid w:val="00F53C42"/>
    <w:rsid w:val="00F5599E"/>
    <w:rsid w:val="00F55B98"/>
    <w:rsid w:val="00F56C8B"/>
    <w:rsid w:val="00F56F23"/>
    <w:rsid w:val="00F601F9"/>
    <w:rsid w:val="00F62639"/>
    <w:rsid w:val="00F63F15"/>
    <w:rsid w:val="00F64E29"/>
    <w:rsid w:val="00F66810"/>
    <w:rsid w:val="00F83C0A"/>
    <w:rsid w:val="00F845A0"/>
    <w:rsid w:val="00F84DF4"/>
    <w:rsid w:val="00F85C97"/>
    <w:rsid w:val="00F903F2"/>
    <w:rsid w:val="00F94C64"/>
    <w:rsid w:val="00F96EB3"/>
    <w:rsid w:val="00F97940"/>
    <w:rsid w:val="00FA1B3F"/>
    <w:rsid w:val="00FA77F0"/>
    <w:rsid w:val="00FB082A"/>
    <w:rsid w:val="00FB28A0"/>
    <w:rsid w:val="00FB37D2"/>
    <w:rsid w:val="00FB61C9"/>
    <w:rsid w:val="00FC00E1"/>
    <w:rsid w:val="00FC3AB4"/>
    <w:rsid w:val="00FC41D7"/>
    <w:rsid w:val="00FC4EFB"/>
    <w:rsid w:val="00FD068D"/>
    <w:rsid w:val="00FD0835"/>
    <w:rsid w:val="00FD23A2"/>
    <w:rsid w:val="00FD2D08"/>
    <w:rsid w:val="00FD4F28"/>
    <w:rsid w:val="00FE5C53"/>
    <w:rsid w:val="00FE6784"/>
    <w:rsid w:val="00FE6C72"/>
    <w:rsid w:val="00FE7A8B"/>
    <w:rsid w:val="00FF002B"/>
    <w:rsid w:val="00FF63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B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343"/>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5DC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styleId="ListParagraph">
    <w:name w:val="List Paragraph"/>
    <w:basedOn w:val="Normal"/>
    <w:uiPriority w:val="34"/>
    <w:qFormat/>
    <w:rsid w:val="00102521"/>
    <w:pPr>
      <w:ind w:left="720"/>
      <w:contextualSpacing/>
    </w:pPr>
  </w:style>
  <w:style w:type="character" w:customStyle="1" w:styleId="nowrap">
    <w:name w:val="nowrap"/>
    <w:basedOn w:val="DefaultParagraphFont"/>
    <w:rsid w:val="00A03443"/>
  </w:style>
  <w:style w:type="character" w:styleId="Emphasis">
    <w:name w:val="Emphasis"/>
    <w:basedOn w:val="DefaultParagraphFont"/>
    <w:uiPriority w:val="20"/>
    <w:qFormat/>
    <w:rsid w:val="00A03443"/>
    <w:rPr>
      <w:i/>
      <w:iCs/>
    </w:rPr>
  </w:style>
  <w:style w:type="character" w:customStyle="1" w:styleId="reflex3-block">
    <w:name w:val="reflex3-block"/>
    <w:basedOn w:val="DefaultParagraphFont"/>
    <w:rsid w:val="00A03443"/>
  </w:style>
  <w:style w:type="character" w:customStyle="1" w:styleId="reflex3-alt">
    <w:name w:val="reflex3-alt"/>
    <w:basedOn w:val="DefaultParagraphFont"/>
    <w:rsid w:val="00A03443"/>
  </w:style>
  <w:style w:type="character" w:customStyle="1" w:styleId="Heading3Char">
    <w:name w:val="Heading 3 Char"/>
    <w:basedOn w:val="DefaultParagraphFont"/>
    <w:link w:val="Heading3"/>
    <w:uiPriority w:val="9"/>
    <w:semiHidden/>
    <w:rsid w:val="005C5DCE"/>
    <w:rPr>
      <w:rFonts w:asciiTheme="majorHAnsi" w:eastAsiaTheme="majorEastAsia" w:hAnsiTheme="majorHAnsi" w:cstheme="majorBidi"/>
      <w:color w:val="243F60" w:themeColor="accent1" w:themeShade="7F"/>
      <w:sz w:val="24"/>
      <w:szCs w:val="24"/>
    </w:rPr>
  </w:style>
  <w:style w:type="character" w:customStyle="1" w:styleId="solexhl">
    <w:name w:val="solexhl"/>
    <w:basedOn w:val="DefaultParagraphFont"/>
    <w:rsid w:val="00B202A9"/>
  </w:style>
  <w:style w:type="paragraph" w:customStyle="1" w:styleId="ParaNoNdepar-AltN">
    <w:name w:val="Para. No. / Nº de par. - Alt N"/>
    <w:link w:val="ParaNoNdepar-AltNChar"/>
    <w:qFormat/>
    <w:rsid w:val="008F39F8"/>
    <w:pPr>
      <w:numPr>
        <w:numId w:val="1"/>
      </w:numPr>
      <w:tabs>
        <w:tab w:val="left" w:pos="1166"/>
      </w:tabs>
      <w:spacing w:before="480" w:after="480" w:line="480" w:lineRule="auto"/>
      <w:ind w:left="0"/>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8F39F8"/>
    <w:rPr>
      <w:rFonts w:eastAsiaTheme="minorEastAsia" w:cstheme="minorBidi"/>
      <w:sz w:val="24"/>
      <w:szCs w:val="22"/>
      <w:lang w:eastAsia="en-US"/>
    </w:rPr>
  </w:style>
  <w:style w:type="character" w:styleId="Hyperlink">
    <w:name w:val="Hyperlink"/>
    <w:basedOn w:val="DefaultParagraphFont"/>
    <w:uiPriority w:val="99"/>
    <w:unhideWhenUsed/>
    <w:rsid w:val="00822EE7"/>
    <w:rPr>
      <w:color w:val="0000FF"/>
      <w:u w:val="single"/>
    </w:rPr>
  </w:style>
  <w:style w:type="character" w:styleId="FollowedHyperlink">
    <w:name w:val="FollowedHyperlink"/>
    <w:basedOn w:val="DefaultParagraphFont"/>
    <w:uiPriority w:val="99"/>
    <w:semiHidden/>
    <w:unhideWhenUsed/>
    <w:rsid w:val="00822EE7"/>
    <w:rPr>
      <w:color w:val="800080" w:themeColor="followedHyperlink"/>
      <w:u w:val="single"/>
    </w:rPr>
  </w:style>
  <w:style w:type="character" w:styleId="CommentReference">
    <w:name w:val="annotation reference"/>
    <w:basedOn w:val="DefaultParagraphFont"/>
    <w:uiPriority w:val="99"/>
    <w:semiHidden/>
    <w:unhideWhenUsed/>
    <w:rsid w:val="00554A83"/>
    <w:rPr>
      <w:sz w:val="16"/>
      <w:szCs w:val="16"/>
    </w:rPr>
  </w:style>
  <w:style w:type="paragraph" w:styleId="CommentText">
    <w:name w:val="annotation text"/>
    <w:basedOn w:val="Normal"/>
    <w:link w:val="CommentTextChar"/>
    <w:uiPriority w:val="99"/>
    <w:unhideWhenUsed/>
    <w:rsid w:val="00554A83"/>
    <w:rPr>
      <w:sz w:val="20"/>
    </w:rPr>
  </w:style>
  <w:style w:type="character" w:customStyle="1" w:styleId="CommentTextChar">
    <w:name w:val="Comment Text Char"/>
    <w:basedOn w:val="DefaultParagraphFont"/>
    <w:link w:val="CommentText"/>
    <w:uiPriority w:val="99"/>
    <w:rsid w:val="00554A83"/>
  </w:style>
  <w:style w:type="paragraph" w:customStyle="1" w:styleId="SCCLsocOtherPartyRoleSeparator">
    <w:name w:val="SCC.Lsoc.OtherPartyRoleSeparator"/>
    <w:basedOn w:val="Normal"/>
    <w:next w:val="Normal"/>
    <w:link w:val="SCCLsocOtherPartyRoleSeparatorChar"/>
    <w:rsid w:val="00AE2373"/>
    <w:pPr>
      <w:spacing w:after="480"/>
    </w:pPr>
    <w:rPr>
      <w:rFonts w:eastAsiaTheme="minorHAnsi" w:cstheme="minorBidi"/>
      <w:szCs w:val="22"/>
      <w:lang w:eastAsia="en-US"/>
    </w:rPr>
  </w:style>
  <w:style w:type="paragraph" w:customStyle="1" w:styleId="SCCCoram">
    <w:name w:val="SCC.Coram"/>
    <w:basedOn w:val="Normal"/>
    <w:next w:val="Normal"/>
    <w:link w:val="SCCCoramChar"/>
    <w:rsid w:val="00AE237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E2373"/>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AE2373"/>
    <w:rPr>
      <w:rFonts w:eastAsiaTheme="minorHAnsi" w:cstheme="minorBidi"/>
      <w:sz w:val="24"/>
      <w:szCs w:val="22"/>
      <w:lang w:eastAsia="en-US"/>
    </w:rPr>
  </w:style>
  <w:style w:type="character" w:customStyle="1" w:styleId="SCCBanSummaryChar">
    <w:name w:val="SCC.BanSummary Char"/>
    <w:basedOn w:val="DefaultParagraphFont"/>
    <w:link w:val="SCCBanSummary"/>
    <w:rsid w:val="00AE2373"/>
    <w:rPr>
      <w:b/>
      <w:sz w:val="24"/>
    </w:rPr>
  </w:style>
  <w:style w:type="table" w:styleId="TableGrid">
    <w:name w:val="Table Grid"/>
    <w:basedOn w:val="TableNormal"/>
    <w:uiPriority w:val="59"/>
    <w:rsid w:val="00AE237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E2373"/>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AE2373"/>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AE2373"/>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AE2373"/>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E2373"/>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E2373"/>
    <w:pPr>
      <w:numPr>
        <w:ilvl w:val="2"/>
      </w:numPr>
      <w:outlineLvl w:val="2"/>
    </w:pPr>
  </w:style>
  <w:style w:type="paragraph" w:customStyle="1" w:styleId="Title4LevelTitre4Niveau">
    <w:name w:val="Title 4 Level / Titre 4 Niveau"/>
    <w:basedOn w:val="Title3LevelTitre3Niveau"/>
    <w:next w:val="ParaNoNdepar-AltN"/>
    <w:uiPriority w:val="4"/>
    <w:qFormat/>
    <w:rsid w:val="00AE2373"/>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AE2373"/>
    <w:pPr>
      <w:numPr>
        <w:ilvl w:val="4"/>
      </w:numPr>
      <w:outlineLvl w:val="4"/>
    </w:pPr>
  </w:style>
  <w:style w:type="paragraph" w:styleId="TOC1">
    <w:name w:val="toc 1"/>
    <w:basedOn w:val="Normal"/>
    <w:next w:val="Normal"/>
    <w:autoRedefine/>
    <w:uiPriority w:val="39"/>
    <w:unhideWhenUsed/>
    <w:rsid w:val="00AE2373"/>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E2373"/>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E2373"/>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E2373"/>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E2373"/>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E2373"/>
    <w:pPr>
      <w:tabs>
        <w:tab w:val="left" w:pos="2160"/>
        <w:tab w:val="right" w:leader="dot" w:pos="8270"/>
      </w:tabs>
      <w:spacing w:after="100"/>
      <w:ind w:left="1800"/>
    </w:pPr>
    <w:rPr>
      <w:noProof/>
    </w:rPr>
  </w:style>
  <w:style w:type="table" w:customStyle="1" w:styleId="TableGrid1">
    <w:name w:val="Table Grid1"/>
    <w:basedOn w:val="TableNormal"/>
    <w:uiPriority w:val="59"/>
    <w:rsid w:val="00AE2373"/>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E2373"/>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AE2373"/>
    <w:pPr>
      <w:numPr>
        <w:ilvl w:val="5"/>
      </w:numPr>
      <w:outlineLvl w:val="5"/>
    </w:pPr>
    <w:rPr>
      <w:i/>
      <w:u w:val="none"/>
    </w:rPr>
  </w:style>
  <w:style w:type="paragraph" w:styleId="FootnoteText">
    <w:name w:val="footnote text"/>
    <w:basedOn w:val="Normal"/>
    <w:link w:val="FootnoteTextChar"/>
    <w:uiPriority w:val="99"/>
    <w:unhideWhenUsed/>
    <w:rsid w:val="00AE2373"/>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AE2373"/>
  </w:style>
  <w:style w:type="character" w:styleId="FootnoteReference">
    <w:name w:val="footnote reference"/>
    <w:basedOn w:val="DefaultParagraphFont"/>
    <w:uiPriority w:val="99"/>
    <w:semiHidden/>
    <w:unhideWhenUsed/>
    <w:rsid w:val="00AE2373"/>
    <w:rPr>
      <w:vertAlign w:val="superscript"/>
    </w:rPr>
  </w:style>
  <w:style w:type="paragraph" w:styleId="CommentSubject">
    <w:name w:val="annotation subject"/>
    <w:basedOn w:val="CommentText"/>
    <w:next w:val="CommentText"/>
    <w:link w:val="CommentSubjectChar"/>
    <w:uiPriority w:val="99"/>
    <w:semiHidden/>
    <w:unhideWhenUsed/>
    <w:rsid w:val="00AE2373"/>
    <w:rPr>
      <w:b/>
      <w:bCs/>
    </w:rPr>
  </w:style>
  <w:style w:type="character" w:customStyle="1" w:styleId="CommentSubjectChar">
    <w:name w:val="Comment Subject Char"/>
    <w:basedOn w:val="CommentTextChar"/>
    <w:link w:val="CommentSubject"/>
    <w:uiPriority w:val="99"/>
    <w:semiHidden/>
    <w:rsid w:val="00AE2373"/>
    <w:rPr>
      <w:b/>
      <w:bCs/>
    </w:rPr>
  </w:style>
  <w:style w:type="paragraph" w:styleId="Revision">
    <w:name w:val="Revision"/>
    <w:hidden/>
    <w:uiPriority w:val="99"/>
    <w:semiHidden/>
    <w:rsid w:val="00AE2373"/>
    <w:rPr>
      <w:sz w:val="24"/>
      <w:szCs w:val="24"/>
    </w:rPr>
  </w:style>
  <w:style w:type="paragraph" w:customStyle="1" w:styleId="paranondepar-altn1">
    <w:name w:val="paranondepar-altn1"/>
    <w:basedOn w:val="Normal"/>
    <w:rsid w:val="00AE2373"/>
    <w:pPr>
      <w:spacing w:before="480" w:after="480"/>
      <w:jc w:val="both"/>
    </w:pPr>
    <w:rPr>
      <w:szCs w:val="24"/>
    </w:rPr>
  </w:style>
  <w:style w:type="character" w:customStyle="1" w:styleId="reflex2-link1">
    <w:name w:val="reflex2-link1"/>
    <w:basedOn w:val="DefaultParagraphFont"/>
    <w:rsid w:val="00AE2373"/>
    <w:rPr>
      <w:strike w:val="0"/>
      <w:dstrike w:val="0"/>
      <w:color w:val="027ABB"/>
      <w:u w:val="none"/>
      <w:effect w:val="none"/>
    </w:rPr>
  </w:style>
  <w:style w:type="character" w:customStyle="1" w:styleId="citationcar">
    <w:name w:val="citationcar"/>
    <w:basedOn w:val="DefaultParagraphFont"/>
    <w:rsid w:val="00AE2373"/>
  </w:style>
  <w:style w:type="paragraph" w:customStyle="1" w:styleId="BlockQuote">
    <w:name w:val="Block Quote"/>
    <w:next w:val="Normal"/>
    <w:qFormat/>
    <w:rsid w:val="00AE2373"/>
    <w:pPr>
      <w:spacing w:after="200" w:line="276" w:lineRule="auto"/>
      <w:ind w:left="720" w:right="720"/>
    </w:pPr>
    <w:rPr>
      <w:rFonts w:eastAsiaTheme="minorHAnsi" w:cstheme="minorBidi"/>
      <w:sz w:val="24"/>
      <w:szCs w:val="22"/>
      <w:lang w:eastAsia="en-US"/>
    </w:rPr>
  </w:style>
  <w:style w:type="character" w:customStyle="1" w:styleId="dec02citationcasename1">
    <w:name w:val="dec02citationcasename1"/>
    <w:basedOn w:val="DefaultParagraphFont"/>
    <w:rsid w:val="00AE2373"/>
    <w:rPr>
      <w:i/>
      <w:iCs/>
    </w:rPr>
  </w:style>
  <w:style w:type="character" w:customStyle="1" w:styleId="fs-small4">
    <w:name w:val="fs-small4"/>
    <w:basedOn w:val="DefaultParagraphFont"/>
    <w:rsid w:val="00AE2373"/>
  </w:style>
  <w:style w:type="character" w:customStyle="1" w:styleId="sccrespondentforindexchar1">
    <w:name w:val="sccrespondentforindexchar1"/>
    <w:basedOn w:val="DefaultParagraphFont"/>
    <w:rsid w:val="00AE2373"/>
    <w:rPr>
      <w:b/>
      <w:bCs/>
    </w:rPr>
  </w:style>
  <w:style w:type="paragraph" w:customStyle="1" w:styleId="marginalnote">
    <w:name w:val="marginalnote"/>
    <w:basedOn w:val="Normal"/>
    <w:rsid w:val="00AE2373"/>
    <w:pPr>
      <w:spacing w:before="100" w:beforeAutospacing="1" w:after="100" w:afterAutospacing="1"/>
    </w:pPr>
    <w:rPr>
      <w:szCs w:val="24"/>
      <w:lang w:val="en-US" w:eastAsia="en-US"/>
    </w:rPr>
  </w:style>
  <w:style w:type="paragraph" w:customStyle="1" w:styleId="subsection">
    <w:name w:val="subsection"/>
    <w:basedOn w:val="Normal"/>
    <w:rsid w:val="00AE2373"/>
    <w:pPr>
      <w:spacing w:before="100" w:beforeAutospacing="1" w:after="100" w:afterAutospacing="1"/>
    </w:pPr>
    <w:rPr>
      <w:szCs w:val="24"/>
      <w:lang w:val="en-US" w:eastAsia="en-US"/>
    </w:rPr>
  </w:style>
  <w:style w:type="paragraph" w:customStyle="1" w:styleId="paragraph">
    <w:name w:val="paragraph"/>
    <w:basedOn w:val="Normal"/>
    <w:rsid w:val="00AE2373"/>
    <w:pPr>
      <w:spacing w:before="100" w:beforeAutospacing="1" w:after="100" w:afterAutospacing="1"/>
    </w:pPr>
    <w:rPr>
      <w:szCs w:val="24"/>
      <w:lang w:val="en-US" w:eastAsia="en-US"/>
    </w:rPr>
  </w:style>
  <w:style w:type="character" w:customStyle="1" w:styleId="lawlabel">
    <w:name w:val="lawlabel"/>
    <w:basedOn w:val="DefaultParagraphFont"/>
    <w:rsid w:val="00AE2373"/>
  </w:style>
  <w:style w:type="character" w:customStyle="1" w:styleId="canliisubsection">
    <w:name w:val="canlii_subsection"/>
    <w:basedOn w:val="DefaultParagraphFont"/>
    <w:rsid w:val="00AE2373"/>
  </w:style>
  <w:style w:type="paragraph" w:styleId="NoSpacing">
    <w:name w:val="No Spacing"/>
    <w:uiPriority w:val="1"/>
    <w:qFormat/>
    <w:rsid w:val="00AE2373"/>
    <w:rPr>
      <w:rFonts w:eastAsiaTheme="minorHAnsi" w:cstheme="minorBidi"/>
      <w:sz w:val="24"/>
      <w:szCs w:val="22"/>
      <w:lang w:eastAsia="en-US"/>
    </w:rPr>
  </w:style>
  <w:style w:type="character" w:customStyle="1" w:styleId="lawlabel2">
    <w:name w:val="lawlabel2"/>
    <w:basedOn w:val="DefaultParagraphFont"/>
    <w:rsid w:val="00AE2373"/>
    <w:rPr>
      <w:b/>
      <w:bCs/>
      <w:color w:val="000000"/>
    </w:rPr>
  </w:style>
  <w:style w:type="character" w:customStyle="1" w:styleId="sectionlabel">
    <w:name w:val="sectionlabel"/>
    <w:basedOn w:val="DefaultParagraphFont"/>
    <w:rsid w:val="00AE2373"/>
  </w:style>
  <w:style w:type="character" w:customStyle="1" w:styleId="canliisectionwithsubsection">
    <w:name w:val="canlii_section_with_subsection"/>
    <w:basedOn w:val="DefaultParagraphFont"/>
    <w:rsid w:val="00AE2373"/>
  </w:style>
  <w:style w:type="paragraph" w:customStyle="1" w:styleId="11">
    <w:name w:val="11"/>
    <w:basedOn w:val="Normal"/>
    <w:rsid w:val="00AE2373"/>
    <w:pPr>
      <w:autoSpaceDE w:val="0"/>
      <w:autoSpaceDN w:val="0"/>
      <w:ind w:hanging="720"/>
    </w:pPr>
    <w:rPr>
      <w:szCs w:val="24"/>
      <w:lang w:val="en-US" w:eastAsia="en-US"/>
    </w:rPr>
  </w:style>
  <w:style w:type="table" w:customStyle="1" w:styleId="TableGrid2">
    <w:name w:val="Table Grid2"/>
    <w:basedOn w:val="TableNormal"/>
    <w:next w:val="TableGrid"/>
    <w:uiPriority w:val="59"/>
    <w:rsid w:val="00AE237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2527C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62212">
      <w:bodyDiv w:val="1"/>
      <w:marLeft w:val="0"/>
      <w:marRight w:val="0"/>
      <w:marTop w:val="0"/>
      <w:marBottom w:val="0"/>
      <w:divBdr>
        <w:top w:val="none" w:sz="0" w:space="0" w:color="auto"/>
        <w:left w:val="none" w:sz="0" w:space="0" w:color="auto"/>
        <w:bottom w:val="none" w:sz="0" w:space="0" w:color="auto"/>
        <w:right w:val="none" w:sz="0" w:space="0" w:color="auto"/>
      </w:divBdr>
    </w:div>
    <w:div w:id="205341514">
      <w:bodyDiv w:val="1"/>
      <w:marLeft w:val="0"/>
      <w:marRight w:val="0"/>
      <w:marTop w:val="0"/>
      <w:marBottom w:val="0"/>
      <w:divBdr>
        <w:top w:val="none" w:sz="0" w:space="0" w:color="auto"/>
        <w:left w:val="none" w:sz="0" w:space="0" w:color="auto"/>
        <w:bottom w:val="none" w:sz="0" w:space="0" w:color="auto"/>
        <w:right w:val="none" w:sz="0" w:space="0" w:color="auto"/>
      </w:divBdr>
    </w:div>
    <w:div w:id="490951303">
      <w:bodyDiv w:val="1"/>
      <w:marLeft w:val="0"/>
      <w:marRight w:val="0"/>
      <w:marTop w:val="0"/>
      <w:marBottom w:val="0"/>
      <w:divBdr>
        <w:top w:val="none" w:sz="0" w:space="0" w:color="auto"/>
        <w:left w:val="none" w:sz="0" w:space="0" w:color="auto"/>
        <w:bottom w:val="none" w:sz="0" w:space="0" w:color="auto"/>
        <w:right w:val="none" w:sz="0" w:space="0" w:color="auto"/>
      </w:divBdr>
    </w:div>
    <w:div w:id="1486126882">
      <w:bodyDiv w:val="1"/>
      <w:marLeft w:val="0"/>
      <w:marRight w:val="0"/>
      <w:marTop w:val="0"/>
      <w:marBottom w:val="0"/>
      <w:divBdr>
        <w:top w:val="none" w:sz="0" w:space="0" w:color="auto"/>
        <w:left w:val="none" w:sz="0" w:space="0" w:color="auto"/>
        <w:bottom w:val="none" w:sz="0" w:space="0" w:color="auto"/>
        <w:right w:val="none" w:sz="0" w:space="0" w:color="auto"/>
      </w:divBdr>
    </w:div>
    <w:div w:id="211454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csc.ca/cso-dce/2019SCC-CSC65_3_eng.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so-dce/2019SCC-CSC65_2_fra.pdf" TargetMode="External"/><Relationship Id="rId5" Type="http://schemas.openxmlformats.org/officeDocument/2006/relationships/webSettings" Target="webSettings.xml"/><Relationship Id="rId10" Type="http://schemas.openxmlformats.org/officeDocument/2006/relationships/hyperlink" Target="https://www.scc-csc.ca/cso-dce/2019SCC-CSC65_1_eng.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9A51A-A420-441C-B152-EB607D1A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243</Pages>
  <Words>70512</Words>
  <Characters>378566</Characters>
  <Application>Microsoft Office Word</Application>
  <DocSecurity>0</DocSecurity>
  <Lines>3154</Lines>
  <Paragraphs>896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448182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2024-01-18T20:06:00Z</dcterms:created>
  <dcterms:modified xsi:type="dcterms:W3CDTF">2024-01-18T20:06:00Z</dcterms:modified>
</cp:coreProperties>
</file>